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       </w:t>
      </w:r>
      <w:r/>
    </w:p>
    <w:p>
      <w:pPr>
        <w:jc w:val="center"/>
        <w:spacing w:line="360" w:lineRule="auto"/>
        <w:rPr>
          <w:rFonts w:hint="eastAsia" w:ascii="仿宋" w:hAnsi="仿宋" w:eastAsia="仿宋" w:cs="仿宋"/>
          <w:b/>
          <w:spacing w:val="76"/>
          <w:sz w:val="144"/>
          <w:szCs w:val="22"/>
          <w:highlight w:val="none"/>
        </w:rPr>
      </w:pPr>
      <w:r>
        <w:rPr>
          <w:rFonts w:hint="eastAsia" w:ascii="仿宋" w:hAnsi="仿宋" w:eastAsia="仿宋" w:cs="仿宋"/>
          <w:b/>
          <w:spacing w:val="76"/>
          <w:sz w:val="144"/>
          <w:szCs w:val="144"/>
          <w:highlight w:val="none"/>
        </w:rPr>
        <w:t xml:space="preserve">招标文件</w:t>
      </w:r>
      <w:r/>
    </w:p>
    <w:p>
      <w:pPr>
        <w:pStyle w:val="788"/>
        <w:jc w:val="cente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left="2244" w:hanging="1606"/>
        <w:spacing w:line="360" w:lineRule="auto"/>
        <w:rPr>
          <w:rFonts w:hint="eastAsia" w:ascii="仿宋" w:hAnsi="仿宋" w:eastAsia="仿宋" w:cs="仿宋"/>
          <w:b/>
          <w:bCs/>
          <w:sz w:val="32"/>
          <w:highlight w:val="none"/>
        </w:rPr>
      </w:pPr>
      <w:r>
        <w:rPr>
          <w:rFonts w:hint="eastAsia" w:ascii="仿宋" w:hAnsi="仿宋" w:eastAsia="仿宋" w:cs="仿宋"/>
          <w:b/>
          <w:bCs/>
          <w:color w:val="000000"/>
          <w:sz w:val="32"/>
          <w:highlight w:val="none"/>
        </w:rPr>
        <w:t xml:space="preserve">项目名称：</w:t>
      </w:r>
      <w:r>
        <w:rPr>
          <w:rFonts w:hint="eastAsia" w:ascii="仿宋" w:hAnsi="仿宋" w:eastAsia="仿宋" w:cs="仿宋"/>
          <w:b/>
          <w:bCs/>
          <w:color w:val="000000"/>
          <w:sz w:val="32"/>
          <w:highlight w:val="none"/>
          <w:lang w:val="en-US" w:eastAsia="zh-CN"/>
        </w:rPr>
        <w:t xml:space="preserve">江苏睢宁经济开发区污染物限值限量自动监测系统运维项目</w:t>
      </w:r>
      <w:r>
        <w:rPr>
          <w:rFonts w:hint="eastAsia" w:ascii="仿宋" w:hAnsi="仿宋" w:eastAsia="仿宋" w:cs="仿宋"/>
          <w:b/>
          <w:bCs/>
          <w:sz w:val="32"/>
          <w:highlight w:val="none"/>
        </w:rPr>
        <w:t xml:space="preserve">  </w:t>
      </w:r>
      <w:r/>
    </w:p>
    <w:p>
      <w:pPr>
        <w:ind w:left="2244" w:hanging="1606"/>
        <w:spacing w:line="360" w:lineRule="auto"/>
        <w:rPr>
          <w:rFonts w:hint="eastAsia" w:ascii="仿宋" w:hAnsi="仿宋" w:eastAsia="仿宋" w:cs="仿宋"/>
          <w:b/>
          <w:bCs/>
          <w:color w:val="000000"/>
          <w:sz w:val="32"/>
          <w:highlight w:val="none"/>
          <w:lang w:val="en-US" w:eastAsia="zh-CN"/>
        </w:rPr>
      </w:pPr>
      <w:r/>
      <w:bookmarkStart w:id="0" w:name="_Toc11990"/>
      <w:r>
        <w:rPr>
          <w:rFonts w:hint="eastAsia" w:ascii="仿宋" w:hAnsi="仿宋" w:eastAsia="仿宋" w:cs="仿宋"/>
          <w:b/>
          <w:bCs/>
          <w:color w:val="000000"/>
          <w:sz w:val="32"/>
          <w:highlight w:val="none"/>
          <w:lang w:val="en-US" w:eastAsia="zh-CN"/>
        </w:rPr>
        <w:t xml:space="preserve">项目编号：</w:t>
      </w:r>
      <w:bookmarkEnd w:id="0"/>
      <w:r/>
      <w:bookmarkStart w:id="1" w:name="_Toc25341"/>
      <w:r>
        <w:rPr>
          <w:rFonts w:hint="eastAsia" w:ascii="仿宋" w:hAnsi="仿宋" w:eastAsia="仿宋" w:cs="仿宋"/>
          <w:b/>
          <w:bCs/>
          <w:color w:val="000000"/>
          <w:sz w:val="32"/>
          <w:highlight w:val="none"/>
          <w:lang w:val="en-US" w:eastAsia="zh-CN"/>
        </w:rPr>
        <w:t xml:space="preserve">JSZC-320324-XZWY-G2026-0002</w:t>
      </w:r>
      <w:r/>
    </w:p>
    <w:p>
      <w:pPr>
        <w:ind w:left="2244" w:hanging="1606"/>
        <w:spacing w:line="360" w:lineRule="auto"/>
        <w:rPr>
          <w:rFonts w:hint="eastAsia" w:ascii="仿宋" w:hAnsi="仿宋" w:eastAsia="仿宋" w:cs="仿宋"/>
          <w:b/>
          <w:bCs/>
          <w:color w:val="000000"/>
          <w:sz w:val="32"/>
          <w:highlight w:val="none"/>
          <w:lang w:val="en-US" w:eastAsia="zh-CN"/>
        </w:rPr>
      </w:pPr>
      <w:r>
        <w:rPr>
          <w:rFonts w:hint="eastAsia" w:ascii="仿宋" w:hAnsi="仿宋" w:eastAsia="仿宋" w:cs="仿宋"/>
          <w:b/>
          <w:bCs/>
          <w:color w:val="000000"/>
          <w:sz w:val="32"/>
          <w:highlight w:val="none"/>
          <w:lang w:val="en-US" w:eastAsia="zh-CN"/>
        </w:rPr>
        <w:t xml:space="preserve">采 购 人：</w:t>
      </w:r>
      <w:bookmarkEnd w:id="1"/>
      <w:r>
        <w:rPr>
          <w:rFonts w:hint="eastAsia" w:ascii="仿宋" w:hAnsi="仿宋" w:eastAsia="仿宋" w:cs="仿宋"/>
          <w:b/>
          <w:bCs/>
          <w:color w:val="000000"/>
          <w:sz w:val="32"/>
          <w:highlight w:val="none"/>
          <w:lang w:val="en-US" w:eastAsia="zh-CN"/>
        </w:rPr>
        <w:t xml:space="preserve">江苏睢宁经济开发区管理委员会</w:t>
      </w:r>
      <w:r/>
    </w:p>
    <w:p>
      <w:pPr>
        <w:ind w:left="2244" w:hanging="1606"/>
        <w:spacing w:line="360" w:lineRule="auto"/>
        <w:rPr>
          <w:rFonts w:hint="eastAsia" w:ascii="仿宋" w:hAnsi="仿宋" w:eastAsia="仿宋" w:cs="仿宋"/>
          <w:b/>
          <w:bCs/>
          <w:sz w:val="32"/>
          <w:szCs w:val="32"/>
          <w:highlight w:val="none"/>
        </w:rPr>
      </w:pPr>
      <w:r/>
      <w:bookmarkStart w:id="2" w:name="_Toc28082"/>
      <w:r>
        <w:rPr>
          <w:rFonts w:hint="eastAsia" w:ascii="仿宋" w:hAnsi="仿宋" w:eastAsia="仿宋" w:cs="仿宋"/>
          <w:b/>
          <w:bCs/>
          <w:color w:val="000000"/>
          <w:sz w:val="32"/>
          <w:highlight w:val="none"/>
          <w:lang w:val="en-US" w:eastAsia="zh-CN"/>
        </w:rPr>
        <w:t xml:space="preserve">采购代理机构：</w:t>
      </w:r>
      <w:bookmarkEnd w:id="2"/>
      <w:r>
        <w:rPr>
          <w:rFonts w:hint="eastAsia" w:ascii="仿宋" w:hAnsi="仿宋" w:eastAsia="仿宋" w:cs="仿宋"/>
          <w:b/>
          <w:bCs/>
          <w:color w:val="000000"/>
          <w:sz w:val="32"/>
          <w:highlight w:val="none"/>
          <w:lang w:val="en-US" w:eastAsia="zh-CN"/>
        </w:rPr>
        <w:t xml:space="preserve">徐州万缘招投标代理有限公司</w:t>
      </w:r>
      <w:r>
        <w:rPr>
          <w:rFonts w:hint="eastAsia" w:ascii="仿宋" w:hAnsi="仿宋" w:eastAsia="仿宋" w:cs="仿宋"/>
          <w:b/>
          <w:bCs/>
          <w:color w:val="000000"/>
          <w:sz w:val="32"/>
          <w:szCs w:val="32"/>
          <w:highlight w:val="none"/>
          <w:lang w:val="en-US" w:eastAsia="zh-CN" w:bidi="ar-SA"/>
        </w:rPr>
        <w:t xml:space="preserve">  </w:t>
      </w:r>
      <w:r>
        <w:rPr>
          <w:rFonts w:hint="eastAsia" w:ascii="仿宋" w:hAnsi="仿宋" w:eastAsia="仿宋" w:cs="仿宋"/>
          <w:b/>
          <w:bCs/>
          <w:sz w:val="32"/>
          <w:szCs w:val="32"/>
          <w:highlight w:val="none"/>
        </w:rPr>
        <w:t xml:space="preserve">            </w:t>
      </w:r>
      <w:r/>
    </w:p>
    <w:p>
      <w:pPr>
        <w:pStyle w:val="776"/>
        <w:ind w:left="0" w:right="0" w:firstLine="643"/>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776"/>
        <w:ind w:left="0" w:right="0" w:firstLine="643"/>
        <w:jc w:val="center"/>
        <w:spacing w:line="360" w:lineRule="auto"/>
        <w:rPr>
          <w:rFonts w:hint="eastAsia" w:ascii="仿宋" w:hAnsi="仿宋" w:eastAsia="仿宋" w:cs="仿宋"/>
          <w:sz w:val="24"/>
          <w:szCs w:val="18"/>
          <w:highlight w:val="none"/>
        </w:rPr>
      </w:pPr>
      <w:r>
        <w:rPr>
          <w:rFonts w:hint="eastAsia" w:ascii="仿宋" w:hAnsi="仿宋" w:eastAsia="仿宋" w:cs="仿宋"/>
          <w:b/>
          <w:bCs/>
          <w:sz w:val="32"/>
          <w:szCs w:val="32"/>
          <w:highlight w:val="none"/>
        </w:rPr>
        <w:t xml:space="preserve">二〇二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rPr>
        <w:t xml:space="preserve">年</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6"/>
          <w:szCs w:val="21"/>
          <w:highlight w:val="none"/>
        </w:rPr>
      </w:pPr>
      <w:r>
        <w:rPr>
          <w:rFonts w:hint="eastAsia" w:ascii="仿宋" w:hAnsi="仿宋" w:eastAsia="仿宋" w:cs="仿宋"/>
          <w:b/>
          <w:bCs/>
          <w:sz w:val="36"/>
          <w:szCs w:val="21"/>
          <w:highlight w:val="none"/>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目 录</w:t>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06"/>
          <w:rFonts w:hint="eastAsia" w:ascii="仿宋" w:hAnsi="仿宋" w:eastAsia="仿宋" w:cs="仿宋"/>
          <w:color w:val="auto"/>
          <w:sz w:val="28"/>
          <w:szCs w:val="28"/>
          <w:highlight w:val="none"/>
          <w:u w:val="none"/>
          <w:lang w:eastAsia="zh-CN"/>
        </w:rPr>
        <w:t xml:space="preserve">第一章  投标邀请</w:t>
      </w:r>
      <w:r>
        <w:rPr>
          <w:rStyle w:val="806"/>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hint="default" w:ascii="仿宋" w:hAnsi="仿宋" w:eastAsia="仿宋" w:cs="仿宋"/>
          <w:color w:val="auto"/>
          <w:sz w:val="28"/>
          <w:szCs w:val="28"/>
          <w:highlight w:val="none"/>
          <w:lang w:val="en-US"/>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06"/>
          <w:rFonts w:hint="eastAsia" w:ascii="仿宋" w:hAnsi="仿宋" w:eastAsia="仿宋" w:cs="仿宋"/>
          <w:color w:val="auto"/>
          <w:sz w:val="28"/>
          <w:szCs w:val="28"/>
          <w:highlight w:val="none"/>
          <w:u w:val="none"/>
          <w:lang w:eastAsia="zh-CN"/>
        </w:rPr>
        <w:t xml:space="preserve">第二章  投标人须知</w:t>
      </w:r>
      <w:r>
        <w:rPr>
          <w:rStyle w:val="806"/>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06"/>
          <w:rFonts w:hint="eastAsia" w:ascii="仿宋" w:hAnsi="仿宋" w:eastAsia="仿宋" w:cs="仿宋"/>
          <w:color w:val="auto"/>
          <w:sz w:val="28"/>
          <w:szCs w:val="28"/>
          <w:highlight w:val="none"/>
          <w:u w:val="none"/>
          <w:lang w:eastAsia="zh-CN"/>
        </w:rPr>
        <w:t xml:space="preserve">第三章  投标资料表</w:t>
      </w:r>
      <w:r>
        <w:rPr>
          <w:rStyle w:val="806"/>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06"/>
          <w:rFonts w:hint="eastAsia" w:ascii="仿宋" w:hAnsi="仿宋" w:eastAsia="仿宋" w:cs="仿宋"/>
          <w:color w:val="auto"/>
          <w:sz w:val="28"/>
          <w:szCs w:val="28"/>
          <w:highlight w:val="none"/>
          <w:u w:val="none"/>
          <w:lang w:eastAsia="zh-CN"/>
        </w:rPr>
        <w:t xml:space="preserve">第四章  评标标准</w:t>
      </w:r>
      <w:r>
        <w:rPr>
          <w:rStyle w:val="806"/>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06"/>
          <w:rFonts w:hint="eastAsia" w:ascii="仿宋" w:hAnsi="仿宋" w:eastAsia="仿宋" w:cs="仿宋"/>
          <w:color w:val="auto"/>
          <w:sz w:val="28"/>
          <w:szCs w:val="28"/>
          <w:highlight w:val="none"/>
          <w:u w:val="none"/>
          <w:lang w:eastAsia="zh-CN"/>
        </w:rPr>
        <w:t xml:space="preserve">第五章  拟签订的合同文本</w:t>
      </w:r>
      <w:r>
        <w:rPr>
          <w:rStyle w:val="806"/>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06"/>
          <w:rFonts w:hint="eastAsia" w:ascii="仿宋" w:hAnsi="仿宋" w:eastAsia="仿宋" w:cs="仿宋"/>
          <w:color w:val="auto"/>
          <w:sz w:val="28"/>
          <w:szCs w:val="28"/>
          <w:highlight w:val="none"/>
          <w:u w:val="none"/>
          <w:lang w:eastAsia="zh-CN"/>
        </w:rPr>
        <w:t xml:space="preserve">第六章  采购需求</w:t>
      </w:r>
      <w:r>
        <w:rPr>
          <w:rStyle w:val="806"/>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06"/>
          <w:rFonts w:hint="eastAsia" w:ascii="仿宋" w:hAnsi="仿宋" w:eastAsia="仿宋" w:cs="仿宋"/>
          <w:color w:val="auto"/>
          <w:sz w:val="28"/>
          <w:szCs w:val="28"/>
          <w:highlight w:val="none"/>
          <w:u w:val="none"/>
          <w:lang w:eastAsia="zh-CN"/>
        </w:rPr>
        <w:t xml:space="preserve">第七章  投标文件相关格式</w:t>
      </w:r>
      <w:r>
        <w:rPr>
          <w:rStyle w:val="806"/>
          <w:rFonts w:hint="eastAsia" w:ascii="仿宋" w:hAnsi="仿宋" w:eastAsia="仿宋" w:cs="仿宋"/>
          <w:color w:val="auto"/>
          <w:sz w:val="28"/>
          <w:szCs w:val="28"/>
          <w:highlight w:val="none"/>
          <w:u w:val="none"/>
          <w:lang w:eastAsia="zh-CN"/>
        </w:rPr>
        <w:fldChar w:fldCharType="end"/>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keepLines w:val="0"/>
        <w:keepNext w:val="0"/>
        <w:pageBreakBefore w:val="0"/>
        <w:spacing w:after="361" w:line="240" w:lineRule="auto"/>
        <w:widowControl/>
        <w:rPr>
          <w:rFonts w:hint="eastAsia" w:ascii="仿宋" w:hAnsi="仿宋" w:eastAsia="仿宋" w:cs="仿宋"/>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val="en-US" w:eastAsia="zh-CN"/>
        </w:rPr>
        <w:t xml:space="preserve">江苏睢宁经济开发区污染物限值限量自动监测系统运维项目</w:t>
      </w:r>
      <w:r>
        <w:rPr>
          <w:rFonts w:hint="eastAsia" w:ascii="仿宋" w:hAnsi="仿宋" w:eastAsia="仿宋" w:cs="仿宋"/>
          <w:b/>
          <w:bCs/>
          <w:sz w:val="32"/>
          <w:highlight w:val="none"/>
        </w:rPr>
        <w:t xml:space="preserve"> </w:t>
      </w:r>
      <w:r/>
    </w:p>
    <w:p>
      <w:pPr>
        <w:jc w:val="center"/>
        <w:keepLines w:val="0"/>
        <w:keepNext w:val="0"/>
        <w:pageBreakBefore w:val="0"/>
        <w:spacing w:after="361" w:line="240" w:lineRule="auto"/>
        <w:widowControl/>
        <w:rPr>
          <w:rFonts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招标文件</w:t>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第一章  投标邀请</w:t>
      </w:r>
      <w:r>
        <w:rPr>
          <w:rFonts w:hint="eastAsia" w:ascii="仿宋" w:hAnsi="仿宋" w:eastAsia="仿宋" w:cs="仿宋"/>
          <w:color w:val="auto"/>
          <w:sz w:val="28"/>
          <w:szCs w:val="28"/>
          <w:highlight w:val="none"/>
          <w:lang w:eastAsia="zh-CN"/>
        </w:rPr>
        <w:t xml:space="preserve"> </w:t>
      </w:r>
      <w:r/>
    </w:p>
    <w:p>
      <w:pPr>
        <w:pStyle w:val="746"/>
        <w:ind w:left="0" w:right="0" w:firstLine="560"/>
        <w:jc w:val="left"/>
        <w:keepLines w:val="0"/>
        <w:keepNext w:val="0"/>
        <w:pageBreakBefore w:val="0"/>
        <w:spacing w:before="0" w:beforeAutospacing="0" w:after="0" w:afterAutospacing="0" w:line="500" w:lineRule="exact"/>
        <w:widowControl/>
        <w:rPr>
          <w:rFonts w:hint="eastAsia" w:ascii="仿宋" w:hAnsi="仿宋" w:eastAsia="仿宋" w:cs="仿宋"/>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bidi="ar-SA"/>
        </w:rPr>
        <w:t xml:space="preserve">徐州万缘招投标代理有限公司对江苏睢宁经济开发区管理委员会“江苏睢宁经济开发区污染物限值限量自动监测系统运维项目</w:t>
      </w:r>
      <w:r>
        <w:rPr>
          <w:rFonts w:hint="eastAsia" w:ascii="仿宋" w:hAnsi="仿宋" w:eastAsia="仿宋" w:cs="仿宋"/>
          <w:b/>
          <w:bCs/>
          <w:sz w:val="32"/>
          <w:highlight w:val="none"/>
        </w:rPr>
        <w:t xml:space="preserve"> </w:t>
      </w:r>
      <w:r>
        <w:rPr>
          <w:rFonts w:hint="eastAsia" w:ascii="仿宋" w:hAnsi="仿宋" w:eastAsia="仿宋" w:cs="仿宋"/>
          <w:color w:val="auto"/>
          <w:sz w:val="28"/>
          <w:szCs w:val="28"/>
          <w:highlight w:val="none"/>
          <w:lang w:val="en-US" w:eastAsia="zh-CN" w:bidi="ar-SA"/>
        </w:rPr>
        <w:t xml:space="preserve">”进行公开招标采购，现邀请符合相关条件的投标人投标。</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一、项目名称和项目编号</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(一)项目名称：</w:t>
      </w:r>
      <w:r>
        <w:rPr>
          <w:rFonts w:hint="eastAsia" w:ascii="仿宋" w:hAnsi="仿宋" w:eastAsia="仿宋" w:cs="仿宋"/>
          <w:color w:val="auto"/>
          <w:sz w:val="28"/>
          <w:szCs w:val="28"/>
          <w:highlight w:val="none"/>
          <w:lang w:val="en-US" w:eastAsia="zh-CN"/>
        </w:rPr>
        <w:t xml:space="preserve">江苏睢宁经济开发区污染物限值限量自动监测系统运维项目</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(二)项目编号：JSZC-320324-XZWY-G2026-0002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二、对投标人的资格要求</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详见本项目公开招标公告。</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三、获取招标文件</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（1）潜在投标人访问电子招标投标交易平台的网络地址和方法：</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①登录http://jszfcg.jsczt.cn/ ，或进入徐州政府采购网--业务工作--用户登录，点击“苏采云”进入系统。</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（2）采购代理机构将数据电文形式的招标文件加载至电子招标投标交易平台，供潜在投标人下载或者查阅。</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（3）售价：免费。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四、提交投标文件截止时间、开标时间和地点</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（一）投标截止时间：</w:t>
      </w:r>
      <w:r>
        <w:rPr>
          <w:rFonts w:hint="eastAsia" w:ascii="仿宋" w:hAnsi="仿宋" w:eastAsia="仿宋" w:cs="仿宋"/>
          <w:color w:val="auto"/>
          <w:sz w:val="28"/>
          <w:szCs w:val="28"/>
          <w:highlight w:val="none"/>
          <w:lang w:val="en-US" w:eastAsia="zh-CN"/>
        </w:rPr>
        <w:t xml:space="preserve">2026年07月07日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lang w:eastAsia="zh-CN"/>
        </w:rPr>
        <w:t xml:space="preserve">。</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（二）开标时间：</w:t>
      </w:r>
      <w:r>
        <w:rPr>
          <w:rFonts w:hint="eastAsia" w:ascii="仿宋" w:hAnsi="仿宋" w:eastAsia="仿宋" w:cs="仿宋"/>
          <w:color w:val="auto"/>
          <w:sz w:val="28"/>
          <w:szCs w:val="28"/>
          <w:highlight w:val="none"/>
          <w:lang w:val="en-US" w:eastAsia="zh-CN"/>
        </w:rPr>
        <w:t xml:space="preserve">2026年07月07日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eastAsia="zh-CN"/>
        </w:rPr>
        <w:t xml:space="preserve">0。</w:t>
      </w:r>
      <w:r/>
    </w:p>
    <w:p>
      <w:pPr>
        <w:ind w:firstLine="560"/>
        <w:jc w:val="left"/>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（三）开标地点：“苏采云”系统（网址： http://jszfcg.jsczt.cn/）“开标大厅”或进入徐州政府采购网（网址：https://czj.xz.gov.cn/zfcg/）-业务工作 -用户登录，点击“苏采云”进入系统“开标大厅”。</w:t>
      </w:r>
      <w:r/>
    </w:p>
    <w:p>
      <w:pPr>
        <w:jc w:val="left"/>
        <w:keepLines w:val="0"/>
        <w:keepNext w:val="0"/>
        <w:pageBreakBefore w:val="0"/>
        <w:spacing w:line="500" w:lineRule="exact"/>
        <w:widowControl/>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五、公告期限</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自本公告发布之日起5个工作日。</w:t>
      </w:r>
      <w:r/>
    </w:p>
    <w:p>
      <w:pPr>
        <w:jc w:val="left"/>
        <w:keepLines w:val="0"/>
        <w:keepNext w:val="0"/>
        <w:pageBreakBefore w:val="0"/>
        <w:spacing w:line="500" w:lineRule="exact"/>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六、其他补充事宜</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(一)获取采购文件: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招标文件提供期限届满后仍可以下载，期限届满后下载的招标文件，视为非有效方式且不作为供应商权益受到损害的证明材料和依据。</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(二)投标文件的提交与接收: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1.线上投标文件提交与接收时间:提交投标文件截止时间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(2026年07月07日北京时间09:00) 前。</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2.线上投标文件提交与接收地点:投标人应当通过“苏采云”系统提交数据电文形式的投标文件(即电子投标)，“苏采云”系统自动接收。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(三)询问和质疑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2.供应商在法定质疑期内一次性提出针对同一采购程序环节的质疑。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3.质疑函</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接收质疑函的方式:供应商直接送交或供应商通过EMS邮寄。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联系部门:徐州万缘招投标代理有限公司</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联系电话:15862107662</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地址:徐州高新技术产业开发区牛山路20号院内4号楼615室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(四)招标文件的澄清或者修改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高线编制投标文件，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(五)终止招标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(六)说明</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1.本项目不接受联合体参与采购活动，成交后不得转包或分包。</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2.单位负责人为同一人或者存在直接控股、管理关系的不同供应商，不得参加同一合同项下的政府采购活动。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3.为本采购项目提供整体设计、规范编制或者项目管理、监理、检测等服务的供应商，不得再参加本采购项目的采购活动。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(七)特别说明:本项目采用远程不见面开标方式。</w:t>
      </w:r>
      <w:r/>
    </w:p>
    <w:p>
      <w:pPr>
        <w:ind w:firstLine="561"/>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(八)采购意向链接:https://czj.xz.gov.cn/zfcg/jiangsu/js_cggg/details.html?gglb=cgyx&amp;ggid=59a5e859700d4676b6a6b71b9364a0df</w:t>
      </w:r>
      <w:r/>
    </w:p>
    <w:p>
      <w:pPr>
        <w:ind w:firstLine="562"/>
        <w:jc w:val="both"/>
        <w:keepLines w:val="0"/>
        <w:keepNext w:val="0"/>
        <w:pageBreakBefore w:val="0"/>
        <w:spacing w:after="0" w:line="500" w:lineRule="exact"/>
        <w:widowControl/>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七、对本</w:t>
      </w:r>
      <w:r>
        <w:rPr>
          <w:rFonts w:hint="eastAsia" w:ascii="仿宋" w:hAnsi="仿宋" w:eastAsia="仿宋" w:cs="仿宋"/>
          <w:b/>
          <w:sz w:val="28"/>
          <w:szCs w:val="28"/>
          <w:highlight w:val="none"/>
        </w:rPr>
        <w:t xml:space="preserve">次招标提出询问，请按以下方式联系</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1.采购人信息</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单位名称：江苏睢宁经济开发区管理委员会</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单位地址：江苏省徐州市睢宁县前进路85号</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联系人：胡英杰</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联系电话：13912029098</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2.采购代理机构信息</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名称：徐州万缘招投标代理有限公司</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地址：徐州高新技术产业开发区牛山路20号院内4号楼615室</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联系方式：15862107662 </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3.项目联系方式</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联系人：江怀兵</w:t>
      </w:r>
      <w:r/>
    </w:p>
    <w:p>
      <w:pPr>
        <w:pStyle w:val="746"/>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联系方式：15862107662</w:t>
      </w:r>
      <w:r/>
    </w:p>
    <w:p>
      <w:pPr>
        <w:pStyle w:val="746"/>
        <w:ind w:firstLine="560"/>
        <w:keepLines w:val="0"/>
        <w:keepNext w:val="0"/>
        <w:pageBreakBefore w:val="0"/>
        <w:spacing w:before="0" w:after="0" w:line="360" w:lineRule="auto"/>
        <w:widowControl/>
        <w:rPr>
          <w:rFonts w:hint="eastAsia" w:ascii="仿宋" w:hAnsi="仿宋" w:eastAsia="仿宋" w:cs="仿宋"/>
          <w:b w:val="0"/>
          <w:bCs w:val="0"/>
          <w:sz w:val="28"/>
          <w:szCs w:val="28"/>
          <w:highlight w:val="none"/>
          <w:lang w:val="en-US" w:eastAsia="zh-CN" w:bidi="ar-SA"/>
        </w:rPr>
        <w:sectPr>
          <w:footerReference w:type="default" r:id="rId10"/>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val="0"/>
          <w:bCs w:val="0"/>
          <w:sz w:val="28"/>
          <w:szCs w:val="28"/>
          <w:highlight w:val="none"/>
          <w:lang w:val="en-US" w:eastAsia="zh-CN" w:bidi="ar-SA"/>
        </w:rPr>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8"/>
          <w:szCs w:val="28"/>
          <w:highlight w:val="none"/>
          <w:lang w:eastAsia="zh-CN"/>
        </w:rPr>
        <w:t xml:space="preserve">第二章  投标人须知</w:t>
      </w:r>
      <w:r/>
    </w:p>
    <w:p>
      <w:pPr>
        <w:ind w:firstLine="600"/>
        <w:jc w:val="both"/>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一、总则</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（一）招标人。招标人即指依法进行政府采购的国家机关、事业单位和团体组织。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（二）政府招标采购方式。政府采购货物或服务（以下简称“货物服务”）的招标方式，分为公开招标和邀请招标。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（三）招标人在采购货物服务的招标投标活动中，应当贯彻落实“节约能源、保护环境、扶持不发达地区和少数民族地区和促进中小企业发展”等政府采购政策。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（四）招标人应当按照财政部制定的《政府采购品目分类目录》确定采购项目属性，对按照《政府采购品目分类目录》无法确定采购项目属性的，应按照有利于采购项目实施的原则确定。</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（五）招标人委托采购代理机构代理招标的，采购代理机构必须在招标人委托的范围内依法开展采购活动。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（六）投标人的资格条件：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投标人是指响应招标、参加投标竞争的法人、其他组织或者自然人。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2.投标人授权代表系指法定代表人或受法人委托的受托人。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（八）招标文件应包括以下内容：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第一章，投标邀请；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第二章，投标人须知；</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第三章，投标资料表；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第四章，评标标准；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第五章，拟签订的合同文本；</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第六章，采购需求；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第七章，投标文件相关格式。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（九）招标文件澄清或者修改：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2.现场考察以本文件第三章《投标资料表》中的要求为准。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3.开标前答疑会以本文件第三章《投标资料表》中的要求为准。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三、投标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（十）投标人应当按照招标文件的要求编制投标文件。投标文件应对招标文件提出的要求和条件作出实质性响应。</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（十二）投标文件的构成：</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1.投标文件的构成以本文件第三章《投标资料表》中的要求为准。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2.投标人应当提交的资格、资信证明文件，以本文件第三章《投标资料表》中的所提要求为准。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（十三）投标函和价格表、商务条件、交货和提供服务的时间：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1.投标函和价格表的要求见本章（十二）、（十三），格式见本文件第七章《投标文件相关格式》中《投标函》和《开标一览表》。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2.商务条件以本文件第三章《投标资料表》中的要求为准。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3.交货和提供服务的时间，以本文件第三章《投标资料表》中所提要求为准。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（十四）投标报价要求：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1.投标人应按照招标文件的要求报出分项价格和总价。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2.投标人应按照招标文件的要求进行报价，如投标人作出偏离，应在《偏离表》中列出。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3.招标人不支付报价以外的任何费用。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5.投标人只能提交一个投标价格，投标人提交多个价格的投标文件，在资格性、符合性检查时按照无效投标处理。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（十五）投标货币。以本文件第三章《投标资料表》中所提要求为准。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（十六）投标有效期：</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1.投标有效期为开标之日后120天。招标人可以要求对投标有效期延长一次，但该延长期最长不得超过30天。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2.招标人要求延长投标有效期的，必须要在距投标有效期满20日之前，以书面形式通知投标人，如果有关投标人同意延长投标有效期的要求，其应在原投标有效期期满前以书面形式向招标人确认。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3.如果招标人发出要求延长投标有效期的通知，并在投标有效期届满前，没有收到投标人同意的书面通知，则视为该投标人不接受上述延期的要求。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（十七）投标文件的编制要求和签署要求：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1.电子投标文件要求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（1）电子招标投标交易平台（即“苏采云”系统）相关要求是本招标文件的组成部分。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（2）投标人应对 CA 证书妥善保管，如被他人盗用投标，因此带来的结果均由投标人自行承担。</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（3）投标人应当对招标文件提出的要求和条件作出实质性响应，并在电子投标系统逐条应答。</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（4）投标人应对要求提供的资格证明文件（如资质证书、资格证书）、技术资料（如白皮书、彩页、手册、检测报告等）扫描上传至投标系统。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（十八）投标文件的盖章要求：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投标文件的盖章要求，以本文件第三章《投标资料表》中所提要求为准。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（十九）提交电子投标文件的截止时间注意事项。投标人应在招标文件要求的提交投标文件的截止时间前，将投标文件提交至“苏采云”系统。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（二十）凡在招标文件要求提交投标文件的截止时间之后提交的投标文件，均为无效投标文件，“苏采云”系统将自动拒收。各投标人应在规定时间内通过CA锁进行网上解密。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（二十二）本项目不允许分包。</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（二十三）投标人应当遵循公平竞争的原则，不得恶意串通，不得妨碍其他投标人的竞争行为，不得损害招标人或者其他投标人的合法权益。</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在评标过程中发现投标人有上述情形的，评标委员会应当认定其投标无效，并书面报告本级财政部门。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（二十四）有下列情形之一的，其投标无效。</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1.不同投标人的投标文件，由同一单位或者个人编制；</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2.不同投标人委托同一单位或者个人办理投标事宜；</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3.不同投标人的投标文件中，所载明的项目管理成员或联系人为同一人；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4.不同投标人的投标文件，异常一致或者投标报价呈规律性差异；</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.不同投标人投标文件内容存在非正常一致、项目组成员出现同一人、投标文件中错误（或异常）一致或雷同、电子文档信息一致或雷同的、投标报价呈规律性差异的；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.电子投标文件未按规定期限投标的；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.电子投标文件未按招标文件要求签章的；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.投标人未在规定时间内解密电子投标文件的；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.投标文件未按招标文件规定的内容和要求填写的；没有在投标系统指定位置上传对应文件、材料的。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eastAsia="zh-CN"/>
        </w:rPr>
        <w:t xml:space="preserve">.不具备招标文件中规定的资格要求的；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.报价超过招标文件中规定的预算金额或者最高限价的；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.投标文件含有招标人不能接受的附加条件的；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.法律、法规和招标文件规定的其他无效情形。</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（二十五）开标：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2.由电子招标投标交易平台主持，邀请投标人参加。</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所有投标单位使用 CA 证书在开标时间时，解密各自投标文件，由工作人员操作系统进行开标，投标人不足3家的，不得评标。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（二十六）公开招标采购项目开标结束后，招标人依法对投标人的资格进行审查。合格投标人不足3家的，不得评标。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1.评标工作由采购代理机构负责组织，并履行下列职责：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（1）核对评审专家身份和招标人代表授权函，对评审专家在政府采购活动中的职责履行情况予以记录，并及时将有关违法违规行为向财政部门报告；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（2）宣布评标纪律；</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（3）公布投标人名单，告知评审专家应当回避的情形；</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（4）组织评标委员会推选评标组长（招标人代表不得担任组长）；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（5）在评标期间采取必要的通讯管理措施，保证评标活动不受外界干扰；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（6）根据评标委员会的要求介绍政府采购相关政策法规、招标文件；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（7）维护评标秩序，监督评标委员会依照招标文件规定的评标程序、方法和标准进行独立评审。及时制止和纠正招标人代表、评审专家的倾向性言论或者违法违规行为；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（8）核对评标结果，对有《</w:t>
      </w:r>
      <w:r>
        <w:rPr>
          <w:rFonts w:hint="eastAsia" w:ascii="仿宋" w:hAnsi="仿宋" w:eastAsia="仿宋" w:cs="仿宋"/>
          <w:color w:val="auto"/>
          <w:sz w:val="28"/>
          <w:szCs w:val="28"/>
          <w:highlight w:val="none"/>
          <w:u w:val="none"/>
        </w:rPr>
        <w:fldChar w:fldCharType="begin"/>
      </w:r>
      <w:r>
        <w:rPr>
          <w:rFonts w:hint="eastAsia" w:ascii="仿宋" w:hAnsi="仿宋" w:eastAsia="仿宋" w:cs="仿宋"/>
          <w:color w:val="auto"/>
          <w:sz w:val="28"/>
          <w:szCs w:val="28"/>
          <w:highlight w:val="none"/>
          <w:u w:val="none"/>
        </w:rPr>
        <w:instrText xml:space="preserve"> HYPERLINK "http://www.caigou2003.com/" \o "http://www.caigou2003.com/" </w:instrText>
      </w:r>
      <w:r>
        <w:rPr>
          <w:rFonts w:hint="eastAsia" w:ascii="仿宋" w:hAnsi="仿宋" w:eastAsia="仿宋" w:cs="仿宋"/>
          <w:color w:val="auto"/>
          <w:sz w:val="28"/>
          <w:szCs w:val="28"/>
          <w:highlight w:val="none"/>
          <w:u w:val="none"/>
        </w:rPr>
        <w:fldChar w:fldCharType="separate"/>
      </w:r>
      <w:r>
        <w:rPr>
          <w:rStyle w:val="806"/>
          <w:rFonts w:hint="eastAsia" w:ascii="仿宋" w:hAnsi="仿宋" w:eastAsia="仿宋" w:cs="仿宋"/>
          <w:color w:val="auto"/>
          <w:sz w:val="28"/>
          <w:szCs w:val="28"/>
          <w:highlight w:val="none"/>
          <w:u w:val="none"/>
          <w:lang w:eastAsia="zh-CN"/>
        </w:rPr>
        <w:t xml:space="preserve">政府采购</w:t>
      </w:r>
      <w:r>
        <w:rPr>
          <w:rStyle w:val="806"/>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color w:val="auto"/>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（9）评审工作完成后，按照规定向评审专家支付劳务报酬和异地评审差旅费，不得向评审专家以外的其他人员支付评审劳务报酬；</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（10）处理与评标有关的其他事项。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招标人可以在评标前说明项目背景和采购需求，说明内容不得含有歧视性、倾向性意见，不得超出招标文件所述范围。其说明应当提交书面材料，并随采购文件一并存档。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2.评标委员会负责具体评标事务，并独立履行下列职责：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（1）审查、评价投标文件是否符合招标文件的商务、技术等实质性要求；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（2）要求投标人对投标文件有关事项作出澄清或者说明；</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（3）对投标文件进行比较和评价；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（4）确定中标候选人名单，以及根据招标人委托直接确定中标人；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（5）向招标人、采购代理机构或有关部门报告评标中发现的违法行为。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（二十七）评标方法分为最低评标价法和综合评分法。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（二十八）评标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1.评标工作程序：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（1）投标文件初审。</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①资格性审查。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②符合性审查。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（2）澄清有关问题。</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（3）比较与评价。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（4）推荐中标候选投标人名单。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（5）编写评审报告（评标报告）。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"http://lilun.caigou2003.com/recijiedu/2365668.html" \o "http://lilun.caigou2003.com/recijiedu/2365668.html" </w:instrText>
      </w:r>
      <w:r>
        <w:rPr>
          <w:rFonts w:hint="eastAsia" w:ascii="仿宋" w:hAnsi="仿宋" w:eastAsia="仿宋" w:cs="仿宋"/>
          <w:color w:val="auto"/>
          <w:sz w:val="28"/>
          <w:szCs w:val="28"/>
          <w:highlight w:val="none"/>
        </w:rPr>
        <w:fldChar w:fldCharType="separate"/>
      </w:r>
      <w:r>
        <w:rPr>
          <w:rStyle w:val="806"/>
          <w:rFonts w:hint="eastAsia" w:ascii="仿宋" w:hAnsi="仿宋" w:eastAsia="仿宋" w:cs="仿宋"/>
          <w:color w:val="auto"/>
          <w:sz w:val="28"/>
          <w:szCs w:val="28"/>
          <w:highlight w:val="none"/>
          <w:lang w:eastAsia="zh-CN"/>
        </w:rPr>
        <w:t xml:space="preserve">最低评标价法</w:t>
      </w:r>
      <w:r>
        <w:rPr>
          <w:rStyle w:val="806"/>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"http://lilun.caigou2003.com/recijiedu/2365667.html" \o "http://lilun.caigou2003.com/recijiedu/2365667.html" </w:instrText>
      </w:r>
      <w:r>
        <w:rPr>
          <w:rFonts w:hint="eastAsia" w:ascii="仿宋" w:hAnsi="仿宋" w:eastAsia="仿宋" w:cs="仿宋"/>
          <w:color w:val="auto"/>
          <w:sz w:val="28"/>
          <w:szCs w:val="28"/>
          <w:highlight w:val="none"/>
        </w:rPr>
        <w:fldChar w:fldCharType="separate"/>
      </w:r>
      <w:r>
        <w:rPr>
          <w:rStyle w:val="806"/>
          <w:rFonts w:hint="eastAsia" w:ascii="仿宋" w:hAnsi="仿宋" w:eastAsia="仿宋" w:cs="仿宋"/>
          <w:color w:val="auto"/>
          <w:sz w:val="28"/>
          <w:szCs w:val="28"/>
          <w:highlight w:val="none"/>
          <w:lang w:eastAsia="zh-CN"/>
        </w:rPr>
        <w:t xml:space="preserve">综合评分法</w:t>
      </w:r>
      <w:r>
        <w:rPr>
          <w:rStyle w:val="806"/>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非单一产品采购项目，多家投标人提供的核心产品品牌相同的，按前两款规定处理。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（二十九）投标文件报价出现前后不一致的，按照下列规定修正：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1.投标文件中开标一览表（报价表）内容与投标文件中相应内容不一致的，以开标一览表（报价表）为准；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2.大写金额和小写金额不一致的，以大写金额为准；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3.单价金额小数点或者百分比有明显错位的，以开标一览表的总价为准，并修改单价；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4.总价金额与按单价合计金额不一致的，以单价金额计算结果为准。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评标中需要投标人对投标文件澄清或者说明的，应当通过“苏采云”系统交换数据电文。在评标期间，请投标人保持在线。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评审过程中出现下列情形之一的，评审委员会应当启动异常低价投标(响应)审查程序:</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1.投标(响应)报价低于全部通过符合性审查供应商投标(响应)报价平均值50%的，即投标(响应)报价〈全部通过符合性审查供应商投标(响应)报价平均值X50%;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2.投标(响应)报价低于通过符合性审查的次低报价供应商投标(响应)报价50%的，即投标(响应)报价〈通过符合性审查的次低报价供应商投标(响应)报价X50%;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3.投标(响应)报价低于采购项目最高限价45%的，即投标(响应)报价&lt;采购项目最高限价X45%;</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4.评审委员会基于专业判断，认为供应商报价过低，有可能影响产品质量或者不能诚信履约的其他情形。</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启动异常低价投标（响应）审查后，</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应当通过“苏采云”系统要求相关供应商在合理的时间内，提供项目具体成本测算等与报价合理性相关的书面说明及相关证明材料，对投标（响应）价格作出解释，由</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应当将其作为无效投标处理。审查相关情况应当在评标报告中进行记录。</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（三十二）废标条款：</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出现下列情形之一的，应予废标。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1.符合专业条件的投标人或者对招标文件作实质响应的投标人不足三家的；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2.出现影响采购公正的违法、违规行为的；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3.投标人的报价均超过了采购预算，招标人不能支付的；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4.因重大变故，采购任务取消的。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六、定标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（三十三）采购代理机构应当在评标结束后2个工作日内将评标报告送招标人。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（三十四）招标人应当自收到评标报告之日起5个工作日内，在评标报告确定的中标候选人名单中按顺序确定中标人。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五）招标人有权对投标人投标文件的真实性进行核实，如果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七、政府采购合同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（三十六）签订政府采购合同（合同签订方式）：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1.招标人应当自中标通知书发出之日起30日内，按照招标文件和中标人投标文件的规定，与中标人签订书面合同。所签订的合同不得对招标文件确定的事项和中标人投标文件作实质性修改。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招标人不得向中标人提出任何不合理的要求作为签订合同的条件。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招标人可以按照评审报告推荐的中标或者成交候选人名单排序，确定下一个候选人为中标或者成交投标人，也可以重新开展政府采购活动。</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（三十七）招标人与中标人应当根据合同的约定依法履行合同义务。政府采购合同的履行、违约责任和解决争议的方法等，按《中华人民共和国民法典》相关条款执行。</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（三十八）履约保证金：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1.中标人应在政府采购合同签订后，向招标人提交本文件第三章《投标资料表》中规定金额的履约保证金。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2.如果中标人没有遵守本章（三十八）1 或本章（三十九） 的规定，采购代理机构有权取消该中标决定。在此情况下，招标人可以与排位在中标人之后第一位的中标候选人签订政府采购合同，以此类推。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3.中标人凭招标人出具的合同履行完毕证明材料及收款收据办理履约保证金退付手续。履约保证金在招标人处存放期间，不计利息。</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（三十九）腐败和欺诈行为：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1.采购代理机构、招标人、投标人等参与招投标的各方，均应在招标、采购、合同执行等过程中保持廉洁和最高的道德水准。</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（1）腐败和欺诈行为的含义：</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（2）如果被推荐的中标人有腐败和欺诈行为，将取消其中标资格。</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八、询问和质疑</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（四十）询问和质疑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九、电子招标投标交易平台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"http://jszfcg.jsczt.cn/" \o "http://jszfcg.jsczt.cn/" </w:instrText>
      </w:r>
      <w:r>
        <w:rPr>
          <w:rFonts w:hint="eastAsia" w:ascii="仿宋" w:hAnsi="仿宋" w:eastAsia="仿宋" w:cs="仿宋"/>
          <w:color w:val="auto"/>
          <w:sz w:val="28"/>
          <w:szCs w:val="28"/>
          <w:highlight w:val="none"/>
        </w:rPr>
        <w:fldChar w:fldCharType="separate"/>
      </w:r>
      <w:r>
        <w:rPr>
          <w:rStyle w:val="806"/>
          <w:rFonts w:hint="eastAsia" w:ascii="仿宋" w:hAnsi="仿宋" w:eastAsia="仿宋" w:cs="仿宋"/>
          <w:color w:val="auto"/>
          <w:sz w:val="28"/>
          <w:szCs w:val="28"/>
          <w:highlight w:val="none"/>
          <w:u w:val="none"/>
        </w:rPr>
        <w:t xml:space="preserve">http://jszfcg.jsczt.cn/</w:t>
      </w:r>
      <w:r>
        <w:rPr>
          <w:rStyle w:val="806"/>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jc w:val="center"/>
        <w:spacing w:after="0" w:line="40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2"/>
          <w:szCs w:val="24"/>
          <w:highlight w:val="none"/>
          <w:lang w:eastAsia="zh-CN"/>
        </w:rPr>
        <w:t xml:space="preserve">第三章  投标资料表</w:t>
      </w:r>
      <w:r/>
    </w:p>
    <w:p>
      <w:pPr>
        <w:ind w:firstLine="600"/>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tbl>
      <w:tblPr>
        <w:tblStyle w:val="8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6625"/>
      </w:tblGrid>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条款项号</w:t>
            </w:r>
            <w:r/>
          </w:p>
        </w:tc>
        <w:tc>
          <w:tcPr>
            <w:tcMar>
              <w:left w:w="108" w:type="dxa"/>
              <w:top w:w="0" w:type="dxa"/>
              <w:right w:w="108" w:type="dxa"/>
              <w:bottom w:w="0" w:type="dxa"/>
            </w:tcMar>
            <w:tcW w:w="662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内    容</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总则</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本项目招标人：江苏睢宁经济开发区管理委员会</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本次采购采用的政府采购方式：公开招标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招标人确定的采购项目属性：</w:t>
            </w:r>
            <w:r>
              <w:rPr>
                <w:rFonts w:hint="eastAsia" w:ascii="仿宋" w:hAnsi="仿宋" w:eastAsia="仿宋" w:cs="仿宋"/>
                <w:color w:val="auto"/>
                <w:sz w:val="28"/>
                <w:highlight w:val="none"/>
                <w:lang w:val="en-US" w:eastAsia="zh-CN"/>
              </w:rPr>
              <w:t xml:space="preserve">服务</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本项目采购代理机构：徐州万缘招投标代理有限公司</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(六)</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投标人的资格条件：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一、符合《中华人民共和国政府采购法》第二十二条的规定。</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w:t>
            </w:r>
            <w:r>
              <w:rPr>
                <w:rFonts w:hint="eastAsia" w:ascii="仿宋" w:hAnsi="仿宋" w:eastAsia="仿宋" w:cs="仿宋"/>
                <w:b/>
                <w:bCs/>
                <w:color w:val="auto"/>
                <w:sz w:val="28"/>
                <w:highlight w:val="none"/>
                <w:lang w:eastAsia="zh-CN"/>
              </w:rPr>
              <w:t xml:space="preserve">本项目</w:t>
            </w:r>
            <w:r>
              <w:rPr>
                <w:rFonts w:hint="eastAsia" w:ascii="仿宋" w:hAnsi="仿宋" w:eastAsia="仿宋" w:cs="仿宋"/>
                <w:b/>
                <w:bCs/>
                <w:color w:val="auto"/>
                <w:sz w:val="28"/>
                <w:highlight w:val="none"/>
                <w:lang w:val="en-US" w:eastAsia="zh-CN"/>
              </w:rPr>
              <w:t xml:space="preserve">不属于专门面向中小微企业采购的项目</w:t>
            </w:r>
            <w:r>
              <w:rPr>
                <w:rFonts w:hint="eastAsia" w:ascii="仿宋" w:hAnsi="仿宋" w:eastAsia="仿宋" w:cs="仿宋"/>
                <w:b/>
                <w:bCs/>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一、本项目不接受联合体参与采购活动。</w:t>
            </w:r>
            <w:r/>
          </w:p>
          <w:p>
            <w:pPr>
              <w:ind w:left="560" w:hanging="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二、单位负责人为同一人或者存在直接控股、管理关系的不同投标人，不得参加同一合同项下的政府采购活动。</w:t>
            </w:r>
            <w:r/>
          </w:p>
          <w:p>
            <w:pPr>
              <w:ind w:left="560" w:hanging="56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三、为本采购项目提供整体设计、规范编制或者项目管理、监理、检测等服务的投标人，不得再参加本采购项目的采购活动。</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四、查询及使用投标人信用记录：</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(一)由招标人查询信用信息。</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(二)查询渠道包括：</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06"/>
                <w:rFonts w:hint="eastAsia" w:ascii="仿宋" w:hAnsi="仿宋" w:eastAsia="仿宋" w:cs="仿宋"/>
                <w:color w:val="auto"/>
                <w:sz w:val="28"/>
                <w:highlight w:val="none"/>
                <w:u w:val="none"/>
              </w:rPr>
              <w:t xml:space="preserve">www.creditchina.gov.cn</w:t>
            </w:r>
            <w:r>
              <w:rPr>
                <w:rStyle w:val="806"/>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06"/>
                <w:rFonts w:hint="eastAsia" w:ascii="仿宋" w:hAnsi="仿宋" w:eastAsia="仿宋" w:cs="仿宋"/>
                <w:color w:val="auto"/>
                <w:sz w:val="28"/>
                <w:highlight w:val="none"/>
                <w:u w:val="none"/>
              </w:rPr>
              <w:t xml:space="preserve">www.ccgp.gov.cn</w:t>
            </w:r>
            <w:r>
              <w:rPr>
                <w:rStyle w:val="806"/>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3.“信用江苏”网（www.jscredit.gov.cn）；</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4.“信用中国（江苏徐州）”网</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Style w:val="806"/>
                <w:rFonts w:hint="eastAsia" w:ascii="仿宋" w:hAnsi="仿宋" w:eastAsia="仿宋" w:cs="仿宋"/>
                <w:color w:val="auto"/>
                <w:sz w:val="28"/>
                <w:highlight w:val="none"/>
                <w:u w:val="none"/>
              </w:rPr>
              <w:t xml:space="preserve">http://www.xuzhoucredit.gov.cn</w:t>
            </w:r>
            <w:r>
              <w:rPr>
                <w:rStyle w:val="806"/>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(三)截止时点（查询环节）：评标结束前。</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(四)信用信息查询记录和证据留存的具体方式：网页截屏打印，与其他采购文件一并保存。</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(五)信用信息的使用规则：</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招标代理服务费由</w:t>
            </w:r>
            <w:r>
              <w:rPr>
                <w:rFonts w:hint="eastAsia" w:ascii="仿宋" w:hAnsi="仿宋" w:eastAsia="仿宋" w:cs="仿宋"/>
                <w:color w:val="auto"/>
                <w:sz w:val="28"/>
                <w:highlight w:val="none"/>
                <w:lang w:eastAsia="zh-CN"/>
              </w:rPr>
              <w:t xml:space="preserve">采购人</w:t>
            </w:r>
            <w:r>
              <w:rPr>
                <w:rFonts w:hint="eastAsia" w:ascii="仿宋" w:hAnsi="仿宋" w:eastAsia="仿宋" w:cs="仿宋"/>
                <w:color w:val="auto"/>
                <w:sz w:val="28"/>
                <w:highlight w:val="none"/>
                <w:lang w:eastAsia="zh-CN"/>
              </w:rPr>
              <w:t xml:space="preserve">支付，标准见《招标代理服务收费标准》（见附件）。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5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(九)2</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投标人应根据实际需要自行联系踏勘现场，并对相关数据、要求进行确认，责任和风险自行承担。</w:t>
            </w:r>
            <w:r/>
          </w:p>
        </w:tc>
      </w:tr>
      <w:tr>
        <w:trPr>
          <w:jc w:val="center"/>
          <w:trHeight w:val="479"/>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不安排开标前答疑会。</w:t>
            </w:r>
            <w:r/>
          </w:p>
        </w:tc>
      </w:tr>
      <w:tr>
        <w:trPr>
          <w:jc w:val="center"/>
          <w:trHeight w:val="528"/>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(十一)</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投标文件的语言为中文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(十二)2</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(十三)2</w:t>
            </w:r>
            <w:r/>
          </w:p>
        </w:tc>
        <w:tc>
          <w:tcPr>
            <w:tcMar>
              <w:left w:w="108" w:type="dxa"/>
              <w:top w:w="0" w:type="dxa"/>
              <w:right w:w="108" w:type="dxa"/>
              <w:bottom w:w="0" w:type="dxa"/>
            </w:tcMar>
            <w:tcW w:w="6625" w:type="dxa"/>
            <w:vMerge w:val="restart"/>
            <w:textDirection w:val="lrTb"/>
            <w:noWrap w:val="false"/>
          </w:tcPr>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线上</w:t>
            </w:r>
            <w:r>
              <w:rPr>
                <w:rFonts w:hint="eastAsia" w:ascii="仿宋" w:hAnsi="仿宋" w:eastAsia="仿宋" w:cs="仿宋"/>
                <w:sz w:val="28"/>
                <w:szCs w:val="28"/>
                <w:highlight w:val="none"/>
              </w:rPr>
              <w:t xml:space="preserve">投标文件编制要求：</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请按照以下要求（包括但不限于以下要求）制作：</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一、基本目录</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1.《开标一览表》（电子签章，政府采购客户端工具输入报价自动生成）；</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2.投标人认为需要提供的其他材料（如有）。</w:t>
            </w:r>
            <w:r/>
          </w:p>
          <w:p>
            <w:p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二、资格条件（1-</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必须提供，否则投标无效）</w:t>
            </w:r>
            <w:r/>
          </w:p>
          <w:p>
            <w:pPr>
              <w:ind w:left="0" w:right="0" w:firstLine="520"/>
              <w:keepLines w:val="0"/>
              <w:keepNext w:val="0"/>
              <w:spacing w:before="0" w:beforeAutospacing="0" w:after="0" w:afterAutospacing="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1.</w:t>
            </w:r>
            <w:r>
              <w:rPr>
                <w:rFonts w:hint="eastAsia" w:ascii="仿宋" w:hAnsi="仿宋" w:eastAsia="仿宋" w:cs="宋体"/>
                <w:b/>
                <w:bCs/>
                <w:sz w:val="28"/>
                <w:szCs w:val="28"/>
                <w:highlight w:val="none"/>
              </w:rPr>
              <w:t xml:space="preserve">具有独立承担民事责任的能力：</w:t>
            </w:r>
            <w:r>
              <w:rPr>
                <w:rFonts w:hint="eastAsia" w:ascii="仿宋" w:hAnsi="仿宋" w:eastAsia="仿宋" w:cs="宋体"/>
                <w:bCs/>
                <w:sz w:val="28"/>
                <w:szCs w:val="28"/>
                <w:highlight w:val="none"/>
              </w:rPr>
              <w:t xml:space="preserve">提供</w:t>
            </w:r>
            <w:r>
              <w:rPr>
                <w:rFonts w:hint="eastAsia" w:ascii="仿宋" w:hAnsi="仿宋" w:eastAsia="仿宋" w:cs="仿宋"/>
                <w:sz w:val="28"/>
                <w:szCs w:val="28"/>
                <w:highlight w:val="none"/>
              </w:rPr>
              <w:t xml:space="preserve">投标人合法有效的法人或者其他组织的营业执照等证明文件，自然人的身份证明，以上证明文件提供原件的扫描件。</w:t>
            </w:r>
            <w:bookmarkStart w:id="3" w:name="OLE_LINK5"/>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w:t>
            </w:r>
            <w:r>
              <w:rPr>
                <w:rFonts w:hint="eastAsia" w:ascii="仿宋" w:hAnsi="仿宋" w:eastAsia="仿宋" w:cs="宋体"/>
                <w:b/>
                <w:bCs/>
                <w:sz w:val="28"/>
                <w:szCs w:val="28"/>
                <w:highlight w:val="none"/>
              </w:rPr>
              <w:t xml:space="preserve">具有良好的商业信誉和健全的财务会计制度：</w:t>
            </w:r>
            <w:bookmarkEnd w:id="3"/>
            <w:r/>
            <w:bookmarkStart w:id="4" w:name="OLE_LINK6"/>
            <w:r>
              <w:rPr>
                <w:rFonts w:hint="eastAsia" w:ascii="仿宋" w:hAnsi="仿宋" w:eastAsia="仿宋" w:cs="仿宋"/>
                <w:sz w:val="28"/>
                <w:szCs w:val="28"/>
                <w:highlight w:val="none"/>
              </w:rPr>
              <w:t xml:space="preserve">即提供投标人的本项目开标时间前6个月内（不含开标当月）任何时间的资产负债表、利润表</w:t>
            </w:r>
            <w:r>
              <w:rPr>
                <w:rFonts w:hint="eastAsia" w:ascii="仿宋" w:hAnsi="仿宋" w:eastAsia="仿宋" w:cs="仿宋"/>
                <w:sz w:val="28"/>
                <w:szCs w:val="28"/>
                <w:highlight w:val="none"/>
                <w:lang w:val="en-US" w:eastAsia="zh-CN"/>
              </w:rPr>
              <w:t xml:space="preserve">扫描件</w:t>
            </w:r>
            <w:r>
              <w:rPr>
                <w:rFonts w:hint="eastAsia" w:ascii="仿宋" w:hAnsi="仿宋" w:eastAsia="仿宋" w:cs="仿宋"/>
                <w:sz w:val="28"/>
                <w:szCs w:val="28"/>
                <w:highlight w:val="none"/>
              </w:rPr>
              <w:t xml:space="preserve">各一份或提供投标人</w:t>
            </w:r>
            <w:r>
              <w:rPr>
                <w:rFonts w:hint="eastAsia" w:ascii="仿宋" w:hAnsi="仿宋" w:eastAsia="仿宋" w:cs="仿宋"/>
                <w:sz w:val="28"/>
                <w:szCs w:val="28"/>
                <w:highlight w:val="none"/>
                <w:lang w:val="en-US" w:eastAsia="zh-CN"/>
              </w:rPr>
              <w:t xml:space="preserve">2025年</w:t>
            </w:r>
            <w:r>
              <w:rPr>
                <w:rFonts w:hint="eastAsia" w:ascii="仿宋" w:hAnsi="仿宋" w:eastAsia="仿宋" w:cs="仿宋"/>
                <w:sz w:val="28"/>
                <w:szCs w:val="28"/>
                <w:highlight w:val="none"/>
              </w:rPr>
              <w:t xml:space="preserve">度</w:t>
            </w:r>
            <w:r>
              <w:rPr>
                <w:rFonts w:hint="eastAsia" w:ascii="仿宋" w:hAnsi="仿宋" w:eastAsia="仿宋" w:cs="仿宋"/>
                <w:sz w:val="28"/>
                <w:szCs w:val="28"/>
                <w:highlight w:val="none"/>
                <w:lang w:val="en-US" w:eastAsia="zh-CN"/>
              </w:rPr>
              <w:t xml:space="preserve">经审计的完整的</w:t>
            </w:r>
            <w:r>
              <w:rPr>
                <w:rFonts w:hint="eastAsia" w:ascii="仿宋" w:hAnsi="仿宋" w:eastAsia="仿宋" w:cs="仿宋"/>
                <w:sz w:val="28"/>
                <w:szCs w:val="28"/>
                <w:highlight w:val="none"/>
              </w:rPr>
              <w:t xml:space="preserve">财务报告</w:t>
            </w:r>
            <w:r>
              <w:rPr>
                <w:rFonts w:hint="eastAsia" w:ascii="仿宋" w:hAnsi="仿宋" w:eastAsia="仿宋" w:cs="仿宋"/>
                <w:sz w:val="28"/>
                <w:szCs w:val="28"/>
                <w:highlight w:val="none"/>
                <w:lang w:val="en-US" w:eastAsia="zh-CN"/>
              </w:rPr>
              <w:t xml:space="preserve">扫描件一份</w:t>
            </w:r>
            <w:r>
              <w:rPr>
                <w:rFonts w:hint="eastAsia" w:ascii="仿宋" w:hAnsi="仿宋" w:eastAsia="仿宋" w:cs="仿宋"/>
                <w:sz w:val="28"/>
                <w:szCs w:val="28"/>
                <w:highlight w:val="none"/>
              </w:rPr>
              <w:t xml:space="preserve">或投标人的本项目开标时间前6个月内（不含开标当月）银行出具的资信证明扫描件</w:t>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3.</w:t>
            </w:r>
            <w:r>
              <w:rPr>
                <w:rFonts w:hint="eastAsia" w:ascii="仿宋" w:hAnsi="仿宋" w:eastAsia="仿宋" w:cs="宋体"/>
                <w:b/>
                <w:bCs/>
                <w:sz w:val="28"/>
                <w:szCs w:val="28"/>
                <w:highlight w:val="none"/>
              </w:rPr>
              <w:t xml:space="preserve">有依法缴纳税收和社会保障资金的良好记录：</w:t>
            </w:r>
            <w:bookmarkEnd w:id="4"/>
            <w:r>
              <w:rPr>
                <w:rFonts w:hint="eastAsia" w:ascii="仿宋" w:hAnsi="仿宋" w:eastAsia="仿宋" w:cs="仿宋"/>
                <w:sz w:val="28"/>
                <w:szCs w:val="28"/>
                <w:highlight w:val="none"/>
              </w:rPr>
              <w:t xml:space="preserve">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ind w:left="0" w:right="28" w:firstLine="522"/>
              <w:keepLines w:val="0"/>
              <w:keepNext w:val="0"/>
              <w:spacing w:before="0" w:beforeAutospacing="0" w:after="0" w:afterAutospacing="0"/>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b/>
                <w:bCs/>
                <w:sz w:val="28"/>
                <w:szCs w:val="28"/>
                <w:highlight w:val="none"/>
              </w:rPr>
              <w:t xml:space="preserve">4.</w:t>
            </w:r>
            <w:r>
              <w:rPr>
                <w:rFonts w:hint="eastAsia" w:ascii="仿宋" w:hAnsi="仿宋" w:eastAsia="仿宋" w:cs="宋体"/>
                <w:b/>
                <w:bCs/>
                <w:sz w:val="28"/>
                <w:szCs w:val="28"/>
                <w:highlight w:val="none"/>
              </w:rPr>
              <w:t xml:space="preserve">具备履行合同所必需的设备和专业技术能力的证明材料：</w:t>
            </w:r>
            <w:r>
              <w:rPr>
                <w:rFonts w:hint="eastAsia" w:ascii="仿宋" w:hAnsi="仿宋" w:eastAsia="仿宋" w:cs="宋体"/>
                <w:sz w:val="28"/>
                <w:szCs w:val="28"/>
                <w:highlight w:val="none"/>
              </w:rPr>
              <w:t xml:space="preserve">即投标文件中提供《具备履行合同所必需的设备和专业技术能力的书面声明（附证明材料）（加盖电子签章，格式见本文件第七章《投标文件相关格式》</w:t>
            </w:r>
            <w:r>
              <w:rPr>
                <w:rFonts w:hint="eastAsia" w:ascii="仿宋" w:hAnsi="仿宋" w:eastAsia="仿宋" w:cs="仿宋"/>
                <w:sz w:val="28"/>
                <w:szCs w:val="28"/>
                <w:highlight w:val="none"/>
              </w:rPr>
              <w:t xml:space="preserve">）；</w:t>
            </w:r>
            <w:r/>
          </w:p>
          <w:p>
            <w:pPr>
              <w:ind w:firstLine="280"/>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5</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投标人参加政府采购活动前3年内在经营活动中没有重大违法记录的书面声明，加盖</w:t>
            </w:r>
            <w:r>
              <w:rPr>
                <w:rFonts w:hint="eastAsia" w:ascii="仿宋" w:hAnsi="仿宋" w:eastAsia="仿宋" w:cs="宋体"/>
                <w:b/>
                <w:sz w:val="28"/>
                <w:szCs w:val="28"/>
                <w:highlight w:val="none"/>
              </w:rPr>
              <w:t xml:space="preserve">电子签章</w:t>
            </w:r>
            <w:r>
              <w:rPr>
                <w:rFonts w:hint="eastAsia" w:ascii="仿宋" w:hAnsi="仿宋" w:eastAsia="仿宋" w:cs="宋体"/>
                <w:sz w:val="28"/>
                <w:szCs w:val="28"/>
                <w:highlight w:val="none"/>
              </w:rPr>
              <w:t xml:space="preserve">，格式见本文件第七章《投标文件相关格式》。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三、符合条件（必须提供，否则投标无效）</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(一)报价</w:t>
            </w:r>
            <w:r/>
          </w:p>
          <w:p>
            <w:pPr>
              <w:ind w:left="0" w:right="0" w:firstLine="52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宋体"/>
                <w:bCs/>
                <w:sz w:val="26"/>
                <w:szCs w:val="26"/>
                <w:highlight w:val="none"/>
              </w:rPr>
              <w:t xml:space="preserve">1</w:t>
            </w:r>
            <w:bookmarkStart w:id="5" w:name="OLE_LINK8"/>
            <w:r>
              <w:rPr>
                <w:rFonts w:hint="eastAsia" w:ascii="仿宋" w:hAnsi="仿宋" w:eastAsia="仿宋" w:cs="宋体"/>
                <w:bCs/>
                <w:sz w:val="26"/>
                <w:szCs w:val="26"/>
                <w:highlight w:val="none"/>
                <w:lang w:eastAsia="zh-CN"/>
              </w:rPr>
              <w:t xml:space="preserve">.</w:t>
            </w:r>
            <w:r>
              <w:rPr>
                <w:rFonts w:hint="eastAsia" w:ascii="仿宋" w:hAnsi="仿宋" w:eastAsia="仿宋" w:cs="宋体"/>
                <w:bCs/>
                <w:sz w:val="26"/>
                <w:szCs w:val="26"/>
                <w:highlight w:val="none"/>
              </w:rPr>
              <w:t xml:space="preserve">《开标一览表》</w:t>
            </w:r>
            <w:bookmarkEnd w:id="5"/>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《分项价格表》（</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（二）商务资信</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《投标函》（加盖电子签章，格式见招标文件第七章《投标文件相关格式》。）；</w:t>
            </w:r>
            <w:r/>
          </w:p>
          <w:p>
            <w:pPr>
              <w:ind w:left="0" w:right="0" w:firstLine="520"/>
              <w:keepLines w:val="0"/>
              <w:keepNext w:val="0"/>
              <w:spacing w:before="0" w:beforeAutospacing="0" w:after="0" w:afterAutospacing="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《授权委托书》（加盖电子签章，格式见招标文件第七章《投标文件相关格式》）；</w:t>
            </w:r>
            <w:r>
              <w:rPr>
                <w:rFonts w:hint="eastAsia" w:ascii="仿宋" w:hAnsi="仿宋" w:eastAsia="仿宋" w:cs="仿宋"/>
                <w:b/>
                <w:bCs/>
                <w:sz w:val="28"/>
                <w:szCs w:val="28"/>
                <w:highlight w:val="none"/>
              </w:rPr>
              <w:t xml:space="preserve">（必须提供，否则在符合性审查时按照投标无效处理）</w:t>
            </w:r>
            <w:r/>
          </w:p>
          <w:p>
            <w:pPr>
              <w:ind w:left="0" w:right="0" w:firstLine="520"/>
              <w:keepLines w:val="0"/>
              <w:keepNext w:val="0"/>
              <w:spacing w:before="0" w:beforeAutospacing="0" w:after="0" w:afterAutospacing="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承诺书</w:t>
            </w:r>
            <w:r>
              <w:rPr>
                <w:rFonts w:hint="eastAsia" w:ascii="仿宋" w:hAnsi="仿宋" w:eastAsia="仿宋" w:cs="仿宋"/>
                <w:sz w:val="28"/>
                <w:szCs w:val="28"/>
                <w:highlight w:val="none"/>
              </w:rPr>
              <w:t xml:space="preserve">》（加盖电子签章，格式见招标文件第七章《投标文件相关格式》）</w:t>
            </w:r>
            <w:r>
              <w:rPr>
                <w:rFonts w:hint="eastAsia" w:ascii="仿宋" w:hAnsi="仿宋" w:eastAsia="仿宋" w:cs="仿宋"/>
                <w:sz w:val="28"/>
                <w:szCs w:val="28"/>
                <w:highlight w:val="none"/>
                <w:lang w:eastAsia="zh-CN"/>
              </w:rPr>
              <w:t xml:space="preserve">。</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（三）技术响应</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1.《偏离表》（加盖电子签章，格式见招标文件第七章《投标文件相关格式》。）</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四、综合评审评分项</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（一）技术部分</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（二）商务部分</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widowControl w:val="off"/>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五、价格折扣文件格式：</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4"/>
                <w:highlight w:val="none"/>
                <w:lang w:eastAsia="zh-CN"/>
              </w:rPr>
              <w:t xml:space="preserve">投标人如为中小企业，提供《中小企业声明函》（填写完整，加盖电子签章，格式见《第七章 投标文件相关格式》）如不填写完整，《中小企业声明函》视为无效）。《中小企业声明函》查询渠道参考工业和信息化部发布的中小企业规模自测小程序</w:t>
            </w:r>
            <w:r>
              <w:rPr>
                <w:rFonts w:hint="default" w:ascii="仿宋" w:hAnsi="仿宋" w:eastAsia="仿宋" w:cs="仿宋"/>
                <w:color w:val="000000"/>
                <w:sz w:val="28"/>
                <w:szCs w:val="24"/>
                <w:highlight w:val="none"/>
                <w:lang w:eastAsia="zh-CN"/>
              </w:rPr>
              <w:t xml:space="preserve">；</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注：中小微企业，应当同时符合以下条件：</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投标人为残疾人福利性单位的，视同小微企业，提供《残疾人福利性单位声明函》（电子签章，格式见附件》）。具体以《关于促进残疾人就业政府采购政策的通知》（财库〔2017〕141号）的规定为准。</w:t>
            </w:r>
            <w:r/>
          </w:p>
          <w:p>
            <w:pPr>
              <w:jc w:val="both"/>
              <w:spacing w:after="0" w:line="40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注：</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1.投标人应对以上文件的合法性、真实性负责。</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87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tc>
        <w:tc>
          <w:tcPr>
            <w:tcMar>
              <w:left w:w="108" w:type="dxa"/>
              <w:top w:w="0" w:type="dxa"/>
              <w:right w:w="108" w:type="dxa"/>
              <w:bottom w:w="0" w:type="dxa"/>
            </w:tcMar>
            <w:tcW w:w="6625" w:type="dxa"/>
            <w:vMerge w:val="continue"/>
            <w:textDirection w:val="lrTb"/>
            <w:noWrap w:val="false"/>
          </w:tcPr>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lang w:eastAsia="zh-CN"/>
                <w14:textFill>
                  <w14:solidFill>
                    <w14:schemeClr w14:val="tx1"/>
                  </w14:solidFill>
                </w14:textFill>
              </w:rPr>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(十四)</w:t>
            </w:r>
            <w:r/>
          </w:p>
        </w:tc>
        <w:tc>
          <w:tcPr>
            <w:tcMar>
              <w:left w:w="108" w:type="dxa"/>
              <w:top w:w="0" w:type="dxa"/>
              <w:right w:w="108" w:type="dxa"/>
              <w:bottom w:w="0" w:type="dxa"/>
            </w:tcMar>
            <w:tcW w:w="6625" w:type="dxa"/>
            <w:textDirection w:val="lrTb"/>
            <w:noWrap w:val="false"/>
          </w:tcPr>
          <w:p>
            <w:pPr>
              <w:jc w:val="both"/>
              <w:spacing w:after="0" w:line="400" w:lineRule="exact"/>
              <w:rPr>
                <w:rFonts w:hint="default" w:ascii="仿宋" w:hAnsi="仿宋" w:eastAsia="仿宋" w:cs="仿宋"/>
                <w:b/>
                <w:bCs/>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本项目不接受超过</w:t>
            </w:r>
            <w:r>
              <w:rPr>
                <w:rFonts w:hint="eastAsia" w:ascii="仿宋" w:hAnsi="仿宋" w:eastAsia="仿宋" w:cs="仿宋"/>
                <w:b/>
                <w:bCs/>
                <w:color w:val="auto"/>
                <w:sz w:val="28"/>
                <w:highlight w:val="none"/>
                <w:lang w:val="en-US" w:eastAsia="zh-CN"/>
              </w:rPr>
              <w:t xml:space="preserve">300</w:t>
            </w:r>
            <w:r>
              <w:rPr>
                <w:rFonts w:hint="eastAsia" w:ascii="仿宋" w:hAnsi="仿宋" w:eastAsia="仿宋" w:cs="仿宋"/>
                <w:b/>
                <w:bCs/>
                <w:color w:val="auto"/>
                <w:sz w:val="28"/>
                <w:highlight w:val="none"/>
                <w:lang w:eastAsia="zh-CN"/>
              </w:rPr>
              <w:t xml:space="preserve">万元（采购项目预算金额）的投标报价。</w:t>
            </w:r>
            <w:r>
              <w:rPr>
                <w:rFonts w:hint="eastAsia" w:ascii="仿宋" w:hAnsi="仿宋" w:eastAsia="仿宋" w:cs="仿宋"/>
                <w:b/>
                <w:bCs/>
                <w:color w:val="auto"/>
                <w:sz w:val="28"/>
                <w:highlight w:val="none"/>
                <w:lang w:val="en-US" w:eastAsia="zh-CN"/>
              </w:rPr>
              <w:t xml:space="preserve">服务期限3年，每年不超过100万元</w:t>
            </w:r>
            <w:r>
              <w:rPr>
                <w:rFonts w:hint="eastAsia" w:ascii="仿宋" w:hAnsi="仿宋" w:eastAsia="仿宋" w:cs="仿宋"/>
                <w:b/>
                <w:bCs/>
                <w:color w:val="auto"/>
                <w:sz w:val="28"/>
                <w:highlight w:val="none"/>
                <w:lang w:eastAsia="zh-CN"/>
              </w:rPr>
              <w:t xml:space="preserve">（采购项目预算金额）</w:t>
            </w:r>
            <w:r>
              <w:rPr>
                <w:rFonts w:hint="eastAsia" w:ascii="仿宋" w:hAnsi="仿宋" w:eastAsia="仿宋" w:cs="仿宋"/>
                <w:b/>
                <w:bCs/>
                <w:color w:val="auto"/>
                <w:sz w:val="28"/>
                <w:highlight w:val="none"/>
                <w:lang w:val="en-US" w:eastAsia="zh-CN"/>
              </w:rPr>
              <w:t xml:space="preserve">的投标报价。</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报价包括全部费用。用户不再支付报价以外的任何费用。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以人民币报价。</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投标人应当通过“苏采云”系统提交数据电文形式的投标文件（即电子投标）。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特别说明：通过“苏采云”系统提交政府采购客户端工具导出加密的投标文件（后缀名为zip）。投标文件不得超过150M！</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说明：本项目采用线上投标，即投标人投标文件从政府采购客户端工具制作通过“苏采云”系统提交，未提供线上投标文件的，投标无效。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(十八)</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线上投标文件的密封、签署、盖章要求：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一、投标文件的密封（加密）要求：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二、投标文件的签署要求：见招标文件第七章《投标文件相关格式》。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说明：投标人应</w:t>
            </w:r>
            <w:r>
              <w:rPr>
                <w:rFonts w:hint="eastAsia" w:ascii="仿宋" w:hAnsi="仿宋" w:eastAsia="仿宋" w:cs="仿宋"/>
                <w:color w:val="auto"/>
                <w:sz w:val="28"/>
                <w:highlight w:val="none"/>
                <w:lang w:val="en-US" w:eastAsia="zh-CN"/>
              </w:rPr>
              <w:t xml:space="preserve">使用</w:t>
            </w:r>
            <w:r>
              <w:rPr>
                <w:rFonts w:hint="eastAsia" w:ascii="仿宋" w:hAnsi="仿宋" w:eastAsia="仿宋" w:cs="仿宋"/>
                <w:color w:val="auto"/>
                <w:sz w:val="28"/>
                <w:highlight w:val="none"/>
                <w:lang w:eastAsia="zh-CN"/>
              </w:rPr>
              <w:t xml:space="preserve">CA数字证书以及自备的能够登录“苏采云”系统的笔记本电脑，在达到开标时间后，使用CA数字证书解密各自投标文件。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投标人未按规定加密的投标文件，“苏采云”系统应当拒收并提示。</w:t>
            </w:r>
            <w:r/>
          </w:p>
        </w:tc>
      </w:tr>
      <w:tr>
        <w:trPr>
          <w:jc w:val="center"/>
          <w:trHeight w:val="767"/>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(十九)</w:t>
            </w:r>
            <w:r/>
          </w:p>
        </w:tc>
        <w:tc>
          <w:tcPr>
            <w:tcMar>
              <w:left w:w="108" w:type="dxa"/>
              <w:top w:w="0" w:type="dxa"/>
              <w:right w:w="108" w:type="dxa"/>
              <w:bottom w:w="0" w:type="dxa"/>
            </w:tcMar>
            <w:tcW w:w="6625" w:type="dxa"/>
            <w:textDirection w:val="lrTb"/>
            <w:noWrap w:val="false"/>
          </w:tcPr>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投标文件的提交：</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1.投标文件提交时间：</w:t>
            </w:r>
            <w:r>
              <w:rPr>
                <w:rFonts w:hint="eastAsia" w:ascii="仿宋" w:hAnsi="仿宋" w:eastAsia="仿宋" w:cs="仿宋"/>
                <w:color w:val="auto"/>
                <w:sz w:val="28"/>
                <w:szCs w:val="28"/>
                <w:highlight w:val="none"/>
                <w:lang w:val="en-US" w:eastAsia="zh-CN"/>
              </w:rPr>
              <w:t xml:space="preserve">2026年07月07日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highlight w:val="none"/>
                <w:lang w:eastAsia="zh-CN"/>
              </w:rPr>
              <w:t xml:space="preserve">前。</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2.投标截止时间：</w:t>
            </w:r>
            <w:r>
              <w:rPr>
                <w:rFonts w:hint="eastAsia" w:ascii="仿宋" w:hAnsi="仿宋" w:eastAsia="仿宋" w:cs="仿宋"/>
                <w:color w:val="auto"/>
                <w:sz w:val="28"/>
                <w:szCs w:val="28"/>
                <w:highlight w:val="none"/>
                <w:lang w:val="en-US" w:eastAsia="zh-CN"/>
              </w:rPr>
              <w:t xml:space="preserve">2026年07月07日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开标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w:t>
            </w:r>
            <w:r/>
          </w:p>
        </w:tc>
        <w:tc>
          <w:tcPr>
            <w:tcMar>
              <w:left w:w="108" w:type="dxa"/>
              <w:top w:w="0" w:type="dxa"/>
              <w:right w:w="108" w:type="dxa"/>
              <w:bottom w:w="0" w:type="dxa"/>
            </w:tcMar>
            <w:tcW w:w="6625" w:type="dxa"/>
            <w:textDirection w:val="lrTb"/>
            <w:noWrap w:val="false"/>
          </w:tcPr>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开标时间及地点：</w:t>
            </w:r>
            <w:r/>
          </w:p>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1.开标时间：</w:t>
            </w:r>
            <w:r>
              <w:rPr>
                <w:rFonts w:hint="eastAsia" w:ascii="仿宋" w:hAnsi="仿宋" w:eastAsia="仿宋" w:cs="仿宋"/>
                <w:color w:val="auto"/>
                <w:sz w:val="28"/>
                <w:szCs w:val="28"/>
                <w:highlight w:val="none"/>
                <w:lang w:val="en-US" w:eastAsia="zh-CN"/>
              </w:rPr>
              <w:t xml:space="preserve">2026年07月07日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30"/>
                <w:highlight w:val="none"/>
                <w:lang w:eastAsia="zh-CN"/>
              </w:rPr>
              <w:t xml:space="preserve">  </w:t>
            </w:r>
            <w:r>
              <w:rPr>
                <w:rFonts w:hint="eastAsia" w:ascii="仿宋" w:hAnsi="仿宋" w:eastAsia="仿宋" w:cs="仿宋"/>
                <w:color w:val="auto"/>
                <w:sz w:val="28"/>
                <w:highlight w:val="none"/>
                <w:lang w:eastAsia="zh-CN"/>
              </w:rPr>
              <w:t xml:space="preserve">（标准时间）</w:t>
            </w:r>
            <w:r/>
          </w:p>
          <w:p>
            <w:pPr>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2.开标地点：“苏采云”系统（网址： http://jszfcg.jsczt.cn/）“开标大厅”或进入徐州政府采购网（网址：https://czj.xz.gov.cn/zfcg/）--业务工作--用户登录，点击“苏采云”进入系统“开标大厅”。</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评标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采用综合评分法。</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(二十八)1（4）</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评委推荐中标候选投标人数量为</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3名。中标候选投标人数量应当根据采购需要确定，但必须按顺序排列中标候选投标人。</w:t>
            </w:r>
            <w:r/>
          </w:p>
          <w:p>
            <w:pPr>
              <w:jc w:val="both"/>
              <w:spacing w:after="0" w:line="400" w:lineRule="exac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采用综合评分法的，按评审后得分由高到低顺序排列。得分相同的，按投标报价由低到高顺序排列。得分且投标报价相同的，按技术服务方案得分顺序排列。</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（二十九）</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1.评标中需要投标人对投标文件澄清或者说明的，应当通过“苏采云”系统交换数据电文。在评标期间，请投标人保持在线。</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政府采购合同</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(三十</w:t>
            </w:r>
            <w:r>
              <w:rPr>
                <w:rFonts w:hint="eastAsia" w:ascii="仿宋" w:hAnsi="仿宋" w:eastAsia="仿宋" w:cs="仿宋"/>
                <w:color w:val="auto"/>
                <w:sz w:val="28"/>
                <w:highlight w:val="none"/>
                <w:lang w:eastAsia="zh-CN"/>
              </w:rPr>
              <w:t xml:space="preserve">六</w:t>
            </w:r>
            <w:r>
              <w:rPr>
                <w:rFonts w:hint="eastAsia" w:ascii="仿宋" w:hAnsi="仿宋" w:eastAsia="仿宋" w:cs="仿宋"/>
                <w:color w:val="auto"/>
                <w:sz w:val="28"/>
                <w:highlight w:val="none"/>
              </w:rPr>
              <w:t xml:space="preserve">)1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招标人与中标、成交投标人应当在中标、成交通知书发出之日起30日内，按照采购文件确定的事项签订政府采购合同。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665" w:type="dxa"/>
            <w:textDirection w:val="lrTb"/>
            <w:noWrap w:val="false"/>
          </w:tcPr>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（三十八）</w:t>
            </w:r>
            <w:r/>
          </w:p>
        </w:tc>
        <w:tc>
          <w:tcPr>
            <w:tcMar>
              <w:left w:w="108" w:type="dxa"/>
              <w:top w:w="0" w:type="dxa"/>
              <w:right w:w="108" w:type="dxa"/>
              <w:bottom w:w="0" w:type="dxa"/>
            </w:tcMar>
            <w:tcW w:w="6625" w:type="dxa"/>
            <w:textDirection w:val="lrTb"/>
            <w:noWrap w:val="false"/>
          </w:tcPr>
          <w:p>
            <w:pPr>
              <w:ind w:left="0" w:right="0"/>
              <w:keepLines w:val="0"/>
              <w:keepNext w:val="0"/>
              <w:spacing w:before="0" w:beforeAutospacing="0" w:after="0" w:afterAutospacing="0" w:line="400" w:lineRule="exact"/>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履约保证金：</w:t>
            </w:r>
            <w:r/>
          </w:p>
          <w:p>
            <w:pPr>
              <w:ind w:left="0" w:right="0" w:firstLine="560"/>
              <w:keepLines w:val="0"/>
              <w:keepNext w:val="0"/>
              <w:spacing w:before="0" w:beforeAutospacing="0" w:after="0" w:afterAutospacing="0" w:line="40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履约保证金金额为中标金额的百分之五（5%）</w:t>
            </w:r>
            <w:r/>
          </w:p>
          <w:p>
            <w:pPr>
              <w:jc w:val="both"/>
              <w:spacing w:after="0" w:line="400" w:lineRule="exact"/>
              <w:rPr>
                <w:rFonts w:hint="default" w:ascii="仿宋" w:hAnsi="仿宋" w:eastAsia="仿宋" w:cs="仿宋"/>
                <w:color w:val="auto"/>
                <w:sz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中标人应在政府采购合同签订后</w:t>
            </w:r>
            <w:r>
              <w:rPr>
                <w:rFonts w:hint="eastAsia" w:ascii="仿宋" w:hAnsi="仿宋" w:eastAsia="仿宋" w:cs="仿宋"/>
                <w:color w:val="000000"/>
                <w:sz w:val="28"/>
                <w:szCs w:val="28"/>
                <w:highlight w:val="none"/>
                <w:lang w:val="en-US" w:eastAsia="zh-CN"/>
              </w:rPr>
              <w:t xml:space="preserve">5日内向采购人足额提交履约保证金，否则采购人可以取消其中标资格。</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二、投标人在法定质疑期内一次性提出针对同一采购程序环节的质疑。</w:t>
            </w:r>
            <w:r/>
          </w:p>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质疑接收人：江怀兵;</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联系电话：15862107662;</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办公地址：徐州高新技术产业开发区牛山路20号院内4号楼615室。</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附加说明</w:t>
            </w:r>
            <w:r/>
          </w:p>
        </w:tc>
        <w:tc>
          <w:tcPr>
            <w:tcMar>
              <w:left w:w="108" w:type="dxa"/>
              <w:top w:w="0" w:type="dxa"/>
              <w:right w:w="108" w:type="dxa"/>
              <w:bottom w:w="0" w:type="dxa"/>
            </w:tcMar>
            <w:tcW w:w="6625" w:type="dxa"/>
            <w:textDirection w:val="lrTb"/>
            <w:noWrap w:val="false"/>
          </w:tcPr>
          <w:p>
            <w:pPr>
              <w:jc w:val="both"/>
              <w:spacing w:after="0" w:line="400" w:lineRule="exact"/>
              <w:rPr>
                <w:rFonts w:hint="default" w:ascii="仿宋" w:hAnsi="仿宋" w:eastAsia="仿宋" w:cs="仿宋"/>
                <w:color w:val="auto"/>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中标人在收到中标通知书时，须向采购代理机构</w:t>
            </w:r>
            <w:r>
              <w:rPr>
                <w:rFonts w:hint="eastAsia" w:ascii="仿宋" w:hAnsi="仿宋" w:eastAsia="仿宋" w:cs="仿宋"/>
                <w:color w:val="auto"/>
                <w:sz w:val="28"/>
                <w:highlight w:val="none"/>
                <w:lang w:val="en-US" w:eastAsia="zh-CN"/>
              </w:rPr>
              <w:t xml:space="preserve">提交</w:t>
            </w:r>
            <w:r>
              <w:rPr>
                <w:rFonts w:hint="eastAsia" w:ascii="仿宋" w:hAnsi="仿宋" w:eastAsia="仿宋" w:cs="仿宋"/>
                <w:color w:val="auto"/>
                <w:sz w:val="28"/>
                <w:highlight w:val="none"/>
                <w:lang w:eastAsia="zh-CN"/>
              </w:rPr>
              <w:t xml:space="preserve">投标文件纸质版</w:t>
            </w:r>
            <w:r>
              <w:rPr>
                <w:rFonts w:hint="eastAsia" w:ascii="仿宋" w:hAnsi="仿宋" w:eastAsia="仿宋" w:cs="仿宋"/>
                <w:color w:val="auto"/>
                <w:sz w:val="28"/>
                <w:highlight w:val="none"/>
                <w:lang w:val="en-US" w:eastAsia="zh-CN"/>
              </w:rPr>
              <w:t xml:space="preserve">三</w:t>
            </w:r>
            <w:r>
              <w:rPr>
                <w:rFonts w:hint="eastAsia" w:ascii="仿宋" w:hAnsi="仿宋" w:eastAsia="仿宋" w:cs="仿宋"/>
                <w:color w:val="auto"/>
                <w:sz w:val="28"/>
                <w:highlight w:val="none"/>
                <w:lang w:eastAsia="zh-CN"/>
              </w:rPr>
              <w:t xml:space="preserve">份（</w:t>
            </w:r>
            <w:r>
              <w:rPr>
                <w:rFonts w:hint="eastAsia" w:ascii="仿宋" w:hAnsi="仿宋" w:eastAsia="仿宋" w:cs="仿宋"/>
                <w:color w:val="auto"/>
                <w:sz w:val="28"/>
                <w:highlight w:val="none"/>
                <w:lang w:val="en-US" w:eastAsia="zh-CN"/>
              </w:rPr>
              <w:t xml:space="preserve">1正，1副）</w:t>
            </w:r>
            <w:r>
              <w:rPr>
                <w:rFonts w:hint="eastAsia" w:ascii="仿宋" w:hAnsi="仿宋" w:eastAsia="仿宋" w:cs="仿宋"/>
                <w:sz w:val="28"/>
                <w:szCs w:val="28"/>
                <w:highlight w:val="none"/>
                <w:lang w:val="en-US" w:eastAsia="zh-CN"/>
              </w:rPr>
              <w:t xml:space="preserve">并附电子版U盘（粘贴公司字样）</w:t>
            </w:r>
            <w:r>
              <w:rPr>
                <w:rFonts w:hint="eastAsia" w:ascii="仿宋" w:hAnsi="仿宋" w:eastAsia="仿宋" w:cs="仿宋"/>
                <w:color w:val="auto"/>
                <w:sz w:val="28"/>
                <w:highlight w:val="none"/>
                <w:lang w:eastAsia="zh-CN"/>
              </w:rPr>
              <w:t xml:space="preserve">。</w:t>
            </w:r>
            <w:r/>
          </w:p>
        </w:tc>
      </w:tr>
    </w:tbl>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rPr>
          <w:rFonts w:hint="eastAsia" w:ascii="仿宋" w:hAnsi="仿宋" w:eastAsia="仿宋" w:cs="仿宋"/>
          <w:color w:val="auto"/>
          <w:sz w:val="28"/>
          <w:szCs w:val="28"/>
          <w:highlight w:val="none"/>
          <w:lang w:eastAsia="zh-CN"/>
        </w:rPr>
        <w:t xml:space="preserve">徐州市政府采购业务代理服务费行业指导价格标准</w:t>
      </w:r>
      <w:r/>
    </w:p>
    <w:tbl>
      <w:tblPr>
        <w:tblStyle w:val="755"/>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4"/>
        <w:gridCol w:w="2508"/>
      </w:tblGrid>
      <w:tr>
        <w:trPr>
          <w:tblCellSpacing w:w="0" w:type="dxa"/>
          <w:trHeight w:val="717"/>
        </w:trPr>
        <w:tc>
          <w:tcPr>
            <w:shd w:val="clear" w:color="auto" w:fill="auto"/>
            <w:tcW w:w="6270" w:type="dxa"/>
            <w:vAlign w:val="center"/>
            <w:textDirection w:val="lrTb"/>
            <w:noWrap w:val="false"/>
          </w:tcPr>
          <w:p>
            <w:pPr>
              <w:pStyle w:val="799"/>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中标或者成交金额</w:t>
            </w:r>
            <w:r/>
          </w:p>
        </w:tc>
        <w:tc>
          <w:tcPr>
            <w:shd w:val="clear" w:color="auto" w:fill="auto"/>
            <w:tcW w:w="2580" w:type="dxa"/>
            <w:vAlign w:val="center"/>
            <w:textDirection w:val="lrTb"/>
            <w:noWrap w:val="false"/>
          </w:tcPr>
          <w:p>
            <w:pPr>
              <w:pStyle w:val="799"/>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799"/>
              <w:spacing w:before="15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最低收费金额(每个委托项目)</w:t>
            </w:r>
            <w:r/>
          </w:p>
        </w:tc>
        <w:tc>
          <w:tcPr>
            <w:shd w:val="clear" w:color="auto" w:fill="auto"/>
            <w:tcW w:w="2580" w:type="dxa"/>
            <w:vAlign w:val="center"/>
            <w:textDirection w:val="lrTb"/>
            <w:noWrap w:val="false"/>
          </w:tcPr>
          <w:p>
            <w:pPr>
              <w:pStyle w:val="799"/>
              <w:jc w:val="center"/>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799"/>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50万元以下(含50万元)</w:t>
            </w:r>
            <w:r/>
          </w:p>
        </w:tc>
        <w:tc>
          <w:tcPr>
            <w:shd w:val="clear" w:color="auto" w:fill="auto"/>
            <w:tcW w:w="2580" w:type="dxa"/>
            <w:vAlign w:val="center"/>
            <w:textDirection w:val="lrTb"/>
            <w:noWrap w:val="false"/>
          </w:tcPr>
          <w:p>
            <w:pPr>
              <w:pStyle w:val="799"/>
              <w:jc w:val="center"/>
              <w:spacing w:before="236"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799"/>
              <w:spacing w:before="156"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50-400万元(含400万元)</w:t>
            </w:r>
            <w:r/>
          </w:p>
        </w:tc>
        <w:tc>
          <w:tcPr>
            <w:shd w:val="clear" w:color="auto" w:fill="auto"/>
            <w:tcW w:w="2580" w:type="dxa"/>
            <w:vAlign w:val="center"/>
            <w:textDirection w:val="lrTb"/>
            <w:noWrap w:val="false"/>
          </w:tcPr>
          <w:p>
            <w:pPr>
              <w:pStyle w:val="799"/>
              <w:jc w:val="center"/>
              <w:spacing w:before="237"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799"/>
              <w:spacing w:before="167"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400-1000万元(含1000万元)</w:t>
            </w:r>
            <w:r/>
          </w:p>
        </w:tc>
        <w:tc>
          <w:tcPr>
            <w:shd w:val="clear" w:color="auto" w:fill="auto"/>
            <w:tcW w:w="2580" w:type="dxa"/>
            <w:vAlign w:val="center"/>
            <w:textDirection w:val="lrTb"/>
            <w:noWrap w:val="false"/>
          </w:tcPr>
          <w:p>
            <w:pPr>
              <w:pStyle w:val="799"/>
              <w:jc w:val="center"/>
              <w:spacing w:before="248"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r>
      <w:tr>
        <w:trPr>
          <w:tblCellSpacing w:w="0" w:type="dxa"/>
          <w:trHeight w:val="90"/>
        </w:trPr>
        <w:tc>
          <w:tcPr>
            <w:shd w:val="clear" w:color="auto" w:fill="auto"/>
            <w:tcW w:w="6270" w:type="dxa"/>
            <w:vAlign w:val="center"/>
            <w:textDirection w:val="lrTb"/>
            <w:noWrap w:val="false"/>
          </w:tcPr>
          <w:p>
            <w:pPr>
              <w:pStyle w:val="799"/>
              <w:spacing w:before="158"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1000-5000万元(含5000万元)</w:t>
            </w:r>
            <w:r/>
          </w:p>
        </w:tc>
        <w:tc>
          <w:tcPr>
            <w:shd w:val="clear" w:color="auto" w:fill="auto"/>
            <w:tcW w:w="2580" w:type="dxa"/>
            <w:vAlign w:val="center"/>
            <w:textDirection w:val="lrTb"/>
            <w:noWrap w:val="false"/>
          </w:tcPr>
          <w:p>
            <w:pPr>
              <w:pStyle w:val="799"/>
              <w:jc w:val="center"/>
              <w:spacing w:before="240"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799"/>
              <w:spacing w:before="159"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5000-1亿元(含1亿元)</w:t>
            </w:r>
            <w:r/>
          </w:p>
        </w:tc>
        <w:tc>
          <w:tcPr>
            <w:shd w:val="clear" w:color="auto" w:fill="auto"/>
            <w:tcW w:w="2580" w:type="dxa"/>
            <w:vAlign w:val="center"/>
            <w:textDirection w:val="lrTb"/>
            <w:noWrap w:val="false"/>
          </w:tcPr>
          <w:p>
            <w:pPr>
              <w:pStyle w:val="799"/>
              <w:jc w:val="center"/>
              <w:spacing w:before="241"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799"/>
              <w:spacing w:before="170"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1-10亿元(含10亿元)</w:t>
            </w:r>
            <w:r/>
          </w:p>
        </w:tc>
        <w:tc>
          <w:tcPr>
            <w:shd w:val="clear" w:color="auto" w:fill="auto"/>
            <w:tcW w:w="2580" w:type="dxa"/>
            <w:vAlign w:val="center"/>
            <w:textDirection w:val="lrTb"/>
            <w:noWrap w:val="false"/>
          </w:tcPr>
          <w:p>
            <w:pPr>
              <w:pStyle w:val="799"/>
              <w:jc w:val="center"/>
              <w:spacing w:before="252"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799"/>
              <w:spacing w:before="162"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10-50亿元(含50亿元)</w:t>
            </w:r>
            <w:r/>
          </w:p>
        </w:tc>
        <w:tc>
          <w:tcPr>
            <w:shd w:val="clear" w:color="auto" w:fill="auto"/>
            <w:tcW w:w="2580" w:type="dxa"/>
            <w:vAlign w:val="center"/>
            <w:textDirection w:val="lrTb"/>
            <w:noWrap w:val="false"/>
          </w:tcPr>
          <w:p>
            <w:pPr>
              <w:pStyle w:val="799"/>
              <w:jc w:val="center"/>
              <w:spacing w:before="243"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799"/>
              <w:spacing w:before="16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50亿元以上</w:t>
            </w:r>
            <w:r/>
          </w:p>
        </w:tc>
        <w:tc>
          <w:tcPr>
            <w:shd w:val="clear" w:color="auto" w:fill="auto"/>
            <w:tcW w:w="2580" w:type="dxa"/>
            <w:vAlign w:val="center"/>
            <w:textDirection w:val="lrTb"/>
            <w:noWrap w:val="false"/>
          </w:tcPr>
          <w:p>
            <w:pPr>
              <w:pStyle w:val="799"/>
              <w:jc w:val="center"/>
              <w:spacing w:before="245"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0.005%</w:t>
            </w:r>
            <w:r/>
          </w:p>
        </w:tc>
      </w:tr>
    </w:tbl>
    <w:p>
      <w:pPr>
        <w:pStyle w:val="799"/>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799"/>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pStyle w:val="799"/>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1.按上表计算的收费为代理服务全过程的收费金额。各社会代理机构不再收取采购文件制作售卖费用。</w:t>
      </w:r>
      <w:r/>
    </w:p>
    <w:p>
      <w:pPr>
        <w:pStyle w:val="799"/>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2.代理服务费按差额定率累进法计算。</w:t>
      </w:r>
      <w:r/>
    </w:p>
    <w:p>
      <w:pPr>
        <w:pStyle w:val="799"/>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3.代理服务费基准金额（按差额定率累进法计算的）=中标金额（按差额定率累进法计算的） * 费率（%）。</w:t>
      </w:r>
      <w:r/>
    </w:p>
    <w:p>
      <w:pPr>
        <w:pStyle w:val="799"/>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4.代理服务费应收取金额=代理服务费基准金额（按差额定率累进法计算的）的合计数*1%。</w:t>
      </w:r>
      <w:r/>
    </w:p>
    <w:p>
      <w:pPr>
        <w:pStyle w:val="799"/>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5.定点类等无金额或事先不能计算出价格总额的项目，按中标（成交）金额100万元计算。</w:t>
      </w:r>
      <w:r/>
    </w:p>
    <w:p>
      <w:pPr>
        <w:pStyle w:val="799"/>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6.有分包（分标段）的按一个项目计算。</w:t>
      </w:r>
      <w:r/>
    </w:p>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30"/>
          <w:highlight w:val="none"/>
        </w:rPr>
        <w:t xml:space="preserve">第四章 评标标准</w:t>
      </w:r>
      <w:r/>
    </w:p>
    <w:p>
      <w:pPr>
        <w:spacing w:after="0"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本章说明：本项目采用综合评分法。投标报价得分保留两位小数。</w:t>
      </w:r>
      <w:r/>
    </w:p>
    <w:tbl>
      <w:tblPr>
        <w:tblStyle w:val="755"/>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7516"/>
      </w:tblGrid>
      <w:tr>
        <w:trPr>
          <w:jc w:val="center"/>
          <w:trHeight w:val="537"/>
        </w:trPr>
        <w:tc>
          <w:tcPr>
            <w:tcW w:w="1566" w:type="dxa"/>
            <w:vAlign w:val="center"/>
            <w:textDirection w:val="lrTb"/>
            <w:noWrap w:val="false"/>
          </w:tcPr>
          <w:p>
            <w:pPr>
              <w:jc w:val="center"/>
              <w:spacing w:after="0" w:line="24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评审项目</w:t>
            </w:r>
            <w:r/>
          </w:p>
        </w:tc>
        <w:tc>
          <w:tcPr>
            <w:tcW w:w="7516" w:type="dxa"/>
            <w:vAlign w:val="center"/>
            <w:textDirection w:val="lrTb"/>
            <w:noWrap w:val="false"/>
          </w:tcPr>
          <w:p>
            <w:pPr>
              <w:jc w:val="center"/>
              <w:spacing w:after="0" w:line="24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评  分  依  据</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价格（</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lang w:eastAsia="zh-CN"/>
              </w:rPr>
              <w:t xml:space="preserve">分）</w:t>
            </w:r>
            <w:r/>
          </w:p>
        </w:tc>
        <w:tc>
          <w:tcPr>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采用低价优先法计算，即满足招标文件要求且投标人评审价格最低的投标报价为评标基准价，其价格得分为满分。</w:t>
            </w:r>
            <w:r/>
          </w:p>
          <w:p>
            <w:pPr>
              <w:jc w:val="both"/>
              <w:spacing w:after="0"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各投标人价格得分=最低报价（投标人的最低评审价格）÷各投标人评审价格×1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 。</w:t>
            </w:r>
            <w:r/>
          </w:p>
          <w:p>
            <w:pPr>
              <w:pStyle w:val="809"/>
              <w:ind w:left="0" w:firstLine="0"/>
              <w:spacing w:after="0" w:line="240" w:lineRule="auto"/>
              <w:rPr>
                <w:rFonts w:hint="eastAsia"/>
                <w:highlight w:val="none"/>
              </w:rPr>
            </w:pPr>
            <w:r>
              <w:rPr>
                <w:rFonts w:hint="eastAsia" w:ascii="仿宋" w:hAnsi="仿宋" w:eastAsia="仿宋" w:cs="仿宋"/>
                <w:sz w:val="24"/>
                <w:szCs w:val="24"/>
                <w:highlight w:val="none"/>
                <w:lang w:val="en-US" w:eastAsia="zh-CN" w:bidi="ar-SA"/>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p>
        </w:tc>
      </w:tr>
      <w:tr>
        <w:trPr>
          <w:jc w:val="center"/>
        </w:trPr>
        <w:tc>
          <w:tcPr>
            <w:gridSpan w:val="2"/>
            <w:tcW w:w="9082" w:type="dxa"/>
            <w:vAlign w:val="center"/>
            <w:textDirection w:val="lrTb"/>
            <w:noWrap w:val="false"/>
          </w:tcPr>
          <w:p>
            <w:pPr>
              <w:jc w:val="center"/>
              <w:spacing w:after="0"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商务部分</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投标人业绩（4分）</w:t>
            </w:r>
            <w:r/>
          </w:p>
        </w:tc>
        <w:tc>
          <w:tcPr>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1、自2023年1月1日（合同签订时间为准）以来投标人具有类似环境空气质量相关运维服务项目业绩的，提供1项得2分，</w:t>
            </w:r>
            <w:r>
              <w:rPr>
                <w:rFonts w:hint="eastAsia" w:ascii="仿宋" w:hAnsi="仿宋" w:eastAsia="仿宋" w:cs="仿宋"/>
                <w:sz w:val="24"/>
                <w:szCs w:val="24"/>
                <w:highlight w:val="none"/>
                <w:lang w:val="en-US" w:eastAsia="zh-CN"/>
              </w:rPr>
              <w:t xml:space="preserve">本项最多得2分，</w:t>
            </w:r>
            <w:r>
              <w:rPr>
                <w:rFonts w:hint="eastAsia" w:ascii="仿宋" w:hAnsi="仿宋" w:eastAsia="仿宋" w:cs="仿宋"/>
                <w:sz w:val="24"/>
                <w:szCs w:val="24"/>
                <w:highlight w:val="none"/>
                <w:lang w:eastAsia="zh-CN"/>
              </w:rPr>
              <w:t xml:space="preserve">不提供不得分；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2、自2023年1月1日（合同签订时间为准）以来投标人具有类似地表水水质自动监测相关运行维护项目（污染源除外）的业绩，提供1项得2分,</w:t>
            </w:r>
            <w:r>
              <w:rPr>
                <w:rFonts w:hint="eastAsia" w:ascii="仿宋" w:hAnsi="仿宋" w:eastAsia="仿宋" w:cs="仿宋"/>
                <w:sz w:val="24"/>
                <w:szCs w:val="24"/>
                <w:highlight w:val="none"/>
                <w:lang w:val="en-US" w:eastAsia="zh-CN"/>
              </w:rPr>
              <w:t xml:space="preserve">本项最多得2分，</w:t>
            </w:r>
            <w:r>
              <w:rPr>
                <w:rFonts w:hint="eastAsia" w:ascii="仿宋" w:hAnsi="仿宋" w:eastAsia="仿宋" w:cs="仿宋"/>
                <w:sz w:val="24"/>
                <w:szCs w:val="24"/>
                <w:highlight w:val="none"/>
                <w:lang w:eastAsia="zh-CN"/>
              </w:rPr>
              <w:t xml:space="preserve">不提供不得分。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注：业绩证明材料以提供中标通知书（或成交通知书）</w:t>
            </w:r>
            <w:r>
              <w:rPr>
                <w:rFonts w:hint="eastAsia" w:ascii="仿宋" w:hAnsi="仿宋" w:eastAsia="仿宋" w:cs="仿宋"/>
                <w:sz w:val="24"/>
                <w:szCs w:val="24"/>
                <w:highlight w:val="none"/>
                <w:lang w:val="en-US" w:eastAsia="zh-CN"/>
              </w:rPr>
              <w:t xml:space="preserve">及</w:t>
            </w:r>
            <w:r>
              <w:rPr>
                <w:rFonts w:hint="eastAsia" w:ascii="仿宋" w:hAnsi="仿宋" w:eastAsia="仿宋" w:cs="仿宋"/>
                <w:sz w:val="24"/>
                <w:szCs w:val="24"/>
                <w:highlight w:val="none"/>
                <w:lang w:eastAsia="zh-CN"/>
              </w:rPr>
              <w:t xml:space="preserve">合同</w:t>
            </w:r>
            <w:r>
              <w:rPr>
                <w:rFonts w:hint="eastAsia" w:ascii="仿宋" w:hAnsi="仿宋" w:eastAsia="仿宋" w:cs="仿宋"/>
                <w:sz w:val="24"/>
                <w:szCs w:val="24"/>
                <w:highlight w:val="none"/>
                <w:lang w:val="en-US" w:eastAsia="zh-CN"/>
              </w:rPr>
              <w:t xml:space="preserve">原件</w:t>
            </w:r>
            <w:r>
              <w:rPr>
                <w:rFonts w:hint="eastAsia" w:ascii="仿宋" w:hAnsi="仿宋" w:eastAsia="仿宋" w:cs="仿宋"/>
                <w:sz w:val="24"/>
                <w:szCs w:val="24"/>
                <w:highlight w:val="none"/>
                <w:lang w:eastAsia="zh-CN"/>
              </w:rPr>
              <w:t xml:space="preserve">的扫描件</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（需加盖供应商电子签章）为准。</w:t>
            </w:r>
            <w:r/>
          </w:p>
        </w:tc>
      </w:tr>
      <w:tr>
        <w:trPr>
          <w:jc w:val="center"/>
          <w:trHeight w:val="90"/>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企业能力评价（4分）</w:t>
            </w:r>
            <w:r/>
          </w:p>
        </w:tc>
        <w:tc>
          <w:tcPr>
            <w:tcW w:w="7516" w:type="dxa"/>
            <w:vAlign w:val="top"/>
            <w:textDirection w:val="lrTb"/>
            <w:noWrap w:val="false"/>
          </w:tcPr>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投标人具备有效期内的环境服务认证证书，按以下标准计分，本项累计最高得4分：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1、地表水水质自动监测站运营服务认证（最高2分）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具备一级认证证书得2分；具备二级认证证书得1分；其他不得分。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2、环境空气连续自动监测系统运营服务认证（最高2分）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具备一级认证证书得2分；具备二级认证证书得1分；其他不得分。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（须提供证书扫描件及官方网站平台截图加盖投标人公章）</w:t>
            </w:r>
            <w:r/>
          </w:p>
        </w:tc>
      </w:tr>
      <w:tr>
        <w:trPr>
          <w:jc w:val="center"/>
          <w:trHeight w:val="90"/>
        </w:trPr>
        <w:tc>
          <w:tcPr>
            <w:gridSpan w:val="2"/>
            <w:tcW w:w="9082" w:type="dxa"/>
            <w:vAlign w:val="center"/>
            <w:textDirection w:val="lrTb"/>
            <w:noWrap w:val="false"/>
          </w:tcPr>
          <w:p>
            <w:pPr>
              <w:jc w:val="center"/>
              <w:spacing w:after="0"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技术部分</w:t>
            </w:r>
            <w:r/>
          </w:p>
        </w:tc>
      </w:tr>
      <w:tr>
        <w:trPr>
          <w:jc w:val="center"/>
          <w:trHeight w:val="90"/>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本地化服务保障（2分）</w:t>
            </w:r>
            <w:r/>
          </w:p>
        </w:tc>
        <w:tc>
          <w:tcPr>
            <w:tcW w:w="7516" w:type="dxa"/>
            <w:vAlign w:val="top"/>
            <w:textDirection w:val="lrTb"/>
            <w:noWrap w:val="false"/>
          </w:tcPr>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投标人书面承诺：中标后在当地设立固定服务点位，配齐专职运维人员、作业车辆及办公场地，建立 7×24 小时全天候应急响应服务机制的，得2分；未提供承诺或承诺内容不全的，不得分。</w:t>
            </w:r>
            <w:r/>
          </w:p>
          <w:p>
            <w:pPr>
              <w:jc w:val="both"/>
              <w:spacing w:after="0" w:line="240" w:lineRule="auto"/>
              <w:widowControl w:val="off"/>
              <w:rPr>
                <w:rFonts w:ascii="仿宋" w:hAnsi="仿宋" w:eastAsia="仿宋" w:cs="仿宋"/>
                <w:b/>
                <w:bCs/>
                <w:sz w:val="24"/>
                <w:szCs w:val="24"/>
                <w:highlight w:val="none"/>
                <w:lang w:val="en-US" w:eastAsia="zh-CN"/>
              </w:rPr>
            </w:pPr>
            <w:r>
              <w:rPr>
                <w:rFonts w:hint="eastAsia" w:ascii="仿宋" w:hAnsi="仿宋" w:eastAsia="仿宋" w:cs="仿宋"/>
                <w:sz w:val="24"/>
                <w:szCs w:val="24"/>
                <w:highlight w:val="none"/>
                <w:lang w:val="en-US" w:eastAsia="zh-CN"/>
              </w:rPr>
              <w:t xml:space="preserve">（提供加盖投标人公章的书面承诺函）</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8"/>
                <w:highlight w:val="none"/>
                <w:lang w:val="en-US" w:eastAsia="zh-CN"/>
              </w:rPr>
            </w:pPr>
            <w:r>
              <w:rPr>
                <w:rFonts w:hint="eastAsia" w:ascii="仿宋" w:hAnsi="仿宋" w:eastAsia="仿宋" w:cs="仿宋"/>
                <w:sz w:val="24"/>
                <w:szCs w:val="28"/>
                <w:highlight w:val="none"/>
                <w:lang w:val="en-US" w:eastAsia="zh-CN"/>
              </w:rPr>
              <w:t xml:space="preserve">车辆（4分）</w:t>
            </w:r>
            <w:r/>
          </w:p>
        </w:tc>
        <w:tc>
          <w:tcPr>
            <w:tcW w:w="7516" w:type="dxa"/>
            <w:vAlign w:val="top"/>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投标人为本项目投入1辆运维车辆的，得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分，本项目最多</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注：</w:t>
            </w:r>
            <w:r>
              <w:rPr>
                <w:rFonts w:hint="eastAsia" w:ascii="仿宋" w:hAnsi="仿宋" w:eastAsia="仿宋" w:cs="仿宋"/>
                <w:b/>
                <w:bCs/>
                <w:sz w:val="24"/>
                <w:szCs w:val="24"/>
                <w:highlight w:val="none"/>
                <w:lang w:eastAsia="zh-CN"/>
              </w:rPr>
              <w:t xml:space="preserve">须提供车辆牌照、行驶证信息、车辆采购或租赁等证明材料复印件加盖公章，否则不得分。</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8"/>
                <w:highlight w:val="none"/>
                <w:lang w:val="en-US" w:eastAsia="zh-CN"/>
              </w:rPr>
            </w:pPr>
            <w:r>
              <w:rPr>
                <w:rFonts w:hint="eastAsia" w:ascii="仿宋" w:hAnsi="仿宋" w:eastAsia="仿宋" w:cs="仿宋"/>
                <w:sz w:val="24"/>
                <w:szCs w:val="28"/>
                <w:highlight w:val="none"/>
                <w:lang w:val="en-US" w:eastAsia="zh-CN"/>
              </w:rPr>
              <w:t xml:space="preserve">设备保障</w:t>
            </w:r>
            <w:r/>
          </w:p>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lang w:val="en-US" w:eastAsia="zh-CN"/>
              </w:rPr>
              <w:t xml:space="preserve">6</w:t>
            </w:r>
            <w:r>
              <w:rPr>
                <w:rFonts w:hint="eastAsia" w:ascii="仿宋" w:hAnsi="仿宋" w:eastAsia="仿宋" w:cs="仿宋"/>
                <w:sz w:val="24"/>
                <w:szCs w:val="28"/>
                <w:highlight w:val="none"/>
                <w:lang w:eastAsia="zh-CN"/>
              </w:rPr>
              <w:t xml:space="preserve">分）</w:t>
            </w:r>
            <w:r/>
          </w:p>
        </w:tc>
        <w:tc>
          <w:tcPr>
            <w:tcW w:w="7516" w:type="dxa"/>
            <w:vAlign w:val="top"/>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投标文件中提供投标人必要的质量控制设备用于开展运维工作：</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1、投标人提供流量计（高、低流量）的得2分；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2、投标人提供标准气压计的得2分；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3、投标人提供标准温湿度计的得2分。</w:t>
            </w:r>
            <w:r/>
          </w:p>
          <w:p>
            <w:pPr>
              <w:jc w:val="both"/>
              <w:spacing w:after="0" w:line="24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注：须提供合同或发票及有效期内校准/检定证书复印件并加盖投标人电子签章；未提供不得分</w:t>
            </w:r>
            <w:r>
              <w:rPr>
                <w:rFonts w:hint="eastAsia" w:ascii="仿宋" w:hAnsi="仿宋" w:eastAsia="仿宋" w:cs="仿宋"/>
                <w:sz w:val="24"/>
                <w:szCs w:val="24"/>
                <w:highlight w:val="none"/>
                <w:lang w:eastAsia="zh-CN"/>
              </w:rPr>
              <w:t xml:space="preserve">。</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8"/>
                <w:highlight w:val="none"/>
                <w:lang w:eastAsia="zh-CN"/>
              </w:rPr>
            </w:pPr>
            <w:r>
              <w:rPr>
                <w:rFonts w:hint="eastAsia" w:ascii="仿宋" w:hAnsi="仿宋" w:eastAsia="仿宋" w:cs="仿宋"/>
                <w:sz w:val="24"/>
                <w:szCs w:val="24"/>
                <w:highlight w:val="none"/>
                <w:lang w:eastAsia="zh-CN"/>
              </w:rPr>
              <w:t xml:space="preserve">项目组成员（</w:t>
            </w:r>
            <w:r>
              <w:rPr>
                <w:rFonts w:hint="eastAsia" w:ascii="仿宋" w:hAnsi="仿宋" w:eastAsia="仿宋" w:cs="仿宋"/>
                <w:sz w:val="24"/>
                <w:szCs w:val="24"/>
                <w:highlight w:val="none"/>
                <w:lang w:val="en-US" w:eastAsia="zh-CN"/>
              </w:rPr>
              <w:t xml:space="preserve">20分</w:t>
            </w:r>
            <w:r>
              <w:rPr>
                <w:rFonts w:hint="eastAsia" w:ascii="仿宋" w:hAnsi="仿宋" w:eastAsia="仿宋" w:cs="仿宋"/>
                <w:sz w:val="24"/>
                <w:szCs w:val="24"/>
                <w:highlight w:val="none"/>
                <w:lang w:eastAsia="zh-CN"/>
              </w:rPr>
              <w:t xml:space="preserve">）</w:t>
            </w:r>
            <w:r/>
          </w:p>
        </w:tc>
        <w:tc>
          <w:tcPr>
            <w:shd w:val="clear" w:color="auto" w:fill="auto"/>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1、项目负责人（本项最高得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拟投入的项目负责人具备环境监测专业正高级职称的得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分，</w:t>
            </w:r>
            <w:r>
              <w:rPr>
                <w:rFonts w:hint="eastAsia" w:ascii="仿宋" w:hAnsi="仿宋" w:eastAsia="仿宋" w:cs="仿宋"/>
                <w:sz w:val="24"/>
                <w:szCs w:val="24"/>
                <w:highlight w:val="none"/>
                <w:lang w:val="en-US" w:eastAsia="zh-CN"/>
              </w:rPr>
              <w:t xml:space="preserve">副高级职称的得2分，其他不得分</w:t>
            </w:r>
            <w:r>
              <w:rPr>
                <w:rFonts w:hint="eastAsia" w:ascii="仿宋" w:hAnsi="仿宋" w:eastAsia="仿宋" w:cs="仿宋"/>
                <w:sz w:val="24"/>
                <w:szCs w:val="24"/>
                <w:highlight w:val="none"/>
                <w:lang w:eastAsia="zh-CN"/>
              </w:rPr>
              <w:t xml:space="preserve">。</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2、项目组成员（不含项目负责人，本项最高得1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（1）为本项目配置的技术负责人</w:t>
            </w:r>
            <w:r>
              <w:rPr>
                <w:rFonts w:hint="eastAsia" w:ascii="仿宋" w:hAnsi="仿宋" w:eastAsia="仿宋" w:cs="仿宋"/>
                <w:sz w:val="24"/>
                <w:szCs w:val="24"/>
                <w:highlight w:val="none"/>
                <w:lang w:val="en-US" w:eastAsia="zh-CN"/>
              </w:rPr>
              <w:t xml:space="preserve">具备</w:t>
            </w:r>
            <w:r>
              <w:rPr>
                <w:rFonts w:hint="eastAsia" w:ascii="仿宋" w:hAnsi="仿宋" w:eastAsia="仿宋" w:cs="仿宋"/>
                <w:sz w:val="24"/>
                <w:szCs w:val="24"/>
                <w:highlight w:val="none"/>
                <w:lang w:eastAsia="zh-CN"/>
              </w:rPr>
              <w:t xml:space="preserve">环境类</w:t>
            </w:r>
            <w:r>
              <w:rPr>
                <w:rFonts w:hint="eastAsia" w:ascii="仿宋" w:hAnsi="仿宋" w:eastAsia="仿宋" w:cs="仿宋"/>
                <w:sz w:val="24"/>
                <w:szCs w:val="24"/>
                <w:highlight w:val="none"/>
                <w:lang w:val="en-US" w:eastAsia="zh-CN"/>
              </w:rPr>
              <w:t xml:space="preserve">副高</w:t>
            </w:r>
            <w:r>
              <w:rPr>
                <w:rFonts w:hint="eastAsia" w:ascii="仿宋" w:hAnsi="仿宋" w:eastAsia="仿宋" w:cs="仿宋"/>
                <w:sz w:val="24"/>
                <w:szCs w:val="24"/>
                <w:highlight w:val="none"/>
                <w:lang w:eastAsia="zh-CN"/>
              </w:rPr>
              <w:t xml:space="preserve">级</w:t>
            </w:r>
            <w:r>
              <w:rPr>
                <w:rFonts w:hint="eastAsia" w:ascii="仿宋" w:hAnsi="仿宋" w:eastAsia="仿宋" w:cs="仿宋"/>
                <w:sz w:val="24"/>
                <w:szCs w:val="24"/>
                <w:highlight w:val="none"/>
                <w:lang w:val="en-US" w:eastAsia="zh-CN"/>
              </w:rPr>
              <w:t xml:space="preserve">及以上</w:t>
            </w:r>
            <w:r>
              <w:rPr>
                <w:rFonts w:hint="eastAsia" w:ascii="仿宋" w:hAnsi="仿宋" w:eastAsia="仿宋" w:cs="仿宋"/>
                <w:sz w:val="24"/>
                <w:szCs w:val="24"/>
                <w:highlight w:val="none"/>
                <w:lang w:eastAsia="zh-CN"/>
              </w:rPr>
              <w:t xml:space="preserve">职称的得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分，最高得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（2）为本项目配置的运维人员持有大气或环境空气挥发性有机物监测技术培训班合格证且具有环境类中级职称的，每1人得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分，最高得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（3）为本项目配备的运维人员持有地表水环境质量监测技术与运维管理培训班合格证且具有环境类中级职称的，每1人得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分，最高得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（4）项目团队成员中需具备软件及数据分析处理能力，为本项目配备的软件服务人员中具有网络工程师中级专业技术职称</w:t>
            </w:r>
            <w:r>
              <w:rPr>
                <w:rFonts w:hint="eastAsia" w:ascii="仿宋" w:hAnsi="仿宋" w:eastAsia="仿宋" w:cs="仿宋"/>
                <w:sz w:val="24"/>
                <w:szCs w:val="24"/>
                <w:highlight w:val="none"/>
                <w:lang w:val="en-US" w:eastAsia="zh-CN"/>
              </w:rPr>
              <w:t xml:space="preserve">的，每一人</w:t>
            </w:r>
            <w:r>
              <w:rPr>
                <w:rFonts w:hint="eastAsia" w:ascii="仿宋" w:hAnsi="仿宋" w:eastAsia="仿宋" w:cs="仿宋"/>
                <w:sz w:val="24"/>
                <w:szCs w:val="24"/>
                <w:highlight w:val="none"/>
                <w:lang w:eastAsia="zh-CN"/>
              </w:rPr>
              <w:t xml:space="preserve">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分，最高得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8"/>
                <w:highlight w:val="none"/>
                <w:lang w:val="en-US" w:eastAsia="zh-CN" w:bidi="ar-SA"/>
              </w:rPr>
            </w:pPr>
            <w:r>
              <w:rPr>
                <w:rFonts w:hint="eastAsia" w:ascii="仿宋" w:hAnsi="仿宋" w:eastAsia="仿宋" w:cs="仿宋"/>
                <w:b/>
                <w:bCs/>
                <w:sz w:val="24"/>
                <w:szCs w:val="24"/>
                <w:highlight w:val="none"/>
                <w:lang w:eastAsia="zh-CN"/>
              </w:rPr>
              <w:t xml:space="preserve">（上述人员须提供开标前6个月内任意1个月的社保缴纳证明，以及对应人员的职称证书、培训证书等佐证材料，所有资料均须加盖供应商公章。</w:t>
            </w:r>
            <w:r>
              <w:rPr>
                <w:rFonts w:hint="eastAsia" w:ascii="仿宋" w:hAnsi="仿宋" w:eastAsia="仿宋" w:cs="仿宋"/>
                <w:b/>
                <w:bCs/>
                <w:sz w:val="24"/>
                <w:szCs w:val="24"/>
                <w:highlight w:val="none"/>
                <w:lang w:val="en-US" w:eastAsia="zh-CN"/>
              </w:rPr>
              <w:t xml:space="preserve">上述人员不重复计分。</w:t>
            </w:r>
            <w:r>
              <w:rPr>
                <w:rFonts w:hint="eastAsia" w:ascii="仿宋" w:hAnsi="仿宋" w:eastAsia="仿宋" w:cs="仿宋"/>
                <w:b/>
                <w:bCs/>
                <w:sz w:val="24"/>
                <w:szCs w:val="24"/>
                <w:highlight w:val="none"/>
                <w:lang w:eastAsia="zh-CN"/>
              </w:rPr>
              <w:t xml:space="preserve">）</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运维管理方案（10分）</w:t>
            </w:r>
            <w:r/>
          </w:p>
        </w:tc>
        <w:tc>
          <w:tcPr>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根据投标人提供的本项目建立运行管理制度和操作规程的情况进行打分：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管理制度与操作规程科学专业性高、科学性强和完整性高的，得10分；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管理制度与操作规程专业性较高、科学性较强和完整性较高的，得8分；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管理制度与操作规程专业性、科学性和完整性一般的，得6分；</w:t>
            </w:r>
            <w:r/>
          </w:p>
          <w:p>
            <w:pPr>
              <w:jc w:val="both"/>
              <w:spacing w:after="0"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管理制度与操作规程专业性、科学性和完整性较差的，得4分。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未提供不得分。</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运维工作方案（</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分）</w:t>
            </w:r>
            <w:r/>
          </w:p>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根据投标人提供的本项目的建设实施方案：包括运维目标、运维内容（包括但不限于远程监控，巡检、维护的内容与频次、零部件的清洁与更换，校准等）、仪器故障解决方案、运维规范性等方面进行打分：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运维方案专业性高、科学性强和完整性高的，得10分；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运维方案专业性较高、科学性较强和完整性较高的，得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运维方案专业性、科学性和完整性一般的，得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运维方案专业性、科学性和完整性</w:t>
            </w:r>
            <w:r>
              <w:rPr>
                <w:rFonts w:hint="eastAsia" w:ascii="仿宋" w:hAnsi="仿宋" w:eastAsia="仿宋" w:cs="仿宋"/>
                <w:sz w:val="24"/>
                <w:szCs w:val="24"/>
                <w:highlight w:val="none"/>
                <w:lang w:val="en-US" w:eastAsia="zh-CN"/>
              </w:rPr>
              <w:t xml:space="preserve">较差</w:t>
            </w:r>
            <w:r>
              <w:rPr>
                <w:rFonts w:hint="eastAsia" w:ascii="仿宋" w:hAnsi="仿宋" w:eastAsia="仿宋" w:cs="仿宋"/>
                <w:sz w:val="24"/>
                <w:szCs w:val="24"/>
                <w:highlight w:val="none"/>
                <w:lang w:eastAsia="zh-CN"/>
              </w:rPr>
              <w:t xml:space="preserve">的，得4分。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未提供不得分。</w:t>
            </w:r>
            <w:r/>
          </w:p>
        </w:tc>
      </w:tr>
      <w:tr>
        <w:trPr>
          <w:jc w:val="center"/>
          <w:trHeight w:val="2122"/>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质量保证方案</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分）</w:t>
            </w:r>
            <w:r/>
          </w:p>
        </w:tc>
        <w:tc>
          <w:tcPr>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根据各</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lang w:eastAsia="zh-CN"/>
              </w:rPr>
              <w:t xml:space="preserve">的质量保证</w:t>
            </w:r>
            <w:r>
              <w:rPr>
                <w:rFonts w:hint="eastAsia" w:ascii="仿宋" w:hAnsi="仿宋" w:eastAsia="仿宋" w:cs="仿宋"/>
                <w:sz w:val="24"/>
                <w:szCs w:val="24"/>
                <w:highlight w:val="none"/>
                <w:lang w:val="en-US" w:eastAsia="zh-CN"/>
              </w:rPr>
              <w:t xml:space="preserve">方案</w:t>
            </w:r>
            <w:r>
              <w:rPr>
                <w:rFonts w:hint="eastAsia" w:ascii="仿宋" w:hAnsi="仿宋" w:eastAsia="仿宋" w:cs="仿宋"/>
                <w:sz w:val="24"/>
                <w:szCs w:val="24"/>
                <w:highlight w:val="none"/>
                <w:lang w:eastAsia="zh-CN"/>
              </w:rPr>
              <w:t xml:space="preserve">综合评审：投标人针对本项目提供详细、合理的</w:t>
            </w:r>
            <w:r>
              <w:rPr>
                <w:rFonts w:hint="eastAsia" w:ascii="仿宋" w:hAnsi="仿宋" w:eastAsia="仿宋" w:cs="仿宋"/>
                <w:sz w:val="24"/>
                <w:szCs w:val="24"/>
                <w:highlight w:val="none"/>
                <w:lang w:val="en-US" w:eastAsia="zh-CN"/>
              </w:rPr>
              <w:t xml:space="preserve">项目数据</w:t>
            </w:r>
            <w:r>
              <w:rPr>
                <w:rFonts w:hint="eastAsia" w:ascii="仿宋" w:hAnsi="仿宋" w:eastAsia="仿宋" w:cs="仿宋"/>
                <w:sz w:val="24"/>
                <w:szCs w:val="24"/>
                <w:highlight w:val="none"/>
                <w:lang w:eastAsia="zh-CN"/>
              </w:rPr>
              <w:t xml:space="preserve">质控方案</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lang w:eastAsia="zh-CN"/>
              </w:rPr>
              <w:t xml:space="preserve">。</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提供的</w:t>
            </w:r>
            <w:r>
              <w:rPr>
                <w:rFonts w:hint="eastAsia" w:ascii="仿宋" w:hAnsi="仿宋" w:eastAsia="仿宋" w:cs="仿宋"/>
                <w:sz w:val="24"/>
                <w:szCs w:val="24"/>
                <w:highlight w:val="none"/>
                <w:lang w:eastAsia="zh-CN"/>
              </w:rPr>
              <w:t xml:space="preserve">方案安排合理细致、科学合理、容易操作</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得10分</w:t>
            </w:r>
            <w:r>
              <w:rPr>
                <w:rFonts w:hint="eastAsia" w:ascii="仿宋" w:hAnsi="仿宋" w:eastAsia="仿宋" w:cs="仿宋"/>
                <w:sz w:val="24"/>
                <w:szCs w:val="24"/>
                <w:highlight w:val="none"/>
                <w:lang w:eastAsia="zh-CN"/>
              </w:rPr>
              <w:t xml:space="preserve">；</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方案安排基本合理细致、较容易操作</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得8分</w:t>
            </w:r>
            <w:r>
              <w:rPr>
                <w:rFonts w:hint="eastAsia" w:ascii="仿宋" w:hAnsi="仿宋" w:eastAsia="仿宋" w:cs="仿宋"/>
                <w:sz w:val="24"/>
                <w:szCs w:val="24"/>
                <w:highlight w:val="none"/>
                <w:lang w:eastAsia="zh-CN"/>
              </w:rPr>
              <w:t xml:space="preserve">；</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方案安排基本合理细致、操作</w:t>
            </w:r>
            <w:r>
              <w:rPr>
                <w:rFonts w:hint="eastAsia" w:ascii="仿宋" w:hAnsi="仿宋" w:eastAsia="仿宋" w:cs="仿宋"/>
                <w:sz w:val="24"/>
                <w:szCs w:val="24"/>
                <w:highlight w:val="none"/>
                <w:lang w:val="en-US" w:eastAsia="zh-CN"/>
              </w:rPr>
              <w:t xml:space="preserve">一般的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得6分；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不合理、操作不容易</w:t>
            </w:r>
            <w:r>
              <w:rPr>
                <w:rFonts w:hint="eastAsia" w:ascii="仿宋" w:hAnsi="仿宋" w:eastAsia="仿宋" w:cs="仿宋"/>
                <w:sz w:val="24"/>
                <w:szCs w:val="24"/>
                <w:highlight w:val="none"/>
                <w:lang w:val="en-US" w:eastAsia="zh-CN"/>
              </w:rPr>
              <w:t xml:space="preserve">的，得4分</w:t>
            </w:r>
            <w:r>
              <w:rPr>
                <w:rFonts w:hint="eastAsia" w:ascii="仿宋" w:hAnsi="仿宋" w:eastAsia="仿宋" w:cs="仿宋"/>
                <w:sz w:val="24"/>
                <w:szCs w:val="24"/>
                <w:highlight w:val="none"/>
                <w:lang w:eastAsia="zh-CN"/>
              </w:rPr>
              <w:t xml:space="preserve">。</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未提供不得分。</w:t>
            </w:r>
            <w:r/>
          </w:p>
        </w:tc>
      </w:tr>
      <w:tr>
        <w:trPr>
          <w:jc w:val="center"/>
          <w:trHeight w:val="458"/>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服务响应及应急方案（</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分）</w:t>
            </w:r>
            <w:r/>
          </w:p>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r>
            <w:r/>
          </w:p>
        </w:tc>
        <w:tc>
          <w:tcPr>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根据投标人提供的服务响应能力、应急处理能力、服务及应急保障方案等内容进行打分：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服务响应及应急方案科学性强、可行性强和完整性高的，得 10分；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服务响应及应急方案科学性较强、可行性较强和完整性较高的，得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服务响应及应急方案科学性、可行性和完整性一般的，得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分；</w:t>
            </w:r>
            <w:r/>
          </w:p>
          <w:p>
            <w:pPr>
              <w:jc w:val="both"/>
              <w:spacing w:after="0" w:line="240" w:lineRule="auto"/>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服务响应及应急方案科学性、可行性和完整性</w:t>
            </w:r>
            <w:r>
              <w:rPr>
                <w:rFonts w:hint="eastAsia" w:ascii="仿宋" w:hAnsi="仿宋" w:eastAsia="仿宋" w:cs="仿宋"/>
                <w:sz w:val="24"/>
                <w:szCs w:val="24"/>
                <w:highlight w:val="none"/>
                <w:lang w:val="en-US" w:eastAsia="zh-CN"/>
              </w:rPr>
              <w:t xml:space="preserve">较差</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lang w:val="en-US" w:eastAsia="zh-CN"/>
              </w:rPr>
              <w:t xml:space="preserve">得4分。</w:t>
            </w:r>
            <w:r/>
          </w:p>
          <w:p>
            <w:pPr>
              <w:jc w:val="both"/>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未提供不得分。</w:t>
            </w:r>
            <w:r/>
          </w:p>
        </w:tc>
      </w:tr>
      <w:tr>
        <w:trPr>
          <w:jc w:val="center"/>
        </w:trPr>
        <w:tc>
          <w:tcPr>
            <w:tcW w:w="1566" w:type="dxa"/>
            <w:vAlign w:val="center"/>
            <w:textDirection w:val="lrTb"/>
            <w:noWrap w:val="false"/>
          </w:tcPr>
          <w:p>
            <w:pPr>
              <w:jc w:val="center"/>
              <w:spacing w:after="0" w:line="24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培训方案</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分）</w:t>
            </w:r>
            <w:r/>
          </w:p>
        </w:tc>
        <w:tc>
          <w:tcPr>
            <w:tcW w:w="7516" w:type="dxa"/>
            <w:vAlign w:val="center"/>
            <w:textDirection w:val="lrTb"/>
            <w:noWrap w:val="false"/>
          </w:tcPr>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根据各投标人的运维人员培训方案综合评审：投标人提供的运维人员培训方案。方案可行性强和完整性高的，得5分；方案可行性较强和完整性较高的，得3分；方案可行性和完整性一般或较差的，得1分。</w:t>
            </w:r>
            <w:r/>
          </w:p>
          <w:p>
            <w:pPr>
              <w:jc w:val="both"/>
              <w:spacing w:after="0" w:line="24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未提供不得分。</w:t>
            </w:r>
            <w:r/>
          </w:p>
        </w:tc>
      </w:tr>
    </w:tbl>
    <w:p>
      <w:pPr>
        <w:rPr>
          <w:rFonts w:ascii="仿宋" w:hAnsi="仿宋" w:eastAsia="仿宋" w:cs="仿宋"/>
          <w:b/>
          <w:color w:val="auto"/>
          <w:sz w:val="30"/>
          <w:highlight w:val="none"/>
        </w:rPr>
      </w:pPr>
      <w:r>
        <w:rPr>
          <w:rFonts w:hint="eastAsia" w:ascii="仿宋" w:hAnsi="仿宋" w:eastAsia="仿宋" w:cs="仿宋"/>
          <w:b/>
          <w:color w:val="auto"/>
          <w:sz w:val="28"/>
          <w:szCs w:val="28"/>
          <w:highlight w:val="none"/>
          <w:lang w:eastAsia="zh-CN"/>
        </w:rPr>
        <w:br w:type="page" w:clear="all"/>
      </w:r>
      <w:r/>
    </w:p>
    <w:p>
      <w:pPr>
        <w:jc w:val="center"/>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6"/>
        </w:rPr>
        <w:t xml:space="preserve">第五章  拟签订的合同文本</w:t>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jc w:val="center"/>
        <w:spacing w:before="0" w:after="0" w:line="360" w:lineRule="auto"/>
        <w:rPr>
          <w:rFonts w:hint="default" w:ascii="仿宋_GB2312" w:hAnsi="仿宋_GB2312" w:eastAsia="仿宋_GB2312" w:cs="Times New Roman"/>
          <w:sz w:val="24"/>
        </w:rPr>
      </w:pPr>
      <w:r>
        <w:rPr>
          <w:rFonts w:hint="default" w:ascii="仿宋_GB2312" w:hAnsi="仿宋_GB2312" w:eastAsia="仿宋_GB2312" w:cs="Times New Roman"/>
          <w:b/>
          <w:sz w:val="36"/>
        </w:rPr>
        <w:t xml:space="preserve">江苏睢宁经济开发区污染物限值限量自动监测系统运维项目</w:t>
      </w:r>
      <w:r/>
    </w:p>
    <w:p>
      <w:pPr>
        <w:jc w:val="center"/>
        <w:spacing w:before="0" w:after="0" w:line="360" w:lineRule="auto"/>
        <w:rPr>
          <w:rFonts w:hint="default" w:ascii="仿宋_GB2312" w:hAnsi="仿宋_GB2312" w:eastAsia="仿宋_GB2312" w:cs="Times New Roman"/>
          <w:sz w:val="24"/>
        </w:rPr>
      </w:pPr>
      <w:r>
        <w:rPr>
          <w:rFonts w:hint="default" w:ascii="仿宋_GB2312" w:hAnsi="仿宋_GB2312" w:eastAsia="仿宋_GB2312" w:cs="Times New Roman"/>
          <w:b/>
          <w:sz w:val="44"/>
        </w:rPr>
        <w:t xml:space="preserve">合同文件</w:t>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ind w:left="1701"/>
        <w:spacing w:after="80"/>
        <w:rPr>
          <w:rFonts w:hint="default" w:ascii="仿宋_GB2312" w:hAnsi="仿宋_GB2312" w:eastAsia="仿宋_GB2312" w:cs="Times New Roman"/>
          <w:sz w:val="24"/>
        </w:rPr>
      </w:pPr>
      <w:r>
        <w:rPr>
          <w:rFonts w:hint="default" w:ascii="仿宋_GB2312" w:hAnsi="仿宋_GB2312" w:eastAsia="仿宋_GB2312" w:cs="Times New Roman"/>
          <w:sz w:val="28"/>
        </w:rPr>
        <w:t xml:space="preserve">项目编号：____________________________</w:t>
      </w:r>
      <w:r/>
    </w:p>
    <w:p>
      <w:pPr>
        <w:ind w:left="1701"/>
        <w:spacing w:after="80"/>
        <w:rPr>
          <w:rFonts w:hint="default" w:ascii="仿宋_GB2312" w:hAnsi="仿宋_GB2312" w:eastAsia="仿宋_GB2312" w:cs="Times New Roman"/>
          <w:sz w:val="24"/>
        </w:rPr>
      </w:pPr>
      <w:r>
        <w:rPr>
          <w:rFonts w:hint="default" w:ascii="仿宋_GB2312" w:hAnsi="仿宋_GB2312" w:eastAsia="仿宋_GB2312" w:cs="Times New Roman"/>
          <w:sz w:val="28"/>
        </w:rPr>
        <w:t xml:space="preserve">项目名称：江苏睢宁经济开发区污染物限值限量自动监测系统运维项目</w:t>
      </w:r>
      <w:r/>
    </w:p>
    <w:p>
      <w:pPr>
        <w:ind w:left="1701"/>
        <w:spacing w:after="80"/>
        <w:rPr>
          <w:rFonts w:hint="default" w:ascii="仿宋_GB2312" w:hAnsi="仿宋_GB2312" w:eastAsia="仿宋_GB2312" w:cs="Times New Roman"/>
          <w:sz w:val="24"/>
        </w:rPr>
      </w:pPr>
      <w:r>
        <w:rPr>
          <w:rFonts w:hint="default" w:ascii="仿宋_GB2312" w:hAnsi="仿宋_GB2312" w:eastAsia="仿宋_GB2312" w:cs="Times New Roman"/>
          <w:sz w:val="28"/>
        </w:rPr>
        <w:t xml:space="preserve">甲    方：江苏睢宁经济开发区管理委员会</w:t>
      </w:r>
      <w:r/>
    </w:p>
    <w:p>
      <w:pPr>
        <w:ind w:left="1701"/>
        <w:spacing w:after="80"/>
        <w:rPr>
          <w:rFonts w:hint="default" w:ascii="仿宋_GB2312" w:hAnsi="仿宋_GB2312" w:eastAsia="仿宋_GB2312" w:cs="Times New Roman"/>
          <w:sz w:val="24"/>
        </w:rPr>
      </w:pPr>
      <w:r>
        <w:rPr>
          <w:rFonts w:hint="default" w:ascii="仿宋_GB2312" w:hAnsi="仿宋_GB2312" w:eastAsia="仿宋_GB2312" w:cs="Times New Roman"/>
          <w:sz w:val="28"/>
        </w:rPr>
        <w:t xml:space="preserve">乙    方：____________________________</w:t>
      </w:r>
      <w:r/>
    </w:p>
    <w:p>
      <w:pPr>
        <w:ind w:left="1701"/>
        <w:spacing w:after="80"/>
        <w:rPr>
          <w:rFonts w:hint="default" w:ascii="仿宋_GB2312" w:hAnsi="仿宋_GB2312" w:eastAsia="仿宋_GB2312" w:cs="Times New Roman"/>
          <w:sz w:val="24"/>
        </w:rPr>
      </w:pPr>
      <w:r>
        <w:rPr>
          <w:rFonts w:hint="default" w:ascii="仿宋_GB2312" w:hAnsi="仿宋_GB2312" w:eastAsia="仿宋_GB2312" w:cs="Times New Roman"/>
          <w:sz w:val="28"/>
        </w:rPr>
        <w:t xml:space="preserve">签订时间：______年____月____日</w:t>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ind w:firstLine="440"/>
        <w:spacing w:before="0" w:after="0" w:line="312" w:lineRule="auto"/>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hint="default" w:ascii="仿宋_GB2312" w:hAnsi="仿宋_GB2312" w:eastAsia="仿宋_GB2312" w:cs="Times New Roman"/>
          <w:sz w:val="24"/>
        </w:rPr>
      </w:pPr>
      <w:r>
        <w:rPr>
          <w:rFonts w:hint="default" w:ascii="仿宋_GB2312" w:hAnsi="仿宋_GB2312" w:eastAsia="仿宋_GB2312" w:cs="Times New Roman"/>
          <w:sz w:val="24"/>
        </w:rPr>
        <w:br w:type="page" w:clear="all"/>
      </w:r>
      <w:r/>
    </w:p>
    <w:p>
      <w:pPr>
        <w:jc w:val="center"/>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sz w:val="32"/>
        </w:rPr>
        <w:t xml:space="preserve">江苏睢宁经济开发区污染物限值限量自动监测系统运维项目合同</w:t>
      </w:r>
      <w:r/>
    </w:p>
    <w:p>
      <w:pPr>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甲方（采购人）：江苏睢宁经济开发区管理委员会</w:t>
      </w:r>
      <w:r/>
    </w:p>
    <w:p>
      <w:pPr>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乙方（供应商）：____________________________</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根据《中华人民共和国民法典》《中华人民共和国政府采购法》及相关法律法规，依据本项目采购文件、采购需求、中标通知书、乙方投标（响应）文件及相关承诺，甲乙双方遵循平等、自愿、公平、诚实信用原则，就江苏睢宁经济开发区污染物限值限量自动监测系统运维项目服务事宜协商一致，订立本合同，共同遵照执行。</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第一条  合同文件组成</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1.1 本合同及其附件、补充协议；</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1.2 本项目采购文件、采购需求、澄清或修改文件；</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1.3 乙方投标（响应）文件、报价文件、服务方案及书面承诺；</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1.4 中标（成交）通知书；</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1.5 双方确认的验收资料、考核资料、会议纪要、往来函件及其他与项目履行有关的文件。</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上述文件互为补充、具有同等法律效力。内容不一致的，按有利于实现采购目的、保障甲方权益及运维质量的原则解释；国家法律法规另有强制性规定的，从其规定。</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第二条  项目概况、服务期限与服务地点</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2.1 项目名称：江苏睢宁经济开发区污染物限值限量自动监测系统运维项目。</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2.2 服务内容概述：乙方按照限值限量管理和总量核算要求，对园区已建成的环境空气质量在线监测标准站、微型环境空气质量在线监测系统、水质自动监测站、VOC(PAMS57)站点及园区限值限量总量核算、软件平台服务等开展运行维护、数据保障、质量控制、故障维修、平台服务、季度及年度核算等工作，为园区环境质量和污染物排放总量动态评估、污染来源识别、应急响应和精准治污提供技术支撑。</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2.3 服务期限：本项目总服务期为3年，合同一年一签。本合同为第____年度合同，服务期自______年____月____日起至______年____月____日止。年度合同期满后，甲方根据年度考核、财政预算安排及政府采购管理要求决定是否续签下一年度合同。</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2.4 服务地点：江苏睢宁经济开发区范围内甲方指定地点及本项目各监测站点、平台系统所在地。</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2.5 乙方应保证服务连续性。合同生效后，乙方应按甲方要求完成进场、资料交接、站点核查、运行状态确认、备品备件及耗材准备等工作，并形成交接清单。</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2.6 运维对象清单如下：</w:t>
      </w:r>
      <w:r/>
    </w:p>
    <w:tbl>
      <w:tblPr>
        <w:tblStyle w:val="75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082"/>
        <w:gridCol w:w="2195"/>
        <w:gridCol w:w="2157"/>
        <w:gridCol w:w="2082"/>
      </w:tblGrid>
      <w:tr>
        <w:trPr>
          <w:jc w:val="center"/>
        </w:trPr>
        <w:tc>
          <w:tcPr>
            <w:shd w:val="clear" w:color="auto" w:fill="d9eaf7"/>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sz w:val="21"/>
              </w:rPr>
              <w:t xml:space="preserve">序号</w:t>
            </w:r>
            <w:r/>
          </w:p>
        </w:tc>
        <w:tc>
          <w:tcPr>
            <w:shd w:val="clear" w:color="auto" w:fill="d9eaf7"/>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sz w:val="21"/>
              </w:rPr>
              <w:t xml:space="preserve">名称</w:t>
            </w:r>
            <w:r/>
          </w:p>
        </w:tc>
        <w:tc>
          <w:tcPr>
            <w:shd w:val="clear" w:color="auto" w:fill="d9eaf7"/>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sz w:val="21"/>
              </w:rPr>
              <w:t xml:space="preserve">监测因子/服务内容</w:t>
            </w:r>
            <w:r/>
          </w:p>
        </w:tc>
        <w:tc>
          <w:tcPr>
            <w:shd w:val="clear" w:color="auto" w:fill="d9eaf7"/>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sz w:val="21"/>
              </w:rPr>
              <w:t xml:space="preserve">数量</w:t>
            </w:r>
            <w:r/>
          </w:p>
        </w:tc>
      </w:tr>
      <w:tr>
        <w:trPr>
          <w:jc w:val="center"/>
        </w:trPr>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1</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环境空气质量在线监测标准站</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二氧化硫、二氧化氮、一氧化碳、臭氧、PM2.5、PM10、PAMS57、气象五参数</w:t>
            </w:r>
            <w:r/>
          </w:p>
        </w:tc>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2</w:t>
            </w:r>
            <w:r/>
          </w:p>
        </w:tc>
      </w:tr>
      <w:tr>
        <w:trPr>
          <w:jc w:val="center"/>
        </w:trPr>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2</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微型环境空气质量在线监测系统</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二氧化硫、二氧化氮、一氧化碳、臭氧、PM2.5、PM10、TVOC、气象五参数</w:t>
            </w:r>
            <w:r/>
          </w:p>
        </w:tc>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33</w:t>
            </w:r>
            <w:r/>
          </w:p>
        </w:tc>
      </w:tr>
      <w:tr>
        <w:trPr>
          <w:jc w:val="center"/>
        </w:trPr>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3</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水质自动监测站</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溶解氧、pH、浊度、电导率、温度、高锰酸盐指数、氨氮、总磷、总氮</w:t>
            </w:r>
            <w:r/>
          </w:p>
        </w:tc>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2</w:t>
            </w:r>
            <w:r/>
          </w:p>
        </w:tc>
      </w:tr>
      <w:tr>
        <w:trPr>
          <w:jc w:val="center"/>
        </w:trPr>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4</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VOC(PAMS57)站点</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57种因子</w:t>
            </w:r>
            <w:r/>
          </w:p>
        </w:tc>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2</w:t>
            </w:r>
            <w:r/>
          </w:p>
        </w:tc>
      </w:tr>
      <w:tr>
        <w:trPr>
          <w:jc w:val="center"/>
        </w:trPr>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5</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园区限值限量总量核算、软件平台服务</w:t>
            </w:r>
            <w:r/>
          </w:p>
        </w:tc>
        <w:tc>
          <w:tcPr>
            <w:tcW w:w="2323" w:type="dxa"/>
            <w:vAlign w:val="center"/>
            <w:textDirection w:val="lrTb"/>
            <w:noWrap w:val="false"/>
          </w:tcPr>
          <w:p>
            <w:pPr>
              <w:jc w:val="left"/>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季度、年度核算及平台数据接入、展示、分析、告警等服务</w:t>
            </w:r>
            <w:r/>
          </w:p>
        </w:tc>
        <w:tc>
          <w:tcPr>
            <w:tcW w:w="2323" w:type="dxa"/>
            <w:vAlign w:val="center"/>
            <w:textDirection w:val="lrTb"/>
            <w:noWrap w:val="false"/>
          </w:tcPr>
          <w:p>
            <w:pPr>
              <w:jc w:val="center"/>
              <w:rPr>
                <w:rFonts w:hint="default" w:ascii="仿宋_GB2312" w:hAnsi="仿宋_GB2312" w:eastAsia="仿宋_GB2312" w:cs="Times New Roman"/>
                <w:sz w:val="24"/>
              </w:rPr>
            </w:pPr>
            <w:r>
              <w:rPr>
                <w:rFonts w:hint="default" w:ascii="仿宋_GB2312" w:hAnsi="仿宋_GB2312" w:eastAsia="仿宋_GB2312" w:cs="Times New Roman"/>
                <w:b w:val="0"/>
                <w:sz w:val="20"/>
              </w:rPr>
              <w:t xml:space="preserve">1项</w:t>
            </w:r>
            <w:r/>
          </w:p>
        </w:tc>
      </w:tr>
    </w:tbl>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第三条  合同金额与费用构成</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3.1 本合同年度服务总金额：人民币（大写）____________________元整（小写：￥____________元）。本项目报价应包含完成本合同约定服务所需的人工、交通、差旅、设备维护维修、备品备件、耗材、试剂、标气、计量检定、校准、比对、平台服务、培训、保险、税费、管理费、利润及不可预见费用等全部费用，甲方不再另行支付报价以外的任何费用。</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3.2 本项目采购预算为人民币300万元，乙方年度及总报价不得超过采购文件确定的预算及中标（成交）金额。</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3.3 因工作量变化确需调整服务费用的，应经双方协商一致并按政府采购及财政管理规定履行相应程序后签订补充协议；增加金额不得超过原合同金额的10%，且不得实质性改变采购内容。</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第四条  付款方式、考核扣款与票据</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4.1 双方确认采用以下付款方式：每半年支付一次。每半年应付费用=每月初始费用×6－对应考核周期内应扣费用；每月初始费用为本合同年度服务总金额除以12后的算术平均值。季度、月度考评结果作为付款和扣款依据，具体考核标准、扣款情形和结果运用详见采购需求（发布稿）。</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4.2 乙方申请付款时，应提交正式有效发票、季度考核表、阶段性服务报告、整改闭环资料（如有）、甲方要求的其他支付材料。甲方审核无误后，按财政支付流程办理。</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4.3 甲方按照采购需求（发布稿）确定的考核内容、评分标准和结果运用方式核算运维费用。采购需求中已明确的运行率、数据有效率、运行维护、质控管理、资料报送、故障响应、数据真实性等考核事项，双方均应严格执行。</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4.4 因乙方原因造成站点或系统数据缺失、设备停运、未按要求巡检维护、未按时完成质控校准、未提交台账资料或其他不符合采购需求（发布稿）要求的情形，甲方有权按照采购需求及本合同约定扣减相应费用；造成甲方被通报、影响案件办理、影响生态环境监管或造成其他损失的，乙方还应承担赔偿责任。</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4.5 若乙方提供的监测数据失真，影响案件质量或监管工作，经甲方确认后，出现一次监测数据失真情况，甲方不支付本次相关监测服务费用；出现两次监测数据失真情况，乙方赔付甲方双倍相关监测服务费用；出现三次监测数据失真情况，甲方有权解除合同，并追究乙方相关责任。</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4.6 对于满足合同约定支付条件的，甲方不得以机构变动、人员更替、政策调整等为由无故延迟付款，不得将采购文件和合同中未规定的义务作为向乙方付款的条件。</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第五条  服务内容与技术要求</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5.1 乙方应按照本合同、本项目采购文件、采购需求（发布稿）、投标（响应）文件及国家、省、市有关自动监测站运行管理、质量控制、数据传输、信息安全等规定，建立运行维护工作规范、质量管理体系、安全管理制度和应急响应机制。运维期间国家、省、市出台新的规范、标准或管理要求的，乙方应按最新要求执行。</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5.2 乙方服务内容包括但不限于环境空气质量在线监测标准站、微型环境空气质量在线监测系统、水质自动监测站、VOC(PAMS57)站点运行维护，以及园区限值限量总量核算、软件平台服务、数据审核、质控管理、故障处置、资料报送和技术支撑等工作。具体服务范围、技术指标、运维频次、质控要求、响应时限、台账资料和成果提交要求，详见采购需求（发布稿）。</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5.3 采购需求（发布稿）中已明确的空气站、VOC(PAMS57)站点、微型空气站、水质自动监测站、平台服务和限值限量总量核算等运维要求，均为乙方必须履行的合同义务，合同正文不再逐项重复列明。</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5.4 如采购需求（发布稿）与本合同约定存在不一致，法律法规、政府采购监管规定或上级主管部门有明确要求的，从其规定；无明确规定的，按有利于实现项目质量管理、保障监测数据真实有效和维护甲方权益的原则执行。</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第六条  数据质量、真实性与保密</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6.1 乙方应保证监测数据真实、准确、完整、连续、可追溯，不得实施或协助实施调整数据、修改参数、改动设备、改变采样管路、干扰采样分析、伪造质控记录、隐瞒异常情况等行为。</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6.2 乙方应建立数据审核、异常数据识别、质量控制、量值溯源和档案管理制度。标准气体、标准物质、流量计、温度计、气压计、湿度计等质控设备应符合国家和行业规范要求，并按期检定、校准或溯源。</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6.3 乙方应按甲方要求及时报送日报、周报、月报、季度报告、年度报告、故障维修报告、质控报告、巡检记录、校准记录、比对记录、备品备件更换记录、整改报告等资料。所有记录应真实、完整、规范，作为验收、考核和付款依据。</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6.4 乙方对本项目数据、档案、平台账号、站点信息、监管资料及履约过程中知悉的甲方信息承担保密责任。未经甲方书面同意，不得擅自对外提供、发布、交换或用于本合同以外目的。因乙方泄密造成损失或不良影响的，乙方承担全部责任。</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第七条  人员、备品备件与安全管理</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7.1 乙方投入本项目的运维人员不少于____人，其中项目负责人1名，姓名：__________，联系电话：____________。项目负责人及主要项目组成员未经甲方书面同意不得擅自更换；确需更换的，应提前30日书面征得甲方同意，替换人员资历和能力不得低于投标承诺人员。</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7.2 乙方应配备满足项目需求的备机、备品备件、试剂、标气、耗材、工具、车辆和检测校准设备。因乙方备件、耗材、试剂、标气准备不足导致设备停运或数据缺失的，由乙方承担相应责任。</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7.3 乙方应遵守甲方及站点管理要求，做好防火、防盗、防雷、防水、防触电、防中毒、防高处坠落等安全措施。乙方人员在履约过程中发生人身、财产、交通、设备操作等安全事故的，由乙方依法承担责任；因乙方原因造成甲方或第三方损失的，乙方负责赔偿。</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7.4 乙方应负责运维范围内仪器设备、站房附属设施、通讯采集系统、空调、视频监控、UPS、采样系统等维护、维修和部件更换。除不可抗力或经甲方确认的设备正常报废外，相关费用均包含在合同价款内。</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第八条  甲方权利义务</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8.1 甲方有权对乙方服务质量、人员到岗、运行维护、数据质量、台账资料、安全管理等进行监督、检查、抽查、飞行检查和考核。</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8.2 甲方有权要求乙方对不合格服务限期整改；乙方项目人员不称职、不到岗或不服从管理的，甲方有权要求更换。</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8.3 甲方应为乙方履行合同提供必要的协调支持，协助提供水、电、场地、站点出入、基础资料等履约条件。</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8.4 甲方按合同约定组织验收、考核和付款。</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第九条  乙方权利义务</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9.1 乙方应严格按照合同、采购需求、投标承诺和相关规范履行服务义务，确保设备稳定运行、数据真实有效、故障及时处置、资料完整规范。</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9.2 乙方不得将本项目转包。未经甲方事先书面同意，不得分包其应履行的合同义务；经同意分包的，乙方仍应对全部合同义务向甲方承担连带及最终责任。</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9.3 乙方应接受甲方、生态环境主管部门、财政部门、审计部门及甲方委托单位的监督检查和质量考核，不得拖延、阻碍或拒绝。</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9.4 乙方应保证所提供服务及成果不侵犯第三方知识产权，并保证甲方及其授权第三方可以合法使用相关成果。因知识产权争议造成的费用、损失和责任由乙方承担。</w:t>
      </w:r>
      <w:r/>
    </w:p>
    <w:p>
      <w:pPr>
        <w:jc w:val="left"/>
        <w:spacing w:before="160" w:after="80" w:line="288" w:lineRule="auto"/>
        <w:rPr>
          <w:rFonts w:hint="default" w:ascii="仿宋_GB2312" w:hAnsi="仿宋_GB2312" w:eastAsia="仿宋_GB2312" w:cs="Times New Roman"/>
          <w:sz w:val="24"/>
          <w:highlight w:val="none"/>
        </w:rPr>
      </w:pPr>
      <w:r>
        <w:rPr>
          <w:rFonts w:hint="default" w:ascii="仿宋_GB2312" w:hAnsi="仿宋_GB2312" w:eastAsia="仿宋_GB2312" w:cs="Times New Roman"/>
          <w:b/>
          <w:sz w:val="28"/>
          <w:highlight w:val="none"/>
        </w:rPr>
        <w:t xml:space="preserve">第十条  验收与考核</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10.1</w:t>
      </w:r>
      <w:r>
        <w:rPr>
          <w:rFonts w:hint="default" w:ascii="仿宋_GB2312" w:hAnsi="仿宋_GB2312" w:eastAsia="仿宋_GB2312" w:cs="Times New Roman"/>
          <w:b w:val="0"/>
          <w:sz w:val="24"/>
          <w:highlight w:val="none"/>
        </w:rPr>
        <w:t xml:space="preserve">验收时间：本项目实行日常监督、月度资料审核、分类考核、半年度履约验收和年度综合验收相结合的方式。环境空气质量在线监测标准站、VOC（PAMS57）站点及微型环境空气质量在线监测系统每季度考核一次；水质自动监测站每半年考核一次；年度限值限量总量核算工作纳入年度综合验收。每半年付款前，甲方对对应期间履约情况组织验收；年度服务期满后组织年度综合验收。</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10.2</w:t>
      </w:r>
      <w:r>
        <w:rPr>
          <w:rFonts w:hint="default" w:ascii="仿宋_GB2312" w:hAnsi="仿宋_GB2312" w:eastAsia="仿宋_GB2312" w:cs="Times New Roman"/>
          <w:b w:val="0"/>
          <w:sz w:val="24"/>
          <w:highlight w:val="none"/>
        </w:rPr>
        <w:t xml:space="preserve">验收主体：由江苏睢宁经济开发区管理委员会组织验收。甲方可根据项目实际，组织相关业务人员、财务人员、技术人员参加验收，也可邀请生态环境主管部门、行业专家或委托第三方专业机构协助开展验收。</w:t>
      </w:r>
      <w:r/>
    </w:p>
    <w:p>
      <w:pPr>
        <w:jc w:val="left"/>
        <w:spacing w:before="160" w:after="80" w:line="288" w:lineRule="auto"/>
        <w:rPr>
          <w:rFonts w:hint="default" w:ascii="仿宋_GB2312" w:hAnsi="仿宋_GB2312" w:eastAsia="仿宋_GB2312" w:cs="Times New Roman"/>
          <w:b w:val="0"/>
          <w:sz w:val="24"/>
          <w:highlight w:val="none"/>
        </w:rPr>
      </w:pPr>
      <w:r>
        <w:rPr>
          <w:rFonts w:hint="default" w:ascii="仿宋_GB2312" w:hAnsi="仿宋_GB2312" w:eastAsia="仿宋_GB2312" w:cs="Times New Roman"/>
          <w:b w:val="0"/>
          <w:sz w:val="24"/>
          <w:highlight w:val="none"/>
        </w:rPr>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10.3</w:t>
      </w:r>
      <w:r>
        <w:rPr>
          <w:rFonts w:hint="default" w:ascii="仿宋_GB2312" w:hAnsi="仿宋_GB2312" w:eastAsia="仿宋_GB2312" w:cs="Times New Roman"/>
          <w:b w:val="0"/>
          <w:sz w:val="24"/>
          <w:highlight w:val="none"/>
        </w:rPr>
        <w:t xml:space="preserve">验收方式：采取资料审查、平台数据核查、现场检查、设备抽查、运行记录核验、数据质量核验等方式进行。必要时，可开展质控检查、比对监测、标样考核或专家评审。</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10.4</w:t>
      </w:r>
      <w:r>
        <w:rPr>
          <w:rFonts w:hint="default" w:ascii="仿宋_GB2312" w:hAnsi="仿宋_GB2312" w:eastAsia="仿宋_GB2312" w:cs="Times New Roman"/>
          <w:b w:val="0"/>
          <w:sz w:val="24"/>
          <w:highlight w:val="none"/>
        </w:rPr>
        <w:t xml:space="preserve">验收内容：</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1</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检查环境空气质量在线监测标准站、微型环境空气质量在线监测系统、水质自动监测站、VOC（PAMS57）站点等设施设备运行是否正常，设备运行率、数据有效率是否达到采购需求及相关技术规范要求；</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2</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检查乙方是否按照规定频次开展巡检、维护、校准、质控、耗材更换、故障维修和设备保养，相关工作是否真实、完整、及时；</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3</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检查监测数据是否真实、准确、完整、连续、可追溯，是否存在异常数据未及时处理、数据缺失、数据失真、擅自修改参数或其他影响数据质量的情形；</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4</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检查软件平台数据接入、传输、展示、分析、预警、备份等功能是否正常，平台故障是否及时处理；</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5</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检查季度、年度限值限量总量核算工作是否按期完成，核算依据、核算过程和核算成果是否完整、准确；</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6</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检查乙方人员到岗、故障响应、应急处置、技术支撑、培训服务等是否符合合同、采购需求和投标承诺；</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7</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检查月报、季度报告、年度报告、巡检记录、维修记录、质控记录、校准记录、数据审核记录、异常处置记录、耗材更换记录及整改闭环资料等是否齐全、规范；</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8</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检查采购需求、投标文件、合同及甲方要求的其他服务事项是否完成。</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10.5</w:t>
      </w:r>
      <w:r>
        <w:rPr>
          <w:rFonts w:hint="default" w:ascii="仿宋_GB2312" w:hAnsi="仿宋_GB2312" w:eastAsia="仿宋_GB2312" w:cs="Times New Roman"/>
          <w:b w:val="0"/>
          <w:sz w:val="24"/>
          <w:highlight w:val="none"/>
        </w:rPr>
        <w:t xml:space="preserve">验收标准：以本合同、采购文件、采购需求（发布稿）、乙方投标（响应）文件及书面承诺、国家和地方现行技术规范、质量控制要求以及甲方依法提出的管理要求为依据。验收结果分为合格、整改后合格和不合格：</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1</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合格：乙方已全面完成相应阶段服务内容，设备运行、数据质量、资料报送及各项考核指标符合合同和采购需求要求；</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2</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整改后合格：存在一般性问题，但不影响系统总体运行和监测数据真实性、有效性，经限期整改并复核通过；</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eastAsia="zh-CN"/>
        </w:rPr>
        <w:t xml:space="preserve">（</w:t>
      </w:r>
      <w:r>
        <w:rPr>
          <w:rFonts w:hint="eastAsia" w:ascii="仿宋_GB2312" w:hAnsi="仿宋_GB2312" w:eastAsia="仿宋_GB2312" w:cs="Times New Roman"/>
          <w:b w:val="0"/>
          <w:sz w:val="24"/>
          <w:highlight w:val="none"/>
          <w:lang w:val="en-US" w:eastAsia="zh-CN"/>
        </w:rPr>
        <w:t xml:space="preserve">3</w:t>
      </w:r>
      <w:r>
        <w:rPr>
          <w:rFonts w:hint="eastAsia" w:ascii="仿宋_GB2312" w:hAnsi="仿宋_GB2312" w:eastAsia="仿宋_GB2312" w:cs="Times New Roman"/>
          <w:b w:val="0"/>
          <w:sz w:val="24"/>
          <w:highlight w:val="none"/>
          <w:lang w:eastAsia="zh-CN"/>
        </w:rPr>
        <w:t xml:space="preserve">）</w:t>
      </w:r>
      <w:r>
        <w:rPr>
          <w:rFonts w:hint="default" w:ascii="仿宋_GB2312" w:hAnsi="仿宋_GB2312" w:eastAsia="仿宋_GB2312" w:cs="Times New Roman"/>
          <w:b w:val="0"/>
          <w:sz w:val="24"/>
          <w:highlight w:val="none"/>
        </w:rPr>
        <w:t xml:space="preserve">不合格：存在设备长期停运、数据严重缺失或失真、重大质控问题、资料严重缺失、未完成限值限量核算任务，或者经整改仍不符合合同及采购需求要求的情形。</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10.6</w:t>
      </w:r>
      <w:r>
        <w:rPr>
          <w:rFonts w:hint="default" w:ascii="仿宋_GB2312" w:hAnsi="仿宋_GB2312" w:eastAsia="仿宋_GB2312" w:cs="Times New Roman"/>
          <w:b w:val="0"/>
          <w:sz w:val="24"/>
          <w:highlight w:val="none"/>
        </w:rPr>
        <w:t xml:space="preserve">验收资料：乙方申请验收时，应提交书面验收申请、阶段性或年度运维服务总结、考核自评材料、设备运行率和数据有效率统计材料、巡检维护及故障维修记录、质控校准及比对记录、耗材更换记录、异常数据处置资料、整改闭环资料、限值限量总量核算成果、平台运行及数据备份资料、设备状态清单及甲方要求的其他资料。乙方提交资料不完整、不规范的，甲方有权要求补充完善。</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10.7</w:t>
      </w:r>
      <w:r>
        <w:rPr>
          <w:rFonts w:hint="default" w:ascii="仿宋_GB2312" w:hAnsi="仿宋_GB2312" w:eastAsia="仿宋_GB2312" w:cs="Times New Roman"/>
          <w:b w:val="0"/>
          <w:sz w:val="24"/>
          <w:highlight w:val="none"/>
        </w:rPr>
        <w:t xml:space="preserve">验收程序：乙方应按照约定时间向甲方提交书面验收申请及完整验收资料。甲方收到完整验收资料后，在10个工作日内组织验收，并形成书面验收意见或履约验收书。验收发现问题的，乙方应在甲方规定期限内完成整改，并提交整改报告及相关证明材料。甲方对整改情况进行复核，复核通过的，认定为整改后合格；复核仍未通过的，认定为验收不合格。乙方对验收结果有异议的，应在收到书面验收意见后7个工作日内向甲方书面提出；逾期未提出的，视为认可验收结果。</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10.8</w:t>
      </w:r>
      <w:r>
        <w:rPr>
          <w:rFonts w:hint="default" w:ascii="仿宋_GB2312" w:hAnsi="仿宋_GB2312" w:eastAsia="仿宋_GB2312" w:cs="Times New Roman"/>
          <w:b w:val="0"/>
          <w:sz w:val="24"/>
          <w:highlight w:val="none"/>
        </w:rPr>
        <w:t xml:space="preserve">验收结果运用：环境空气质量在线监测标准站、VOC（PAMS57）站点及微型环境空气质量在线监测系统的季度考核结果，水质自动监测站</w:t>
      </w:r>
      <w:r>
        <w:rPr>
          <w:rFonts w:hint="default" w:ascii="仿宋_GB2312" w:hAnsi="仿宋_GB2312" w:eastAsia="仿宋_GB2312" w:cs="Times New Roman"/>
          <w:b w:val="0"/>
          <w:sz w:val="24"/>
          <w:highlight w:val="none"/>
        </w:rPr>
        <w:t xml:space="preserve">的半年度考核结果，以及软件平台、限值限量总量核算、月度资料审核和整改闭环情况，均作为半年度履约验收、费用支付和费用扣减的重要依据。同一半年度内，按季度考核的项目原则上取两个季度考核结果的算术平均值，作为该半年度相应项目的考核结果。验收不合格的，甲方有权要求乙方限期免费整改、暂停支付相应费用，并按照采购需求和合同约定扣减服务费用；经两次整改仍不合格，或者存在数据弄虚作假、设备长期停运、严重影响生态环境监管等情形的，甲方有权解除合同并追究乙方违约责任。年度综合验收结果作为甲方决定是否续签下一年度合同的重要依据。</w:t>
      </w:r>
      <w:r/>
    </w:p>
    <w:p>
      <w:pPr>
        <w:ind w:firstLine="480"/>
        <w:jc w:val="left"/>
        <w:spacing w:before="160" w:after="80" w:line="288" w:lineRule="auto"/>
        <w:rPr>
          <w:rFonts w:hint="default" w:ascii="仿宋_GB2312" w:hAnsi="仿宋_GB2312" w:eastAsia="仿宋_GB2312" w:cs="Times New Roman"/>
          <w:b w:val="0"/>
          <w:sz w:val="24"/>
          <w:highlight w:val="none"/>
        </w:rPr>
      </w:pPr>
      <w:r>
        <w:rPr>
          <w:rFonts w:hint="eastAsia" w:ascii="仿宋_GB2312" w:hAnsi="仿宋_GB2312" w:eastAsia="仿宋_GB2312" w:cs="Times New Roman"/>
          <w:b w:val="0"/>
          <w:sz w:val="24"/>
          <w:highlight w:val="none"/>
          <w:lang w:val="en-US" w:eastAsia="zh-CN"/>
        </w:rPr>
        <w:t xml:space="preserve">10.9</w:t>
      </w:r>
      <w:r>
        <w:rPr>
          <w:rFonts w:hint="default" w:ascii="仿宋_GB2312" w:hAnsi="仿宋_GB2312" w:eastAsia="仿宋_GB2312" w:cs="Times New Roman"/>
          <w:b w:val="0"/>
          <w:sz w:val="24"/>
          <w:highlight w:val="none"/>
        </w:rPr>
        <w:t xml:space="preserve">验收其他事项：履约验收过程中产生的常规资料编制、设备检测、校准、比对、标样考核及技术人员配合等费用，已包含在合同价款中，由乙方承担。履约验收按照江苏省财政厅关于政府采购履约验收管理的有关规定执行；合同与相关规定不一致的，以现行法律法规及政府采购监管规定为准。</w:t>
      </w:r>
      <w:r/>
    </w:p>
    <w:p>
      <w:pPr>
        <w:ind w:firstLine="562"/>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第十一条  违约责任</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11.1 乙方服务不符合合同约定、采购需求、投标承诺或相关规范要求的，甲方有权要求乙方限期整改、扣减服务费用、暂停付款、扣除履约保证金（如有）或解除合同；乙方应赔偿因此给甲方造成的损失。</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11.2 乙方逾期进场、逾期完成整改、逾期提交成果或无正当理由未按要求提供服务的，每逾期1日，按合同年度总金额的1‰向甲方支付违约金；逾期达30日或严重影响项目运行的，甲方有权解除合同。</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11.3 乙方存在数据弄虚作假、人为干扰监测、擅自修改参数、擅自改变采样管路、拒绝检查、泄露数据资料、转包、未经同意分包、严重安全事故、重大质量问题或其他严重违约情形的，甲方有权立即解除合同，乙方应按合同年度总金额5%向甲方支付违约金；违约金不足以弥补损失的，乙方继续赔偿。</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11.4 甲方无正当理由拒绝验收或逾期付款的，按法律法规及政府采购合同管理有关规定承担相应责任。因财政支付程序、审计、整改、考核争议、乙方资料不齐或发票不合规导致付款延迟的，不视为甲方违约。</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第十二条  合同变更、解除与终止</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12.1 本合同生效后，除法律法规规定或双方协商一致并履行政府采购管理程序外，任何一方不得擅自变更、中止或终止合同。</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12.2 出现下列情形之一的，甲方有权解除合同：乙方季度考核低于80分且整改不到位；连续或多次出现设备长时间停运、数据严重缺失；发生数据失真或弄虚作假；拒绝、阻碍检查；擅自转包或违法分包；泄露项目数据资料；发生重大安全、质量或廉政问题；法律法规规定或合同约定的其他解除情形。</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12.3 合同解除或终止时，乙方应按甲方要求完成资料、账号、设备状态、备品备件、运行记录、数据成果等移交，不得以任何理由拒绝、拖延或设置障碍。</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第十三条  不可抗力</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13.1 因地震、洪水、台风、战争、政府行为等不可抗力导致合同不能履行或需延期履行的，受影响方应在不可抗力发生后10日内书面通知另一方，并在合理期限内提供证明。</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13.2 不可抗力影响消除后，双方应继续履行合同；确不能履行的，双方按已实际履行且经甲方确认合格的服务内容进行结算。乙方应采取合理措施减少损失并保障数据和设备安全。</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第十四条  廉政与合规</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14.1 乙方及其人员不得向甲方工作人员或相关人员赠送礼金、礼品、有价证券、消费卡、回扣、佣金或提供宴请、旅游、娱乐等不正当利益。</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14.2 乙方应依法依规用工、纳税、投保，遵守安全生产、环境保护、保密、数据安全、网络安全等法律法规。因乙方违法违规造成的行政处罚、民事赔偿、刑事责任或不良影响，由乙方自行承担。</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第十五条  争议解决</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15.1 因本合同履行发生争议的，双方应先友好协商解决；协商不成的，任何一方均可向甲方住所地有管辖权的人民法院提起诉讼。</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15.2 争议处理期间，除争议事项外，双方应继续履行合同中不受争议影响的其他条款。</w:t>
      </w:r>
      <w:r/>
    </w:p>
    <w:p>
      <w:pPr>
        <w:jc w:val="left"/>
        <w:spacing w:before="160" w:after="80" w:line="288" w:lineRule="auto"/>
        <w:rPr>
          <w:rFonts w:hint="default" w:ascii="仿宋_GB2312" w:hAnsi="仿宋_GB2312" w:eastAsia="仿宋_GB2312" w:cs="Times New Roman"/>
          <w:sz w:val="24"/>
        </w:rPr>
      </w:pPr>
      <w:r>
        <w:rPr>
          <w:rFonts w:hint="default" w:ascii="仿宋_GB2312" w:hAnsi="仿宋_GB2312" w:eastAsia="仿宋_GB2312" w:cs="Times New Roman"/>
          <w:b/>
          <w:sz w:val="28"/>
        </w:rPr>
        <w:t xml:space="preserve">第十六条  其他</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16.1 本合同经甲乙双方加盖公章或合同专用章后生效。</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16.2 本合同一式四份，甲乙双方各执二份，具有同等法律效力。</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16.3 本合同未尽事宜，双方可另行签订补充协议；补充协议与本合同具有同等法律效力。</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sz w:val="24"/>
        </w:rPr>
        <w:t xml:space="preserve">16.4 本合同附件为本合同不可分割的组成部分，与正文具有同等法律效力。采购需求（发布稿）作为本合同附件，是确定乙方服务义务、技术标准、考核依据、验收依据和付款扣减依据的重要组成部分。</w:t>
      </w:r>
      <w:r/>
    </w:p>
    <w:p>
      <w:pPr>
        <w:jc w:val="center"/>
        <w:spacing w:before="0" w:after="0" w:line="300" w:lineRule="auto"/>
        <w:rPr>
          <w:rFonts w:hint="default" w:ascii="仿宋_GB2312" w:hAnsi="仿宋_GB2312" w:eastAsia="仿宋_GB2312" w:cs="Times New Roman"/>
          <w:b w:val="0"/>
          <w:sz w:val="24"/>
        </w:rPr>
      </w:pPr>
      <w:r>
        <w:rPr>
          <w:rFonts w:hint="default" w:ascii="仿宋_GB2312" w:hAnsi="仿宋_GB2312" w:eastAsia="仿宋_GB2312" w:cs="Times New Roman"/>
          <w:b w:val="0"/>
          <w:sz w:val="24"/>
        </w:rPr>
        <w:t xml:space="preserve">（以下无正文，为合同签署页）</w:t>
      </w:r>
      <w:r/>
    </w:p>
    <w:p>
      <w:pPr>
        <w:rPr>
          <w:rFonts w:hint="default" w:ascii="仿宋_GB2312" w:hAnsi="仿宋_GB2312" w:eastAsia="仿宋_GB2312" w:cs="Times New Roman"/>
          <w:sz w:val="24"/>
        </w:rPr>
      </w:pPr>
      <w:r>
        <w:rPr>
          <w:rFonts w:hint="default" w:ascii="仿宋_GB2312" w:hAnsi="仿宋_GB2312" w:eastAsia="仿宋_GB2312" w:cs="Times New Roman"/>
          <w:sz w:val="24"/>
        </w:rPr>
      </w:r>
      <w:r/>
    </w:p>
    <w:p>
      <w:pPr>
        <w:jc w:val="center"/>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sz w:val="32"/>
        </w:rPr>
        <w:t xml:space="preserve">签署页</w:t>
      </w:r>
      <w:r/>
    </w:p>
    <w:tbl>
      <w:tblPr>
        <w:tblStyle w:val="75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130"/>
        <w:gridCol w:w="4130"/>
      </w:tblGrid>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甲方：（公章）</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乙方：（公章）</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法定代表人或委托代理人（签字）：</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法定代表人或委托代理人（签字）：</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签字日期：      年    月    日</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签字日期：      年    月    日</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联系人：</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联系人：</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电话：</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电话：</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电子信箱：</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电子信箱：</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地址：</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地址：</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邮政编码：</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邮政编码：</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开户银行：</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开户银行：</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账号：</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账号：</w:t>
            </w:r>
            <w:r/>
          </w:p>
        </w:tc>
      </w:tr>
      <w:tr>
        <w:trPr>
          <w:jc w:val="center"/>
          <w:trHeight w:val="474"/>
        </w:trPr>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统一社会信用代码：</w:t>
            </w:r>
            <w:r/>
          </w:p>
        </w:tc>
        <w:tc>
          <w:tcPr>
            <w:tcW w:w="4130" w:type="dxa"/>
            <w:vAlign w:val="center"/>
            <w:textDirection w:val="lrTb"/>
            <w:noWrap w:val="false"/>
          </w:tcPr>
          <w:p>
            <w:pPr>
              <w:jc w:val="left"/>
              <w:spacing w:after="160"/>
              <w:rPr>
                <w:rFonts w:hint="default" w:ascii="仿宋_GB2312" w:hAnsi="仿宋_GB2312" w:eastAsia="仿宋_GB2312" w:cs="Times New Roman"/>
                <w:sz w:val="24"/>
              </w:rPr>
            </w:pPr>
            <w:r>
              <w:rPr>
                <w:rFonts w:hint="default" w:ascii="仿宋_GB2312" w:hAnsi="仿宋_GB2312" w:eastAsia="仿宋_GB2312" w:cs="Times New Roman"/>
                <w:b w:val="0"/>
                <w:sz w:val="22"/>
              </w:rPr>
              <w:t xml:space="preserve">统一社会信用代码：</w:t>
            </w:r>
            <w:r/>
          </w:p>
        </w:tc>
      </w:tr>
    </w:tbl>
    <w:p>
      <w:pPr>
        <w:rPr>
          <w:rFonts w:hint="default" w:ascii="仿宋_GB2312" w:hAnsi="仿宋_GB2312" w:eastAsia="仿宋_GB2312" w:cs="Times New Roman"/>
          <w:sz w:val="24"/>
        </w:rPr>
      </w:pPr>
      <w:r>
        <w:rPr>
          <w:rFonts w:hint="default" w:ascii="仿宋_GB2312" w:hAnsi="仿宋_GB2312" w:eastAsia="仿宋_GB2312" w:cs="Times New Roman"/>
          <w:sz w:val="24"/>
        </w:rPr>
        <w:br w:type="page" w:clear="all"/>
      </w:r>
      <w:r/>
    </w:p>
    <w:p>
      <w:pPr>
        <w:jc w:val="center"/>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sz w:val="30"/>
        </w:rPr>
        <w:t xml:space="preserve">附件1  服务成果和资料提交要求</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一、乙方应按月提交：月度运维报告、巡检记录、故障维修记录、质控校准记录、耗材更换记录、数据审核记录、异常情况处置记录、平台运行记录等。</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二、乙方应按季度提交：季度运维总结、季度绩效自评表、季度限值限量总量核算资料、季度数据备份资料、季度质控及整改闭环材料。</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三、乙方应按年度提交：年度服务总结、年度总量核算报告、年度设备状态评估报告、年度质控报告、年度档案汇编、下一年度运维建议。</w:t>
      </w:r>
      <w:r/>
    </w:p>
    <w:p>
      <w:pPr>
        <w:ind w:firstLine="480"/>
        <w:spacing w:before="0" w:after="0" w:line="300" w:lineRule="auto"/>
        <w:rPr>
          <w:rFonts w:hint="default" w:ascii="仿宋_GB2312" w:hAnsi="仿宋_GB2312" w:eastAsia="仿宋_GB2312" w:cs="Times New Roman"/>
          <w:sz w:val="24"/>
        </w:rPr>
      </w:pPr>
      <w:r>
        <w:rPr>
          <w:rFonts w:hint="default" w:ascii="仿宋_GB2312" w:hAnsi="仿宋_GB2312" w:eastAsia="仿宋_GB2312" w:cs="Times New Roman"/>
          <w:b w:val="0"/>
          <w:sz w:val="24"/>
        </w:rPr>
        <w:t xml:space="preserve">四、甲方临时要求的应急分析、污染溯源、数据核查、情况说明、整改报告等，乙方应按甲方限定时间提交。</w:t>
      </w:r>
      <w:r/>
    </w:p>
    <w:p>
      <w:pPr>
        <w:rPr>
          <w:rFonts w:hint="default" w:ascii="仿宋_GB2312" w:hAnsi="仿宋_GB2312" w:eastAsia="仿宋_GB2312" w:cs="Times New Roman"/>
          <w:sz w:val="24"/>
        </w:rPr>
      </w:pPr>
      <w:r>
        <w:rPr>
          <w:rFonts w:hint="default" w:ascii="仿宋_GB2312" w:hAnsi="仿宋_GB2312" w:eastAsia="仿宋_GB2312" w:cs="Times New Roman"/>
          <w:sz w:val="24"/>
        </w:rPr>
        <w:br w:type="page" w:clear="all"/>
      </w:r>
      <w:r/>
    </w:p>
    <w:p>
      <w:pPr>
        <w:keepLines/>
        <w:keepNext/>
        <w:spacing w:before="480" w:after="0" w:line="276" w:lineRule="auto"/>
        <w:rPr>
          <w:rFonts w:ascii="Calibri" w:hAnsi="Calibri" w:eastAsia="宋体" w:cs="Times New Roman"/>
          <w:b w:val="0"/>
          <w:bCs w:val="0"/>
          <w:color w:val="auto"/>
          <w:sz w:val="28"/>
          <w:szCs w:val="28"/>
          <w:lang w:val="en-US" w:eastAsia="en-US" w:bidi="ar-SA"/>
        </w:rPr>
        <w:outlineLvl w:val="0"/>
      </w:pPr>
      <w:r>
        <w:rPr>
          <w:rFonts w:ascii="仿宋_GB2312" w:hAnsi="仿宋_GB2312" w:eastAsia="仿宋_GB2312" w:cs="Times New Roman"/>
          <w:b w:val="0"/>
          <w:bCs w:val="0"/>
          <w:color w:val="auto"/>
          <w:sz w:val="24"/>
          <w:szCs w:val="28"/>
          <w:lang w:val="en-US" w:eastAsia="en-US" w:bidi="ar-SA"/>
        </w:rPr>
        <w:t xml:space="preserve">附件2  采购需求（发布稿）</w:t>
      </w:r>
      <w:r/>
    </w:p>
    <w:p>
      <w:pPr>
        <w:ind w:firstLine="480"/>
        <w:rPr>
          <w:rFonts w:hint="default" w:ascii="仿宋_GB2312" w:hAnsi="仿宋_GB2312" w:eastAsia="仿宋_GB2312" w:cs="Times New Roman"/>
          <w:sz w:val="24"/>
        </w:rPr>
      </w:pPr>
      <w:r>
        <w:rPr>
          <w:rFonts w:hint="default" w:ascii="仿宋_GB2312" w:hAnsi="仿宋_GB2312" w:eastAsia="仿宋_GB2312" w:cs="Times New Roman"/>
          <w:sz w:val="24"/>
        </w:rPr>
        <w:t xml:space="preserve">本项目采购需求（发布稿）及依法发布的澄清、修改文件作为本合同附件，与本合同正文具有同等法律效力。采购需求（发布稿）中关于服务范围、运维内容、技术标准、运行维护频次、质量控制、故障响应、数据报送、考核指标、评分标准、扣款情形、验收依据等内容，均为乙方履约、甲方考核验收及付款扣减的重要依据。</w:t>
      </w:r>
      <w:r/>
    </w:p>
    <w:p>
      <w:pPr>
        <w:ind w:firstLine="480"/>
        <w:rPr>
          <w:rFonts w:hint="default" w:ascii="仿宋_GB2312" w:hAnsi="仿宋_GB2312" w:eastAsia="仿宋_GB2312" w:cs="Times New Roman"/>
          <w:sz w:val="24"/>
        </w:rPr>
      </w:pPr>
      <w:r>
        <w:rPr>
          <w:rFonts w:hint="default" w:ascii="仿宋_GB2312" w:hAnsi="仿宋_GB2312" w:eastAsia="仿宋_GB2312" w:cs="Times New Roman"/>
          <w:sz w:val="24"/>
        </w:rPr>
        <w:t xml:space="preserve">签订合同时，双方可将采购需求（发布稿）随本合同一并装订或另册加盖骑缝章、双方确认章；如另册保存，应在合同归档材料中同步留存。</w:t>
      </w:r>
      <w:r/>
    </w:p>
    <w:p>
      <w:pPr>
        <w:pStyle w:val="809"/>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pStyle w:val="810"/>
        <w:rPr>
          <w:rFonts w:ascii="仿宋" w:hAnsi="仿宋" w:eastAsia="仿宋" w:cs="仿宋"/>
          <w:color w:val="000000"/>
          <w:sz w:val="28"/>
          <w:szCs w:val="24"/>
          <w:lang w:eastAsia="zh-CN"/>
        </w:rPr>
      </w:pPr>
      <w:r>
        <w:rPr>
          <w:rFonts w:ascii="仿宋" w:hAnsi="仿宋" w:eastAsia="仿宋" w:cs="仿宋"/>
          <w:color w:val="000000"/>
          <w:sz w:val="28"/>
          <w:szCs w:val="24"/>
          <w:lang w:eastAsia="zh-CN"/>
        </w:rPr>
      </w:r>
      <w:r/>
    </w:p>
    <w:p>
      <w:pPr>
        <w:numPr>
          <w:ilvl w:val="0"/>
          <w:numId w:val="1"/>
        </w:numPr>
        <w:jc w:val="center"/>
        <w:spacing w:line="400" w:lineRule="exact"/>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采购需求</w:t>
      </w:r>
      <w:bookmarkStart w:id="6" w:name="_Toc324452802"/>
      <w:r/>
      <w:bookmarkEnd w:id="6"/>
      <w:r/>
      <w:bookmarkStart w:id="7" w:name="_Toc322457054"/>
      <w:r/>
      <w:bookmarkEnd w:id="7"/>
      <w:r/>
      <w:r/>
    </w:p>
    <w:p>
      <w:pPr>
        <w:pStyle w:val="776"/>
        <w:ind w:left="0" w:firstLine="0"/>
        <w:rPr>
          <w:highlight w:val="none"/>
        </w:rPr>
      </w:pPr>
      <w:r>
        <w:rPr>
          <w:highlight w:val="none"/>
        </w:rPr>
      </w:r>
      <w:r/>
    </w:p>
    <w:p>
      <w:pPr>
        <w:ind w:firstLine="482"/>
        <w:jc w:val="both"/>
        <w:spacing w:after="0"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一、采购预算</w:t>
      </w:r>
      <w:r/>
    </w:p>
    <w:p>
      <w:pPr>
        <w:ind w:firstLine="482"/>
        <w:jc w:val="both"/>
        <w:spacing w:after="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本项目不接受超过</w:t>
      </w:r>
      <w:r>
        <w:rPr>
          <w:rFonts w:hint="eastAsia" w:ascii="宋体" w:hAnsi="宋体" w:eastAsia="宋体" w:cs="宋体"/>
          <w:b/>
          <w:bCs/>
          <w:sz w:val="24"/>
          <w:szCs w:val="24"/>
          <w:lang w:val="en-US" w:eastAsia="zh-CN"/>
        </w:rPr>
        <w:t xml:space="preserve">300</w:t>
      </w:r>
      <w:r>
        <w:rPr>
          <w:rFonts w:hint="eastAsia" w:ascii="宋体" w:hAnsi="宋体" w:eastAsia="宋体" w:cs="宋体"/>
          <w:b/>
          <w:bCs/>
          <w:sz w:val="24"/>
          <w:szCs w:val="24"/>
          <w:lang w:eastAsia="zh-CN"/>
        </w:rPr>
        <w:t xml:space="preserve">万元人民币（采购项目预算金额）的投标报价</w:t>
      </w:r>
      <w:r>
        <w:rPr>
          <w:rFonts w:hint="eastAsia" w:ascii="宋体" w:hAnsi="宋体" w:eastAsia="宋体" w:cs="宋体"/>
          <w:b/>
          <w:bCs/>
          <w:sz w:val="24"/>
          <w:szCs w:val="24"/>
          <w:lang w:val="en-US" w:eastAsia="zh-CN"/>
        </w:rPr>
        <w:t xml:space="preserve">及每年不超过100万元人民币投标报价</w:t>
      </w:r>
      <w:r>
        <w:rPr>
          <w:rFonts w:hint="eastAsia" w:ascii="宋体" w:hAnsi="宋体" w:eastAsia="宋体" w:cs="宋体"/>
          <w:b/>
          <w:bCs/>
          <w:sz w:val="24"/>
          <w:szCs w:val="24"/>
          <w:lang w:eastAsia="zh-CN"/>
        </w:rPr>
        <w:t xml:space="preserve">。报价包括全部费用，采购人不再支付报价以外的任何费用。</w:t>
      </w:r>
      <w:r/>
    </w:p>
    <w:p>
      <w:pPr>
        <w:ind w:firstLine="482"/>
        <w:spacing w:line="360" w:lineRule="auto"/>
        <w:rPr>
          <w:rFonts w:hint="eastAsia" w:ascii="宋体" w:hAnsi="宋体" w:eastAsia="宋体" w:cs="宋体"/>
          <w:bCs/>
          <w:sz w:val="24"/>
          <w:szCs w:val="24"/>
          <w:lang w:val="en-US" w:eastAsia="zh-CN" w:bidi="ar-SA"/>
        </w:rPr>
      </w:pPr>
      <w:r>
        <w:rPr>
          <w:rFonts w:hint="eastAsia" w:ascii="宋体" w:hAnsi="宋体" w:eastAsia="宋体" w:cs="宋体"/>
          <w:b/>
          <w:bCs/>
          <w:sz w:val="24"/>
          <w:szCs w:val="24"/>
          <w:lang w:val="en-US" w:eastAsia="zh-CN" w:bidi="ar-SA"/>
        </w:rPr>
        <w:t xml:space="preserve">二、项目概述</w:t>
      </w:r>
      <w:r/>
    </w:p>
    <w:p>
      <w:pPr>
        <w:ind w:firstLine="48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徐州</w:t>
      </w:r>
      <w:r>
        <w:rPr>
          <w:rFonts w:hint="eastAsia" w:ascii="宋体" w:hAnsi="宋体" w:eastAsia="宋体" w:cs="宋体"/>
          <w:sz w:val="24"/>
          <w:szCs w:val="24"/>
          <w:lang w:val="en-US" w:eastAsia="zh-CN"/>
        </w:rPr>
        <w:t xml:space="preserve">睢宁</w:t>
      </w:r>
      <w:r>
        <w:rPr>
          <w:rFonts w:hint="eastAsia" w:ascii="宋体" w:hAnsi="宋体" w:eastAsia="宋体" w:cs="宋体"/>
          <w:sz w:val="24"/>
          <w:szCs w:val="24"/>
          <w:lang w:eastAsia="zh-CN"/>
        </w:rPr>
        <w:t xml:space="preserve">经济开发区按照限值限量管理和总量核算要求，对园区监测监控体系进行完善，实现实时全面监控、污染来源快速识别和应急响应快速高效的管理目的，标准化、自动化、信息化水平显著提高，能够说得清污染来源和污染成因，源头治理和限值限量管理得到有效支撑，精准治污水平得到明显提升。目前园区已按照要求建设了2个环境空气质量在线监测标准站；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套微型环境空气质量在线监测系统；</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个水质自动监测站；2套VOC(PAMS57)站点；园区限制限量季度、年度核算。如下表所示：</w:t>
      </w:r>
      <w:r/>
    </w:p>
    <w:tbl>
      <w:tblPr>
        <w:tblStyle w:val="802"/>
        <w:tblW w:w="47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279"/>
        <w:gridCol w:w="4204"/>
        <w:gridCol w:w="933"/>
      </w:tblGrid>
      <w:tr>
        <w:trPr>
          <w:trHeight w:val="662"/>
        </w:trPr>
        <w:tc>
          <w:tcPr>
            <w:tcW w:w="405"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序号</w:t>
            </w:r>
            <w:r/>
          </w:p>
        </w:tc>
        <w:tc>
          <w:tcPr>
            <w:tcW w:w="1412"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名称</w:t>
            </w:r>
            <w:r/>
          </w:p>
        </w:tc>
        <w:tc>
          <w:tcPr>
            <w:tcW w:w="2604"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监测因子</w:t>
            </w:r>
            <w:r/>
          </w:p>
        </w:tc>
        <w:tc>
          <w:tcPr>
            <w:tcW w:w="577"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数量</w:t>
            </w:r>
            <w:r/>
          </w:p>
        </w:tc>
      </w:tr>
      <w:tr>
        <w:trPr>
          <w:trHeight w:val="982"/>
        </w:trPr>
        <w:tc>
          <w:tcPr>
            <w:tcW w:w="405"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1412"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环境空气质量在线监测标准站</w:t>
            </w:r>
            <w:r/>
          </w:p>
        </w:tc>
        <w:tc>
          <w:tcPr>
            <w:tcW w:w="2604"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二氧化硫、二氧化氮、一氧化碳、臭氧、PM2.5、PM10、PAMS57、气象五参数</w:t>
            </w:r>
            <w:r/>
          </w:p>
        </w:tc>
        <w:tc>
          <w:tcPr>
            <w:tcW w:w="577"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r>
      <w:tr>
        <w:trPr>
          <w:trHeight w:val="982"/>
        </w:trPr>
        <w:tc>
          <w:tcPr>
            <w:tcW w:w="405"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c>
          <w:tcPr>
            <w:tcW w:w="1412"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微型环境空气质量在线监测系统</w:t>
            </w:r>
            <w:r/>
          </w:p>
        </w:tc>
        <w:tc>
          <w:tcPr>
            <w:tcW w:w="2604"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二氧化硫、二氧化氮、一氧化碳、臭氧、PM2.5、PM10、TVOC、气象五参数</w:t>
            </w:r>
            <w:r/>
          </w:p>
        </w:tc>
        <w:tc>
          <w:tcPr>
            <w:tcW w:w="577"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sz w:val="24"/>
                <w:szCs w:val="24"/>
                <w:lang w:val="en-US" w:eastAsia="zh-CN"/>
              </w:rPr>
              <w:t xml:space="preserve">3</w:t>
            </w:r>
            <w:r/>
          </w:p>
        </w:tc>
      </w:tr>
      <w:tr>
        <w:trPr>
          <w:trHeight w:val="982"/>
        </w:trPr>
        <w:tc>
          <w:tcPr>
            <w:tcW w:w="405"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w:t>
            </w:r>
            <w:r/>
          </w:p>
        </w:tc>
        <w:tc>
          <w:tcPr>
            <w:tcW w:w="1412"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水质自动监测站</w:t>
            </w:r>
            <w:r/>
          </w:p>
        </w:tc>
        <w:tc>
          <w:tcPr>
            <w:tcW w:w="2604"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溶解氧、PH、浊度、电导率、温度、高锰酸盐指数、氨氮、总磷、总氮</w:t>
            </w:r>
            <w:r/>
          </w:p>
        </w:tc>
        <w:tc>
          <w:tcPr>
            <w:tcW w:w="577"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r>
      <w:tr>
        <w:trPr>
          <w:trHeight w:val="662"/>
        </w:trPr>
        <w:tc>
          <w:tcPr>
            <w:tcW w:w="405"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p>
        </w:tc>
        <w:tc>
          <w:tcPr>
            <w:tcW w:w="1412"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VOC(PAMS57)</w:t>
            </w:r>
            <w:r/>
          </w:p>
        </w:tc>
        <w:tc>
          <w:tcPr>
            <w:tcW w:w="2604"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57种因子</w:t>
            </w:r>
            <w:r/>
          </w:p>
        </w:tc>
        <w:tc>
          <w:tcPr>
            <w:tcW w:w="577"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p>
        </w:tc>
      </w:tr>
      <w:tr>
        <w:trPr>
          <w:trHeight w:val="848"/>
        </w:trPr>
        <w:tc>
          <w:tcPr>
            <w:tcW w:w="405"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p>
        </w:tc>
        <w:tc>
          <w:tcPr>
            <w:tcW w:w="1412"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园区限值限量总量核算、软件平台服务费</w:t>
            </w:r>
            <w:r/>
          </w:p>
        </w:tc>
        <w:tc>
          <w:tcPr>
            <w:tcW w:w="2604"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577" w:type="pct"/>
            <w:vAlign w:val="center"/>
            <w:textDirection w:val="lrTb"/>
            <w:noWrap w:val="false"/>
          </w:tcPr>
          <w:p>
            <w:pPr>
              <w:ind w:firstLine="0"/>
              <w:jc w:val="center"/>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r>
    </w:tbl>
    <w:p>
      <w:pPr>
        <w:ind w:firstLine="48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由于项目情况目前上述设备需要进行运行维护，持续保障设备的稳定运行，为园区的污染防治管控与环境能力提升发挥作用。</w:t>
      </w:r>
      <w:r/>
    </w:p>
    <w:p>
      <w:pPr>
        <w:ind w:firstLine="482"/>
        <w:spacing w:after="0" w:line="360" w:lineRule="auto"/>
        <w:rPr>
          <w:rFonts w:hint="default" w:ascii="Times New Roman" w:hAnsi="Times New Roman" w:eastAsia="宋体" w:cs="Times New Roman"/>
          <w:b/>
          <w:bCs/>
          <w:sz w:val="21"/>
          <w:szCs w:val="24"/>
          <w:lang w:eastAsia="zh-CN"/>
        </w:rPr>
      </w:pPr>
      <w:r>
        <w:rPr>
          <w:rFonts w:hint="default" w:ascii="Times New Roman" w:hAnsi="Times New Roman" w:eastAsia="宋体" w:cs="Times New Roman"/>
          <w:b/>
          <w:bCs/>
          <w:sz w:val="21"/>
          <w:szCs w:val="24"/>
          <w:lang w:eastAsia="zh-CN"/>
        </w:rPr>
        <w:t xml:space="preserve">三、</w:t>
      </w:r>
      <w:r>
        <w:rPr>
          <w:rFonts w:hint="eastAsia" w:ascii="Times New Roman" w:hAnsi="Times New Roman" w:eastAsia="宋体" w:cs="Times New Roman"/>
          <w:b/>
          <w:bCs/>
          <w:sz w:val="21"/>
          <w:szCs w:val="24"/>
          <w:lang w:val="en-US" w:eastAsia="zh-CN"/>
        </w:rPr>
        <w:t xml:space="preserve">采购内容、</w:t>
      </w:r>
      <w:r>
        <w:rPr>
          <w:rFonts w:hint="default" w:ascii="Times New Roman" w:hAnsi="Times New Roman" w:eastAsia="宋体" w:cs="Times New Roman"/>
          <w:b/>
          <w:bCs/>
          <w:sz w:val="21"/>
          <w:szCs w:val="24"/>
          <w:lang w:eastAsia="zh-CN"/>
        </w:rPr>
        <w:t xml:space="preserve">技术要求及相关说明</w:t>
      </w:r>
      <w:r/>
    </w:p>
    <w:p>
      <w:pPr>
        <w:ind w:firstLine="630"/>
        <w:spacing w:after="0" w:line="360" w:lineRule="auto"/>
        <w:rPr>
          <w:rFonts w:hint="default" w:ascii="Times New Roman" w:hAnsi="Times New Roman" w:eastAsia="宋体" w:cs="Times New Roman"/>
          <w:sz w:val="21"/>
          <w:szCs w:val="24"/>
          <w:lang w:eastAsia="zh-CN"/>
        </w:rPr>
      </w:pPr>
      <w:r>
        <w:rPr>
          <w:rFonts w:hint="eastAsia" w:ascii="Times New Roman" w:hAnsi="Times New Roman" w:eastAsia="宋体" w:cs="Times New Roman"/>
          <w:sz w:val="21"/>
          <w:szCs w:val="24"/>
          <w:lang w:eastAsia="zh-CN"/>
        </w:rPr>
        <w:t xml:space="preserve">项目服务期间，供应商提供智慧环保数字化服务，通过信息集成、数据分析、报警提醒等信息化手段，为园区环境质量和污染物排放总量动态评估等提供技术支撑和数据服务。主要服务内容包括：通过园区环境质量监测监控站点数据接入与整合，实现园区环境质量数据展示、环境质量分析溯源、园区限值限量总量模拟核算、园区环境考核指标告警提醒等。</w:t>
      </w:r>
      <w:r/>
    </w:p>
    <w:p>
      <w:pPr>
        <w:ind w:firstLine="482"/>
        <w:spacing w:after="0" w:line="360" w:lineRule="auto"/>
        <w:rPr>
          <w:rFonts w:hint="default" w:ascii="Times New Roman" w:hAnsi="Times New Roman" w:eastAsia="宋体" w:cs="Times New Roman"/>
          <w:b/>
          <w:bCs/>
          <w:sz w:val="21"/>
          <w:szCs w:val="24"/>
          <w:lang w:val="en-US" w:eastAsia="zh-CN"/>
        </w:rPr>
      </w:pPr>
      <w:r>
        <w:rPr>
          <w:rFonts w:hint="default" w:ascii="Times New Roman" w:hAnsi="Times New Roman" w:eastAsia="宋体" w:cs="Times New Roman"/>
          <w:b/>
          <w:bCs/>
          <w:sz w:val="21"/>
          <w:szCs w:val="24"/>
          <w:lang w:eastAsia="zh-CN"/>
        </w:rPr>
        <w:t xml:space="preserve">（一）空气自动监测站运维</w:t>
      </w:r>
      <w:r>
        <w:rPr>
          <w:rFonts w:hint="eastAsia" w:ascii="Times New Roman" w:hAnsi="Times New Roman" w:eastAsia="宋体" w:cs="Times New Roman"/>
          <w:b/>
          <w:bCs/>
          <w:sz w:val="21"/>
          <w:szCs w:val="24"/>
          <w:lang w:eastAsia="zh-CN"/>
        </w:rPr>
        <w:t xml:space="preserve">管理内容</w:t>
      </w:r>
      <w:r>
        <w:rPr>
          <w:rFonts w:hint="eastAsia" w:ascii="Times New Roman" w:hAnsi="Times New Roman" w:eastAsia="宋体" w:cs="Times New Roman"/>
          <w:b/>
          <w:bCs/>
          <w:sz w:val="21"/>
          <w:szCs w:val="24"/>
          <w:lang w:val="en-US" w:eastAsia="zh-CN"/>
        </w:rPr>
        <w:t xml:space="preserve">  </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1、运维工作内容</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运维过程中主要完成以下工作：</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（1）空气自动监测站的日常运行维护；</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（2）空气自动监测站的日常质量管理；</w:t>
      </w:r>
      <w:r/>
    </w:p>
    <w:p>
      <w:pPr>
        <w:ind w:firstLine="482"/>
        <w:spacing w:after="0" w:line="360" w:lineRule="auto"/>
        <w:rPr>
          <w:rFonts w:hint="default" w:ascii="Times New Roman" w:hAnsi="Times New Roman" w:eastAsia="宋体" w:cs="Times New Roman"/>
          <w:sz w:val="21"/>
          <w:szCs w:val="24"/>
          <w:lang w:val="en-US" w:eastAsia="zh-CN"/>
        </w:rPr>
      </w:pPr>
      <w:r>
        <w:rPr>
          <w:rFonts w:hint="default" w:ascii="Times New Roman" w:hAnsi="Times New Roman" w:eastAsia="宋体" w:cs="Times New Roman"/>
          <w:sz w:val="21"/>
          <w:szCs w:val="24"/>
          <w:lang w:eastAsia="zh-CN"/>
        </w:rPr>
        <w:t xml:space="preserve">（3）空气自动监测站的日常安全管理；</w:t>
      </w:r>
      <w:r>
        <w:rPr>
          <w:rFonts w:hint="eastAsia" w:ascii="Times New Roman" w:hAnsi="Times New Roman" w:eastAsia="宋体" w:cs="Times New Roman"/>
          <w:sz w:val="21"/>
          <w:szCs w:val="24"/>
          <w:lang w:val="en-US" w:eastAsia="zh-CN"/>
        </w:rPr>
        <w:t xml:space="preserve">   </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（4）空气自动监测站监测数据的日常审核、上报；</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（5）空气自动监测站的仪器设备维护保养及故障维修；</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（6）空气自动监测站其他相关辅助设备设施的维护、保养、维修。</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（7）空气自动监测站数据采集及传输系统的维护及维修，保证空气自动监测站通讯正常。</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（8）根据工作需要开展对空气自动监测站PM</w:t>
      </w:r>
      <w:r>
        <w:rPr>
          <w:rFonts w:hint="default" w:ascii="Times New Roman" w:hAnsi="Times New Roman" w:eastAsia="宋体" w:cs="Times New Roman"/>
          <w:sz w:val="21"/>
          <w:szCs w:val="24"/>
          <w:vertAlign w:val="subscript"/>
          <w:lang w:eastAsia="zh-CN"/>
        </w:rPr>
        <w:t xml:space="preserve">10</w:t>
      </w:r>
      <w:r>
        <w:rPr>
          <w:rFonts w:hint="default" w:ascii="Times New Roman" w:hAnsi="Times New Roman" w:eastAsia="宋体" w:cs="Times New Roman"/>
          <w:sz w:val="21"/>
          <w:szCs w:val="24"/>
          <w:lang w:eastAsia="zh-CN"/>
        </w:rPr>
        <w:t xml:space="preserve">与PM</w:t>
      </w:r>
      <w:r>
        <w:rPr>
          <w:rFonts w:hint="default" w:ascii="Times New Roman" w:hAnsi="Times New Roman" w:eastAsia="宋体" w:cs="Times New Roman"/>
          <w:sz w:val="21"/>
          <w:szCs w:val="24"/>
          <w:vertAlign w:val="subscript"/>
          <w:lang w:eastAsia="zh-CN"/>
        </w:rPr>
        <w:t xml:space="preserve">2.5</w:t>
      </w:r>
      <w:r>
        <w:rPr>
          <w:rFonts w:hint="default" w:ascii="Times New Roman" w:hAnsi="Times New Roman" w:eastAsia="宋体" w:cs="Times New Roman"/>
          <w:sz w:val="21"/>
          <w:szCs w:val="24"/>
          <w:lang w:eastAsia="zh-CN"/>
        </w:rPr>
        <w:t xml:space="preserve">自动监测的手工比对；</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（9）当仪器出现故障不能及时修复时，应在24小时之内使用备机开展监测；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（10）仪器报废后（包括因洪水、地震、台风、站房外部火灾、爆炸、恐怖袭击、武装冲突、蓄意破坏等不可抗力导致），运维单位须先行及时使用备机开展监测，同时进行报备。</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（11）当点位需要新增、撤销、变更时，由所在地生态环境部门按照点位管理程序向上级生态环境部门报批。涉及站点迁移的，运维单位应做好迁移前后监测仪器设备检查工作并做好相关记录。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2、运维工作目标</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运维单位必须建立完善的运行维护工作规范与质量管理体系，确保提供及时、准确、有效的监测数据，子站的运行质量应达到以下指标：</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（1）所获取的有效监测数据必须满足</w:t>
      </w:r>
      <w:bookmarkStart w:id="8" w:name="OLE_LINK24"/>
      <w:r/>
      <w:bookmarkStart w:id="9" w:name="OLE_LINK23"/>
      <w:r>
        <w:rPr>
          <w:rFonts w:hint="default" w:ascii="Times New Roman" w:hAnsi="Times New Roman" w:eastAsia="宋体" w:cs="Times New Roman"/>
          <w:sz w:val="21"/>
          <w:szCs w:val="24"/>
          <w:lang w:eastAsia="zh-CN"/>
        </w:rPr>
        <w:t xml:space="preserve">国家《环境空气质量标准》（GB 3095-2012）中规定的污染物浓度数据有效性最低要求</w:t>
      </w:r>
      <w:bookmarkEnd w:id="8"/>
      <w:r/>
      <w:bookmarkEnd w:id="9"/>
      <w:r>
        <w:rPr>
          <w:rFonts w:hint="default" w:ascii="Times New Roman" w:hAnsi="Times New Roman" w:eastAsia="宋体" w:cs="Times New Roman"/>
          <w:sz w:val="21"/>
          <w:szCs w:val="24"/>
          <w:lang w:eastAsia="zh-CN"/>
        </w:rPr>
        <w:t xml:space="preserve">。</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（2）单站设备运行率必须高于90%(含)，有效率必须高于85%(含)。</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（3）异常情况处理率100%。</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设备运行率是指已上传数据量与应上传数据量之比，数据有效率是指有效数据量与应上传数据量之比。</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3、运维工作要求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运维单位应遵守省国家、省关于空气自动站运行管理的各项规定，如运维期间出台新的运行管理规定，则运维工作按最新规定执行。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A、运维工作一般要求如下：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(1)保持站房内部环境清洁，布置整齐，各仪器设备干净清洁，设备标识清楚；</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(2)保持站房外20m以内的环境清洁；</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(3)检查供电和网络通讯情况，保证系统的正常运行;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(4)保证空调正常工作，站房内温度25±5℃，相对湿度保持在80%RH以下；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(5)指派专人维护，设备固定牢固，门窗关闭良好，人走关门，非工作人员未经许可不得入内；</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(6)定期检查消防和安全设施；</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(7)每次维护后做好系统运行维护记录；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(8)进行维护时，应规范操作，注意安全，防止意外发生。</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B、每日工作内容如下：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每天上午和下午两次远程查看空气自动监测站数据并形成记录，分析监测数据，对站点运行情况进行远程诊断和运行管理，内容包括：</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(1)判断系统数据采集与传输情况；</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(2)根据电源电压、站房温度、湿度数据判断站房内部情况；</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发现监测数据异常，应立即通知业主，在每日8时～22时出现的异常，应在4小时内解决（通信线路、电力线路故障除外，但应及时与相关部门联系积极解决），每日23~次日7时出现的异常，应在次日上午10时前解决。</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(4)发生重污染天气等特殊情况后，应在4小时内开展相应的运维工作；</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(5)根据数据分析结果、设备状态参数和仪器故障报警信号，判断仪器运行情况和现场状况；</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(6)每日检查数据是否及时上传并正常发布，发现数据断网及时恢复。</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C、每周工作内容如下：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每周至少巡检空气自动监测站1次（</w:t>
      </w:r>
      <w:r>
        <w:rPr>
          <w:rFonts w:hint="eastAsia" w:ascii="Times New Roman" w:hAnsi="Times New Roman" w:eastAsia="宋体" w:cs="Times New Roman"/>
          <w:sz w:val="21"/>
          <w:szCs w:val="24"/>
          <w:lang w:eastAsia="zh-CN"/>
        </w:rPr>
        <w:t xml:space="preserve">运维</w:t>
      </w:r>
      <w:r>
        <w:rPr>
          <w:rFonts w:hint="default" w:ascii="Times New Roman" w:hAnsi="Times New Roman" w:eastAsia="宋体" w:cs="Times New Roman"/>
          <w:sz w:val="21"/>
          <w:szCs w:val="24"/>
          <w:lang w:eastAsia="zh-CN"/>
        </w:rPr>
        <w:t xml:space="preserve">间隔期不得超过</w:t>
      </w:r>
      <w:r>
        <w:rPr>
          <w:rFonts w:hint="eastAsia" w:ascii="Times New Roman" w:hAnsi="Times New Roman" w:eastAsia="宋体" w:cs="Times New Roman"/>
          <w:sz w:val="21"/>
          <w:szCs w:val="24"/>
          <w:lang w:eastAsia="zh-CN"/>
        </w:rPr>
        <w:t xml:space="preserve">（7</w:t>
      </w:r>
      <w:r>
        <w:rPr>
          <w:rFonts w:hint="eastAsia" w:ascii="微软雅黑" w:hAnsi="微软雅黑" w:eastAsia="微软雅黑" w:cs="微软雅黑"/>
          <w:sz w:val="21"/>
          <w:szCs w:val="24"/>
          <w:lang w:eastAsia="zh-CN"/>
        </w:rPr>
        <w:t xml:space="preserve">±</w:t>
      </w:r>
      <w:r>
        <w:rPr>
          <w:rFonts w:hint="eastAsia" w:ascii="Times New Roman" w:hAnsi="Times New Roman" w:eastAsia="宋体" w:cs="Times New Roman"/>
          <w:sz w:val="21"/>
          <w:szCs w:val="24"/>
          <w:lang w:eastAsia="zh-CN"/>
        </w:rPr>
        <w:t xml:space="preserve">2）</w:t>
      </w:r>
      <w:r>
        <w:rPr>
          <w:rFonts w:hint="default" w:ascii="Times New Roman" w:hAnsi="Times New Roman" w:eastAsia="宋体" w:cs="Times New Roman"/>
          <w:sz w:val="21"/>
          <w:szCs w:val="24"/>
          <w:lang w:eastAsia="zh-CN"/>
        </w:rPr>
        <w:t xml:space="preserve">天，且14天内必须完成2次维护），并做好巡查记录，巡检时需要完成的工作包括：</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(1)查看空气自动监测站设备是否齐备，无丢失和损坏；检查接地线路是否可靠，排风排气装置工作是否正常，标准气钢瓶阀门是否漏气，标准气的消耗情况；</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(2)检查采样和排气管路是否有漏气或堵塞现象，各监测仪器采样流量是否正常。</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(3)检查各监测仪器的运行状况和工作参数，判断是否正常，如有异常情况及时处理，保证仪器运行正常。</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(4)检查PM</w:t>
      </w:r>
      <w:r>
        <w:rPr>
          <w:rFonts w:hint="default" w:ascii="Times New Roman" w:hAnsi="Times New Roman" w:eastAsia="宋体" w:cs="Times New Roman"/>
          <w:sz w:val="21"/>
          <w:szCs w:val="24"/>
          <w:vertAlign w:val="subscript"/>
          <w:lang w:eastAsia="zh-CN"/>
        </w:rPr>
        <w:t xml:space="preserve">10</w:t>
      </w:r>
      <w:r>
        <w:rPr>
          <w:rFonts w:hint="default" w:ascii="Times New Roman" w:hAnsi="Times New Roman" w:eastAsia="宋体" w:cs="Times New Roman"/>
          <w:sz w:val="21"/>
          <w:szCs w:val="24"/>
          <w:lang w:eastAsia="zh-CN"/>
        </w:rPr>
        <w:t xml:space="preserve">和PM</w:t>
      </w:r>
      <w:r>
        <w:rPr>
          <w:rFonts w:hint="default" w:ascii="Times New Roman" w:hAnsi="Times New Roman" w:eastAsia="宋体" w:cs="Times New Roman"/>
          <w:sz w:val="21"/>
          <w:szCs w:val="24"/>
          <w:vertAlign w:val="subscript"/>
          <w:lang w:eastAsia="zh-CN"/>
        </w:rPr>
        <w:t xml:space="preserve">2.5</w:t>
      </w:r>
      <w:r>
        <w:rPr>
          <w:rFonts w:hint="default" w:ascii="Times New Roman" w:hAnsi="Times New Roman" w:eastAsia="宋体" w:cs="Times New Roman"/>
          <w:sz w:val="21"/>
          <w:szCs w:val="24"/>
          <w:lang w:eastAsia="zh-CN"/>
        </w:rPr>
        <w:t xml:space="preserve">监测仪动态加热装置及采样总管加热装置是否正常工作；</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(5)对二氧化硫、一氧化碳、臭氧、氮氧化物监测仪进行零点、跨度检查，如果漂移超过国家相关规范要求，需要进行校准或维修。</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(6)按照仪器说明书要求，对零气发生器进行维护。</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(7)检查外部环境是否正常，有没有对测定结果或运行环境存在明显影响的污染源；</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(8)检查电路系统和通讯系统，保证系统供电正常，电压稳定；</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(9)检查空气自动监测站的通讯系统，保证空气自动监测站与相关数据监控平台的连接正常，数据传输正常；确保无远程控制软件。</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(10)对仪器显示数据、时间与数据采集仪之间的一致性进行检查和校准。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(11)检查监测仪器的采样入口与采样支路管线结合部之间安装的过滤膜的污染情况，每周更换滤膜并检查监测仪器散热风扇污染情况，及时清洗。</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(12)在冬、夏季节应注意空气自动监测站站房室内外温差，若温差较大，应及时改变站房温度或对采样总管采取适当的控制措施，防止冷凝现象。</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(13)应及时清除空气自动监测站站房周围的杂草和积水，当周围树木生长超过规范规定的控制限时，应及时剪除对采样或监测光束有影响的树枝。</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(14)应经常检查避雷设施是否可靠，空气自动监测站房屋是否有漏雨现象，天线是否被刮坏，站房外围的其它设施是否有损坏或被水淹，如遇到以上问题应及时处理，保证系统安全运行。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(15)检查站房的安全设施，做好防火防盗工作。</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(16)每周对颗粒物的采样纸带或滤膜进行检查，如纸带即将用尽或滤膜负载超过规定要求，及时进行更换。</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(17)每周检查视频监控系统，并做好视频系统的日常维护。若发现人为干扰干预环境空气质量监测的行为，及时向业主汇报。</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(18)每周对站房内外环境卫生进行检查，及时保洁。</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D、每月工作内容如下：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(1)清洗PM</w:t>
      </w:r>
      <w:r>
        <w:rPr>
          <w:rFonts w:hint="default" w:ascii="Times New Roman" w:hAnsi="Times New Roman" w:eastAsia="宋体" w:cs="Times New Roman"/>
          <w:sz w:val="21"/>
          <w:szCs w:val="24"/>
          <w:vertAlign w:val="subscript"/>
          <w:lang w:eastAsia="zh-CN"/>
        </w:rPr>
        <w:t xml:space="preserve">10</w:t>
      </w:r>
      <w:r>
        <w:rPr>
          <w:rFonts w:hint="default" w:ascii="Times New Roman" w:hAnsi="Times New Roman" w:eastAsia="宋体" w:cs="Times New Roman"/>
          <w:sz w:val="21"/>
          <w:szCs w:val="24"/>
          <w:lang w:eastAsia="zh-CN"/>
        </w:rPr>
        <w:t xml:space="preserve">及PM</w:t>
      </w:r>
      <w:r>
        <w:rPr>
          <w:rFonts w:hint="default" w:ascii="Times New Roman" w:hAnsi="Times New Roman" w:eastAsia="宋体" w:cs="Times New Roman"/>
          <w:sz w:val="21"/>
          <w:szCs w:val="24"/>
          <w:vertAlign w:val="subscript"/>
          <w:lang w:eastAsia="zh-CN"/>
        </w:rPr>
        <w:t xml:space="preserve">2.5</w:t>
      </w:r>
      <w:r>
        <w:rPr>
          <w:rFonts w:hint="default" w:ascii="Times New Roman" w:hAnsi="Times New Roman" w:eastAsia="宋体" w:cs="Times New Roman"/>
          <w:sz w:val="21"/>
          <w:szCs w:val="24"/>
          <w:lang w:eastAsia="zh-CN"/>
        </w:rPr>
        <w:t xml:space="preserve">采样头（若遇重污染天气，则每周清洗一次），检查β法颗粒物监测仪仪器喷嘴、压环、密封圈等部件。</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(2)检查PM</w:t>
      </w:r>
      <w:r>
        <w:rPr>
          <w:rFonts w:hint="default" w:ascii="Times New Roman" w:hAnsi="Times New Roman" w:eastAsia="宋体" w:cs="Times New Roman"/>
          <w:sz w:val="21"/>
          <w:szCs w:val="24"/>
          <w:vertAlign w:val="subscript"/>
          <w:lang w:eastAsia="zh-CN"/>
        </w:rPr>
        <w:t xml:space="preserve">10</w:t>
      </w:r>
      <w:r>
        <w:rPr>
          <w:rFonts w:hint="default" w:ascii="Times New Roman" w:hAnsi="Times New Roman" w:eastAsia="宋体" w:cs="Times New Roman"/>
          <w:sz w:val="21"/>
          <w:szCs w:val="24"/>
          <w:lang w:eastAsia="zh-CN"/>
        </w:rPr>
        <w:t xml:space="preserve">及PM</w:t>
      </w:r>
      <w:r>
        <w:rPr>
          <w:rFonts w:hint="default" w:ascii="Times New Roman" w:hAnsi="Times New Roman" w:eastAsia="宋体" w:cs="Times New Roman"/>
          <w:sz w:val="21"/>
          <w:szCs w:val="24"/>
          <w:vertAlign w:val="subscript"/>
          <w:lang w:eastAsia="zh-CN"/>
        </w:rPr>
        <w:t xml:space="preserve">2.5</w:t>
      </w:r>
      <w:r>
        <w:rPr>
          <w:rFonts w:hint="default" w:ascii="Times New Roman" w:hAnsi="Times New Roman" w:eastAsia="宋体" w:cs="Times New Roman"/>
          <w:sz w:val="21"/>
          <w:szCs w:val="24"/>
          <w:lang w:eastAsia="zh-CN"/>
        </w:rPr>
        <w:t xml:space="preserve">监测仪、气态监测仪、动态校准仪流量，超过国家相关规范要求时应进行校准。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(3)每月对数据和运维记录进行备份。</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(4)检查和校准PM</w:t>
      </w:r>
      <w:r>
        <w:rPr>
          <w:rFonts w:hint="default" w:ascii="Times New Roman" w:hAnsi="Times New Roman" w:eastAsia="宋体" w:cs="Times New Roman"/>
          <w:sz w:val="21"/>
          <w:szCs w:val="24"/>
          <w:vertAlign w:val="subscript"/>
          <w:lang w:eastAsia="zh-CN"/>
        </w:rPr>
        <w:t xml:space="preserve">2.5</w:t>
      </w:r>
      <w:r>
        <w:rPr>
          <w:rFonts w:hint="default" w:ascii="Times New Roman" w:hAnsi="Times New Roman" w:eastAsia="宋体" w:cs="Times New Roman"/>
          <w:sz w:val="21"/>
          <w:szCs w:val="24"/>
          <w:lang w:eastAsia="zh-CN"/>
        </w:rPr>
        <w:t xml:space="preserve">、PM</w:t>
      </w:r>
      <w:r>
        <w:rPr>
          <w:rFonts w:hint="default" w:ascii="Times New Roman" w:hAnsi="Times New Roman" w:eastAsia="宋体" w:cs="Times New Roman"/>
          <w:sz w:val="21"/>
          <w:szCs w:val="24"/>
          <w:vertAlign w:val="subscript"/>
          <w:lang w:eastAsia="zh-CN"/>
        </w:rPr>
        <w:t xml:space="preserve">10</w:t>
      </w:r>
      <w:r>
        <w:rPr>
          <w:rFonts w:hint="default" w:ascii="Times New Roman" w:hAnsi="Times New Roman" w:eastAsia="宋体" w:cs="Times New Roman"/>
          <w:sz w:val="21"/>
          <w:szCs w:val="24"/>
          <w:lang w:eastAsia="zh-CN"/>
        </w:rPr>
        <w:t xml:space="preserve">监测仪相对湿度、温度传感器和压力传感器。</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E、每季度工作内容如下：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(1)采样总管及采样风机每季度至少清洗一次；</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(2)对PM</w:t>
      </w:r>
      <w:r>
        <w:rPr>
          <w:rFonts w:hint="default" w:ascii="Times New Roman" w:hAnsi="Times New Roman" w:eastAsia="宋体" w:cs="Times New Roman"/>
          <w:sz w:val="21"/>
          <w:szCs w:val="24"/>
          <w:vertAlign w:val="subscript"/>
          <w:lang w:eastAsia="zh-CN"/>
        </w:rPr>
        <w:t xml:space="preserve">10</w:t>
      </w:r>
      <w:r>
        <w:rPr>
          <w:rFonts w:hint="default" w:ascii="Times New Roman" w:hAnsi="Times New Roman" w:eastAsia="宋体" w:cs="Times New Roman"/>
          <w:sz w:val="21"/>
          <w:szCs w:val="24"/>
          <w:lang w:eastAsia="zh-CN"/>
        </w:rPr>
        <w:t xml:space="preserve">和PM</w:t>
      </w:r>
      <w:r>
        <w:rPr>
          <w:rFonts w:hint="default" w:ascii="Times New Roman" w:hAnsi="Times New Roman" w:eastAsia="宋体" w:cs="Times New Roman"/>
          <w:sz w:val="21"/>
          <w:szCs w:val="24"/>
          <w:vertAlign w:val="subscript"/>
          <w:lang w:eastAsia="zh-CN"/>
        </w:rPr>
        <w:t xml:space="preserve">2.5</w:t>
      </w:r>
      <w:r>
        <w:rPr>
          <w:rFonts w:hint="default" w:ascii="Times New Roman" w:hAnsi="Times New Roman" w:eastAsia="宋体" w:cs="Times New Roman"/>
          <w:sz w:val="21"/>
          <w:szCs w:val="24"/>
          <w:lang w:eastAsia="zh-CN"/>
        </w:rPr>
        <w:t xml:space="preserve">监测仪器进行标准膜检查或K0值检查，超过国家相关规范要求时，及时进行校准或维修；</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F、每半年工作内容如下：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(1)对气态污染物监测仪进行多点校准，绘制校准曲线，检验相关系数、斜率和截距；</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(2)振荡天平法颗粒物仪器每半年更换一次主路过滤器滤芯、旁路过滤器滤芯和气水分离器滤芯，污染较重时应及时更换滤芯；</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(3)更换零气源净化剂和氧化剂，对零气性能进行检查；</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(4)对氮氧化物监测仪钼炉转化率进行检查。</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(5)采用臭氧传递标准对空气自动监测站臭氧工作标准进行标准传递；</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G、每年工作内容如下：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按照仪器说明书对动态校准仪流量进行多点检查。</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对所有的仪器（包括采样泵）进行预防性维护，按说明书的要求更换备件。</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H、日常运维其他相关要求如下：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(1)每周更换的气态污染物监测仪器所用滤膜，必须为聚四氟乙烯材质；</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(2)应及时制定每月工作计划并将进出空气自动监测站的具体日期上报业主备案，并严格按计划执行，若有变更或临时突发情况处理等应及时上报业主备案。</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运维单位保证满足生态环境部门对空气自动监测站仪器设备故障的响应时间要求，当仪器设备每日5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(4)当仪器损坏不能修复时，应在24小时之内使用备机开展监测，并同时报告业主，业主组织确认仪器损坏情况及原因，酌情处理。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(6)严禁擅自改变采样管路连接方式和更改仪器参数设置。</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I、质量控制要求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运维单位需认真落实质量管理制度，建立完善的运行维护工作质量管理体系，安排专职质量控制管理人员。</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（1）量值溯源要求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单位应每年将空气自动监测站运维所用的流量计、温度计、气压计、湿度计等质控设备送检，并取得计量部门颁发的合格证书，并根据业主要求定期开展核查工作。每年将空气自动监测站所用的臭氧标准为业主提供的标准设备进行溯源，性能指标均应符合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（2）日常质量控制要求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监测仪在以下情况下需进行校准：</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①</w:t>
      </w:r>
      <w:r>
        <w:rPr>
          <w:rFonts w:hint="default" w:ascii="Times New Roman" w:hAnsi="Times New Roman" w:eastAsia="宋体" w:cs="Times New Roman"/>
          <w:sz w:val="21"/>
          <w:szCs w:val="24"/>
          <w:lang w:eastAsia="zh-CN"/>
        </w:rPr>
        <w:t xml:space="preserve">安装时</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②</w:t>
      </w:r>
      <w:r>
        <w:rPr>
          <w:rFonts w:hint="default" w:ascii="Times New Roman" w:hAnsi="Times New Roman" w:eastAsia="宋体" w:cs="Times New Roman"/>
          <w:sz w:val="21"/>
          <w:szCs w:val="24"/>
          <w:lang w:eastAsia="zh-CN"/>
        </w:rPr>
        <w:t xml:space="preserve">移动位置时</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③</w:t>
      </w:r>
      <w:r>
        <w:rPr>
          <w:rFonts w:hint="default" w:ascii="Times New Roman" w:hAnsi="Times New Roman" w:eastAsia="宋体" w:cs="Times New Roman"/>
          <w:sz w:val="21"/>
          <w:szCs w:val="24"/>
          <w:lang w:eastAsia="zh-CN"/>
        </w:rPr>
        <w:t xml:space="preserve">进行可能影响校准结果的维修或维护后</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④</w:t>
      </w:r>
      <w:r>
        <w:rPr>
          <w:rFonts w:hint="default" w:ascii="Times New Roman" w:hAnsi="Times New Roman" w:eastAsia="宋体" w:cs="Times New Roman"/>
          <w:sz w:val="21"/>
          <w:szCs w:val="24"/>
          <w:lang w:eastAsia="zh-CN"/>
        </w:rPr>
        <w:t xml:space="preserve">监测仪暂停工作一段时间后</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⑤</w:t>
      </w:r>
      <w:r>
        <w:rPr>
          <w:rFonts w:hint="default" w:ascii="Times New Roman" w:hAnsi="Times New Roman" w:eastAsia="宋体" w:cs="Times New Roman"/>
          <w:sz w:val="21"/>
          <w:szCs w:val="24"/>
          <w:lang w:eastAsia="zh-CN"/>
        </w:rPr>
        <w:t xml:space="preserve">有迹象表明监测仪工作不正常或校准结果出现变化</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⑥</w:t>
      </w:r>
      <w:r>
        <w:rPr>
          <w:rFonts w:hint="default" w:ascii="Times New Roman" w:hAnsi="Times New Roman" w:eastAsia="宋体" w:cs="Times New Roman"/>
          <w:sz w:val="21"/>
          <w:szCs w:val="24"/>
          <w:lang w:eastAsia="zh-CN"/>
        </w:rPr>
        <w:t xml:space="preserve">超过国家规范或本招标文件要求的校准周期或校准要求的。</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（3）质量检查</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运维单位必须接受淮业主及其委托单位和人员的质量检查。</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J、系统设备维修要求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（1）维修更换工作要求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（2）设备维修质量控制要求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监测仪器修复后，当其监测性能受到影响时，采用关键参数检查、标气测定、颗粒物流量测定、标准膜测试、标准样品测试或手工比对等方法进行测试。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仪器大修后，气态污染监</w:t>
      </w:r>
      <w:r>
        <w:rPr>
          <w:rFonts w:hint="default" w:ascii="Times New Roman" w:hAnsi="Times New Roman" w:eastAsia="宋体" w:cs="Times New Roman"/>
          <w:sz w:val="21"/>
          <w:szCs w:val="24"/>
          <w:lang w:eastAsia="zh-CN"/>
        </w:rPr>
        <w:t xml:space="preserve">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 重量法》（HJ 618-2011）和《环境空气质量手工监测技术规范》（HJ 194-2017）等相关规范要求，同时提交相应报告。</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4、监督考核要求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（1）监督管理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2）投标人应承担监测数据的保密责任（签订保密协议），不得利用本项目的数据、档案或有关资料对外开展技术交流、业务联系、数据交换等。否则，业主有权终止合同。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3）运维期间出现调整数据、修改参数、改动设备、质控结果与平台采集结果不一致、弄虚作假等违规行为的，一经查实业主有权终止运维合同。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4）业主组织开展运维管理和质控考核，对达不到运维要求或违规操作的，有权终止运维合同。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5）违反江苏省空气自动站管理办法等违规行为的，一经查实，业主有权终止运维合同。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（2）考核办法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每季度由业主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设备运行率是指考核时段内各监测项目实际获取的小时值监测数据量总和除以应获得小时值数据量总和。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数据有效率是指考核时段内各监测项目实际获取的质控合格的小时值监测数据量总和除以应获得小时值数据量总和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每日各项目应获得小时值数据量均按24个计，考核时段天数按考核时段内日历天数计。计算应获得小时值数据量时，应扣除因不可抗力造成的停止监测的小时数</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1）数据有效性</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考核时段内单个站点任一监测项目有效数据量应满足《环境空气质量标准》（GB 3095-2012）中规定的污染物浓度数据有效性的最低要求，否则考核总分为0分。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2）两率及运行维护</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符合数据有效性要求后，参照本部分执行。</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①</w:t>
      </w:r>
      <w:r>
        <w:rPr>
          <w:rFonts w:hint="default" w:ascii="Times New Roman" w:hAnsi="Times New Roman" w:eastAsia="宋体" w:cs="Times New Roman"/>
          <w:sz w:val="21"/>
          <w:szCs w:val="24"/>
          <w:lang w:eastAsia="zh-CN"/>
        </w:rPr>
        <w:t xml:space="preserve"> 两率部分(50分)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单站监测数据有效率高于95%(含)的，两率得分=50分。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有效率在90%(含)-95%的，两率得分=实际有效率×50分。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有效率在80%(含)-90%的，两率得分=实际有效率×90%×50分</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②</w:t>
      </w:r>
      <w:r>
        <w:rPr>
          <w:rFonts w:hint="default" w:ascii="Times New Roman" w:hAnsi="Times New Roman" w:eastAsia="宋体" w:cs="Times New Roman"/>
          <w:sz w:val="21"/>
          <w:szCs w:val="24"/>
          <w:lang w:eastAsia="zh-CN"/>
        </w:rPr>
        <w:t xml:space="preserve"> 运行维护部分(50分)</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运行维护部分每季度由业主组织核查或者抽查，核查内容主要包括日常运维操作、质量保证与控制、档案和管理3部分，具体细则参考下表：</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空气自动监测站运行考核表</w:t>
      </w:r>
      <w:r/>
    </w:p>
    <w:tbl>
      <w:tblPr>
        <w:tblStyle w:val="75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4"/>
        <w:gridCol w:w="5375"/>
        <w:gridCol w:w="1048"/>
      </w:tblGrid>
      <w:tr>
        <w:trPr>
          <w:trHeight w:val="457"/>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考核内容</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考核要求</w:t>
            </w:r>
            <w:r/>
          </w:p>
        </w:tc>
        <w:tc>
          <w:tcPr>
            <w:tcW w:w="61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得分</w:t>
            </w:r>
            <w:r/>
          </w:p>
        </w:tc>
      </w:tr>
      <w:tr>
        <w:trPr>
          <w:trHeight w:val="423"/>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一、空气站运维现场检查  （60分）</w:t>
            </w:r>
            <w:r/>
          </w:p>
        </w:tc>
      </w:tr>
      <w:tr>
        <w:trPr>
          <w:trHeight w:val="572"/>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站房卫生</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环境清洁；整齐无零乱堆放；仪器无污渍；无漏水；站房、仪器等清洁（10分每项2分）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66"/>
        </w:trPr>
        <w:tc>
          <w:tcPr>
            <w:tcW w:w="1225" w:type="pct"/>
            <w:vAlign w:val="center"/>
            <w:textDirection w:val="lrTb"/>
            <w:noWrap w:val="false"/>
          </w:tcPr>
          <w:p>
            <w:pPr>
              <w:ind w:left="0"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自动监测仪器设备</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仪器及系统运行正常；数据正常；供电、采气、通讯、空调等设施完好无损，正常工作（15分每项5分）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706"/>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现场考核</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SO</w:t>
            </w:r>
            <w:r>
              <w:rPr>
                <w:rFonts w:hint="default" w:ascii="Times New Roman" w:hAnsi="Times New Roman" w:eastAsia="宋体" w:cs="Times New Roman"/>
                <w:sz w:val="21"/>
                <w:szCs w:val="24"/>
                <w:vertAlign w:val="subscript"/>
                <w:lang w:eastAsia="zh-CN"/>
              </w:rPr>
              <w:t xml:space="preserve">2</w:t>
            </w:r>
            <w:r>
              <w:rPr>
                <w:rFonts w:hint="default" w:ascii="Times New Roman" w:hAnsi="Times New Roman" w:eastAsia="宋体" w:cs="Times New Roman"/>
                <w:sz w:val="21"/>
                <w:szCs w:val="24"/>
                <w:lang w:eastAsia="zh-CN"/>
              </w:rPr>
              <w:t xml:space="preserve">、NO</w:t>
            </w:r>
            <w:r>
              <w:rPr>
                <w:rFonts w:hint="default" w:ascii="Times New Roman" w:hAnsi="Times New Roman" w:eastAsia="宋体" w:cs="Times New Roman"/>
                <w:sz w:val="21"/>
                <w:szCs w:val="24"/>
                <w:vertAlign w:val="subscript"/>
                <w:lang w:eastAsia="zh-CN"/>
              </w:rPr>
              <w:t xml:space="preserve">X</w:t>
            </w:r>
            <w:r>
              <w:rPr>
                <w:rFonts w:hint="default" w:ascii="Times New Roman" w:hAnsi="Times New Roman" w:eastAsia="宋体" w:cs="Times New Roman"/>
                <w:sz w:val="21"/>
                <w:szCs w:val="24"/>
                <w:lang w:eastAsia="zh-CN"/>
              </w:rPr>
              <w:t xml:space="preserve">、CO标样考核符合要求；PM10、PM2.5流量符合标准（20分每项4分）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870"/>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现场记录检查</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巡检记录；跨度核查记录；零点核查记录；流量核查记录；备品备件更换记录；完整详实（15分每项3分）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68"/>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二、运维质量统计      （30分）</w:t>
            </w:r>
            <w:r/>
          </w:p>
        </w:tc>
      </w:tr>
      <w:tr>
        <w:trPr>
          <w:trHeight w:val="90"/>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站点在线率、</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数据捕集率</w:t>
            </w:r>
            <w:r/>
          </w:p>
        </w:tc>
        <w:tc>
          <w:tcPr>
            <w:tcW w:w="3159" w:type="pct"/>
            <w:vAlign w:val="bottom"/>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除站点停电外，在线率、捕集率95%以上得5分；90%以上得4分；低于90%得0分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70"/>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数据有效率</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有效率大于90%（含）得15分，小于85%（含）得10分，其他为0分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76"/>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质控检查</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检查结果合格以上得5分；差或者标样考核不合格不得分； </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850"/>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故障排除</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运行中出现的故障当天排除得5分，次日排除得2分，否则为0分，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708"/>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三、运维能力及工作情况（10分）</w:t>
            </w:r>
            <w:r/>
          </w:p>
        </w:tc>
      </w:tr>
      <w:tr>
        <w:trPr>
          <w:trHeight w:val="559"/>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工作情况</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服从市站管理人员安排；责任心强、实时监控情况；故障发生后及时到现场处置；相关记录报告（5分）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65"/>
        </w:trPr>
        <w:tc>
          <w:tcPr>
            <w:tcW w:w="122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运维能力</w:t>
            </w:r>
            <w:r/>
          </w:p>
        </w:tc>
        <w:tc>
          <w:tcPr>
            <w:tcW w:w="3159"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备品备件等耗材更换及时；能独立完成各项操作；排除故障能力；（5分）</w:t>
            </w:r>
            <w:r/>
          </w:p>
        </w:tc>
        <w:tc>
          <w:tcPr>
            <w:tcW w:w="615"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65"/>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四、评价标准与等级</w:t>
            </w:r>
            <w:r/>
          </w:p>
        </w:tc>
      </w:tr>
      <w:tr>
        <w:trPr>
          <w:trHeight w:val="565"/>
        </w:trPr>
        <w:tc>
          <w:tcPr>
            <w:tcW w:w="1225" w:type="pct"/>
            <w:vAlign w:val="center"/>
            <w:textDirection w:val="lrTb"/>
            <w:noWrap w:val="false"/>
          </w:tcPr>
          <w:p>
            <w:pPr>
              <w:ind w:left="0" w:firstLine="0"/>
              <w:jc w:val="center"/>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评价等级与标准</w:t>
            </w:r>
            <w:r/>
          </w:p>
        </w:tc>
        <w:tc>
          <w:tcPr>
            <w:gridSpan w:val="2"/>
            <w:tcW w:w="3774"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分为优、合格、不合格三个等级。</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得分</w:t>
            </w:r>
            <w:r>
              <w:rPr>
                <w:rFonts w:hint="eastAsia" w:ascii="Times New Roman" w:hAnsi="Times New Roman" w:eastAsia="宋体" w:cs="Times New Roman"/>
                <w:sz w:val="21"/>
                <w:szCs w:val="24"/>
                <w:lang w:val="en-US" w:eastAsia="zh-CN"/>
              </w:rPr>
              <w:t xml:space="preserve">8</w:t>
            </w:r>
            <w:r>
              <w:rPr>
                <w:rFonts w:hint="default" w:ascii="Times New Roman" w:hAnsi="Times New Roman" w:eastAsia="宋体" w:cs="Times New Roman"/>
                <w:sz w:val="21"/>
                <w:szCs w:val="24"/>
                <w:lang w:eastAsia="zh-CN"/>
              </w:rPr>
              <w:t xml:space="preserve">0以下为不合格；</w:t>
            </w:r>
            <w:r>
              <w:rPr>
                <w:rFonts w:hint="eastAsia" w:ascii="Times New Roman" w:hAnsi="Times New Roman" w:eastAsia="宋体" w:cs="Times New Roman"/>
                <w:sz w:val="21"/>
                <w:szCs w:val="24"/>
                <w:lang w:val="en-US" w:eastAsia="zh-CN"/>
              </w:rPr>
              <w:t xml:space="preserve">90</w:t>
            </w:r>
            <w:r>
              <w:rPr>
                <w:rFonts w:hint="default" w:ascii="Times New Roman" w:hAnsi="Times New Roman" w:eastAsia="宋体" w:cs="Times New Roman"/>
                <w:sz w:val="21"/>
                <w:szCs w:val="24"/>
                <w:lang w:eastAsia="zh-CN"/>
              </w:rPr>
              <w:t xml:space="preserve">以上为优。</w:t>
            </w:r>
            <w:r/>
          </w:p>
        </w:tc>
      </w:tr>
      <w:tr>
        <w:trPr>
          <w:trHeight w:val="565"/>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五、考核结果与情况说明建议等                  考核等级：</w:t>
            </w:r>
            <w:r/>
          </w:p>
        </w:tc>
      </w:tr>
    </w:tbl>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（3）运维费核算方法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绩效考核总分低于80的，不予拨付运维费；绩效考核总分90（含）分以上的，拨付全额运维费；绩效考核总分在80（含）-90分的，运维费=实际考核得分/100*全额运维费。</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（4）其他规定</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在各类专项质量检查中，运维单位未达到质控检查要求应及时进行整改，并上报整改报告，如未及时整改，扣减相应站点当季度运维经费。</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业主有权根据相关规定对扣除的运维费进行重新支配，用于开展其它与空气自动监测站站运维管理相关的工作。</w:t>
      </w:r>
      <w:r/>
    </w:p>
    <w:p>
      <w:pPr>
        <w:ind w:firstLine="420"/>
        <w:spacing w:line="360" w:lineRule="auto"/>
        <w:rPr>
          <w:rFonts w:ascii="Calibri" w:hAnsi="Calibri" w:eastAsia="宋体" w:cs="Times New Roman"/>
          <w:b/>
          <w:bCs/>
          <w:sz w:val="21"/>
          <w:szCs w:val="22"/>
          <w:lang w:val="en-US" w:eastAsia="zh-CN" w:bidi="ar-SA"/>
        </w:rPr>
      </w:pPr>
      <w:r>
        <w:rPr>
          <w:rFonts w:ascii="Calibri" w:hAnsi="Calibri" w:eastAsia="宋体" w:cs="Times New Roman"/>
          <w:b/>
          <w:bCs/>
          <w:sz w:val="21"/>
          <w:szCs w:val="22"/>
          <w:lang w:val="en-US" w:eastAsia="zh-CN" w:bidi="ar-SA"/>
        </w:rPr>
        <w:t xml:space="preserve">（二）VOC监测系统运维</w:t>
      </w:r>
      <w:r>
        <w:rPr>
          <w:rFonts w:hint="eastAsia" w:ascii="Calibri" w:hAnsi="Calibri" w:eastAsia="宋体" w:cs="Times New Roman"/>
          <w:b/>
          <w:bCs/>
          <w:sz w:val="21"/>
          <w:szCs w:val="22"/>
          <w:lang w:val="en-US" w:eastAsia="zh-CN" w:bidi="ar-SA"/>
        </w:rPr>
        <w:t xml:space="preserve">管理内容</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具体运维内容和要求如下：</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1、一般要求</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对站房周围的杂草和积水应及时清除，当周围树木生长超过规范规定的控制限时，对采样有影响的树枝等应及时进行剪除；</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检查外部环境是否正常，有没有对测定结果或运行环境存在明显影响的污染源，一旦发现污染源，应及时在运维记录上记录，并通知采购方；</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检查站房屋是否有漏雨现象，气象杆和天线是否被刮坏，站房外围的其它设施是否有损坏或被水淹，如遇到以上问题应及时处理，保证系统能安全运行；</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保持站房内部环境清洁，布置整齐，无与监测无关物品，各仪器设备干净清洁，设备标识清楚；</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在冬、夏季节应注意站房室内外温差，若温差较大使采样装置出现冷凝水，应及时改变站房温度或对采样总管采取适当的控制措施，防止冷凝现象。</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保证仪器运行电源电压正常，空调正常工作，环境温度保持在25</w:t>
      </w:r>
      <w:r>
        <w:rPr>
          <w:rFonts w:hint="eastAsia" w:ascii="宋体" w:hAnsi="宋体" w:eastAsia="宋体" w:cs="宋体"/>
          <w:sz w:val="21"/>
          <w:szCs w:val="22"/>
          <w:lang w:val="en-US" w:eastAsia="zh-CN" w:bidi="ar-SA"/>
        </w:rPr>
        <w:t xml:space="preserve">℃</w:t>
      </w:r>
      <w:r>
        <w:rPr>
          <w:rFonts w:ascii="Calibri" w:hAnsi="Calibri" w:eastAsia="宋体" w:cs="Times New Roman"/>
          <w:sz w:val="21"/>
          <w:szCs w:val="22"/>
          <w:lang w:val="en-US" w:eastAsia="zh-CN" w:bidi="ar-SA"/>
        </w:rPr>
        <w:t xml:space="preserve">左右，上下不超过5</w:t>
      </w:r>
      <w:r>
        <w:rPr>
          <w:rFonts w:hint="eastAsia" w:ascii="宋体" w:hAnsi="宋体" w:eastAsia="宋体" w:cs="宋体"/>
          <w:sz w:val="21"/>
          <w:szCs w:val="22"/>
          <w:lang w:val="en-US" w:eastAsia="zh-CN" w:bidi="ar-SA"/>
        </w:rPr>
        <w:t xml:space="preserve">℃</w:t>
      </w:r>
      <w:r>
        <w:rPr>
          <w:rFonts w:ascii="Calibri" w:hAnsi="Calibri" w:eastAsia="宋体" w:cs="Times New Roman"/>
          <w:sz w:val="21"/>
          <w:szCs w:val="22"/>
          <w:lang w:val="en-US" w:eastAsia="zh-CN" w:bidi="ar-SA"/>
        </w:rPr>
        <w:t xml:space="preserve">，湿度保持在80%RH以下；</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检查供电、通讯、数据采集与传输等情况，保证系统的正常运行；</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设备固定牢固，门窗关闭良好，人走关门，非工作人员未经许可不得入内。检查站房的安全设施，做好防火防盗工作，站房内发生仪器物品丢失、火灾等意外情况，责任由中标方负责；</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进行维护时，应规范操作，注意安全，防止意外发生，由人员操作不当导致的伤亡事件，责任由中标方负责；</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检查站点的排风排气装置工作是否正常；</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标准气钢瓶阀门是否漏气，标准气的消耗情况；</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检查采样和排气管路是否有漏气或堵塞现象；</w:t>
      </w:r>
      <w:r/>
    </w:p>
    <w:p>
      <w:pPr>
        <w:numPr>
          <w:ilvl w:val="0"/>
          <w:numId w:val="2"/>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检查各仪器运行状况否正常，保证仪器正常有效运行。</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2、具体要求</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每周工作</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VOCs仪器应开展仪器性能检查并做好记录。开展主要性能指标检查，开展氢气发生器、载气和零气供应情况检查。</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检查仪器运行状态，是否报警或异常;</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检查仪器耗材使用情况，更换仪器所需耗材;</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检查标气、载气等各类气体使用情况;</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检查仪器管路、阀门是否漏气;</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检查站房外部环境，是否存在对监测数据或运行环境存在明显影响的污染源;</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检查站房通讯及数据传输系统状态;</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检查更换颗粒物过滤膜;</w:t>
      </w:r>
      <w:r/>
    </w:p>
    <w:p>
      <w:pPr>
        <w:numPr>
          <w:ilvl w:val="0"/>
          <w:numId w:val="4"/>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检查站房消防、防雷、防水等安全措施是否正常。</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每月工作</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numPr>
          <w:ilvl w:val="0"/>
          <w:numId w:val="5"/>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清洗仪器散热风扇滤网;</w:t>
      </w:r>
      <w:r/>
    </w:p>
    <w:p>
      <w:pPr>
        <w:numPr>
          <w:ilvl w:val="0"/>
          <w:numId w:val="5"/>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更换发生器过滤分子筛;</w:t>
      </w:r>
      <w:r/>
    </w:p>
    <w:p>
      <w:pPr>
        <w:numPr>
          <w:ilvl w:val="0"/>
          <w:numId w:val="5"/>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更换发生器干燥剂。</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每季度工作</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为了提高VOCs仪器监测准确度，每季度使用混合标准气体更新多点校准曲线。</w:t>
      </w:r>
      <w:r/>
    </w:p>
    <w:p>
      <w:pPr>
        <w:numPr>
          <w:ilvl w:val="0"/>
          <w:numId w:val="6"/>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每季度检查检测器工作状态、老化色谱柱;</w:t>
      </w:r>
      <w:r/>
    </w:p>
    <w:p>
      <w:pPr>
        <w:numPr>
          <w:ilvl w:val="0"/>
          <w:numId w:val="6"/>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每季对仪器进行一次预防性维护和各测试参数检查;</w:t>
      </w:r>
      <w:r/>
    </w:p>
    <w:p>
      <w:pPr>
        <w:numPr>
          <w:ilvl w:val="0"/>
          <w:numId w:val="6"/>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每季对仪器所有数据进行备份;</w:t>
      </w:r>
      <w:r/>
    </w:p>
    <w:p>
      <w:pPr>
        <w:numPr>
          <w:ilvl w:val="0"/>
          <w:numId w:val="6"/>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每季使用标准混合气更新工作曲线和峰窗。</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每半年工作</w:t>
      </w:r>
      <w:r/>
    </w:p>
    <w:p>
      <w:pPr>
        <w:numPr>
          <w:ilvl w:val="0"/>
          <w:numId w:val="7"/>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每半年对仪器设备进行一次维护保养，对气态污染物采样系统进行一次维护清洗;</w:t>
      </w:r>
      <w:r/>
    </w:p>
    <w:p>
      <w:pPr>
        <w:numPr>
          <w:ilvl w:val="0"/>
          <w:numId w:val="7"/>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采样总管及采样风机清洗.</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每年工作</w:t>
      </w:r>
      <w:r/>
    </w:p>
    <w:p>
      <w:pPr>
        <w:numPr>
          <w:ilvl w:val="0"/>
          <w:numId w:val="8"/>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流量计、气压计、温度计等设备送计量部门检定，并保存好检定报告；</w:t>
      </w:r>
      <w:r/>
    </w:p>
    <w:p>
      <w:pPr>
        <w:numPr>
          <w:ilvl w:val="0"/>
          <w:numId w:val="8"/>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站点的消防设施进行检查，保证在有效期内；</w:t>
      </w:r>
      <w:r/>
    </w:p>
    <w:p>
      <w:pPr>
        <w:numPr>
          <w:ilvl w:val="0"/>
          <w:numId w:val="8"/>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检查站点的防雷设施，每年由有资质单位检定一次，并出具相应的鉴定报告；</w:t>
      </w:r>
      <w:r/>
    </w:p>
    <w:p>
      <w:pPr>
        <w:numPr>
          <w:ilvl w:val="0"/>
          <w:numId w:val="8"/>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更换所有仪器的泵组件；</w:t>
      </w:r>
      <w:r/>
    </w:p>
    <w:p>
      <w:pPr>
        <w:numPr>
          <w:ilvl w:val="0"/>
          <w:numId w:val="8"/>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不定期工作</w:t>
      </w:r>
      <w:r/>
    </w:p>
    <w:p>
      <w:pPr>
        <w:numPr>
          <w:ilvl w:val="0"/>
          <w:numId w:val="9"/>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根据实际使用情况更换相关耗材；</w:t>
      </w:r>
      <w:r/>
    </w:p>
    <w:p>
      <w:pPr>
        <w:numPr>
          <w:ilvl w:val="0"/>
          <w:numId w:val="9"/>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根据实际需要更换零气源活性炭和氧化剂，对零气性能进行检查；</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VOCs仪器紧急维护</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VOCs自动监测系统仪器出现故障或监测值有异常情形时，中标人应迅速进行紧急维修。一些简单的故障可现场解决，如不能现场解决，应马上更换备用机运行，保证全天数据正常。</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每日6时至23时出现故障时，应在发现故障2小时之内响应，4小时内到达现场排除故障。通信和电力线路故障除外，但应及时与相关部门联系解决。对不易诊断和维修的仪器故障，若24小时内无法排除，应安装备用仪器。</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紧急维修主要针对发生故障之设备，对发生故障的设备进行检修，如果发生零件损坏，中标人将马上进行更换，确保24小时内子站系统恢复正常运行。</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如在现场发现不能在短期内修复仪器的，中标人应及时告知采购人，征得同意后，由中标人负责维修（仪器正常报废除外）。</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更换下来故障仪器设备，中标人技术人员应尽快对仪器完成维修（特殊备件损坏需进口购置的情况除外），修好的仪器经采购人技术人员确认后方可重新投入运行。</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中标人技术人员在维修每一台仪器，每一个故障时，都要填写仪器维修报告表，详细记录故障现象、维修过程、更换设备情况等。</w:t>
      </w:r>
      <w:r/>
    </w:p>
    <w:p>
      <w:pPr>
        <w:numPr>
          <w:ilvl w:val="0"/>
          <w:numId w:val="10"/>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仪器出现重大故障或核心关键部件损坏，在维修完成后需进行严格校准，必要时经重新检定或溯源后方可上架投入运行。</w:t>
      </w:r>
      <w:r/>
    </w:p>
    <w:p>
      <w:pPr>
        <w:numPr>
          <w:ilvl w:val="0"/>
          <w:numId w:val="3"/>
        </w:numPr>
        <w:ind w:left="425" w:hanging="425"/>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其他</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1)分析仪在以下情况下需进行校准和再校准：1.移动位置时，2.进行可能影响校准结果的维修或维护后，3.分析仪暂停工作一段时间后，4.有迹象表明分析仪工作不正常或校准结果出现变化。</w:t>
      </w:r>
      <w:r/>
    </w:p>
    <w:p>
      <w:pPr>
        <w:ind w:firstLine="420"/>
        <w:spacing w:line="360" w:lineRule="auto"/>
        <w:rPr>
          <w:rFonts w:ascii="Calibri" w:hAnsi="Calibri" w:eastAsia="宋体" w:cs="Times New Roman"/>
          <w:b/>
          <w:sz w:val="21"/>
          <w:szCs w:val="22"/>
          <w:lang w:val="en-US" w:eastAsia="zh-CN" w:bidi="ar-SA"/>
        </w:rPr>
      </w:pPr>
      <w:r>
        <w:rPr>
          <w:rFonts w:ascii="Calibri" w:hAnsi="Calibri" w:eastAsia="宋体" w:cs="Times New Roman"/>
          <w:sz w:val="21"/>
          <w:szCs w:val="22"/>
          <w:lang w:val="en-US" w:eastAsia="zh-CN" w:bidi="ar-SA"/>
        </w:rPr>
        <w:t xml:space="preserve">2)仪器大修后（更换设备测试关键部件），应按顺序进行漂移实验（零点漂移、量程漂移）、重复性及准确度实验、多点线性实验。</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b/>
          <w:bCs/>
          <w:sz w:val="21"/>
          <w:szCs w:val="22"/>
          <w:lang w:val="en-US" w:eastAsia="zh-CN" w:bidi="ar-SA"/>
        </w:rPr>
        <w:t xml:space="preserve">（三）空气自动监测微型站运维</w:t>
      </w:r>
      <w:r>
        <w:rPr>
          <w:rFonts w:hint="eastAsia" w:ascii="Calibri" w:hAnsi="Calibri" w:eastAsia="宋体" w:cs="Times New Roman"/>
          <w:b/>
          <w:bCs/>
          <w:sz w:val="21"/>
          <w:szCs w:val="22"/>
          <w:lang w:val="en-US" w:eastAsia="zh-CN" w:bidi="ar-SA"/>
        </w:rPr>
        <w:t xml:space="preserve">管理内容</w:t>
      </w:r>
      <w:r>
        <w:rPr>
          <w:rFonts w:ascii="Calibri" w:hAnsi="Calibri" w:eastAsia="宋体" w:cs="Times New Roman"/>
          <w:b/>
          <w:bCs/>
          <w:sz w:val="21"/>
          <w:szCs w:val="22"/>
          <w:lang w:val="en-US" w:eastAsia="zh-CN" w:bidi="ar-SA"/>
        </w:rPr>
        <w:t xml:space="preserve"> </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微型空气站运行维护应包括周监控、月巡检、季度检查和年度更换，具体要求如下：</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周监控：每周检查设备在线率、报警情况、运行维护计划等至少1次；</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月巡检：每月远程巡检设备运行状况至少1次，具体内容包括设备运行状态、异常率、运行负荷、质控合格情况等，并留有书面记录； </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季度检查：每季度抽取不少于总数5%的站点进行现场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numPr>
          <w:ilvl w:val="0"/>
          <w:numId w:val="0"/>
        </w:numPr>
        <w:ind w:firstLine="420"/>
        <w:spacing w:line="360" w:lineRule="auto"/>
        <w:rPr>
          <w:rFonts w:ascii="Calibri" w:hAnsi="Calibri" w:eastAsia="宋体" w:cs="Times New Roman"/>
          <w:sz w:val="21"/>
          <w:szCs w:val="22"/>
          <w:lang w:val="en-US" w:eastAsia="zh-CN" w:bidi="ar-SA"/>
        </w:rPr>
      </w:pPr>
      <w:r>
        <w:rPr>
          <w:rFonts w:hint="eastAsia" w:ascii="Calibri" w:hAnsi="Calibri" w:eastAsia="宋体" w:cs="Times New Roman"/>
          <w:b/>
          <w:bCs/>
          <w:sz w:val="21"/>
          <w:szCs w:val="22"/>
          <w:lang w:val="en-US" w:eastAsia="zh-CN" w:bidi="ar-SA"/>
        </w:rPr>
        <w:t xml:space="preserve">（四）</w:t>
      </w:r>
      <w:r>
        <w:rPr>
          <w:rFonts w:ascii="Calibri" w:hAnsi="Calibri" w:eastAsia="宋体" w:cs="Times New Roman"/>
          <w:b/>
          <w:bCs/>
          <w:sz w:val="21"/>
          <w:szCs w:val="22"/>
          <w:lang w:val="en-US" w:eastAsia="zh-CN" w:bidi="ar-SA"/>
        </w:rPr>
        <w:t xml:space="preserve">水质自动监测</w:t>
      </w:r>
      <w:r>
        <w:rPr>
          <w:rFonts w:hint="eastAsia" w:ascii="Calibri" w:hAnsi="Calibri" w:eastAsia="宋体" w:cs="Times New Roman"/>
          <w:b/>
          <w:bCs/>
          <w:sz w:val="21"/>
          <w:szCs w:val="22"/>
          <w:lang w:val="en-US" w:eastAsia="zh-CN" w:bidi="ar-SA"/>
        </w:rPr>
        <w:t xml:space="preserve">站运维管理内容</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（1）提供、配制并定期更换在线监测仪器所需试剂和标样</w:t>
      </w:r>
      <w:r>
        <w:rPr>
          <w:rFonts w:hint="eastAsia" w:ascii="Calibri" w:hAnsi="Calibri" w:eastAsia="宋体" w:cs="Times New Roman"/>
          <w:sz w:val="21"/>
          <w:szCs w:val="22"/>
          <w:lang w:val="en-US" w:eastAsia="zh-CN" w:bidi="ar-SA"/>
        </w:rPr>
        <w:t xml:space="preserve">。</w:t>
      </w:r>
      <w:r/>
    </w:p>
    <w:p>
      <w:pPr>
        <w:ind w:firstLine="420"/>
        <w:spacing w:line="360" w:lineRule="auto"/>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t xml:space="preserve">（2）须每年对pH电极进行一次更换，每两年对高锰酸盐指数电极和溶解氧电极进行一次更换，其余根据江苏省有关水质自动站备品备件管理制度的要求，提供备品备件并按期更换。所有备品备件均由运维方提供。</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（3）须针对水站系统和仪表制定每年保养检修计划并按期进行。保养检修须包括系统的全面清洗和检修、仪器管路清洗、主要备件的更换、仪器的性能测试检查等内容。</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（5）对水站仪表进行定期校准、核查、比对。</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（6）配合采购方进行水站质量保证和质量质控工作。</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（7）随时接受采购方的工作考核及质量考核。</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（8）保证站房清洁，整齐。</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（9）认真、及时做好维护记录，汇总各水站每周维护记录，每月以书面形式报采购方，书面报告作为运行维护考核依据之一，具体包括：</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1）自动站每日运行数据报表统计</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2）自动站现场维护记录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3）自动站仪器设备故障及排除情况登记表</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4）自动站每月运行情况</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5）自动站备品备件管理登记表</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（10）按照《江苏省环境水质（地表水）自动监测预警系统运行管理办法（试行）》及其实施细则要求对运营水站进行管理。</w:t>
      </w:r>
      <w:bookmarkStart w:id="10" w:name="3.2总体要求"/>
      <w:r/>
      <w:bookmarkEnd w:id="10"/>
      <w:r/>
      <w:r/>
    </w:p>
    <w:p>
      <w:pPr>
        <w:ind w:firstLine="482"/>
        <w:spacing w:after="0" w:line="360" w:lineRule="auto"/>
        <w:rPr>
          <w:rFonts w:hint="default" w:ascii="Times New Roman" w:hAnsi="Times New Roman" w:eastAsia="宋体" w:cs="Times New Roman"/>
          <w:sz w:val="21"/>
          <w:szCs w:val="24"/>
          <w:lang w:eastAsia="zh-CN"/>
        </w:rPr>
      </w:pPr>
      <w:r>
        <w:rPr>
          <w:rFonts w:hint="eastAsia" w:ascii="Times New Roman" w:hAnsi="Times New Roman" w:eastAsia="宋体" w:cs="Times New Roman"/>
          <w:sz w:val="21"/>
          <w:szCs w:val="24"/>
          <w:lang w:eastAsia="zh-CN"/>
        </w:rPr>
        <w:t xml:space="preserve">1、</w:t>
      </w:r>
      <w:r>
        <w:rPr>
          <w:rFonts w:hint="default" w:ascii="Times New Roman" w:hAnsi="Times New Roman" w:eastAsia="宋体" w:cs="Times New Roman"/>
          <w:sz w:val="21"/>
          <w:szCs w:val="24"/>
          <w:lang w:eastAsia="zh-CN"/>
        </w:rPr>
        <w:t xml:space="preserve">具体要求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（1）水质自动监测站系统及仪表维护内容水质自动站要严格按照“日监控，周巡查、月比对”的要求，开展日常维护和质控工作。 </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rPr>
          <w:rFonts w:hint="eastAsia" w:ascii="Times New Roman" w:hAnsi="Times New Roman" w:eastAsia="宋体" w:cs="Times New Roman"/>
          <w:sz w:val="21"/>
          <w:szCs w:val="24"/>
          <w:lang w:eastAsia="zh-CN"/>
        </w:rPr>
        <w:t xml:space="preserve">。</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（a）每周工作内容</w:t>
      </w:r>
      <w:r/>
    </w:p>
    <w:tbl>
      <w:tblPr>
        <w:tblStyle w:val="755"/>
        <w:tblW w:w="5000"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703"/>
        <w:gridCol w:w="1242"/>
        <w:gridCol w:w="4946"/>
      </w:tblGrid>
      <w:tr>
        <w:trPr>
          <w:trHeight w:val="23"/>
        </w:trPr>
        <w:tc>
          <w:tcPr>
            <w:tcW w:w="709"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序号</w:t>
            </w:r>
            <w:r/>
          </w:p>
        </w:tc>
        <w:tc>
          <w:tcPr>
            <w:tcW w:w="1946"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维护内容</w:t>
            </w:r>
            <w:r/>
          </w:p>
        </w:tc>
        <w:tc>
          <w:tcPr>
            <w:tcW w:w="141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维护周期及目标</w:t>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维护要求</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w:t>
            </w:r>
            <w:r/>
          </w:p>
        </w:tc>
        <w:tc>
          <w:tcPr>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通讯检查</w:t>
            </w:r>
            <w:r/>
          </w:p>
        </w:tc>
        <w:tc>
          <w:tcPr>
            <w:tcW w:w="1418"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周，确保控制和数据上传通道畅通</w:t>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确保工控机各个串口和</w:t>
            </w:r>
            <w:r>
              <w:rPr>
                <w:rFonts w:hint="default" w:ascii="Times New Roman" w:hAnsi="Times New Roman" w:eastAsia="Times New Roman" w:cs="Times New Roman"/>
                <w:sz w:val="21"/>
                <w:szCs w:val="24"/>
                <w:lang w:eastAsia="zh-CN"/>
              </w:rPr>
              <w:t xml:space="preserve">PLC</w:t>
            </w:r>
            <w:r>
              <w:rPr>
                <w:rFonts w:hint="default" w:ascii="Times New Roman" w:hAnsi="Times New Roman" w:eastAsia="宋体" w:cs="Times New Roman"/>
                <w:sz w:val="21"/>
                <w:szCs w:val="24"/>
                <w:lang w:eastAsia="zh-CN"/>
              </w:rPr>
              <w:t xml:space="preserve">、数采仪、分析仪器连接一一对应正确且牢固</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通过现场监控软件测试工控与</w:t>
            </w:r>
            <w:r>
              <w:rPr>
                <w:rFonts w:hint="default" w:ascii="Times New Roman" w:hAnsi="Times New Roman" w:eastAsia="Times New Roman" w:cs="Times New Roman"/>
                <w:sz w:val="21"/>
                <w:szCs w:val="24"/>
                <w:lang w:eastAsia="zh-CN"/>
              </w:rPr>
              <w:t xml:space="preserve">PLC</w:t>
            </w:r>
            <w:r>
              <w:rPr>
                <w:rFonts w:hint="default" w:ascii="Times New Roman" w:hAnsi="Times New Roman" w:eastAsia="宋体" w:cs="Times New Roman"/>
                <w:sz w:val="21"/>
                <w:szCs w:val="24"/>
                <w:lang w:eastAsia="zh-CN"/>
              </w:rPr>
              <w:t xml:space="preserve">及各个仪器之间是否连接正确</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VPN</w:t>
            </w:r>
            <w:r>
              <w:rPr>
                <w:rFonts w:hint="default" w:ascii="Times New Roman" w:hAnsi="Times New Roman" w:eastAsia="宋体" w:cs="Times New Roman"/>
                <w:sz w:val="21"/>
                <w:szCs w:val="24"/>
                <w:lang w:eastAsia="zh-CN"/>
              </w:rPr>
              <w:t xml:space="preserve">网络设备检查，保证通讯畅通</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视频监控设备检查，监控视角位置</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w:t>
            </w:r>
            <w:r/>
          </w:p>
        </w:tc>
        <w:tc>
          <w:tcPr>
            <w:tcW w:w="1946"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PLC检查</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w:t>
            </w:r>
            <w:r>
              <w:rPr>
                <w:rFonts w:hint="default" w:ascii="Times New Roman" w:hAnsi="Times New Roman" w:eastAsia="Times New Roman" w:cs="Times New Roman"/>
                <w:sz w:val="21"/>
                <w:szCs w:val="24"/>
                <w:lang w:eastAsia="zh-CN"/>
              </w:rPr>
              <w:t xml:space="preserve">PLC</w:t>
            </w:r>
            <w:r>
              <w:rPr>
                <w:rFonts w:hint="default" w:ascii="Times New Roman" w:hAnsi="Times New Roman" w:eastAsia="宋体" w:cs="Times New Roman"/>
                <w:sz w:val="21"/>
                <w:szCs w:val="24"/>
                <w:lang w:eastAsia="zh-CN"/>
              </w:rPr>
              <w:t xml:space="preserve">状态数据传输和报警灯，确保无数据传输和报警</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确保取水过程中</w:t>
            </w:r>
            <w:r>
              <w:rPr>
                <w:rFonts w:hint="default" w:ascii="Times New Roman" w:hAnsi="Times New Roman" w:eastAsia="Times New Roman" w:cs="Times New Roman"/>
                <w:sz w:val="21"/>
                <w:szCs w:val="24"/>
                <w:lang w:eastAsia="zh-CN"/>
              </w:rPr>
              <w:t xml:space="preserve">PLC</w:t>
            </w:r>
            <w:r>
              <w:rPr>
                <w:rFonts w:hint="default" w:ascii="Times New Roman" w:hAnsi="Times New Roman" w:eastAsia="宋体" w:cs="Times New Roman"/>
                <w:sz w:val="21"/>
                <w:szCs w:val="24"/>
                <w:lang w:eastAsia="zh-CN"/>
              </w:rPr>
              <w:t xml:space="preserve">上各个点输入输出状态正确</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测量并确保</w:t>
            </w:r>
            <w:r>
              <w:rPr>
                <w:rFonts w:hint="default" w:ascii="Times New Roman" w:hAnsi="Times New Roman" w:eastAsia="Times New Roman" w:cs="Times New Roman"/>
                <w:sz w:val="21"/>
                <w:szCs w:val="24"/>
                <w:lang w:eastAsia="zh-CN"/>
              </w:rPr>
              <w:t xml:space="preserve">PLC</w:t>
            </w:r>
            <w:r>
              <w:rPr>
                <w:rFonts w:hint="default" w:ascii="Times New Roman" w:hAnsi="Times New Roman" w:eastAsia="宋体" w:cs="Times New Roman"/>
                <w:sz w:val="21"/>
                <w:szCs w:val="24"/>
                <w:lang w:eastAsia="zh-CN"/>
              </w:rPr>
              <w:t xml:space="preserve">时钟电池电压正常。必要的情况更换电池</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确保</w:t>
            </w:r>
            <w:r>
              <w:rPr>
                <w:rFonts w:hint="default" w:ascii="Times New Roman" w:hAnsi="Times New Roman" w:eastAsia="Times New Roman" w:cs="Times New Roman"/>
                <w:sz w:val="21"/>
                <w:szCs w:val="24"/>
                <w:lang w:eastAsia="zh-CN"/>
              </w:rPr>
              <w:t xml:space="preserve">PLC</w:t>
            </w:r>
            <w:r>
              <w:rPr>
                <w:rFonts w:hint="default" w:ascii="Times New Roman" w:hAnsi="Times New Roman" w:eastAsia="宋体" w:cs="Times New Roman"/>
                <w:sz w:val="21"/>
                <w:szCs w:val="24"/>
                <w:lang w:eastAsia="zh-CN"/>
              </w:rPr>
              <w:t xml:space="preserve">串口模块连接牢固</w:t>
            </w:r>
            <w:r/>
          </w:p>
        </w:tc>
      </w:tr>
      <w:tr>
        <w:trPr>
          <w:trHeight w:val="597"/>
        </w:trPr>
        <w:tc>
          <w:tcPr>
            <w:tcW w:w="709"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w:t>
            </w:r>
            <w:r/>
          </w:p>
        </w:tc>
        <w:tc>
          <w:tcPr>
            <w:tcW w:w="1946"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面板开关检查</w:t>
            </w:r>
            <w:r/>
          </w:p>
        </w:tc>
        <w:tc>
          <w:tcPr>
            <w:tcW w:w="1418"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周，确保各开关功能正常</w:t>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检查控制柜前面板开关和指示灯确保其工作正常</w:t>
            </w:r>
            <w:r/>
          </w:p>
        </w:tc>
      </w:tr>
      <w:tr>
        <w:trPr>
          <w:trHeight w:val="396"/>
        </w:trPr>
        <w:tc>
          <w:tcPr>
            <w:tcW w:w="709"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w:t>
            </w:r>
            <w:r/>
          </w:p>
        </w:tc>
        <w:tc>
          <w:tcPr>
            <w:tcW w:w="1946"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配电板清扫</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清扫配电板上各个元件上的灰尘等</w:t>
            </w:r>
            <w:r/>
          </w:p>
        </w:tc>
      </w:tr>
      <w:tr>
        <w:trPr>
          <w:trHeight w:val="1452"/>
        </w:trPr>
        <w:tc>
          <w:tcPr>
            <w:tcW w:w="709"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w:t>
            </w:r>
            <w:r/>
          </w:p>
        </w:tc>
        <w:tc>
          <w:tcPr>
            <w:tcW w:w="1946"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配电板状态检查</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检查确保配电板上各个接线接头不松动，并清除锈蚀接头。确保各个接触器和继电器工作正常</w:t>
            </w:r>
            <w:r/>
          </w:p>
        </w:tc>
      </w:tr>
      <w:tr>
        <w:trPr>
          <w:trHeight w:val="312"/>
        </w:trPr>
        <w:tc>
          <w:tcPr>
            <w:tcW w:w="709"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w:t>
            </w:r>
            <w:r/>
          </w:p>
        </w:tc>
        <w:tc>
          <w:tcPr>
            <w:tcW w:w="1946"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接地检查</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确保各个机柜和用电器接地良好，尤其注意防雷保护器接地</w:t>
            </w:r>
            <w:r/>
          </w:p>
        </w:tc>
      </w:tr>
      <w:tr>
        <w:trPr>
          <w:trHeight w:val="23"/>
        </w:trPr>
        <w:tc>
          <w:tcPr>
            <w:tcW w:w="709"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7</w:t>
            </w:r>
            <w:r/>
          </w:p>
        </w:tc>
        <w:tc>
          <w:tcPr>
            <w:tcW w:w="1946"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温湿度仪检查</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检查温湿度仪是否显示合理，保证温度探头反应灵敏</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8</w:t>
            </w:r>
            <w:r/>
          </w:p>
        </w:tc>
        <w:tc>
          <w:tcPr>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稳压电源清扫</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断电情况下清扫稳压电源内的灰尘</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检查碳刷是否正常，磨损较多情况必须更换</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上电测试，确保稳压源工作正常</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9</w:t>
            </w:r>
            <w:r/>
          </w:p>
        </w:tc>
        <w:tc>
          <w:tcPr>
            <w:tcW w:w="1946"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UPS检查清扫</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断电情况下清扫</w:t>
            </w:r>
            <w:r>
              <w:rPr>
                <w:rFonts w:hint="default" w:ascii="Times New Roman" w:hAnsi="Times New Roman" w:eastAsia="Times New Roman" w:cs="Times New Roman"/>
                <w:sz w:val="21"/>
                <w:szCs w:val="24"/>
                <w:lang w:eastAsia="zh-CN"/>
              </w:rPr>
              <w:t xml:space="preserve">UPS</w:t>
            </w:r>
            <w:r>
              <w:rPr>
                <w:rFonts w:hint="default" w:ascii="Times New Roman" w:hAnsi="Times New Roman" w:eastAsia="宋体" w:cs="Times New Roman"/>
                <w:sz w:val="21"/>
                <w:szCs w:val="24"/>
                <w:lang w:eastAsia="zh-CN"/>
              </w:rPr>
              <w:t xml:space="preserve">各个散热孔上的灰尘</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检查确保</w:t>
            </w:r>
            <w:r>
              <w:rPr>
                <w:rFonts w:hint="default" w:ascii="Times New Roman" w:hAnsi="Times New Roman" w:eastAsia="Times New Roman" w:cs="Times New Roman"/>
                <w:sz w:val="21"/>
                <w:szCs w:val="24"/>
                <w:lang w:eastAsia="zh-CN"/>
              </w:rPr>
              <w:t xml:space="preserve">UPS</w:t>
            </w:r>
            <w:r>
              <w:rPr>
                <w:rFonts w:hint="default" w:ascii="Times New Roman" w:hAnsi="Times New Roman" w:eastAsia="宋体" w:cs="Times New Roman"/>
                <w:sz w:val="21"/>
                <w:szCs w:val="24"/>
                <w:lang w:eastAsia="zh-CN"/>
              </w:rPr>
              <w:t xml:space="preserve">充放电正常</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10</w:t>
            </w:r>
            <w:r/>
          </w:p>
        </w:tc>
        <w:tc>
          <w:tcPr>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UPS</w:t>
            </w:r>
            <w:r>
              <w:rPr>
                <w:rFonts w:hint="default" w:ascii="Times New Roman" w:hAnsi="Times New Roman" w:eastAsia="宋体" w:cs="Times New Roman"/>
                <w:sz w:val="21"/>
                <w:szCs w:val="24"/>
                <w:lang w:eastAsia="zh-CN"/>
              </w:rPr>
              <w:t xml:space="preserve">电池箱清扫</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做好绝缘措施情况下清扫</w:t>
            </w:r>
            <w:r>
              <w:rPr>
                <w:rFonts w:hint="default" w:ascii="Times New Roman" w:hAnsi="Times New Roman" w:eastAsia="Times New Roman" w:cs="Times New Roman"/>
                <w:sz w:val="21"/>
                <w:szCs w:val="24"/>
                <w:lang w:eastAsia="zh-CN"/>
              </w:rPr>
              <w:t xml:space="preserve">UPS</w:t>
            </w:r>
            <w:r>
              <w:rPr>
                <w:rFonts w:hint="default" w:ascii="Times New Roman" w:hAnsi="Times New Roman" w:eastAsia="宋体" w:cs="Times New Roman"/>
                <w:sz w:val="21"/>
                <w:szCs w:val="24"/>
                <w:lang w:eastAsia="zh-CN"/>
              </w:rPr>
              <w:t xml:space="preserve">电池箱内的灰尘</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确保箱内各个电池联线接触良好牢固</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确保各个电池无漏液，外观正常</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11</w:t>
            </w:r>
            <w:r/>
          </w:p>
        </w:tc>
        <w:tc>
          <w:tcPr>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机柜台面清扫及检查</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检查机柜台面及玻璃是否清洁</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检查机柜各门是否关于完好</w:t>
            </w:r>
            <w:r/>
          </w:p>
        </w:tc>
      </w:tr>
      <w:tr>
        <w:trPr>
          <w:trHeight w:val="441"/>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12</w:t>
            </w:r>
            <w:r/>
          </w:p>
        </w:tc>
        <w:tc>
          <w:tcPr>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实验区清扫</w:t>
            </w:r>
            <w:r/>
          </w:p>
        </w:tc>
        <w:tc>
          <w:tcPr>
            <w:tcW w:w="1418"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周，确保室内整齐清洁</w:t>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保持实验区台面清洁</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保持仪器设备摆放征集</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按要求存储试剂</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4)</w:t>
            </w:r>
            <w:r>
              <w:rPr>
                <w:rFonts w:hint="default" w:ascii="Times New Roman" w:hAnsi="Times New Roman" w:eastAsia="宋体" w:cs="Times New Roman"/>
                <w:sz w:val="21"/>
                <w:szCs w:val="24"/>
                <w:lang w:eastAsia="zh-CN"/>
              </w:rPr>
              <w:t xml:space="preserve">按要求处置废液</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13</w:t>
            </w:r>
            <w:r/>
          </w:p>
        </w:tc>
        <w:tc>
          <w:tcPr>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高锰酸盐指数分析仪维护</w:t>
            </w:r>
            <w:r/>
          </w:p>
        </w:tc>
        <w:tc>
          <w:tcPr>
            <w:tcW w:w="1418"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周，确保监测仪器所需试剂充足，管路、阀门处于正常状态，仪器电极无沾污，运行稳定，比对数据合格</w:t>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检查数据传输和报警模块是否正常</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确保冷却水供应正常</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清除水浴锅内水垢，疏通管道</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4)</w:t>
            </w:r>
            <w:r>
              <w:rPr>
                <w:rFonts w:hint="default" w:ascii="Times New Roman" w:hAnsi="Times New Roman" w:eastAsia="宋体" w:cs="Times New Roman"/>
                <w:sz w:val="21"/>
                <w:szCs w:val="24"/>
                <w:lang w:eastAsia="zh-CN"/>
              </w:rPr>
              <w:t xml:space="preserve">确保各个阀门正常</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5)</w:t>
            </w:r>
            <w:r>
              <w:rPr>
                <w:rFonts w:hint="default" w:ascii="Times New Roman" w:hAnsi="Times New Roman" w:eastAsia="宋体" w:cs="Times New Roman"/>
                <w:sz w:val="21"/>
                <w:szCs w:val="24"/>
                <w:lang w:eastAsia="zh-CN"/>
              </w:rPr>
              <w:t xml:space="preserve">检查并更换老化的输送硫酸软管</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6)</w:t>
            </w:r>
            <w:r>
              <w:rPr>
                <w:rFonts w:hint="default" w:ascii="Times New Roman" w:hAnsi="Times New Roman" w:eastAsia="宋体" w:cs="Times New Roman"/>
                <w:sz w:val="21"/>
                <w:szCs w:val="24"/>
                <w:lang w:eastAsia="zh-CN"/>
              </w:rPr>
              <w:t xml:space="preserve">添加参比电极电解液</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7)</w:t>
            </w:r>
            <w:r>
              <w:rPr>
                <w:rFonts w:hint="default" w:ascii="Times New Roman" w:hAnsi="Times New Roman" w:eastAsia="宋体" w:cs="Times New Roman"/>
                <w:sz w:val="21"/>
                <w:szCs w:val="24"/>
                <w:lang w:eastAsia="zh-CN"/>
              </w:rPr>
              <w:t xml:space="preserve">清除</w:t>
            </w:r>
            <w:r>
              <w:rPr>
                <w:rFonts w:hint="default" w:ascii="Times New Roman" w:hAnsi="Times New Roman" w:eastAsia="Times New Roman" w:cs="Times New Roman"/>
                <w:sz w:val="21"/>
                <w:szCs w:val="24"/>
                <w:lang w:eastAsia="zh-CN"/>
              </w:rPr>
              <w:t xml:space="preserve">ORP</w:t>
            </w:r>
            <w:r>
              <w:rPr>
                <w:rFonts w:hint="default" w:ascii="Times New Roman" w:hAnsi="Times New Roman" w:eastAsia="宋体" w:cs="Times New Roman"/>
                <w:sz w:val="21"/>
                <w:szCs w:val="24"/>
                <w:lang w:eastAsia="zh-CN"/>
              </w:rPr>
              <w:t xml:space="preserve">电极上污垢</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8)</w:t>
            </w:r>
            <w:r>
              <w:rPr>
                <w:rFonts w:hint="default" w:ascii="Times New Roman" w:hAnsi="Times New Roman" w:eastAsia="宋体" w:cs="Times New Roman"/>
                <w:sz w:val="21"/>
                <w:szCs w:val="24"/>
                <w:lang w:eastAsia="zh-CN"/>
              </w:rPr>
              <w:t xml:space="preserve">检查并更换老化的</w:t>
            </w:r>
            <w:r>
              <w:rPr>
                <w:rFonts w:hint="default" w:ascii="Times New Roman" w:hAnsi="Times New Roman" w:eastAsia="Times New Roman" w:cs="Times New Roman"/>
                <w:sz w:val="21"/>
                <w:szCs w:val="24"/>
                <w:lang w:eastAsia="zh-CN"/>
              </w:rPr>
              <w:t xml:space="preserve">ORP</w:t>
            </w:r>
            <w:r>
              <w:rPr>
                <w:rFonts w:hint="default" w:ascii="Times New Roman" w:hAnsi="Times New Roman" w:eastAsia="宋体" w:cs="Times New Roman"/>
                <w:sz w:val="21"/>
                <w:szCs w:val="24"/>
                <w:lang w:eastAsia="zh-CN"/>
              </w:rPr>
              <w:t xml:space="preserve">电极</w:t>
            </w:r>
            <w:r/>
          </w:p>
        </w:tc>
      </w:tr>
      <w:tr>
        <w:trPr>
          <w:trHeight w:val="23"/>
        </w:trPr>
        <w:tc>
          <w:tcPr>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14</w:t>
            </w:r>
            <w:r/>
          </w:p>
        </w:tc>
        <w:tc>
          <w:tcPr>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氨氮分析仪维护</w:t>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检查氨氮分析仪加热模块是否正常，是否维持在</w:t>
            </w:r>
            <w:r>
              <w:rPr>
                <w:rFonts w:hint="default" w:ascii="Times New Roman" w:hAnsi="Times New Roman" w:eastAsia="Times New Roman" w:cs="Times New Roman"/>
                <w:sz w:val="21"/>
                <w:szCs w:val="24"/>
                <w:lang w:eastAsia="zh-CN"/>
              </w:rPr>
              <w:t xml:space="preserve"> 40</w:t>
            </w:r>
            <w:r>
              <w:rPr>
                <w:rFonts w:hint="default" w:ascii="Times New Roman" w:hAnsi="Times New Roman" w:eastAsia="宋体" w:cs="Times New Roman"/>
                <w:sz w:val="21"/>
                <w:szCs w:val="24"/>
                <w:lang w:eastAsia="zh-CN"/>
              </w:rPr>
              <w:t xml:space="preserve">℃</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检查气敏膜，添加电解液</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检查并更换老化的氨氮管路系统</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4)</w:t>
            </w:r>
            <w:r>
              <w:rPr>
                <w:rFonts w:hint="default" w:ascii="Times New Roman" w:hAnsi="Times New Roman" w:eastAsia="宋体" w:cs="Times New Roman"/>
                <w:sz w:val="21"/>
                <w:szCs w:val="24"/>
                <w:lang w:eastAsia="zh-CN"/>
              </w:rPr>
              <w:t xml:space="preserve">检查并更换老化的氨氮蠕动泵管</w:t>
            </w:r>
            <w:r/>
          </w:p>
        </w:tc>
      </w:tr>
      <w:tr>
        <w:trPr>
          <w:trHeight w:val="2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5)</w:t>
            </w:r>
            <w:r>
              <w:rPr>
                <w:rFonts w:hint="default" w:ascii="Times New Roman" w:hAnsi="Times New Roman" w:eastAsia="宋体" w:cs="Times New Roman"/>
                <w:sz w:val="21"/>
                <w:szCs w:val="24"/>
                <w:lang w:eastAsia="zh-CN"/>
              </w:rPr>
              <w:t xml:space="preserve">检查并更换老化的加热迂回管路</w:t>
            </w:r>
            <w:r/>
          </w:p>
        </w:tc>
      </w:tr>
      <w:tr>
        <w:trPr>
          <w:trHeight w:val="477"/>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6)</w:t>
            </w:r>
            <w:r>
              <w:rPr>
                <w:rFonts w:hint="default" w:ascii="Times New Roman" w:hAnsi="Times New Roman" w:eastAsia="宋体" w:cs="Times New Roman"/>
                <w:sz w:val="21"/>
                <w:szCs w:val="24"/>
                <w:lang w:eastAsia="zh-CN"/>
              </w:rPr>
              <w:t xml:space="preserve">检查并更换老化的电极</w:t>
            </w:r>
            <w:r/>
          </w:p>
        </w:tc>
      </w:tr>
      <w:tr>
        <w:trPr>
          <w:trHeight w:val="47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7)</w:t>
            </w:r>
            <w:r>
              <w:rPr>
                <w:rFonts w:hint="default" w:ascii="Times New Roman" w:hAnsi="Times New Roman" w:eastAsia="宋体" w:cs="Times New Roman"/>
                <w:sz w:val="21"/>
                <w:szCs w:val="24"/>
                <w:lang w:eastAsia="zh-CN"/>
              </w:rPr>
              <w:t xml:space="preserve">修正液位压力传感器参数</w:t>
            </w:r>
            <w:r/>
          </w:p>
        </w:tc>
      </w:tr>
      <w:tr>
        <w:trPr>
          <w:trHeight w:val="472"/>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8</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确保冷却水供应正常</w:t>
            </w:r>
            <w:r/>
          </w:p>
        </w:tc>
      </w:tr>
      <w:tr>
        <w:trPr>
          <w:trHeight w:val="470"/>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9</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保证氮气的正常供应</w:t>
            </w:r>
            <w:r/>
          </w:p>
        </w:tc>
      </w:tr>
      <w:tr>
        <w:trPr>
          <w:trHeight w:val="472"/>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10</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确保各个阀门正常</w:t>
            </w:r>
            <w:r/>
          </w:p>
        </w:tc>
      </w:tr>
      <w:tr>
        <w:trPr>
          <w:trHeight w:val="473"/>
        </w:trPr>
        <w:tc>
          <w:tcPr>
            <w:tcW w:w="709"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946"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11</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检查燃烧器</w:t>
            </w:r>
            <w:r/>
          </w:p>
        </w:tc>
      </w:tr>
      <w:tr>
        <w:trPr>
          <w:trHeight w:val="470"/>
        </w:trPr>
        <w:tc>
          <w:tcPr>
            <w:tcBorders>
              <w:bottom w:val="none" w:color="000000" w:sz="4" w:space="0"/>
            </w:tcBorders>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15</w:t>
            </w:r>
            <w:r/>
          </w:p>
        </w:tc>
        <w:tc>
          <w:tcPr>
            <w:tcBorders>
              <w:bottom w:val="none" w:color="000000" w:sz="4" w:space="0"/>
            </w:tcBorders>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五参数分析仪</w:t>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检查数据传输和报警模块是否正常</w:t>
            </w:r>
            <w:r/>
          </w:p>
        </w:tc>
      </w:tr>
      <w:tr>
        <w:trPr>
          <w:trHeight w:val="472"/>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检查电极是否被泥沙和藻类沾污</w:t>
            </w:r>
            <w:r/>
          </w:p>
        </w:tc>
      </w:tr>
      <w:tr>
        <w:trPr>
          <w:trHeight w:val="473"/>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清洗电极更换电极液</w:t>
            </w:r>
            <w:r/>
          </w:p>
        </w:tc>
      </w:tr>
      <w:tr>
        <w:trPr>
          <w:trHeight w:val="471"/>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4)</w:t>
            </w:r>
            <w:r>
              <w:rPr>
                <w:rFonts w:hint="default" w:ascii="Times New Roman" w:hAnsi="Times New Roman" w:eastAsia="宋体" w:cs="Times New Roman"/>
                <w:sz w:val="21"/>
                <w:szCs w:val="24"/>
                <w:lang w:eastAsia="zh-CN"/>
              </w:rPr>
              <w:t xml:space="preserve">检查并更换老化的电极</w:t>
            </w:r>
            <w:r/>
          </w:p>
        </w:tc>
      </w:tr>
      <w:tr>
        <w:trPr>
          <w:trHeight w:val="127"/>
        </w:trPr>
        <w:tc>
          <w:tcPr>
            <w:tcBorders>
              <w:top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5)</w:t>
            </w:r>
            <w:r>
              <w:rPr>
                <w:rFonts w:hint="default" w:ascii="Times New Roman" w:hAnsi="Times New Roman" w:eastAsia="宋体" w:cs="Times New Roman"/>
                <w:sz w:val="21"/>
                <w:szCs w:val="24"/>
                <w:lang w:eastAsia="zh-CN"/>
              </w:rPr>
              <w:t xml:space="preserve">确保清洗水供应正常</w:t>
            </w:r>
            <w:r/>
          </w:p>
        </w:tc>
      </w:tr>
      <w:tr>
        <w:trPr>
          <w:trHeight w:val="472"/>
        </w:trPr>
        <w:tc>
          <w:tcPr>
            <w:tcBorders>
              <w:bottom w:val="none" w:color="000000" w:sz="4" w:space="0"/>
            </w:tcBorders>
            <w:tcW w:w="709"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16</w:t>
            </w:r>
            <w:r/>
          </w:p>
        </w:tc>
        <w:tc>
          <w:tcPr>
            <w:tcBorders>
              <w:bottom w:val="none" w:color="000000" w:sz="4" w:space="0"/>
            </w:tcBorders>
            <w:tcW w:w="1946"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采样器维护</w:t>
            </w:r>
            <w:r/>
          </w:p>
        </w:tc>
        <w:tc>
          <w:tcPr>
            <w:tcBorders>
              <w:bottom w:val="none" w:color="000000" w:sz="4" w:space="0"/>
            </w:tcBorders>
            <w:tcW w:w="1418"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周，保证采样瓶清洁</w:t>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检查并更换老化的蠕动泵软管</w:t>
            </w:r>
            <w:r/>
          </w:p>
        </w:tc>
      </w:tr>
      <w:tr>
        <w:trPr>
          <w:trHeight w:val="472"/>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检查并更换老化的分配臂软管</w:t>
            </w:r>
            <w:r/>
          </w:p>
        </w:tc>
      </w:tr>
      <w:tr>
        <w:trPr>
          <w:trHeight w:val="470"/>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检查并更换老化的采样管</w:t>
            </w:r>
            <w:r/>
          </w:p>
        </w:tc>
      </w:tr>
      <w:tr>
        <w:trPr>
          <w:trHeight w:val="472"/>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4)</w:t>
            </w:r>
            <w:r>
              <w:rPr>
                <w:rFonts w:hint="default" w:ascii="Times New Roman" w:hAnsi="Times New Roman" w:eastAsia="宋体" w:cs="Times New Roman"/>
                <w:sz w:val="21"/>
                <w:szCs w:val="24"/>
                <w:lang w:eastAsia="zh-CN"/>
              </w:rPr>
              <w:t xml:space="preserve">清洗采样切换阀</w:t>
            </w:r>
            <w:r/>
          </w:p>
        </w:tc>
      </w:tr>
      <w:tr>
        <w:trPr>
          <w:trHeight w:val="472"/>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5)</w:t>
            </w:r>
            <w:r>
              <w:rPr>
                <w:rFonts w:hint="default" w:ascii="Times New Roman" w:hAnsi="Times New Roman" w:eastAsia="宋体" w:cs="Times New Roman"/>
                <w:sz w:val="21"/>
                <w:szCs w:val="24"/>
                <w:lang w:eastAsia="zh-CN"/>
              </w:rPr>
              <w:t xml:space="preserve">重新调整采样参数</w:t>
            </w:r>
            <w:r/>
          </w:p>
        </w:tc>
      </w:tr>
      <w:tr>
        <w:trPr>
          <w:trHeight w:val="470"/>
        </w:trPr>
        <w:tc>
          <w:tcPr>
            <w:tcBorders>
              <w:top w:val="none" w:color="000000" w:sz="4" w:space="0"/>
              <w:bottom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bottom w:val="none" w:color="000000" w:sz="4" w:space="0"/>
            </w:tcBorders>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6)</w:t>
            </w:r>
            <w:r>
              <w:rPr>
                <w:rFonts w:hint="default" w:ascii="Times New Roman" w:hAnsi="Times New Roman" w:eastAsia="宋体" w:cs="Times New Roman"/>
                <w:sz w:val="21"/>
                <w:szCs w:val="24"/>
                <w:lang w:eastAsia="zh-CN"/>
              </w:rPr>
              <w:t xml:space="preserve">检查样品储藏室温度</w:t>
            </w:r>
            <w:r/>
          </w:p>
        </w:tc>
      </w:tr>
      <w:tr>
        <w:trPr>
          <w:trHeight w:val="473"/>
        </w:trPr>
        <w:tc>
          <w:tcPr>
            <w:tcBorders>
              <w:top w:val="none" w:color="000000" w:sz="4" w:space="0"/>
            </w:tcBorders>
            <w:tcW w:w="709"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tcBorders>
            <w:tcW w:w="1946"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Borders>
              <w:top w:val="none" w:color="000000" w:sz="4" w:space="0"/>
            </w:tcBorders>
            <w:tcW w:w="1418" w:type="dxa"/>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7)</w:t>
            </w:r>
            <w:r>
              <w:rPr>
                <w:rFonts w:hint="default" w:ascii="Times New Roman" w:hAnsi="Times New Roman" w:eastAsia="宋体" w:cs="Times New Roman"/>
                <w:sz w:val="21"/>
                <w:szCs w:val="24"/>
                <w:lang w:eastAsia="zh-CN"/>
              </w:rPr>
              <w:t xml:space="preserve">清洗样品储藏室</w:t>
            </w:r>
            <w:r/>
          </w:p>
        </w:tc>
      </w:tr>
      <w:tr>
        <w:trPr>
          <w:trHeight w:val="376"/>
        </w:trPr>
        <w:tc>
          <w:tcPr>
            <w:tcW w:w="709" w:type="dxa"/>
            <w:vAlign w:val="bottom"/>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18</w:t>
            </w:r>
            <w:r/>
          </w:p>
        </w:tc>
        <w:tc>
          <w:tcPr>
            <w:tcW w:w="1946" w:type="dxa"/>
            <w:vAlign w:val="bottom"/>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数据上报</w:t>
            </w:r>
            <w:r/>
          </w:p>
        </w:tc>
        <w:tc>
          <w:tcPr>
            <w:tcW w:w="1418"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1次/周</w:t>
            </w:r>
            <w:r/>
          </w:p>
        </w:tc>
        <w:tc>
          <w:tcPr>
            <w:tcW w:w="567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完成对水质自动监测数据审核上报</w:t>
            </w:r>
            <w:r/>
          </w:p>
        </w:tc>
      </w:tr>
    </w:tbl>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（b）每月工作内容</w:t>
      </w:r>
      <w:r/>
    </w:p>
    <w:tbl>
      <w:tblPr>
        <w:tblStyle w:val="755"/>
        <w:tblW w:w="838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60"/>
        <w:gridCol w:w="1642"/>
        <w:gridCol w:w="4268"/>
      </w:tblGrid>
      <w:tr>
        <w:trPr>
          <w:trHeight w:val="23"/>
        </w:trPr>
        <w:tc>
          <w:tcPr>
            <w:tcW w:w="71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序号</w:t>
            </w:r>
            <w:r/>
          </w:p>
        </w:tc>
        <w:tc>
          <w:tcPr>
            <w:tcW w:w="176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维护内容</w:t>
            </w:r>
            <w:r/>
          </w:p>
        </w:tc>
        <w:tc>
          <w:tcPr>
            <w:tcW w:w="1642"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维护周期及目标</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维护要求</w:t>
            </w:r>
            <w:r/>
          </w:p>
        </w:tc>
      </w:tr>
      <w:tr>
        <w:trPr>
          <w:trHeight w:val="23"/>
        </w:trPr>
        <w:tc>
          <w:tcPr>
            <w:tcW w:w="710"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w:t>
            </w:r>
            <w:r/>
          </w:p>
        </w:tc>
        <w:tc>
          <w:tcPr>
            <w:tcW w:w="1760"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室外取水管路清洗清淤</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月，确保管路无泥沙附着</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将室外取水管路淤泥吹出。至少三次空气吹洗，以便达到良好清淤效果。</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采用</w:t>
            </w: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稀盐酸，对取水管路进行清洗。清洗完毕后</w:t>
            </w:r>
            <w:r>
              <w:rPr>
                <w:rFonts w:hint="default" w:ascii="Times New Roman" w:hAnsi="Times New Roman" w:eastAsia="Times New Roman" w:cs="Times New Roman"/>
                <w:sz w:val="21"/>
                <w:szCs w:val="24"/>
                <w:lang w:eastAsia="zh-CN"/>
              </w:rPr>
              <w:t xml:space="preserve">15</w:t>
            </w:r>
            <w:r>
              <w:rPr>
                <w:rFonts w:hint="default" w:ascii="Times New Roman" w:hAnsi="Times New Roman" w:eastAsia="宋体" w:cs="Times New Roman"/>
                <w:sz w:val="21"/>
                <w:szCs w:val="24"/>
                <w:lang w:eastAsia="zh-CN"/>
              </w:rPr>
              <w:t xml:space="preserve">分钟手动运行一次采水流程，以便将管路中残余药剂清洗掉。</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恢复取水管路原状。</w:t>
            </w:r>
            <w:r/>
          </w:p>
        </w:tc>
      </w:tr>
      <w:tr>
        <w:trPr>
          <w:trHeight w:val="23"/>
        </w:trPr>
        <w:tc>
          <w:tcPr>
            <w:tcW w:w="710"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w:t>
            </w:r>
            <w:r/>
          </w:p>
        </w:tc>
        <w:tc>
          <w:tcPr>
            <w:tcW w:w="1760"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室内管路清洗</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月，确保管路透明，无泥沙藻类附着</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手动拆卸阀门、弯头、过滤网和样水杯等部件，用试管刷清洗，清洗后原样装回。</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检查蠕动泵进水塑胶软管脏污情况，必要的情况更换。</w:t>
            </w:r>
            <w:r/>
          </w:p>
        </w:tc>
      </w:tr>
      <w:tr>
        <w:trPr>
          <w:trHeight w:val="23"/>
        </w:trPr>
        <w:tc>
          <w:tcPr>
            <w:tcW w:w="710"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w:t>
            </w:r>
            <w:r/>
          </w:p>
        </w:tc>
        <w:tc>
          <w:tcPr>
            <w:tcW w:w="1760"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清洗液位计</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月，确保液位计工作正常</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将液位计拆下，用</w:t>
            </w: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盐酸擦洗浮球和导杆，清除表面钙化物和污物。</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测量浮球导通电阻，导通电阻必须小于</w:t>
            </w:r>
            <w:r>
              <w:rPr>
                <w:rFonts w:hint="default" w:ascii="Times New Roman" w:hAnsi="Times New Roman" w:eastAsia="Times New Roman" w:cs="Times New Roman"/>
                <w:sz w:val="21"/>
                <w:szCs w:val="24"/>
                <w:lang w:eastAsia="zh-CN"/>
              </w:rPr>
              <w:t xml:space="preserve">20</w:t>
            </w:r>
            <w:r>
              <w:rPr>
                <w:rFonts w:hint="default" w:ascii="Times New Roman" w:hAnsi="Times New Roman" w:eastAsia="宋体" w:cs="Times New Roman"/>
                <w:sz w:val="21"/>
                <w:szCs w:val="24"/>
                <w:lang w:eastAsia="zh-CN"/>
              </w:rPr>
              <w:t xml:space="preserve">欧姆，且反应灵敏。</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原样装回液位计。</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必要的情况更换新液位计。</w:t>
            </w:r>
            <w:r/>
          </w:p>
        </w:tc>
      </w:tr>
      <w:tr>
        <w:trPr>
          <w:trHeight w:val="23"/>
        </w:trPr>
        <w:tc>
          <w:tcPr>
            <w:tcW w:w="710"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w:t>
            </w:r>
            <w:r/>
          </w:p>
        </w:tc>
        <w:tc>
          <w:tcPr>
            <w:tcW w:w="1760"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清洗样水杯喷头</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月，确保喷头工作正常</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将样水杯清洗喷头拆下，检查是否有锈蚀状况，轻微锈蚀可采用</w:t>
            </w:r>
            <w:r>
              <w:rPr>
                <w:rFonts w:hint="default" w:ascii="Times New Roman" w:hAnsi="Times New Roman" w:eastAsia="Times New Roman" w:cs="Times New Roman"/>
                <w:sz w:val="21"/>
                <w:szCs w:val="24"/>
                <w:lang w:eastAsia="zh-CN"/>
              </w:rPr>
              <w:t xml:space="preserve">3%</w:t>
            </w:r>
            <w:r>
              <w:rPr>
                <w:rFonts w:hint="default" w:ascii="Times New Roman" w:hAnsi="Times New Roman" w:eastAsia="宋体" w:cs="Times New Roman"/>
                <w:sz w:val="21"/>
                <w:szCs w:val="24"/>
                <w:lang w:eastAsia="zh-CN"/>
              </w:rPr>
              <w:t xml:space="preserve">稀盐酸浸泡方法清除锈蚀，严重锈蚀状况直接换新。</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将喷头原样装回后注意调节喷头配水强度。</w:t>
            </w:r>
            <w:r/>
          </w:p>
        </w:tc>
      </w:tr>
      <w:tr>
        <w:trPr>
          <w:trHeight w:val="23"/>
        </w:trPr>
        <w:tc>
          <w:tcPr>
            <w:tcW w:w="710"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w:t>
            </w:r>
            <w:r/>
          </w:p>
        </w:tc>
        <w:tc>
          <w:tcPr>
            <w:tcW w:w="1760"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蠕动泵负载检查</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月，确保蠕动泵无堵塞和渗漏，计量准确</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按蠕动泵说明书要求，检查输出扭矩。</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若不符合说明书规定要求，及时更换泵管</w:t>
            </w:r>
            <w:r/>
          </w:p>
        </w:tc>
      </w:tr>
      <w:tr>
        <w:trPr>
          <w:trHeight w:val="23"/>
        </w:trPr>
        <w:tc>
          <w:tcPr>
            <w:tcW w:w="710"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w:t>
            </w:r>
            <w:r/>
          </w:p>
        </w:tc>
        <w:tc>
          <w:tcPr>
            <w:tcW w:w="1760"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液位观察管清洗</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月，确保液位观察管清洗透明</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拆下透明管清除脏污，用试管刷清洗干净。</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拆卸部件原样装回。</w:t>
            </w:r>
            <w:r/>
          </w:p>
        </w:tc>
      </w:tr>
      <w:tr>
        <w:trPr>
          <w:trHeight w:val="23"/>
        </w:trPr>
        <w:tc>
          <w:tcPr>
            <w:tcW w:w="710" w:type="dxa"/>
            <w:vAlign w:val="center"/>
            <w:vMerge w:val="restart"/>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7</w:t>
            </w:r>
            <w:r/>
          </w:p>
        </w:tc>
        <w:tc>
          <w:tcPr>
            <w:tcW w:w="1760"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取水系统综合测试</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月，确保系统取水正常</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完成上述测试后复原所有阀门到正确位置。</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检查各个接头是否松动，各个电动球阀接线是否完好。</w:t>
            </w:r>
            <w:r/>
          </w:p>
        </w:tc>
      </w:tr>
      <w:tr>
        <w:trPr>
          <w:trHeight w:val="23"/>
        </w:trPr>
        <w:tc>
          <w:tcPr>
            <w:tcW w:w="71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760"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检查无误情况下，系统复电，检查整个取水流程是否正常。</w:t>
            </w:r>
            <w:r/>
          </w:p>
        </w:tc>
      </w:tr>
      <w:tr>
        <w:trPr>
          <w:trHeight w:val="23"/>
        </w:trPr>
        <w:tc>
          <w:tcPr>
            <w:tcW w:w="710"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8</w:t>
            </w:r>
            <w:r/>
          </w:p>
        </w:tc>
        <w:tc>
          <w:tcPr>
            <w:tcW w:w="176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高锰酸盐指数分析仪</w:t>
            </w:r>
            <w:r/>
          </w:p>
        </w:tc>
        <w:tc>
          <w:tcPr>
            <w:tcW w:w="1642"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月，更换试剂并校正，确保数据正常</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更换标准校对液和分析试剂，一般不超过</w:t>
            </w:r>
            <w:r>
              <w:rPr>
                <w:rFonts w:hint="default" w:ascii="Times New Roman" w:hAnsi="Times New Roman" w:eastAsia="Times New Roman" w:cs="Times New Roman"/>
                <w:sz w:val="21"/>
                <w:szCs w:val="24"/>
                <w:lang w:eastAsia="zh-CN"/>
              </w:rPr>
              <w:t xml:space="preserve">15</w:t>
            </w:r>
            <w:r>
              <w:rPr>
                <w:rFonts w:hint="default" w:ascii="Times New Roman" w:hAnsi="Times New Roman" w:eastAsia="宋体" w:cs="Times New Roman"/>
                <w:sz w:val="21"/>
                <w:szCs w:val="24"/>
                <w:lang w:eastAsia="zh-CN"/>
              </w:rPr>
              <w:t xml:space="preserve">天，夏天视情况缩短更换周期。更换试剂时要将前一批的试剂全部更换干净，而不是补充试剂。试剂更换完毕须校正仪器，确保校正数据符合仪器要求。</w:t>
            </w:r>
            <w:r/>
          </w:p>
        </w:tc>
      </w:tr>
      <w:tr>
        <w:trPr>
          <w:trHeight w:val="23"/>
        </w:trPr>
        <w:tc>
          <w:tcPr>
            <w:tcW w:w="710"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9</w:t>
            </w:r>
            <w:r/>
          </w:p>
        </w:tc>
        <w:tc>
          <w:tcPr>
            <w:tcW w:w="176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氨氮分析仪</w:t>
            </w:r>
            <w:r/>
          </w:p>
        </w:tc>
        <w:tc>
          <w:tcPr>
            <w:tcW w:w="1642"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月，更换试剂并校正，确保数据正常</w:t>
            </w:r>
            <w:r/>
          </w:p>
        </w:tc>
        <w:tc>
          <w:tcPr>
            <w:tcW w:w="4268" w:type="dxa"/>
            <w:vAlign w:val="center"/>
            <w:vMerge w:val="restart"/>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更换标准校对液和分析试剂，一般不超过</w:t>
            </w:r>
            <w:r>
              <w:rPr>
                <w:rFonts w:hint="default" w:ascii="Times New Roman" w:hAnsi="Times New Roman" w:eastAsia="Times New Roman" w:cs="Times New Roman"/>
                <w:sz w:val="21"/>
                <w:szCs w:val="24"/>
                <w:lang w:eastAsia="zh-CN"/>
              </w:rPr>
              <w:t xml:space="preserve">30</w:t>
            </w:r>
            <w:r>
              <w:rPr>
                <w:rFonts w:hint="default" w:ascii="Times New Roman" w:hAnsi="Times New Roman" w:eastAsia="宋体" w:cs="Times New Roman"/>
                <w:sz w:val="21"/>
                <w:szCs w:val="24"/>
                <w:lang w:eastAsia="zh-CN"/>
              </w:rPr>
              <w:t xml:space="preserve">天，夏天视情况缩短更换周期。更换试剂时要将前一批的试剂全部更换干净，而不是补充试剂。试剂更换完毕须校正仪器，确保校正数据符合仪器要求。</w:t>
            </w:r>
            <w:r/>
          </w:p>
        </w:tc>
      </w:tr>
      <w:tr>
        <w:trPr>
          <w:trHeight w:val="23"/>
        </w:trPr>
        <w:tc>
          <w:tcPr>
            <w:tcW w:w="710"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10</w:t>
            </w:r>
            <w:r/>
          </w:p>
        </w:tc>
        <w:tc>
          <w:tcPr>
            <w:tcW w:w="176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总磷总氮分析仪</w:t>
            </w:r>
            <w:r/>
          </w:p>
        </w:tc>
        <w:tc>
          <w:tcPr>
            <w:tcW w:w="1642"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68" w:type="dxa"/>
            <w:vAlign w:val="center"/>
            <w:vMerge w:val="continue"/>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23"/>
        </w:trPr>
        <w:tc>
          <w:tcPr>
            <w:tcW w:w="710" w:type="dxa"/>
            <w:vAlign w:val="center"/>
            <w:textDirection w:val="lrTb"/>
            <w:noWrap w:val="false"/>
          </w:tcPr>
          <w:p>
            <w:pPr>
              <w:ind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11</w:t>
            </w:r>
            <w:r/>
          </w:p>
        </w:tc>
        <w:tc>
          <w:tcPr>
            <w:tcW w:w="1760"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五参数分析仪</w:t>
            </w:r>
            <w:r/>
          </w:p>
        </w:tc>
        <w:tc>
          <w:tcPr>
            <w:tcW w:w="1642"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月，校正</w:t>
            </w:r>
            <w:r>
              <w:rPr>
                <w:rFonts w:hint="default" w:ascii="Times New Roman" w:hAnsi="Times New Roman" w:eastAsia="Times New Roman" w:cs="Times New Roman"/>
                <w:sz w:val="21"/>
                <w:szCs w:val="24"/>
                <w:lang w:eastAsia="zh-CN"/>
              </w:rPr>
              <w:t xml:space="preserve">pH</w:t>
            </w:r>
            <w:r>
              <w:rPr>
                <w:rFonts w:hint="default" w:ascii="Times New Roman" w:hAnsi="Times New Roman" w:eastAsia="宋体" w:cs="Times New Roman"/>
                <w:sz w:val="21"/>
                <w:szCs w:val="24"/>
                <w:lang w:eastAsia="zh-CN"/>
              </w:rPr>
              <w:t xml:space="preserve">和溶解氧电极，确保数据正常</w:t>
            </w:r>
            <w:r/>
          </w:p>
        </w:tc>
        <w:tc>
          <w:tcPr>
            <w:tcW w:w="4268" w:type="dxa"/>
            <w:vAlign w:val="center"/>
            <w:textDirection w:val="lrTb"/>
            <w:noWrap w:val="false"/>
          </w:tcPr>
          <w:p>
            <w:pPr>
              <w:ind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校正</w:t>
            </w:r>
            <w:r>
              <w:rPr>
                <w:rFonts w:hint="default" w:ascii="Times New Roman" w:hAnsi="Times New Roman" w:eastAsia="Times New Roman" w:cs="Times New Roman"/>
                <w:sz w:val="21"/>
                <w:szCs w:val="24"/>
                <w:lang w:eastAsia="zh-CN"/>
              </w:rPr>
              <w:t xml:space="preserve">pH</w:t>
            </w:r>
            <w:r>
              <w:rPr>
                <w:rFonts w:hint="default" w:ascii="Times New Roman" w:hAnsi="Times New Roman" w:eastAsia="宋体" w:cs="Times New Roman"/>
                <w:sz w:val="21"/>
                <w:szCs w:val="24"/>
                <w:lang w:eastAsia="zh-CN"/>
              </w:rPr>
              <w:t xml:space="preserve">和溶解氧电极，确保校正数据符合仪器要求。</w:t>
            </w:r>
            <w:r/>
          </w:p>
        </w:tc>
      </w:tr>
    </w:tbl>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（c）每2月一次</w:t>
      </w:r>
      <w:r/>
    </w:p>
    <w:tbl>
      <w:tblPr>
        <w:tblStyle w:val="755"/>
        <w:tblW w:w="838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1562"/>
        <w:gridCol w:w="1665"/>
        <w:gridCol w:w="4245"/>
      </w:tblGrid>
      <w:tr>
        <w:trPr>
          <w:trHeight w:val="23"/>
        </w:trPr>
        <w:tc>
          <w:tcPr>
            <w:tcW w:w="908"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序号</w:t>
            </w:r>
            <w:r/>
          </w:p>
        </w:tc>
        <w:tc>
          <w:tcPr>
            <w:tcW w:w="1562"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维护内容</w:t>
            </w:r>
            <w:r/>
          </w:p>
        </w:tc>
        <w:tc>
          <w:tcPr>
            <w:tcW w:w="1665" w:type="dxa"/>
            <w:vAlign w:val="center"/>
            <w:textDirection w:val="lrTb"/>
            <w:noWrap w:val="false"/>
          </w:tcPr>
          <w:p>
            <w:pPr>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维护周期及目标</w:t>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维护要求</w:t>
            </w:r>
            <w:r/>
          </w:p>
        </w:tc>
      </w:tr>
      <w:tr>
        <w:trPr>
          <w:trHeight w:val="23"/>
        </w:trPr>
        <w:tc>
          <w:tcPr>
            <w:tcW w:w="908" w:type="dxa"/>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w:t>
            </w:r>
            <w:r/>
          </w:p>
        </w:tc>
        <w:tc>
          <w:tcPr>
            <w:tcW w:w="1562" w:type="dxa"/>
            <w:vAlign w:val="center"/>
            <w:textDirection w:val="lrTb"/>
            <w:noWrap w:val="false"/>
          </w:tcPr>
          <w:p>
            <w:pPr>
              <w:ind w:left="0"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采水系统维护</w:t>
            </w:r>
            <w:r/>
          </w:p>
        </w:tc>
        <w:tc>
          <w:tcPr>
            <w:tcW w:w="166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根据不同水期，适当调整，保证采水系统正常运行</w:t>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对季节性断流、河道改变明显的断面水质自动站采水系统进行加固、调整采水泵。</w:t>
            </w:r>
            <w:r/>
          </w:p>
        </w:tc>
      </w:tr>
      <w:tr>
        <w:trPr>
          <w:trHeight w:val="23"/>
        </w:trPr>
        <w:tc>
          <w:tcPr>
            <w:tcW w:w="908" w:type="dxa"/>
            <w:vAlign w:val="center"/>
            <w:vMerge w:val="restar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w:t>
            </w:r>
            <w:r/>
          </w:p>
        </w:tc>
        <w:tc>
          <w:tcPr>
            <w:tcW w:w="1562" w:type="dxa"/>
            <w:vAlign w:val="center"/>
            <w:vMerge w:val="restart"/>
            <w:textDirection w:val="lrTb"/>
            <w:noWrap w:val="false"/>
          </w:tcPr>
          <w:p>
            <w:pPr>
              <w:ind w:left="0"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室内管路清洗</w:t>
            </w:r>
            <w:r/>
          </w:p>
        </w:tc>
        <w:tc>
          <w:tcPr>
            <w:tcW w:w="1665" w:type="dxa"/>
            <w:vAlign w:val="center"/>
            <w:vMerge w:val="restart"/>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月，确保管路透明，无泥沙藻类附着</w:t>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手动拆卸阀门、弯头、过滤网和样水杯等部件，用试管刷清洗，清洗后原样装回。</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检查蠕动泵进水塑胶软管脏污情况，必要的情况更换。</w:t>
            </w:r>
            <w:r/>
          </w:p>
        </w:tc>
      </w:tr>
      <w:tr>
        <w:trPr>
          <w:trHeight w:val="23"/>
        </w:trPr>
        <w:tc>
          <w:tcPr>
            <w:tcW w:w="908" w:type="dxa"/>
            <w:vAlign w:val="center"/>
            <w:vMerge w:val="restar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w:t>
            </w:r>
            <w:r/>
          </w:p>
        </w:tc>
        <w:tc>
          <w:tcPr>
            <w:tcW w:w="1562" w:type="dxa"/>
            <w:vAlign w:val="center"/>
            <w:vMerge w:val="restart"/>
            <w:textDirection w:val="lrTb"/>
            <w:noWrap w:val="false"/>
          </w:tcPr>
          <w:p>
            <w:pPr>
              <w:ind w:left="0"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电动球阀清洗检查</w:t>
            </w:r>
            <w:r/>
          </w:p>
        </w:tc>
        <w:tc>
          <w:tcPr>
            <w:tcW w:w="1665" w:type="dxa"/>
            <w:vAlign w:val="center"/>
            <w:vMerge w:val="restart"/>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月，确保清洗后电动球阀吸合自如，无堵塞和渗漏</w:t>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将电动球阀手动拆下，用试管刷清洗后，将电动球阀装回管路。</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开启组态单阀测试程序，单独控制阀门开关，</w:t>
            </w:r>
            <w:r>
              <w:rPr>
                <w:rFonts w:hint="default" w:ascii="Times New Roman" w:hAnsi="Times New Roman" w:eastAsia="Times New Roman" w:cs="Times New Roman"/>
                <w:sz w:val="21"/>
                <w:szCs w:val="24"/>
                <w:lang w:eastAsia="zh-CN"/>
              </w:rPr>
              <w:t xml:space="preserve"> </w:t>
            </w:r>
            <w:r>
              <w:rPr>
                <w:rFonts w:hint="default" w:ascii="Times New Roman" w:hAnsi="Times New Roman" w:eastAsia="宋体" w:cs="Times New Roman"/>
                <w:sz w:val="21"/>
                <w:szCs w:val="24"/>
                <w:lang w:eastAsia="zh-CN"/>
              </w:rPr>
              <w:t xml:space="preserve">检查阀门开关时间是否符合要求</w:t>
            </w:r>
            <w:r>
              <w:rPr>
                <w:rFonts w:hint="default" w:ascii="Times New Roman" w:hAnsi="Times New Roman" w:eastAsia="Times New Roman" w:cs="Times New Roman"/>
                <w:sz w:val="21"/>
                <w:szCs w:val="24"/>
                <w:lang w:eastAsia="zh-CN"/>
              </w:rPr>
              <w:t xml:space="preserve">(10s</w:t>
            </w:r>
            <w:r>
              <w:rPr>
                <w:rFonts w:hint="default" w:ascii="Times New Roman" w:hAnsi="Times New Roman" w:eastAsia="宋体" w:cs="Times New Roman"/>
                <w:sz w:val="21"/>
                <w:szCs w:val="24"/>
                <w:lang w:eastAsia="zh-CN"/>
              </w:rPr>
              <w:t xml:space="preserve">以内</w:t>
            </w:r>
            <w:r>
              <w:rPr>
                <w:rFonts w:hint="default" w:ascii="Times New Roman" w:hAnsi="Times New Roman" w:eastAsia="Times New Roman" w:cs="Times New Roman"/>
                <w:sz w:val="21"/>
                <w:szCs w:val="24"/>
                <w:lang w:eastAsia="zh-CN"/>
              </w:rPr>
              <w:t xml:space="preserve">)</w:t>
            </w:r>
            <w:r>
              <w:rPr>
                <w:rFonts w:hint="default" w:ascii="Times New Roman" w:hAnsi="Times New Roman" w:eastAsia="宋体" w:cs="Times New Roman"/>
                <w:sz w:val="21"/>
                <w:szCs w:val="24"/>
                <w:lang w:eastAsia="zh-CN"/>
              </w:rPr>
              <w:t xml:space="preserve">。</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必要的情况替换电动球阀。</w:t>
            </w:r>
            <w:r/>
          </w:p>
        </w:tc>
      </w:tr>
      <w:tr>
        <w:trPr>
          <w:trHeight w:val="23"/>
        </w:trPr>
        <w:tc>
          <w:tcPr>
            <w:tcW w:w="908" w:type="dxa"/>
            <w:vAlign w:val="center"/>
            <w:vMerge w:val="restar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w:t>
            </w:r>
            <w:r/>
          </w:p>
        </w:tc>
        <w:tc>
          <w:tcPr>
            <w:tcW w:w="1562" w:type="dxa"/>
            <w:vAlign w:val="center"/>
            <w:vMerge w:val="restart"/>
            <w:textDirection w:val="lrTb"/>
            <w:noWrap w:val="false"/>
          </w:tcPr>
          <w:p>
            <w:pPr>
              <w:ind w:left="0"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单向阀清洗</w:t>
            </w:r>
            <w:r/>
          </w:p>
        </w:tc>
        <w:tc>
          <w:tcPr>
            <w:tcW w:w="1665" w:type="dxa"/>
            <w:vAlign w:val="center"/>
            <w:vMerge w:val="restart"/>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月，确保清</w:t>
            </w:r>
            <w:r/>
          </w:p>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洗后电动球阀吸</w:t>
            </w:r>
            <w:r/>
          </w:p>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合自如，无堵塞和渗漏</w:t>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拆下单向阀，</w:t>
            </w:r>
            <w:r>
              <w:rPr>
                <w:rFonts w:hint="default" w:ascii="Times New Roman" w:hAnsi="Times New Roman" w:eastAsia="Times New Roman" w:cs="Times New Roman"/>
                <w:sz w:val="21"/>
                <w:szCs w:val="24"/>
                <w:lang w:eastAsia="zh-CN"/>
              </w:rPr>
              <w:t xml:space="preserve"> </w:t>
            </w:r>
            <w:r>
              <w:rPr>
                <w:rFonts w:hint="default" w:ascii="Times New Roman" w:hAnsi="Times New Roman" w:eastAsia="宋体" w:cs="Times New Roman"/>
                <w:sz w:val="21"/>
                <w:szCs w:val="24"/>
                <w:lang w:eastAsia="zh-CN"/>
              </w:rPr>
              <w:t xml:space="preserve">用试管刷清洗单向阀阀体及密封橡胶上附着的脏污物，检查密封性是否完好后，原样装回管路。</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必要情况更换单向阀。</w:t>
            </w:r>
            <w:r/>
          </w:p>
        </w:tc>
      </w:tr>
      <w:tr>
        <w:trPr>
          <w:trHeight w:val="23"/>
        </w:trPr>
        <w:tc>
          <w:tcPr>
            <w:tcW w:w="908" w:type="dxa"/>
            <w:vAlign w:val="center"/>
            <w:vMerge w:val="restar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5</w:t>
            </w:r>
            <w:r/>
          </w:p>
        </w:tc>
        <w:tc>
          <w:tcPr>
            <w:tcW w:w="1562" w:type="dxa"/>
            <w:vAlign w:val="center"/>
            <w:vMerge w:val="restart"/>
            <w:textDirection w:val="lrTb"/>
            <w:noWrap w:val="false"/>
          </w:tcPr>
          <w:p>
            <w:pPr>
              <w:ind w:left="0"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压力表测试</w:t>
            </w:r>
            <w:r/>
          </w:p>
        </w:tc>
        <w:tc>
          <w:tcPr>
            <w:tcW w:w="1665" w:type="dxa"/>
            <w:vAlign w:val="center"/>
            <w:vMerge w:val="restart"/>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次</w:t>
            </w:r>
            <w:r>
              <w:rPr>
                <w:rFonts w:hint="default" w:ascii="Times New Roman" w:hAnsi="Times New Roman" w:eastAsia="Times New Roman" w:cs="Times New Roman"/>
                <w:sz w:val="21"/>
                <w:szCs w:val="24"/>
                <w:lang w:eastAsia="zh-CN"/>
              </w:rPr>
              <w:t xml:space="preserve">/2</w:t>
            </w:r>
            <w:r>
              <w:rPr>
                <w:rFonts w:hint="default" w:ascii="Times New Roman" w:hAnsi="Times New Roman" w:eastAsia="宋体" w:cs="Times New Roman"/>
                <w:sz w:val="21"/>
                <w:szCs w:val="24"/>
                <w:lang w:eastAsia="zh-CN"/>
              </w:rPr>
              <w:t xml:space="preserve">月，确保清洗后压力表读数正常</w:t>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拆下压力表表头，清洗清除压力导管内泥沙。</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压缩空气吹脱表头内残留脏污。</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调节空压机输出压力为</w:t>
            </w:r>
            <w:r>
              <w:rPr>
                <w:rFonts w:hint="default" w:ascii="Times New Roman" w:hAnsi="Times New Roman" w:eastAsia="Times New Roman" w:cs="Times New Roman"/>
                <w:sz w:val="21"/>
                <w:szCs w:val="24"/>
                <w:lang w:eastAsia="zh-CN"/>
              </w:rPr>
              <w:t xml:space="preserve">0.6Mpa</w:t>
            </w:r>
            <w:r>
              <w:rPr>
                <w:rFonts w:hint="default" w:ascii="Times New Roman" w:hAnsi="Times New Roman" w:eastAsia="宋体" w:cs="Times New Roman"/>
                <w:sz w:val="21"/>
                <w:szCs w:val="24"/>
                <w:lang w:eastAsia="zh-CN"/>
              </w:rPr>
              <w:t xml:space="preserve">，输出气管连接到待测压力表，检查待测压力表显示是否和空压机一致，反应是否灵敏。</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原样装回压力表，注意气密性。</w:t>
            </w:r>
            <w:r/>
          </w:p>
        </w:tc>
      </w:tr>
      <w:tr>
        <w:trPr>
          <w:trHeight w:val="23"/>
        </w:trPr>
        <w:tc>
          <w:tcPr>
            <w:tcW w:w="908"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Align w:val="center"/>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必要情况更换压力表。</w:t>
            </w:r>
            <w:r/>
          </w:p>
        </w:tc>
      </w:tr>
      <w:tr>
        <w:trPr>
          <w:trHeight w:val="23"/>
        </w:trPr>
        <w:tc>
          <w:tcPr>
            <w:tcW w:w="908" w:type="dxa"/>
            <w:vAlign w:val="center"/>
            <w:vMerge w:val="restar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6</w:t>
            </w:r>
            <w:r/>
          </w:p>
        </w:tc>
        <w:tc>
          <w:tcPr>
            <w:tcW w:w="1562" w:type="dxa"/>
            <w:vAlign w:val="center"/>
            <w:vMerge w:val="restart"/>
            <w:textDirection w:val="lrTb"/>
            <w:noWrap w:val="false"/>
          </w:tcPr>
          <w:p>
            <w:pPr>
              <w:ind w:left="0" w:firstLine="0"/>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工控机检查</w:t>
            </w:r>
            <w:r/>
          </w:p>
        </w:tc>
        <w:tc>
          <w:tcPr>
            <w:tcW w:w="1665" w:type="dxa"/>
            <w:vAlign w:val="center"/>
            <w:vMerge w:val="restar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1次/2月</w:t>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检查开机过程中硬件自检过程是否有异常数据传输和报警。</w:t>
            </w:r>
            <w:r/>
          </w:p>
        </w:tc>
      </w:tr>
      <w:tr>
        <w:trPr>
          <w:trHeight w:val="23"/>
        </w:trPr>
        <w:tc>
          <w:tcPr>
            <w:tcW w:w="908"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强制切断电源后复电工控机是否可以自动启动，并运行</w:t>
            </w:r>
            <w:r>
              <w:rPr>
                <w:rFonts w:hint="default" w:ascii="Times New Roman" w:hAnsi="Times New Roman" w:eastAsia="Times New Roman" w:cs="Times New Roman"/>
                <w:sz w:val="21"/>
                <w:szCs w:val="24"/>
                <w:lang w:eastAsia="zh-CN"/>
              </w:rPr>
              <w:t xml:space="preserve">windos</w:t>
            </w:r>
            <w:r>
              <w:rPr>
                <w:rFonts w:hint="default" w:ascii="Times New Roman" w:hAnsi="Times New Roman" w:eastAsia="宋体" w:cs="Times New Roman"/>
                <w:sz w:val="21"/>
                <w:szCs w:val="24"/>
                <w:lang w:eastAsia="zh-CN"/>
              </w:rPr>
              <w:t xml:space="preserve">系统、加载现场监控软件，串口连接是否正常。</w:t>
            </w:r>
            <w:r/>
          </w:p>
        </w:tc>
      </w:tr>
      <w:tr>
        <w:trPr>
          <w:trHeight w:val="23"/>
        </w:trPr>
        <w:tc>
          <w:tcPr>
            <w:tcW w:w="908"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插入备份光盘，用</w:t>
            </w:r>
            <w:r>
              <w:rPr>
                <w:rFonts w:hint="default" w:ascii="Times New Roman" w:hAnsi="Times New Roman" w:eastAsia="Times New Roman" w:cs="Times New Roman"/>
                <w:sz w:val="21"/>
                <w:szCs w:val="24"/>
                <w:lang w:eastAsia="zh-CN"/>
              </w:rPr>
              <w:t xml:space="preserve">ghost</w:t>
            </w:r>
            <w:r>
              <w:rPr>
                <w:rFonts w:hint="default" w:ascii="Times New Roman" w:hAnsi="Times New Roman" w:eastAsia="宋体" w:cs="Times New Roman"/>
                <w:sz w:val="21"/>
                <w:szCs w:val="24"/>
                <w:lang w:eastAsia="zh-CN"/>
              </w:rPr>
              <w:t xml:space="preserve">软件备份操作系统。将备份好的操作系统和分区</w:t>
            </w:r>
            <w:r>
              <w:rPr>
                <w:rFonts w:hint="default" w:ascii="Times New Roman" w:hAnsi="Times New Roman" w:eastAsia="Times New Roman" w:cs="Times New Roman"/>
                <w:sz w:val="21"/>
                <w:szCs w:val="24"/>
                <w:lang w:eastAsia="zh-CN"/>
              </w:rPr>
              <w:t xml:space="preserve">D</w:t>
            </w:r>
            <w:r>
              <w:rPr>
                <w:rFonts w:hint="default" w:ascii="Times New Roman" w:hAnsi="Times New Roman" w:eastAsia="宋体" w:cs="Times New Roman"/>
                <w:sz w:val="21"/>
                <w:szCs w:val="24"/>
                <w:lang w:eastAsia="zh-CN"/>
              </w:rPr>
              <w:t xml:space="preserve">内的文件拷贝到备份移动硬盘上。</w:t>
            </w:r>
            <w:r/>
          </w:p>
        </w:tc>
      </w:tr>
      <w:tr>
        <w:trPr>
          <w:trHeight w:val="23"/>
        </w:trPr>
        <w:tc>
          <w:tcPr>
            <w:tcW w:w="908"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断电后拆下工控机，打开后盖，用细毛刷清</w:t>
            </w:r>
            <w:r/>
          </w:p>
        </w:tc>
      </w:tr>
      <w:tr>
        <w:trPr>
          <w:trHeight w:val="23"/>
        </w:trPr>
        <w:tc>
          <w:tcPr>
            <w:tcW w:w="908"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除电源和主板上的灰尘，尤其注意</w:t>
            </w:r>
            <w:r>
              <w:rPr>
                <w:rFonts w:hint="default" w:ascii="Times New Roman" w:hAnsi="Times New Roman" w:eastAsia="Times New Roman" w:cs="Times New Roman"/>
                <w:sz w:val="21"/>
                <w:szCs w:val="24"/>
                <w:lang w:eastAsia="zh-CN"/>
              </w:rPr>
              <w:t xml:space="preserve">cpu</w:t>
            </w:r>
            <w:r>
              <w:rPr>
                <w:rFonts w:hint="default" w:ascii="Times New Roman" w:hAnsi="Times New Roman" w:eastAsia="宋体" w:cs="Times New Roman"/>
                <w:sz w:val="21"/>
                <w:szCs w:val="24"/>
                <w:lang w:eastAsia="zh-CN"/>
              </w:rPr>
              <w:t xml:space="preserve">板、内存和各个串口卡上的灰尘清除。检查各个功能卡接口是否连接牢固。</w:t>
            </w:r>
            <w:r/>
          </w:p>
        </w:tc>
      </w:tr>
      <w:tr>
        <w:trPr>
          <w:trHeight w:val="23"/>
        </w:trPr>
        <w:tc>
          <w:tcPr>
            <w:tcW w:w="908"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检查硬盘</w:t>
            </w:r>
            <w:r>
              <w:rPr>
                <w:rFonts w:hint="default" w:ascii="Times New Roman" w:hAnsi="Times New Roman" w:eastAsia="Times New Roman" w:cs="Times New Roman"/>
                <w:sz w:val="21"/>
                <w:szCs w:val="24"/>
                <w:lang w:eastAsia="zh-CN"/>
              </w:rPr>
              <w:t xml:space="preserve">SATA</w:t>
            </w:r>
            <w:r>
              <w:rPr>
                <w:rFonts w:hint="default" w:ascii="Times New Roman" w:hAnsi="Times New Roman" w:eastAsia="宋体" w:cs="Times New Roman"/>
                <w:sz w:val="21"/>
                <w:szCs w:val="24"/>
                <w:lang w:eastAsia="zh-CN"/>
              </w:rPr>
              <w:t xml:space="preserve">连接线是否松动。</w:t>
            </w:r>
            <w:r/>
          </w:p>
        </w:tc>
      </w:tr>
      <w:tr>
        <w:trPr>
          <w:trHeight w:val="23"/>
        </w:trPr>
        <w:tc>
          <w:tcPr>
            <w:tcW w:w="908"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定期对杀毒软件升级，专机专用，禁止从事与工作无关的活动</w:t>
            </w:r>
            <w:r/>
          </w:p>
        </w:tc>
      </w:tr>
      <w:tr>
        <w:trPr>
          <w:trHeight w:val="23"/>
        </w:trPr>
        <w:tc>
          <w:tcPr>
            <w:tcW w:w="908"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562"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1665" w:type="dxa"/>
            <w:vMerge w:val="continue"/>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c>
          <w:tcPr>
            <w:tcW w:w="4245" w:type="dxa"/>
            <w:vAlign w:val="center"/>
            <w:textDirection w:val="lrTb"/>
            <w:noWrap w:val="false"/>
          </w:tcPr>
          <w:p>
            <w:pPr>
              <w:ind w:firstLine="482"/>
              <w:spacing w:after="0" w:line="360" w:lineRule="auto"/>
              <w:rPr>
                <w:rFonts w:hint="default" w:ascii="Times New Roman" w:hAnsi="Times New Roman" w:eastAsia="Times New Roman" w:cs="Times New Roman"/>
                <w:sz w:val="21"/>
                <w:szCs w:val="24"/>
                <w:lang w:eastAsia="zh-CN"/>
              </w:rPr>
            </w:pPr>
            <w:r>
              <w:rPr>
                <w:rFonts w:hint="default" w:ascii="Times New Roman" w:hAnsi="Times New Roman" w:eastAsia="宋体" w:cs="Times New Roman"/>
                <w:sz w:val="21"/>
                <w:szCs w:val="24"/>
                <w:lang w:eastAsia="zh-CN"/>
              </w:rPr>
              <w:t xml:space="preserve">装回工控机重复</w:t>
            </w:r>
            <w:r>
              <w:rPr>
                <w:rFonts w:hint="default" w:ascii="Times New Roman" w:hAnsi="Times New Roman" w:eastAsia="Times New Roman" w:cs="Times New Roman"/>
                <w:sz w:val="21"/>
                <w:szCs w:val="24"/>
                <w:lang w:eastAsia="zh-CN"/>
              </w:rPr>
              <w:t xml:space="preserve">1)</w:t>
            </w:r>
            <w:r>
              <w:rPr>
                <w:rFonts w:hint="default" w:ascii="Times New Roman" w:hAnsi="Times New Roman" w:eastAsia="宋体" w:cs="Times New Roman"/>
                <w:sz w:val="21"/>
                <w:szCs w:val="24"/>
                <w:lang w:eastAsia="zh-CN"/>
              </w:rPr>
              <w:t xml:space="preserve">、</w:t>
            </w:r>
            <w:r>
              <w:rPr>
                <w:rFonts w:hint="default" w:ascii="Times New Roman" w:hAnsi="Times New Roman" w:eastAsia="Times New Roman" w:cs="Times New Roman"/>
                <w:sz w:val="21"/>
                <w:szCs w:val="24"/>
                <w:lang w:eastAsia="zh-CN"/>
              </w:rPr>
              <w:t xml:space="preserve"> 2)</w:t>
            </w:r>
            <w:r>
              <w:rPr>
                <w:rFonts w:hint="default" w:ascii="Times New Roman" w:hAnsi="Times New Roman" w:eastAsia="宋体" w:cs="Times New Roman"/>
                <w:sz w:val="21"/>
                <w:szCs w:val="24"/>
                <w:lang w:eastAsia="zh-CN"/>
              </w:rPr>
              <w:t xml:space="preserve">步骤</w:t>
            </w:r>
            <w:r/>
          </w:p>
        </w:tc>
      </w:tr>
    </w:tbl>
    <w:p>
      <w:pPr>
        <w:ind w:firstLine="482"/>
        <w:spacing w:after="0" w:line="360" w:lineRule="auto"/>
        <w:rPr>
          <w:rFonts w:hint="default" w:ascii="Times New Roman" w:hAnsi="Times New Roman" w:eastAsia="宋体" w:cs="Times New Roman"/>
          <w:sz w:val="21"/>
          <w:szCs w:val="24"/>
          <w:lang w:eastAsia="zh-CN"/>
        </w:rPr>
      </w:pPr>
      <w:r>
        <w:rPr>
          <w:rFonts w:hint="eastAsia" w:ascii="Times New Roman" w:hAnsi="Times New Roman" w:eastAsia="宋体" w:cs="Times New Roman"/>
          <w:sz w:val="21"/>
          <w:szCs w:val="24"/>
          <w:lang w:eastAsia="zh-CN"/>
        </w:rPr>
        <w:t xml:space="preserve">2、</w:t>
      </w:r>
      <w:r>
        <w:rPr>
          <w:rFonts w:hint="default" w:ascii="Times New Roman" w:hAnsi="Times New Roman" w:eastAsia="宋体" w:cs="Times New Roman"/>
          <w:sz w:val="21"/>
          <w:szCs w:val="24"/>
          <w:lang w:eastAsia="zh-CN"/>
        </w:rPr>
        <w:t xml:space="preserve">技术指标和要求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招标文件中未明确的质控管理要求的，按照江苏省已制定的相关规范性文件执行，若出台新的管理办法或技术规范时，按新要求执行。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（一）运维工作要求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（1）水质自动站运行指标要求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pH、溶解氧、氨氮、高锰酸盐指数、总磷、总氮等仪器运转率不低于90%，（除去停水停电，性能测试及其他不可抗拒因素引起的故障）。仪器运转率的计算方法参照《江苏省环境水质（地表水）自动监测预警系统运行管理办法（试行）》中有关规定执行。</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仪器月运转率= </w:t>
      </w:r>
      <m:oMath>
        <m:f>
          <m:fPr>
            <m:ctrlPr>
              <w:rPr>
                <w:rFonts w:ascii="Cambria Math" w:hAnsi="Cambria Math"/>
              </w:rPr>
            </m:ctrlPr>
          </m:fPr>
          <m:num>
            <m:r>
              <w:rPr>
                <w:rFonts w:ascii="Cambria Math" w:hAnsi="Cambria Math"/>
              </w:rPr>
              <m:rPr>
                <m:sty m:val="p"/>
              </m:rPr>
              <m:t>该仪器月实际采用数据数</m:t>
            </m:r>
          </m:num>
          <m:den>
            <m:r>
              <w:rPr>
                <w:rFonts w:ascii="Cambria Math" w:hAnsi="Cambria Math"/>
              </w:rPr>
              <m:rPr>
                <m:sty m:val="p"/>
              </m:rPr>
              <m:t>天数×日监测次数</m:t>
            </m:r>
          </m:den>
        </m:f>
        <m:r>
          <w:rPr>
            <w:rFonts w:ascii="Cambria Math" w:hAnsi="Cambria Math"/>
          </w:rPr>
          <m:rPr>
            <m:sty m:val="p"/>
          </m:rPr>
          <m:t>×100%</m:t>
        </m:r>
      </m:oMath>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（2）数据质量要求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水质</w:t>
      </w:r>
      <w:r>
        <w:rPr>
          <w:rFonts w:hint="default" w:ascii="Times New Roman" w:hAnsi="Times New Roman" w:eastAsia="宋体" w:cs="Times New Roman"/>
          <w:sz w:val="21"/>
          <w:szCs w:val="24"/>
          <w:lang w:eastAsia="zh-CN"/>
        </w:rPr>
        <w:t xml:space="preserve">自动站要求中标人参照《江苏省环境水质（地表水）自动监测预警系统运行管理办法（试行）》和《江苏省水质自动监测质量管理暂行规定》等规定要求，定期开展标液核查、系统核查等质控工作。其中氨氮、高锰酸盐指数至少每周进行一次质控工作（可以为仪器自校、手工校准、水样比对、标液核查或盲样考核，但至少每月有一次为业主或质控单位组织开展的）；pH、溶解氧、电导率、浊度、水温每月至少进行一次水样比对。结果（包括图片等佐证材料）应及时报业主方，结果未报、频次未达标或未附佐证材料视为未考核，同时扣除该参数当月（或该季度）全部运维款。</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（3）异常情况处理的要求：</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4）数据必须真实有效，投标人近3年内，在环境监测服务活动中必须没有弄虚作假行为（请投标人根据本单位实际情况自行承诺，若有不实，按提供虚假资料处理，投标及中标无效，且不予退还投标保证金并承担相关法律责任）。</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（二）运维费核算方法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（1）每</w:t>
      </w:r>
      <w:r>
        <w:rPr>
          <w:rFonts w:hint="eastAsia" w:ascii="Times New Roman" w:hAnsi="Times New Roman" w:eastAsia="宋体" w:cs="Times New Roman"/>
          <w:sz w:val="21"/>
          <w:szCs w:val="24"/>
          <w:lang w:val="en-US" w:eastAsia="zh-CN"/>
        </w:rPr>
        <w:t xml:space="preserve">半</w:t>
      </w:r>
      <w:r>
        <w:rPr>
          <w:rFonts w:hint="default" w:ascii="Times New Roman" w:hAnsi="Times New Roman" w:eastAsia="宋体" w:cs="Times New Roman"/>
          <w:sz w:val="21"/>
          <w:szCs w:val="24"/>
          <w:lang w:eastAsia="zh-CN"/>
        </w:rPr>
        <w:t xml:space="preserve">年对运维单位开展一次运营工作考核，以每个水质自动站为单位进行。各站依据维护内容就维护质量和相关指标相结合的方式进行评分，满分为100分，每次平均分小于85分为不合格；平均分大于或等于85分为合格。具体考核内容见附件。</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（2）核算办法</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①</w:t>
      </w:r>
      <w:r>
        <w:rPr>
          <w:rFonts w:hint="default" w:ascii="Times New Roman" w:hAnsi="Times New Roman" w:eastAsia="宋体" w:cs="Times New Roman"/>
          <w:sz w:val="21"/>
          <w:szCs w:val="24"/>
          <w:lang w:eastAsia="zh-CN"/>
        </w:rPr>
        <w:t xml:space="preserve"> 考核结果平均分在80分以上（含），85分以下，为初级警告，扣除半年度运营费</w:t>
      </w:r>
      <w:r>
        <w:rPr>
          <w:rFonts w:hint="eastAsia" w:ascii="Times New Roman" w:hAnsi="Times New Roman" w:eastAsia="宋体" w:cs="Times New Roman"/>
          <w:sz w:val="21"/>
          <w:szCs w:val="24"/>
          <w:lang w:val="en-US" w:eastAsia="zh-CN"/>
        </w:rPr>
        <w:t xml:space="preserve">10</w:t>
      </w:r>
      <w:r>
        <w:rPr>
          <w:rFonts w:hint="default" w:ascii="Times New Roman" w:hAnsi="Times New Roman" w:eastAsia="宋体" w:cs="Times New Roman"/>
          <w:sz w:val="21"/>
          <w:szCs w:val="24"/>
          <w:lang w:eastAsia="zh-CN"/>
        </w:rPr>
        <w:t xml:space="preserve">%，并责令整改；</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②</w:t>
      </w:r>
      <w:r>
        <w:rPr>
          <w:rFonts w:hint="default" w:ascii="Times New Roman" w:hAnsi="Times New Roman" w:eastAsia="宋体" w:cs="Times New Roman"/>
          <w:sz w:val="21"/>
          <w:szCs w:val="24"/>
          <w:lang w:eastAsia="zh-CN"/>
        </w:rPr>
        <w:t xml:space="preserve"> 考核结果平均分在75分以上（含），80分以下，为二级警告，扣除半年度运行费的</w:t>
      </w:r>
      <w:r>
        <w:rPr>
          <w:rFonts w:hint="eastAsia" w:ascii="Times New Roman" w:hAnsi="Times New Roman" w:eastAsia="宋体" w:cs="Times New Roman"/>
          <w:sz w:val="21"/>
          <w:szCs w:val="24"/>
          <w:lang w:val="en-US" w:eastAsia="zh-CN"/>
        </w:rPr>
        <w:t xml:space="preserve">20</w:t>
      </w:r>
      <w:r>
        <w:rPr>
          <w:rFonts w:hint="default" w:ascii="Times New Roman" w:hAnsi="Times New Roman" w:eastAsia="宋体" w:cs="Times New Roman"/>
          <w:sz w:val="21"/>
          <w:szCs w:val="24"/>
          <w:lang w:eastAsia="zh-CN"/>
        </w:rPr>
        <w:t xml:space="preserve">%，并责令整改；</w:t>
      </w:r>
      <w:r/>
    </w:p>
    <w:p>
      <w:pPr>
        <w:ind w:firstLine="482"/>
        <w:spacing w:after="0" w:line="360" w:lineRule="auto"/>
        <w:rPr>
          <w:rFonts w:hint="default" w:ascii="Times New Roman" w:hAnsi="Times New Roman" w:eastAsia="宋体" w:cs="Times New Roman"/>
          <w:sz w:val="21"/>
          <w:szCs w:val="24"/>
          <w:lang w:eastAsia="zh-CN"/>
        </w:rPr>
      </w:pPr>
      <w:r>
        <w:rPr>
          <w:rFonts w:hint="eastAsia" w:ascii="宋体" w:hAnsi="宋体" w:eastAsia="宋体" w:cs="宋体"/>
          <w:sz w:val="21"/>
          <w:szCs w:val="24"/>
          <w:lang w:eastAsia="zh-CN"/>
        </w:rPr>
        <w:t xml:space="preserve">③</w:t>
      </w:r>
      <w:r>
        <w:rPr>
          <w:rFonts w:hint="default" w:ascii="Times New Roman" w:hAnsi="Times New Roman" w:eastAsia="宋体" w:cs="Times New Roman"/>
          <w:sz w:val="21"/>
          <w:szCs w:val="24"/>
          <w:lang w:eastAsia="zh-CN"/>
        </w:rPr>
        <w:t xml:space="preserve"> 考核结果平均分在</w:t>
      </w:r>
      <w:r>
        <w:rPr>
          <w:rFonts w:hint="eastAsia" w:ascii="Times New Roman" w:hAnsi="Times New Roman" w:eastAsia="宋体" w:cs="Times New Roman"/>
          <w:sz w:val="21"/>
          <w:szCs w:val="24"/>
          <w:lang w:val="en-US" w:eastAsia="zh-CN"/>
        </w:rPr>
        <w:t xml:space="preserve">7</w:t>
      </w:r>
      <w:r>
        <w:rPr>
          <w:rFonts w:hint="default" w:ascii="Times New Roman" w:hAnsi="Times New Roman" w:eastAsia="宋体" w:cs="Times New Roman"/>
          <w:sz w:val="21"/>
          <w:szCs w:val="24"/>
          <w:lang w:eastAsia="zh-CN"/>
        </w:rPr>
        <w:t xml:space="preserve">5分以下，取消运营合同，并罚款半年度运维费。</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水质自动监测站运行考核表</w:t>
      </w:r>
      <w:r/>
    </w:p>
    <w:tbl>
      <w:tblPr>
        <w:tblStyle w:val="75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5605"/>
        <w:gridCol w:w="834"/>
      </w:tblGrid>
      <w:tr>
        <w:trPr>
          <w:trHeight w:val="457"/>
        </w:trPr>
        <w:tc>
          <w:tcPr>
            <w:tcW w:w="121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考核内容</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考核要求</w:t>
            </w:r>
            <w:r/>
          </w:p>
        </w:tc>
        <w:tc>
          <w:tcPr>
            <w:tcW w:w="488" w:type="pct"/>
            <w:vAlign w:val="center"/>
            <w:textDirection w:val="lrTb"/>
            <w:noWrap w:val="false"/>
          </w:tcPr>
          <w:p>
            <w:pPr>
              <w:ind w:left="0" w:firstLine="0"/>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得分</w:t>
            </w:r>
            <w:r/>
          </w:p>
        </w:tc>
      </w:tr>
      <w:tr>
        <w:trPr>
          <w:trHeight w:val="423"/>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一、水站运维现场检查  （</w:t>
            </w:r>
            <w:r>
              <w:rPr>
                <w:rFonts w:hint="eastAsia" w:ascii="Times New Roman" w:hAnsi="Times New Roman" w:eastAsia="宋体" w:cs="Times New Roman"/>
                <w:sz w:val="21"/>
                <w:szCs w:val="24"/>
                <w:lang w:val="en-US" w:eastAsia="zh-CN"/>
              </w:rPr>
              <w:t xml:space="preserve">7</w:t>
            </w:r>
            <w:r>
              <w:rPr>
                <w:rFonts w:hint="default" w:ascii="Times New Roman" w:hAnsi="Times New Roman" w:eastAsia="宋体" w:cs="Times New Roman"/>
                <w:sz w:val="21"/>
                <w:szCs w:val="24"/>
                <w:lang w:eastAsia="zh-CN"/>
              </w:rPr>
              <w:t xml:space="preserve">0分）</w:t>
            </w:r>
            <w:r/>
          </w:p>
        </w:tc>
      </w:tr>
      <w:tr>
        <w:trPr>
          <w:trHeight w:val="572"/>
        </w:trPr>
        <w:tc>
          <w:tcPr>
            <w:tcW w:w="1215" w:type="pct"/>
            <w:vAlign w:val="center"/>
            <w:textDirection w:val="lrTb"/>
            <w:noWrap w:val="false"/>
          </w:tcPr>
          <w:p>
            <w:pPr>
              <w:ind w:left="0" w:firstLine="0"/>
              <w:jc w:val="center"/>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站房卫生</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环境清洁；整齐无零乱堆放；仪器无污渍；无漏水；泵管、试剂导管等清洁（</w:t>
            </w:r>
            <w:r>
              <w:rPr>
                <w:rFonts w:hint="eastAsia" w:ascii="Times New Roman" w:hAnsi="Times New Roman" w:eastAsia="宋体" w:cs="Times New Roman"/>
                <w:sz w:val="21"/>
                <w:szCs w:val="24"/>
                <w:lang w:val="en-US" w:eastAsia="zh-CN"/>
              </w:rPr>
              <w:t xml:space="preserve">5</w:t>
            </w:r>
            <w:r>
              <w:rPr>
                <w:rFonts w:hint="default" w:ascii="Times New Roman" w:hAnsi="Times New Roman" w:eastAsia="宋体" w:cs="Times New Roman"/>
                <w:sz w:val="21"/>
                <w:szCs w:val="24"/>
                <w:lang w:eastAsia="zh-CN"/>
              </w:rPr>
              <w:t xml:space="preserve">分每项</w:t>
            </w:r>
            <w:r>
              <w:rPr>
                <w:rFonts w:hint="eastAsia" w:ascii="Times New Roman" w:hAnsi="Times New Roman" w:eastAsia="宋体" w:cs="Times New Roman"/>
                <w:sz w:val="21"/>
                <w:szCs w:val="24"/>
                <w:lang w:val="en-US" w:eastAsia="zh-CN"/>
              </w:rPr>
              <w:t xml:space="preserve">1</w:t>
            </w:r>
            <w:r>
              <w:rPr>
                <w:rFonts w:hint="default" w:ascii="Times New Roman" w:hAnsi="Times New Roman" w:eastAsia="宋体" w:cs="Times New Roman"/>
                <w:sz w:val="21"/>
                <w:szCs w:val="24"/>
                <w:lang w:eastAsia="zh-CN"/>
              </w:rPr>
              <w:t xml:space="preserve">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66"/>
        </w:trPr>
        <w:tc>
          <w:tcPr>
            <w:tcW w:w="1215" w:type="pct"/>
            <w:vAlign w:val="center"/>
            <w:textDirection w:val="lrTb"/>
            <w:noWrap w:val="false"/>
          </w:tcPr>
          <w:p>
            <w:pPr>
              <w:ind w:left="0" w:firstLine="0"/>
              <w:jc w:val="center"/>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自动监测仪器设备</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仪器及系统运行正常；数据正常；供电、采水、通讯、空调等设施完好无损，正常工作（15分每项5分）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706"/>
        </w:trPr>
        <w:tc>
          <w:tcPr>
            <w:tcW w:w="1215" w:type="pct"/>
            <w:vAlign w:val="center"/>
            <w:textDirection w:val="lrTb"/>
            <w:noWrap w:val="false"/>
          </w:tcPr>
          <w:p>
            <w:pPr>
              <w:ind w:left="0" w:firstLine="0"/>
              <w:jc w:val="center"/>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现场考核</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溶氧、pH现场比对；氨氮、高锰酸盐指数、总氮、总磷标样考核符合要求（20分每项5分）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870"/>
        </w:trPr>
        <w:tc>
          <w:tcPr>
            <w:tcW w:w="1215" w:type="pct"/>
            <w:vAlign w:val="center"/>
            <w:textDirection w:val="lrTb"/>
            <w:noWrap w:val="false"/>
          </w:tcPr>
          <w:p>
            <w:pPr>
              <w:ind w:left="0" w:firstLine="0"/>
              <w:jc w:val="center"/>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现场记录检查</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巡检记录；标液核查记录；比对实验记录；加标回收记录；备品备件更换记录、试剂更换记录；完整详实（</w:t>
            </w:r>
            <w:r>
              <w:rPr>
                <w:rFonts w:hint="eastAsia" w:ascii="Times New Roman" w:hAnsi="Times New Roman" w:eastAsia="宋体" w:cs="Times New Roman"/>
                <w:sz w:val="21"/>
                <w:szCs w:val="24"/>
                <w:lang w:val="en-US" w:eastAsia="zh-CN"/>
              </w:rPr>
              <w:t xml:space="preserve">30</w:t>
            </w:r>
            <w:r>
              <w:rPr>
                <w:rFonts w:hint="default" w:ascii="Times New Roman" w:hAnsi="Times New Roman" w:eastAsia="宋体" w:cs="Times New Roman"/>
                <w:sz w:val="21"/>
                <w:szCs w:val="24"/>
                <w:lang w:eastAsia="zh-CN"/>
              </w:rPr>
              <w:t xml:space="preserve">分每项</w:t>
            </w:r>
            <w:r>
              <w:rPr>
                <w:rFonts w:hint="eastAsia" w:ascii="Times New Roman" w:hAnsi="Times New Roman" w:eastAsia="宋体" w:cs="Times New Roman"/>
                <w:sz w:val="21"/>
                <w:szCs w:val="24"/>
                <w:lang w:val="en-US" w:eastAsia="zh-CN"/>
              </w:rPr>
              <w:t xml:space="preserve">5</w:t>
            </w:r>
            <w:r>
              <w:rPr>
                <w:rFonts w:hint="default" w:ascii="Times New Roman" w:hAnsi="Times New Roman" w:eastAsia="宋体" w:cs="Times New Roman"/>
                <w:sz w:val="21"/>
                <w:szCs w:val="24"/>
                <w:lang w:eastAsia="zh-CN"/>
              </w:rPr>
              <w:t xml:space="preserve">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68"/>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二、运维质量统计      （</w:t>
            </w:r>
            <w:r>
              <w:rPr>
                <w:rFonts w:hint="eastAsia" w:ascii="Times New Roman" w:hAnsi="Times New Roman" w:eastAsia="宋体" w:cs="Times New Roman"/>
                <w:sz w:val="21"/>
                <w:szCs w:val="24"/>
                <w:lang w:val="en-US" w:eastAsia="zh-CN"/>
              </w:rPr>
              <w:t xml:space="preserve">2</w:t>
            </w:r>
            <w:r>
              <w:rPr>
                <w:rFonts w:hint="default" w:ascii="Times New Roman" w:hAnsi="Times New Roman" w:eastAsia="宋体" w:cs="Times New Roman"/>
                <w:sz w:val="21"/>
                <w:szCs w:val="24"/>
                <w:lang w:eastAsia="zh-CN"/>
              </w:rPr>
              <w:t xml:space="preserve">0分）</w:t>
            </w:r>
            <w:r/>
          </w:p>
        </w:tc>
      </w:tr>
      <w:tr>
        <w:trPr>
          <w:trHeight w:val="564"/>
        </w:trPr>
        <w:tc>
          <w:tcPr>
            <w:tcW w:w="121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站点在线率、</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数据捕集率</w:t>
            </w:r>
            <w:r/>
          </w:p>
        </w:tc>
        <w:tc>
          <w:tcPr>
            <w:tcW w:w="3295" w:type="pct"/>
            <w:vAlign w:val="bottom"/>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除水站停电外，在线率、捕集率95%得5分；90%以上得4分；低于90%得0分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70"/>
        </w:trPr>
        <w:tc>
          <w:tcPr>
            <w:tcW w:w="121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数据有效率</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有效率大于90%得1</w:t>
            </w:r>
            <w:r>
              <w:rPr>
                <w:rFonts w:hint="eastAsia" w:ascii="Times New Roman" w:hAnsi="Times New Roman" w:eastAsia="宋体" w:cs="Times New Roman"/>
                <w:sz w:val="21"/>
                <w:szCs w:val="24"/>
                <w:lang w:val="en-US" w:eastAsia="zh-CN"/>
              </w:rPr>
              <w:t xml:space="preserve">0</w:t>
            </w:r>
            <w:r>
              <w:rPr>
                <w:rFonts w:hint="default" w:ascii="Times New Roman" w:hAnsi="Times New Roman" w:eastAsia="宋体" w:cs="Times New Roman"/>
                <w:sz w:val="21"/>
                <w:szCs w:val="24"/>
                <w:lang w:eastAsia="zh-CN"/>
              </w:rPr>
              <w:t xml:space="preserve">分，小于85%得10分，其他为0分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76"/>
        </w:trPr>
        <w:tc>
          <w:tcPr>
            <w:tcW w:w="121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故障排除</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运行中出现的故障当天排除得5分，次日排除得2分，否则为0分，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708"/>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三、运维能力及工作情况（10分）</w:t>
            </w:r>
            <w:r/>
          </w:p>
        </w:tc>
      </w:tr>
      <w:tr>
        <w:trPr>
          <w:trHeight w:val="559"/>
        </w:trPr>
        <w:tc>
          <w:tcPr>
            <w:tcW w:w="121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工作情况</w:t>
            </w:r>
            <w:r/>
          </w:p>
        </w:tc>
        <w:tc>
          <w:tcPr>
            <w:tcW w:w="329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服从市站管理人员安排；责任心强、实时监控情况；故障发生后及时到现场处置；相关记录报告（</w:t>
            </w:r>
            <w:r>
              <w:rPr>
                <w:rFonts w:hint="eastAsia" w:ascii="Times New Roman" w:hAnsi="Times New Roman" w:eastAsia="宋体" w:cs="Times New Roman"/>
                <w:sz w:val="21"/>
                <w:szCs w:val="24"/>
                <w:lang w:val="en-US" w:eastAsia="zh-CN"/>
              </w:rPr>
              <w:t xml:space="preserve">10</w:t>
            </w:r>
            <w:r>
              <w:rPr>
                <w:rFonts w:hint="default" w:ascii="Times New Roman" w:hAnsi="Times New Roman" w:eastAsia="宋体" w:cs="Times New Roman"/>
                <w:sz w:val="21"/>
                <w:szCs w:val="24"/>
                <w:lang w:eastAsia="zh-CN"/>
              </w:rPr>
              <w:t xml:space="preserve">分）</w:t>
            </w:r>
            <w:r/>
          </w:p>
        </w:tc>
        <w:tc>
          <w:tcPr>
            <w:tcW w:w="488" w:type="pct"/>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r>
            <w:r/>
          </w:p>
        </w:tc>
      </w:tr>
      <w:tr>
        <w:trPr>
          <w:trHeight w:val="565"/>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四、评价标准与等级</w:t>
            </w:r>
            <w:r/>
          </w:p>
        </w:tc>
      </w:tr>
      <w:tr>
        <w:trPr>
          <w:trHeight w:val="565"/>
        </w:trPr>
        <w:tc>
          <w:tcPr>
            <w:tcW w:w="1215"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评价等级</w:t>
            </w:r>
            <w:r/>
          </w:p>
        </w:tc>
        <w:tc>
          <w:tcPr>
            <w:gridSpan w:val="2"/>
            <w:tcW w:w="3784"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分为优、合格、不合格三个等级。</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得分</w:t>
            </w:r>
            <w:r>
              <w:rPr>
                <w:rFonts w:hint="eastAsia" w:ascii="Times New Roman" w:hAnsi="Times New Roman" w:eastAsia="宋体" w:cs="Times New Roman"/>
                <w:sz w:val="21"/>
                <w:szCs w:val="24"/>
                <w:lang w:val="en-US" w:eastAsia="zh-CN"/>
              </w:rPr>
              <w:t xml:space="preserve">75</w:t>
            </w:r>
            <w:r>
              <w:rPr>
                <w:rFonts w:hint="default" w:ascii="Times New Roman" w:hAnsi="Times New Roman" w:eastAsia="宋体" w:cs="Times New Roman"/>
                <w:sz w:val="21"/>
                <w:szCs w:val="24"/>
                <w:lang w:eastAsia="zh-CN"/>
              </w:rPr>
              <w:t xml:space="preserve">以下为不合格；</w:t>
            </w:r>
            <w:r>
              <w:rPr>
                <w:rFonts w:hint="eastAsia" w:ascii="Times New Roman" w:hAnsi="Times New Roman" w:eastAsia="宋体" w:cs="Times New Roman"/>
                <w:sz w:val="21"/>
                <w:szCs w:val="24"/>
                <w:lang w:val="en-US" w:eastAsia="zh-CN"/>
              </w:rPr>
              <w:t xml:space="preserve">90</w:t>
            </w:r>
            <w:r>
              <w:rPr>
                <w:rFonts w:hint="default" w:ascii="Times New Roman" w:hAnsi="Times New Roman" w:eastAsia="宋体" w:cs="Times New Roman"/>
                <w:sz w:val="21"/>
                <w:szCs w:val="24"/>
                <w:lang w:eastAsia="zh-CN"/>
              </w:rPr>
              <w:t xml:space="preserve">以上为优。</w:t>
            </w:r>
            <w:r/>
          </w:p>
        </w:tc>
      </w:tr>
      <w:tr>
        <w:trPr>
          <w:trHeight w:val="565"/>
        </w:trPr>
        <w:tc>
          <w:tcPr>
            <w:gridSpan w:val="3"/>
            <w:tcW w:w="5000" w:type="pct"/>
            <w:vAlign w:val="center"/>
            <w:textDirection w:val="lrTb"/>
            <w:noWrap w:val="false"/>
          </w:tcPr>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五、考核结果与情况说明建议等    </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              考核等级：</w:t>
            </w:r>
            <w:r/>
          </w:p>
        </w:tc>
      </w:tr>
    </w:tbl>
    <w:p>
      <w:pPr>
        <w:ind w:firstLine="482"/>
        <w:spacing w:after="0" w:line="360" w:lineRule="auto"/>
        <w:rPr>
          <w:rFonts w:hint="eastAsia" w:ascii="宋体" w:hAnsi="宋体" w:eastAsia="宋体" w:cs="宋体"/>
          <w:b/>
          <w:bCs/>
          <w:sz w:val="22"/>
          <w:szCs w:val="24"/>
          <w:lang w:eastAsia="zh-CN"/>
        </w:rPr>
      </w:pPr>
      <w:r>
        <w:rPr>
          <w:rFonts w:hint="eastAsia" w:ascii="宋体" w:hAnsi="宋体" w:eastAsia="宋体" w:cs="宋体"/>
          <w:b/>
          <w:bCs/>
          <w:sz w:val="22"/>
          <w:szCs w:val="24"/>
          <w:lang w:eastAsia="zh-CN"/>
        </w:rPr>
        <w:t xml:space="preserve">（</w:t>
      </w:r>
      <w:r>
        <w:rPr>
          <w:rFonts w:hint="eastAsia" w:ascii="宋体" w:hAnsi="宋体" w:eastAsia="宋体" w:cs="宋体"/>
          <w:b/>
          <w:bCs/>
          <w:sz w:val="22"/>
          <w:szCs w:val="24"/>
          <w:lang w:val="en-US" w:eastAsia="zh-CN"/>
        </w:rPr>
        <w:t xml:space="preserve">五</w:t>
      </w:r>
      <w:r>
        <w:rPr>
          <w:rFonts w:hint="eastAsia" w:ascii="宋体" w:hAnsi="宋体" w:eastAsia="宋体" w:cs="宋体"/>
          <w:b/>
          <w:bCs/>
          <w:sz w:val="22"/>
          <w:szCs w:val="24"/>
          <w:lang w:eastAsia="zh-CN"/>
        </w:rPr>
        <w:t xml:space="preserve">）限值限量软件平台运维及技术咨询服务</w:t>
      </w:r>
      <w:r/>
    </w:p>
    <w:p>
      <w:pPr>
        <w:numPr>
          <w:ilvl w:val="1"/>
          <w:numId w:val="0"/>
        </w:numPr>
        <w:ind w:left="425" w:firstLine="0"/>
        <w:jc w:val="both"/>
        <w:keepLines/>
        <w:keepNext/>
        <w:spacing w:before="160" w:after="80" w:line="240" w:lineRule="auto"/>
        <w:widowControl w:val="off"/>
        <w:rPr>
          <w:rFonts w:hint="eastAsia" w:ascii="宋体" w:hAnsi="宋体" w:eastAsia="宋体" w:cs="宋体"/>
          <w:color w:val="auto"/>
          <w:sz w:val="22"/>
          <w:szCs w:val="24"/>
          <w:highlight w:val="none"/>
          <w:lang w:val="en-US" w:eastAsia="zh-CN" w:bidi="ar-SA"/>
        </w:rPr>
        <w:outlineLvl w:val="1"/>
      </w:pPr>
      <w:r/>
      <w:bookmarkStart w:id="11" w:name="_Toc163825264"/>
      <w:r>
        <w:rPr>
          <w:rFonts w:hint="eastAsia" w:ascii="宋体" w:hAnsi="宋体" w:eastAsia="宋体" w:cs="宋体"/>
          <w:color w:val="auto"/>
          <w:sz w:val="22"/>
          <w:szCs w:val="24"/>
          <w:highlight w:val="none"/>
          <w:lang w:val="en-US" w:eastAsia="zh-CN" w:bidi="ar-SA"/>
        </w:rPr>
        <w:t xml:space="preserve">至少派遣一名专业的环保相关人员协助完成平台数据监控预警等相关工作，赴园区排查企业排放情况，确保高质量完成核算工作，满足上级部门管理要求。</w:t>
      </w:r>
      <w:r/>
    </w:p>
    <w:p>
      <w:pPr>
        <w:ind w:firstLine="482"/>
        <w:spacing w:after="0" w:line="360" w:lineRule="auto"/>
        <w:rPr>
          <w:rFonts w:hint="eastAsia" w:ascii="宋体" w:hAnsi="宋体" w:eastAsia="宋体" w:cs="宋体"/>
          <w:b/>
          <w:bCs/>
          <w:sz w:val="22"/>
          <w:szCs w:val="24"/>
          <w:lang w:eastAsia="zh-CN"/>
        </w:rPr>
      </w:pPr>
      <w:r>
        <w:rPr>
          <w:rFonts w:hint="eastAsia" w:ascii="宋体" w:hAnsi="宋体" w:eastAsia="宋体" w:cs="宋体"/>
          <w:b/>
          <w:bCs/>
          <w:sz w:val="22"/>
          <w:szCs w:val="24"/>
          <w:lang w:eastAsia="zh-CN"/>
        </w:rPr>
        <w:t xml:space="preserve">（1）园区环境质量“一图总览”</w:t>
      </w:r>
      <w:r/>
    </w:p>
    <w:p>
      <w:pPr>
        <w:ind w:firstLine="440"/>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基于GIS地图，通过集中、动态、直观的展示界面，展示园区企业分布情况、限值限量站点监测分布及数据情况、站点在线及离线情况、异常告警情况、园区PM</w:t>
      </w:r>
      <w:r>
        <w:rPr>
          <w:rFonts w:hint="eastAsia" w:ascii="宋体" w:hAnsi="宋体" w:eastAsia="宋体" w:cs="宋体"/>
          <w:sz w:val="22"/>
          <w:szCs w:val="24"/>
          <w:vertAlign w:val="subscript"/>
          <w:lang w:eastAsia="zh-CN"/>
        </w:rPr>
        <w:t xml:space="preserve">2.5</w:t>
      </w:r>
      <w:r>
        <w:rPr>
          <w:rFonts w:hint="eastAsia" w:ascii="宋体" w:hAnsi="宋体" w:eastAsia="宋体" w:cs="宋体"/>
          <w:sz w:val="22"/>
          <w:szCs w:val="24"/>
          <w:lang w:eastAsia="zh-CN"/>
        </w:rPr>
        <w:t xml:space="preserve">和VOCs大气污染物浓度在全省及全市工业园区中的逆序排名情况等信息，用于支撑园区环境质量的管理和管控工作开展。</w:t>
      </w:r>
      <w:r/>
    </w:p>
    <w:p>
      <w:pPr>
        <w:ind w:firstLine="482"/>
        <w:spacing w:after="0" w:line="360" w:lineRule="auto"/>
        <w:rPr>
          <w:rFonts w:hint="eastAsia" w:ascii="宋体" w:hAnsi="宋体" w:eastAsia="宋体" w:cs="宋体"/>
          <w:b/>
          <w:bCs/>
          <w:sz w:val="22"/>
          <w:szCs w:val="24"/>
          <w:lang w:eastAsia="zh-CN"/>
        </w:rPr>
      </w:pPr>
      <w:r>
        <w:rPr>
          <w:rFonts w:hint="eastAsia" w:ascii="宋体" w:hAnsi="宋体" w:eastAsia="宋体" w:cs="宋体"/>
          <w:b/>
          <w:bCs/>
          <w:sz w:val="22"/>
          <w:szCs w:val="24"/>
          <w:lang w:eastAsia="zh-CN"/>
        </w:rPr>
        <w:t xml:space="preserve">（2）环境数据统计分析</w:t>
      </w:r>
      <w:r/>
    </w:p>
    <w:p>
      <w:pPr>
        <w:ind w:firstLine="440"/>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利用接入的园区空气、水质监测站点数据，将各类监测数据按照站点类型、监测因子进行管理展示，可提供任意时段数据查询、下载服务，可提供各类分析图表、统计报表生成及导出服务。提供园区在全市、全省工业园区的VOCs及PM</w:t>
      </w:r>
      <w:r>
        <w:rPr>
          <w:rFonts w:hint="eastAsia" w:ascii="宋体" w:hAnsi="宋体" w:eastAsia="宋体" w:cs="宋体"/>
          <w:sz w:val="22"/>
          <w:szCs w:val="24"/>
          <w:vertAlign w:val="subscript"/>
          <w:lang w:eastAsia="zh-CN"/>
        </w:rPr>
        <w:t xml:space="preserve">2.5</w:t>
      </w:r>
      <w:r>
        <w:rPr>
          <w:rFonts w:hint="eastAsia" w:ascii="宋体" w:hAnsi="宋体" w:eastAsia="宋体" w:cs="宋体"/>
          <w:sz w:val="22"/>
          <w:szCs w:val="24"/>
          <w:lang w:eastAsia="zh-CN"/>
        </w:rPr>
        <w:t xml:space="preserve">环境质量排名动态更新服务，排名可实现日更新，自动核算园区PM</w:t>
      </w:r>
      <w:r>
        <w:rPr>
          <w:rFonts w:hint="eastAsia" w:ascii="宋体" w:hAnsi="宋体" w:eastAsia="宋体" w:cs="宋体"/>
          <w:sz w:val="22"/>
          <w:szCs w:val="24"/>
          <w:vertAlign w:val="subscript"/>
          <w:lang w:eastAsia="zh-CN"/>
        </w:rPr>
        <w:t xml:space="preserve">2.5</w:t>
      </w:r>
      <w:r>
        <w:rPr>
          <w:rFonts w:hint="eastAsia" w:ascii="宋体" w:hAnsi="宋体" w:eastAsia="宋体" w:cs="宋体"/>
          <w:sz w:val="22"/>
          <w:szCs w:val="24"/>
          <w:lang w:eastAsia="zh-CN"/>
        </w:rPr>
        <w:t xml:space="preserve">、二氧化硫、二氧化氮、臭氧、NMHC大气污染指标的当前累计平均数值及剩余控制数值，可提供不同统计维度（日、月、年）的总量排放数据。</w:t>
      </w:r>
      <w:r/>
    </w:p>
    <w:p>
      <w:pPr>
        <w:ind w:firstLine="482"/>
        <w:spacing w:after="0" w:line="360" w:lineRule="auto"/>
        <w:rPr>
          <w:rFonts w:hint="eastAsia" w:ascii="宋体" w:hAnsi="宋体" w:eastAsia="宋体" w:cs="宋体"/>
          <w:b/>
          <w:bCs/>
          <w:sz w:val="22"/>
          <w:szCs w:val="24"/>
          <w:lang w:eastAsia="zh-CN"/>
        </w:rPr>
      </w:pPr>
      <w:r>
        <w:rPr>
          <w:rFonts w:hint="eastAsia" w:ascii="宋体" w:hAnsi="宋体" w:eastAsia="宋体" w:cs="宋体"/>
          <w:b/>
          <w:bCs/>
          <w:sz w:val="22"/>
          <w:szCs w:val="24"/>
          <w:lang w:eastAsia="zh-CN"/>
        </w:rPr>
        <w:t xml:space="preserve">（3）园区高值预警推送</w:t>
      </w:r>
      <w:r/>
    </w:p>
    <w:p>
      <w:pPr>
        <w:ind w:firstLine="440"/>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基于环境监测和企业在线监控数据，根据园区业务需求与环境状况，设置不同因子浓度评价指标，实现大气、水环境、废水废气的高值告警。支持自定义配置监测因子的指标参数监测范围，当因子浓度超出阈值时进行告警提醒。实现环境监测和企业在线监控数据高值的预警报警和实时推送，为园区精准化管理提供基础。</w:t>
      </w:r>
      <w:r/>
    </w:p>
    <w:p>
      <w:pPr>
        <w:ind w:firstLine="482"/>
        <w:spacing w:after="0" w:line="360" w:lineRule="auto"/>
        <w:rPr>
          <w:rFonts w:hint="eastAsia" w:ascii="宋体" w:hAnsi="宋体" w:eastAsia="宋体" w:cs="宋体"/>
          <w:b/>
          <w:bCs/>
          <w:sz w:val="22"/>
          <w:szCs w:val="24"/>
          <w:lang w:eastAsia="zh-CN"/>
        </w:rPr>
      </w:pPr>
      <w:r>
        <w:rPr>
          <w:rFonts w:hint="eastAsia" w:ascii="宋体" w:hAnsi="宋体" w:eastAsia="宋体" w:cs="宋体"/>
          <w:b/>
          <w:bCs/>
          <w:sz w:val="22"/>
          <w:szCs w:val="24"/>
          <w:lang w:eastAsia="zh-CN"/>
        </w:rPr>
        <w:t xml:space="preserve">（4）环境质量分析报告</w:t>
      </w:r>
      <w:r/>
    </w:p>
    <w:p>
      <w:pPr>
        <w:ind w:firstLine="482"/>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根据限值限量监控系统数据，分析每月环境质量情况，出具数据分析报告。</w:t>
      </w:r>
      <w:r/>
    </w:p>
    <w:p>
      <w:pPr>
        <w:ind w:right="181" w:firstLine="480"/>
        <w:spacing w:line="360" w:lineRule="auto"/>
        <w:rPr>
          <w:rFonts w:ascii="Verdana" w:hAnsi="Verdana" w:eastAsia="宋体" w:cs="Times New Roman"/>
          <w:sz w:val="21"/>
          <w:szCs w:val="24"/>
          <w:lang w:val="en-US" w:eastAsia="zh-CN" w:bidi="ar-SA"/>
        </w:rPr>
      </w:pPr>
      <w:r>
        <w:rPr>
          <w:rFonts w:hint="eastAsia" w:ascii="Verdana" w:hAnsi="Verdana" w:eastAsia="宋体" w:cs="Times New Roman"/>
          <w:sz w:val="21"/>
          <w:szCs w:val="24"/>
          <w:lang w:val="en-US" w:eastAsia="zh-CN" w:bidi="ar-SA"/>
        </w:rPr>
        <w:t xml:space="preserve">（5）</w:t>
      </w:r>
      <w:bookmarkEnd w:id="11"/>
      <w:r/>
      <w:bookmarkStart w:id="12" w:name="OLE_LINK1"/>
      <w:r>
        <w:rPr>
          <w:rFonts w:hint="eastAsia" w:ascii="宋体" w:hAnsi="宋体" w:eastAsia="宋体" w:cs="宋体"/>
          <w:b/>
          <w:bCs/>
          <w:sz w:val="22"/>
          <w:szCs w:val="24"/>
          <w:lang w:val="en-US" w:eastAsia="zh-CN" w:bidi="ar-SA"/>
        </w:rPr>
        <w:t xml:space="preserve">排放总量模拟核算</w:t>
      </w:r>
      <w:bookmarkEnd w:id="12"/>
      <w:r/>
      <w:r/>
    </w:p>
    <w:p>
      <w:pPr>
        <w:ind w:firstLine="440"/>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利用环境质量大数据信息以及排放量多模型模式对园区的颗粒物、氮氧化物、二氧化硫、挥发性有机物（VOCs）因子排放总量进行核算，核算结果可进行日更新，同时提供园区排放总量分布情况，通过对比园区当前环境质量与所在区域的环境质量的数据，支撑园区总量管控。</w:t>
      </w:r>
      <w:r/>
    </w:p>
    <w:p>
      <w:pPr>
        <w:ind w:firstLine="482"/>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① 园区大气污染物排放总量动态模拟核算</w:t>
      </w:r>
      <w:r/>
    </w:p>
    <w:p>
      <w:pPr>
        <w:ind w:firstLine="482"/>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基于园区地形、污染源及空气监测站点基础数据建立园区总量模拟核算模拟网格，网格分辨率达到100米。利用环评导则推荐标准大气污染传输扩散模型以及园区微站、标准站实现园区二氧化硫、氮氧化物、颗粒物及VOCs逐日排放总量动态模拟核算。</w:t>
      </w:r>
      <w:r/>
    </w:p>
    <w:p>
      <w:pPr>
        <w:ind w:firstLine="482"/>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② 园区水污染物实际排放总量动态核算</w:t>
      </w:r>
      <w:r/>
    </w:p>
    <w:p>
      <w:pPr>
        <w:ind w:firstLine="482"/>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按照园区限值限量管理要求，提供园区水污染物逐日排放量动态核算服务，核算指标包括化学需氧量、总磷、总氮、氨氮。</w:t>
      </w:r>
      <w:r/>
    </w:p>
    <w:p>
      <w:pPr>
        <w:ind w:right="181" w:firstLine="480"/>
        <w:spacing w:line="360" w:lineRule="auto"/>
        <w:rPr>
          <w:rFonts w:ascii="Verdana" w:hAnsi="Verdana" w:eastAsia="宋体" w:cs="Times New Roman"/>
          <w:sz w:val="21"/>
          <w:szCs w:val="24"/>
          <w:lang w:val="en-US" w:eastAsia="zh-CN" w:bidi="ar-SA"/>
        </w:rPr>
      </w:pPr>
      <w:r>
        <w:rPr>
          <w:rFonts w:hint="eastAsia" w:ascii="宋体" w:hAnsi="宋体" w:eastAsia="宋体" w:cs="宋体"/>
          <w:b/>
          <w:bCs/>
          <w:sz w:val="22"/>
          <w:szCs w:val="24"/>
          <w:lang w:val="en-US" w:eastAsia="zh-CN" w:bidi="ar-SA"/>
        </w:rPr>
        <w:t xml:space="preserve">（6）排放总量统计核算</w:t>
      </w:r>
      <w:r/>
    </w:p>
    <w:p>
      <w:pPr>
        <w:ind w:firstLine="440"/>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按照《生态环境统计管理办法》、《江苏省工业源排放总量统计实施方案》要求，由专业的环保人员收集企业末端在线监控、自行监测以及企业原辅料、产能等相关信息，支撑园区总量核算工作。开展园内企业信息收集和建档管理工作，协助园区建立园区内企业的“一企一档”，建立规范化的环保档案。</w:t>
      </w:r>
      <w:r/>
    </w:p>
    <w:p>
      <w:pPr>
        <w:ind w:firstLine="440"/>
        <w:spacing w:after="0" w:line="360" w:lineRule="auto"/>
        <w:rPr>
          <w:rFonts w:hint="eastAsia" w:ascii="宋体" w:hAnsi="宋体" w:eastAsia="宋体" w:cs="宋体"/>
          <w:sz w:val="22"/>
          <w:szCs w:val="24"/>
          <w:lang w:eastAsia="zh-CN"/>
        </w:rPr>
      </w:pPr>
      <w:r>
        <w:rPr>
          <w:rFonts w:hint="eastAsia" w:ascii="宋体" w:hAnsi="宋体" w:eastAsia="宋体" w:cs="宋体"/>
          <w:sz w:val="22"/>
          <w:szCs w:val="24"/>
          <w:lang w:eastAsia="zh-CN"/>
        </w:rPr>
        <w:t xml:space="preserve">按照《生态环境统计管理办法》、《江苏省工业源排放总量统计实施方案》及上级管理部门要求，每年由专业的环保人员开展工业源大气污染物（颗粒物、二氧化硫、氮氧化物、挥发性有机物）、水污染物（化学需氧量、氨氮、总氮、总磷）排放总量统计，结合企业环统填报数据，每年出具园区总量核算报告，支撑上级生态环境部门调度。</w:t>
      </w:r>
      <w:r/>
    </w:p>
    <w:p>
      <w:pPr>
        <w:ind w:firstLine="420"/>
        <w:spacing w:line="360" w:lineRule="auto"/>
        <w:rPr>
          <w:rFonts w:ascii="Calibri" w:hAnsi="Calibri" w:eastAsia="宋体" w:cs="Times New Roman"/>
          <w:b/>
          <w:bCs/>
          <w:sz w:val="21"/>
          <w:szCs w:val="22"/>
          <w:lang w:val="en-US" w:eastAsia="zh-CN" w:bidi="ar-SA"/>
        </w:rPr>
      </w:pPr>
      <w:r>
        <w:rPr>
          <w:rFonts w:ascii="Calibri" w:hAnsi="Calibri" w:eastAsia="宋体" w:cs="Times New Roman"/>
          <w:b/>
          <w:bCs/>
          <w:sz w:val="21"/>
          <w:szCs w:val="22"/>
          <w:lang w:val="en-US" w:eastAsia="zh-CN" w:bidi="ar-SA"/>
        </w:rPr>
        <w:t xml:space="preserve">四、服务保障和承诺要求</w:t>
      </w:r>
      <w:r/>
    </w:p>
    <w:p>
      <w:pPr>
        <w:ind w:firstLine="482"/>
        <w:spacing w:after="0" w:line="360" w:lineRule="auto"/>
        <w:rPr>
          <w:rFonts w:hint="default" w:ascii="Times New Roman" w:hAnsi="Times New Roman" w:eastAsia="宋体" w:cs="Times New Roman"/>
          <w:bCs/>
          <w:sz w:val="21"/>
          <w:szCs w:val="24"/>
          <w:lang w:eastAsia="zh-CN"/>
        </w:rPr>
      </w:pPr>
      <w:r>
        <w:rPr>
          <w:rFonts w:hint="default" w:ascii="Times New Roman" w:hAnsi="Times New Roman" w:eastAsia="宋体" w:cs="Times New Roman"/>
          <w:sz w:val="21"/>
          <w:szCs w:val="24"/>
          <w:lang w:eastAsia="zh-CN"/>
        </w:rPr>
        <w:t xml:space="preserve">1. 各投标人必须严格按照本次招标技术参数要求进行合理报价并供货，如后期出现验收不合格情形视同虚假承诺</w:t>
      </w:r>
      <w:r>
        <w:rPr>
          <w:rFonts w:hint="default" w:ascii="Times New Roman" w:hAnsi="Times New Roman" w:eastAsia="宋体" w:cs="Times New Roman"/>
          <w:bCs/>
          <w:sz w:val="21"/>
          <w:szCs w:val="24"/>
          <w:lang w:eastAsia="zh-CN"/>
        </w:rPr>
        <w:t xml:space="preserve">谋取中标成交，将被列入不良行为记录名单。</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2. 项目服务期间，中标方所有的工作人员的人身安全以及中标方在服务期间产生的各类安全责任事故均由中标方自行承担。</w:t>
      </w:r>
      <w:r/>
    </w:p>
    <w:p>
      <w:pPr>
        <w:ind w:firstLine="482"/>
        <w:spacing w:after="0" w:line="360" w:lineRule="auto"/>
        <w:rPr>
          <w:rFonts w:hint="default" w:ascii="Times New Roman" w:hAnsi="Times New Roman" w:eastAsia="宋体" w:cs="Times New Roman"/>
          <w:sz w:val="21"/>
          <w:szCs w:val="24"/>
          <w:lang w:eastAsia="zh-CN"/>
        </w:rPr>
      </w:pPr>
      <w:r>
        <w:rPr>
          <w:rFonts w:hint="default" w:ascii="Times New Roman" w:hAnsi="Times New Roman" w:eastAsia="宋体" w:cs="Times New Roman"/>
          <w:sz w:val="21"/>
          <w:szCs w:val="24"/>
          <w:lang w:eastAsia="zh-CN"/>
        </w:rPr>
        <w:t xml:space="preserve">3. 对于采购人提出更换现场不称职技术人员的要求，中标方须无条件服从。</w:t>
      </w:r>
      <w:r/>
    </w:p>
    <w:p>
      <w:pPr>
        <w:ind w:right="181" w:firstLine="480"/>
        <w:spacing w:line="360" w:lineRule="auto"/>
        <w:rPr>
          <w:rFonts w:ascii="Verdana" w:hAnsi="Verdana" w:eastAsia="宋体" w:cs="Times New Roman"/>
          <w:sz w:val="21"/>
          <w:szCs w:val="24"/>
          <w:lang w:val="en-US" w:eastAsia="zh-CN" w:bidi="ar-SA"/>
        </w:rPr>
      </w:pPr>
      <w:r>
        <w:rPr>
          <w:rFonts w:ascii="Verdana" w:hAnsi="Verdana" w:eastAsia="宋体" w:cs="Times New Roman"/>
          <w:sz w:val="21"/>
          <w:szCs w:val="24"/>
          <w:lang w:val="en-US" w:eastAsia="zh-CN" w:bidi="ar-SA"/>
        </w:rPr>
        <w:t xml:space="preserve">4. 中标方须积极配合采购人并无条件提供技术服务。</w:t>
      </w:r>
      <w:r/>
    </w:p>
    <w:p>
      <w:pPr>
        <w:ind w:firstLine="420"/>
        <w:spacing w:line="360" w:lineRule="auto"/>
        <w:rPr>
          <w:rFonts w:hint="eastAsia" w:ascii="Calibri" w:hAnsi="Calibri" w:eastAsia="宋体" w:cs="Times New Roman"/>
          <w:b/>
          <w:bCs/>
          <w:sz w:val="21"/>
          <w:szCs w:val="22"/>
          <w:lang w:val="en-US" w:eastAsia="zh-CN" w:bidi="ar-SA"/>
        </w:rPr>
      </w:pPr>
      <w:r>
        <w:rPr>
          <w:rFonts w:hint="eastAsia" w:ascii="Calibri" w:hAnsi="Calibri" w:eastAsia="宋体" w:cs="Times New Roman"/>
          <w:b/>
          <w:bCs/>
          <w:sz w:val="21"/>
          <w:szCs w:val="22"/>
          <w:lang w:val="en-US" w:eastAsia="zh-CN" w:bidi="ar-SA"/>
        </w:rPr>
        <w:t xml:space="preserve">五、合同履行期限 </w:t>
      </w:r>
      <w:r/>
    </w:p>
    <w:p>
      <w:pPr>
        <w:ind w:firstLine="210"/>
        <w:rPr>
          <w:rFonts w:hint="eastAsia" w:ascii="Verdana" w:hAnsi="Verdana" w:eastAsia="宋体" w:cs="Times New Roman"/>
          <w:sz w:val="21"/>
          <w:szCs w:val="24"/>
          <w:lang w:val="en-US" w:eastAsia="zh-CN" w:bidi="ar-SA"/>
        </w:rPr>
      </w:pPr>
      <w:r>
        <w:rPr>
          <w:rFonts w:hint="eastAsia" w:ascii="Verdana" w:hAnsi="Verdana" w:eastAsia="宋体" w:cs="Times New Roman"/>
          <w:sz w:val="21"/>
          <w:szCs w:val="24"/>
          <w:lang w:val="en-US" w:eastAsia="zh-CN" w:bidi="ar-SA"/>
        </w:rPr>
        <w:t xml:space="preserve">运营维护期3年，合同一年一签。（具体以实际签订合同为准）</w:t>
      </w:r>
      <w:r/>
    </w:p>
    <w:p>
      <w:pPr>
        <w:ind w:firstLine="422"/>
        <w:rPr>
          <w:rFonts w:hint="eastAsia" w:ascii="仿宋" w:hAnsi="仿宋" w:eastAsia="仿宋" w:cs="仿宋"/>
          <w:color w:val="auto"/>
          <w:sz w:val="30"/>
          <w:highlight w:val="none"/>
          <w:lang w:eastAsia="zh-CN"/>
        </w:rPr>
      </w:pPr>
      <w:r>
        <w:rPr>
          <w:rFonts w:hint="eastAsia" w:ascii="Verdana" w:hAnsi="Verdana" w:eastAsia="宋体" w:cs="Times New Roman"/>
          <w:b/>
          <w:bCs/>
          <w:sz w:val="21"/>
          <w:szCs w:val="24"/>
          <w:lang w:val="en-US" w:eastAsia="zh-CN" w:bidi="ar-SA"/>
        </w:rPr>
        <w:t xml:space="preserve">六、其他要求：</w:t>
      </w:r>
      <w:r>
        <w:rPr>
          <w:rFonts w:hint="eastAsia" w:ascii="Verdana" w:hAnsi="Verdana" w:eastAsia="宋体" w:cs="Times New Roman"/>
          <w:sz w:val="21"/>
          <w:szCs w:val="24"/>
          <w:lang w:val="en-US" w:eastAsia="zh-CN" w:bidi="ar-SA"/>
        </w:rPr>
        <w:t xml:space="preserve">具体详见采购文件《拟签订的合同文本》。</w:t>
      </w:r>
      <w:r>
        <w:rPr>
          <w:rFonts w:hint="eastAsia" w:ascii="仿宋" w:hAnsi="仿宋" w:eastAsia="仿宋" w:cs="仿宋"/>
          <w:color w:val="auto"/>
          <w:sz w:val="30"/>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0"/>
          <w:highlight w:val="none"/>
          <w:lang w:eastAsia="zh-CN"/>
        </w:rPr>
        <w:t xml:space="preserve">第七章  投标文件相关格式</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目  录</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1、投标函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2、开标一览表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3、分项价格表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4、偏离表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5、法定代表人授权书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6、中小企业声明函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 残疾人福利性单位声明函</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8. 投标人参加招标采购活动前3年内在经营活动中没有重大违法和失信记录的书面声明</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9. 具备履行合同所必需的设备和专业技术能力的书面声明</w:t>
      </w:r>
      <w:r/>
    </w:p>
    <w:p>
      <w:pPr>
        <w:ind w:firstLine="560"/>
        <w:spacing w:line="4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10.承诺书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预付款保函支付条款模板</w:t>
      </w:r>
      <w:r/>
    </w:p>
    <w:p>
      <w:pPr>
        <w:pStyle w:val="788"/>
        <w:rPr>
          <w:rFonts w:hint="default"/>
          <w:highlight w:val="none"/>
          <w:lang w:val="en-US"/>
        </w:rPr>
      </w:pPr>
      <w:r>
        <w:rPr>
          <w:rFonts w:hint="default"/>
          <w:highlight w:val="none"/>
          <w:lang w:val="en-US"/>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numPr>
          <w:ilvl w:val="0"/>
          <w:numId w:val="11"/>
        </w:numPr>
        <w:spacing w:after="0" w:line="400" w:lineRule="exact"/>
        <w:rPr>
          <w:rFonts w:ascii="仿宋" w:hAnsi="仿宋" w:eastAsia="仿宋" w:cs="仿宋"/>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投标函格式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致：</w:t>
      </w:r>
      <w:r>
        <w:rPr>
          <w:rFonts w:hint="eastAsia" w:ascii="仿宋" w:hAnsi="仿宋" w:eastAsia="仿宋" w:cs="仿宋"/>
          <w:color w:val="auto"/>
          <w:sz w:val="30"/>
          <w:highlight w:val="none"/>
          <w:u w:val="single"/>
          <w:lang w:eastAsia="zh-CN"/>
        </w:rPr>
        <w:t xml:space="preserve">徐州万缘招投标代理有限公司</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根据</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项目[项目编号：JSZC-320324-XZWY-G2026-0002 ]招标文件，</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(姓名)代表我方</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（投标人的名称）全权处理本次投标的有关事宜。</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据此函，投标人承诺并同意如下：</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投标人唯一投标报价见《开标一览表》。</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投标人满足《中华人民共和国政府采购法》第二十二条的规定，将按招标文件的规定履行合同责任和义务。</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4. 投标有效期为开标之日后120天。</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5. 投标人同意提供按照贵方可能要求的与其投标有关的一切数据或资料，完全理解贵方不一定接受最低价的投标或收到的任何投标。</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6. 投标人同意在授予合同后，按照有关规定支付公证费(如有)。</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7. 徐州万缘招投标代理有限公司有权将我单位本项目的《开标一览表》和《分项价格表》予以公示，公示的方式由徐州万缘招投标代理有限公司确定。</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8. 招标人有权对投标人投标文件的真实性进行核实，如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9. 与本投标有关的一切正式往来信函请寄：</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地址：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电话：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传真： </w:t>
      </w:r>
      <w:r/>
    </w:p>
    <w:p>
      <w:pPr>
        <w:ind w:firstLine="2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rPr>
          <w:rFonts w:ascii="仿宋" w:hAnsi="仿宋" w:eastAsia="仿宋" w:cs="仿宋"/>
          <w:color w:val="auto"/>
          <w:highlight w:val="none"/>
        </w:rPr>
      </w:pPr>
      <w:r>
        <w:rPr>
          <w:rFonts w:hint="eastAsia" w:ascii="仿宋" w:hAnsi="仿宋" w:eastAsia="仿宋" w:cs="仿宋"/>
          <w:color w:val="auto"/>
          <w:sz w:val="32"/>
          <w:highlight w:val="none"/>
          <w:lang w:eastAsia="zh-CN"/>
        </w:rPr>
        <w:br w:type="page" w:clear="all"/>
      </w:r>
      <w:r/>
    </w:p>
    <w:p>
      <w:pPr>
        <w:spacing w:after="0" w:line="400" w:lineRule="exact"/>
        <w:rPr>
          <w:rFonts w:hint="eastAsia" w:ascii="仿宋" w:hAnsi="仿宋" w:eastAsia="仿宋" w:cs="仿宋"/>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二、开标一览表格式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项目名称：江苏睢宁经济开发区污染物限值限量自动监测系统运维项目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项目编号：JSZC-320324-XZWY-G2026-0002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tbl>
      <w:tblPr>
        <w:tblStyle w:val="8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1050"/>
        <w:gridCol w:w="1850"/>
        <w:gridCol w:w="1850"/>
        <w:gridCol w:w="1851"/>
      </w:tblGrid>
      <w:tr>
        <w:trPr>
          <w:trHeight w:val="1163"/>
        </w:trPr>
        <w:tc>
          <w:tcPr>
            <w:tcMar>
              <w:left w:w="108" w:type="dxa"/>
              <w:top w:w="0" w:type="dxa"/>
              <w:right w:w="108" w:type="dxa"/>
              <w:bottom w:w="0" w:type="dxa"/>
            </w:tcMar>
            <w:tcW w:w="1689"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p>
        </w:tc>
        <w:tc>
          <w:tcPr>
            <w:tcMar>
              <w:left w:w="108" w:type="dxa"/>
              <w:top w:w="0" w:type="dxa"/>
              <w:right w:w="108" w:type="dxa"/>
              <w:bottom w:w="0" w:type="dxa"/>
            </w:tcMar>
            <w:tcW w:w="10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项目内容</w:t>
            </w:r>
            <w:r/>
          </w:p>
        </w:tc>
        <w:tc>
          <w:tcPr>
            <w:tcMar>
              <w:left w:w="108" w:type="dxa"/>
              <w:top w:w="0" w:type="dxa"/>
              <w:right w:w="108" w:type="dxa"/>
              <w:bottom w:w="0" w:type="dxa"/>
            </w:tcMar>
            <w:tcW w:w="1850" w:type="dxa"/>
            <w:vAlign w:val="center"/>
            <w:textDirection w:val="lrTb"/>
            <w:noWrap w:val="false"/>
          </w:tcPr>
          <w:p>
            <w:pPr>
              <w:jc w:val="center"/>
              <w:spacing w:after="0" w:line="400" w:lineRule="exact"/>
              <w:rPr>
                <w:rFonts w:hint="default"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服务期限</w:t>
            </w:r>
            <w:r/>
          </w:p>
        </w:tc>
        <w:tc>
          <w:tcPr>
            <w:tcMar>
              <w:left w:w="108" w:type="dxa"/>
              <w:top w:w="0" w:type="dxa"/>
              <w:right w:w="108" w:type="dxa"/>
              <w:bottom w:w="0" w:type="dxa"/>
            </w:tcMar>
            <w:tcW w:w="1850" w:type="dxa"/>
            <w:vAlign w:val="center"/>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每年费用</w:t>
            </w:r>
            <w:r>
              <w:rPr>
                <w:rFonts w:hint="eastAsia" w:ascii="仿宋" w:hAnsi="仿宋" w:eastAsia="仿宋" w:cs="仿宋"/>
                <w:color w:val="auto"/>
                <w:sz w:val="28"/>
                <w:highlight w:val="none"/>
              </w:rPr>
              <w:t xml:space="preserve">（小写）</w:t>
            </w:r>
            <w:r/>
          </w:p>
        </w:tc>
        <w:tc>
          <w:tcPr>
            <w:tcMar>
              <w:left w:w="108" w:type="dxa"/>
              <w:top w:w="0" w:type="dxa"/>
              <w:right w:w="108" w:type="dxa"/>
              <w:bottom w:w="0" w:type="dxa"/>
            </w:tcMar>
            <w:tcW w:w="1851" w:type="dxa"/>
            <w:vAlign w:val="center"/>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投标总价（小写）</w:t>
            </w:r>
            <w:r/>
          </w:p>
        </w:tc>
      </w:tr>
      <w:tr>
        <w:trPr>
          <w:trHeight w:val="1214"/>
        </w:trPr>
        <w:tc>
          <w:tcPr>
            <w:tcMar>
              <w:left w:w="108" w:type="dxa"/>
              <w:top w:w="0" w:type="dxa"/>
              <w:right w:w="108" w:type="dxa"/>
              <w:bottom w:w="0" w:type="dxa"/>
            </w:tcMar>
            <w:tcW w:w="1689"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江苏睢宁经济开发区污染物限值限量自动监测系统运维项目</w:t>
            </w:r>
            <w:r/>
          </w:p>
        </w:tc>
        <w:tc>
          <w:tcPr>
            <w:tcMar>
              <w:left w:w="108" w:type="dxa"/>
              <w:top w:w="0" w:type="dxa"/>
              <w:right w:w="108" w:type="dxa"/>
              <w:bottom w:w="0" w:type="dxa"/>
            </w:tcMar>
            <w:tcW w:w="10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详见招标文件</w:t>
            </w:r>
            <w:r/>
          </w:p>
        </w:tc>
        <w:tc>
          <w:tcPr>
            <w:tcMar>
              <w:left w:w="108" w:type="dxa"/>
              <w:top w:w="0" w:type="dxa"/>
              <w:right w:w="108" w:type="dxa"/>
              <w:bottom w:w="0" w:type="dxa"/>
            </w:tcMar>
            <w:tcW w:w="18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jc w:val="center"/>
              <w:spacing w:after="0" w:line="400" w:lineRule="exact"/>
              <w:rPr>
                <w:rFonts w:hint="default"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3年</w:t>
            </w:r>
            <w:r/>
          </w:p>
        </w:tc>
        <w:tc>
          <w:tcPr>
            <w:tcMar>
              <w:left w:w="108" w:type="dxa"/>
              <w:top w:w="0" w:type="dxa"/>
              <w:right w:w="108" w:type="dxa"/>
              <w:bottom w:w="0" w:type="dxa"/>
            </w:tcMar>
            <w:tcW w:w="1850"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tc>
        <w:tc>
          <w:tcPr>
            <w:tcMar>
              <w:left w:w="108" w:type="dxa"/>
              <w:top w:w="0" w:type="dxa"/>
              <w:right w:w="108" w:type="dxa"/>
              <w:bottom w:w="0" w:type="dxa"/>
            </w:tcMar>
            <w:tcW w:w="1851"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tc>
      </w:tr>
      <w:tr>
        <w:trPr>
          <w:trHeight w:val="1452"/>
        </w:trPr>
        <w:tc>
          <w:tcPr>
            <w:tcMar>
              <w:left w:w="108" w:type="dxa"/>
              <w:top w:w="0" w:type="dxa"/>
              <w:right w:w="108" w:type="dxa"/>
              <w:bottom w:w="0" w:type="dxa"/>
            </w:tcMar>
            <w:tcW w:w="1689"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总价（大写）：</w:t>
            </w:r>
            <w:r/>
          </w:p>
        </w:tc>
        <w:tc>
          <w:tcPr>
            <w:gridSpan w:val="4"/>
            <w:tcMar>
              <w:left w:w="108" w:type="dxa"/>
              <w:top w:w="0" w:type="dxa"/>
              <w:right w:w="108" w:type="dxa"/>
              <w:bottom w:w="0" w:type="dxa"/>
            </w:tcMar>
            <w:tcW w:w="6601" w:type="dxa"/>
            <w:vAlign w:val="center"/>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1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797"/>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797"/>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797"/>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797"/>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三、分项价格表格式</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项目名称：江苏睢宁经济开发区污染物限值限量自动监测系统运维项目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JSZC-320324-XZWY-G2026-0002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p>
      <w:pPr>
        <w:ind w:firstLine="601"/>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480"/>
        <w:spacing w:before="0" w:after="0" w:line="360" w:lineRule="auto"/>
        <w:rPr>
          <w:rFonts w:hint="eastAsia" w:ascii="宋体" w:hAnsi="宋体" w:eastAsia="宋体" w:cs="宋体"/>
          <w:sz w:val="24"/>
          <w:szCs w:val="24"/>
          <w:highlight w:val="none"/>
          <w:lang w:eastAsia="zh-CN"/>
        </w:rPr>
      </w:pPr>
      <w:r>
        <w:rPr>
          <w:rFonts w:hint="eastAsia" w:ascii="仿宋" w:hAnsi="仿宋" w:eastAsia="仿宋" w:cs="仿宋"/>
          <w:color w:val="auto"/>
          <w:sz w:val="30"/>
          <w:highlight w:val="none"/>
          <w:lang w:val="en-US" w:eastAsia="zh-CN"/>
        </w:rPr>
        <w:t xml:space="preserve">格式自拟</w:t>
      </w:r>
      <w:r>
        <w:rPr>
          <w:rFonts w:hint="eastAsia" w:ascii="宋体" w:hAnsi="宋体" w:eastAsia="宋体" w:cs="宋体"/>
          <w:color w:val="000000"/>
          <w:sz w:val="24"/>
          <w:szCs w:val="24"/>
          <w:highlight w:val="none"/>
          <w:lang w:eastAsia="zh-CN"/>
        </w:rPr>
        <w:t xml:space="preserve">（分项报价内容包含了项目涉及的一切税、费、供应商利润等全部费用。采购人不再支付报价以外的任何费用。）</w:t>
      </w:r>
      <w:r/>
    </w:p>
    <w:p>
      <w:pPr>
        <w:jc w:val="both"/>
        <w:spacing w:after="0" w:line="400" w:lineRule="exac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r>
      <w:r/>
    </w:p>
    <w:p>
      <w:pPr>
        <w:pStyle w:val="788"/>
        <w:rPr>
          <w:rFonts w:hint="default"/>
          <w:highlight w:val="none"/>
          <w:lang w:val="en-US" w:eastAsia="zh-CN"/>
        </w:rPr>
      </w:pPr>
      <w:r>
        <w:rPr>
          <w:rFonts w:hint="default"/>
          <w:highlight w:val="none"/>
          <w:lang w:val="en-US" w:eastAsia="zh-CN"/>
        </w:rPr>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本款说明：</w:t>
      </w:r>
      <w:r/>
    </w:p>
    <w:p>
      <w:pPr>
        <w:ind w:firstLine="600"/>
        <w:jc w:val="both"/>
        <w:spacing w:after="0" w:line="400" w:lineRule="exact"/>
        <w:rPr>
          <w:rFonts w:hint="eastAsia" w:ascii="仿宋" w:hAnsi="仿宋" w:eastAsia="仿宋" w:cs="仿宋"/>
          <w:color w:val="auto"/>
          <w:sz w:val="28"/>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注：①如果不提供详细分项报价的，将视为没有实质性响应招标文件。</w:t>
      </w:r>
      <w:r/>
    </w:p>
    <w:p>
      <w:pPr>
        <w:ind w:firstLine="600"/>
        <w:jc w:val="both"/>
        <w:spacing w:after="0" w:line="400" w:lineRule="exact"/>
        <w:rPr>
          <w:rFonts w:hint="eastAsia" w:ascii="仿宋" w:hAnsi="仿宋" w:eastAsia="仿宋" w:cs="仿宋"/>
          <w:color w:val="auto"/>
          <w:sz w:val="28"/>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②投标人对以上数据的真实性负责。</w:t>
      </w:r>
      <w:r/>
    </w:p>
    <w:p>
      <w:pPr>
        <w:ind w:firstLine="600"/>
        <w:jc w:val="both"/>
        <w:spacing w:after="0" w:line="400" w:lineRule="exact"/>
        <w:rPr>
          <w:rFonts w:hint="eastAsia" w:ascii="仿宋" w:hAnsi="仿宋" w:eastAsia="仿宋" w:cs="仿宋"/>
          <w:color w:val="auto"/>
          <w:sz w:val="28"/>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③分项价格表中的合计报价应与“开标一览表”中的总价金额相一致。</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徐州万缘招投标代理有限公司有权将以上内容进行公示。</w:t>
      </w:r>
      <w:r/>
    </w:p>
    <w:p>
      <w:pPr>
        <w:ind w:firstLine="600"/>
        <w:jc w:val="both"/>
        <w:spacing w:after="0" w:line="400" w:lineRule="exact"/>
        <w:rPr>
          <w:rFonts w:hint="default"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1"/>
          <w:highlight w:val="none"/>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ind w:firstLine="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四、偏离表格式</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项目名称：江苏睢宁经济开发区污染物限值限量自动监测系统运维项目</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项目编号：JSZC-320324-XZWY-G2026-0002 </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79" w:lineRule="atLeast"/>
        <w:widowControl w:val="off"/>
        <w:rPr>
          <w:rFonts w:hint="eastAsia" w:ascii="仿宋" w:hAnsi="仿宋" w:eastAsia="仿宋" w:cs="仿宋"/>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lang w:eastAsia="zh-CN"/>
        </w:rPr>
        <w:t xml:space="preserve">五、</w:t>
      </w:r>
      <w:r>
        <w:rPr>
          <w:rFonts w:hint="eastAsia" w:ascii="仿宋" w:hAnsi="仿宋" w:eastAsia="仿宋" w:cs="仿宋"/>
          <w:b/>
          <w:bCs/>
          <w:color w:val="auto"/>
          <w:sz w:val="30"/>
          <w:szCs w:val="30"/>
          <w:highlight w:val="none"/>
          <w:lang w:eastAsia="zh-CN"/>
        </w:rPr>
        <w:t xml:space="preserve">授权委托书及法定代表人身份证明书格式</w:t>
      </w:r>
      <w:r/>
    </w:p>
    <w:p>
      <w:pPr>
        <w:jc w:val="both"/>
        <w:spacing w:after="0" w:line="240" w:lineRule="auto"/>
        <w:widowControl w:val="off"/>
        <w:rPr>
          <w:rFonts w:hint="eastAsia" w:ascii="仿宋" w:hAnsi="仿宋" w:eastAsia="仿宋" w:cs="仿宋"/>
          <w:color w:val="auto"/>
          <w:sz w:val="30"/>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24"/>
          <w:highlight w:val="none"/>
          <w:lang w:eastAsia="zh-CN"/>
        </w:rPr>
        <w:t xml:space="preserve"> </w:t>
      </w:r>
      <w:r/>
    </w:p>
    <w:p>
      <w:pPr>
        <w:jc w:val="center"/>
        <w:spacing w:after="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（一）授权委托书</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               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  岁      民族：  族</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）全权代表我企业（公司）参与（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）的招、投标活动及签订合同。（</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）以我企业（公司）名义所为的法律行为及签署的文件，我企业（公司）均予以认可。有关法律责任均由我企业（公司）承担。（</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）无转委托权。</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委托期限自</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日起至</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日止。</w:t>
      </w:r>
      <w:r/>
    </w:p>
    <w:p>
      <w:pPr>
        <w:ind w:firstLine="63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委托人（电子签章）：</w:t>
      </w:r>
      <w:r/>
    </w:p>
    <w:p>
      <w:pPr>
        <w:ind w:firstLine="60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法定代表人（签字或盖章）： </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受托人（签字或盖章）：</w:t>
      </w:r>
      <w:r/>
    </w:p>
    <w:p>
      <w:pPr>
        <w:ind w:left="0" w:right="1440" w:firstLine="602"/>
        <w:jc w:val="both"/>
        <w:spacing w:after="12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bidi="ar-SA"/>
        </w:rPr>
        <w:t xml:space="preserve">受托人联系方式：</w:t>
      </w:r>
      <w:r/>
    </w:p>
    <w:p>
      <w:pPr>
        <w:ind w:right="600" w:firstLine="615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日 </w:t>
      </w:r>
      <w:r/>
    </w:p>
    <w:p>
      <w:pPr>
        <w:jc w:val="both"/>
        <w:spacing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30"/>
          <w:szCs w:val="30"/>
          <w:highlight w:val="none"/>
          <w:lang w:val="en-US" w:eastAsia="zh-CN" w:bidi="ar-SA"/>
        </w:rPr>
        <w:t xml:space="preserve">法定代表人身份证及</w:t>
      </w:r>
      <w:r>
        <w:rPr>
          <w:rFonts w:hint="eastAsia" w:ascii="仿宋" w:hAnsi="仿宋" w:eastAsia="仿宋" w:cs="仿宋"/>
          <w:b/>
          <w:bCs/>
          <w:color w:val="auto"/>
          <w:sz w:val="28"/>
          <w:szCs w:val="28"/>
          <w:highlight w:val="none"/>
          <w:lang w:eastAsia="zh-CN"/>
        </w:rPr>
        <w:t xml:space="preserve">受托人身份证扫描件附后)</w:t>
      </w:r>
      <w:r>
        <w:rPr>
          <w:rFonts w:hint="eastAsia" w:ascii="仿宋" w:hAnsi="仿宋" w:eastAsia="仿宋" w:cs="仿宋"/>
          <w:color w:val="auto"/>
          <w:sz w:val="24"/>
          <w:szCs w:val="24"/>
          <w:highlight w:val="none"/>
          <w:lang w:eastAsia="zh-CN"/>
        </w:rPr>
        <w:t xml:space="preserve"> </w:t>
      </w:r>
      <w:r/>
    </w:p>
    <w:p>
      <w:pPr>
        <w:ind w:firstLine="600"/>
        <w:jc w:val="center"/>
        <w:spacing w:before="100" w:after="100" w:line="47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auto"/>
          <w:sz w:val="24"/>
          <w:highlight w:val="none"/>
        </w:rPr>
      </w:r>
      <w:r/>
    </w:p>
    <w:p>
      <w:pPr>
        <w:jc w:val="center"/>
        <w:spacing w:before="100" w:after="10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（二）法定代表人身份证明书</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both"/>
        <w:spacing w:after="0" w:line="500" w:lineRule="exact"/>
        <w:widowControl w:val="off"/>
        <w:tabs>
          <w:tab w:val="left" w:pos="720" w:leader="none"/>
          <w:tab w:val="left" w:pos="90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单位名称：</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地址：</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姓名：            性别：    </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身份证号：        职务：</w:t>
      </w:r>
      <w:r/>
    </w:p>
    <w:p>
      <w:pPr>
        <w:ind w:firstLine="960"/>
        <w:jc w:val="both"/>
        <w:spacing w:after="0" w:line="360" w:lineRule="auto"/>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u w:val="single"/>
          <w:lang w:eastAsia="zh-CN"/>
        </w:rPr>
      </w:r>
      <w:r/>
    </w:p>
    <w:p>
      <w:pPr>
        <w:ind w:firstLine="600"/>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u w:val="single"/>
          <w:lang w:val="en-US" w:eastAsia="zh-CN" w:bidi="ar-SA"/>
        </w:rPr>
        <w:t xml:space="preserve">         </w:t>
      </w:r>
      <w:r>
        <w:rPr>
          <w:rFonts w:hint="eastAsia" w:ascii="仿宋" w:hAnsi="仿宋" w:eastAsia="仿宋" w:cs="仿宋"/>
          <w:color w:val="auto"/>
          <w:sz w:val="30"/>
          <w:szCs w:val="30"/>
          <w:highlight w:val="none"/>
          <w:lang w:val="en-US" w:eastAsia="zh-CN" w:bidi="ar-SA"/>
        </w:rPr>
        <w:t xml:space="preserve">系我企业（公司）的法定代表人。</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特此证明。</w:t>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（电子签章）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 </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法定代表人（签字或盖章）：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日期： 年 月 日</w:t>
      </w:r>
      <w:r/>
    </w:p>
    <w:p>
      <w:pPr>
        <w:jc w:val="right"/>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val="en-US" w:eastAsia="zh-CN" w:bidi="ar-SA"/>
        </w:rPr>
        <w:t xml:space="preserve">(法定代表人身份证原件扫描件附后）</w:t>
      </w: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六、中小企业声明函格式</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项目编号：JSZC-320324-XZWY-G2026-0002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本公司郑重声明，根据《政府采购促进中小企业发展管理办法》（财库﹝2020﹞46 号）的规定，本公司参加</w:t>
      </w:r>
      <w:r>
        <w:rPr>
          <w:rFonts w:hint="eastAsia" w:ascii="仿宋" w:hAnsi="仿宋" w:eastAsia="仿宋" w:cs="仿宋"/>
          <w:color w:val="auto"/>
          <w:sz w:val="30"/>
          <w:highlight w:val="none"/>
          <w:u w:val="single"/>
          <w:lang w:eastAsia="zh-CN"/>
        </w:rPr>
        <w:t xml:space="preserve">（单位名称）</w:t>
      </w:r>
      <w:r>
        <w:rPr>
          <w:rFonts w:hint="eastAsia" w:ascii="仿宋" w:hAnsi="仿宋" w:eastAsia="仿宋" w:cs="仿宋"/>
          <w:color w:val="auto"/>
          <w:sz w:val="30"/>
          <w:highlight w:val="none"/>
          <w:lang w:eastAsia="zh-CN"/>
        </w:rPr>
        <w:t xml:space="preserve">的</w:t>
      </w:r>
      <w:r>
        <w:rPr>
          <w:rFonts w:hint="eastAsia" w:ascii="仿宋" w:hAnsi="仿宋" w:eastAsia="仿宋" w:cs="仿宋"/>
          <w:color w:val="auto"/>
          <w:sz w:val="30"/>
          <w:highlight w:val="none"/>
          <w:u w:val="single"/>
          <w:lang w:eastAsia="zh-CN"/>
        </w:rPr>
        <w:t xml:space="preserve">（项目名称）</w:t>
      </w:r>
      <w:r>
        <w:rPr>
          <w:rFonts w:hint="eastAsia" w:ascii="仿宋" w:hAnsi="仿宋" w:eastAsia="仿宋" w:cs="仿宋"/>
          <w:color w:val="auto"/>
          <w:sz w:val="30"/>
          <w:highlight w:val="none"/>
          <w:lang w:eastAsia="zh-CN"/>
        </w:rPr>
        <w:t xml:space="preserve">采购活动，服务全部由符合政策要求的中小企业承接。相关企业的具体情况如下：</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lang w:eastAsia="zh-CN"/>
        </w:rPr>
        <w:t xml:space="preserve">（标的名称）</w:t>
      </w:r>
      <w:r>
        <w:rPr>
          <w:rFonts w:hint="eastAsia" w:ascii="仿宋" w:hAnsi="仿宋" w:eastAsia="仿宋" w:cs="仿宋"/>
          <w:color w:val="auto"/>
          <w:sz w:val="30"/>
          <w:highlight w:val="none"/>
          <w:lang w:eastAsia="zh-CN"/>
        </w:rPr>
        <w:t xml:space="preserve">，属于</w:t>
      </w:r>
      <w:r>
        <w:rPr>
          <w:rFonts w:hint="eastAsia" w:ascii="仿宋" w:hAnsi="仿宋" w:eastAsia="仿宋" w:cs="仿宋"/>
          <w:color w:val="auto"/>
          <w:sz w:val="30"/>
          <w:highlight w:val="none"/>
          <w:u w:val="single"/>
          <w:lang w:eastAsia="zh-CN"/>
        </w:rPr>
        <w:t xml:space="preserve">（采购文件中明确的所属行业）</w:t>
      </w:r>
      <w:r>
        <w:rPr>
          <w:rFonts w:hint="eastAsia" w:ascii="仿宋" w:hAnsi="仿宋" w:eastAsia="仿宋" w:cs="仿宋"/>
          <w:color w:val="auto"/>
          <w:sz w:val="30"/>
          <w:highlight w:val="none"/>
          <w:lang w:eastAsia="zh-CN"/>
        </w:rPr>
        <w:t xml:space="preserve">； 承建（承接）企业为</w:t>
      </w:r>
      <w:r>
        <w:rPr>
          <w:rFonts w:hint="eastAsia" w:ascii="仿宋" w:hAnsi="仿宋" w:eastAsia="仿宋" w:cs="仿宋"/>
          <w:color w:val="auto"/>
          <w:sz w:val="30"/>
          <w:highlight w:val="none"/>
          <w:u w:val="single"/>
          <w:lang w:eastAsia="zh-CN"/>
        </w:rPr>
        <w:t xml:space="preserve">（企业名称）</w:t>
      </w:r>
      <w:r>
        <w:rPr>
          <w:rFonts w:hint="eastAsia" w:ascii="仿宋" w:hAnsi="仿宋" w:eastAsia="仿宋" w:cs="仿宋"/>
          <w:color w:val="auto"/>
          <w:sz w:val="30"/>
          <w:highlight w:val="none"/>
          <w:lang w:eastAsia="zh-CN"/>
        </w:rPr>
        <w:t xml:space="preserve">，从业人员</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人，营业收入为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万元，资产总额为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万元，属于（中型企业、小型企业、微型企业）；</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以上企业，不属于大企业的分支机构，不存在控股股东为大企业的情形，也不存在与大企业的负责人为同一人的情形。</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本企业对上述声明内容的真实性负责。如有虚假，将依法承担相应责任。</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企业名称（盖单位电子签章）：</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日期：</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注：本项目采购的服务属于</w:t>
      </w:r>
      <w:r>
        <w:rPr>
          <w:rFonts w:hint="eastAsia" w:ascii="仿宋" w:hAnsi="仿宋" w:eastAsia="仿宋" w:cs="仿宋"/>
          <w:color w:val="auto"/>
          <w:sz w:val="30"/>
          <w:highlight w:val="none"/>
          <w:u w:val="single"/>
          <w:lang w:eastAsia="zh-CN"/>
        </w:rPr>
        <w:t xml:space="preserve">其他未列明行业</w:t>
      </w:r>
      <w:r>
        <w:rPr>
          <w:rFonts w:hint="eastAsia" w:ascii="仿宋" w:hAnsi="仿宋" w:eastAsia="仿宋" w:cs="仿宋"/>
          <w:color w:val="auto"/>
          <w:sz w:val="30"/>
          <w:highlight w:val="none"/>
          <w:lang w:eastAsia="zh-CN"/>
        </w:rPr>
        <w:t xml:space="preserve">。</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备注：</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1、从业人员、营业收入、资产总额填报上一年度数据，无上一年度数据的新成立企业可不填报。</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2、《中小企业声明函》查询渠道用微信搜索“中小企业规模类型自测小程序”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line="360" w:lineRule="auto"/>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eastAsia="zh-CN"/>
        </w:rPr>
        <w:t xml:space="preserve">《中小企业声明函》查询渠道用微信搜索“中小企业规模类型自测小程序”。</w:t>
      </w:r>
      <w:r/>
    </w:p>
    <w:p>
      <w:pPr>
        <w:spacing w:line="360" w:lineRule="auto"/>
        <w:rPr>
          <w:rFonts w:ascii="仿宋" w:hAnsi="仿宋" w:eastAsia="仿宋" w:cs="仿宋"/>
          <w:color w:val="auto"/>
          <w:sz w:val="24"/>
          <w:szCs w:val="21"/>
          <w:highlight w:val="none"/>
        </w:rPr>
      </w:pPr>
      <w:r>
        <w:rPr>
          <w:rFonts w:hint="eastAsia" w:ascii="仿宋" w:hAnsi="仿宋" w:eastAsia="仿宋" w:cs="仿宋"/>
          <w:color w:val="auto"/>
          <w:highlight w:val="none"/>
          <w:lang w:eastAsia="zh-CN"/>
        </w:rPr>
        <mc:AlternateContent>
          <mc:Choice Requires="wpg">
            <w:drawing>
              <wp:inline xmlns:wp="http://schemas.openxmlformats.org/drawingml/2006/wordprocessingDrawing" distT="0" distB="0" distL="0" distR="0">
                <wp:extent cx="2258695" cy="4279900"/>
                <wp:effectExtent l="0" t="0" r="8255" b="6350"/>
                <wp:docPr id="3"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5"/>
                        <a:srcRect l="0" t="4825" r="0" b="0"/>
                        <a:stretch/>
                      </pic:blipFill>
                      <pic:spPr bwMode="auto">
                        <a:xfrm>
                          <a:off x="0" y="0"/>
                          <a:ext cx="2258695" cy="4279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7.8pt;height:337.0pt;mso-wrap-distance-left:0.0pt;mso-wrap-distance-top:0.0pt;mso-wrap-distance-right:0.0pt;mso-wrap-distance-bottom:0.0pt;" stroked="f">
                <v:path textboxrect="0,0,0,0"/>
                <v:imagedata r:id="rId15" o:title=""/>
              </v:shape>
            </w:pict>
          </mc:Fallback>
        </mc:AlternateContent>
      </w:r>
      <w:r/>
    </w:p>
    <w:p>
      <w:pPr>
        <w:ind w:right="480"/>
        <w:spacing w:before="100" w:beforeAutospacing="1" w:afterAutospacing="1"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776"/>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776"/>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776"/>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七、残疾人福利性单位声明函格式</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项目名称：江苏睢宁经济开发区污染物限值限量自动监测系统运维项目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项目编号：JSZC-320324-XZWY-G2026-0002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lang w:eastAsia="zh-CN"/>
        </w:rPr>
        <w:t xml:space="preserve">〔2017〕 141</w:t>
      </w:r>
      <w:r>
        <w:rPr>
          <w:rFonts w:hint="eastAsia" w:ascii="仿宋" w:hAnsi="仿宋" w:eastAsia="仿宋" w:cs="仿宋"/>
          <w:color w:val="auto"/>
          <w:spacing w:val="6"/>
          <w:sz w:val="30"/>
          <w:highlight w:val="none"/>
          <w:lang w:eastAsia="zh-CN"/>
        </w:rPr>
        <w:t xml:space="preserve">号）的规定，本单位为符合条件的残疾人福利性单位，且本单位参加</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单位的</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本单位对上述声明的真实性负责。如有虚假，将依法承担相应责任。</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25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在参加江苏睢宁经济开发区污染物限值限量自动监测系统运维项目（项目编号：JSZC-320324-XZWY-G2026-0002）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我单位对上述声明的真实性负责。如有虚假，将依法承担相应责任。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九、具备履行合同所必需的设备和专业技术能力的书面声明（附证明材料复印件）格式（投标人可自行拟定）</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投标人郑重声明：投标人具备履行合同（项目名称：</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lang w:eastAsia="zh-CN"/>
        </w:rPr>
        <w:t xml:space="preserve">，项目编号：</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所必需的设备和专业技术能力， 具体为：</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设备：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专业技术能力：</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特此声明。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投标人对上述声明的真实性负责。如有虚假，将依法承担相应责任。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8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numPr>
          <w:ilvl w:val="0"/>
          <w:numId w:val="0"/>
        </w:numPr>
        <w:ind w:left="0" w:right="0"/>
        <w:jc w:val="both"/>
        <w:pageBreakBefore w:val="0"/>
        <w:spacing w:line="360" w:lineRule="auto"/>
        <w:widowControl w:val="off"/>
        <w:rPr>
          <w:rFonts w:hint="default"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十、承诺书</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440" w:lineRule="exact"/>
        <w:widowControl/>
        <w:rPr>
          <w:rStyle w:val="1049"/>
          <w:rFonts w:hint="eastAsia" w:ascii="仿宋" w:hAnsi="仿宋" w:eastAsia="仿宋" w:cs="仿宋"/>
          <w:b w:val="0"/>
          <w:bCs w:val="0"/>
          <w:color w:val="auto"/>
          <w:sz w:val="24"/>
          <w:highlight w:val="none"/>
          <w:lang w:val="en-US" w:eastAsia="zh-CN"/>
        </w:rPr>
      </w:pPr>
      <w:r>
        <w:rPr>
          <w:rStyle w:val="1049"/>
          <w:rFonts w:hint="eastAsia" w:ascii="仿宋" w:hAnsi="仿宋" w:eastAsia="仿宋" w:cs="仿宋"/>
          <w:b w:val="0"/>
          <w:bCs w:val="0"/>
          <w:color w:val="auto"/>
          <w:sz w:val="24"/>
          <w:highlight w:val="none"/>
          <w:lang w:val="en-US" w:eastAsia="zh-CN"/>
        </w:rPr>
        <w:t xml:space="preserve">项目名称：</w:t>
      </w:r>
      <w:r/>
    </w:p>
    <w:p>
      <w:pPr>
        <w:ind w:firstLine="480"/>
        <w:keepLines w:val="0"/>
        <w:keepNext w:val="0"/>
        <w:pageBreakBefore w:val="0"/>
        <w:spacing w:line="440" w:lineRule="exact"/>
        <w:widowControl/>
        <w:rPr>
          <w:rStyle w:val="1049"/>
          <w:rFonts w:hint="eastAsia" w:ascii="仿宋" w:hAnsi="仿宋" w:eastAsia="仿宋" w:cs="仿宋"/>
          <w:b w:val="0"/>
          <w:bCs w:val="0"/>
          <w:color w:val="auto"/>
          <w:sz w:val="24"/>
          <w:highlight w:val="none"/>
          <w:lang w:val="en-US" w:eastAsia="zh-CN"/>
        </w:rPr>
      </w:pPr>
      <w:r>
        <w:rPr>
          <w:rStyle w:val="1049"/>
          <w:rFonts w:hint="eastAsia" w:ascii="仿宋" w:hAnsi="仿宋" w:eastAsia="仿宋" w:cs="仿宋"/>
          <w:b w:val="0"/>
          <w:bCs w:val="0"/>
          <w:color w:val="auto"/>
          <w:sz w:val="24"/>
          <w:highlight w:val="none"/>
          <w:lang w:val="en-US" w:eastAsia="zh-CN"/>
        </w:rPr>
        <w:t xml:space="preserve">项目编号：</w:t>
      </w:r>
      <w:r/>
    </w:p>
    <w:p>
      <w:pPr>
        <w:ind w:left="0" w:right="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 xml:space="preserve">                   </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我单位承诺：</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、我单位非为本采购项目提供整体设计、规范编制或者项目管理、监理、检测等服务的供应商。</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、我单位符合法律、行政法规规定的其他条件。</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我单位对上述承诺负责，并依法承担相应责任。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41"/>
        <w:keepLines w:val="0"/>
        <w:keepNext w:val="0"/>
        <w:pageBreakBefore w:val="0"/>
        <w:spacing w:line="440" w:lineRule="exact"/>
        <w:widowControl/>
        <w:rPr>
          <w:rStyle w:val="1049"/>
          <w:rFonts w:hint="eastAsia" w:ascii="仿宋" w:hAnsi="仿宋" w:eastAsia="仿宋" w:cs="仿宋"/>
          <w:b w:val="0"/>
          <w:bCs w:val="0"/>
          <w:color w:val="auto"/>
          <w:sz w:val="24"/>
          <w:highlight w:val="none"/>
          <w:lang w:val="en-US" w:eastAsia="zh-CN"/>
        </w:rPr>
      </w:pPr>
      <w:r>
        <w:rPr>
          <w:rStyle w:val="1049"/>
          <w:rFonts w:hint="eastAsia" w:ascii="仿宋" w:hAnsi="仿宋" w:eastAsia="仿宋" w:cs="仿宋"/>
          <w:b w:val="0"/>
          <w:bCs w:val="0"/>
          <w:color w:val="auto"/>
          <w:sz w:val="24"/>
          <w:highlight w:val="none"/>
          <w:lang w:val="en-US" w:eastAsia="zh-CN"/>
        </w:rPr>
        <w:t xml:space="preserve">投标人：           （</w:t>
      </w:r>
      <w:r>
        <w:rPr>
          <w:rFonts w:hint="eastAsia" w:ascii="仿宋" w:hAnsi="仿宋" w:eastAsia="仿宋" w:cs="仿宋"/>
          <w:b w:val="0"/>
          <w:bCs w:val="0"/>
          <w:color w:val="auto"/>
          <w:sz w:val="24"/>
          <w:highlight w:val="none"/>
          <w:lang w:val="en-US" w:eastAsia="zh-CN"/>
        </w:rPr>
        <w:t xml:space="preserve">电子签章</w:t>
      </w:r>
      <w:r>
        <w:rPr>
          <w:rStyle w:val="1049"/>
          <w:rFonts w:hint="eastAsia" w:ascii="仿宋" w:hAnsi="仿宋" w:eastAsia="仿宋" w:cs="仿宋"/>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1049"/>
          <w:rFonts w:hint="eastAsia" w:ascii="仿宋" w:hAnsi="仿宋" w:eastAsia="仿宋" w:cs="仿宋"/>
          <w:b w:val="0"/>
          <w:bCs w:val="0"/>
          <w:color w:val="auto"/>
          <w:sz w:val="24"/>
          <w:highlight w:val="none"/>
          <w:lang w:val="en-US" w:eastAsia="zh-CN"/>
        </w:rPr>
      </w:pPr>
      <w:r>
        <w:rPr>
          <w:rStyle w:val="1049"/>
          <w:rFonts w:hint="eastAsia" w:ascii="仿宋" w:hAnsi="仿宋" w:eastAsia="仿宋" w:cs="仿宋"/>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1049"/>
          <w:rFonts w:hint="eastAsia" w:ascii="仿宋" w:hAnsi="仿宋" w:eastAsia="仿宋" w:cs="仿宋"/>
          <w:b w:val="0"/>
          <w:bCs w:val="0"/>
          <w:color w:val="auto"/>
          <w:sz w:val="24"/>
          <w:highlight w:val="none"/>
          <w:lang w:val="en-US" w:eastAsia="zh-CN"/>
        </w:rPr>
      </w:pPr>
      <w:r>
        <w:rPr>
          <w:rStyle w:val="1049"/>
          <w:rFonts w:hint="eastAsia" w:ascii="仿宋" w:hAnsi="仿宋" w:eastAsia="仿宋" w:cs="仿宋"/>
          <w:b w:val="0"/>
          <w:bCs w:val="0"/>
          <w:color w:val="auto"/>
          <w:sz w:val="24"/>
          <w:highlight w:val="none"/>
          <w:lang w:val="en-US" w:eastAsia="zh-CN"/>
        </w:rPr>
        <w:t xml:space="preserve">日期：   年  月  日</w:t>
      </w:r>
      <w:r/>
    </w:p>
    <w:p>
      <w:pPr>
        <w:ind w:right="29"/>
        <w:jc w:val="both"/>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十</w:t>
      </w:r>
      <w:r>
        <w:rPr>
          <w:rFonts w:hint="eastAsia" w:ascii="仿宋" w:hAnsi="仿宋" w:eastAsia="仿宋" w:cs="仿宋"/>
          <w:b/>
          <w:color w:val="auto"/>
          <w:sz w:val="28"/>
          <w:highlight w:val="none"/>
          <w:lang w:val="en-US" w:eastAsia="zh-CN"/>
        </w:rPr>
        <w:t xml:space="preserve">一</w:t>
      </w:r>
      <w:r>
        <w:rPr>
          <w:rFonts w:hint="eastAsia" w:ascii="仿宋" w:hAnsi="仿宋" w:eastAsia="仿宋" w:cs="仿宋"/>
          <w:b/>
          <w:color w:val="auto"/>
          <w:sz w:val="28"/>
          <w:highlight w:val="none"/>
          <w:lang w:eastAsia="zh-CN"/>
        </w:rPr>
        <w:t xml:space="preserve">、</w:t>
      </w:r>
      <w:r>
        <w:rPr>
          <w:rFonts w:hint="eastAsia" w:ascii="仿宋" w:hAnsi="仿宋" w:eastAsia="仿宋" w:cs="仿宋"/>
          <w:color w:val="auto"/>
          <w:sz w:val="30"/>
          <w:highlight w:val="none"/>
          <w:lang w:eastAsia="zh-CN"/>
        </w:rPr>
        <w:t xml:space="preserve">预付款保函支付条款模板</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符合条件一：提交预付款保函的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（1）合同签订且乙方向甲方出具预付款保函后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        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符合条件二：不提交预付款保函的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1、付款条件一中，出具预付款保函后支付的合同款应当与保函金额一致。</w:t>
      </w:r>
      <w:r/>
    </w:p>
    <w:p>
      <w:pPr>
        <w:ind w:right="147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2、付款条件二中，预付款比例设定应符合《关于做好政府采购支持企业发展有关事项的通知》(苏财购〔2020〕52号)要求。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mbria">
    <w:panose1 w:val="02040503050406030204"/>
  </w:font>
  <w:font w:name="仿宋">
    <w:panose1 w:val="02010609060101010101"/>
  </w:font>
  <w:font w:name="等线">
    <w:panose1 w:val="02010600030101010101"/>
  </w:font>
  <w:font w:name="Cambria Math">
    <w:panose1 w:val="02040503050406030204"/>
  </w:font>
  <w:font w:name="Calibri Light">
    <w:panose1 w:val="020F0302020204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tabs>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8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0840" cy="160655"/>
              <wp:effectExtent l="3175" t="3175" r="3175" b="3175"/>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370666"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9.2pt;height:12.6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6"/>
  </w:num>
  <w:num w:numId="5">
    <w:abstractNumId w:val="5"/>
  </w:num>
  <w:num w:numId="6">
    <w:abstractNumId w:val="10"/>
  </w:num>
  <w:num w:numId="7">
    <w:abstractNumId w:val="9"/>
  </w:num>
  <w:num w:numId="8">
    <w:abstractNumId w:val="7"/>
  </w:num>
  <w:num w:numId="9">
    <w:abstractNumId w:val="8"/>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049"/>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45">
    <w:name w:val="Heading 1"/>
    <w:basedOn w:val="744"/>
    <w:next w:val="744"/>
    <w:link w:val="854"/>
    <w:uiPriority w:val="99"/>
    <w:qFormat/>
    <w:pPr>
      <w:keepLines/>
      <w:keepNext/>
      <w:spacing w:before="480"/>
      <w:outlineLvl w:val="0"/>
    </w:pPr>
    <w:rPr>
      <w:rFonts w:ascii="Arial" w:hAnsi="Arial" w:eastAsia="Arial" w:cs="Arial"/>
      <w:sz w:val="40"/>
      <w:szCs w:val="40"/>
    </w:rPr>
  </w:style>
  <w:style w:type="paragraph" w:styleId="746">
    <w:name w:val="Heading 2"/>
    <w:basedOn w:val="744"/>
    <w:next w:val="756"/>
    <w:link w:val="855"/>
    <w:uiPriority w:val="99"/>
    <w:unhideWhenUsed/>
    <w:qFormat/>
    <w:pPr>
      <w:keepLines/>
      <w:keepNext/>
      <w:spacing w:before="360"/>
      <w:outlineLvl w:val="1"/>
    </w:pPr>
    <w:rPr>
      <w:rFonts w:ascii="Arial" w:hAnsi="Arial" w:eastAsia="Arial" w:cs="Arial"/>
      <w:sz w:val="34"/>
    </w:rPr>
  </w:style>
  <w:style w:type="paragraph" w:styleId="747">
    <w:name w:val="Heading 3"/>
    <w:basedOn w:val="744"/>
    <w:next w:val="744"/>
    <w:link w:val="856"/>
    <w:uiPriority w:val="99"/>
    <w:unhideWhenUsed/>
    <w:qFormat/>
    <w:pPr>
      <w:keepLines/>
      <w:keepNext/>
      <w:spacing w:before="320"/>
      <w:outlineLvl w:val="2"/>
    </w:pPr>
    <w:rPr>
      <w:rFonts w:ascii="Arial" w:hAnsi="Arial" w:eastAsia="Arial" w:cs="Arial"/>
      <w:sz w:val="30"/>
      <w:szCs w:val="30"/>
    </w:rPr>
  </w:style>
  <w:style w:type="paragraph" w:styleId="748">
    <w:name w:val="Heading 4"/>
    <w:basedOn w:val="744"/>
    <w:next w:val="744"/>
    <w:link w:val="857"/>
    <w:uiPriority w:val="99"/>
    <w:unhideWhenUsed/>
    <w:qFormat/>
    <w:pPr>
      <w:keepLines/>
      <w:keepNext/>
      <w:spacing w:before="320"/>
      <w:outlineLvl w:val="3"/>
    </w:pPr>
    <w:rPr>
      <w:rFonts w:ascii="Arial" w:hAnsi="Arial" w:eastAsia="Arial" w:cs="Arial"/>
      <w:b/>
      <w:bCs/>
      <w:sz w:val="26"/>
      <w:szCs w:val="26"/>
    </w:rPr>
  </w:style>
  <w:style w:type="paragraph" w:styleId="749">
    <w:name w:val="Heading 5"/>
    <w:basedOn w:val="744"/>
    <w:next w:val="744"/>
    <w:link w:val="858"/>
    <w:uiPriority w:val="99"/>
    <w:unhideWhenUsed/>
    <w:qFormat/>
    <w:pPr>
      <w:keepLines/>
      <w:keepNext/>
      <w:spacing w:before="320"/>
      <w:outlineLvl w:val="4"/>
    </w:pPr>
    <w:rPr>
      <w:rFonts w:ascii="Arial" w:hAnsi="Arial" w:eastAsia="Arial" w:cs="Arial"/>
      <w:b/>
      <w:bCs/>
      <w:sz w:val="24"/>
      <w:szCs w:val="24"/>
    </w:rPr>
  </w:style>
  <w:style w:type="paragraph" w:styleId="750">
    <w:name w:val="Heading 6"/>
    <w:basedOn w:val="744"/>
    <w:next w:val="744"/>
    <w:link w:val="859"/>
    <w:uiPriority w:val="9"/>
    <w:unhideWhenUsed/>
    <w:qFormat/>
    <w:pPr>
      <w:keepLines/>
      <w:keepNext/>
      <w:spacing w:before="320"/>
      <w:outlineLvl w:val="5"/>
    </w:pPr>
    <w:rPr>
      <w:rFonts w:ascii="Arial" w:hAnsi="Arial" w:eastAsia="Arial" w:cs="Arial"/>
      <w:b/>
      <w:bCs/>
    </w:rPr>
  </w:style>
  <w:style w:type="paragraph" w:styleId="751">
    <w:name w:val="Heading 7"/>
    <w:basedOn w:val="744"/>
    <w:next w:val="744"/>
    <w:link w:val="860"/>
    <w:uiPriority w:val="9"/>
    <w:unhideWhenUsed/>
    <w:qFormat/>
    <w:pPr>
      <w:keepLines/>
      <w:keepNext/>
      <w:spacing w:before="320"/>
      <w:outlineLvl w:val="6"/>
    </w:pPr>
    <w:rPr>
      <w:rFonts w:ascii="Arial" w:hAnsi="Arial" w:eastAsia="Arial" w:cs="Arial"/>
      <w:b/>
      <w:bCs/>
      <w:i/>
      <w:iCs/>
    </w:rPr>
  </w:style>
  <w:style w:type="paragraph" w:styleId="752">
    <w:name w:val="Heading 8"/>
    <w:basedOn w:val="744"/>
    <w:next w:val="744"/>
    <w:link w:val="861"/>
    <w:uiPriority w:val="9"/>
    <w:unhideWhenUsed/>
    <w:qFormat/>
    <w:pPr>
      <w:keepLines/>
      <w:keepNext/>
      <w:spacing w:before="320"/>
      <w:outlineLvl w:val="7"/>
    </w:pPr>
    <w:rPr>
      <w:rFonts w:ascii="Arial" w:hAnsi="Arial" w:eastAsia="Arial" w:cs="Arial"/>
      <w:i/>
      <w:iCs/>
    </w:rPr>
  </w:style>
  <w:style w:type="paragraph" w:styleId="753">
    <w:name w:val="Heading 9"/>
    <w:basedOn w:val="744"/>
    <w:next w:val="744"/>
    <w:link w:val="862"/>
    <w:uiPriority w:val="9"/>
    <w:unhideWhenUsed/>
    <w:qFormat/>
    <w:pPr>
      <w:keepLines/>
      <w:keepNext/>
      <w:spacing w:before="32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uiPriority w:val="99"/>
    <w:qFormat/>
    <w:pPr>
      <w:ind w:firstLine="420"/>
    </w:pPr>
  </w:style>
  <w:style w:type="paragraph" w:styleId="757">
    <w:name w:val="toc 7"/>
    <w:basedOn w:val="744"/>
    <w:next w:val="744"/>
    <w:uiPriority w:val="39"/>
    <w:unhideWhenUsed/>
    <w:qFormat/>
    <w:pPr>
      <w:ind w:left="1701"/>
      <w:spacing w:after="57"/>
    </w:pPr>
  </w:style>
  <w:style w:type="paragraph" w:styleId="758">
    <w:name w:val="Caption"/>
    <w:basedOn w:val="744"/>
    <w:next w:val="744"/>
    <w:link w:val="1013"/>
    <w:uiPriority w:val="99"/>
    <w:unhideWhenUsed/>
    <w:qFormat/>
    <w:rPr>
      <w:b/>
      <w:bCs/>
      <w:color w:val="5b9bd5" w:themeColor="accent1"/>
      <w:sz w:val="18"/>
      <w:szCs w:val="18"/>
      <w14:textFill>
        <w14:solidFill>
          <w14:schemeClr w14:val="accent1"/>
        </w14:solidFill>
      </w14:textFill>
    </w:rPr>
  </w:style>
  <w:style w:type="paragraph" w:styleId="759">
    <w:name w:val="index 5"/>
    <w:basedOn w:val="744"/>
    <w:next w:val="744"/>
    <w:uiPriority w:val="0"/>
    <w:qFormat/>
    <w:pPr>
      <w:ind w:left="798"/>
    </w:pPr>
    <w:rPr>
      <w:rFonts w:ascii="Calibri" w:hAnsi="Calibri"/>
    </w:rPr>
  </w:style>
  <w:style w:type="paragraph" w:styleId="760">
    <w:name w:val="annotation text"/>
    <w:basedOn w:val="744"/>
    <w:link w:val="1003"/>
    <w:uiPriority w:val="99"/>
    <w:unhideWhenUsed/>
    <w:qFormat/>
  </w:style>
  <w:style w:type="paragraph" w:styleId="761">
    <w:name w:val="Body Text"/>
    <w:basedOn w:val="744"/>
    <w:next w:val="762"/>
    <w:link w:val="1005"/>
    <w:uiPriority w:val="99"/>
    <w:qFormat/>
    <w:pPr>
      <w:jc w:val="both"/>
      <w:spacing w:after="0" w:line="240" w:lineRule="auto"/>
      <w:widowControl w:val="off"/>
    </w:pPr>
    <w:rPr>
      <w:rFonts w:ascii="Verdana" w:hAnsi="Verdana" w:eastAsia="宋体" w:cs="Times New Roman"/>
      <w:sz w:val="24"/>
      <w:szCs w:val="18"/>
      <w:lang w:eastAsia="zh-CN"/>
    </w:rPr>
  </w:style>
  <w:style w:type="paragraph" w:styleId="762" w:customStyle="1">
    <w:name w:val="一级条标题"/>
    <w:basedOn w:val="763"/>
    <w:next w:val="76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3" w:customStyle="1">
    <w:name w:val="章标题"/>
    <w:next w:val="744"/>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64" w:customStyle="1">
    <w:name w:val="段"/>
    <w:basedOn w:val="765"/>
    <w:next w:val="744"/>
    <w:uiPriority w:val="99"/>
    <w:qFormat/>
    <w:pPr>
      <w:ind w:firstLine="200"/>
      <w:jc w:val="both"/>
      <w:spacing w:after="0" w:line="240" w:lineRule="auto"/>
    </w:pPr>
    <w:rPr>
      <w:rFonts w:ascii="宋体" w:hAnsi="Times New Roman" w:eastAsia="宋体" w:cs="Times New Roman"/>
      <w:sz w:val="21"/>
      <w:szCs w:val="20"/>
      <w:lang w:eastAsia="zh-CN"/>
    </w:rPr>
  </w:style>
  <w:style w:type="paragraph" w:styleId="765" w:customStyle="1">
    <w:name w:val="正文1"/>
    <w:basedOn w:val="766"/>
    <w:next w:val="767"/>
    <w:uiPriority w:val="99"/>
    <w:qFormat/>
    <w:pPr>
      <w:spacing w:after="0" w:line="240" w:lineRule="auto"/>
    </w:pPr>
    <w:rPr>
      <w:rFonts w:ascii="Times New Roman" w:hAnsi="Times New Roman" w:eastAsia="宋体" w:cs="Times New Roman"/>
      <w:color w:val="000000"/>
      <w:sz w:val="21"/>
      <w:szCs w:val="24"/>
      <w:lang w:eastAsia="zh-CN"/>
    </w:rPr>
  </w:style>
  <w:style w:type="paragraph" w:styleId="766" w:customStyle="1">
    <w:name w:val="正文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脚注文本1"/>
    <w:basedOn w:val="768"/>
    <w:next w:val="774"/>
    <w:uiPriority w:val="0"/>
    <w:qFormat/>
    <w:pPr>
      <w:jc w:val="left"/>
    </w:pPr>
    <w:rPr>
      <w:rFonts w:ascii="宋体" w:eastAsia="Times New Roman"/>
      <w:sz w:val="18"/>
      <w:szCs w:val="18"/>
    </w:rPr>
  </w:style>
  <w:style w:type="paragraph" w:styleId="768" w:customStyle="1">
    <w:name w:val="正文111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标题 211"/>
    <w:basedOn w:val="770"/>
    <w:next w:val="768"/>
    <w:uiPriority w:val="0"/>
    <w:qFormat/>
    <w:pPr>
      <w:keepLines/>
      <w:keepNext/>
      <w:spacing w:before="260" w:after="260" w:line="416" w:lineRule="auto"/>
      <w:outlineLvl w:val="1"/>
    </w:pPr>
    <w:rPr>
      <w:rFonts w:ascii="Calibri Light" w:hAnsi="Calibri Light"/>
      <w:bCs/>
      <w:sz w:val="32"/>
      <w:szCs w:val="32"/>
    </w:rPr>
  </w:style>
  <w:style w:type="paragraph" w:styleId="770" w:customStyle="1">
    <w:name w:val="正文11"/>
    <w:next w:val="7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文本块1"/>
    <w:basedOn w:val="772"/>
    <w:next w:val="773"/>
    <w:uiPriority w:val="0"/>
    <w:qFormat/>
    <w:pPr>
      <w:ind w:left="256" w:right="6" w:firstLine="624"/>
    </w:pPr>
    <w:rPr>
      <w:rFonts w:eastAsia="仿宋"/>
      <w:sz w:val="28"/>
      <w:szCs w:val="20"/>
    </w:rPr>
  </w:style>
  <w:style w:type="paragraph" w:styleId="772" w:customStyle="1">
    <w:name w:val="正文12"/>
    <w:next w:val="76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3" w:customStyle="1">
    <w:name w:val="标题 41"/>
    <w:basedOn w:val="772"/>
    <w:next w:val="770"/>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774" w:customStyle="1">
    <w:name w:val="索引 51"/>
    <w:basedOn w:val="765"/>
    <w:next w:val="765"/>
    <w:uiPriority w:val="0"/>
    <w:qFormat/>
    <w:pPr>
      <w:ind w:left="798"/>
      <w:jc w:val="left"/>
    </w:pPr>
    <w:rPr>
      <w:rFonts w:ascii="Calibri" w:hAnsi="Calibri"/>
    </w:rPr>
  </w:style>
  <w:style w:type="paragraph" w:styleId="775">
    <w:name w:val="Body Text Indent"/>
    <w:basedOn w:val="744"/>
    <w:link w:val="1006"/>
    <w:uiPriority w:val="99"/>
    <w:qFormat/>
    <w:pPr>
      <w:ind w:firstLine="425"/>
      <w:jc w:val="both"/>
      <w:spacing w:after="0" w:line="360" w:lineRule="auto"/>
      <w:widowControl w:val="off"/>
    </w:pPr>
    <w:rPr>
      <w:rFonts w:ascii="Times New Roman" w:hAnsi="Times New Roman" w:eastAsia="宋体" w:cs="Times New Roman"/>
      <w:sz w:val="21"/>
      <w:szCs w:val="24"/>
      <w:lang w:eastAsia="zh-CN"/>
    </w:rPr>
  </w:style>
  <w:style w:type="paragraph" w:styleId="776">
    <w:name w:val="Block Text"/>
    <w:basedOn w:val="744"/>
    <w:uiPriority w:val="99"/>
    <w:unhideWhenUsed/>
    <w:qFormat/>
    <w:pPr>
      <w:ind w:left="567" w:right="454" w:firstLine="498"/>
    </w:pPr>
    <w:rPr>
      <w:rFonts w:ascii="仿宋_GB2312" w:hAnsi="Times New Roman" w:eastAsia="仿宋_GB2312" w:cs="Times New Roman"/>
      <w:sz w:val="30"/>
      <w:szCs w:val="20"/>
    </w:rPr>
  </w:style>
  <w:style w:type="paragraph" w:styleId="777">
    <w:name w:val="toc 5"/>
    <w:basedOn w:val="744"/>
    <w:next w:val="744"/>
    <w:uiPriority w:val="39"/>
    <w:unhideWhenUsed/>
    <w:qFormat/>
    <w:pPr>
      <w:ind w:left="1134"/>
      <w:spacing w:after="57"/>
    </w:pPr>
  </w:style>
  <w:style w:type="paragraph" w:styleId="778">
    <w:name w:val="toc 3"/>
    <w:basedOn w:val="744"/>
    <w:next w:val="744"/>
    <w:uiPriority w:val="39"/>
    <w:unhideWhenUsed/>
    <w:qFormat/>
    <w:pPr>
      <w:ind w:left="567"/>
      <w:spacing w:after="57"/>
    </w:pPr>
  </w:style>
  <w:style w:type="paragraph" w:styleId="779">
    <w:name w:val="Plain Text"/>
    <w:basedOn w:val="744"/>
    <w:link w:val="1007"/>
    <w:uiPriority w:val="99"/>
    <w:qFormat/>
    <w:pPr>
      <w:jc w:val="both"/>
      <w:spacing w:after="0" w:line="240" w:lineRule="auto"/>
      <w:widowControl w:val="off"/>
    </w:pPr>
    <w:rPr>
      <w:rFonts w:ascii="宋体" w:hAnsi="Courier New" w:eastAsia="宋体" w:cs="Times New Roman"/>
      <w:sz w:val="21"/>
      <w:szCs w:val="21"/>
      <w:lang w:eastAsia="zh-CN"/>
    </w:rPr>
  </w:style>
  <w:style w:type="paragraph" w:styleId="780">
    <w:name w:val="toc 8"/>
    <w:basedOn w:val="744"/>
    <w:next w:val="744"/>
    <w:uiPriority w:val="39"/>
    <w:unhideWhenUsed/>
    <w:qFormat/>
    <w:pPr>
      <w:ind w:left="1984"/>
      <w:spacing w:after="57"/>
    </w:pPr>
  </w:style>
  <w:style w:type="paragraph" w:styleId="781">
    <w:name w:val="Date"/>
    <w:basedOn w:val="744"/>
    <w:next w:val="744"/>
    <w:link w:val="1008"/>
    <w:uiPriority w:val="99"/>
    <w:qFormat/>
    <w:pPr>
      <w:jc w:val="both"/>
      <w:spacing w:after="0" w:line="240" w:lineRule="auto"/>
      <w:widowControl w:val="off"/>
    </w:pPr>
    <w:rPr>
      <w:rFonts w:ascii="Times New Roman" w:hAnsi="Times New Roman" w:eastAsia="仿宋_GB2312" w:cs="Times New Roman"/>
      <w:sz w:val="28"/>
      <w:szCs w:val="20"/>
      <w:lang w:eastAsia="zh-CN"/>
    </w:rPr>
  </w:style>
  <w:style w:type="paragraph" w:styleId="782">
    <w:name w:val="Body Text Indent 2"/>
    <w:basedOn w:val="744"/>
    <w:link w:val="1009"/>
    <w:uiPriority w:val="99"/>
    <w:qFormat/>
    <w:pPr>
      <w:ind w:firstLine="475"/>
      <w:jc w:val="both"/>
      <w:spacing w:after="0" w:line="10" w:lineRule="atLeast"/>
      <w:widowControl w:val="off"/>
    </w:pPr>
    <w:rPr>
      <w:rFonts w:ascii="仿宋_GB2312" w:hAnsi="Times New Roman" w:eastAsia="仿宋_GB2312" w:cs="Times New Roman"/>
      <w:sz w:val="24"/>
      <w:szCs w:val="24"/>
      <w:lang w:eastAsia="zh-CN"/>
    </w:rPr>
  </w:style>
  <w:style w:type="paragraph" w:styleId="783">
    <w:name w:val="endnote text"/>
    <w:basedOn w:val="744"/>
    <w:link w:val="998"/>
    <w:uiPriority w:val="99"/>
    <w:semiHidden/>
    <w:unhideWhenUsed/>
    <w:qFormat/>
    <w:pPr>
      <w:spacing w:after="0" w:line="240" w:lineRule="auto"/>
    </w:pPr>
    <w:rPr>
      <w:sz w:val="20"/>
    </w:rPr>
  </w:style>
  <w:style w:type="paragraph" w:styleId="784">
    <w:name w:val="Balloon Text"/>
    <w:basedOn w:val="744"/>
    <w:link w:val="1010"/>
    <w:uiPriority w:val="99"/>
    <w:qFormat/>
    <w:pPr>
      <w:jc w:val="both"/>
      <w:spacing w:after="0" w:line="240" w:lineRule="auto"/>
      <w:widowControl w:val="off"/>
    </w:pPr>
    <w:rPr>
      <w:rFonts w:ascii="Calibri" w:hAnsi="Calibri" w:eastAsia="宋体" w:cs="Times New Roman"/>
      <w:sz w:val="18"/>
      <w:szCs w:val="20"/>
      <w:lang w:eastAsia="zh-CN"/>
    </w:rPr>
  </w:style>
  <w:style w:type="paragraph" w:styleId="785">
    <w:name w:val="Footer"/>
    <w:basedOn w:val="744"/>
    <w:link w:val="871"/>
    <w:uiPriority w:val="99"/>
    <w:unhideWhenUsed/>
    <w:qFormat/>
    <w:pPr>
      <w:spacing w:after="0" w:line="240" w:lineRule="auto"/>
      <w:tabs>
        <w:tab w:val="center" w:pos="7143" w:leader="none"/>
        <w:tab w:val="right" w:pos="14287" w:leader="none"/>
      </w:tabs>
    </w:pPr>
  </w:style>
  <w:style w:type="paragraph" w:styleId="786">
    <w:name w:val="envelope return"/>
    <w:basedOn w:val="744"/>
    <w:uiPriority w:val="0"/>
    <w:qFormat/>
    <w:rPr>
      <w:rFonts w:ascii="Arial" w:hAnsi="Arial"/>
    </w:rPr>
  </w:style>
  <w:style w:type="paragraph" w:styleId="787">
    <w:name w:val="Header"/>
    <w:basedOn w:val="744"/>
    <w:link w:val="869"/>
    <w:uiPriority w:val="99"/>
    <w:unhideWhenUsed/>
    <w:qFormat/>
    <w:pPr>
      <w:spacing w:after="0" w:line="240" w:lineRule="auto"/>
      <w:tabs>
        <w:tab w:val="center" w:pos="7143" w:leader="none"/>
        <w:tab w:val="right" w:pos="14287" w:leader="none"/>
      </w:tabs>
    </w:pPr>
  </w:style>
  <w:style w:type="paragraph" w:styleId="788">
    <w:name w:val="toc 1"/>
    <w:basedOn w:val="744"/>
    <w:next w:val="744"/>
    <w:uiPriority w:val="99"/>
    <w:unhideWhenUsed/>
    <w:qFormat/>
    <w:pPr>
      <w:spacing w:after="57"/>
    </w:pPr>
  </w:style>
  <w:style w:type="paragraph" w:styleId="789">
    <w:name w:val="toc 4"/>
    <w:basedOn w:val="744"/>
    <w:next w:val="744"/>
    <w:uiPriority w:val="39"/>
    <w:unhideWhenUsed/>
    <w:qFormat/>
    <w:pPr>
      <w:ind w:left="850"/>
      <w:spacing w:after="57"/>
    </w:pPr>
  </w:style>
  <w:style w:type="paragraph" w:styleId="790">
    <w:name w:val="Subtitle"/>
    <w:basedOn w:val="744"/>
    <w:next w:val="744"/>
    <w:link w:val="864"/>
    <w:uiPriority w:val="11"/>
    <w:qFormat/>
    <w:pPr>
      <w:spacing w:before="200"/>
    </w:pPr>
    <w:rPr>
      <w:sz w:val="24"/>
      <w:szCs w:val="24"/>
    </w:rPr>
  </w:style>
  <w:style w:type="paragraph" w:styleId="791">
    <w:name w:val="footnote text"/>
    <w:basedOn w:val="744"/>
    <w:next w:val="759"/>
    <w:link w:val="997"/>
    <w:uiPriority w:val="99"/>
    <w:semiHidden/>
    <w:unhideWhenUsed/>
    <w:qFormat/>
    <w:pPr>
      <w:spacing w:after="40" w:line="240" w:lineRule="auto"/>
    </w:pPr>
    <w:rPr>
      <w:sz w:val="18"/>
    </w:rPr>
  </w:style>
  <w:style w:type="paragraph" w:styleId="792">
    <w:name w:val="toc 6"/>
    <w:basedOn w:val="744"/>
    <w:next w:val="744"/>
    <w:uiPriority w:val="39"/>
    <w:unhideWhenUsed/>
    <w:qFormat/>
    <w:pPr>
      <w:ind w:left="1417"/>
      <w:spacing w:after="57"/>
    </w:pPr>
  </w:style>
  <w:style w:type="paragraph" w:styleId="793">
    <w:name w:val="Body Text Indent 3"/>
    <w:basedOn w:val="744"/>
    <w:link w:val="1011"/>
    <w:uiPriority w:val="99"/>
    <w:qFormat/>
    <w:pPr>
      <w:ind w:left="420"/>
      <w:jc w:val="both"/>
      <w:spacing w:after="0" w:line="240" w:lineRule="auto"/>
      <w:widowControl w:val="off"/>
    </w:pPr>
    <w:rPr>
      <w:rFonts w:ascii="Times New Roman" w:hAnsi="Times New Roman" w:eastAsia="宋体" w:cs="Times New Roman"/>
      <w:sz w:val="16"/>
      <w:szCs w:val="16"/>
      <w:lang w:eastAsia="zh-CN"/>
    </w:rPr>
  </w:style>
  <w:style w:type="paragraph" w:styleId="794">
    <w:name w:val="table of figures"/>
    <w:basedOn w:val="744"/>
    <w:next w:val="744"/>
    <w:uiPriority w:val="99"/>
    <w:unhideWhenUsed/>
    <w:qFormat/>
    <w:pPr>
      <w:spacing w:after="0"/>
    </w:pPr>
  </w:style>
  <w:style w:type="paragraph" w:styleId="795">
    <w:name w:val="toc 2"/>
    <w:basedOn w:val="744"/>
    <w:next w:val="744"/>
    <w:uiPriority w:val="39"/>
    <w:unhideWhenUsed/>
    <w:qFormat/>
    <w:pPr>
      <w:ind w:left="283"/>
      <w:spacing w:after="57"/>
    </w:pPr>
  </w:style>
  <w:style w:type="paragraph" w:styleId="796">
    <w:name w:val="toc 9"/>
    <w:basedOn w:val="744"/>
    <w:next w:val="744"/>
    <w:uiPriority w:val="39"/>
    <w:unhideWhenUsed/>
    <w:qFormat/>
    <w:pPr>
      <w:ind w:left="2268"/>
      <w:spacing w:after="57"/>
    </w:pPr>
  </w:style>
  <w:style w:type="paragraph" w:styleId="797">
    <w:name w:val="Body Text 2"/>
    <w:basedOn w:val="744"/>
    <w:uiPriority w:val="0"/>
    <w:unhideWhenUsed/>
    <w:qFormat/>
    <w:pPr>
      <w:jc w:val="both"/>
      <w:spacing w:after="120" w:line="480" w:lineRule="auto"/>
    </w:pPr>
    <w:rPr>
      <w:rFonts w:ascii="Calibri" w:hAnsi="Calibri"/>
      <w:sz w:val="21"/>
    </w:rPr>
  </w:style>
  <w:style w:type="paragraph" w:styleId="798">
    <w:name w:val="HTML Preformatted"/>
    <w:basedOn w:val="744"/>
    <w:link w:val="1012"/>
    <w:uiPriority w:val="99"/>
    <w:qFormat/>
    <w:pPr>
      <w:spacing w:after="0" w:line="24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0"/>
      <w:lang w:eastAsia="zh-CN"/>
    </w:rPr>
  </w:style>
  <w:style w:type="paragraph" w:styleId="799">
    <w:name w:val="Normal (Web)"/>
    <w:basedOn w:val="744"/>
    <w:uiPriority w:val="99"/>
    <w:qFormat/>
    <w:pPr>
      <w:spacing w:beforeAutospacing="1" w:after="0" w:afterAutospacing="1" w:line="240" w:lineRule="auto"/>
    </w:pPr>
    <w:rPr>
      <w:rFonts w:ascii="宋体" w:hAnsi="宋体" w:eastAsia="宋体" w:cs="宋体"/>
      <w:sz w:val="24"/>
      <w:szCs w:val="24"/>
      <w:lang w:eastAsia="zh-CN"/>
    </w:rPr>
  </w:style>
  <w:style w:type="paragraph" w:styleId="800">
    <w:name w:val="Title"/>
    <w:basedOn w:val="744"/>
    <w:next w:val="744"/>
    <w:link w:val="863"/>
    <w:uiPriority w:val="99"/>
    <w:qFormat/>
    <w:pPr>
      <w:contextualSpacing/>
      <w:spacing w:before="300"/>
    </w:pPr>
    <w:rPr>
      <w:sz w:val="48"/>
      <w:szCs w:val="48"/>
    </w:rPr>
  </w:style>
  <w:style w:type="paragraph" w:styleId="801">
    <w:name w:val="annotation subject"/>
    <w:basedOn w:val="760"/>
    <w:next w:val="760"/>
    <w:link w:val="1004"/>
    <w:uiPriority w:val="99"/>
    <w:unhideWhenUsed/>
    <w:qFormat/>
    <w:rPr>
      <w:b/>
      <w:bCs/>
    </w:rPr>
  </w:style>
  <w:style w:type="table" w:styleId="802">
    <w:name w:val="Table Grid"/>
    <w:basedOn w:val="7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3">
    <w:name w:val="endnote reference"/>
    <w:uiPriority w:val="99"/>
    <w:semiHidden/>
    <w:unhideWhenUsed/>
    <w:qFormat/>
    <w:rPr>
      <w:vertAlign w:val="superscript"/>
    </w:rPr>
  </w:style>
  <w:style w:type="character" w:styleId="804">
    <w:name w:val="page number"/>
    <w:basedOn w:val="754"/>
    <w:uiPriority w:val="99"/>
    <w:qFormat/>
    <w:rPr>
      <w:rFonts w:ascii="Times New Roman" w:hAnsi="Times New Roman" w:eastAsia="宋体" w:cs="Times New Roman"/>
    </w:rPr>
  </w:style>
  <w:style w:type="character" w:styleId="805">
    <w:name w:val="Emphasis"/>
    <w:basedOn w:val="754"/>
    <w:uiPriority w:val="99"/>
    <w:qFormat/>
    <w:rPr>
      <w:rFonts w:ascii="Times New Roman" w:hAnsi="Times New Roman" w:eastAsia="宋体"/>
      <w:color w:val="cc0000"/>
    </w:rPr>
  </w:style>
  <w:style w:type="character" w:styleId="806">
    <w:name w:val="Hyperlink"/>
    <w:uiPriority w:val="99"/>
    <w:unhideWhenUsed/>
    <w:qFormat/>
    <w:rPr>
      <w:color w:val="0563c1" w:themeColor="hyperlink"/>
      <w:u w:val="single"/>
      <w14:textFill>
        <w14:solidFill>
          <w14:schemeClr w14:val="hlink"/>
        </w14:solidFill>
      </w14:textFill>
    </w:rPr>
  </w:style>
  <w:style w:type="character" w:styleId="807">
    <w:name w:val="annotation reference"/>
    <w:basedOn w:val="754"/>
    <w:uiPriority w:val="99"/>
    <w:unhideWhenUsed/>
    <w:qFormat/>
    <w:rPr>
      <w:sz w:val="21"/>
      <w:szCs w:val="21"/>
    </w:rPr>
  </w:style>
  <w:style w:type="character" w:styleId="808">
    <w:name w:val="footnote reference"/>
    <w:uiPriority w:val="99"/>
    <w:unhideWhenUsed/>
    <w:qFormat/>
    <w:rPr>
      <w:vertAlign w:val="superscript"/>
    </w:rPr>
  </w:style>
  <w:style w:type="paragraph" w:styleId="809" w:customStyle="1">
    <w:name w:val="正文首行缩进11"/>
    <w:next w:val="810"/>
    <w:uiPriority w:val="99"/>
    <w:unhideWhenUsed/>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810" w:customStyle="1">
    <w:name w:val="正文首行缩进 21"/>
    <w:basedOn w:val="811"/>
    <w:uiPriority w:val="0"/>
    <w:qFormat/>
    <w:pPr>
      <w:ind w:left="0" w:firstLine="420"/>
      <w:spacing w:after="0" w:line="360" w:lineRule="auto"/>
    </w:pPr>
    <w:rPr>
      <w:rFonts w:ascii="宋体" w:hAnsi="宋体"/>
      <w:sz w:val="20"/>
      <w:szCs w:val="20"/>
    </w:rPr>
  </w:style>
  <w:style w:type="paragraph" w:styleId="811" w:customStyle="1">
    <w:name w:val="正文文本缩进1"/>
    <w:basedOn w:val="765"/>
    <w:uiPriority w:val="0"/>
    <w:qFormat/>
    <w:pPr>
      <w:ind w:left="420"/>
      <w:spacing w:after="120"/>
    </w:pPr>
  </w:style>
  <w:style w:type="paragraph" w:styleId="812" w:customStyle="1">
    <w:name w:val="正文首行缩进1"/>
    <w:basedOn w:val="813"/>
    <w:next w:val="810"/>
    <w:uiPriority w:val="0"/>
    <w:qFormat/>
    <w:pPr>
      <w:ind w:firstLine="420"/>
    </w:pPr>
  </w:style>
  <w:style w:type="paragraph" w:styleId="813" w:customStyle="1">
    <w:name w:val="正文文本11"/>
    <w:basedOn w:val="772"/>
    <w:next w:val="766"/>
    <w:uiPriority w:val="0"/>
    <w:qFormat/>
    <w:pPr>
      <w:spacing w:after="120"/>
    </w:pPr>
  </w:style>
  <w:style w:type="paragraph" w:styleId="814" w:customStyle="1">
    <w:name w:val="寄信人地址1"/>
    <w:basedOn w:val="765"/>
    <w:uiPriority w:val="0"/>
    <w:qFormat/>
    <w:pPr>
      <w:ind w:firstLine="200"/>
    </w:pPr>
    <w:rPr>
      <w:rFonts w:ascii="Arial" w:hAnsi="Arial" w:eastAsia="仿宋_GB2312"/>
    </w:rPr>
  </w:style>
  <w:style w:type="paragraph" w:styleId="815" w:customStyle="1">
    <w:name w:val="标题 21"/>
    <w:basedOn w:val="772"/>
    <w:next w:val="770"/>
    <w:uiPriority w:val="0"/>
    <w:qFormat/>
    <w:pPr>
      <w:jc w:val="left"/>
      <w:keepLines/>
      <w:keepNext/>
      <w:spacing w:before="50"/>
      <w:tabs>
        <w:tab w:val="left" w:pos="0" w:leader="none"/>
      </w:tabs>
      <w:outlineLvl w:val="1"/>
    </w:pPr>
    <w:rPr>
      <w:rFonts w:ascii="Arial" w:hAnsi="Arial" w:eastAsia="黑体"/>
      <w:sz w:val="32"/>
      <w:szCs w:val="20"/>
    </w:rPr>
  </w:style>
  <w:style w:type="paragraph" w:styleId="816" w:customStyle="1">
    <w:name w:val="目录 11"/>
    <w:basedOn w:val="772"/>
    <w:next w:val="765"/>
    <w:uiPriority w:val="0"/>
    <w:qFormat/>
  </w:style>
  <w:style w:type="character" w:styleId="817" w:customStyle="1">
    <w:name w:val="Heading 1 Char"/>
    <w:basedOn w:val="754"/>
    <w:uiPriority w:val="9"/>
    <w:qFormat/>
    <w:rPr>
      <w:rFonts w:ascii="Arial" w:hAnsi="Arial" w:eastAsia="Arial" w:cs="Arial"/>
      <w:sz w:val="40"/>
      <w:szCs w:val="40"/>
    </w:rPr>
  </w:style>
  <w:style w:type="character" w:styleId="818" w:customStyle="1">
    <w:name w:val="Heading 2 Char"/>
    <w:basedOn w:val="754"/>
    <w:uiPriority w:val="9"/>
    <w:qFormat/>
    <w:rPr>
      <w:rFonts w:ascii="Arial" w:hAnsi="Arial" w:eastAsia="Arial" w:cs="Arial"/>
      <w:sz w:val="34"/>
    </w:rPr>
  </w:style>
  <w:style w:type="character" w:styleId="819" w:customStyle="1">
    <w:name w:val="Heading 3 Char"/>
    <w:basedOn w:val="754"/>
    <w:uiPriority w:val="9"/>
    <w:qFormat/>
    <w:rPr>
      <w:rFonts w:ascii="Arial" w:hAnsi="Arial" w:eastAsia="Arial" w:cs="Arial"/>
      <w:sz w:val="30"/>
      <w:szCs w:val="30"/>
    </w:rPr>
  </w:style>
  <w:style w:type="character" w:styleId="820" w:customStyle="1">
    <w:name w:val="Heading 4 Char"/>
    <w:basedOn w:val="754"/>
    <w:uiPriority w:val="9"/>
    <w:qFormat/>
    <w:rPr>
      <w:rFonts w:ascii="Arial" w:hAnsi="Arial" w:eastAsia="Arial" w:cs="Arial"/>
      <w:b/>
      <w:bCs/>
      <w:sz w:val="26"/>
      <w:szCs w:val="26"/>
    </w:rPr>
  </w:style>
  <w:style w:type="character" w:styleId="821" w:customStyle="1">
    <w:name w:val="Heading 5 Char"/>
    <w:basedOn w:val="754"/>
    <w:uiPriority w:val="9"/>
    <w:qFormat/>
    <w:rPr>
      <w:rFonts w:ascii="Arial" w:hAnsi="Arial" w:eastAsia="Arial" w:cs="Arial"/>
      <w:b/>
      <w:bCs/>
      <w:sz w:val="24"/>
      <w:szCs w:val="24"/>
    </w:rPr>
  </w:style>
  <w:style w:type="character" w:styleId="822" w:customStyle="1">
    <w:name w:val="Heading 6 Char"/>
    <w:basedOn w:val="754"/>
    <w:uiPriority w:val="9"/>
    <w:qFormat/>
    <w:rPr>
      <w:rFonts w:ascii="Arial" w:hAnsi="Arial" w:eastAsia="Arial" w:cs="Arial"/>
      <w:b/>
      <w:bCs/>
      <w:sz w:val="22"/>
      <w:szCs w:val="22"/>
    </w:rPr>
  </w:style>
  <w:style w:type="character" w:styleId="823" w:customStyle="1">
    <w:name w:val="Heading 7 Char"/>
    <w:basedOn w:val="754"/>
    <w:uiPriority w:val="9"/>
    <w:qFormat/>
    <w:rPr>
      <w:rFonts w:ascii="Arial" w:hAnsi="Arial" w:eastAsia="Arial" w:cs="Arial"/>
      <w:b/>
      <w:bCs/>
      <w:i/>
      <w:iCs/>
      <w:sz w:val="22"/>
      <w:szCs w:val="22"/>
    </w:rPr>
  </w:style>
  <w:style w:type="character" w:styleId="824" w:customStyle="1">
    <w:name w:val="Heading 8 Char"/>
    <w:basedOn w:val="754"/>
    <w:uiPriority w:val="9"/>
    <w:qFormat/>
    <w:rPr>
      <w:rFonts w:ascii="Arial" w:hAnsi="Arial" w:eastAsia="Arial" w:cs="Arial"/>
      <w:i/>
      <w:iCs/>
      <w:sz w:val="22"/>
      <w:szCs w:val="22"/>
    </w:rPr>
  </w:style>
  <w:style w:type="character" w:styleId="825" w:customStyle="1">
    <w:name w:val="Heading 9 Char"/>
    <w:basedOn w:val="754"/>
    <w:uiPriority w:val="9"/>
    <w:qFormat/>
    <w:rPr>
      <w:rFonts w:ascii="Arial" w:hAnsi="Arial" w:eastAsia="Arial" w:cs="Arial"/>
      <w:i/>
      <w:iCs/>
      <w:sz w:val="21"/>
      <w:szCs w:val="21"/>
    </w:rPr>
  </w:style>
  <w:style w:type="character" w:styleId="826" w:customStyle="1">
    <w:name w:val="Title Char"/>
    <w:basedOn w:val="754"/>
    <w:uiPriority w:val="10"/>
    <w:qFormat/>
    <w:rPr>
      <w:sz w:val="48"/>
      <w:szCs w:val="48"/>
    </w:rPr>
  </w:style>
  <w:style w:type="character" w:styleId="827" w:customStyle="1">
    <w:name w:val="Subtitle Char"/>
    <w:basedOn w:val="754"/>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54"/>
    <w:uiPriority w:val="99"/>
    <w:qFormat/>
  </w:style>
  <w:style w:type="character" w:styleId="831" w:customStyle="1">
    <w:name w:val="Caption Char"/>
    <w:uiPriority w:val="99"/>
    <w:qFormat/>
  </w:style>
  <w:style w:type="table" w:styleId="832"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character" w:styleId="854" w:customStyle="1">
    <w:name w:val="标题 1 字符"/>
    <w:link w:val="745"/>
    <w:uiPriority w:val="9"/>
    <w:qFormat/>
    <w:rPr>
      <w:rFonts w:ascii="Arial" w:hAnsi="Arial" w:eastAsia="Arial" w:cs="Arial"/>
      <w:sz w:val="40"/>
      <w:szCs w:val="40"/>
    </w:rPr>
  </w:style>
  <w:style w:type="character" w:styleId="855" w:customStyle="1">
    <w:name w:val="标题 2 字符"/>
    <w:link w:val="746"/>
    <w:uiPriority w:val="9"/>
    <w:qFormat/>
    <w:rPr>
      <w:rFonts w:ascii="Arial" w:hAnsi="Arial" w:eastAsia="Arial" w:cs="Arial"/>
      <w:sz w:val="34"/>
    </w:rPr>
  </w:style>
  <w:style w:type="character" w:styleId="856" w:customStyle="1">
    <w:name w:val="标题 3 字符"/>
    <w:link w:val="747"/>
    <w:uiPriority w:val="9"/>
    <w:qFormat/>
    <w:rPr>
      <w:rFonts w:ascii="Arial" w:hAnsi="Arial" w:eastAsia="Arial" w:cs="Arial"/>
      <w:sz w:val="30"/>
      <w:szCs w:val="30"/>
    </w:rPr>
  </w:style>
  <w:style w:type="character" w:styleId="857" w:customStyle="1">
    <w:name w:val="标题 4 字符"/>
    <w:link w:val="748"/>
    <w:uiPriority w:val="9"/>
    <w:qFormat/>
    <w:rPr>
      <w:rFonts w:ascii="Arial" w:hAnsi="Arial" w:eastAsia="Arial" w:cs="Arial"/>
      <w:b/>
      <w:bCs/>
      <w:sz w:val="26"/>
      <w:szCs w:val="26"/>
    </w:rPr>
  </w:style>
  <w:style w:type="character" w:styleId="858" w:customStyle="1">
    <w:name w:val="标题 5 字符"/>
    <w:link w:val="749"/>
    <w:uiPriority w:val="9"/>
    <w:qFormat/>
    <w:rPr>
      <w:rFonts w:ascii="Arial" w:hAnsi="Arial" w:eastAsia="Arial" w:cs="Arial"/>
      <w:b/>
      <w:bCs/>
      <w:sz w:val="24"/>
      <w:szCs w:val="24"/>
    </w:rPr>
  </w:style>
  <w:style w:type="character" w:styleId="859" w:customStyle="1">
    <w:name w:val="标题 6 字符"/>
    <w:link w:val="750"/>
    <w:uiPriority w:val="9"/>
    <w:qFormat/>
    <w:rPr>
      <w:rFonts w:ascii="Arial" w:hAnsi="Arial" w:eastAsia="Arial" w:cs="Arial"/>
      <w:b/>
      <w:bCs/>
      <w:sz w:val="22"/>
      <w:szCs w:val="22"/>
    </w:rPr>
  </w:style>
  <w:style w:type="character" w:styleId="860" w:customStyle="1">
    <w:name w:val="标题 7 字符"/>
    <w:link w:val="751"/>
    <w:uiPriority w:val="9"/>
    <w:qFormat/>
    <w:rPr>
      <w:rFonts w:ascii="Arial" w:hAnsi="Arial" w:eastAsia="Arial" w:cs="Arial"/>
      <w:b/>
      <w:bCs/>
      <w:i/>
      <w:iCs/>
      <w:sz w:val="22"/>
      <w:szCs w:val="22"/>
    </w:rPr>
  </w:style>
  <w:style w:type="character" w:styleId="861" w:customStyle="1">
    <w:name w:val="标题 8 字符"/>
    <w:link w:val="752"/>
    <w:uiPriority w:val="9"/>
    <w:qFormat/>
    <w:rPr>
      <w:rFonts w:ascii="Arial" w:hAnsi="Arial" w:eastAsia="Arial" w:cs="Arial"/>
      <w:i/>
      <w:iCs/>
      <w:sz w:val="22"/>
      <w:szCs w:val="22"/>
    </w:rPr>
  </w:style>
  <w:style w:type="character" w:styleId="862" w:customStyle="1">
    <w:name w:val="标题 9 字符"/>
    <w:link w:val="753"/>
    <w:uiPriority w:val="9"/>
    <w:qFormat/>
    <w:rPr>
      <w:rFonts w:ascii="Arial" w:hAnsi="Arial" w:eastAsia="Arial" w:cs="Arial"/>
      <w:i/>
      <w:iCs/>
      <w:sz w:val="21"/>
      <w:szCs w:val="21"/>
    </w:rPr>
  </w:style>
  <w:style w:type="character" w:styleId="863" w:customStyle="1">
    <w:name w:val="标题 字符"/>
    <w:link w:val="800"/>
    <w:uiPriority w:val="99"/>
    <w:qFormat/>
    <w:rPr>
      <w:sz w:val="48"/>
      <w:szCs w:val="48"/>
    </w:rPr>
  </w:style>
  <w:style w:type="character" w:styleId="864" w:customStyle="1">
    <w:name w:val="副标题 字符"/>
    <w:link w:val="790"/>
    <w:uiPriority w:val="11"/>
    <w:qFormat/>
    <w:rPr>
      <w:sz w:val="24"/>
      <w:szCs w:val="24"/>
    </w:rPr>
  </w:style>
  <w:style w:type="paragraph" w:styleId="865">
    <w:name w:val="Quote"/>
    <w:basedOn w:val="744"/>
    <w:next w:val="744"/>
    <w:link w:val="866"/>
    <w:uiPriority w:val="29"/>
    <w:qFormat/>
    <w:pPr>
      <w:ind w:left="720" w:right="720"/>
    </w:pPr>
    <w:rPr>
      <w:i/>
    </w:rPr>
  </w:style>
  <w:style w:type="character" w:styleId="866" w:customStyle="1">
    <w:name w:val="引用 字符"/>
    <w:link w:val="865"/>
    <w:uiPriority w:val="29"/>
    <w:qFormat/>
    <w:rPr>
      <w:i/>
    </w:rPr>
  </w:style>
  <w:style w:type="paragraph" w:styleId="867">
    <w:name w:val="Intense Quote"/>
    <w:basedOn w:val="744"/>
    <w:next w:val="744"/>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字符"/>
    <w:link w:val="867"/>
    <w:uiPriority w:val="30"/>
    <w:qFormat/>
    <w:rPr>
      <w:i/>
    </w:rPr>
  </w:style>
  <w:style w:type="character" w:styleId="869" w:customStyle="1">
    <w:name w:val="页眉 字符"/>
    <w:link w:val="787"/>
    <w:uiPriority w:val="99"/>
    <w:qFormat/>
  </w:style>
  <w:style w:type="character" w:styleId="870" w:customStyle="1">
    <w:name w:val="Footer Char"/>
    <w:uiPriority w:val="99"/>
    <w:qFormat/>
  </w:style>
  <w:style w:type="character" w:styleId="871" w:customStyle="1">
    <w:name w:val="页脚 字符"/>
    <w:link w:val="785"/>
    <w:uiPriority w:val="99"/>
    <w:qFormat/>
  </w:style>
  <w:style w:type="table" w:styleId="872"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3" w:customStyle="1">
    <w:name w:val="无格式表格 1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7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2" w:customStyle="1">
    <w:name w:val="网格表 31"/>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75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1" w:customStyle="1">
    <w:name w:val="Grid Table 4 - Accent 2"/>
    <w:basedOn w:val="7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2" w:customStyle="1">
    <w:name w:val="Grid Table 4 - Accent 3"/>
    <w:basedOn w:val="7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3" w:customStyle="1">
    <w:name w:val="Grid Table 4 - Accent 4"/>
    <w:basedOn w:val="7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4" w:customStyle="1">
    <w:name w:val="Grid Table 4 - Accent 5"/>
    <w:basedOn w:val="75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5" w:customStyle="1">
    <w:name w:val="Grid Table 4 - Accent 6"/>
    <w:basedOn w:val="7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6" w:customStyle="1">
    <w:name w:val="网格表 5 深色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8"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9"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0"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1"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2"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3" w:customStyle="1">
    <w:name w:val="网格表 6 彩色1"/>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75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7" w:customStyle="1">
    <w:name w:val="Grid Table 6 Colorful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5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9" w:customStyle="1">
    <w:name w:val="Grid Table 6 Colorful - Accent 6"/>
    <w:basedOn w:val="7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0" w:customStyle="1">
    <w:name w:val="网格表 7 彩色1"/>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75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7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7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7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75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7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7" w:customStyle="1">
    <w:name w:val="清单表 1 浅色1"/>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75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5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5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清单表 21"/>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75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6" w:customStyle="1">
    <w:name w:val="List Table 2 - Accent 2"/>
    <w:basedOn w:val="7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7" w:customStyle="1">
    <w:name w:val="List Table 2 - Accent 3"/>
    <w:basedOn w:val="7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8" w:customStyle="1">
    <w:name w:val="List Table 2 - Accent 4"/>
    <w:basedOn w:val="7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9" w:customStyle="1">
    <w:name w:val="List Table 2 - Accent 5"/>
    <w:basedOn w:val="75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0" w:customStyle="1">
    <w:name w:val="List Table 2 - Accent 6"/>
    <w:basedOn w:val="7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1" w:customStyle="1">
    <w:name w:val="清单表 3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75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3" w:customStyle="1">
    <w:name w:val="List Table 3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5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8" w:customStyle="1">
    <w:name w:val="清单表 41"/>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75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0" w:customStyle="1">
    <w:name w:val="List Table 4 - Accent 2"/>
    <w:basedOn w:val="7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1" w:customStyle="1">
    <w:name w:val="List Table 4 - Accent 3"/>
    <w:basedOn w:val="7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2" w:customStyle="1">
    <w:name w:val="List Table 4 - Accent 4"/>
    <w:basedOn w:val="7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3" w:customStyle="1">
    <w:name w:val="List Table 4 - Accent 5"/>
    <w:basedOn w:val="75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4" w:customStyle="1">
    <w:name w:val="List Table 4 - Accent 6"/>
    <w:basedOn w:val="7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5" w:customStyle="1">
    <w:name w:val="清单表 5 深色1"/>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75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7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7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7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75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7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清单表 6 彩色1"/>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75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4" w:customStyle="1">
    <w:name w:val="List Table 6 Colorful - Accent 2"/>
    <w:basedOn w:val="75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5" w:customStyle="1">
    <w:name w:val="List Table 6 Colorful - Accent 3"/>
    <w:basedOn w:val="75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6" w:customStyle="1">
    <w:name w:val="List Table 6 Colorful - Accent 4"/>
    <w:basedOn w:val="75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7" w:customStyle="1">
    <w:name w:val="List Table 6 Colorful - Accent 5"/>
    <w:basedOn w:val="75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8" w:customStyle="1">
    <w:name w:val="List Table 6 Colorful - Accent 6"/>
    <w:basedOn w:val="75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9" w:customStyle="1">
    <w:name w:val="清单表 7 彩色1"/>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75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75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75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75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75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75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8"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2"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75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5" w:customStyle="1">
    <w:name w:val="Bordered &amp; Lined - Accent 2"/>
    <w:basedOn w:val="7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Bordered &amp; Lined - Accent 3"/>
    <w:basedOn w:val="7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Bordered &amp; Lined - Accent 4"/>
    <w:basedOn w:val="7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Bordered &amp; Lined - Accent 5"/>
    <w:basedOn w:val="75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9" w:customStyle="1">
    <w:name w:val="Bordered &amp; Lined - Accent 6"/>
    <w:basedOn w:val="7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2" w:customStyle="1">
    <w:name w:val="Bordered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3" w:customStyle="1">
    <w:name w:val="Bordered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4" w:customStyle="1">
    <w:name w:val="Bordered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5" w:customStyle="1">
    <w:name w:val="Bordered - Accent 5"/>
    <w:basedOn w:val="7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6" w:customStyle="1">
    <w:name w:val="Bordered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7" w:customStyle="1">
    <w:name w:val="脚注文本 字符"/>
    <w:link w:val="791"/>
    <w:uiPriority w:val="99"/>
    <w:qFormat/>
    <w:rPr>
      <w:sz w:val="18"/>
    </w:rPr>
  </w:style>
  <w:style w:type="character" w:styleId="998" w:customStyle="1">
    <w:name w:val="尾注文本 字符"/>
    <w:link w:val="783"/>
    <w:uiPriority w:val="99"/>
    <w:qFormat/>
    <w:rPr>
      <w:sz w:val="20"/>
    </w:rPr>
  </w:style>
  <w:style w:type="paragraph" w:styleId="999"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00">
    <w:name w:val="No Spacing"/>
    <w:basedOn w:val="744"/>
    <w:uiPriority w:val="1"/>
    <w:qFormat/>
    <w:pPr>
      <w:spacing w:after="0" w:line="240" w:lineRule="auto"/>
    </w:pPr>
  </w:style>
  <w:style w:type="paragraph" w:styleId="1001">
    <w:name w:val="List Paragraph"/>
    <w:basedOn w:val="744"/>
    <w:uiPriority w:val="99"/>
    <w:qFormat/>
    <w:pPr>
      <w:contextualSpacing/>
      <w:ind w:left="720"/>
    </w:pPr>
  </w:style>
  <w:style w:type="paragraph" w:styleId="1002" w:customStyle="1">
    <w:name w:val="普通(网站)1"/>
    <w:basedOn w:val="744"/>
    <w:uiPriority w:val="0"/>
    <w:qFormat/>
    <w:pPr>
      <w:spacing w:before="100" w:beforeAutospacing="1" w:after="100" w:afterAutospacing="1" w:line="240" w:lineRule="auto"/>
    </w:pPr>
    <w:rPr>
      <w:rFonts w:ascii="宋体" w:hAnsi="宋体" w:eastAsia="宋体" w:cs="Times New Roman"/>
      <w:sz w:val="24"/>
      <w:szCs w:val="24"/>
      <w:lang w:eastAsia="zh-CN"/>
    </w:rPr>
  </w:style>
  <w:style w:type="character" w:styleId="1003" w:customStyle="1">
    <w:name w:val="批注文字 字符"/>
    <w:basedOn w:val="754"/>
    <w:link w:val="760"/>
    <w:uiPriority w:val="99"/>
    <w:qFormat/>
    <w:rPr>
      <w:rFonts w:eastAsiaTheme="minorHAnsi"/>
      <w:sz w:val="22"/>
      <w:szCs w:val="22"/>
      <w:lang w:eastAsia="en-US"/>
    </w:rPr>
  </w:style>
  <w:style w:type="character" w:styleId="1004" w:customStyle="1">
    <w:name w:val="批注主题 字符"/>
    <w:basedOn w:val="1003"/>
    <w:link w:val="801"/>
    <w:uiPriority w:val="99"/>
    <w:qFormat/>
    <w:rPr>
      <w:rFonts w:eastAsiaTheme="minorHAnsi"/>
      <w:b/>
      <w:bCs/>
      <w:sz w:val="22"/>
      <w:szCs w:val="22"/>
      <w:lang w:eastAsia="en-US"/>
    </w:rPr>
  </w:style>
  <w:style w:type="character" w:styleId="1005" w:customStyle="1">
    <w:name w:val="正文文本 字符"/>
    <w:basedOn w:val="754"/>
    <w:link w:val="761"/>
    <w:uiPriority w:val="99"/>
    <w:qFormat/>
    <w:rPr>
      <w:rFonts w:ascii="Verdana" w:hAnsi="Verdana" w:eastAsia="宋体" w:cs="Times New Roman"/>
      <w:sz w:val="24"/>
      <w:szCs w:val="18"/>
    </w:rPr>
  </w:style>
  <w:style w:type="character" w:styleId="1006" w:customStyle="1">
    <w:name w:val="正文文本缩进 字符"/>
    <w:basedOn w:val="754"/>
    <w:link w:val="775"/>
    <w:uiPriority w:val="99"/>
    <w:qFormat/>
    <w:rPr>
      <w:rFonts w:ascii="Times New Roman" w:hAnsi="Times New Roman" w:eastAsia="宋体" w:cs="Times New Roman"/>
      <w:sz w:val="21"/>
      <w:szCs w:val="24"/>
    </w:rPr>
  </w:style>
  <w:style w:type="character" w:styleId="1007" w:customStyle="1">
    <w:name w:val="纯文本 字符"/>
    <w:basedOn w:val="754"/>
    <w:link w:val="779"/>
    <w:uiPriority w:val="99"/>
    <w:qFormat/>
    <w:rPr>
      <w:rFonts w:ascii="宋体" w:hAnsi="Courier New" w:eastAsia="宋体" w:cs="Times New Roman"/>
      <w:sz w:val="21"/>
      <w:szCs w:val="21"/>
    </w:rPr>
  </w:style>
  <w:style w:type="character" w:styleId="1008" w:customStyle="1">
    <w:name w:val="日期 字符"/>
    <w:basedOn w:val="754"/>
    <w:link w:val="781"/>
    <w:uiPriority w:val="99"/>
    <w:qFormat/>
    <w:rPr>
      <w:rFonts w:ascii="Times New Roman" w:hAnsi="Times New Roman" w:eastAsia="仿宋_GB2312" w:cs="Times New Roman"/>
      <w:sz w:val="28"/>
    </w:rPr>
  </w:style>
  <w:style w:type="character" w:styleId="1009" w:customStyle="1">
    <w:name w:val="正文文本缩进 2 字符"/>
    <w:basedOn w:val="754"/>
    <w:link w:val="782"/>
    <w:uiPriority w:val="99"/>
    <w:qFormat/>
    <w:rPr>
      <w:rFonts w:ascii="仿宋_GB2312" w:hAnsi="Times New Roman" w:eastAsia="仿宋_GB2312" w:cs="Times New Roman"/>
      <w:sz w:val="24"/>
      <w:szCs w:val="24"/>
    </w:rPr>
  </w:style>
  <w:style w:type="character" w:styleId="1010" w:customStyle="1">
    <w:name w:val="批注框文本 字符"/>
    <w:basedOn w:val="754"/>
    <w:link w:val="784"/>
    <w:uiPriority w:val="99"/>
    <w:qFormat/>
    <w:rPr>
      <w:rFonts w:ascii="Calibri" w:hAnsi="Calibri" w:eastAsia="宋体" w:cs="Times New Roman"/>
      <w:sz w:val="18"/>
    </w:rPr>
  </w:style>
  <w:style w:type="character" w:styleId="1011" w:customStyle="1">
    <w:name w:val="正文文本缩进 3 字符"/>
    <w:basedOn w:val="754"/>
    <w:link w:val="793"/>
    <w:uiPriority w:val="99"/>
    <w:qFormat/>
    <w:rPr>
      <w:rFonts w:ascii="Times New Roman" w:hAnsi="Times New Roman" w:eastAsia="宋体" w:cs="Times New Roman"/>
      <w:sz w:val="16"/>
      <w:szCs w:val="16"/>
    </w:rPr>
  </w:style>
  <w:style w:type="character" w:styleId="1012" w:customStyle="1">
    <w:name w:val="HTML 预设格式 字符"/>
    <w:basedOn w:val="754"/>
    <w:link w:val="798"/>
    <w:uiPriority w:val="99"/>
    <w:qFormat/>
    <w:rPr>
      <w:rFonts w:ascii="宋体" w:hAnsi="宋体" w:eastAsia="宋体" w:cs="Times New Roman"/>
      <w:sz w:val="24"/>
    </w:rPr>
  </w:style>
  <w:style w:type="character" w:styleId="1013" w:customStyle="1">
    <w:name w:val="题注 字符"/>
    <w:link w:val="758"/>
    <w:uiPriority w:val="99"/>
    <w:qFormat/>
    <w:rPr>
      <w:rFonts w:eastAsiaTheme="minorHAnsi"/>
      <w:b/>
      <w:bCs/>
      <w:color w:val="5b9bd5" w:themeColor="accent1"/>
      <w:sz w:val="18"/>
      <w:szCs w:val="18"/>
      <w:lang w:eastAsia="en-US"/>
      <w14:textFill>
        <w14:solidFill>
          <w14:schemeClr w14:val="accent1"/>
        </w14:solidFill>
      </w14:textFill>
    </w:rPr>
  </w:style>
  <w:style w:type="character" w:styleId="1014" w:customStyle="1">
    <w:name w:val="Comment Text Char"/>
    <w:basedOn w:val="754"/>
    <w:uiPriority w:val="99"/>
    <w:semiHidden/>
    <w:qFormat/>
    <w:rPr>
      <w:rFonts w:ascii="Times New Roman" w:hAnsi="Times New Roman" w:eastAsia="仿宋_GB2312"/>
      <w:sz w:val="32"/>
      <w:szCs w:val="24"/>
    </w:rPr>
  </w:style>
  <w:style w:type="character" w:styleId="1015" w:customStyle="1">
    <w:name w:val="Balloon Text Char"/>
    <w:basedOn w:val="754"/>
    <w:uiPriority w:val="99"/>
    <w:semiHidden/>
    <w:qFormat/>
    <w:rPr>
      <w:rFonts w:ascii="Times New Roman" w:hAnsi="Times New Roman" w:eastAsia="仿宋_GB2312"/>
      <w:sz w:val="0"/>
      <w:szCs w:val="0"/>
    </w:rPr>
  </w:style>
  <w:style w:type="character" w:styleId="1016" w:customStyle="1">
    <w:name w:val="页脚 Char"/>
    <w:uiPriority w:val="99"/>
    <w:qFormat/>
    <w:rPr>
      <w:rFonts w:ascii="Calibri" w:hAnsi="Calibri" w:eastAsia="宋体"/>
      <w:sz w:val="24"/>
    </w:rPr>
  </w:style>
  <w:style w:type="character" w:styleId="1017" w:customStyle="1">
    <w:name w:val="页眉 Char"/>
    <w:uiPriority w:val="99"/>
    <w:qFormat/>
    <w:rPr>
      <w:rFonts w:ascii="Calibri" w:hAnsi="Calibri" w:eastAsia="宋体"/>
      <w:sz w:val="18"/>
    </w:rPr>
  </w:style>
  <w:style w:type="character" w:styleId="1018" w:customStyle="1">
    <w:name w:val="HTML Preformatted Char"/>
    <w:basedOn w:val="754"/>
    <w:uiPriority w:val="99"/>
    <w:semiHidden/>
    <w:qFormat/>
    <w:rPr>
      <w:rFonts w:ascii="Courier New" w:hAnsi="Courier New" w:eastAsia="仿宋_GB2312" w:cs="Courier New"/>
      <w:sz w:val="20"/>
      <w:szCs w:val="20"/>
    </w:rPr>
  </w:style>
  <w:style w:type="character" w:styleId="1019" w:customStyle="1">
    <w:name w:val="Comment Subject Char"/>
    <w:basedOn w:val="1003"/>
    <w:uiPriority w:val="99"/>
    <w:semiHidden/>
    <w:qFormat/>
    <w:rPr>
      <w:rFonts w:ascii="Times New Roman" w:hAnsi="Times New Roman" w:eastAsia="仿宋_GB2312"/>
      <w:b/>
      <w:bCs/>
      <w:sz w:val="32"/>
      <w:szCs w:val="24"/>
      <w:lang w:val="en-US" w:eastAsia="zh-CN"/>
    </w:rPr>
  </w:style>
  <w:style w:type="character" w:styleId="1020" w:customStyle="1">
    <w:name w:val="font11"/>
    <w:uiPriority w:val="99"/>
    <w:qFormat/>
    <w:rPr>
      <w:rFonts w:ascii="宋体" w:hAnsi="宋体" w:eastAsia="宋体"/>
      <w:b/>
      <w:color w:val="000000"/>
      <w:sz w:val="22"/>
      <w:u w:val="none"/>
    </w:rPr>
  </w:style>
  <w:style w:type="character" w:styleId="1021" w:customStyle="1">
    <w:name w:val="font71"/>
    <w:uiPriority w:val="99"/>
    <w:qFormat/>
    <w:rPr>
      <w:rFonts w:ascii="仿宋_GB2312" w:hAnsi="Times New Roman" w:eastAsia="仿宋_GB2312"/>
      <w:color w:val="000000"/>
      <w:sz w:val="24"/>
      <w:u w:val="none"/>
    </w:rPr>
  </w:style>
  <w:style w:type="character" w:styleId="1022" w:customStyle="1">
    <w:name w:val="正文 + 宋体 Char"/>
    <w:link w:val="1023"/>
    <w:uiPriority w:val="99"/>
    <w:qFormat/>
    <w:rPr>
      <w:rFonts w:ascii="Calibri" w:hAnsi="Calibri" w:eastAsia="微软雅黑"/>
    </w:rPr>
  </w:style>
  <w:style w:type="paragraph" w:styleId="1023" w:customStyle="1">
    <w:name w:val="正文 + 宋体"/>
    <w:basedOn w:val="744"/>
    <w:next w:val="744"/>
    <w:link w:val="1022"/>
    <w:uiPriority w:val="99"/>
    <w:qFormat/>
    <w:pPr>
      <w:jc w:val="both"/>
      <w:spacing w:after="0" w:line="240" w:lineRule="auto"/>
      <w:widowControl w:val="off"/>
    </w:pPr>
    <w:rPr>
      <w:rFonts w:ascii="Calibri" w:hAnsi="Calibri" w:eastAsia="微软雅黑"/>
      <w:sz w:val="20"/>
      <w:szCs w:val="20"/>
      <w:lang w:eastAsia="zh-CN"/>
    </w:rPr>
  </w:style>
  <w:style w:type="character" w:styleId="1024" w:customStyle="1">
    <w:name w:val="font31"/>
    <w:basedOn w:val="754"/>
    <w:uiPriority w:val="99"/>
    <w:qFormat/>
    <w:rPr>
      <w:rFonts w:ascii="宋体" w:hAnsi="宋体" w:eastAsia="宋体"/>
      <w:color w:val="000000"/>
      <w:sz w:val="22"/>
      <w:u w:val="none"/>
    </w:rPr>
  </w:style>
  <w:style w:type="character" w:styleId="1025" w:customStyle="1">
    <w:name w:val="font01"/>
    <w:uiPriority w:val="99"/>
    <w:qFormat/>
    <w:rPr>
      <w:rFonts w:ascii="仿宋_GB2312" w:hAnsi="Times New Roman" w:eastAsia="仿宋_GB2312"/>
      <w:color w:val="000000"/>
      <w:sz w:val="24"/>
      <w:u w:val="none"/>
    </w:rPr>
  </w:style>
  <w:style w:type="character" w:styleId="1026" w:customStyle="1">
    <w:name w:val="fontstyle01"/>
    <w:uiPriority w:val="99"/>
    <w:qFormat/>
    <w:rPr>
      <w:rFonts w:ascii="等线" w:hAnsi="等线" w:eastAsia="等线"/>
      <w:color w:val="000000"/>
      <w:sz w:val="22"/>
    </w:rPr>
  </w:style>
  <w:style w:type="character" w:styleId="1027" w:customStyle="1">
    <w:name w:val="font51"/>
    <w:uiPriority w:val="99"/>
    <w:qFormat/>
    <w:rPr>
      <w:rFonts w:ascii="Tahoma" w:hAnsi="Tahoma" w:eastAsia="Times New Roman"/>
      <w:color w:val="000000"/>
      <w:sz w:val="22"/>
      <w:u w:val="none"/>
    </w:rPr>
  </w:style>
  <w:style w:type="character" w:styleId="1028" w:customStyle="1">
    <w:name w:val="font21"/>
    <w:uiPriority w:val="99"/>
    <w:qFormat/>
    <w:rPr>
      <w:rFonts w:ascii="仿宋_GB2312" w:hAnsi="Times New Roman" w:eastAsia="仿宋_GB2312"/>
      <w:b/>
      <w:color w:val="000000"/>
      <w:sz w:val="24"/>
      <w:u w:val="none"/>
    </w:rPr>
  </w:style>
  <w:style w:type="character" w:styleId="1029" w:customStyle="1">
    <w:name w:val="font81"/>
    <w:uiPriority w:val="99"/>
    <w:qFormat/>
    <w:rPr>
      <w:rFonts w:ascii="仿宋_GB2312" w:hAnsi="Times New Roman" w:eastAsia="仿宋_GB2312"/>
      <w:b/>
      <w:color w:val="000000"/>
      <w:sz w:val="24"/>
      <w:u w:val="none"/>
    </w:rPr>
  </w:style>
  <w:style w:type="character" w:styleId="1030" w:customStyle="1">
    <w:name w:val="font91"/>
    <w:uiPriority w:val="99"/>
    <w:qFormat/>
    <w:rPr>
      <w:rFonts w:ascii="仿宋_GB2312" w:hAnsi="Times New Roman" w:eastAsia="仿宋_GB2312"/>
      <w:color w:val="ff0000"/>
      <w:sz w:val="24"/>
      <w:u w:val="none"/>
    </w:rPr>
  </w:style>
  <w:style w:type="paragraph" w:styleId="1031" w:customStyle="1">
    <w:name w:val="+正文"/>
    <w:basedOn w:val="744"/>
    <w:uiPriority w:val="99"/>
    <w:qFormat/>
    <w:pPr>
      <w:ind w:firstLine="200"/>
      <w:jc w:val="both"/>
      <w:spacing w:after="0" w:line="360" w:lineRule="auto"/>
      <w:widowControl w:val="off"/>
    </w:pPr>
    <w:rPr>
      <w:rFonts w:ascii="Times New Roman" w:hAnsi="Times New Roman" w:eastAsia="宋体" w:cs="Times New Roman"/>
      <w:sz w:val="24"/>
      <w:szCs w:val="24"/>
      <w:lang w:eastAsia="zh-CN"/>
    </w:rPr>
  </w:style>
  <w:style w:type="paragraph" w:styleId="1032" w:customStyle="1">
    <w:name w:val="列出段落1"/>
    <w:basedOn w:val="744"/>
    <w:uiPriority w:val="99"/>
    <w:qFormat/>
    <w:pPr>
      <w:ind w:firstLine="420"/>
      <w:jc w:val="both"/>
      <w:spacing w:after="0" w:line="240" w:lineRule="auto"/>
      <w:widowControl w:val="off"/>
    </w:pPr>
    <w:rPr>
      <w:rFonts w:ascii="Times New Roman" w:hAnsi="Times New Roman" w:eastAsia="宋体" w:cs="Times New Roman"/>
      <w:sz w:val="21"/>
      <w:lang w:eastAsia="zh-CN"/>
    </w:rPr>
  </w:style>
  <w:style w:type="paragraph" w:styleId="1033" w:customStyle="1">
    <w:name w:val="正文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34" w:customStyle="1">
    <w:name w:val="无间隔1"/>
    <w:uiPriority w:val="99"/>
    <w:qFormat/>
    <w:pPr>
      <w:jc w:val="both"/>
      <w:widowControl w:val="off"/>
    </w:pPr>
    <w:rPr>
      <w:rFonts w:hint="default" w:ascii="Calibri" w:hAnsi="Calibri" w:eastAsia="仿宋" w:cs="Times New Roman"/>
      <w:sz w:val="24"/>
      <w:szCs w:val="22"/>
      <w:lang w:val="en-US" w:eastAsia="zh-CN" w:bidi="ar-SA"/>
    </w:rPr>
  </w:style>
  <w:style w:type="paragraph" w:styleId="1035" w:customStyle="1">
    <w:name w:val="彩色列表 - 强调文字颜色 11"/>
    <w:basedOn w:val="744"/>
    <w:uiPriority w:val="99"/>
    <w:qFormat/>
    <w:pPr>
      <w:ind w:firstLine="420"/>
      <w:spacing w:after="0" w:line="480" w:lineRule="auto"/>
      <w:widowControl w:val="off"/>
    </w:pPr>
    <w:rPr>
      <w:rFonts w:ascii="Calibri" w:hAnsi="Calibri" w:eastAsia="宋体" w:cs="Times New Roman"/>
      <w:sz w:val="24"/>
      <w:lang w:eastAsia="zh-TW"/>
    </w:rPr>
  </w:style>
  <w:style w:type="paragraph" w:styleId="1036" w:customStyle="1">
    <w:name w:val="Table Paragraph"/>
    <w:basedOn w:val="744"/>
    <w:uiPriority w:val="99"/>
    <w:qFormat/>
    <w:pPr>
      <w:jc w:val="both"/>
      <w:spacing w:after="0" w:line="240" w:lineRule="auto"/>
      <w:widowControl w:val="off"/>
    </w:pPr>
    <w:rPr>
      <w:rFonts w:ascii="宋体" w:hAnsi="宋体" w:eastAsia="宋体" w:cs="宋体"/>
      <w:sz w:val="21"/>
      <w:szCs w:val="24"/>
      <w:lang w:val="zh-CN" w:eastAsia="zh-CN"/>
    </w:rPr>
  </w:style>
  <w:style w:type="paragraph" w:styleId="1037" w:customStyle="1">
    <w:name w:val="彩色列表 - 强调文字颜色 12"/>
    <w:basedOn w:val="744"/>
    <w:uiPriority w:val="99"/>
    <w:qFormat/>
    <w:pPr>
      <w:ind w:firstLine="420"/>
      <w:jc w:val="both"/>
      <w:spacing w:after="0" w:line="240" w:lineRule="auto"/>
      <w:widowControl w:val="off"/>
    </w:pPr>
    <w:rPr>
      <w:rFonts w:ascii="Times New Roman" w:hAnsi="Times New Roman" w:eastAsia="宋体" w:cs="Times New Roman"/>
      <w:sz w:val="21"/>
      <w:szCs w:val="24"/>
      <w:lang w:eastAsia="zh-CN"/>
    </w:rPr>
  </w:style>
  <w:style w:type="paragraph" w:styleId="1038" w:customStyle="1">
    <w:name w:val="HPC正文"/>
    <w:basedOn w:val="744"/>
    <w:uiPriority w:val="99"/>
    <w:qFormat/>
    <w:pPr>
      <w:ind w:firstLine="424"/>
      <w:jc w:val="both"/>
      <w:spacing w:after="0" w:line="360" w:lineRule="auto"/>
      <w:widowControl w:val="off"/>
    </w:pPr>
    <w:rPr>
      <w:rFonts w:ascii="Times New Roman" w:hAnsi="Times New Roman" w:eastAsia="宋体" w:cs="Times New Roman"/>
      <w:sz w:val="21"/>
      <w:szCs w:val="24"/>
      <w:lang w:eastAsia="zh-CN"/>
    </w:rPr>
  </w:style>
  <w:style w:type="paragraph" w:styleId="1039" w:customStyle="1">
    <w:name w:val="默认段落字体 Para Char Char Char Char Char Char Char"/>
    <w:basedOn w:val="744"/>
    <w:uiPriority w:val="99"/>
    <w:qFormat/>
    <w:pPr>
      <w:jc w:val="both"/>
      <w:spacing w:after="0" w:line="240" w:lineRule="auto"/>
      <w:widowControl w:val="off"/>
    </w:pPr>
    <w:rPr>
      <w:rFonts w:ascii="Tahoma" w:hAnsi="Tahoma" w:eastAsia="宋体" w:cs="Times New Roman"/>
      <w:sz w:val="24"/>
      <w:szCs w:val="20"/>
      <w:lang w:eastAsia="zh-CN"/>
    </w:rPr>
  </w:style>
  <w:style w:type="paragraph" w:styleId="1040" w:customStyle="1">
    <w:name w:val="正文缩进HS-正文1"/>
    <w:basedOn w:val="744"/>
    <w:uiPriority w:val="99"/>
    <w:qFormat/>
    <w:pPr>
      <w:ind w:firstLine="480"/>
      <w:jc w:val="both"/>
      <w:spacing w:after="0" w:line="360" w:lineRule="auto"/>
      <w:widowControl w:val="off"/>
    </w:pPr>
    <w:rPr>
      <w:rFonts w:ascii="宋体" w:hAnsi="宋体" w:eastAsia="宋体" w:cs="Times New Roman"/>
      <w:color w:val="000000"/>
      <w:sz w:val="21"/>
      <w:szCs w:val="24"/>
      <w:lang w:eastAsia="zh-CN"/>
    </w:rPr>
  </w:style>
  <w:style w:type="paragraph" w:styleId="1041" w:customStyle="1">
    <w:name w:val="缺省文本"/>
    <w:basedOn w:val="744"/>
    <w:uiPriority w:val="99"/>
    <w:qFormat/>
    <w:pPr>
      <w:spacing w:after="0" w:line="360" w:lineRule="auto"/>
      <w:widowControl w:val="off"/>
    </w:pPr>
    <w:rPr>
      <w:rFonts w:ascii="Arial" w:hAnsi="Arial" w:eastAsia="宋体" w:cs="Times New Roman"/>
      <w:sz w:val="21"/>
      <w:szCs w:val="21"/>
      <w:lang w:eastAsia="zh-CN"/>
    </w:rPr>
  </w:style>
  <w:style w:type="paragraph" w:styleId="1042" w:customStyle="1">
    <w:name w:val="正文-1"/>
    <w:basedOn w:val="744"/>
    <w:uiPriority w:val="99"/>
    <w:qFormat/>
    <w:pPr>
      <w:ind w:firstLine="200"/>
      <w:jc w:val="both"/>
      <w:spacing w:after="0" w:line="360" w:lineRule="auto"/>
      <w:widowControl w:val="off"/>
    </w:pPr>
    <w:rPr>
      <w:rFonts w:ascii="Calibri" w:hAnsi="Calibri" w:eastAsia="宋体" w:cs="Times New Roman"/>
      <w:sz w:val="24"/>
      <w:szCs w:val="24"/>
      <w:lang w:eastAsia="zh-CN"/>
    </w:rPr>
  </w:style>
  <w:style w:type="paragraph" w:styleId="1043" w:customStyle="1">
    <w:name w:val="首行缩进"/>
    <w:basedOn w:val="744"/>
    <w:uiPriority w:val="99"/>
    <w:qFormat/>
    <w:pPr>
      <w:ind w:firstLine="420"/>
      <w:jc w:val="both"/>
      <w:spacing w:after="0" w:line="360" w:lineRule="auto"/>
      <w:widowControl w:val="off"/>
    </w:pPr>
    <w:rPr>
      <w:rFonts w:ascii="Times New Roman" w:hAnsi="Times New Roman" w:eastAsia="宋体" w:cs="Times New Roman"/>
      <w:sz w:val="21"/>
      <w:szCs w:val="24"/>
      <w:lang w:eastAsia="zh-CN"/>
    </w:rPr>
  </w:style>
  <w:style w:type="paragraph" w:styleId="1044" w:customStyle="1">
    <w:name w:val="_Style 2"/>
    <w:basedOn w:val="744"/>
    <w:uiPriority w:val="99"/>
    <w:qFormat/>
    <w:pPr>
      <w:ind w:firstLine="420"/>
      <w:jc w:val="both"/>
      <w:spacing w:after="0" w:line="240" w:lineRule="auto"/>
      <w:widowControl w:val="off"/>
    </w:pPr>
    <w:rPr>
      <w:rFonts w:ascii="Calibri" w:hAnsi="Calibri" w:eastAsia="宋体" w:cs="Times New Roman"/>
      <w:sz w:val="21"/>
      <w:szCs w:val="24"/>
      <w:lang w:eastAsia="zh-CN"/>
    </w:rPr>
  </w:style>
  <w:style w:type="paragraph" w:styleId="1045" w:customStyle="1">
    <w:name w:val="DAS正文"/>
    <w:basedOn w:val="744"/>
    <w:uiPriority w:val="99"/>
    <w:qFormat/>
    <w:pPr>
      <w:ind w:right="181" w:firstLine="480"/>
      <w:jc w:val="both"/>
      <w:spacing w:after="0" w:line="360" w:lineRule="auto"/>
      <w:widowControl w:val="off"/>
    </w:pPr>
    <w:rPr>
      <w:rFonts w:ascii="Verdana" w:hAnsi="Verdana" w:eastAsia="宋体" w:cs="Times New Roman"/>
      <w:sz w:val="21"/>
      <w:szCs w:val="24"/>
      <w:lang w:eastAsia="zh-CN"/>
    </w:rPr>
  </w:style>
  <w:style w:type="paragraph" w:styleId="1046" w:customStyle="1">
    <w:name w:val="普通正文"/>
    <w:basedOn w:val="744"/>
    <w:uiPriority w:val="99"/>
    <w:qFormat/>
    <w:pPr>
      <w:ind w:firstLine="480"/>
      <w:spacing w:after="0" w:line="360" w:lineRule="auto"/>
      <w:widowControl w:val="off"/>
    </w:pPr>
    <w:rPr>
      <w:rFonts w:ascii="Arial" w:hAnsi="Arial" w:eastAsia="宋体" w:cs="Times New Roman"/>
      <w:sz w:val="24"/>
      <w:szCs w:val="24"/>
      <w:lang w:eastAsia="zh-CN"/>
    </w:rPr>
  </w:style>
  <w:style w:type="paragraph" w:styleId="1047" w:customStyle="1">
    <w:name w:val="列出段落2"/>
    <w:basedOn w:val="744"/>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048" w:customStyle="1">
    <w:name w:val="l正文"/>
    <w:basedOn w:val="744"/>
    <w:uiPriority w:val="99"/>
    <w:qFormat/>
    <w:pPr>
      <w:ind w:firstLine="480"/>
      <w:jc w:val="both"/>
      <w:spacing w:after="0" w:line="360" w:lineRule="auto"/>
      <w:widowControl w:val="off"/>
    </w:pPr>
    <w:rPr>
      <w:rFonts w:ascii="宋体" w:hAnsi="宋体" w:eastAsia="宋体" w:cs="Times New Roman"/>
      <w:sz w:val="24"/>
      <w:szCs w:val="24"/>
      <w:lang w:eastAsia="zh-CN"/>
    </w:rPr>
  </w:style>
  <w:style w:type="character" w:styleId="1049" w:customStyle="1">
    <w:name w:val="NormalCharacter"/>
    <w:link w:val="744"/>
    <w:uiPriority w:val="0"/>
    <w:semiHidden/>
    <w:qFormat/>
    <w:rPr>
      <w:rFonts w:hint="default" w:asciiTheme="minorHAnsi" w:hAnsiTheme="minorHAnsi" w:eastAsiaTheme="minorHAnsi" w:cstheme="minorBidi"/>
      <w:sz w:val="22"/>
      <w:szCs w:val="22"/>
      <w:lang w:val="en-US" w:eastAsia="en-US" w:bidi="ar-SA"/>
    </w:rPr>
  </w:style>
  <w:style w:type="paragraph" w:styleId="1050" w:customStyle="1">
    <w:name w:val="x-scope"/>
    <w:basedOn w:val="744"/>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051" w:customStyle="1">
    <w:name w:val="qowt-font16"/>
    <w:basedOn w:val="754"/>
    <w:uiPriority w:val="0"/>
    <w:qFormat/>
  </w:style>
  <w:style w:type="paragraph" w:styleId="1052" w:customStyle="1">
    <w:name w:val="目录 111"/>
    <w:basedOn w:val="766"/>
    <w:next w:val="744"/>
    <w:uiPriority w:val="0"/>
    <w:qFormat/>
    <w:pPr>
      <w:jc w:val="left"/>
      <w:spacing w:after="100" w:line="259" w:lineRule="auto"/>
      <w:widowControl/>
    </w:pPr>
    <w:rPr>
      <w:rFonts w:ascii="Calibri" w:hAnsi="Calibri"/>
      <w:sz w:val="22"/>
      <w:szCs w:val="22"/>
    </w:rPr>
  </w:style>
  <w:style w:type="paragraph" w:styleId="1053" w:customStyle="1">
    <w:name w:val="标题 411"/>
    <w:basedOn w:val="772"/>
    <w:next w:val="770"/>
    <w:uiPriority w:val="0"/>
    <w:qFormat/>
    <w:pPr>
      <w:keepLines/>
      <w:keepNext/>
      <w:spacing w:before="280" w:after="290" w:line="376" w:lineRule="auto"/>
      <w:outlineLvl w:val="3"/>
    </w:pPr>
    <w:rPr>
      <w:rFonts w:ascii="Arial" w:hAnsi="Arial" w:eastAsia="黑体"/>
      <w:b/>
      <w:bCs/>
      <w:sz w:val="28"/>
      <w:szCs w:val="28"/>
    </w:rPr>
  </w:style>
  <w:style w:type="paragraph" w:styleId="1054" w:customStyle="1">
    <w:name w:val="正文缩进11"/>
    <w:basedOn w:val="744"/>
    <w:uiPriority w:val="0"/>
    <w:qFormat/>
    <w:pPr>
      <w:ind w:firstLine="420"/>
    </w:pPr>
    <w:rPr>
      <w:rFonts w:eastAsia="楷体_GB2312"/>
      <w:sz w:val="24"/>
      <w:szCs w:val="20"/>
    </w:rPr>
  </w:style>
  <w:style w:type="paragraph" w:styleId="1055" w:customStyle="1">
    <w:name w:val="页眉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1056" w:customStyle="1">
    <w:name w:val="页脚1"/>
    <w:basedOn w:val="744"/>
    <w:uiPriority w:val="0"/>
    <w:qFormat/>
    <w:pPr>
      <w:jc w:val="left"/>
      <w:tabs>
        <w:tab w:val="center" w:pos="4153" w:leader="none"/>
        <w:tab w:val="right" w:pos="8306" w:leader="none"/>
      </w:tabs>
    </w:pPr>
    <w:rPr>
      <w:sz w:val="18"/>
      <w:szCs w:val="18"/>
    </w:rPr>
  </w:style>
  <w:style w:type="character" w:styleId="1057" w:customStyle="1">
    <w:name w:val="font61"/>
    <w:basedOn w:val="754"/>
    <w:uiPriority w:val="0"/>
    <w:qFormat/>
    <w:rPr>
      <w:rFonts w:hint="eastAsia" w:ascii="宋体" w:hAnsi="宋体" w:eastAsia="宋体" w:cs="宋体"/>
      <w:color w:val="000000"/>
      <w:sz w:val="20"/>
      <w:szCs w:val="20"/>
      <w:u w:val="none"/>
    </w:rPr>
  </w:style>
  <w:style w:type="paragraph" w:styleId="1058"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059"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060" w:customStyle="1">
    <w:name w:val="Normal_19"/>
    <w:uiPriority w:val="0"/>
    <w:qFormat/>
    <w:rPr>
      <w:rFonts w:hint="default" w:ascii="Arial" w:hAnsi="Arial" w:eastAsia="Arial" w:cs="Arial"/>
      <w:color w:val="000000"/>
      <w:sz w:val="21"/>
      <w:szCs w:val="21"/>
      <w:lang w:val="en-US" w:eastAsia="zh-CN" w:bidi="ar-SA"/>
    </w:rPr>
  </w:style>
  <w:style w:type="paragraph" w:styleId="1061" w:customStyle="1">
    <w:name w:val="纯文本1"/>
    <w:basedOn w:val="744"/>
    <w:uiPriority w:val="0"/>
    <w:qFormat/>
    <w:rPr>
      <w:rFonts w:ascii="宋体" w:hAnsi="Courier New"/>
      <w:sz w:val="20"/>
      <w:szCs w:val="21"/>
    </w:rPr>
  </w:style>
  <w:style w:type="paragraph" w:styleId="1062" w:customStyle="1">
    <w:name w:val="Table Text"/>
    <w:basedOn w:val="744"/>
    <w:uiPriority w:val="0"/>
    <w:semiHidden/>
    <w:qFormat/>
    <w:rPr>
      <w:rFonts w:ascii="仿宋" w:hAnsi="仿宋" w:eastAsia="仿宋" w:cs="仿宋"/>
      <w:sz w:val="28"/>
      <w:szCs w:val="28"/>
      <w:lang w:val="en-US" w:eastAsia="en-US" w:bidi="ar-SA"/>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C203BF3B-E39F-4CB2-82B2-F0652CB622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小明明</dc:creator>
  <cp:lastModifiedBy>江怀兵</cp:lastModifiedBy>
  <cp:revision>27</cp:revision>
  <dcterms:created xsi:type="dcterms:W3CDTF">2024-06-11T03:02:00Z</dcterms:created>
  <dcterms:modified xsi:type="dcterms:W3CDTF">2026-06-12T04:14:39Z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2BBE00F36EA84738A22DE1F9A3E07E65_13</vt:lpwstr>
  </property>
  <property fmtid="{D5CDD505-2E9C-101B-9397-08002B2CF9AE}" pid="4" name="KSOTemplateDocerSaveRecord">
    <vt:lpwstr>eyJoZGlkIjoiMWMwOTYyOTk5Zjc0OGY2YzlmODNkMTE2Mjg0ZTI3OTYiLCJ1c2VySWQiOiI1OTMxMDQ1NzAifQ==</vt:lpwstr>
  </property>
</Properties>
</file>