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bookmarkStart w:id="0" w:name="_Toc120614210"/>
      <w:r/>
      <w:bookmarkStart w:id="1" w:name="_Toc523127445"/>
      <w:r/>
      <w:bookmarkStart w:id="2" w:name="_Toc479757206"/>
      <w:r/>
      <w:bookmarkStart w:id="3" w:name="_Toc513029200"/>
      <w:r/>
      <w:bookmarkStart w:id="4" w:name="_Toc16938516"/>
      <w:r/>
      <w:bookmarkStart w:id="5" w:name="_Toc20823272"/>
      <w:r/>
      <w:bookmarkStart w:id="214" w:name="_GoBack"/>
      <w:r/>
      <w:bookmarkEnd w:id="214"/>
      <w:r/>
      <w:r/>
    </w:p>
    <w:p>
      <w:pPr>
        <w:pStyle w:val="920"/>
      </w:pPr>
      <w:r/>
      <w:r/>
    </w:p>
    <w:p>
      <w:pPr>
        <w:pStyle w:val="937"/>
        <w:jc w:val="center"/>
        <w:rPr>
          <w:rFonts w:eastAsia="黑体"/>
          <w:b/>
          <w:bCs/>
          <w:sz w:val="84"/>
        </w:rPr>
      </w:pPr>
      <w:r>
        <w:rPr>
          <w:rFonts w:hint="eastAsia" w:eastAsia="黑体"/>
          <w:b/>
          <w:bCs/>
          <w:sz w:val="84"/>
        </w:rPr>
        <w:t xml:space="preserve">招　标　文　件</w:t>
      </w:r>
      <w:r/>
    </w:p>
    <w:p>
      <w:pPr>
        <w:ind w:left="2997" w:hanging="1506"/>
        <w:rPr>
          <w:b/>
          <w:sz w:val="30"/>
          <w:szCs w:val="30"/>
          <w:u w:val="single"/>
        </w:rPr>
      </w:pPr>
      <w:r>
        <w:rPr>
          <w:rFonts w:hint="eastAsia"/>
          <w:b/>
          <w:sz w:val="30"/>
          <w:szCs w:val="30"/>
        </w:rPr>
        <w:t xml:space="preserve">项目名称：</w:t>
      </w:r>
      <w:r>
        <w:rPr>
          <w:rFonts w:hint="eastAsia"/>
          <w:b/>
          <w:sz w:val="32"/>
          <w:szCs w:val="32"/>
        </w:rPr>
        <w:t xml:space="preserve">南京鼓楼医院肿瘤诊疗规范化智能管理系统（二期） </w:t>
      </w:r>
      <w:r/>
    </w:p>
    <w:p>
      <w:pPr>
        <w:ind w:firstLine="1506"/>
        <w:rPr>
          <w:b/>
          <w:sz w:val="30"/>
          <w:szCs w:val="30"/>
        </w:rPr>
      </w:pPr>
      <w:r>
        <w:rPr>
          <w:rFonts w:hint="eastAsia"/>
          <w:b/>
          <w:sz w:val="30"/>
          <w:szCs w:val="30"/>
        </w:rPr>
        <w:t xml:space="preserve">项目编号：</w:t>
      </w:r>
      <w:r>
        <w:rPr>
          <w:rFonts w:hint="eastAsia"/>
          <w:b/>
          <w:sz w:val="32"/>
          <w:szCs w:val="32"/>
        </w:rPr>
        <w:t xml:space="preserve">JSZC-320100-JZCG-G2026-0197 </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37"/>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2026年7月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pStyle w:val="920"/>
      </w:pPr>
      <w:r/>
      <w:r/>
    </w:p>
    <w:p>
      <w:pPr>
        <w:jc w:val="center"/>
        <w:spacing w:line="480" w:lineRule="auto"/>
        <w:rPr>
          <w:rFonts w:ascii="黑体" w:hAnsi="Arial" w:eastAsia="黑体"/>
          <w:b/>
          <w:color w:val="000000"/>
          <w:sz w:val="44"/>
        </w:rPr>
        <w:outlineLvl w:val="0"/>
      </w:pPr>
      <w:r>
        <w:rPr>
          <w:rFonts w:ascii="黑体" w:hAnsi="Arial" w:eastAsia="黑体"/>
          <w:b/>
          <w:color w:val="000000"/>
          <w:sz w:val="44"/>
        </w:rPr>
      </w:r>
      <w:r/>
    </w:p>
    <w:p>
      <w:pPr>
        <w:jc w:val="center"/>
        <w:spacing w:line="480" w:lineRule="auto"/>
        <w:rPr>
          <w:rFonts w:ascii="黑体" w:hAnsi="Arial" w:eastAsia="黑体"/>
          <w:b/>
          <w:color w:val="000000"/>
          <w:sz w:val="44"/>
        </w:rPr>
        <w:outlineLvl w:val="0"/>
      </w:pPr>
      <w:r>
        <w:rPr>
          <w:rFonts w:ascii="黑体" w:hAnsi="Arial" w:eastAsia="黑体"/>
          <w:b/>
          <w:color w:val="000000"/>
          <w:sz w:val="44"/>
        </w:rPr>
      </w:r>
      <w:r/>
    </w:p>
    <w:p>
      <w:pPr>
        <w:jc w:val="center"/>
        <w:spacing w:line="480" w:lineRule="auto"/>
        <w:rPr>
          <w:rFonts w:ascii="黑体" w:hAnsi="Arial" w:eastAsia="黑体"/>
          <w:b/>
          <w:color w:val="000000"/>
          <w:sz w:val="44"/>
        </w:rPr>
        <w:outlineLvl w:val="0"/>
      </w:pP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投标邀请…………………………………… 2</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投标人须知………………………………… 4</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合同文本……………………………………14</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采购需求……………………………………17</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评标方法与评标标准………………………23</w:t>
      </w:r>
      <w:r/>
    </w:p>
    <w:p>
      <w:pPr>
        <w:numPr>
          <w:ilvl w:val="0"/>
          <w:numId w:val="4"/>
        </w:numPr>
        <w:jc w:val="center"/>
        <w:spacing w:line="960" w:lineRule="auto"/>
        <w:rPr>
          <w:rFonts w:ascii="黑体" w:hAnsi="宋体" w:eastAsia="黑体"/>
          <w:sz w:val="36"/>
        </w:rPr>
        <w:outlineLvl w:val="1"/>
      </w:pPr>
      <w:r>
        <w:rPr>
          <w:rFonts w:hint="eastAsia" w:ascii="黑体" w:hAnsi="宋体" w:eastAsia="黑体"/>
          <w:sz w:val="36"/>
        </w:rPr>
        <w:t xml:space="preserve">投标文件格式………………………………25</w:t>
      </w:r>
      <w:r/>
    </w:p>
    <w:p>
      <w:r/>
      <w:r/>
    </w:p>
    <w:p>
      <w:r/>
      <w:r/>
    </w:p>
    <w:p>
      <w:pPr>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rPr>
          <w:rFonts w:ascii="宋体" w:hAnsi="宋体"/>
          <w:sz w:val="24"/>
          <w:szCs w:val="24"/>
        </w:rPr>
      </w:pPr>
      <w:r/>
      <w:bookmarkStart w:id="6" w:name="_Toc35393621"/>
      <w:r/>
      <w:bookmarkStart w:id="7" w:name="_Toc38985263"/>
      <w:r/>
      <w:bookmarkStart w:id="8" w:name="_Toc28359002"/>
      <w:r/>
      <w:bookmarkStart w:id="9" w:name="_Toc35393790"/>
      <w:r/>
      <w:bookmarkStart w:id="10" w:name="_Toc28359079"/>
      <w:r/>
      <w:bookmarkStart w:id="11" w:name="_Hlk24379207"/>
      <w:r/>
      <w:r/>
    </w:p>
    <w:p>
      <w:pPr>
        <w:ind w:firstLine="480"/>
        <w:rPr>
          <w:rFonts w:ascii="宋体" w:hAnsi="宋体"/>
          <w:sz w:val="24"/>
          <w:szCs w:val="24"/>
        </w:rPr>
      </w:pPr>
      <w:r>
        <w:rPr>
          <w:rFonts w:hint="eastAsia" w:ascii="宋体" w:hAnsi="宋体"/>
          <w:sz w:val="24"/>
          <w:szCs w:val="24"/>
        </w:rPr>
        <w:t xml:space="preserve">受南京鼓楼医院委托，南京市公共资源交易中心（以下简称“交易中心”）就南京鼓楼医院肿瘤诊疗规范化智能管理系统（二期）进行公开招标采购，欢迎符合条件的供应商投标。</w:t>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rPr>
          <w:rFonts w:ascii="宋体" w:hAnsi="宋体"/>
          <w:sz w:val="24"/>
          <w:szCs w:val="24"/>
        </w:rPr>
      </w:pPr>
      <w:r>
        <w:rPr>
          <w:rFonts w:hint="eastAsia" w:ascii="宋体" w:hAnsi="宋体"/>
          <w:sz w:val="24"/>
          <w:szCs w:val="24"/>
        </w:rPr>
        <w:t xml:space="preserve">1.项目编号：JSZC-320100-JZCG-G2026-0197</w:t>
      </w:r>
      <w:r/>
    </w:p>
    <w:p>
      <w:pPr>
        <w:ind w:firstLine="480"/>
        <w:rPr>
          <w:rFonts w:ascii="宋体" w:hAnsi="宋体"/>
          <w:sz w:val="24"/>
          <w:szCs w:val="24"/>
        </w:rPr>
      </w:pPr>
      <w:r>
        <w:rPr>
          <w:rFonts w:hint="eastAsia" w:ascii="宋体" w:hAnsi="宋体"/>
          <w:sz w:val="24"/>
          <w:szCs w:val="24"/>
        </w:rPr>
        <w:t xml:space="preserve">2.项目名称：南京鼓楼医院肿瘤诊疗规范化智能管理系统（二期）</w:t>
      </w:r>
      <w:r/>
    </w:p>
    <w:p>
      <w:pPr>
        <w:ind w:firstLine="480"/>
        <w:rPr>
          <w:rFonts w:ascii="宋体" w:hAnsi="宋体"/>
          <w:sz w:val="24"/>
          <w:szCs w:val="24"/>
        </w:rPr>
      </w:pPr>
      <w:r>
        <w:rPr>
          <w:rFonts w:hint="eastAsia" w:ascii="宋体" w:hAnsi="宋体"/>
          <w:sz w:val="24"/>
          <w:szCs w:val="24"/>
        </w:rPr>
        <w:t xml:space="preserve">3.预算金额：50万元</w:t>
      </w:r>
      <w:r/>
    </w:p>
    <w:p>
      <w:pPr>
        <w:ind w:firstLine="480"/>
        <w:rPr>
          <w:rFonts w:ascii="宋体" w:hAnsi="宋体" w:cs="宋体"/>
          <w:sz w:val="24"/>
          <w:szCs w:val="24"/>
          <w:highlight w:val="yellow"/>
        </w:rPr>
      </w:pPr>
      <w:r>
        <w:rPr>
          <w:rFonts w:hint="eastAsia" w:ascii="宋体" w:hAnsi="宋体"/>
          <w:sz w:val="24"/>
          <w:szCs w:val="24"/>
        </w:rPr>
        <w:t xml:space="preserve">4.最高限价：50万元</w:t>
      </w:r>
      <w:r/>
    </w:p>
    <w:p>
      <w:pPr>
        <w:ind w:firstLine="480"/>
        <w:rPr>
          <w:rFonts w:ascii="宋体" w:hAnsi="宋体"/>
          <w:sz w:val="24"/>
          <w:szCs w:val="24"/>
          <w:u w:val="single"/>
        </w:rPr>
      </w:pPr>
      <w:r>
        <w:rPr>
          <w:rFonts w:hint="eastAsia" w:ascii="宋体" w:hAnsi="宋体"/>
          <w:sz w:val="24"/>
          <w:szCs w:val="24"/>
        </w:rPr>
        <w:t xml:space="preserve">5.采购需求（简介）：南京鼓楼医院于2025年建设了肿瘤诊疗规范化一期的项目，完成了国考肿瘤指标的工作，但对于三级医院评审、临床专科评估、江苏省肿瘤质控指标、肿瘤科研数据分析、费用合理化等方面，还存在以上的需求分析，因此，将通过本次招标在一期基础上进行功能、癌种和指标的扩展提升。</w:t>
      </w:r>
      <w:r>
        <w:rPr>
          <w:rFonts w:hint="eastAsia" w:ascii="宋体" w:hAnsi="宋体" w:cs="宋体"/>
          <w:sz w:val="24"/>
          <w:szCs w:val="24"/>
        </w:rPr>
        <w:t xml:space="preserve">（详细内容见本招标文件第四章） </w:t>
      </w:r>
      <w:r/>
    </w:p>
    <w:p>
      <w:pPr>
        <w:ind w:firstLine="480"/>
        <w:rPr>
          <w:rFonts w:ascii="宋体" w:hAnsi="宋体" w:cs="宋体"/>
          <w:sz w:val="24"/>
          <w:szCs w:val="24"/>
          <w:highlight w:val="yellow"/>
        </w:rPr>
      </w:pPr>
      <w:r>
        <w:rPr>
          <w:rFonts w:hint="eastAsia" w:ascii="宋体" w:hAnsi="宋体"/>
          <w:sz w:val="24"/>
          <w:szCs w:val="24"/>
        </w:rPr>
        <w:t xml:space="preserve">6.合同履行期限：</w:t>
      </w:r>
      <w:r>
        <w:rPr>
          <w:rFonts w:ascii="宋体" w:hAnsi="宋体"/>
          <w:sz w:val="24"/>
          <w:szCs w:val="24"/>
        </w:rPr>
        <w:t xml:space="preserve">60</w:t>
      </w:r>
      <w:r>
        <w:rPr>
          <w:rFonts w:hint="eastAsia" w:ascii="宋体" w:hAnsi="宋体"/>
          <w:sz w:val="24"/>
          <w:szCs w:val="24"/>
        </w:rPr>
        <w:t xml:space="preserve">天（系统开发及验收时间为合同签订后</w:t>
      </w:r>
      <w:r>
        <w:rPr>
          <w:rFonts w:ascii="宋体" w:hAnsi="宋体"/>
          <w:sz w:val="24"/>
          <w:szCs w:val="24"/>
        </w:rPr>
        <w:t xml:space="preserve">60</w:t>
      </w:r>
      <w:r>
        <w:rPr>
          <w:rFonts w:hint="eastAsia" w:ascii="宋体" w:hAnsi="宋体"/>
          <w:sz w:val="24"/>
          <w:szCs w:val="24"/>
        </w:rPr>
        <w:t xml:space="preserve">天内。</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widowControl/>
        <w:rPr>
          <w:rFonts w:ascii="宋体" w:hAnsi="宋体"/>
          <w:sz w:val="24"/>
          <w:szCs w:val="24"/>
        </w:rPr>
      </w:pPr>
      <w:r>
        <w:rPr>
          <w:rFonts w:hint="eastAsia" w:ascii="宋体" w:hAnsi="宋体" w:cs="宋体"/>
          <w:sz w:val="24"/>
          <w:szCs w:val="24"/>
        </w:rPr>
        <w:t xml:space="preserve">8.本项目不接受进口产品投标。</w:t>
      </w:r>
      <w:r/>
    </w:p>
    <w:p>
      <w:pPr>
        <w:pStyle w:val="845"/>
        <w:ind w:firstLine="465"/>
        <w:spacing w:before="145" w:after="145" w:line="240" w:lineRule="auto"/>
        <w:rPr>
          <w:rFonts w:ascii="方正黑体_GBK" w:hAnsi="方正黑体_GBK" w:eastAsia="方正黑体_GBK" w:cs="方正黑体_GBK"/>
          <w:b w:val="0"/>
          <w:bCs w:val="0"/>
          <w:sz w:val="30"/>
          <w:szCs w:val="30"/>
        </w:rPr>
      </w:pPr>
      <w:r/>
      <w:bookmarkStart w:id="12" w:name="_Toc35393622"/>
      <w:r/>
      <w:bookmarkStart w:id="13" w:name="_Toc38985264"/>
      <w:r/>
      <w:bookmarkStart w:id="14" w:name="_Toc28359080"/>
      <w:r/>
      <w:bookmarkStart w:id="15" w:name="_Toc35393791"/>
      <w:r/>
      <w:bookmarkStart w:id="16" w:name="_Toc28359003"/>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38985265"/>
      <w:r/>
      <w:bookmarkStart w:id="18" w:name="_Toc35393623"/>
      <w:r/>
      <w:bookmarkStart w:id="19" w:name="_Toc28359081"/>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p>
    <w:p>
      <w:pPr>
        <w:ind w:firstLine="480"/>
        <w:jc w:val="left"/>
      </w:pPr>
      <w:r>
        <w:rPr>
          <w:rFonts w:hint="eastAsia" w:ascii="宋体" w:hAnsi="宋体"/>
          <w:sz w:val="24"/>
          <w:szCs w:val="24"/>
          <w:lang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rPr>
          <w:rFonts w:ascii="宋体" w:hAnsi="宋体"/>
          <w:sz w:val="24"/>
          <w:szCs w:val="24"/>
        </w:rPr>
      </w:pPr>
      <w:r>
        <w:rPr>
          <w:rFonts w:hint="eastAsia" w:ascii="宋体" w:hAnsi="宋体"/>
          <w:sz w:val="24"/>
          <w:szCs w:val="24"/>
        </w:rPr>
        <w:t xml:space="preserve">（二）本项目的特定资格要求：无</w:t>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rPr>
          <w:rFonts w:ascii="宋体" w:hAnsi="宋体"/>
          <w:bCs/>
          <w:sz w:val="24"/>
          <w:szCs w:val="24"/>
          <w:u w:val="single"/>
        </w:rPr>
      </w:pPr>
      <w:r/>
      <w:bookmarkStart w:id="27" w:name="_Toc35393794"/>
      <w:r/>
      <w:bookmarkStart w:id="28" w:name="_Toc38985267"/>
      <w:r/>
      <w:bookmarkStart w:id="29" w:name="_Toc28359084"/>
      <w:r/>
      <w:bookmarkStart w:id="30" w:name="_Toc35393625"/>
      <w:r/>
      <w:bookmarkStart w:id="31" w:name="_Toc28359007"/>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7</w:t>
      </w:r>
      <w:r>
        <w:rPr>
          <w:rFonts w:hint="eastAsia" w:ascii="宋体" w:hAnsi="宋体"/>
          <w:bCs/>
          <w:color w:val="000000" w:themeColor="text1"/>
          <w:sz w:val="24"/>
          <w:szCs w:val="24"/>
        </w:rPr>
        <w:t xml:space="preserve">月28</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p>
    <w:p>
      <w:pPr>
        <w:ind w:firstLine="480"/>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tabs>
          <w:tab w:val="left" w:pos="900" w:leader="none"/>
        </w:tabs>
        <w:rPr>
          <w:rFonts w:ascii="宋体" w:hAnsi="宋体"/>
          <w:bCs/>
          <w:sz w:val="24"/>
          <w:szCs w:val="24"/>
        </w:rPr>
      </w:pPr>
      <w:r/>
      <w:bookmarkStart w:id="35" w:name="_Toc35393796"/>
      <w:r/>
      <w:bookmarkStart w:id="36" w:name="_Toc28359085"/>
      <w:r/>
      <w:bookmarkStart w:id="37" w:name="_Toc38985269"/>
      <w:r/>
      <w:bookmarkStart w:id="38" w:name="_Toc28359008"/>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rPr>
          <w:rFonts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rPr>
          <w:rFonts w:ascii="宋体" w:hAnsi="宋体"/>
          <w:sz w:val="24"/>
        </w:rPr>
      </w:pPr>
      <w:r>
        <w:rPr>
          <w:rFonts w:hint="eastAsia" w:ascii="宋体" w:hAnsi="宋体"/>
          <w:sz w:val="24"/>
        </w:rPr>
        <w:t xml:space="preserve">采购人《质疑函》收件人：张老师，收件地址：南京市玄武区双龙巷5号4楼410（南京鼓楼医院医用物资采购中心），联系电话：025-83105006</w:t>
      </w:r>
      <w:r/>
    </w:p>
    <w:p>
      <w:pPr>
        <w:ind w:firstLine="480"/>
        <w:widowControl/>
        <w:rPr>
          <w:rFonts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rPr>
        <w:t xml:space="preserve">建邺区</w:t>
      </w:r>
      <w:r>
        <w:rPr>
          <w:rFonts w:hint="eastAsia" w:ascii="宋体" w:hAnsi="宋体"/>
          <w:sz w:val="24"/>
          <w:lang w:val="zh-CN"/>
        </w:rPr>
        <w:t xml:space="preserve">江东中路265号南京市公共资源交易中心北门，联系电话：025-68505926。</w:t>
      </w:r>
      <w:r/>
    </w:p>
    <w:p>
      <w:pPr>
        <w:ind w:firstLine="367"/>
        <w:jc w:val="left"/>
        <w:widowControl/>
      </w:pPr>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1.采购人</w:t>
      </w:r>
      <w:r/>
    </w:p>
    <w:p>
      <w:pPr>
        <w:ind w:firstLine="480"/>
        <w:rPr>
          <w:rFonts w:ascii="宋体" w:hAnsi="宋体"/>
          <w:sz w:val="24"/>
          <w:szCs w:val="24"/>
        </w:rPr>
      </w:pPr>
      <w:r>
        <w:rPr>
          <w:rFonts w:hint="eastAsia" w:ascii="宋体" w:hAnsi="宋体"/>
          <w:sz w:val="24"/>
          <w:szCs w:val="24"/>
        </w:rPr>
        <w:t xml:space="preserve">名  称：南京鼓楼医院          </w:t>
      </w:r>
      <w:r/>
    </w:p>
    <w:p>
      <w:pPr>
        <w:ind w:firstLine="480"/>
        <w:rPr>
          <w:rFonts w:ascii="宋体" w:hAnsi="宋体"/>
          <w:sz w:val="24"/>
          <w:szCs w:val="24"/>
        </w:rPr>
      </w:pPr>
      <w:r>
        <w:rPr>
          <w:rFonts w:hint="eastAsia" w:ascii="宋体" w:hAnsi="宋体"/>
          <w:sz w:val="24"/>
          <w:szCs w:val="24"/>
        </w:rPr>
        <w:t xml:space="preserve">地  址：南京市鼓楼区中山路321号    </w:t>
      </w:r>
      <w:r/>
    </w:p>
    <w:p>
      <w:pPr>
        <w:ind w:firstLine="480"/>
        <w:rPr>
          <w:rFonts w:ascii="宋体" w:hAnsi="宋体"/>
          <w:sz w:val="24"/>
          <w:szCs w:val="24"/>
        </w:rPr>
      </w:pPr>
      <w:r>
        <w:rPr>
          <w:rFonts w:hint="eastAsia" w:ascii="宋体" w:hAnsi="宋体"/>
          <w:sz w:val="24"/>
          <w:szCs w:val="24"/>
        </w:rPr>
        <w:t xml:space="preserve">联系人：张老师 </w:t>
      </w:r>
      <w:r/>
    </w:p>
    <w:p>
      <w:pPr>
        <w:ind w:firstLine="480"/>
        <w:rPr>
          <w:rFonts w:ascii="宋体" w:hAnsi="宋体"/>
          <w:sz w:val="24"/>
          <w:szCs w:val="24"/>
        </w:rPr>
      </w:pPr>
      <w:r>
        <w:rPr>
          <w:rFonts w:hint="eastAsia" w:ascii="宋体" w:hAnsi="宋体"/>
          <w:sz w:val="24"/>
          <w:szCs w:val="24"/>
        </w:rPr>
        <w:t xml:space="preserve">联系电话：025-83105006 </w:t>
      </w:r>
      <w:r>
        <w:rPr>
          <w:rFonts w:hint="eastAsia" w:ascii="宋体" w:hAnsi="宋体"/>
          <w:color w:val="0000ff"/>
          <w:sz w:val="24"/>
          <w:szCs w:val="24"/>
        </w:rPr>
        <w:t xml:space="preserve"> </w:t>
      </w:r>
      <w:bookmarkStart w:id="40" w:name="_Toc28359009"/>
      <w:r/>
      <w:bookmarkStart w:id="41" w:name="_Toc28359086"/>
      <w:r/>
      <w:r/>
    </w:p>
    <w:p>
      <w:pPr>
        <w:ind w:firstLine="480"/>
        <w:rPr>
          <w:rFonts w:ascii="宋体" w:hAnsi="宋体"/>
          <w:sz w:val="24"/>
          <w:szCs w:val="24"/>
        </w:rPr>
      </w:pPr>
      <w:r>
        <w:rPr>
          <w:rFonts w:hint="eastAsia" w:ascii="宋体" w:hAnsi="宋体"/>
          <w:sz w:val="24"/>
          <w:szCs w:val="24"/>
        </w:rPr>
        <w:t xml:space="preserve">2.交易中心</w:t>
      </w:r>
      <w:bookmarkEnd w:id="40"/>
      <w:r/>
      <w:bookmarkEnd w:id="41"/>
      <w:r/>
      <w:r/>
    </w:p>
    <w:p>
      <w:pPr>
        <w:ind w:firstLine="480"/>
        <w:rPr>
          <w:rFonts w:ascii="宋体" w:hAnsi="宋体"/>
          <w:sz w:val="24"/>
          <w:szCs w:val="24"/>
        </w:rPr>
      </w:pPr>
      <w:r>
        <w:rPr>
          <w:rFonts w:hint="eastAsia" w:ascii="宋体" w:hAnsi="宋体"/>
          <w:sz w:val="24"/>
          <w:szCs w:val="24"/>
        </w:rPr>
        <w:t xml:space="preserve">地　址：南京市建邺区江东中路265号  　　　　　　　　　　　</w:t>
      </w:r>
      <w:r/>
    </w:p>
    <w:p>
      <w:pPr>
        <w:ind w:firstLine="480"/>
        <w:rPr>
          <w:rFonts w:ascii="宋体" w:hAnsi="宋体"/>
          <w:sz w:val="24"/>
          <w:szCs w:val="24"/>
        </w:rPr>
      </w:pPr>
      <w:r>
        <w:rPr>
          <w:rFonts w:hint="eastAsia" w:ascii="宋体" w:hAnsi="宋体"/>
          <w:sz w:val="24"/>
          <w:szCs w:val="24"/>
        </w:rPr>
        <w:t xml:space="preserve">联系人：李先生                             </w:t>
      </w:r>
      <w:r/>
    </w:p>
    <w:p>
      <w:pPr>
        <w:ind w:firstLine="480"/>
      </w:pPr>
      <w:r>
        <w:rPr>
          <w:rFonts w:hint="eastAsia" w:ascii="宋体" w:hAnsi="宋体"/>
          <w:sz w:val="24"/>
          <w:szCs w:val="24"/>
        </w:rPr>
        <w:t xml:space="preserve">联系电话：025-68505991</w:t>
      </w:r>
      <w:r>
        <w:rPr>
          <w:rFonts w:hint="eastAsia" w:ascii="宋体" w:hAnsi="宋体"/>
          <w:color w:val="0000ff"/>
          <w:sz w:val="24"/>
          <w:szCs w:val="24"/>
        </w:rPr>
        <w:t xml:space="preserve"> </w:t>
      </w:r>
      <w:bookmarkEnd w:id="1"/>
      <w:r/>
      <w:bookmarkEnd w:id="2"/>
      <w:r/>
      <w:bookmarkEnd w:id="3"/>
      <w:r/>
      <w:bookmarkEnd w:id="4"/>
      <w:r/>
      <w:bookmarkEnd w:id="5"/>
      <w:r/>
      <w:r/>
    </w:p>
    <w:p>
      <w:pPr>
        <w:pStyle w:val="920"/>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bookmarkStart w:id="42" w:name="_Hlt16619350"/>
      <w:r/>
      <w:bookmarkStart w:id="43" w:name="_Toc120614244"/>
      <w:r/>
      <w:bookmarkStart w:id="44" w:name="_Toc20823346"/>
      <w:r/>
      <w:bookmarkStart w:id="45" w:name="_Toc16938590"/>
      <w:r/>
      <w:bookmarkStart w:id="46" w:name="_Toc462564139"/>
      <w:r/>
      <w:bookmarkStart w:id="47" w:name="_Toc479757211"/>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49" w:name="_Toc16938518"/>
      <w:r/>
      <w:bookmarkStart w:id="50" w:name="_Toc513029202"/>
      <w:r/>
      <w:bookmarkStart w:id="51" w:name="_Toc120614213"/>
      <w:r/>
      <w:bookmarkStart w:id="52" w:name="_Toc20823274"/>
      <w:r>
        <w:rPr>
          <w:rFonts w:hint="eastAsia" w:ascii="方正小标宋简体" w:hAnsi="方正小标宋简体" w:eastAsia="方正小标宋简体" w:cs="方正小标宋简体"/>
          <w:color w:val="000000"/>
          <w:sz w:val="36"/>
          <w:szCs w:val="36"/>
          <w:lang w:val="en-US"/>
        </w:rPr>
        <w:t xml:space="preserve">投标人须知</w:t>
      </w:r>
      <w:bookmarkEnd w:id="49"/>
      <w:r/>
      <w:bookmarkEnd w:id="50"/>
      <w:r/>
      <w:bookmarkEnd w:id="51"/>
      <w:r/>
      <w:bookmarkEnd w:id="52"/>
      <w:r/>
      <w:r/>
    </w:p>
    <w:p>
      <w:pPr>
        <w:pStyle w:val="845"/>
        <w:ind w:firstLine="465"/>
        <w:spacing w:before="145" w:after="145" w:line="240" w:lineRule="auto"/>
        <w:rPr>
          <w:rFonts w:ascii="方正黑体_GBK" w:hAnsi="方正黑体_GBK" w:eastAsia="方正黑体_GBK" w:cs="方正黑体_GBK"/>
          <w:b w:val="0"/>
          <w:bCs w:val="0"/>
          <w:sz w:val="30"/>
          <w:szCs w:val="30"/>
        </w:rPr>
      </w:pPr>
      <w:r/>
      <w:bookmarkStart w:id="53" w:name="_Toc120614214"/>
      <w:r/>
      <w:bookmarkStart w:id="54" w:name="_Toc513029203"/>
      <w:r/>
      <w:bookmarkStart w:id="55" w:name="_Toc20823275"/>
      <w:r/>
      <w:bookmarkStart w:id="56" w:name="_Toc16938519"/>
      <w:r/>
      <w:bookmarkStart w:id="57" w:name="_Toc513029242"/>
      <w:r/>
      <w:bookmarkStart w:id="58" w:name="_Toc16938558"/>
      <w:r/>
      <w:bookmarkStart w:id="59" w:name="_Toc20823314"/>
      <w:r/>
      <w:bookmarkStart w:id="60" w:name="_Toc479757207"/>
      <w:r/>
      <w:bookmarkStart w:id="61" w:name="_Toc120614221"/>
      <w:r>
        <w:rPr>
          <w:rFonts w:hint="eastAsia" w:ascii="方正黑体_GBK" w:hAnsi="方正黑体_GBK" w:eastAsia="方正黑体_GBK" w:cs="方正黑体_GBK"/>
          <w:b w:val="0"/>
          <w:bCs w:val="0"/>
          <w:sz w:val="30"/>
          <w:szCs w:val="30"/>
        </w:rPr>
        <w:t xml:space="preserve">一、总则</w:t>
      </w:r>
      <w:bookmarkEnd w:id="53"/>
      <w:r/>
      <w:bookmarkEnd w:id="54"/>
      <w:r/>
      <w:bookmarkEnd w:id="55"/>
      <w:r/>
      <w:bookmarkEnd w:id="56"/>
      <w:r/>
      <w:r/>
    </w:p>
    <w:p>
      <w:pPr>
        <w:pStyle w:val="846"/>
        <w:ind w:firstLine="422"/>
        <w:rPr>
          <w:rFonts w:ascii="方正楷体_GBK" w:hAnsi="方正楷体_GBK" w:eastAsia="方正楷体_GBK" w:cs="方正楷体_GBK"/>
          <w:b/>
          <w:bCs/>
        </w:rPr>
      </w:pPr>
      <w:r/>
      <w:bookmarkStart w:id="62" w:name="_Hlt16619475"/>
      <w:r/>
      <w:bookmarkEnd w:id="62"/>
      <w:r/>
      <w:bookmarkStart w:id="63" w:name="_Toc458694821"/>
      <w:r/>
      <w:bookmarkStart w:id="64" w:name="_Toc20823276"/>
      <w:r/>
      <w:bookmarkStart w:id="65" w:name="_Toc513029204"/>
      <w:r/>
      <w:bookmarkStart w:id="66" w:name="_Toc16938520"/>
      <w:r>
        <w:rPr>
          <w:rFonts w:hint="eastAsia" w:ascii="方正楷体_GBK" w:hAnsi="方正楷体_GBK" w:eastAsia="方正楷体_GBK" w:cs="方正楷体_GBK"/>
          <w:b/>
          <w:bCs/>
        </w:rPr>
        <w:t xml:space="preserve">1</w:t>
      </w:r>
      <w:bookmarkEnd w:id="63"/>
      <w:r>
        <w:rPr>
          <w:rFonts w:hint="eastAsia" w:ascii="方正楷体_GBK" w:hAnsi="方正楷体_GBK" w:eastAsia="方正楷体_GBK" w:cs="方正楷体_GBK"/>
          <w:b/>
          <w:bCs/>
        </w:rPr>
        <w:t xml:space="preserve">.招标方式</w:t>
      </w:r>
      <w:bookmarkEnd w:id="64"/>
      <w:r/>
      <w:bookmarkEnd w:id="65"/>
      <w:r/>
      <w:bookmarkEnd w:id="66"/>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846"/>
        <w:ind w:firstLine="422"/>
        <w:rPr>
          <w:rFonts w:ascii="方正楷体_GBK" w:hAnsi="方正楷体_GBK" w:eastAsia="方正楷体_GBK" w:cs="方正楷体_GBK"/>
          <w:b/>
          <w:bCs/>
        </w:rPr>
      </w:pPr>
      <w:r/>
      <w:bookmarkStart w:id="67" w:name="_Toc20823277"/>
      <w:r/>
      <w:bookmarkStart w:id="68" w:name="_Toc513029205"/>
      <w:r/>
      <w:bookmarkStart w:id="69" w:name="_Toc16938521"/>
      <w:r>
        <w:rPr>
          <w:rFonts w:hint="eastAsia" w:ascii="方正楷体_GBK" w:hAnsi="方正楷体_GBK" w:eastAsia="方正楷体_GBK" w:cs="方正楷体_GBK"/>
          <w:b/>
          <w:bCs/>
        </w:rPr>
        <w:t xml:space="preserve">2.合格的投标人</w:t>
      </w:r>
      <w:bookmarkEnd w:id="67"/>
      <w:r/>
      <w:bookmarkEnd w:id="68"/>
      <w:r/>
      <w:bookmarkEnd w:id="69"/>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846"/>
        <w:ind w:firstLine="422"/>
        <w:rPr>
          <w:rFonts w:ascii="方正楷体_GBK" w:hAnsi="方正楷体_GBK" w:eastAsia="方正楷体_GBK" w:cs="方正楷体_GBK"/>
          <w:b/>
          <w:bCs/>
        </w:rPr>
      </w:pPr>
      <w:r/>
      <w:bookmarkStart w:id="70" w:name="_Toc513029206"/>
      <w:r/>
      <w:bookmarkStart w:id="71" w:name="_Toc16938522"/>
      <w:r/>
      <w:bookmarkStart w:id="72" w:name="_Toc20823278"/>
      <w:r>
        <w:rPr>
          <w:rFonts w:hint="eastAsia" w:ascii="方正楷体_GBK" w:hAnsi="方正楷体_GBK" w:eastAsia="方正楷体_GBK" w:cs="方正楷体_GBK"/>
          <w:b/>
          <w:bCs/>
        </w:rPr>
        <w:t xml:space="preserve">3.适用法律</w:t>
      </w:r>
      <w:bookmarkEnd w:id="70"/>
      <w:r/>
      <w:bookmarkEnd w:id="71"/>
      <w:r/>
      <w:bookmarkEnd w:id="72"/>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846"/>
        <w:ind w:firstLine="422"/>
        <w:rPr>
          <w:rFonts w:ascii="方正楷体_GBK" w:hAnsi="方正楷体_GBK" w:eastAsia="方正楷体_GBK" w:cs="方正楷体_GBK"/>
          <w:b/>
          <w:bCs/>
        </w:rPr>
      </w:pPr>
      <w:r/>
      <w:bookmarkStart w:id="73" w:name="_Toc16938523"/>
      <w:r/>
      <w:bookmarkStart w:id="74" w:name="_Toc462564067"/>
      <w:r/>
      <w:bookmarkStart w:id="75" w:name="_Toc513029207"/>
      <w:r/>
      <w:bookmarkStart w:id="76" w:name="_Toc20823279"/>
      <w:r>
        <w:rPr>
          <w:rFonts w:hint="eastAsia" w:ascii="方正楷体_GBK" w:hAnsi="方正楷体_GBK" w:eastAsia="方正楷体_GBK" w:cs="方正楷体_GBK"/>
          <w:b/>
          <w:bCs/>
        </w:rPr>
        <w:t xml:space="preserve">4.投标费用</w:t>
      </w:r>
      <w:bookmarkEnd w:id="73"/>
      <w:r/>
      <w:bookmarkEnd w:id="74"/>
      <w:r/>
      <w:bookmarkEnd w:id="75"/>
      <w:r/>
      <w:bookmarkEnd w:id="76"/>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846"/>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845"/>
        <w:ind w:firstLine="465"/>
        <w:spacing w:before="145" w:after="145" w:line="240" w:lineRule="auto"/>
        <w:rPr>
          <w:rFonts w:ascii="方正黑体_GBK" w:hAnsi="方正黑体_GBK" w:eastAsia="方正黑体_GBK" w:cs="方正黑体_GBK"/>
          <w:b w:val="0"/>
          <w:bCs w:val="0"/>
          <w:sz w:val="30"/>
          <w:szCs w:val="30"/>
        </w:rPr>
      </w:pPr>
      <w:r/>
      <w:bookmarkStart w:id="77" w:name="_Toc120614215"/>
      <w:r/>
      <w:bookmarkStart w:id="78" w:name="_Toc513029209"/>
      <w:r/>
      <w:bookmarkStart w:id="79" w:name="_Toc20823281"/>
      <w:r/>
      <w:bookmarkStart w:id="80" w:name="_Toc16938525"/>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
    </w:p>
    <w:p>
      <w:pPr>
        <w:pStyle w:val="846"/>
        <w:ind w:firstLine="422"/>
        <w:rPr>
          <w:rFonts w:ascii="方正楷体_GBK" w:hAnsi="方正楷体_GBK" w:eastAsia="方正楷体_GBK" w:cs="方正楷体_GBK"/>
          <w:b/>
          <w:bCs/>
        </w:rPr>
      </w:pPr>
      <w:r/>
      <w:bookmarkStart w:id="81" w:name="_Toc513029210"/>
      <w:r/>
      <w:bookmarkStart w:id="82" w:name="_Toc20823282"/>
      <w:r/>
      <w:bookmarkStart w:id="83" w:name="_Toc16938526"/>
      <w:r>
        <w:rPr>
          <w:rFonts w:hint="eastAsia" w:ascii="方正楷体_GBK" w:hAnsi="方正楷体_GBK" w:eastAsia="方正楷体_GBK" w:cs="方正楷体_GBK"/>
          <w:b/>
          <w:bCs/>
        </w:rPr>
        <w:t xml:space="preserve">6.招标文件构成</w:t>
      </w:r>
      <w:bookmarkEnd w:id="81"/>
      <w:r/>
      <w:bookmarkEnd w:id="82"/>
      <w:r/>
      <w:bookmarkEnd w:id="83"/>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6"/>
        <w:ind w:firstLine="422"/>
        <w:rPr>
          <w:rFonts w:ascii="方正楷体_GBK" w:hAnsi="方正楷体_GBK" w:eastAsia="方正楷体_GBK" w:cs="方正楷体_GBK"/>
          <w:b/>
          <w:bCs/>
        </w:rPr>
      </w:pPr>
      <w:r/>
      <w:bookmarkStart w:id="84" w:name="_Toc462564070"/>
      <w:r/>
      <w:bookmarkStart w:id="85" w:name="_Toc16938527"/>
      <w:r/>
      <w:bookmarkStart w:id="86" w:name="_Toc20823283"/>
      <w:r/>
      <w:bookmarkStart w:id="87" w:name="_Toc513029211"/>
      <w:r>
        <w:rPr>
          <w:rFonts w:hint="eastAsia" w:ascii="方正楷体_GBK" w:hAnsi="方正楷体_GBK" w:eastAsia="方正楷体_GBK" w:cs="方正楷体_GBK"/>
          <w:b/>
          <w:bCs/>
        </w:rPr>
        <w:t xml:space="preserve">7.招标文件的澄清</w:t>
      </w:r>
      <w:bookmarkEnd w:id="84"/>
      <w:r/>
      <w:bookmarkEnd w:id="85"/>
      <w:r/>
      <w:bookmarkEnd w:id="86"/>
      <w:r/>
      <w:bookmarkEnd w:id="87"/>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46"/>
        <w:ind w:firstLine="422"/>
        <w:rPr>
          <w:rFonts w:ascii="方正楷体_GBK" w:hAnsi="方正楷体_GBK" w:eastAsia="方正楷体_GBK" w:cs="方正楷体_GBK"/>
          <w:b/>
          <w:bCs/>
        </w:rPr>
      </w:pPr>
      <w:r/>
      <w:bookmarkStart w:id="88" w:name="_Toc20823284"/>
      <w:r/>
      <w:bookmarkStart w:id="89" w:name="_Toc513029212"/>
      <w:r/>
      <w:bookmarkStart w:id="90" w:name="_Toc16938528"/>
      <w:r/>
      <w:bookmarkStart w:id="91" w:name="_Toc462564071"/>
      <w:r>
        <w:rPr>
          <w:rFonts w:hint="eastAsia" w:ascii="方正楷体_GBK" w:hAnsi="方正楷体_GBK" w:eastAsia="方正楷体_GBK" w:cs="方正楷体_GBK"/>
          <w:b/>
          <w:bCs/>
        </w:rPr>
        <w:t xml:space="preserve">8.招标文件的修改</w:t>
      </w:r>
      <w:bookmarkEnd w:id="88"/>
      <w:r/>
      <w:bookmarkEnd w:id="89"/>
      <w:r/>
      <w:bookmarkEnd w:id="90"/>
      <w:r/>
      <w:bookmarkEnd w:id="91"/>
      <w:r/>
      <w:r/>
    </w:p>
    <w:p>
      <w:pPr>
        <w:ind w:firstLine="420"/>
        <w:rPr>
          <w:rFonts w:ascii="宋体" w:hAnsi="宋体"/>
          <w:sz w:val="24"/>
        </w:rPr>
      </w:pPr>
      <w:r/>
      <w:bookmarkStart w:id="92" w:name="_Toc513029213"/>
      <w:r/>
      <w:bookmarkStart w:id="93" w:name="_Toc20823285"/>
      <w:r/>
      <w:bookmarkStart w:id="94" w:name="_Toc462564072"/>
      <w:r/>
      <w:bookmarkStart w:id="95" w:name="_Toc16938529"/>
      <w:r/>
      <w:bookmarkStart w:id="96"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
    </w:p>
    <w:p>
      <w:pPr>
        <w:pStyle w:val="846"/>
        <w:ind w:firstLine="422"/>
        <w:rPr>
          <w:rFonts w:ascii="方正楷体_GBK" w:hAnsi="方正楷体_GBK" w:eastAsia="方正楷体_GBK" w:cs="方正楷体_GBK"/>
          <w:b/>
          <w:bCs/>
        </w:rPr>
      </w:pPr>
      <w:r/>
      <w:bookmarkStart w:id="97" w:name="_Toc20823286"/>
      <w:r/>
      <w:bookmarkStart w:id="98" w:name="_Toc462564073"/>
      <w:r/>
      <w:bookmarkStart w:id="99" w:name="_Toc16938530"/>
      <w:r/>
      <w:bookmarkStart w:id="100" w:name="_Toc513029214"/>
      <w:r>
        <w:rPr>
          <w:rFonts w:hint="eastAsia" w:ascii="方正楷体_GBK" w:hAnsi="方正楷体_GBK" w:eastAsia="方正楷体_GBK" w:cs="方正楷体_GBK"/>
          <w:b/>
          <w:bCs/>
        </w:rPr>
        <w:t xml:space="preserve">9.投标文件的语言及度量衡单位</w:t>
      </w:r>
      <w:bookmarkEnd w:id="97"/>
      <w:r/>
      <w:bookmarkEnd w:id="98"/>
      <w:r/>
      <w:bookmarkEnd w:id="99"/>
      <w:r/>
      <w:bookmarkEnd w:id="100"/>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846"/>
        <w:ind w:firstLine="422"/>
        <w:rPr>
          <w:rFonts w:ascii="方正楷体_GBK" w:hAnsi="方正楷体_GBK" w:eastAsia="方正楷体_GBK" w:cs="方正楷体_GBK"/>
          <w:b/>
          <w:bCs/>
        </w:rPr>
      </w:pPr>
      <w:r/>
      <w:bookmarkStart w:id="101" w:name="_Toc16938531"/>
      <w:r/>
      <w:bookmarkStart w:id="102" w:name="_Toc462564074"/>
      <w:r/>
      <w:bookmarkStart w:id="103" w:name="_Toc513029215"/>
      <w:r/>
      <w:bookmarkStart w:id="104" w:name="_Toc20823287"/>
      <w:r>
        <w:rPr>
          <w:rFonts w:hint="eastAsia" w:ascii="方正楷体_GBK" w:hAnsi="方正楷体_GBK" w:eastAsia="方正楷体_GBK" w:cs="方正楷体_GBK"/>
          <w:b/>
          <w:bCs/>
        </w:rPr>
        <w:t xml:space="preserve">10.投标文件构成</w:t>
      </w:r>
      <w:bookmarkEnd w:id="101"/>
      <w:r/>
      <w:bookmarkEnd w:id="102"/>
      <w:r/>
      <w:bookmarkEnd w:id="103"/>
      <w:r/>
      <w:bookmarkEnd w:id="104"/>
      <w:r/>
      <w:r/>
    </w:p>
    <w:p>
      <w:pPr>
        <w:ind w:firstLine="420"/>
        <w:rPr>
          <w:rFonts w:ascii="宋体" w:hAnsi="宋体"/>
          <w:sz w:val="24"/>
          <w:szCs w:val="22"/>
        </w:rPr>
      </w:pPr>
      <w:r>
        <w:rPr>
          <w:rFonts w:hint="eastAsia" w:ascii="宋体" w:hAnsi="宋体"/>
          <w:sz w:val="24"/>
          <w:szCs w:val="22"/>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p>
    <w:p>
      <w:pPr>
        <w:pStyle w:val="846"/>
        <w:ind w:firstLine="422"/>
        <w:rPr>
          <w:rFonts w:ascii="方正楷体_GBK" w:hAnsi="方正楷体_GBK" w:eastAsia="方正楷体_GBK" w:cs="方正楷体_GBK"/>
          <w:b/>
          <w:bCs/>
        </w:rPr>
      </w:pPr>
      <w:r/>
      <w:bookmarkStart w:id="105" w:name="_Hlt26954838"/>
      <w:r/>
      <w:bookmarkEnd w:id="105"/>
      <w:r/>
      <w:bookmarkStart w:id="106" w:name="_Hlt26668975"/>
      <w:r/>
      <w:bookmarkEnd w:id="106"/>
      <w:r/>
      <w:bookmarkStart w:id="107" w:name="_Hlt26670360"/>
      <w:r/>
      <w:bookmarkEnd w:id="107"/>
      <w:r/>
      <w:bookmarkStart w:id="108" w:name="_Toc49090509"/>
      <w:r/>
      <w:bookmarkStart w:id="109" w:name="_Toc14577357"/>
      <w:r/>
      <w:bookmarkStart w:id="110" w:name="_Toc513029219"/>
      <w:r/>
      <w:bookmarkStart w:id="111" w:name="_Toc513029216"/>
      <w:r/>
      <w:bookmarkStart w:id="112" w:name="_Toc49090507"/>
      <w:r/>
      <w:bookmarkStart w:id="113" w:name="_Toc14577354"/>
      <w:r>
        <w:rPr>
          <w:rFonts w:hint="eastAsia" w:ascii="方正楷体_GBK" w:hAnsi="方正楷体_GBK" w:eastAsia="方正楷体_GBK" w:cs="方正楷体_GBK"/>
          <w:b/>
          <w:bCs/>
        </w:rPr>
        <w:t xml:space="preserve">11.证明投标人及投标标的符合招标文件规定的文件</w:t>
      </w:r>
      <w:bookmarkEnd w:id="108"/>
      <w:r/>
      <w:bookmarkEnd w:id="109"/>
      <w:r/>
      <w:bookmarkEnd w:id="110"/>
      <w:r/>
      <w:bookmarkEnd w:id="111"/>
      <w:r/>
      <w:bookmarkEnd w:id="112"/>
      <w:r/>
      <w:bookmarkEnd w:id="113"/>
      <w:r/>
      <w:r/>
    </w:p>
    <w:p>
      <w:pPr>
        <w:ind w:firstLine="420"/>
        <w:rPr>
          <w:rFonts w:ascii="宋体" w:hAnsi="宋体"/>
          <w:sz w:val="24"/>
        </w:rPr>
      </w:pPr>
      <w:r/>
      <w:bookmarkStart w:id="114" w:name="_Toc14577355"/>
      <w:r/>
      <w:bookmarkStart w:id="115"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46"/>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12</w:t>
      </w:r>
      <w:bookmarkEnd w:id="114"/>
      <w:r/>
      <w:bookmarkEnd w:id="115"/>
      <w:r>
        <w:rPr>
          <w:rFonts w:hint="eastAsia" w:ascii="方正楷体_GBK" w:hAnsi="方正楷体_GBK" w:eastAsia="方正楷体_GBK" w:cs="方正楷体_GBK"/>
          <w:b/>
          <w:bCs/>
        </w:rPr>
        <w:t xml:space="preserve">.投标分项报价表（如有）</w:t>
      </w:r>
      <w:r/>
    </w:p>
    <w:p>
      <w:pPr>
        <w:ind w:firstLine="420"/>
        <w:rPr>
          <w:rFonts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投标分项报价表。</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46"/>
        <w:ind w:firstLine="422"/>
        <w:rPr>
          <w:rFonts w:ascii="方正楷体_GBK" w:hAnsi="方正楷体_GBK" w:eastAsia="方正楷体_GBK" w:cs="方正楷体_GBK"/>
          <w:b/>
          <w:bCs/>
        </w:rPr>
      </w:pPr>
      <w:r/>
      <w:bookmarkStart w:id="118" w:name="_Hlt26954846"/>
      <w:r/>
      <w:bookmarkEnd w:id="118"/>
      <w:r/>
      <w:bookmarkStart w:id="119" w:name="_Hlt26954848"/>
      <w:r/>
      <w:bookmarkEnd w:id="119"/>
      <w:r/>
      <w:bookmarkStart w:id="120" w:name="_Hlt26670403"/>
      <w:r/>
      <w:bookmarkEnd w:id="120"/>
      <w:r/>
      <w:bookmarkStart w:id="121" w:name="_Hlt26954842"/>
      <w:r/>
      <w:bookmarkEnd w:id="121"/>
      <w:r/>
      <w:bookmarkStart w:id="122" w:name="_Hlt26670425"/>
      <w:r/>
      <w:bookmarkEnd w:id="122"/>
      <w:r/>
      <w:bookmarkStart w:id="123" w:name="_Hlt26954844"/>
      <w:r/>
      <w:bookmarkEnd w:id="123"/>
      <w:r/>
      <w:bookmarkStart w:id="124" w:name="_Hlt26670482"/>
      <w:r/>
      <w:bookmarkEnd w:id="124"/>
      <w:r/>
      <w:bookmarkStart w:id="125" w:name="_Hlt26954731"/>
      <w:r/>
      <w:bookmarkEnd w:id="125"/>
      <w:r/>
      <w:bookmarkStart w:id="126" w:name="_Hlt26670486"/>
      <w:r/>
      <w:bookmarkEnd w:id="126"/>
      <w:r/>
      <w:bookmarkStart w:id="127" w:name="_Hlt26668983"/>
      <w:r/>
      <w:bookmarkEnd w:id="127"/>
      <w:r>
        <w:rPr>
          <w:rFonts w:hint="eastAsia" w:ascii="方正楷体_GBK" w:hAnsi="方正楷体_GBK" w:eastAsia="方正楷体_GBK" w:cs="方正楷体_GBK"/>
          <w:b/>
          <w:bCs/>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46"/>
        <w:ind w:firstLine="422"/>
        <w:rPr>
          <w:rFonts w:ascii="方正楷体_GBK" w:hAnsi="方正楷体_GBK" w:eastAsia="方正楷体_GBK" w:cs="方正楷体_GBK"/>
          <w:b/>
          <w:bCs/>
        </w:rPr>
      </w:pPr>
      <w:r/>
      <w:bookmarkStart w:id="128" w:name="_Toc14577359"/>
      <w:r/>
      <w:bookmarkStart w:id="129" w:name="_Toc49090510"/>
      <w:r>
        <w:rPr>
          <w:rFonts w:hint="eastAsia" w:ascii="方正楷体_GBK" w:hAnsi="方正楷体_GBK" w:eastAsia="方正楷体_GBK" w:cs="方正楷体_GBK"/>
          <w:b/>
          <w:bCs/>
        </w:rPr>
        <w:t xml:space="preserve">14.投标函和开标一览表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bookmarkEnd w:id="128"/>
      <w:r/>
      <w:bookmarkEnd w:id="129"/>
      <w:r/>
      <w:r/>
    </w:p>
    <w:p>
      <w:pPr>
        <w:pStyle w:val="846"/>
        <w:ind w:firstLine="422"/>
        <w:rPr>
          <w:rFonts w:ascii="方正楷体_GBK" w:hAnsi="方正楷体_GBK" w:eastAsia="方正楷体_GBK" w:cs="方正楷体_GBK"/>
          <w:b/>
          <w:bCs/>
        </w:rPr>
      </w:pPr>
      <w:r/>
      <w:bookmarkStart w:id="130" w:name="_Hlt26954850"/>
      <w:r/>
      <w:bookmarkEnd w:id="130"/>
      <w:r/>
      <w:bookmarkStart w:id="131" w:name="_Hlt26954734"/>
      <w:r/>
      <w:bookmarkEnd w:id="131"/>
      <w:r/>
      <w:bookmarkStart w:id="132" w:name="_Hlt26670489"/>
      <w:r/>
      <w:bookmarkEnd w:id="132"/>
      <w:r/>
      <w:bookmarkStart w:id="133" w:name="_Toc14577360"/>
      <w:r/>
      <w:bookmarkStart w:id="134" w:name="_Toc49090511"/>
      <w:r>
        <w:rPr>
          <w:rFonts w:hint="eastAsia" w:ascii="方正楷体_GBK" w:hAnsi="方正楷体_GBK" w:eastAsia="方正楷体_GBK" w:cs="方正楷体_GBK"/>
          <w:b/>
          <w:bCs/>
        </w:rPr>
        <w:t xml:space="preserve">15.投标有效期</w:t>
      </w:r>
      <w:bookmarkEnd w:id="133"/>
      <w:r/>
      <w:bookmarkEnd w:id="134"/>
      <w:r/>
      <w:r/>
    </w:p>
    <w:p>
      <w:pPr>
        <w:ind w:firstLine="420"/>
        <w:rPr>
          <w:rFonts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846"/>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45"/>
        <w:ind w:firstLine="465"/>
        <w:spacing w:before="145" w:after="145" w:line="240" w:lineRule="auto"/>
        <w:rPr>
          <w:rFonts w:ascii="方正黑体_GBK" w:hAnsi="方正黑体_GBK" w:eastAsia="方正黑体_GBK" w:cs="方正黑体_GBK"/>
          <w:b w:val="0"/>
          <w:bCs w:val="0"/>
          <w:sz w:val="30"/>
          <w:szCs w:val="30"/>
        </w:rPr>
      </w:pPr>
      <w:r/>
      <w:bookmarkStart w:id="135" w:name="_Hlt26954852"/>
      <w:r/>
      <w:bookmarkEnd w:id="135"/>
      <w:r/>
      <w:bookmarkStart w:id="136" w:name="_Hlt26954739"/>
      <w:r/>
      <w:bookmarkEnd w:id="136"/>
      <w:r/>
      <w:bookmarkStart w:id="137" w:name="_Toc20823296"/>
      <w:r/>
      <w:bookmarkStart w:id="138" w:name="_Toc16938540"/>
      <w:r/>
      <w:bookmarkStart w:id="139" w:name="_Toc513029224"/>
      <w:r/>
      <w:bookmarkStart w:id="140" w:name="_Toc120614217"/>
      <w:r/>
      <w:bookmarkStart w:id="141" w:name="_Toc513029237"/>
      <w:r/>
      <w:bookmarkStart w:id="142" w:name="_Toc16938553"/>
      <w:r/>
      <w:bookmarkStart w:id="143" w:name="_Toc20823309"/>
      <w:r>
        <w:rPr>
          <w:rFonts w:hint="eastAsia" w:ascii="方正黑体_GBK" w:hAnsi="方正黑体_GBK" w:eastAsia="方正黑体_GBK" w:cs="方正黑体_GBK"/>
          <w:b w:val="0"/>
          <w:bCs w:val="0"/>
          <w:sz w:val="30"/>
          <w:szCs w:val="30"/>
        </w:rPr>
        <w:t xml:space="preserve">四、投标文件的递交</w:t>
      </w:r>
      <w:bookmarkEnd w:id="137"/>
      <w:r/>
      <w:bookmarkEnd w:id="138"/>
      <w:r/>
      <w:bookmarkEnd w:id="139"/>
      <w:r/>
      <w:bookmarkEnd w:id="140"/>
      <w:r/>
      <w:r/>
    </w:p>
    <w:p>
      <w:pPr>
        <w:pStyle w:val="846"/>
        <w:ind w:firstLine="422"/>
        <w:rPr>
          <w:rFonts w:ascii="方正楷体_GBK" w:hAnsi="方正楷体_GBK" w:eastAsia="方正楷体_GBK" w:cs="方正楷体_GBK"/>
          <w:b/>
          <w:bCs/>
        </w:rPr>
      </w:pPr>
      <w:r/>
      <w:bookmarkStart w:id="144" w:name="_Toc16938541"/>
      <w:r/>
      <w:bookmarkStart w:id="145" w:name="_Toc513029225"/>
      <w:r/>
      <w:bookmarkStart w:id="146" w:name="_Toc462564084"/>
      <w:r/>
      <w:bookmarkStart w:id="147" w:name="_Toc20823297"/>
      <w:r>
        <w:rPr>
          <w:rFonts w:hint="eastAsia" w:ascii="方正楷体_GBK" w:hAnsi="方正楷体_GBK" w:eastAsia="方正楷体_GBK" w:cs="方正楷体_GBK"/>
          <w:b/>
          <w:bCs/>
        </w:rPr>
        <w:t xml:space="preserve">17.投标文件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20823298"/>
      <w:r/>
      <w:bookmarkStart w:id="149" w:name="_Toc16938542"/>
      <w:r/>
      <w:bookmarkStart w:id="150" w:name="_Toc513029226"/>
      <w:r/>
      <w:bookmarkEnd w:id="148"/>
      <w:r/>
      <w:bookmarkEnd w:id="149"/>
      <w:r/>
      <w:bookmarkEnd w:id="150"/>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46"/>
        <w:ind w:firstLine="422"/>
        <w:rPr>
          <w:rFonts w:ascii="方正楷体_GBK" w:hAnsi="方正楷体_GBK" w:eastAsia="方正楷体_GBK" w:cs="方正楷体_GBK"/>
          <w:b/>
          <w:bCs/>
        </w:rPr>
      </w:pPr>
      <w:r/>
      <w:bookmarkStart w:id="151" w:name="_Toc16938543"/>
      <w:r/>
      <w:bookmarkStart w:id="152" w:name="_Toc20823299"/>
      <w:r/>
      <w:bookmarkStart w:id="153" w:name="_Toc513029227"/>
      <w:r>
        <w:rPr>
          <w:rFonts w:hint="eastAsia" w:ascii="方正楷体_GBK" w:hAnsi="方正楷体_GBK" w:eastAsia="方正楷体_GBK" w:cs="方正楷体_GBK"/>
          <w:b/>
          <w:bCs/>
        </w:rPr>
        <w:t xml:space="preserve">18.投标文件</w:t>
      </w:r>
      <w:bookmarkEnd w:id="151"/>
      <w:r/>
      <w:bookmarkEnd w:id="152"/>
      <w:r/>
      <w:bookmarkEnd w:id="153"/>
      <w:r>
        <w:rPr>
          <w:rFonts w:hint="eastAsia" w:ascii="方正楷体_GBK" w:hAnsi="方正楷体_GBK" w:eastAsia="方正楷体_GBK" w:cs="方正楷体_GBK"/>
          <w:b/>
          <w:bCs/>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46"/>
        <w:ind w:firstLine="422"/>
        <w:rPr>
          <w:rFonts w:ascii="方正楷体_GBK" w:hAnsi="方正楷体_GBK" w:eastAsia="方正楷体_GBK" w:cs="方正楷体_GBK"/>
          <w:b/>
          <w:bCs/>
        </w:rPr>
      </w:pPr>
      <w:r/>
      <w:bookmarkStart w:id="154" w:name="_Toc513029228"/>
      <w:r/>
      <w:bookmarkStart w:id="155" w:name="_Toc20823300"/>
      <w:r/>
      <w:bookmarkStart w:id="156" w:name="_Toc16938544"/>
      <w:r>
        <w:rPr>
          <w:rFonts w:hint="eastAsia" w:ascii="方正楷体_GBK" w:hAnsi="方正楷体_GBK" w:eastAsia="方正楷体_GBK" w:cs="方正楷体_GBK"/>
          <w:b/>
          <w:bCs/>
        </w:rPr>
        <w:t xml:space="preserve">19.投标文件的撤回和修改</w:t>
      </w:r>
      <w:bookmarkEnd w:id="154"/>
      <w:r/>
      <w:bookmarkEnd w:id="155"/>
      <w:r/>
      <w:bookmarkEnd w:id="156"/>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120614218"/>
      <w:r/>
      <w:bookmarkStart w:id="158" w:name="_Toc513029229"/>
      <w:r/>
      <w:bookmarkStart w:id="159" w:name="_Toc20823301"/>
      <w:r/>
      <w:bookmarkStart w:id="160" w:name="_Toc16938545"/>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
    </w:p>
    <w:p>
      <w:pPr>
        <w:pStyle w:val="846"/>
        <w:ind w:firstLine="422"/>
        <w:rPr>
          <w:rFonts w:ascii="方正楷体_GBK" w:hAnsi="方正楷体_GBK" w:eastAsia="方正楷体_GBK" w:cs="方正楷体_GBK"/>
          <w:b/>
          <w:bCs/>
        </w:rPr>
      </w:pPr>
      <w:r/>
      <w:bookmarkStart w:id="161" w:name="_Toc513029230"/>
      <w:r/>
      <w:bookmarkStart w:id="162" w:name="_Toc16938546"/>
      <w:r/>
      <w:bookmarkStart w:id="163" w:name="_Toc20823302"/>
      <w:r>
        <w:rPr>
          <w:rFonts w:hint="eastAsia" w:ascii="方正楷体_GBK" w:hAnsi="方正楷体_GBK" w:eastAsia="方正楷体_GBK" w:cs="方正楷体_GBK"/>
          <w:b/>
          <w:bCs/>
        </w:rPr>
        <w:t xml:space="preserve">20.开标</w:t>
      </w:r>
      <w:bookmarkEnd w:id="161"/>
      <w:r/>
      <w:bookmarkEnd w:id="162"/>
      <w:r/>
      <w:bookmarkEnd w:id="163"/>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846"/>
        <w:ind w:firstLine="422"/>
        <w:rPr>
          <w:rFonts w:ascii="方正楷体_GBK" w:hAnsi="方正楷体_GBK" w:eastAsia="方正楷体_GBK" w:cs="方正楷体_GBK"/>
          <w:b/>
          <w:bCs/>
        </w:rPr>
      </w:pPr>
      <w:r/>
      <w:bookmarkStart w:id="164" w:name="_Toc20823303"/>
      <w:r/>
      <w:bookmarkStart w:id="165" w:name="_Toc513029231"/>
      <w:r/>
      <w:bookmarkStart w:id="166" w:name="_Toc16938547"/>
      <w:r>
        <w:rPr>
          <w:rFonts w:hint="eastAsia" w:ascii="方正楷体_GBK" w:hAnsi="方正楷体_GBK" w:eastAsia="方正楷体_GBK" w:cs="方正楷体_GBK"/>
          <w:b/>
          <w:bCs/>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46"/>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22.评标过程的保密与公正</w:t>
      </w:r>
      <w:bookmarkEnd w:id="164"/>
      <w:r/>
      <w:bookmarkEnd w:id="165"/>
      <w:r/>
      <w:bookmarkEnd w:id="166"/>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46"/>
        <w:ind w:firstLine="422"/>
        <w:rPr>
          <w:rFonts w:ascii="方正楷体_GBK" w:hAnsi="方正楷体_GBK" w:eastAsia="方正楷体_GBK" w:cs="方正楷体_GBK"/>
          <w:b/>
          <w:bCs/>
        </w:rPr>
      </w:pPr>
      <w:r/>
      <w:bookmarkStart w:id="167" w:name="_Toc513029232"/>
      <w:r/>
      <w:bookmarkStart w:id="168" w:name="_Toc16938548"/>
      <w:r/>
      <w:bookmarkStart w:id="169" w:name="_Toc20823304"/>
      <w:r>
        <w:rPr>
          <w:rFonts w:hint="eastAsia" w:ascii="方正楷体_GBK" w:hAnsi="方正楷体_GBK" w:eastAsia="方正楷体_GBK" w:cs="方正楷体_GBK"/>
          <w:b/>
          <w:bCs/>
        </w:rPr>
        <w:t xml:space="preserve">23.投标文件的澄清</w:t>
      </w:r>
      <w:bookmarkEnd w:id="167"/>
      <w:r/>
      <w:bookmarkEnd w:id="168"/>
      <w:r/>
      <w:bookmarkEnd w:id="169"/>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846"/>
        <w:ind w:firstLine="422"/>
        <w:rPr>
          <w:rFonts w:ascii="方正楷体_GBK" w:hAnsi="方正楷体_GBK" w:eastAsia="方正楷体_GBK" w:cs="方正楷体_GBK"/>
          <w:b/>
          <w:bCs/>
        </w:rPr>
      </w:pPr>
      <w:r/>
      <w:bookmarkStart w:id="170" w:name="_Toc513029233"/>
      <w:r/>
      <w:bookmarkStart w:id="171" w:name="_Toc16938549"/>
      <w:r/>
      <w:bookmarkStart w:id="172" w:name="_Toc20823305"/>
      <w:r>
        <w:rPr>
          <w:rFonts w:hint="eastAsia" w:ascii="方正楷体_GBK" w:hAnsi="方正楷体_GBK" w:eastAsia="方正楷体_GBK" w:cs="方正楷体_GBK"/>
          <w:b/>
          <w:bCs/>
        </w:rPr>
        <w:t xml:space="preserve">24.投标文件的</w:t>
      </w:r>
      <w:bookmarkEnd w:id="170"/>
      <w:r/>
      <w:bookmarkEnd w:id="171"/>
      <w:r/>
      <w:bookmarkEnd w:id="172"/>
      <w:r>
        <w:rPr>
          <w:rFonts w:hint="eastAsia" w:ascii="方正楷体_GBK" w:hAnsi="方正楷体_GBK" w:eastAsia="方正楷体_GBK" w:cs="方正楷体_GBK"/>
          <w:b/>
          <w:bCs/>
        </w:rPr>
        <w:t xml:space="preserve">审查</w:t>
      </w:r>
      <w:r/>
    </w:p>
    <w:p>
      <w:pPr>
        <w:ind w:firstLine="420"/>
        <w:rPr>
          <w:rFonts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73" w:name="_Toc513029234"/>
      <w:r/>
      <w:bookmarkStart w:id="174" w:name="_Toc16938550"/>
      <w:r/>
      <w:bookmarkStart w:id="175" w:name="_Toc20823306"/>
      <w:r>
        <w:rPr>
          <w:rFonts w:hint="eastAsia" w:ascii="宋体" w:hAnsi="宋体"/>
          <w:sz w:val="24"/>
          <w:lang w:val="zh-CN"/>
        </w:rPr>
        <w:t xml:space="preserve">24.6 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24.7 异常低价审查</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46"/>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rPr>
        <w:t xml:space="preserve">5.无效投标和废标</w:t>
      </w:r>
      <w:r/>
    </w:p>
    <w:p>
      <w:pPr>
        <w:ind w:firstLine="420"/>
        <w:rPr>
          <w:rFonts w:ascii="宋体" w:hAnsi="宋体"/>
          <w:sz w:val="24"/>
          <w:lang w:val="zh-CN"/>
        </w:rPr>
      </w:pPr>
      <w:r/>
      <w:bookmarkStart w:id="176" w:name="_Toc20823307"/>
      <w:r/>
      <w:bookmarkStart w:id="177" w:name="_Toc513029235"/>
      <w:r/>
      <w:bookmarkStart w:id="178"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bookmarkEnd w:id="141"/>
      <w:r/>
      <w:bookmarkEnd w:id="142"/>
      <w:r/>
      <w:bookmarkEnd w:id="143"/>
      <w:r/>
      <w:bookmarkEnd w:id="176"/>
      <w:r/>
      <w:bookmarkEnd w:id="177"/>
      <w:r/>
      <w:bookmarkEnd w:id="178"/>
      <w:r/>
      <w:r/>
    </w:p>
    <w:p>
      <w:pPr>
        <w:pStyle w:val="845"/>
        <w:ind w:firstLine="465"/>
        <w:spacing w:before="145" w:after="145" w:line="240" w:lineRule="auto"/>
        <w:rPr>
          <w:rFonts w:ascii="方正黑体_GBK" w:hAnsi="方正黑体_GBK" w:eastAsia="方正黑体_GBK" w:cs="方正黑体_GBK"/>
          <w:b w:val="0"/>
          <w:bCs w:val="0"/>
          <w:sz w:val="30"/>
          <w:szCs w:val="30"/>
        </w:rPr>
      </w:pPr>
      <w:r/>
      <w:bookmarkStart w:id="179" w:name="_Toc120614219"/>
      <w:r>
        <w:rPr>
          <w:rFonts w:hint="eastAsia" w:ascii="方正黑体_GBK" w:hAnsi="方正黑体_GBK" w:eastAsia="方正黑体_GBK" w:cs="方正黑体_GBK"/>
          <w:b w:val="0"/>
          <w:bCs w:val="0"/>
          <w:sz w:val="30"/>
          <w:szCs w:val="30"/>
        </w:rPr>
        <w:t xml:space="preserve">六、定标</w:t>
      </w:r>
      <w:bookmarkEnd w:id="179"/>
      <w:r/>
      <w:r/>
    </w:p>
    <w:p>
      <w:pPr>
        <w:pStyle w:val="846"/>
        <w:ind w:firstLine="422"/>
        <w:rPr>
          <w:rFonts w:ascii="方正楷体_GBK" w:hAnsi="方正楷体_GBK" w:eastAsia="方正楷体_GBK" w:cs="方正楷体_GBK"/>
          <w:b/>
          <w:bCs/>
        </w:rPr>
      </w:pPr>
      <w:r/>
      <w:bookmarkStart w:id="180" w:name="_Toc513029238"/>
      <w:r/>
      <w:bookmarkStart w:id="181" w:name="_Toc20823310"/>
      <w:r/>
      <w:bookmarkStart w:id="182" w:name="_Toc16938554"/>
      <w:r>
        <w:rPr>
          <w:rFonts w:hint="eastAsia" w:ascii="方正楷体_GBK" w:hAnsi="方正楷体_GBK" w:eastAsia="方正楷体_GBK" w:cs="方正楷体_GBK"/>
          <w:b/>
          <w:bCs/>
        </w:rPr>
        <w:t xml:space="preserve">2</w:t>
      </w:r>
      <w:bookmarkEnd w:id="180"/>
      <w:r>
        <w:rPr>
          <w:rFonts w:hint="eastAsia" w:ascii="方正楷体_GBK" w:hAnsi="方正楷体_GBK" w:eastAsia="方正楷体_GBK" w:cs="方正楷体_GBK"/>
          <w:b/>
          <w:bCs/>
        </w:rPr>
        <w:t xml:space="preserve">6.确定</w:t>
      </w:r>
      <w:bookmarkEnd w:id="181"/>
      <w:r/>
      <w:bookmarkEnd w:id="182"/>
      <w:r>
        <w:rPr>
          <w:rFonts w:hint="eastAsia" w:ascii="方正楷体_GBK" w:hAnsi="方正楷体_GBK" w:eastAsia="方正楷体_GBK" w:cs="方正楷体_GBK"/>
          <w:b/>
          <w:bCs/>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26.4.1 提供虚假材料谋取中标。</w:t>
      </w:r>
      <w:r/>
    </w:p>
    <w:p>
      <w:pPr>
        <w:ind w:firstLine="420"/>
        <w:rPr>
          <w:rFonts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26.4.5 采取不正当手段诋毁、排挤其他供应商。</w:t>
      </w:r>
      <w:r/>
    </w:p>
    <w:p>
      <w:pPr>
        <w:ind w:firstLine="420"/>
        <w:rPr>
          <w:rFonts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83"/>
      <w:r/>
      <w:r/>
    </w:p>
    <w:p>
      <w:pPr>
        <w:pStyle w:val="846"/>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45"/>
        <w:ind w:firstLine="465"/>
        <w:spacing w:before="145" w:after="145" w:line="240" w:lineRule="auto"/>
        <w:rPr>
          <w:rFonts w:ascii="方正黑体_GBK" w:hAnsi="方正黑体_GBK" w:eastAsia="方正黑体_GBK" w:cs="方正黑体_GBK"/>
          <w:b w:val="0"/>
          <w:bCs w:val="0"/>
          <w:sz w:val="30"/>
          <w:szCs w:val="30"/>
        </w:rPr>
      </w:pPr>
      <w:r/>
      <w:bookmarkStart w:id="184" w:name="_Toc120614220"/>
      <w:r/>
      <w:bookmarkStart w:id="185" w:name="_Toc20823308"/>
      <w:r/>
      <w:bookmarkStart w:id="186" w:name="_Toc513029236"/>
      <w:r/>
      <w:bookmarkStart w:id="187" w:name="_Toc16938552"/>
      <w:r>
        <w:rPr>
          <w:rFonts w:hint="eastAsia" w:ascii="方正黑体_GBK" w:hAnsi="方正黑体_GBK" w:eastAsia="方正黑体_GBK" w:cs="方正黑体_GBK"/>
          <w:b w:val="0"/>
          <w:bCs w:val="0"/>
          <w:sz w:val="30"/>
          <w:szCs w:val="30"/>
        </w:rPr>
        <w:t xml:space="preserve">七、授予合同</w:t>
      </w:r>
      <w:bookmarkEnd w:id="184"/>
      <w:r/>
      <w:bookmarkEnd w:id="185"/>
      <w:r/>
      <w:bookmarkEnd w:id="186"/>
      <w:r/>
      <w:bookmarkEnd w:id="187"/>
      <w:r/>
      <w:r/>
    </w:p>
    <w:p>
      <w:pPr>
        <w:pStyle w:val="846"/>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28.签订合同</w:t>
      </w:r>
      <w:r/>
    </w:p>
    <w:p>
      <w:pPr>
        <w:ind w:firstLine="420"/>
        <w:rPr>
          <w:rFonts w:ascii="宋体" w:hAnsi="宋体"/>
          <w:sz w:val="24"/>
          <w:lang w:val="zh-CN"/>
        </w:rPr>
      </w:pPr>
      <w:r>
        <w:rPr>
          <w:rFonts w:hint="eastAsia" w:ascii="宋体" w:hAnsi="宋体"/>
          <w:sz w:val="24"/>
          <w:lang w:val="zh-CN"/>
        </w:rPr>
        <w:t xml:space="preserve">28.l 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lang w:val="zh-CN"/>
        </w:rPr>
        <w:t xml:space="preserve">28.2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46"/>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846"/>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6"/>
        <w:ind w:firstLine="420"/>
        <w:rPr>
          <w:rFonts w:ascii="方正楷体_GBK" w:hAnsi="方正楷体_GBK" w:eastAsia="方正楷体_GBK" w:cs="方正楷体_GBK"/>
          <w:lang w:val="zh-CN"/>
        </w:rPr>
      </w:pPr>
      <w:r>
        <w:rPr>
          <w:rFonts w:hint="eastAsia" w:ascii="方正楷体_GBK" w:hAnsi="方正楷体_GBK" w:eastAsia="方正楷体_GBK" w:cs="方正楷体_GBK"/>
          <w:color w:val="auto"/>
          <w:lang w:val="zh-CN"/>
        </w:rPr>
        <w:t xml:space="preserve">38.促进中小企业发展</w:t>
      </w:r>
      <w:r/>
    </w:p>
    <w:p>
      <w:pPr>
        <w:ind w:firstLine="420"/>
        <w:rPr>
          <w:rFonts w:ascii="宋体" w:hAnsi="宋体"/>
          <w:sz w:val="24"/>
          <w:lang w:val="zh-CN"/>
        </w:rPr>
      </w:pPr>
      <w:r>
        <w:rPr>
          <w:rFonts w:hint="eastAsia" w:ascii="宋体" w:hAnsi="宋体"/>
          <w:sz w:val="24"/>
        </w:rPr>
        <w:t xml:space="preserve">38.1 </w:t>
      </w:r>
      <w:r>
        <w:rPr>
          <w:rFonts w:hint="eastAsia" w:ascii="宋体" w:hAnsi="宋体"/>
          <w:sz w:val="24"/>
          <w:lang w:val="zh-CN"/>
        </w:rPr>
        <w:t xml:space="preserve">本项目服务由中小企业承接的，投标供应商享受中小企业扶持政策。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46"/>
        <w:ind w:firstLine="420"/>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46"/>
        <w:ind w:firstLine="420"/>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6"/>
        <w:ind w:firstLine="420"/>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46"/>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42.</w:t>
      </w:r>
      <w:r>
        <w:rPr>
          <w:rFonts w:hint="eastAsia" w:ascii="方正楷体_GBK" w:hAnsi="方正楷体_GBK" w:eastAsia="方正楷体_GBK" w:cs="方正楷体_GBK"/>
          <w:b/>
          <w:bCs/>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5"/>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szCs w:val="22"/>
          <w:lang w:val="zh-CN"/>
        </w:rPr>
      </w:pPr>
      <w:r>
        <w:rPr>
          <w:rFonts w:hint="eastAsia" w:ascii="宋体" w:hAnsi="宋体"/>
          <w:sz w:val="24"/>
          <w:lang w:val="zh-CN"/>
        </w:rPr>
        <w:t xml:space="preserve">43.2</w:t>
      </w:r>
      <w:r>
        <w:rPr>
          <w:rFonts w:hint="eastAsia" w:ascii="宋体" w:hAnsi="宋体"/>
          <w:sz w:val="24"/>
          <w:szCs w:val="22"/>
          <w:lang w:val="zh-CN"/>
        </w:rPr>
        <w:t xml:space="preserve">本国产品应当符合以下条件：</w:t>
      </w:r>
      <w:r/>
    </w:p>
    <w:p>
      <w:pPr>
        <w:ind w:firstLine="420"/>
        <w:rPr>
          <w:rFonts w:ascii="宋体" w:hAnsi="宋体"/>
          <w:sz w:val="24"/>
          <w:szCs w:val="22"/>
          <w:lang w:val="zh-CN"/>
        </w:rPr>
      </w:pPr>
      <w:r>
        <w:rPr>
          <w:rFonts w:hint="eastAsia" w:ascii="宋体" w:hAnsi="宋体"/>
          <w:sz w:val="24"/>
          <w:szCs w:val="22"/>
          <w:lang w:val="zh-CN"/>
        </w:rPr>
        <w:t xml:space="preserve">（1）在中国境内生产</w:t>
      </w:r>
      <w:r/>
    </w:p>
    <w:p>
      <w:pPr>
        <w:ind w:firstLine="420"/>
        <w:rPr>
          <w:rFonts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szCs w:val="22"/>
          <w:lang w:val="zh-CN"/>
        </w:rPr>
      </w:pPr>
      <w:r>
        <w:rPr>
          <w:rFonts w:hint="eastAsia" w:ascii="宋体" w:hAnsi="宋体"/>
          <w:sz w:val="24"/>
          <w:szCs w:val="22"/>
          <w:lang w:val="zh-CN"/>
        </w:rPr>
        <w:t xml:space="preserve">（3）特定产品的关键组件、关键工序符合相关要求</w:t>
      </w:r>
      <w:r/>
    </w:p>
    <w:p>
      <w:pPr>
        <w:ind w:firstLine="420"/>
        <w:rPr>
          <w:rFonts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pPr>
      <w:r>
        <w:rPr>
          <w:rFonts w:hint="eastAsia" w:ascii="宋体" w:hAnsi="宋体"/>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46"/>
        <w:ind w:firstLine="422"/>
        <w:rPr>
          <w:rFonts w:ascii="方正楷体_GBK" w:hAnsi="方正楷体_GBK" w:eastAsia="方正楷体_GBK" w:cs="方正楷体_GBK"/>
          <w:b/>
          <w:bCs/>
          <w:lang w:val="zh-CN"/>
        </w:rPr>
      </w:pPr>
      <w:r>
        <w:rPr>
          <w:rFonts w:hint="eastAsia" w:ascii="方正楷体_GBK" w:hAnsi="方正楷体_GBK" w:eastAsia="方正楷体_GBK" w:cs="方正楷体_GBK"/>
          <w:b/>
          <w:bCs/>
          <w:lang w:val="zh-CN"/>
        </w:rPr>
        <w:t xml:space="preserve">4</w:t>
      </w:r>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zh-CN"/>
        </w:rPr>
        <w:t xml:space="preserve">.数据交易说明</w:t>
      </w:r>
      <w:r/>
    </w:p>
    <w:p>
      <w:pPr>
        <w:ind w:firstLine="420"/>
        <w:rPr>
          <w:rFonts w:ascii="宋体" w:hAnsi="宋体"/>
          <w:sz w:val="24"/>
          <w:lang w:val="zh-CN"/>
        </w:rPr>
      </w:pPr>
      <w:r>
        <w:rPr>
          <w:rFonts w:hint="eastAsia" w:ascii="宋体" w:hAnsi="宋体"/>
          <w:sz w:val="24"/>
          <w:lang w:val="zh-CN"/>
        </w:rPr>
        <w:t xml:space="preserve"> 数据交易标的包括数据产品、数据服务、数据工具。</w:t>
      </w:r>
      <w:r/>
    </w:p>
    <w:p>
      <w:pPr>
        <w:ind w:firstLine="420"/>
        <w:rPr>
          <w:rFonts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p>
    <w:p>
      <w:pPr>
        <w:ind w:firstLine="420"/>
        <w:rPr>
          <w:rFonts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rPr>
          <w:rFonts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920"/>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p>
    <w:p>
      <w:pPr>
        <w:jc w:val="center"/>
        <w:spacing w:before="145" w:after="145"/>
        <w:rPr>
          <w:rFonts w:ascii="宋体" w:hAnsi="宋体"/>
          <w:bCs/>
          <w:color w:val="000000"/>
          <w:sz w:val="24"/>
        </w:rPr>
      </w:pPr>
      <w:r/>
      <w:bookmarkStart w:id="188" w:name="_Toc20823315"/>
      <w:r/>
      <w:bookmarkStart w:id="189" w:name="_Toc16938559"/>
      <w:r/>
      <w:bookmarkStart w:id="190" w:name="_Toc513029243"/>
      <w:r>
        <w:rPr>
          <w:rFonts w:hint="eastAsia" w:ascii="宋体" w:hAnsi="宋体"/>
          <w:bCs/>
          <w:color w:val="000000"/>
          <w:sz w:val="24"/>
        </w:rPr>
        <w:t xml:space="preserve">以下为本项目的合同条款，合同双方不得对招标、投标文件内容作实质性修改。</w:t>
      </w:r>
      <w:r/>
    </w:p>
    <w:p>
      <w:pPr>
        <w:pStyle w:val="920"/>
        <w:ind w:left="0"/>
      </w:pPr>
      <w:r/>
      <w:r/>
    </w:p>
    <w:p>
      <w:pPr>
        <w:jc w:val="center"/>
        <w:spacing w:before="145" w:after="145"/>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66"/>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10</w:t>
      </w:r>
      <w:r>
        <w:rPr>
          <w:rFonts w:hint="eastAsia" w:ascii="宋体" w:hAnsi="宋体" w:cs="Courier New"/>
          <w:sz w:val="24"/>
          <w:szCs w:val="24"/>
        </w:rPr>
        <w:t xml:space="preserve">%缴纳履约保证金。合同履行结束后，甲方按以下约定退还：</w:t>
      </w:r>
      <w:r/>
    </w:p>
    <w:p>
      <w:pPr>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866"/>
        <w:rPr>
          <w:rFonts w:hAnsi="宋体"/>
          <w:sz w:val="24"/>
          <w:szCs w:val="24"/>
        </w:rPr>
        <w:outlineLvl w:val="3"/>
      </w:pPr>
      <w:r>
        <w:rPr>
          <w:rFonts w:hint="eastAsia" w:hAnsi="宋体"/>
          <w:sz w:val="24"/>
          <w:szCs w:val="24"/>
        </w:rPr>
        <w:t xml:space="preserve">8.1 合同款项的支付方式及时间</w:t>
      </w:r>
      <w:r/>
    </w:p>
    <w:p>
      <w:pPr>
        <w:rPr>
          <w:rFonts w:ascii="宋体" w:hAnsi="宋体" w:cs="Courier New"/>
          <w:sz w:val="24"/>
          <w:szCs w:val="24"/>
        </w:rPr>
      </w:pPr>
      <w:r>
        <w:rPr>
          <w:rFonts w:hint="eastAsia" w:ascii="宋体" w:hAnsi="宋体" w:cs="Courier New"/>
          <w:sz w:val="24"/>
          <w:szCs w:val="24"/>
        </w:rPr>
        <w:t xml:space="preserve">8.1.1 合同签订且服务团队人员到位后，甲方支付合同总价款的30%作为预付款。</w:t>
      </w:r>
      <w:r/>
    </w:p>
    <w:p>
      <w:pPr>
        <w:pStyle w:val="866"/>
        <w:spacing w:line="264" w:lineRule="auto"/>
        <w:rPr>
          <w:rFonts w:hAnsi="宋体"/>
          <w:sz w:val="24"/>
          <w:szCs w:val="24"/>
        </w:rPr>
      </w:pPr>
      <w:r>
        <w:rPr>
          <w:rFonts w:hint="eastAsia" w:hAnsi="宋体"/>
          <w:sz w:val="24"/>
          <w:szCs w:val="24"/>
        </w:rPr>
        <w:t xml:space="preserve">8.1.2 系统开发完成并验收合格后，甲方支付合同总价款的70%。</w:t>
      </w:r>
      <w:r/>
    </w:p>
    <w:p>
      <w:pPr>
        <w:pStyle w:val="866"/>
        <w:spacing w:line="264" w:lineRule="auto"/>
      </w:pPr>
      <w:r>
        <w:rPr>
          <w:rFonts w:hint="eastAsia" w:hAnsi="宋体"/>
          <w:sz w:val="24"/>
          <w:szCs w:val="24"/>
        </w:rPr>
        <w:t xml:space="preserve">8.1.3 满足合同约定支付条件的，甲方收到乙方发票后10个工作日内，将资金支付到合同约定的乙方账户。 </w:t>
      </w:r>
      <w:r/>
    </w:p>
    <w:p>
      <w:pPr>
        <w:pStyle w:val="866"/>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宋体" w:hAnsi="宋体" w:cs="Courier New"/>
          <w:color w:val="0000ff"/>
          <w:sz w:val="24"/>
          <w:szCs w:val="24"/>
          <w:lang w:val="zh-CN"/>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）：遵循国家、行业及地方现行的规范和标准。</w:t>
      </w:r>
      <w:r/>
    </w:p>
    <w:p>
      <w:pPr>
        <w:rPr>
          <w:rFonts w:ascii="宋体" w:hAnsi="宋体" w:cs="Courier New"/>
          <w:color w:val="000000"/>
          <w:sz w:val="24"/>
          <w:szCs w:val="24"/>
        </w:rPr>
      </w:pPr>
      <w:r>
        <w:rPr>
          <w:rFonts w:hint="eastAsia" w:ascii="宋体" w:hAnsi="宋体" w:cs="Courier New"/>
          <w:color w:val="000000"/>
          <w:sz w:val="24"/>
          <w:szCs w:val="24"/>
        </w:rPr>
        <w:t xml:space="preserve">十一、违约责任</w:t>
      </w:r>
      <w:r/>
    </w:p>
    <w:p>
      <w:pPr>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 </w:t>
      </w:r>
      <w:r>
        <w:rPr>
          <w:rFonts w:hint="eastAsia" w:ascii="宋体" w:hAnsi="宋体" w:cs="Courier New"/>
          <w:color w:val="000000"/>
          <w:sz w:val="24"/>
          <w:szCs w:val="24"/>
          <w:u w:val="single"/>
        </w:rPr>
        <w:t xml:space="preserve">0.1%</w:t>
      </w:r>
      <w:r>
        <w:rPr>
          <w:rFonts w:hint="eastAsia" w:ascii="宋体" w:hAnsi="宋体" w:cs="Courier New"/>
          <w:color w:val="000000"/>
          <w:sz w:val="24"/>
          <w:szCs w:val="24"/>
        </w:rPr>
        <w:t xml:space="preserve">  的违约金。</w:t>
      </w:r>
      <w:r/>
    </w:p>
    <w:p>
      <w:pPr>
        <w:rPr>
          <w:rFonts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0.01%</w:t>
      </w:r>
      <w:r>
        <w:rPr>
          <w:rFonts w:hint="eastAsia" w:ascii="宋体" w:hAnsi="宋体" w:cs="Courier New"/>
          <w:color w:val="000000"/>
          <w:sz w:val="24"/>
          <w:szCs w:val="24"/>
        </w:rPr>
        <w:t xml:space="preserve">向乙方支付违约金。</w:t>
      </w:r>
      <w:r/>
    </w:p>
    <w:p>
      <w:pPr>
        <w:rPr>
          <w:rFonts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0.1% </w:t>
      </w:r>
      <w:r>
        <w:rPr>
          <w:rFonts w:hint="eastAsia" w:ascii="宋体" w:hAnsi="宋体" w:cs="Courier New"/>
          <w:color w:val="000000"/>
          <w:sz w:val="24"/>
          <w:szCs w:val="24"/>
        </w:rPr>
        <w:t xml:space="preserve"> 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rPr>
          <w:rFonts w:hint="eastAsia" w:ascii="宋体" w:hAnsi="宋体" w:cs="Courier New"/>
          <w:sz w:val="24"/>
          <w:szCs w:val="24"/>
        </w:rPr>
        <w:t xml:space="preserve">。</w:t>
      </w:r>
      <w:r/>
    </w:p>
    <w:p>
      <w:pPr>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866"/>
        <w:spacing w:before="120" w:after="120"/>
        <w:rPr>
          <w:rFonts w:hAnsi="宋体"/>
          <w:sz w:val="24"/>
          <w:szCs w:val="24"/>
        </w:rPr>
      </w:pPr>
      <w:r>
        <w:rPr>
          <w:rFonts w:hint="eastAsia" w:hAnsi="宋体"/>
          <w:sz w:val="24"/>
          <w:szCs w:val="24"/>
        </w:rPr>
        <w:t xml:space="preserve">  </w:t>
      </w:r>
      <w:bookmarkEnd w:id="188"/>
      <w:r/>
      <w:bookmarkEnd w:id="189"/>
      <w:r/>
      <w:bookmarkEnd w:id="190"/>
      <w:r/>
      <w:r/>
    </w:p>
    <w:p>
      <w:pPr>
        <w:pStyle w:val="866"/>
        <w:ind w:firstLine="240"/>
        <w:spacing w:before="120" w:after="120"/>
        <w:rPr>
          <w:rFonts w:hAnsi="宋体"/>
          <w:sz w:val="24"/>
          <w:szCs w:val="24"/>
        </w:rPr>
      </w:pPr>
      <w:r>
        <w:rPr>
          <w:rFonts w:hint="eastAsia" w:hAnsi="宋体"/>
          <w:sz w:val="24"/>
          <w:szCs w:val="24"/>
        </w:rPr>
        <w:t xml:space="preserve">甲方：（公章）                       乙方：（公章） </w:t>
      </w:r>
      <w:r/>
    </w:p>
    <w:p>
      <w:pPr>
        <w:pStyle w:val="866"/>
        <w:spacing w:before="120" w:after="120"/>
        <w:rPr>
          <w:rFonts w:hAnsi="宋体"/>
          <w:sz w:val="24"/>
          <w:szCs w:val="24"/>
        </w:rPr>
      </w:pPr>
      <w:r>
        <w:rPr>
          <w:rFonts w:hint="eastAsia" w:hAnsi="宋体"/>
          <w:sz w:val="24"/>
          <w:szCs w:val="24"/>
        </w:rPr>
        <w:t xml:space="preserve">  地址：                               地址： </w:t>
      </w:r>
      <w:r/>
    </w:p>
    <w:p>
      <w:pPr>
        <w:pStyle w:val="866"/>
        <w:spacing w:before="120" w:after="120"/>
        <w:rPr>
          <w:rFonts w:hAnsi="宋体"/>
          <w:sz w:val="24"/>
          <w:szCs w:val="24"/>
        </w:rPr>
      </w:pPr>
      <w:r>
        <w:rPr>
          <w:rFonts w:hint="eastAsia" w:hAnsi="宋体"/>
          <w:sz w:val="24"/>
          <w:szCs w:val="24"/>
        </w:rPr>
        <w:t xml:space="preserve">  法定代表人或授权代表：               法定代表人或授权代表：</w:t>
      </w:r>
      <w:r/>
    </w:p>
    <w:p>
      <w:pPr>
        <w:pStyle w:val="866"/>
        <w:ind w:firstLine="240"/>
        <w:spacing w:before="120" w:after="120"/>
        <w:rPr>
          <w:rFonts w:hAnsi="宋体"/>
          <w:sz w:val="24"/>
          <w:szCs w:val="24"/>
        </w:rPr>
      </w:pPr>
      <w:r>
        <w:rPr>
          <w:rFonts w:hint="eastAsia" w:hAnsi="宋体"/>
          <w:sz w:val="24"/>
          <w:szCs w:val="24"/>
        </w:rPr>
        <w:t xml:space="preserve">联系电话：                           联系电话：          </w:t>
      </w:r>
      <w:r/>
    </w:p>
    <w:p>
      <w:pPr>
        <w:pStyle w:val="866"/>
        <w:spacing w:before="120" w:after="120"/>
        <w:rPr>
          <w:rFonts w:hAnsi="宋体"/>
          <w:sz w:val="24"/>
          <w:szCs w:val="24"/>
        </w:rPr>
      </w:pPr>
      <w:r>
        <w:rPr>
          <w:rFonts w:hint="eastAsia" w:hAnsi="宋体"/>
          <w:sz w:val="24"/>
          <w:szCs w:val="24"/>
        </w:rPr>
        <w:t xml:space="preserve">                                          </w:t>
      </w:r>
      <w:r/>
    </w:p>
    <w:p>
      <w:pPr>
        <w:pStyle w:val="866"/>
        <w:ind w:firstLine="5280"/>
        <w:spacing w:before="120" w:after="120"/>
        <w:rPr>
          <w:rFonts w:hAnsi="宋体"/>
          <w:sz w:val="24"/>
          <w:szCs w:val="24"/>
        </w:rPr>
      </w:pPr>
      <w:r>
        <w:rPr>
          <w:rFonts w:hint="eastAsia" w:hAnsi="宋体"/>
          <w:sz w:val="24"/>
          <w:szCs w:val="24"/>
        </w:rPr>
        <w:t xml:space="preserve">签订日期：</w:t>
      </w:r>
      <w:r/>
    </w:p>
    <w:p>
      <w:pPr>
        <w:pStyle w:val="866"/>
        <w:ind w:firstLine="4800"/>
        <w:spacing w:before="120" w:after="120"/>
        <w:rPr>
          <w:rFonts w:hAnsi="宋体"/>
          <w:sz w:val="24"/>
          <w:szCs w:val="24"/>
        </w:rPr>
      </w:pPr>
      <w:r>
        <w:rPr>
          <w:rFonts w:hAnsi="宋体"/>
          <w:sz w:val="24"/>
          <w:szCs w:val="24"/>
        </w:rPr>
      </w:r>
      <w:r/>
    </w:p>
    <w:p>
      <w:pPr>
        <w:jc w:val="center"/>
        <w:spacing w:before="145" w:after="145"/>
        <w:rPr>
          <w:rFonts w:ascii="宋体" w:hAnsi="宋体"/>
          <w:b/>
          <w:sz w:val="30"/>
        </w:rPr>
      </w:pPr>
      <w:r>
        <w:rPr>
          <w:rFonts w:ascii="宋体" w:hAnsi="宋体"/>
          <w:b/>
          <w:sz w:val="30"/>
        </w:rPr>
      </w:r>
      <w:r/>
    </w:p>
    <w:p>
      <w:pPr>
        <w:jc w:val="center"/>
        <w:spacing w:before="145" w:after="145"/>
        <w:rPr>
          <w:rFonts w:ascii="宋体" w:hAnsi="宋体"/>
          <w:b/>
          <w:sz w:val="30"/>
        </w:rPr>
        <w:outlineLvl w:val="1"/>
      </w:pPr>
      <w:r>
        <w:rPr>
          <w:rFonts w:hint="eastAsia" w:ascii="宋体" w:hAnsi="宋体"/>
          <w:b/>
          <w:sz w:val="30"/>
        </w:rPr>
        <w:t xml:space="preserve">《*******合同》补充协议（合同附件）</w:t>
      </w:r>
      <w:r/>
    </w:p>
    <w:p>
      <w:pPr>
        <w:pStyle w:val="866"/>
        <w:ind w:firstLine="840"/>
        <w:jc w:val="left"/>
        <w:spacing w:before="120" w:after="120"/>
        <w:rPr>
          <w:rFonts w:hAnsi="宋体"/>
          <w:color w:val="000000"/>
          <w:sz w:val="24"/>
          <w:szCs w:val="24"/>
        </w:rPr>
      </w:pPr>
      <w:r>
        <w:rPr>
          <w:rFonts w:hint="eastAsia" w:hAnsi="宋体"/>
          <w:color w:val="000000"/>
          <w:sz w:val="24"/>
          <w:szCs w:val="24"/>
        </w:rPr>
        <w:t xml:space="preserve">如遇招标文件及合同未约定事项，双方可友好协商签订补充协议。</w:t>
      </w:r>
      <w:r/>
    </w:p>
    <w:p>
      <w:pPr>
        <w:pStyle w:val="866"/>
        <w:ind w:firstLine="840"/>
        <w:jc w:val="left"/>
        <w:spacing w:before="120" w:after="120"/>
        <w:rPr>
          <w:rFonts w:hAnsi="宋体"/>
          <w:color w:val="000000"/>
          <w:sz w:val="24"/>
          <w:szCs w:val="24"/>
        </w:rPr>
      </w:pPr>
      <w:r>
        <w:rPr>
          <w:rFonts w:hAnsi="宋体"/>
          <w:color w:val="000000"/>
          <w:sz w:val="24"/>
          <w:szCs w:val="24"/>
        </w:rPr>
      </w:r>
      <w:r/>
    </w:p>
    <w:p>
      <w:pPr>
        <w:pStyle w:val="966"/>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w:t>
      </w:r>
      <w:bookmarkEnd w:id="42"/>
      <w:r>
        <w:rPr>
          <w:rFonts w:hint="eastAsia" w:ascii="方正小标宋简体" w:hAnsi="方正小标宋简体" w:eastAsia="方正小标宋简体" w:cs="方正小标宋简体"/>
          <w:color w:val="000000"/>
          <w:sz w:val="36"/>
          <w:szCs w:val="36"/>
        </w:rPr>
        <w:t xml:space="preserve">四章  采购需求</w:t>
      </w:r>
      <w:bookmarkEnd w:id="43"/>
      <w:r/>
      <w:bookmarkEnd w:id="44"/>
      <w:r/>
      <w:bookmarkEnd w:id="45"/>
      <w:r/>
      <w:r/>
    </w:p>
    <w:p>
      <w:pPr>
        <w:ind w:firstLine="480"/>
        <w:spacing w:line="264" w:lineRule="auto"/>
        <w:rPr>
          <w:rFonts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ascii="宋体" w:hAnsi="宋体"/>
          <w:sz w:val="24"/>
          <w:szCs w:val="24"/>
        </w:rPr>
      </w:pPr>
      <w:r>
        <w:rPr>
          <w:rFonts w:hint="eastAsia" w:ascii="宋体" w:hAnsi="宋体"/>
          <w:sz w:val="24"/>
          <w:szCs w:val="24"/>
        </w:rPr>
        <w:t xml:space="preserve">（一）项目背景</w:t>
      </w:r>
      <w:r/>
    </w:p>
    <w:p>
      <w:pPr>
        <w:ind w:firstLine="480"/>
        <w:spacing w:line="264" w:lineRule="auto"/>
        <w:rPr>
          <w:rFonts w:ascii="宋体" w:hAnsi="宋体"/>
          <w:sz w:val="24"/>
          <w:szCs w:val="24"/>
        </w:rPr>
      </w:pPr>
      <w:r>
        <w:rPr>
          <w:rFonts w:hint="eastAsia" w:ascii="宋体" w:hAnsi="宋体"/>
          <w:sz w:val="24"/>
          <w:szCs w:val="24"/>
        </w:rPr>
        <w:t xml:space="preserve">2023年10月份，国家卫生健康委发布《健康中国行动—癌症防治行动实施方案（2023—2030年）》，方案中明确规定：实施癌症诊疗规范化行动，探索建立规范化诊治辅助系统，利用信息化手段对医生诊治方式进行实时规范。在费用合理化使用方面，国家医保局发布《DRG/DIP支付方式改革三年行动计划》等要求，提出持续推进符合不同医疗服务特点的支付方式改革，让医院有动力合理用药、控制成本，实行精益化管理。</w:t>
      </w:r>
      <w:r/>
    </w:p>
    <w:p>
      <w:pPr>
        <w:ind w:firstLine="480"/>
        <w:spacing w:line="264" w:lineRule="auto"/>
        <w:rPr>
          <w:rFonts w:ascii="宋体" w:hAnsi="宋体"/>
          <w:sz w:val="24"/>
          <w:szCs w:val="24"/>
        </w:rPr>
      </w:pPr>
      <w:r>
        <w:rPr>
          <w:rFonts w:hint="eastAsia" w:ascii="宋体" w:hAnsi="宋体"/>
          <w:sz w:val="24"/>
          <w:szCs w:val="24"/>
        </w:rPr>
        <w:t xml:space="preserve">2023年3月，2023年3月，《国家卫生健康委办公厅关于印发肿瘤专业医疗质量控制指标（2023年版）的通知》，通知要求各医疗机构需针对10个常见癌种积极开展各单病种规范诊疗质控工作，涉及114条指标，充分利用相关医疗质量控制指标持续进行监测评价，且已纳入三级医院评审。</w:t>
      </w:r>
      <w:r/>
    </w:p>
    <w:p>
      <w:pPr>
        <w:ind w:firstLine="480"/>
        <w:spacing w:line="264" w:lineRule="auto"/>
        <w:rPr>
          <w:rFonts w:ascii="宋体" w:hAnsi="宋体"/>
          <w:sz w:val="24"/>
          <w:szCs w:val="24"/>
        </w:rPr>
      </w:pPr>
      <w:r>
        <w:rPr>
          <w:rFonts w:hint="eastAsia" w:ascii="宋体" w:hAnsi="宋体"/>
          <w:sz w:val="24"/>
          <w:szCs w:val="24"/>
        </w:rPr>
        <w:t xml:space="preserve">2024年3月，国家卫健委相继发布《国家三级公立医院绩效考核操作手册(2024版)》，其中2024版国考中明确将肿瘤相关指标（10个癌种42个指标）纳入了绩效考核，作为医疗质量考核的核心环节。同时，国家卫健委发布《关于印发国家临床专科能力评估办法（试行）的通知》，通知明确计划启动第一周期（2024年-2027年）国家临床能力专科建设评估工作，一期纳入肺癌、乳腺癌、肝癌。以上数据来源均是国家抗肿瘤药物临床应用监测网平台。</w:t>
      </w:r>
      <w:r/>
    </w:p>
    <w:p>
      <w:pPr>
        <w:ind w:firstLine="480"/>
        <w:spacing w:line="264" w:lineRule="auto"/>
        <w:rPr>
          <w:rFonts w:ascii="宋体" w:hAnsi="宋体"/>
          <w:sz w:val="24"/>
          <w:szCs w:val="24"/>
        </w:rPr>
      </w:pPr>
      <w:r>
        <w:rPr>
          <w:rFonts w:hint="eastAsia" w:ascii="宋体" w:hAnsi="宋体"/>
          <w:sz w:val="24"/>
          <w:szCs w:val="24"/>
        </w:rPr>
        <w:t xml:space="preserve">2025年6月，国家卫生健康委医政司发布了《三级医院评审标准（2025年版）》，《标准》在重点专业质量控制指标中增加了2023年发布的《肿瘤专业医疗质量控制指标》(国卫办医政函(2023]66)，并强调取消现场检查，通过信息化手段加强指标数据收集、分析与反馈，指导医院持续改进医疗质量。</w:t>
      </w:r>
      <w:r/>
    </w:p>
    <w:p>
      <w:pPr>
        <w:ind w:firstLine="480"/>
        <w:spacing w:line="264" w:lineRule="auto"/>
        <w:rPr>
          <w:rFonts w:ascii="宋体" w:hAnsi="宋体"/>
          <w:sz w:val="24"/>
          <w:szCs w:val="24"/>
        </w:rPr>
      </w:pPr>
      <w:r>
        <w:rPr>
          <w:rFonts w:hint="eastAsia" w:ascii="宋体" w:hAnsi="宋体"/>
          <w:sz w:val="24"/>
          <w:szCs w:val="24"/>
        </w:rPr>
        <w:t xml:space="preserve">同时，江苏省肿瘤质控中心要求各级医院定期提交肿瘤质控数据，我院当前缺乏相关系统的支撑，只能采用手工方式上报，存在上报效率低、数据准确性不够等问题。</w:t>
      </w:r>
      <w:r/>
    </w:p>
    <w:p>
      <w:pPr>
        <w:ind w:firstLine="480"/>
        <w:spacing w:line="264" w:lineRule="auto"/>
        <w:rPr>
          <w:rFonts w:ascii="宋体" w:hAnsi="宋体"/>
          <w:sz w:val="24"/>
          <w:szCs w:val="24"/>
        </w:rPr>
      </w:pPr>
      <w:r>
        <w:rPr>
          <w:rFonts w:hint="eastAsia" w:ascii="宋体" w:hAnsi="宋体"/>
          <w:sz w:val="24"/>
          <w:szCs w:val="24"/>
        </w:rPr>
        <w:t xml:space="preserve">我院于2025年建设了肿瘤诊疗规范化一期的项目，完成了国考肿瘤指标的工作，但对于三级医院评审、临床专科评估、江苏省肿瘤质控指标、肿瘤科研数据分析、费用合理化等方面，还存在以上的需求分析，因此，亟需在一期基础上进行功能、癌种和指标的扩展提升，要求具有数据分析及医疗相关专业的团队进行专业的实施及升级。</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264" w:lineRule="auto"/>
        <w:rPr>
          <w:rFonts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964"/>
        <w:tblW w:w="5143"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55"/>
        <w:gridCol w:w="754"/>
        <w:gridCol w:w="716"/>
        <w:gridCol w:w="1052"/>
        <w:gridCol w:w="1064"/>
        <w:gridCol w:w="1323"/>
        <w:gridCol w:w="1094"/>
        <w:gridCol w:w="1128"/>
        <w:gridCol w:w="1005"/>
      </w:tblGrid>
      <w:tr>
        <w:trPr>
          <w:trHeight w:val="470"/>
        </w:trPr>
        <w:tc>
          <w:tcPr>
            <w:tcBorders>
              <w:top w:val="single" w:color="000000" w:sz="2" w:space="0"/>
              <w:bottom w:val="single" w:color="000000" w:sz="2" w:space="0"/>
            </w:tcBorders>
            <w:tcW w:w="274"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674"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单价上限</w:t>
            </w:r>
            <w:r/>
          </w:p>
          <w:p>
            <w:pPr>
              <w:jc w:val="center"/>
              <w:spacing w:line="264" w:lineRule="auto"/>
              <w:rPr>
                <w:rFonts w:ascii="宋体" w:hAnsi="宋体"/>
                <w:bCs/>
                <w:sz w:val="24"/>
                <w:szCs w:val="24"/>
              </w:rPr>
            </w:pPr>
            <w:r>
              <w:rPr>
                <w:rFonts w:hint="eastAsia" w:ascii="宋体" w:hAnsi="宋体"/>
                <w:bCs/>
                <w:sz w:val="24"/>
                <w:szCs w:val="24"/>
              </w:rPr>
              <w:t xml:space="preserve">（元）</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所属行业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属性</w:t>
            </w:r>
            <w:r/>
          </w:p>
        </w:tc>
        <w:tc>
          <w:tcPr>
            <w:tcBorders>
              <w:top w:val="single" w:color="000000" w:sz="2" w:space="0"/>
              <w:bottom w:val="single" w:color="000000" w:sz="2" w:space="0"/>
            </w:tcBorders>
            <w:tcW w:w="56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数据交易类型（如有）</w:t>
            </w:r>
            <w:r/>
          </w:p>
        </w:tc>
        <w:tc>
          <w:tcPr>
            <w:tcBorders>
              <w:top w:val="single" w:color="000000" w:sz="2" w:space="0"/>
              <w:bottom w:val="single" w:color="000000" w:sz="2" w:space="0"/>
            </w:tcBorders>
            <w:tcW w:w="50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政府强制采购节能产品（如有）</w:t>
            </w:r>
            <w:r/>
          </w:p>
        </w:tc>
      </w:tr>
      <w:tr>
        <w:trPr>
          <w:trHeight w:val="597"/>
        </w:trPr>
        <w:tc>
          <w:tcPr>
            <w:tcBorders>
              <w:top w:val="single" w:color="000000" w:sz="2" w:space="0"/>
              <w:bottom w:val="single" w:color="000000" w:sz="2" w:space="0"/>
            </w:tcBorders>
            <w:tcW w:w="274" w:type="pct"/>
            <w:vAlign w:val="center"/>
            <w:textDirection w:val="lrTb"/>
            <w:noWrap w:val="false"/>
          </w:tcPr>
          <w:p>
            <w:pPr>
              <w:jc w:val="center"/>
              <w:spacing w:line="264" w:lineRule="auto"/>
              <w:rPr>
                <w:rFonts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674" w:type="pct"/>
            <w:vAlign w:val="center"/>
            <w:textDirection w:val="lrTb"/>
            <w:noWrap w:val="false"/>
          </w:tcPr>
          <w:p>
            <w:pPr>
              <w:spacing w:line="264" w:lineRule="auto"/>
              <w:rPr>
                <w:rFonts w:ascii="宋体" w:hAnsi="宋体"/>
                <w:bCs/>
                <w:sz w:val="24"/>
                <w:szCs w:val="24"/>
              </w:rPr>
            </w:pPr>
            <w:r>
              <w:rPr>
                <w:rFonts w:hint="eastAsia" w:ascii="宋体" w:hAnsi="宋体" w:cs="宋体"/>
                <w:bCs/>
                <w:sz w:val="24"/>
                <w:szCs w:val="24"/>
              </w:rPr>
              <w:t xml:space="preserve">肿瘤诊疗规范化智能管理系统（二期）</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项</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主要产品</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ascii="宋体" w:hAnsi="宋体"/>
                <w:bCs/>
                <w:sz w:val="24"/>
                <w:szCs w:val="24"/>
              </w:rPr>
            </w:pPr>
            <w:r>
              <w:rPr>
                <w:rFonts w:hint="eastAsia" w:ascii="宋体" w:hAnsi="宋体" w:cs="宋体"/>
                <w:bCs/>
                <w:sz w:val="24"/>
                <w:szCs w:val="24"/>
              </w:rPr>
              <w:t xml:space="preserve">/</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软件和信息技术服务业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服务</w:t>
            </w:r>
            <w:r/>
          </w:p>
        </w:tc>
        <w:tc>
          <w:tcPr>
            <w:tcBorders>
              <w:top w:val="single" w:color="000000" w:sz="2" w:space="0"/>
              <w:bottom w:val="single" w:color="000000" w:sz="2" w:space="0"/>
            </w:tcBorders>
            <w:tcW w:w="56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w:t>
            </w:r>
            <w:r/>
          </w:p>
        </w:tc>
        <w:tc>
          <w:tcPr>
            <w:tcBorders>
              <w:top w:val="single" w:color="000000" w:sz="2" w:space="0"/>
              <w:bottom w:val="single" w:color="000000" w:sz="2" w:space="0"/>
            </w:tcBorders>
            <w:tcW w:w="50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w:t>
            </w:r>
            <w:r/>
          </w:p>
        </w:tc>
      </w:tr>
    </w:tbl>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tbl>
      <w:tblPr>
        <w:tblStyle w:val="852"/>
        <w:tblW w:w="10179"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860"/>
        <w:gridCol w:w="1204"/>
        <w:gridCol w:w="7089"/>
      </w:tblGrid>
      <w:tr>
        <w:trPr>
          <w:trHeight w:val="20"/>
        </w:trPr>
        <w:tc>
          <w:tcPr>
            <w:tcW w:w="1026" w:type="dxa"/>
            <w:vAlign w:val="center"/>
            <w:textDirection w:val="lrTb"/>
            <w:noWrap/>
          </w:tcPr>
          <w:p>
            <w:pPr>
              <w:jc w:val="center"/>
              <w:spacing w:line="260" w:lineRule="exact"/>
              <w:rPr>
                <w:rFonts w:ascii="宋体" w:hAnsi="宋体"/>
                <w:b/>
                <w:bCs/>
                <w:sz w:val="20"/>
                <w:szCs w:val="20"/>
              </w:rPr>
            </w:pPr>
            <w:r>
              <w:rPr>
                <w:rFonts w:ascii="宋体" w:hAnsi="宋体"/>
                <w:b/>
                <w:bCs/>
                <w:sz w:val="20"/>
                <w:szCs w:val="20"/>
              </w:rPr>
              <w:t xml:space="preserve">一级模块</w:t>
            </w:r>
            <w:r/>
          </w:p>
        </w:tc>
        <w:tc>
          <w:tcPr>
            <w:tcW w:w="860" w:type="dxa"/>
            <w:vAlign w:val="center"/>
            <w:textDirection w:val="lrTb"/>
            <w:noWrap w:val="false"/>
          </w:tcPr>
          <w:p>
            <w:pPr>
              <w:jc w:val="center"/>
              <w:spacing w:line="260" w:lineRule="exact"/>
              <w:rPr>
                <w:rFonts w:ascii="宋体" w:hAnsi="宋体"/>
                <w:b/>
                <w:bCs/>
                <w:sz w:val="20"/>
                <w:szCs w:val="20"/>
              </w:rPr>
            </w:pPr>
            <w:r>
              <w:rPr>
                <w:rFonts w:ascii="宋体" w:hAnsi="宋体"/>
                <w:b/>
                <w:bCs/>
                <w:sz w:val="20"/>
                <w:szCs w:val="20"/>
              </w:rPr>
              <w:t xml:space="preserve">二级模块</w:t>
            </w:r>
            <w:r/>
          </w:p>
        </w:tc>
        <w:tc>
          <w:tcPr>
            <w:tcW w:w="1204" w:type="dxa"/>
            <w:vAlign w:val="center"/>
            <w:textDirection w:val="lrTb"/>
            <w:noWrap w:val="false"/>
          </w:tcPr>
          <w:p>
            <w:pPr>
              <w:jc w:val="center"/>
              <w:spacing w:line="260" w:lineRule="exact"/>
              <w:rPr>
                <w:rFonts w:ascii="宋体" w:hAnsi="宋体"/>
                <w:b/>
                <w:bCs/>
                <w:sz w:val="20"/>
                <w:szCs w:val="20"/>
              </w:rPr>
            </w:pPr>
            <w:r>
              <w:rPr>
                <w:rFonts w:ascii="宋体" w:hAnsi="宋体"/>
                <w:b/>
                <w:bCs/>
                <w:sz w:val="20"/>
                <w:szCs w:val="20"/>
              </w:rPr>
              <w:t xml:space="preserve">三级模块</w:t>
            </w:r>
            <w:r/>
          </w:p>
        </w:tc>
        <w:tc>
          <w:tcPr>
            <w:tcW w:w="7089" w:type="dxa"/>
            <w:vAlign w:val="center"/>
            <w:textDirection w:val="lrTb"/>
            <w:noWrap w:val="false"/>
          </w:tcPr>
          <w:p>
            <w:pPr>
              <w:jc w:val="center"/>
              <w:spacing w:line="260" w:lineRule="exact"/>
              <w:rPr>
                <w:rFonts w:ascii="宋体" w:hAnsi="宋体"/>
                <w:b/>
                <w:bCs/>
                <w:sz w:val="20"/>
                <w:szCs w:val="20"/>
              </w:rPr>
            </w:pPr>
            <w:r>
              <w:rPr>
                <w:rFonts w:ascii="宋体" w:hAnsi="宋体"/>
                <w:b/>
                <w:bCs/>
                <w:sz w:val="20"/>
                <w:szCs w:val="20"/>
              </w:rPr>
              <w:t xml:space="preserve">技术参数</w:t>
            </w:r>
            <w:r/>
          </w:p>
        </w:tc>
      </w:tr>
      <w:tr>
        <w:trPr>
          <w:trHeight w:val="20"/>
        </w:trPr>
        <w:tc>
          <w:tcPr>
            <w:tcW w:w="1026" w:type="dxa"/>
            <w:vAlign w:val="center"/>
            <w:vMerge w:val="restart"/>
            <w:textDirection w:val="lrTb"/>
            <w:noWrap w:val="false"/>
          </w:tcPr>
          <w:p>
            <w:pPr>
              <w:spacing w:line="260" w:lineRule="exact"/>
              <w:rPr>
                <w:rFonts w:ascii="宋体" w:hAnsi="宋体"/>
                <w:sz w:val="20"/>
                <w:szCs w:val="20"/>
              </w:rPr>
            </w:pPr>
            <w:r>
              <w:rPr>
                <w:rFonts w:ascii="宋体" w:hAnsi="宋体"/>
                <w:sz w:val="20"/>
                <w:szCs w:val="20"/>
              </w:rPr>
              <w:t xml:space="preserve">肿瘤诊疗规范化及费用合理化预警系统</w:t>
            </w:r>
            <w:r/>
          </w:p>
        </w:tc>
        <w:tc>
          <w:tcPr>
            <w:tcW w:w="860" w:type="dxa"/>
            <w:vAlign w:val="center"/>
            <w:vMerge w:val="restart"/>
            <w:textDirection w:val="lrTb"/>
            <w:noWrap w:val="false"/>
          </w:tcPr>
          <w:p>
            <w:pPr>
              <w:spacing w:line="260" w:lineRule="exact"/>
              <w:rPr>
                <w:rFonts w:ascii="宋体" w:hAnsi="宋体"/>
                <w:sz w:val="20"/>
                <w:szCs w:val="20"/>
              </w:rPr>
            </w:pPr>
            <w:r>
              <w:rPr>
                <w:rFonts w:ascii="宋体" w:hAnsi="宋体"/>
                <w:sz w:val="20"/>
                <w:szCs w:val="20"/>
              </w:rPr>
              <w:t xml:space="preserve">过程管理</w:t>
            </w:r>
            <w:r/>
          </w:p>
        </w:tc>
        <w:tc>
          <w:tcPr>
            <w:tcW w:w="1204"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即时过程提醒</w:t>
            </w:r>
            <w:r/>
          </w:p>
        </w:tc>
        <w:tc>
          <w:tcPr>
            <w:tcW w:w="7089"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诊疗推荐：支持结合质量控制指标要求和最新肿瘤诊疗指南，在质控提醒的过程中，结合患者诊疗现状，推荐医生符合指南要求的规范化诊疗建议。</w:t>
            </w:r>
            <w:r/>
          </w:p>
        </w:tc>
      </w:tr>
      <w:tr>
        <w:trPr>
          <w:trHeight w:val="20"/>
        </w:trPr>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1204"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临床分期评估表</w:t>
            </w:r>
            <w:r/>
          </w:p>
        </w:tc>
        <w:tc>
          <w:tcPr>
            <w:tcW w:w="7089" w:type="dxa"/>
            <w:vAlign w:val="center"/>
            <w:textDirection w:val="lrTb"/>
            <w:noWrap w:val="false"/>
          </w:tcPr>
          <w:p>
            <w:pPr>
              <w:spacing w:line="260" w:lineRule="exact"/>
              <w:rPr>
                <w:rFonts w:ascii="宋体" w:hAnsi="宋体"/>
                <w:sz w:val="20"/>
                <w:szCs w:val="20"/>
              </w:rPr>
            </w:pPr>
            <w:r>
              <w:rPr>
                <w:rFonts w:hint="eastAsia" w:ascii="宋体" w:hAnsi="宋体"/>
                <w:sz w:val="20"/>
                <w:szCs w:val="20"/>
              </w:rPr>
              <w:t xml:space="preserve">1.</w:t>
            </w:r>
            <w:r>
              <w:rPr>
                <w:rFonts w:ascii="宋体" w:hAnsi="宋体"/>
                <w:sz w:val="20"/>
                <w:szCs w:val="20"/>
              </w:rPr>
              <w:t xml:space="preserve">系统支持17个癌种的临床分期评估表，癌种包括：乳腺癌、肺癌、肝癌、直肠癌、宫颈癌、胃癌、卵巢癌、食管癌、甲状腺癌、肾癌、前列腺癌、膀胱癌、鼻咽癌、喉癌、胰腺癌、淋巴瘤、黑色素瘤。其中肝细胞癌为CNLC分期，宫颈癌、卵巢癌为FIGO分期，淋巴瘤为Ann Arbor分期。</w:t>
            </w:r>
            <w:r>
              <w:rPr>
                <w:rFonts w:ascii="宋体" w:hAnsi="宋体"/>
                <w:sz w:val="20"/>
                <w:szCs w:val="20"/>
              </w:rPr>
              <w:br/>
            </w:r>
            <w:r>
              <w:rPr>
                <w:rFonts w:hint="eastAsia" w:ascii="宋体" w:hAnsi="宋体"/>
                <w:sz w:val="20"/>
                <w:szCs w:val="20"/>
              </w:rPr>
              <w:t xml:space="preserve">2.</w:t>
            </w:r>
            <w:r>
              <w:rPr>
                <w:rFonts w:ascii="宋体" w:hAnsi="宋体"/>
                <w:sz w:val="20"/>
                <w:szCs w:val="20"/>
              </w:rPr>
              <w:t xml:space="preserve">支持医生勾选TNM分期后，自动推荐总分期。医生可以复制分期或一键写回病历。</w:t>
            </w:r>
            <w:r>
              <w:rPr>
                <w:rFonts w:ascii="宋体" w:hAnsi="宋体"/>
                <w:sz w:val="20"/>
                <w:szCs w:val="20"/>
              </w:rPr>
              <w:br/>
            </w:r>
            <w:r>
              <w:rPr>
                <w:rFonts w:hint="eastAsia" w:ascii="宋体" w:hAnsi="宋体"/>
                <w:sz w:val="20"/>
                <w:szCs w:val="20"/>
              </w:rPr>
              <w:t xml:space="preserve">3.</w:t>
            </w:r>
            <w:r>
              <w:rPr>
                <w:rFonts w:ascii="宋体" w:hAnsi="宋体"/>
                <w:sz w:val="20"/>
                <w:szCs w:val="20"/>
              </w:rPr>
              <w:t xml:space="preserve">支持医生查看当前版本的分期依据表，详细列举每一个分期的说明，帮助临床医生确定分期标准。</w:t>
            </w:r>
            <w:r/>
          </w:p>
        </w:tc>
      </w:tr>
      <w:tr>
        <w:trPr>
          <w:trHeight w:val="20"/>
        </w:trPr>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1204" w:type="dxa"/>
            <w:vAlign w:val="center"/>
            <w:textDirection w:val="lrTb"/>
            <w:noWrap/>
          </w:tcPr>
          <w:p>
            <w:pPr>
              <w:spacing w:line="260" w:lineRule="exact"/>
              <w:rPr>
                <w:rFonts w:ascii="宋体" w:hAnsi="宋体"/>
                <w:sz w:val="20"/>
                <w:szCs w:val="20"/>
              </w:rPr>
            </w:pPr>
            <w:r>
              <w:rPr>
                <w:rFonts w:ascii="宋体" w:hAnsi="宋体"/>
                <w:sz w:val="20"/>
                <w:szCs w:val="20"/>
              </w:rPr>
              <w:t xml:space="preserve">质控工作台</w:t>
            </w:r>
            <w:r/>
          </w:p>
        </w:tc>
        <w:tc>
          <w:tcPr>
            <w:tcW w:w="7089"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▲1、支持医生统一查看自己收治的在院患者概览和明细。</w:t>
            </w:r>
            <w:r>
              <w:rPr>
                <w:rFonts w:ascii="宋体" w:hAnsi="宋体"/>
                <w:sz w:val="20"/>
                <w:szCs w:val="20"/>
              </w:rPr>
              <w:br/>
            </w:r>
            <w:r>
              <w:rPr>
                <w:rFonts w:ascii="宋体" w:hAnsi="宋体"/>
                <w:sz w:val="20"/>
                <w:szCs w:val="20"/>
              </w:rPr>
              <w:t xml:space="preserve">在院患者在院患者人数、警告次数、提醒次数、行为不规范次数。</w:t>
            </w:r>
            <w:r>
              <w:rPr>
                <w:rFonts w:ascii="宋体" w:hAnsi="宋体"/>
                <w:sz w:val="20"/>
                <w:szCs w:val="20"/>
              </w:rPr>
              <w:br/>
            </w:r>
            <w:r>
              <w:rPr>
                <w:rFonts w:ascii="宋体" w:hAnsi="宋体"/>
                <w:sz w:val="20"/>
                <w:szCs w:val="20"/>
              </w:rPr>
              <w:t xml:space="preserve">在院患者明细包括：患者姓名、床号、住院号、癌种、诊断、触发指标类型（问询、推荐、预警、提醒、行为规范、行为不规范，均以图标展示）。医生可以快捷查询“质控预警”、“行为不规范”病例和指标结果，对不规范或预警的指标进行批量处理，提高工作效率。</w:t>
            </w:r>
            <w:r>
              <w:rPr>
                <w:rFonts w:ascii="宋体" w:hAnsi="宋体"/>
                <w:sz w:val="20"/>
                <w:szCs w:val="20"/>
              </w:rPr>
              <w:br/>
            </w:r>
            <w:r>
              <w:rPr>
                <w:rFonts w:ascii="宋体" w:hAnsi="宋体"/>
                <w:sz w:val="20"/>
                <w:szCs w:val="20"/>
              </w:rPr>
              <w:t xml:space="preserve">▲2、支持医生统一查看自己收治的近15天以内的出院患者就诊明细，集中查看指标不规范结果，统一进行问题反馈和申诉。</w:t>
            </w:r>
            <w:r/>
          </w:p>
          <w:p>
            <w:pPr>
              <w:spacing w:line="260" w:lineRule="exact"/>
              <w:rPr>
                <w:rFonts w:ascii="宋体" w:hAnsi="宋体"/>
                <w:sz w:val="20"/>
                <w:szCs w:val="20"/>
              </w:rPr>
            </w:pPr>
            <w:r>
              <w:rPr>
                <w:rFonts w:ascii="宋体" w:hAnsi="宋体"/>
                <w:sz w:val="20"/>
                <w:szCs w:val="20"/>
              </w:rPr>
            </w:r>
            <w:r/>
          </w:p>
        </w:tc>
      </w:tr>
      <w:tr>
        <w:trPr>
          <w:trHeight w:val="20"/>
        </w:trPr>
        <w:tc>
          <w:tcPr>
            <w:tcW w:w="1026" w:type="dxa"/>
            <w:vAlign w:val="center"/>
            <w:vMerge w:val="restart"/>
            <w:textDirection w:val="lrTb"/>
            <w:noWrap w:val="false"/>
          </w:tcPr>
          <w:p>
            <w:pPr>
              <w:spacing w:line="260" w:lineRule="exact"/>
              <w:rPr>
                <w:rFonts w:ascii="宋体" w:hAnsi="宋体"/>
                <w:sz w:val="20"/>
                <w:szCs w:val="20"/>
              </w:rPr>
            </w:pPr>
            <w:r>
              <w:rPr>
                <w:rFonts w:ascii="宋体" w:hAnsi="宋体"/>
                <w:sz w:val="20"/>
                <w:szCs w:val="20"/>
              </w:rPr>
              <w:t xml:space="preserve">肿瘤诊疗规范化及费用合理化管理系统</w:t>
            </w:r>
            <w:r/>
          </w:p>
        </w:tc>
        <w:tc>
          <w:tcPr>
            <w:tcW w:w="860" w:type="dxa"/>
            <w:vAlign w:val="center"/>
            <w:vMerge w:val="restart"/>
            <w:textDirection w:val="lrTb"/>
            <w:noWrap w:val="false"/>
          </w:tcPr>
          <w:p>
            <w:pPr>
              <w:spacing w:line="260" w:lineRule="exact"/>
              <w:rPr>
                <w:rFonts w:ascii="宋体" w:hAnsi="宋体"/>
                <w:sz w:val="20"/>
                <w:szCs w:val="20"/>
              </w:rPr>
            </w:pPr>
            <w:r>
              <w:rPr>
                <w:rFonts w:ascii="宋体" w:hAnsi="宋体"/>
                <w:sz w:val="20"/>
                <w:szCs w:val="20"/>
              </w:rPr>
              <w:t xml:space="preserve">多维度管理分析</w:t>
            </w:r>
            <w:r/>
          </w:p>
        </w:tc>
        <w:tc>
          <w:tcPr>
            <w:tcW w:w="1204"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住院医疗服务</w:t>
            </w:r>
            <w:r/>
          </w:p>
        </w:tc>
        <w:tc>
          <w:tcPr>
            <w:tcW w:w="7089"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支持一览医院肿瘤患者就诊情况：包含部分医院绩效考核核心指标：肿瘤患者手术人次、肿瘤患者四级手术比等。</w:t>
            </w:r>
            <w:r/>
          </w:p>
        </w:tc>
      </w:tr>
      <w:tr>
        <w:trPr>
          <w:trHeight w:val="20"/>
        </w:trPr>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1204"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肿瘤诊疗质量</w:t>
            </w:r>
            <w:r/>
          </w:p>
        </w:tc>
        <w:tc>
          <w:tcPr>
            <w:tcW w:w="7089"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支持汇集17个癌种患者的诊疗规范化情况，进行多维度分析挖掘。</w:t>
            </w:r>
            <w:r/>
          </w:p>
        </w:tc>
      </w:tr>
      <w:tr>
        <w:trPr>
          <w:trHeight w:val="20"/>
        </w:trPr>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1204"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肿瘤治疗药物使用分析</w:t>
            </w:r>
            <w:r/>
          </w:p>
        </w:tc>
        <w:tc>
          <w:tcPr>
            <w:tcW w:w="7089"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支持对抗肿瘤药物使用人次、金额，以及重点监测抗肿瘤药物使用情况进行数据展现分析，同时对肿瘤治疗支持药物使用情况、辅助用药使用情况进行综合分析。</w:t>
            </w:r>
            <w:r/>
          </w:p>
        </w:tc>
      </w:tr>
      <w:tr>
        <w:trPr>
          <w:trHeight w:val="20"/>
        </w:trPr>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gridSpan w:val="2"/>
            <w:tcW w:w="2064"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江苏省肿瘤质控指标上报</w:t>
            </w:r>
            <w:r/>
          </w:p>
        </w:tc>
        <w:tc>
          <w:tcPr>
            <w:tcW w:w="7089"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★协助医院完成江苏省肿瘤质控指标上报</w:t>
            </w:r>
            <w:r/>
          </w:p>
        </w:tc>
      </w:tr>
      <w:tr>
        <w:trPr>
          <w:trHeight w:val="20"/>
        </w:trPr>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gridSpan w:val="2"/>
            <w:tcW w:w="2064" w:type="dxa"/>
            <w:vAlign w:val="center"/>
            <w:textDirection w:val="lrTb"/>
            <w:noWrap/>
          </w:tcPr>
          <w:p>
            <w:pPr>
              <w:spacing w:line="260" w:lineRule="exact"/>
              <w:rPr>
                <w:rFonts w:ascii="宋体" w:hAnsi="宋体"/>
                <w:sz w:val="20"/>
                <w:szCs w:val="20"/>
              </w:rPr>
            </w:pPr>
            <w:r>
              <w:rPr>
                <w:rFonts w:ascii="宋体" w:hAnsi="宋体"/>
                <w:sz w:val="20"/>
                <w:szCs w:val="20"/>
              </w:rPr>
              <w:t xml:space="preserve">实时质控监测</w:t>
            </w:r>
            <w:r/>
          </w:p>
        </w:tc>
        <w:tc>
          <w:tcPr>
            <w:tcW w:w="7089"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▲1、医务管理用户可以查看全院所有在院患者的质控结果，加强在院患者的质控管理。</w:t>
            </w:r>
            <w:r>
              <w:rPr>
                <w:rFonts w:ascii="宋体" w:hAnsi="宋体"/>
                <w:sz w:val="20"/>
                <w:szCs w:val="20"/>
              </w:rPr>
              <w:br/>
            </w:r>
            <w:r>
              <w:rPr>
                <w:rFonts w:ascii="宋体" w:hAnsi="宋体"/>
                <w:sz w:val="20"/>
                <w:szCs w:val="20"/>
              </w:rPr>
              <w:t xml:space="preserve">▲</w:t>
            </w:r>
            <w:r>
              <w:rPr>
                <w:rFonts w:hint="eastAsia" w:ascii="宋体" w:hAnsi="宋体"/>
                <w:sz w:val="20"/>
                <w:szCs w:val="20"/>
              </w:rPr>
              <w:t xml:space="preserve">2、</w:t>
            </w:r>
            <w:r>
              <w:rPr>
                <w:rFonts w:ascii="宋体" w:hAnsi="宋体"/>
                <w:sz w:val="20"/>
                <w:szCs w:val="20"/>
              </w:rPr>
              <w:t xml:space="preserve">支持查看在院患者概览，包括在院患者人次、警告次数、提醒次数、行为不规范、问询次数。点击每项统计数字，可以查看就诊明细和指标结果明细。</w:t>
            </w:r>
            <w:r>
              <w:rPr>
                <w:rFonts w:ascii="宋体" w:hAnsi="宋体"/>
                <w:sz w:val="20"/>
                <w:szCs w:val="20"/>
              </w:rPr>
              <w:br/>
            </w:r>
            <w:r>
              <w:rPr>
                <w:rFonts w:hint="eastAsia" w:ascii="宋体" w:hAnsi="宋体"/>
                <w:sz w:val="20"/>
                <w:szCs w:val="20"/>
              </w:rPr>
              <w:t xml:space="preserve">3、</w:t>
            </w:r>
            <w:r>
              <w:rPr>
                <w:rFonts w:ascii="宋体" w:hAnsi="宋体"/>
                <w:sz w:val="20"/>
                <w:szCs w:val="20"/>
              </w:rPr>
              <w:t xml:space="preserve">各个科室的统计结果，包括科室、警告次数、提醒次数、行为不规范、问询次数。</w:t>
            </w:r>
            <w:r>
              <w:rPr>
                <w:rFonts w:ascii="宋体" w:hAnsi="宋体"/>
                <w:sz w:val="20"/>
                <w:szCs w:val="20"/>
              </w:rPr>
              <w:br/>
            </w:r>
            <w:r>
              <w:rPr>
                <w:rFonts w:hint="eastAsia" w:ascii="宋体" w:hAnsi="宋体"/>
                <w:sz w:val="20"/>
                <w:szCs w:val="20"/>
              </w:rPr>
              <w:t xml:space="preserve">4、</w:t>
            </w:r>
            <w:r>
              <w:rPr>
                <w:rFonts w:ascii="宋体" w:hAnsi="宋体"/>
                <w:sz w:val="20"/>
                <w:szCs w:val="20"/>
              </w:rPr>
              <w:t xml:space="preserve">支持查看患者就诊明细和支持导出，患者就诊明细可以快捷筛选“问询”、“推荐”、“质控预警”、“行为不规范”病例和指标结果，针对不规范的病历和信息联系医生或导出汇总后发给临床科室。</w:t>
            </w:r>
            <w:r>
              <w:rPr>
                <w:rFonts w:ascii="宋体" w:hAnsi="宋体"/>
                <w:sz w:val="20"/>
                <w:szCs w:val="20"/>
              </w:rPr>
              <w:br/>
            </w:r>
            <w:r>
              <w:rPr>
                <w:rFonts w:ascii="宋体" w:hAnsi="宋体"/>
                <w:sz w:val="20"/>
                <w:szCs w:val="20"/>
              </w:rPr>
              <w:t xml:space="preserve">▲</w:t>
            </w:r>
            <w:r>
              <w:rPr>
                <w:rFonts w:hint="eastAsia" w:ascii="宋体" w:hAnsi="宋体"/>
                <w:sz w:val="20"/>
                <w:szCs w:val="20"/>
              </w:rPr>
              <w:t xml:space="preserve">5、</w:t>
            </w:r>
            <w:r>
              <w:rPr>
                <w:rFonts w:ascii="宋体" w:hAnsi="宋体"/>
                <w:sz w:val="20"/>
                <w:szCs w:val="20"/>
              </w:rPr>
              <w:t xml:space="preserve">临床科室管理者可以查看自己负责科室的所有在院患者的质控结果，加强在院患者的质控管理。</w:t>
            </w:r>
            <w:r>
              <w:rPr>
                <w:rFonts w:ascii="宋体" w:hAnsi="宋体"/>
                <w:sz w:val="20"/>
                <w:szCs w:val="20"/>
              </w:rPr>
              <w:br/>
            </w:r>
            <w:r>
              <w:rPr>
                <w:rFonts w:hint="eastAsia" w:ascii="宋体" w:hAnsi="宋体"/>
                <w:sz w:val="20"/>
                <w:szCs w:val="20"/>
              </w:rPr>
              <w:t xml:space="preserve">6、</w:t>
            </w:r>
            <w:r>
              <w:rPr>
                <w:rFonts w:ascii="宋体" w:hAnsi="宋体"/>
                <w:sz w:val="20"/>
                <w:szCs w:val="20"/>
              </w:rPr>
              <w:t xml:space="preserve">支持查看在院患者概览，包括在院患者人次、警告次数、提醒次数、行为不规范、问询次数。点击每项统计数字，可以查看就诊明细和指标结果明细。</w:t>
            </w:r>
            <w:r>
              <w:rPr>
                <w:rFonts w:ascii="宋体" w:hAnsi="宋体"/>
                <w:sz w:val="20"/>
                <w:szCs w:val="20"/>
              </w:rPr>
              <w:br/>
            </w:r>
            <w:r>
              <w:rPr>
                <w:rFonts w:ascii="宋体" w:hAnsi="宋体"/>
                <w:sz w:val="20"/>
                <w:szCs w:val="20"/>
              </w:rPr>
              <w:t xml:space="preserve">★</w:t>
            </w:r>
            <w:r>
              <w:rPr>
                <w:rFonts w:hint="eastAsia" w:ascii="宋体" w:hAnsi="宋体"/>
                <w:sz w:val="20"/>
                <w:szCs w:val="20"/>
              </w:rPr>
              <w:t xml:space="preserve">7、</w:t>
            </w:r>
            <w:r>
              <w:rPr>
                <w:rFonts w:ascii="宋体" w:hAnsi="宋体"/>
                <w:sz w:val="20"/>
                <w:szCs w:val="20"/>
              </w:rPr>
              <w:t xml:space="preserve">支持查看患者就诊明细和支持导出，患者就诊明细可以快捷筛选“问询”、“推荐”、“质控预警”、“行为不规范”病例和指标结果，针对不规范的病历和信息指导医生整改。</w:t>
            </w:r>
            <w:r/>
          </w:p>
          <w:p>
            <w:pPr>
              <w:spacing w:line="260" w:lineRule="exact"/>
              <w:rPr>
                <w:rFonts w:ascii="宋体" w:hAnsi="宋体"/>
                <w:sz w:val="20"/>
                <w:szCs w:val="20"/>
              </w:rPr>
            </w:pPr>
            <w:r>
              <w:rPr>
                <w:rFonts w:ascii="宋体" w:hAnsi="宋体"/>
                <w:sz w:val="20"/>
                <w:szCs w:val="20"/>
              </w:rPr>
            </w:r>
            <w:r/>
          </w:p>
        </w:tc>
      </w:tr>
      <w:tr>
        <w:trPr>
          <w:trHeight w:val="20"/>
        </w:trPr>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860" w:type="dxa"/>
            <w:vAlign w:val="center"/>
            <w:vMerge w:val="restart"/>
            <w:textDirection w:val="lrTb"/>
            <w:noWrap/>
          </w:tcPr>
          <w:p>
            <w:pPr>
              <w:spacing w:line="260" w:lineRule="exact"/>
              <w:rPr>
                <w:rFonts w:ascii="宋体" w:hAnsi="宋体"/>
                <w:sz w:val="20"/>
                <w:szCs w:val="20"/>
              </w:rPr>
            </w:pPr>
            <w:r>
              <w:rPr>
                <w:rFonts w:ascii="宋体" w:hAnsi="宋体"/>
                <w:sz w:val="20"/>
                <w:szCs w:val="20"/>
              </w:rPr>
              <w:t xml:space="preserve">质控报告</w:t>
            </w:r>
            <w:r/>
          </w:p>
        </w:tc>
        <w:tc>
          <w:tcPr>
            <w:tcW w:w="1204"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肿瘤规范化质控报告</w:t>
            </w:r>
            <w:r/>
          </w:p>
        </w:tc>
        <w:tc>
          <w:tcPr>
            <w:tcW w:w="7089"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▲1、支持月度、季度、年度生成报告。</w:t>
            </w:r>
            <w:r>
              <w:rPr>
                <w:rFonts w:ascii="宋体" w:hAnsi="宋体"/>
                <w:sz w:val="20"/>
                <w:szCs w:val="20"/>
              </w:rPr>
              <w:br/>
            </w:r>
            <w:r>
              <w:rPr>
                <w:rFonts w:ascii="宋体" w:hAnsi="宋体"/>
                <w:sz w:val="20"/>
                <w:szCs w:val="20"/>
              </w:rPr>
              <w:t xml:space="preserve">▲2、按选择的月度、季度、年度生成报告，包括：各癌种规范率排名、指标排名、各个科室/病区指标结果排名、医生/医疗组指标排名。月度报告支持近半年时间变化趋势。季度报告展示近4个季度的变化趋势。年度报告为当年各个月份报告。</w:t>
            </w:r>
            <w:r>
              <w:rPr>
                <w:rFonts w:ascii="宋体" w:hAnsi="宋体"/>
                <w:sz w:val="20"/>
                <w:szCs w:val="20"/>
              </w:rPr>
              <w:br/>
            </w:r>
            <w:r>
              <w:rPr>
                <w:rFonts w:ascii="宋体" w:hAnsi="宋体"/>
                <w:sz w:val="20"/>
                <w:szCs w:val="20"/>
              </w:rPr>
              <w:t xml:space="preserve">★3、生成全院、各个科室的质控报告，支持下载PDF。</w:t>
            </w:r>
            <w:r/>
          </w:p>
          <w:p>
            <w:pPr>
              <w:spacing w:line="260" w:lineRule="exact"/>
              <w:rPr>
                <w:rFonts w:ascii="宋体" w:hAnsi="宋体"/>
                <w:sz w:val="20"/>
                <w:szCs w:val="20"/>
              </w:rPr>
            </w:pPr>
            <w:r>
              <w:rPr>
                <w:rFonts w:ascii="宋体" w:hAnsi="宋体"/>
                <w:sz w:val="20"/>
                <w:szCs w:val="20"/>
              </w:rPr>
            </w:r>
            <w:r/>
          </w:p>
        </w:tc>
      </w:tr>
      <w:tr>
        <w:trPr>
          <w:trHeight w:val="20"/>
        </w:trPr>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1204"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绩效监测肿瘤指标质控报告</w:t>
            </w:r>
            <w:r/>
          </w:p>
        </w:tc>
        <w:tc>
          <w:tcPr>
            <w:tcW w:w="7089"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1、支持月度、季度、年度生成报告。统计报告时支持选择统计规则：专家版规则、当年国考规则和院内管理规则。</w:t>
            </w:r>
            <w:r>
              <w:rPr>
                <w:rFonts w:ascii="宋体" w:hAnsi="宋体"/>
                <w:sz w:val="20"/>
                <w:szCs w:val="20"/>
              </w:rPr>
              <w:br/>
            </w:r>
            <w:r>
              <w:rPr>
                <w:rFonts w:ascii="宋体" w:hAnsi="宋体"/>
                <w:sz w:val="20"/>
                <w:szCs w:val="20"/>
              </w:rPr>
              <w:t xml:space="preserve">2、按选择的月度、季度、年度生成报告，包括：全院6大类指标结果，各癌种指标排名、各个科室/病区指标结果排名、医生/医疗组指标排名</w:t>
            </w:r>
            <w:r>
              <w:rPr>
                <w:rFonts w:hint="eastAsia" w:ascii="宋体" w:hAnsi="宋体"/>
                <w:sz w:val="20"/>
                <w:szCs w:val="20"/>
              </w:rPr>
              <w:t xml:space="preserve">；</w:t>
            </w:r>
            <w:r>
              <w:rPr>
                <w:rFonts w:ascii="宋体" w:hAnsi="宋体"/>
                <w:sz w:val="20"/>
                <w:szCs w:val="20"/>
              </w:rPr>
              <w:t xml:space="preserve">展示全院6大类问题原因分类、占比和整改方案；月度报告支持近半年时间变化趋势。季度报告展示近4个季度的变化趋势。年度报告为当年各个月份报告。</w:t>
            </w:r>
            <w:r>
              <w:rPr>
                <w:rFonts w:ascii="宋体" w:hAnsi="宋体"/>
                <w:sz w:val="20"/>
                <w:szCs w:val="20"/>
              </w:rPr>
              <w:br/>
            </w:r>
            <w:bookmarkStart w:id="193" w:name="OLE_LINK1"/>
            <w:r>
              <w:rPr>
                <w:rFonts w:ascii="宋体" w:hAnsi="宋体"/>
                <w:sz w:val="20"/>
                <w:szCs w:val="20"/>
              </w:rPr>
              <w:t xml:space="preserve">★</w:t>
            </w:r>
            <w:bookmarkEnd w:id="193"/>
            <w:r>
              <w:rPr>
                <w:rFonts w:ascii="宋体" w:hAnsi="宋体"/>
                <w:sz w:val="20"/>
                <w:szCs w:val="20"/>
              </w:rPr>
              <w:t xml:space="preserve">3、生成全院、各个科室的质控报告，支持下载PDF。</w:t>
            </w:r>
            <w:r/>
          </w:p>
          <w:p>
            <w:pPr>
              <w:spacing w:line="260" w:lineRule="exact"/>
              <w:rPr>
                <w:rFonts w:ascii="宋体" w:hAnsi="宋体"/>
                <w:sz w:val="20"/>
                <w:szCs w:val="20"/>
              </w:rPr>
            </w:pPr>
            <w:r>
              <w:rPr>
                <w:rFonts w:ascii="宋体" w:hAnsi="宋体"/>
                <w:sz w:val="20"/>
                <w:szCs w:val="20"/>
              </w:rPr>
            </w:r>
            <w:r/>
          </w:p>
        </w:tc>
      </w:tr>
      <w:tr>
        <w:trPr>
          <w:trHeight w:val="20"/>
        </w:trPr>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860"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综合分析</w:t>
            </w:r>
            <w:r/>
          </w:p>
        </w:tc>
        <w:tc>
          <w:tcPr>
            <w:tcW w:w="1204"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肿瘤诊疗规范化与费用合理化综合分析</w:t>
            </w:r>
            <w:r/>
          </w:p>
        </w:tc>
        <w:tc>
          <w:tcPr>
            <w:tcW w:w="7089"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支持对质量控制指标功能、质量管理指标功能、费用支出和医疗效率功能三个维度，从多个象限进行综合分析与数据展现（与采购人DRG做接口）。</w:t>
            </w:r>
            <w:r/>
          </w:p>
          <w:p>
            <w:pPr>
              <w:spacing w:line="260" w:lineRule="exact"/>
              <w:rPr>
                <w:rFonts w:ascii="宋体" w:hAnsi="宋体"/>
                <w:sz w:val="20"/>
                <w:szCs w:val="20"/>
              </w:rPr>
            </w:pPr>
            <w:r>
              <w:rPr>
                <w:rFonts w:ascii="宋体" w:hAnsi="宋体"/>
                <w:sz w:val="20"/>
                <w:szCs w:val="20"/>
              </w:rPr>
            </w:r>
            <w:r/>
          </w:p>
        </w:tc>
      </w:tr>
      <w:tr>
        <w:trPr>
          <w:trHeight w:val="20"/>
        </w:trPr>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860"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科研支持</w:t>
            </w:r>
            <w:r/>
          </w:p>
        </w:tc>
        <w:tc>
          <w:tcPr>
            <w:tcW w:w="1204"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我的科研</w:t>
            </w:r>
            <w:r/>
          </w:p>
        </w:tc>
        <w:tc>
          <w:tcPr>
            <w:tcW w:w="7089"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w:t>
            </w:r>
            <w:r>
              <w:rPr>
                <w:rFonts w:hint="eastAsia" w:ascii="宋体" w:hAnsi="宋体"/>
                <w:sz w:val="20"/>
                <w:szCs w:val="20"/>
              </w:rPr>
              <w:t xml:space="preserve">1、</w:t>
            </w:r>
            <w:r>
              <w:rPr>
                <w:rFonts w:ascii="宋体" w:hAnsi="宋体"/>
                <w:sz w:val="20"/>
                <w:szCs w:val="20"/>
              </w:rPr>
              <w:t xml:space="preserve">系统对所有肿瘤患者进行数据治理，生成肿瘤患者标准数据集和标签以及指标结果。支持用户通过患者指标结果、患者标签、肿瘤患者标准数据集作为纳排条件筛选患者。</w:t>
            </w:r>
            <w:r>
              <w:rPr>
                <w:rFonts w:ascii="宋体" w:hAnsi="宋体"/>
                <w:sz w:val="20"/>
                <w:szCs w:val="20"/>
              </w:rPr>
              <w:br/>
            </w:r>
            <w:r>
              <w:rPr>
                <w:rFonts w:ascii="宋体" w:hAnsi="宋体"/>
                <w:sz w:val="20"/>
                <w:szCs w:val="20"/>
              </w:rPr>
              <w:t xml:space="preserve">▲</w:t>
            </w:r>
            <w:r>
              <w:rPr>
                <w:rFonts w:hint="eastAsia" w:ascii="宋体" w:hAnsi="宋体"/>
                <w:sz w:val="20"/>
                <w:szCs w:val="20"/>
              </w:rPr>
              <w:t xml:space="preserve">2、</w:t>
            </w:r>
            <w:r>
              <w:rPr>
                <w:rFonts w:ascii="宋体" w:hAnsi="宋体"/>
                <w:sz w:val="20"/>
                <w:szCs w:val="20"/>
              </w:rPr>
              <w:t xml:space="preserve">系统支持对筛选后的患者纳入科研项目，支持查看所有纳入的患者概要信息和患者标签，支持查看患者全景视图。</w:t>
            </w:r>
            <w:r/>
          </w:p>
          <w:p>
            <w:pPr>
              <w:spacing w:line="260" w:lineRule="exact"/>
              <w:rPr>
                <w:rFonts w:ascii="宋体" w:hAnsi="宋体"/>
                <w:sz w:val="20"/>
                <w:szCs w:val="20"/>
              </w:rPr>
            </w:pPr>
            <w:r>
              <w:rPr>
                <w:rFonts w:ascii="宋体" w:hAnsi="宋体"/>
                <w:sz w:val="20"/>
                <w:szCs w:val="20"/>
              </w:rPr>
            </w:r>
            <w:r/>
          </w:p>
        </w:tc>
      </w:tr>
      <w:tr>
        <w:trPr>
          <w:trHeight w:val="20"/>
        </w:trPr>
        <w:tc>
          <w:tcPr>
            <w:tcW w:w="1026" w:type="dxa"/>
            <w:vAlign w:val="center"/>
            <w:vMerge w:val="restart"/>
            <w:textDirection w:val="lrTb"/>
            <w:noWrap w:val="false"/>
          </w:tcPr>
          <w:p>
            <w:pPr>
              <w:spacing w:line="260" w:lineRule="exact"/>
              <w:rPr>
                <w:rFonts w:ascii="宋体" w:hAnsi="宋体"/>
                <w:sz w:val="20"/>
                <w:szCs w:val="20"/>
              </w:rPr>
            </w:pPr>
            <w:r>
              <w:rPr>
                <w:rFonts w:ascii="宋体" w:hAnsi="宋体"/>
                <w:sz w:val="20"/>
                <w:szCs w:val="20"/>
              </w:rPr>
              <w:t xml:space="preserve">肿瘤单病种质控规则库及后台管理系统</w:t>
            </w:r>
            <w:r/>
          </w:p>
        </w:tc>
        <w:tc>
          <w:tcPr>
            <w:tcW w:w="860" w:type="dxa"/>
            <w:vAlign w:val="center"/>
            <w:vMerge w:val="restart"/>
            <w:textDirection w:val="lrTb"/>
            <w:noWrap w:val="false"/>
          </w:tcPr>
          <w:p>
            <w:pPr>
              <w:spacing w:line="260" w:lineRule="exact"/>
              <w:rPr>
                <w:rFonts w:ascii="宋体" w:hAnsi="宋体"/>
                <w:sz w:val="20"/>
                <w:szCs w:val="20"/>
              </w:rPr>
            </w:pPr>
            <w:r>
              <w:rPr>
                <w:rFonts w:ascii="宋体" w:hAnsi="宋体"/>
                <w:sz w:val="20"/>
                <w:szCs w:val="20"/>
              </w:rPr>
              <w:t xml:space="preserve">规则库</w:t>
            </w:r>
            <w:r/>
          </w:p>
        </w:tc>
        <w:tc>
          <w:tcPr>
            <w:tcW w:w="1204" w:type="dxa"/>
            <w:vAlign w:val="center"/>
            <w:vMerge w:val="restart"/>
            <w:textDirection w:val="lrTb"/>
            <w:noWrap w:val="false"/>
          </w:tcPr>
          <w:p>
            <w:pPr>
              <w:spacing w:line="260" w:lineRule="exact"/>
              <w:rPr>
                <w:rFonts w:ascii="宋体" w:hAnsi="宋体"/>
                <w:sz w:val="20"/>
                <w:szCs w:val="20"/>
              </w:rPr>
            </w:pPr>
            <w:r>
              <w:rPr>
                <w:rFonts w:ascii="宋体" w:hAnsi="宋体"/>
                <w:sz w:val="20"/>
                <w:szCs w:val="20"/>
              </w:rPr>
              <w:t xml:space="preserve">肿瘤单病种质控规则库</w:t>
            </w:r>
            <w:r/>
          </w:p>
        </w:tc>
        <w:tc>
          <w:tcPr>
            <w:tcW w:w="7089"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w:t>
            </w:r>
            <w:r>
              <w:rPr>
                <w:rFonts w:hint="eastAsia" w:ascii="宋体" w:hAnsi="宋体"/>
                <w:sz w:val="20"/>
                <w:szCs w:val="20"/>
              </w:rPr>
              <w:t xml:space="preserve">1、</w:t>
            </w:r>
            <w:r>
              <w:rPr>
                <w:rFonts w:ascii="宋体" w:hAnsi="宋体"/>
                <w:sz w:val="20"/>
                <w:szCs w:val="20"/>
              </w:rPr>
              <w:t xml:space="preserve">内置17个癌种的质控规则库，支持17个癌种的单病种质控监测指标，及质控相关联的患者标签逻辑，质控规则逻辑。</w:t>
            </w:r>
            <w:r/>
          </w:p>
          <w:p>
            <w:pPr>
              <w:spacing w:line="260" w:lineRule="exact"/>
              <w:rPr>
                <w:rFonts w:ascii="宋体" w:hAnsi="宋体"/>
                <w:sz w:val="20"/>
                <w:szCs w:val="20"/>
              </w:rPr>
            </w:pPr>
            <w:r>
              <w:rPr>
                <w:rFonts w:ascii="宋体" w:hAnsi="宋体"/>
                <w:sz w:val="20"/>
                <w:szCs w:val="20"/>
              </w:rPr>
            </w:r>
            <w:r/>
          </w:p>
        </w:tc>
      </w:tr>
      <w:tr>
        <w:trPr>
          <w:trHeight w:val="20"/>
        </w:trPr>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0" w:type="auto"/>
            <w:vAlign w:val="center"/>
            <w:vMerge w:val="continue"/>
            <w:textDirection w:val="lrTb"/>
            <w:noWrap w:val="false"/>
          </w:tcPr>
          <w:p>
            <w:pPr>
              <w:spacing w:line="260" w:lineRule="exact"/>
              <w:rPr>
                <w:rFonts w:ascii="宋体" w:hAnsi="宋体"/>
                <w:sz w:val="20"/>
                <w:szCs w:val="20"/>
              </w:rPr>
            </w:pPr>
            <w:r>
              <w:rPr>
                <w:rFonts w:ascii="宋体" w:hAnsi="宋体"/>
                <w:sz w:val="20"/>
                <w:szCs w:val="20"/>
              </w:rPr>
            </w:r>
            <w:r/>
          </w:p>
        </w:tc>
        <w:tc>
          <w:tcPr>
            <w:tcW w:w="7089" w:type="dxa"/>
            <w:vAlign w:val="center"/>
            <w:textDirection w:val="lrTb"/>
            <w:noWrap w:val="false"/>
          </w:tcPr>
          <w:p>
            <w:pPr>
              <w:spacing w:line="260" w:lineRule="exact"/>
              <w:rPr>
                <w:rFonts w:ascii="宋体" w:hAnsi="宋体"/>
                <w:sz w:val="20"/>
                <w:szCs w:val="20"/>
              </w:rPr>
            </w:pPr>
            <w:r>
              <w:rPr>
                <w:rFonts w:ascii="宋体" w:hAnsi="宋体"/>
                <w:sz w:val="20"/>
                <w:szCs w:val="20"/>
              </w:rPr>
              <w:t xml:space="preserve">2. 根据医院数据质量情况，实现肿瘤规范化质控范围包括但不限于（以乳腺癌为例）：</w:t>
            </w:r>
            <w:r>
              <w:rPr>
                <w:rFonts w:ascii="宋体" w:hAnsi="宋体"/>
                <w:sz w:val="20"/>
                <w:szCs w:val="20"/>
              </w:rPr>
              <w:br/>
            </w:r>
            <w:r>
              <w:rPr>
                <w:rFonts w:ascii="宋体" w:hAnsi="宋体"/>
                <w:sz w:val="20"/>
                <w:szCs w:val="20"/>
              </w:rPr>
              <w:t xml:space="preserve">乳腺癌患者首次治疗前临床TNM分期诊断率</w:t>
            </w:r>
            <w:r>
              <w:rPr>
                <w:rFonts w:hint="eastAsia" w:ascii="宋体" w:hAnsi="宋体"/>
                <w:sz w:val="20"/>
                <w:szCs w:val="20"/>
              </w:rPr>
              <w:t xml:space="preserve">;</w:t>
            </w:r>
            <w:r>
              <w:rPr>
                <w:rFonts w:ascii="宋体" w:hAnsi="宋体"/>
                <w:sz w:val="20"/>
                <w:szCs w:val="20"/>
              </w:rPr>
              <w:br/>
            </w:r>
            <w:r>
              <w:rPr>
                <w:rFonts w:ascii="宋体" w:hAnsi="宋体"/>
                <w:sz w:val="20"/>
                <w:szCs w:val="20"/>
              </w:rPr>
              <w:t xml:space="preserve">乳腺癌患者首次治疗前临床TNM分期检查评估策略符合率</w:t>
            </w:r>
            <w:r>
              <w:rPr>
                <w:rFonts w:hint="eastAsia" w:ascii="宋体" w:hAnsi="宋体"/>
                <w:sz w:val="20"/>
                <w:szCs w:val="20"/>
              </w:rPr>
              <w:t xml:space="preserve">;</w:t>
            </w:r>
            <w:r>
              <w:rPr>
                <w:rFonts w:ascii="宋体" w:hAnsi="宋体"/>
                <w:sz w:val="20"/>
                <w:szCs w:val="20"/>
              </w:rPr>
              <w:br/>
            </w:r>
            <w:r>
              <w:rPr>
                <w:rFonts w:ascii="宋体" w:hAnsi="宋体"/>
                <w:sz w:val="20"/>
                <w:szCs w:val="20"/>
              </w:rPr>
              <w:t xml:space="preserve">乳腺癌患者非手术治疗前病理学诊断率</w:t>
            </w:r>
            <w:r>
              <w:rPr>
                <w:rFonts w:hint="eastAsia" w:ascii="宋体" w:hAnsi="宋体"/>
                <w:sz w:val="20"/>
                <w:szCs w:val="20"/>
              </w:rPr>
              <w:t xml:space="preserve">;</w:t>
            </w:r>
            <w:r>
              <w:rPr>
                <w:rFonts w:ascii="宋体" w:hAnsi="宋体"/>
                <w:sz w:val="20"/>
                <w:szCs w:val="20"/>
              </w:rPr>
              <w:br/>
            </w:r>
            <w:r>
              <w:rPr>
                <w:rFonts w:ascii="宋体" w:hAnsi="宋体"/>
                <w:sz w:val="20"/>
                <w:szCs w:val="20"/>
              </w:rPr>
              <w:t xml:space="preserve">早期乳腺癌患者前哨淋巴结活检率</w:t>
            </w:r>
            <w:r>
              <w:rPr>
                <w:rFonts w:hint="eastAsia" w:ascii="宋体" w:hAnsi="宋体"/>
                <w:sz w:val="20"/>
                <w:szCs w:val="20"/>
              </w:rPr>
              <w:t xml:space="preserve">;</w:t>
            </w:r>
            <w:r>
              <w:rPr>
                <w:rFonts w:ascii="宋体" w:hAnsi="宋体"/>
                <w:sz w:val="20"/>
                <w:szCs w:val="20"/>
              </w:rPr>
              <w:br/>
            </w:r>
            <w:r>
              <w:rPr>
                <w:rFonts w:ascii="宋体" w:hAnsi="宋体"/>
                <w:sz w:val="20"/>
                <w:szCs w:val="20"/>
              </w:rPr>
              <w:t xml:space="preserve">乳腺癌患者保乳术后放疗率</w:t>
            </w:r>
            <w:r>
              <w:rPr>
                <w:rFonts w:hint="eastAsia" w:ascii="宋体" w:hAnsi="宋体"/>
                <w:sz w:val="20"/>
                <w:szCs w:val="20"/>
              </w:rPr>
              <w:t xml:space="preserve">;</w:t>
            </w:r>
            <w:r>
              <w:rPr>
                <w:rFonts w:ascii="宋体" w:hAnsi="宋体"/>
                <w:sz w:val="20"/>
                <w:szCs w:val="20"/>
              </w:rPr>
              <w:br/>
            </w:r>
            <w:r>
              <w:rPr>
                <w:rFonts w:ascii="宋体" w:hAnsi="宋体"/>
                <w:sz w:val="20"/>
                <w:szCs w:val="20"/>
              </w:rPr>
              <w:t xml:space="preserve">乳腺癌患者改良根治术后放疗率</w:t>
            </w:r>
            <w:r>
              <w:rPr>
                <w:rFonts w:hint="eastAsia" w:ascii="宋体" w:hAnsi="宋体"/>
                <w:sz w:val="20"/>
                <w:szCs w:val="20"/>
              </w:rPr>
              <w:t xml:space="preserve">;</w:t>
            </w:r>
            <w:r>
              <w:rPr>
                <w:rFonts w:ascii="宋体" w:hAnsi="宋体"/>
                <w:sz w:val="20"/>
                <w:szCs w:val="20"/>
              </w:rPr>
              <w:br/>
            </w:r>
            <w:r>
              <w:rPr>
                <w:rFonts w:ascii="宋体" w:hAnsi="宋体"/>
                <w:sz w:val="20"/>
                <w:szCs w:val="20"/>
              </w:rPr>
              <w:t xml:space="preserve">局部晚期乳腺癌患者新辅助治疗率</w:t>
            </w:r>
            <w:r>
              <w:rPr>
                <w:rFonts w:hint="eastAsia" w:ascii="宋体" w:hAnsi="宋体"/>
                <w:sz w:val="20"/>
                <w:szCs w:val="20"/>
              </w:rPr>
              <w:t xml:space="preserve">;</w:t>
            </w:r>
            <w:r>
              <w:rPr>
                <w:rFonts w:ascii="宋体" w:hAnsi="宋体"/>
                <w:sz w:val="20"/>
                <w:szCs w:val="20"/>
              </w:rPr>
              <w:br/>
            </w:r>
            <w:r>
              <w:rPr>
                <w:rFonts w:ascii="宋体" w:hAnsi="宋体"/>
                <w:sz w:val="20"/>
                <w:szCs w:val="20"/>
              </w:rPr>
              <w:t xml:space="preserve">晚期转移性乳腺癌患者首次治疗全身系统性治疗率</w:t>
            </w:r>
            <w:r>
              <w:rPr>
                <w:rFonts w:hint="eastAsia" w:ascii="宋体" w:hAnsi="宋体"/>
                <w:sz w:val="20"/>
                <w:szCs w:val="20"/>
              </w:rPr>
              <w:t xml:space="preserve">;</w:t>
            </w:r>
            <w:r>
              <w:rPr>
                <w:rFonts w:ascii="宋体" w:hAnsi="宋体"/>
                <w:sz w:val="20"/>
                <w:szCs w:val="20"/>
              </w:rPr>
              <w:br/>
            </w:r>
            <w:r>
              <w:rPr>
                <w:rFonts w:ascii="宋体" w:hAnsi="宋体"/>
                <w:sz w:val="20"/>
                <w:szCs w:val="20"/>
              </w:rPr>
              <w:t xml:space="preserve">激素受体阳性乳腺癌患者术后接受辅助内分泌治疗率</w:t>
            </w:r>
            <w:r>
              <w:rPr>
                <w:rFonts w:hint="eastAsia" w:ascii="宋体" w:hAnsi="宋体"/>
                <w:sz w:val="20"/>
                <w:szCs w:val="20"/>
              </w:rPr>
              <w:t xml:space="preserve">;</w:t>
            </w:r>
            <w:r>
              <w:rPr>
                <w:rFonts w:ascii="宋体" w:hAnsi="宋体"/>
                <w:sz w:val="20"/>
                <w:szCs w:val="20"/>
              </w:rPr>
              <w:br/>
            </w:r>
            <w:r>
              <w:rPr>
                <w:rFonts w:ascii="宋体" w:hAnsi="宋体"/>
                <w:sz w:val="20"/>
                <w:szCs w:val="20"/>
              </w:rPr>
              <w:t xml:space="preserve">接受抗HER-2靶向治疗的乳腺癌患者中HER-2阳性率</w:t>
            </w:r>
            <w:r>
              <w:rPr>
                <w:rFonts w:hint="eastAsia" w:ascii="宋体" w:hAnsi="宋体"/>
                <w:sz w:val="20"/>
                <w:szCs w:val="20"/>
              </w:rPr>
              <w:t xml:space="preserve">;</w:t>
            </w:r>
            <w:r>
              <w:rPr>
                <w:rFonts w:ascii="宋体" w:hAnsi="宋体"/>
                <w:sz w:val="20"/>
                <w:szCs w:val="20"/>
              </w:rPr>
              <w:br/>
            </w:r>
            <w:r>
              <w:rPr>
                <w:rFonts w:ascii="宋体" w:hAnsi="宋体"/>
                <w:sz w:val="20"/>
                <w:szCs w:val="20"/>
              </w:rPr>
              <w:t xml:space="preserve">腋窝淋巴结清扫充分率</w:t>
            </w:r>
            <w:r>
              <w:rPr>
                <w:rFonts w:hint="eastAsia" w:ascii="宋体" w:hAnsi="宋体"/>
                <w:sz w:val="20"/>
                <w:szCs w:val="20"/>
              </w:rPr>
              <w:t xml:space="preserve">;</w:t>
            </w:r>
            <w:r>
              <w:rPr>
                <w:rFonts w:ascii="宋体" w:hAnsi="宋体"/>
                <w:sz w:val="20"/>
                <w:szCs w:val="20"/>
              </w:rPr>
              <w:br/>
            </w:r>
            <w:r>
              <w:rPr>
                <w:rFonts w:ascii="宋体" w:hAnsi="宋体"/>
                <w:sz w:val="20"/>
                <w:szCs w:val="20"/>
              </w:rPr>
              <w:t xml:space="preserve">乳腺癌I类切口手术部位感染率</w:t>
            </w:r>
            <w:r>
              <w:rPr>
                <w:rFonts w:hint="eastAsia" w:ascii="宋体" w:hAnsi="宋体"/>
                <w:sz w:val="20"/>
                <w:szCs w:val="20"/>
              </w:rPr>
              <w:t xml:space="preserve">;</w:t>
            </w:r>
            <w:r>
              <w:rPr>
                <w:rFonts w:ascii="宋体" w:hAnsi="宋体"/>
                <w:sz w:val="20"/>
                <w:szCs w:val="20"/>
              </w:rPr>
              <w:br/>
            </w:r>
            <w:r>
              <w:rPr>
                <w:rFonts w:ascii="宋体" w:hAnsi="宋体"/>
                <w:sz w:val="20"/>
                <w:szCs w:val="20"/>
              </w:rPr>
              <w:t xml:space="preserve">乳腺癌患者术后病理TNM分期</w:t>
            </w:r>
            <w:r/>
          </w:p>
        </w:tc>
      </w:tr>
    </w:tbl>
    <w:p>
      <w:pPr>
        <w:ind w:firstLine="480"/>
        <w:spacing w:line="264" w:lineRule="auto"/>
        <w:rPr>
          <w:rFonts w:ascii="宋体" w:hAnsi="宋体"/>
          <w:color w:val="0000ff"/>
          <w:sz w:val="24"/>
          <w:szCs w:val="24"/>
        </w:rPr>
      </w:pPr>
      <w:r>
        <w:rPr>
          <w:rFonts w:ascii="宋体" w:hAnsi="宋体"/>
          <w:color w:val="0000ff"/>
          <w:sz w:val="24"/>
          <w:szCs w:val="24"/>
        </w:rPr>
      </w:r>
      <w:r/>
    </w:p>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ascii="宋体" w:hAnsi="宋体"/>
          <w:sz w:val="24"/>
          <w:szCs w:val="24"/>
        </w:rPr>
      </w:pPr>
      <w:r>
        <w:rPr>
          <w:rFonts w:ascii="宋体" w:hAnsi="宋体"/>
          <w:sz w:val="24"/>
          <w:szCs w:val="24"/>
        </w:rPr>
        <w:t xml:space="preserve">（1）总体要求</w:t>
      </w:r>
      <w:r/>
    </w:p>
    <w:p>
      <w:pPr>
        <w:ind w:firstLine="480"/>
        <w:spacing w:line="264" w:lineRule="auto"/>
        <w:rPr>
          <w:rFonts w:ascii="宋体" w:hAnsi="宋体"/>
          <w:sz w:val="24"/>
          <w:szCs w:val="24"/>
        </w:rPr>
      </w:pPr>
      <w:r>
        <w:rPr>
          <w:rFonts w:hint="eastAsia" w:ascii="宋体" w:hAnsi="宋体"/>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ind w:firstLine="480"/>
        <w:spacing w:line="264" w:lineRule="auto"/>
        <w:rPr>
          <w:rFonts w:ascii="宋体" w:hAnsi="宋体" w:cs="宋体"/>
          <w:bCs/>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bCs/>
          <w:sz w:val="24"/>
          <w:szCs w:val="24"/>
        </w:rPr>
        <w:t xml:space="preserve">验收要求</w:t>
      </w:r>
      <w:r/>
    </w:p>
    <w:p>
      <w:pPr>
        <w:ind w:firstLine="480"/>
        <w:spacing w:line="264" w:lineRule="auto"/>
        <w:rPr>
          <w:rFonts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spacing w:line="264" w:lineRule="auto"/>
        <w:rPr>
          <w:rFonts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spacing w:line="264" w:lineRule="auto"/>
        <w:rPr>
          <w:rFonts w:ascii="宋体" w:hAnsi="宋体" w:cs="宋体"/>
          <w:bCs/>
          <w:sz w:val="24"/>
          <w:szCs w:val="24"/>
        </w:rPr>
      </w:pPr>
      <w:r>
        <w:rPr>
          <w:rFonts w:hint="eastAsia" w:ascii="宋体" w:hAnsi="宋体" w:cs="宋体"/>
          <w:bCs/>
          <w:sz w:val="24"/>
          <w:szCs w:val="24"/>
        </w:rPr>
        <w:t xml:space="preserve">（3）维保要求</w:t>
      </w:r>
      <w:r/>
    </w:p>
    <w:p>
      <w:pPr>
        <w:ind w:firstLine="480"/>
        <w:spacing w:line="264" w:lineRule="auto"/>
        <w:rPr>
          <w:rFonts w:ascii="宋体" w:hAnsi="宋体"/>
          <w:sz w:val="24"/>
          <w:szCs w:val="24"/>
        </w:rPr>
      </w:pPr>
      <w:r>
        <w:rPr>
          <w:rFonts w:hint="eastAsia" w:ascii="宋体" w:hAnsi="宋体"/>
          <w:sz w:val="24"/>
          <w:szCs w:val="24"/>
        </w:rPr>
        <w:t xml:space="preserve">①维保期：供应商应确保本次采购所有项目的安全稳定的运行，并提供3年维保服务（自验收报告签字确认日起，开始进入维保期，相关费用包含在本次报价中）。维保期内，本合同项目所有技术和服务发生任何非人为故障，由供应商负责系统恢复。</w:t>
      </w:r>
      <w:r/>
    </w:p>
    <w:p>
      <w:pPr>
        <w:ind w:firstLine="480"/>
        <w:spacing w:line="264" w:lineRule="auto"/>
        <w:rPr>
          <w:rFonts w:ascii="宋体" w:hAnsi="宋体"/>
          <w:sz w:val="24"/>
          <w:szCs w:val="24"/>
        </w:rPr>
      </w:pPr>
      <w:r>
        <w:rPr>
          <w:rFonts w:hint="eastAsia" w:ascii="宋体" w:hAnsi="宋体"/>
          <w:sz w:val="24"/>
          <w:szCs w:val="24"/>
        </w:rPr>
        <w:t xml:space="preserve">②维保期内，对采购人提出的合理服务要求，供应商必须即时进行电话、邮件及远程网络支持，并在2小时内到场服务，小型故障恢复时间为4个小时内，严重故障恢复时间为24小时内，并及时有效的提供解决方案。如不到场，采购人有权自行处理，相关费用由供应商负责。</w:t>
      </w:r>
      <w:r/>
    </w:p>
    <w:p>
      <w:pPr>
        <w:ind w:firstLine="480"/>
        <w:spacing w:line="264" w:lineRule="auto"/>
        <w:rPr>
          <w:rFonts w:ascii="宋体" w:hAnsi="宋体"/>
          <w:sz w:val="24"/>
          <w:szCs w:val="24"/>
        </w:rPr>
      </w:pPr>
      <w:r>
        <w:rPr>
          <w:rFonts w:hint="eastAsia" w:ascii="宋体" w:hAnsi="宋体"/>
          <w:sz w:val="24"/>
          <w:szCs w:val="24"/>
        </w:rPr>
        <w:t xml:space="preserve">③供应商须提供定期回访服务，对采购人提出的合理优化建议应提供升级服务。</w:t>
      </w:r>
      <w:r/>
    </w:p>
    <w:p>
      <w:pPr>
        <w:ind w:firstLine="480"/>
        <w:spacing w:line="264" w:lineRule="auto"/>
        <w:rPr>
          <w:rFonts w:ascii="宋体" w:hAnsi="宋体"/>
          <w:sz w:val="24"/>
          <w:szCs w:val="24"/>
        </w:rPr>
      </w:pPr>
      <w:r>
        <w:rPr>
          <w:rFonts w:hint="eastAsia" w:ascii="宋体" w:hAnsi="宋体"/>
          <w:sz w:val="24"/>
          <w:szCs w:val="24"/>
        </w:rPr>
        <w:t xml:space="preserve">④所有的服务方式均为供应商上门保修，即由供应商派员到系统使用现场进行故障恢复，由此产生的一切费用均由供应商承担。</w:t>
      </w:r>
      <w:r/>
    </w:p>
    <w:p>
      <w:pPr>
        <w:ind w:firstLine="480"/>
        <w:spacing w:line="264" w:lineRule="auto"/>
        <w:rPr>
          <w:rFonts w:ascii="宋体" w:hAnsi="宋体"/>
          <w:sz w:val="24"/>
          <w:szCs w:val="24"/>
        </w:rPr>
      </w:pPr>
      <w:r>
        <w:rPr>
          <w:rFonts w:hint="eastAsia" w:ascii="宋体" w:hAnsi="宋体"/>
          <w:sz w:val="24"/>
          <w:szCs w:val="24"/>
        </w:rPr>
        <w:t xml:space="preserve">⑤本采购项目出保后每年的维护费不超过合同总金额的5%。</w:t>
      </w:r>
      <w:r/>
    </w:p>
    <w:p>
      <w:pPr>
        <w:ind w:firstLine="480"/>
        <w:spacing w:line="264" w:lineRule="auto"/>
        <w:rPr>
          <w:rFonts w:ascii="宋体" w:hAnsi="宋体"/>
          <w:sz w:val="24"/>
          <w:szCs w:val="24"/>
        </w:rPr>
      </w:pPr>
      <w:r>
        <w:rPr>
          <w:rFonts w:hint="eastAsia" w:ascii="宋体" w:hAnsi="宋体"/>
          <w:sz w:val="24"/>
          <w:szCs w:val="24"/>
        </w:rPr>
        <w:t xml:space="preserve">⑥维保期内供应商提供的系统软件升级，保证采购人使用最新版本软件。维保期满后软件版本内终身升级。</w:t>
      </w:r>
      <w:r/>
    </w:p>
    <w:p>
      <w:pPr>
        <w:ind w:firstLine="480"/>
        <w:spacing w:line="264" w:lineRule="auto"/>
        <w:rPr>
          <w:rFonts w:ascii="宋体" w:hAnsi="宋体" w:cs="宋体"/>
          <w:bCs/>
          <w:sz w:val="24"/>
          <w:szCs w:val="24"/>
        </w:rPr>
      </w:pPr>
      <w:r>
        <w:rPr>
          <w:rFonts w:hint="eastAsia" w:ascii="宋体" w:hAnsi="宋体" w:cs="宋体"/>
          <w:bCs/>
          <w:sz w:val="24"/>
          <w:szCs w:val="24"/>
        </w:rPr>
        <w:t xml:space="preserve">（4）人员要求</w:t>
      </w:r>
      <w:r/>
    </w:p>
    <w:p>
      <w:pPr>
        <w:ind w:firstLine="480"/>
        <w:spacing w:line="264" w:lineRule="auto"/>
        <w:rPr>
          <w:rFonts w:ascii="宋体" w:hAnsi="宋体"/>
          <w:sz w:val="24"/>
          <w:szCs w:val="24"/>
        </w:rPr>
      </w:pPr>
      <w:r>
        <w:rPr>
          <w:rFonts w:hint="eastAsia" w:ascii="宋体" w:hAnsi="宋体"/>
          <w:sz w:val="24"/>
          <w:szCs w:val="24"/>
        </w:rPr>
        <w:t xml:space="preserve">①项目经理：1人。 </w:t>
      </w:r>
      <w:r/>
    </w:p>
    <w:p>
      <w:pPr>
        <w:ind w:firstLine="480"/>
        <w:spacing w:line="264" w:lineRule="auto"/>
        <w:rPr>
          <w:rFonts w:ascii="宋体" w:hAnsi="宋体"/>
          <w:sz w:val="24"/>
          <w:szCs w:val="24"/>
        </w:rPr>
      </w:pPr>
      <w:r>
        <w:rPr>
          <w:rFonts w:hint="eastAsia" w:ascii="宋体" w:hAnsi="宋体"/>
          <w:sz w:val="24"/>
          <w:szCs w:val="24"/>
        </w:rPr>
        <w:t xml:space="preserve">②技术负责人1人。  </w:t>
      </w:r>
      <w:r/>
    </w:p>
    <w:p>
      <w:pPr>
        <w:ind w:firstLine="480"/>
        <w:spacing w:line="264" w:lineRule="auto"/>
        <w:rPr>
          <w:rFonts w:ascii="宋体" w:hAnsi="宋体"/>
          <w:sz w:val="24"/>
          <w:szCs w:val="24"/>
        </w:rPr>
      </w:pPr>
      <w:r>
        <w:rPr>
          <w:rFonts w:hint="eastAsia" w:ascii="宋体" w:hAnsi="宋体"/>
          <w:sz w:val="24"/>
          <w:szCs w:val="24"/>
        </w:rPr>
        <w:t xml:space="preserve">③开发实施人员：不少于2人，项目开发期间须1人驻场服务。 </w:t>
      </w:r>
      <w:r/>
    </w:p>
    <w:p>
      <w:pPr>
        <w:ind w:firstLine="480"/>
        <w:spacing w:line="264" w:lineRule="auto"/>
        <w:rPr>
          <w:rFonts w:ascii="宋体" w:hAnsi="宋体"/>
          <w:sz w:val="24"/>
          <w:szCs w:val="24"/>
        </w:rPr>
      </w:pPr>
      <w:r>
        <w:rPr>
          <w:rFonts w:hint="eastAsia" w:ascii="宋体" w:hAnsi="宋体"/>
          <w:sz w:val="24"/>
          <w:szCs w:val="24"/>
        </w:rPr>
        <w:t xml:space="preserve">④运维服务人员：不少于1人。 </w:t>
      </w:r>
      <w:r/>
    </w:p>
    <w:p>
      <w:pPr>
        <w:ind w:firstLine="480"/>
        <w:spacing w:line="264" w:lineRule="auto"/>
        <w:rPr>
          <w:rFonts w:ascii="宋体" w:hAnsi="宋体"/>
          <w:sz w:val="24"/>
          <w:szCs w:val="24"/>
        </w:rPr>
      </w:pPr>
      <w:r>
        <w:rPr>
          <w:rFonts w:hint="eastAsia" w:ascii="宋体" w:hAnsi="宋体"/>
          <w:sz w:val="24"/>
          <w:szCs w:val="24"/>
        </w:rPr>
        <w:t xml:space="preserve">⑤项目组所有人员必须为供应商正式工作人员，不得兼任其他项目工作，未经采购人同意，人员不得更换。 </w:t>
      </w:r>
      <w:r/>
    </w:p>
    <w:p>
      <w:pPr>
        <w:ind w:firstLine="480"/>
        <w:spacing w:line="264" w:lineRule="auto"/>
        <w:rPr>
          <w:rFonts w:ascii="宋体" w:hAnsi="宋体" w:cs="宋体"/>
          <w:bCs/>
          <w:sz w:val="24"/>
          <w:szCs w:val="24"/>
        </w:rPr>
      </w:pPr>
      <w:r>
        <w:rPr>
          <w:rFonts w:hint="eastAsia" w:ascii="宋体" w:hAnsi="宋体" w:cs="宋体"/>
          <w:bCs/>
          <w:sz w:val="24"/>
          <w:szCs w:val="24"/>
        </w:rPr>
        <w:t xml:space="preserve">（5）知识产权及保密要求</w:t>
      </w:r>
      <w:r/>
    </w:p>
    <w:p>
      <w:pPr>
        <w:ind w:firstLine="480"/>
        <w:spacing w:line="264" w:lineRule="auto"/>
        <w:rPr>
          <w:rFonts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p>
    <w:p>
      <w:pPr>
        <w:ind w:firstLine="480"/>
        <w:spacing w:line="264" w:lineRule="auto"/>
        <w:rPr>
          <w:rFonts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p>
    <w:p>
      <w:pPr>
        <w:ind w:firstLine="480"/>
        <w:spacing w:line="264" w:lineRule="auto"/>
        <w:rPr>
          <w:rFonts w:ascii="宋体" w:hAnsi="宋体"/>
          <w:sz w:val="24"/>
          <w:szCs w:val="24"/>
        </w:rPr>
      </w:pPr>
      <w:r>
        <w:rPr>
          <w:rFonts w:hint="eastAsia" w:ascii="宋体" w:hAnsi="宋体"/>
          <w:sz w:val="24"/>
          <w:szCs w:val="24"/>
        </w:rPr>
        <w:t xml:space="preserve">满足采购人需求的、完整的、可最终良好运行的系统。</w:t>
      </w:r>
      <w:r/>
    </w:p>
    <w:p>
      <w:pPr>
        <w:ind w:firstLine="480"/>
        <w:spacing w:line="264" w:lineRule="auto"/>
        <w:rPr>
          <w:rFonts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ascii="宋体" w:hAnsi="宋体"/>
          <w:color w:val="0000ff"/>
          <w:sz w:val="24"/>
          <w:szCs w:val="24"/>
        </w:rPr>
      </w:pPr>
      <w:r>
        <w:rPr>
          <w:rFonts w:hint="eastAsia" w:ascii="宋体" w:hAnsi="宋体"/>
          <w:sz w:val="24"/>
          <w:szCs w:val="24"/>
        </w:rPr>
        <w:t xml:space="preserve">提供项目的最终版本部署包及产品永久授权。</w:t>
      </w:r>
      <w:r/>
    </w:p>
    <w:p>
      <w:pPr>
        <w:ind w:firstLine="480"/>
        <w:spacing w:line="264" w:lineRule="auto"/>
        <w:rPr>
          <w:rFonts w:ascii="宋体" w:hAnsi="宋体" w:cs="宋体"/>
          <w:sz w:val="24"/>
          <w:szCs w:val="24"/>
        </w:rPr>
      </w:pPr>
      <w:r>
        <w:rPr>
          <w:rFonts w:hint="eastAsia" w:ascii="宋体" w:hAnsi="宋体" w:cs="宋体"/>
          <w:sz w:val="24"/>
          <w:szCs w:val="24"/>
        </w:rPr>
        <w:t xml:space="preserve">（6）建设成果要求</w:t>
      </w:r>
      <w:r/>
    </w:p>
    <w:p>
      <w:pPr>
        <w:ind w:firstLine="480"/>
        <w:spacing w:line="264" w:lineRule="auto"/>
        <w:rPr>
          <w:rFonts w:ascii="宋体" w:hAnsi="宋体"/>
          <w:sz w:val="24"/>
          <w:szCs w:val="24"/>
        </w:rPr>
      </w:pPr>
      <w:r>
        <w:rPr>
          <w:rFonts w:hint="eastAsia" w:ascii="宋体" w:hAnsi="宋体"/>
          <w:sz w:val="24"/>
          <w:szCs w:val="24"/>
        </w:rPr>
        <w:t xml:space="preserve">供应商在项目建设的各个阶段及时提交建设成果，主要包括但不限于以下内容：</w:t>
      </w:r>
      <w:r/>
    </w:p>
    <w:p>
      <w:pPr>
        <w:ind w:firstLine="480"/>
        <w:spacing w:line="264" w:lineRule="auto"/>
        <w:rPr>
          <w:rFonts w:ascii="宋体" w:hAnsi="宋体"/>
          <w:sz w:val="24"/>
          <w:szCs w:val="24"/>
        </w:rPr>
      </w:pPr>
      <w:r>
        <w:rPr>
          <w:rFonts w:hint="eastAsia" w:ascii="宋体" w:hAnsi="宋体"/>
          <w:sz w:val="24"/>
          <w:szCs w:val="24"/>
        </w:rPr>
        <w:t xml:space="preserve">①项目启动阶段：项目实施方案。 </w:t>
      </w:r>
      <w:r/>
    </w:p>
    <w:p>
      <w:pPr>
        <w:ind w:firstLine="480"/>
        <w:spacing w:line="264" w:lineRule="auto"/>
        <w:rPr>
          <w:rFonts w:ascii="宋体" w:hAnsi="宋体"/>
          <w:sz w:val="24"/>
          <w:szCs w:val="24"/>
        </w:rPr>
      </w:pPr>
      <w:r>
        <w:rPr>
          <w:rFonts w:hint="eastAsia" w:ascii="宋体" w:hAnsi="宋体"/>
          <w:sz w:val="24"/>
          <w:szCs w:val="24"/>
        </w:rPr>
        <w:t xml:space="preserve">②业务需求分析阶段：需求调研方案、需求分析说明书。</w:t>
      </w:r>
      <w:r/>
    </w:p>
    <w:p>
      <w:pPr>
        <w:ind w:firstLine="480"/>
        <w:spacing w:line="264" w:lineRule="auto"/>
        <w:rPr>
          <w:rFonts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p>
    <w:p>
      <w:pPr>
        <w:ind w:firstLine="480"/>
        <w:spacing w:line="264" w:lineRule="auto"/>
        <w:rPr>
          <w:rFonts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p>
    <w:p>
      <w:pPr>
        <w:ind w:firstLine="480"/>
        <w:spacing w:line="264" w:lineRule="auto"/>
        <w:rPr>
          <w:rFonts w:ascii="宋体" w:hAnsi="宋体"/>
          <w:sz w:val="24"/>
          <w:szCs w:val="24"/>
        </w:rPr>
      </w:pPr>
      <w:r>
        <w:rPr>
          <w:rFonts w:hint="eastAsia" w:ascii="宋体" w:hAnsi="宋体"/>
          <w:sz w:val="24"/>
          <w:szCs w:val="24"/>
        </w:rPr>
        <w:t xml:space="preserve">⑤项目验收阶段：测试报告、项目验收方案、系统运行报告、项目验收报告。 </w:t>
      </w:r>
      <w:r/>
    </w:p>
    <w:p>
      <w:pPr>
        <w:ind w:firstLine="480"/>
        <w:spacing w:line="264" w:lineRule="auto"/>
        <w:rPr>
          <w:rFonts w:ascii="宋体" w:hAnsi="宋体"/>
          <w:sz w:val="24"/>
          <w:szCs w:val="24"/>
        </w:rPr>
      </w:pPr>
      <w:r>
        <w:rPr>
          <w:rFonts w:hint="eastAsia" w:ascii="宋体" w:hAnsi="宋体"/>
          <w:sz w:val="24"/>
          <w:szCs w:val="24"/>
        </w:rPr>
        <w:t xml:space="preserve">⑥运行维护阶段：系统维护方案、系统维护手册、系统运行维护记录。</w:t>
      </w:r>
      <w:r/>
    </w:p>
    <w:p>
      <w:pPr>
        <w:ind w:firstLine="480"/>
        <w:spacing w:line="264" w:lineRule="auto"/>
        <w:rPr>
          <w:rFonts w:ascii="宋体" w:hAnsi="宋体"/>
          <w:sz w:val="24"/>
          <w:szCs w:val="24"/>
        </w:rPr>
      </w:pPr>
      <w:r>
        <w:rPr>
          <w:rFonts w:hint="eastAsia" w:ascii="宋体" w:hAnsi="宋体"/>
          <w:sz w:val="24"/>
          <w:szCs w:val="24"/>
        </w:rPr>
        <w:t xml:space="preserve">（7）信创适配要求</w:t>
      </w:r>
      <w:r/>
    </w:p>
    <w:p>
      <w:pPr>
        <w:ind w:firstLine="480"/>
        <w:spacing w:line="264" w:lineRule="auto"/>
        <w:rPr>
          <w:rFonts w:ascii="宋体" w:hAnsi="宋体"/>
          <w:sz w:val="24"/>
          <w:szCs w:val="24"/>
        </w:rPr>
      </w:pPr>
      <w:r>
        <w:rPr>
          <w:rFonts w:hint="eastAsia" w:ascii="宋体" w:hAnsi="宋体"/>
          <w:sz w:val="24"/>
          <w:szCs w:val="24"/>
        </w:rPr>
        <w:t xml:space="preserve">项目涉及的软件、硬件产品满足信创要求。</w:t>
      </w:r>
      <w:r/>
    </w:p>
    <w:p>
      <w:pPr>
        <w:ind w:firstLine="480"/>
        <w:spacing w:line="264" w:lineRule="auto"/>
        <w:rPr>
          <w:rFonts w:ascii="宋体" w:hAnsi="宋体"/>
          <w:sz w:val="24"/>
          <w:szCs w:val="24"/>
        </w:rPr>
      </w:pPr>
      <w:r>
        <w:rPr>
          <w:rFonts w:hint="eastAsia" w:ascii="宋体" w:hAnsi="宋体"/>
          <w:sz w:val="24"/>
          <w:szCs w:val="24"/>
        </w:rPr>
        <w:t xml:space="preserve">（8）网络安全等级保护测评要求</w:t>
      </w:r>
      <w:r/>
    </w:p>
    <w:p>
      <w:pPr>
        <w:ind w:firstLine="480"/>
        <w:spacing w:line="264" w:lineRule="auto"/>
        <w:rPr>
          <w:rFonts w:ascii="宋体" w:hAnsi="宋体"/>
          <w:color w:val="0000ff"/>
          <w:sz w:val="24"/>
          <w:szCs w:val="24"/>
        </w:rPr>
      </w:pPr>
      <w:r>
        <w:rPr>
          <w:rFonts w:hint="eastAsia" w:ascii="宋体" w:hAnsi="宋体"/>
          <w:sz w:val="24"/>
          <w:szCs w:val="24"/>
        </w:rPr>
        <w:t xml:space="preserve">供应商配合采购人，做好系统通过等保测评相关准备工作</w:t>
      </w:r>
      <w:r>
        <w:rPr>
          <w:rFonts w:hint="eastAsia" w:ascii="宋体" w:hAnsi="宋体"/>
          <w:color w:val="0000ff"/>
          <w:sz w:val="24"/>
          <w:szCs w:val="24"/>
        </w:rPr>
        <w:t xml:space="preserve">。</w:t>
      </w:r>
      <w:r/>
    </w:p>
    <w:p>
      <w:pPr>
        <w:ind w:firstLine="480"/>
        <w:jc w:val="left"/>
        <w:spacing w:line="264" w:lineRule="auto"/>
        <w:rPr>
          <w:rFonts w:ascii="宋体" w:hAnsi="宋体"/>
          <w:sz w:val="24"/>
          <w:szCs w:val="24"/>
        </w:rPr>
      </w:pPr>
      <w:r>
        <w:rPr>
          <w:rFonts w:hint="eastAsia" w:ascii="宋体" w:hAnsi="宋体"/>
          <w:sz w:val="24"/>
          <w:szCs w:val="24"/>
        </w:rPr>
        <w:t xml:space="preserve">（9）系统对接要求</w:t>
      </w:r>
      <w:r>
        <w:rPr>
          <w:rFonts w:hint="eastAsia" w:ascii="宋体" w:hAnsi="宋体"/>
          <w:sz w:val="24"/>
          <w:szCs w:val="24"/>
        </w:rPr>
        <w:br/>
      </w:r>
      <w:r>
        <w:rPr>
          <w:rFonts w:hint="eastAsia" w:ascii="宋体" w:hAnsi="宋体"/>
          <w:sz w:val="24"/>
          <w:szCs w:val="24"/>
        </w:rPr>
        <w:t xml:space="preserve">     供应商在提供定制软件开发服务时，需满足以下对接要求：</w:t>
      </w:r>
      <w:r/>
    </w:p>
    <w:p>
      <w:pPr>
        <w:ind w:firstLine="480"/>
        <w:spacing w:line="264" w:lineRule="auto"/>
        <w:rPr>
          <w:rFonts w:ascii="宋体" w:hAnsi="宋体"/>
          <w:sz w:val="24"/>
          <w:szCs w:val="24"/>
        </w:rPr>
      </w:pPr>
      <w:r>
        <w:rPr>
          <w:rFonts w:hint="eastAsia" w:ascii="宋体" w:hAnsi="宋体"/>
          <w:sz w:val="24"/>
          <w:szCs w:val="24"/>
        </w:rPr>
        <w:t xml:space="preserve"> 供</w:t>
      </w:r>
      <w:r>
        <w:rPr>
          <w:rFonts w:hint="eastAsia" w:ascii="宋体" w:hAnsi="宋体"/>
          <w:sz w:val="24"/>
          <w:szCs w:val="24"/>
        </w:rPr>
        <w:t xml:space="preserve">应商提供的系统能够根据采购人实际需求与医院各院区所有信息系统、集成平台做对接及集成：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p>
    <w:p>
      <w:pPr>
        <w:ind w:firstLine="480"/>
        <w:spacing w:line="264" w:lineRule="auto"/>
        <w:rPr>
          <w:rFonts w:ascii="宋体" w:hAnsi="宋体"/>
          <w:sz w:val="24"/>
          <w:szCs w:val="24"/>
        </w:rPr>
      </w:pPr>
      <w:r>
        <w:rPr>
          <w:rFonts w:hint="eastAsia" w:ascii="宋体" w:hAnsi="宋体"/>
          <w:sz w:val="24"/>
          <w:szCs w:val="24"/>
        </w:rPr>
        <w:t xml:space="preserve">对接工作联系人：刘工，联系电话：025-83106666转60619。</w:t>
      </w:r>
      <w:r/>
    </w:p>
    <w:p>
      <w:pPr>
        <w:ind w:firstLine="480"/>
        <w:spacing w:line="264" w:lineRule="auto"/>
        <w:rPr>
          <w:rFonts w:ascii="宋体" w:hAnsi="宋体"/>
          <w:sz w:val="24"/>
          <w:szCs w:val="24"/>
        </w:rPr>
      </w:pPr>
      <w:r>
        <w:rPr>
          <w:rFonts w:hint="eastAsia" w:ascii="宋体" w:hAnsi="宋体"/>
          <w:sz w:val="24"/>
          <w:szCs w:val="24"/>
        </w:rPr>
        <w:t xml:space="preserve">（10）网络安全和数据安全要求，外包网络安全管理要求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p>
    <w:p>
      <w:pPr>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ascii="宋体" w:hAnsi="宋体"/>
          <w:sz w:val="24"/>
          <w:szCs w:val="24"/>
        </w:rPr>
        <w:t xml:space="preserve">60</w:t>
      </w:r>
      <w:r>
        <w:rPr>
          <w:rFonts w:ascii="宋体" w:hAnsi="宋体" w:cs="宋体"/>
          <w:sz w:val="24"/>
          <w:szCs w:val="24"/>
        </w:rPr>
        <w:t xml:space="preserve">天内</w:t>
      </w:r>
      <w:r>
        <w:rPr>
          <w:rFonts w:hint="eastAsia" w:ascii="宋体" w:hAnsi="宋体" w:cs="宋体"/>
          <w:sz w:val="24"/>
          <w:szCs w:val="24"/>
        </w:rPr>
        <w:t xml:space="preserve">完成系统开发及整体交付验收工作</w:t>
      </w:r>
      <w:r>
        <w:rPr>
          <w:rFonts w:ascii="宋体" w:hAnsi="宋体" w:cs="宋体"/>
          <w:sz w:val="24"/>
          <w:szCs w:val="24"/>
        </w:rPr>
        <w:t xml:space="preserve">。</w:t>
      </w:r>
      <w:r/>
    </w:p>
    <w:p>
      <w:pPr>
        <w:ind w:firstLine="480"/>
        <w:spacing w:line="264" w:lineRule="auto"/>
        <w:rPr>
          <w:rFonts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6.其他要求</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供应商在签订合同向采购人提供上述相关证明材料原件核验。</w:t>
      </w:r>
      <w:r/>
    </w:p>
    <w:p>
      <w:pPr>
        <w:ind w:firstLine="480"/>
        <w:spacing w:line="264" w:lineRule="auto"/>
        <w:rPr>
          <w:rFonts w:ascii="宋体" w:hAnsi="宋体" w:cs="宋体"/>
          <w:bCs/>
          <w:sz w:val="24"/>
          <w:szCs w:val="24"/>
        </w:rPr>
      </w:pPr>
      <w:r>
        <w:rPr>
          <w:rFonts w:ascii="宋体" w:hAnsi="宋体" w:cs="宋体"/>
          <w:bCs/>
          <w:sz w:val="24"/>
          <w:szCs w:val="24"/>
        </w:rPr>
      </w:r>
      <w:r/>
    </w:p>
    <w:p>
      <w:pPr>
        <w:pStyle w:val="920"/>
        <w:rPr>
          <w:rFonts w:ascii="宋体" w:hAnsi="宋体" w:eastAsia="宋体"/>
          <w:sz w:val="24"/>
          <w:szCs w:val="24"/>
        </w:rPr>
      </w:pPr>
      <w:r>
        <w:rPr>
          <w:rFonts w:ascii="宋体" w:hAnsi="宋体" w:eastAsia="宋体"/>
          <w:sz w:val="24"/>
          <w:szCs w:val="24"/>
        </w:rPr>
      </w:r>
      <w:r/>
    </w:p>
    <w:p>
      <w:r/>
      <w:r/>
    </w:p>
    <w:p>
      <w:pPr>
        <w:pStyle w:val="920"/>
      </w:pPr>
      <w:r/>
      <w:r/>
    </w:p>
    <w:p>
      <w:r/>
      <w:r/>
    </w:p>
    <w:p>
      <w:pPr>
        <w:pStyle w:val="920"/>
      </w:pPr>
      <w:r/>
      <w:r/>
    </w:p>
    <w:p>
      <w:r/>
      <w:r/>
    </w:p>
    <w:p>
      <w:pPr>
        <w:pStyle w:val="920"/>
      </w:pPr>
      <w:r/>
      <w:r/>
    </w:p>
    <w:p>
      <w:r/>
      <w:r/>
    </w:p>
    <w:p>
      <w:pPr>
        <w:pStyle w:val="920"/>
      </w:pPr>
      <w:r/>
      <w:r/>
    </w:p>
    <w:p>
      <w:r/>
      <w:r/>
    </w:p>
    <w:p>
      <w:pPr>
        <w:pStyle w:val="920"/>
      </w:pPr>
      <w:r/>
      <w:r/>
    </w:p>
    <w:p>
      <w:r/>
      <w:r/>
    </w:p>
    <w:p>
      <w:pPr>
        <w:ind w:right="840"/>
        <w:jc w:val="center"/>
        <w:rPr>
          <w:rFonts w:ascii="方正小标宋简体" w:hAnsi="方正小标宋简体" w:eastAsia="方正小标宋简体" w:cs="方正小标宋简体"/>
          <w:color w:val="000000"/>
          <w:sz w:val="36"/>
          <w:szCs w:val="36"/>
        </w:rPr>
        <w:outlineLvl w:val="0"/>
      </w:pPr>
      <w:r/>
      <w:bookmarkStart w:id="194"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rPr>
          <w:rFonts w:ascii="黑体" w:hAnsi="黑体" w:eastAsia="黑体" w:cs="黑体"/>
          <w:color w:val="000000"/>
          <w:sz w:val="24"/>
          <w:szCs w:val="24"/>
        </w:rPr>
      </w:pPr>
      <w:r>
        <w:rPr>
          <w:rFonts w:ascii="黑体" w:hAnsi="黑体" w:eastAsia="黑体" w:cs="黑体"/>
          <w:color w:val="000000"/>
          <w:sz w:val="24"/>
          <w:szCs w:val="24"/>
        </w:rPr>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rPr>
          <w:rFonts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w:t>
      </w:r>
      <w:r>
        <w:rPr>
          <w:rFonts w:hint="eastAsia" w:ascii="宋体" w:hAnsi="宋体"/>
          <w:sz w:val="24"/>
          <w:szCs w:val="24"/>
        </w:rPr>
        <w:t xml:space="preserve">2.1</w:t>
      </w:r>
      <w:r>
        <w:rPr>
          <w:rFonts w:hint="eastAsia" w:ascii="宋体" w:hAnsi="宋体" w:cs="宋体"/>
          <w:sz w:val="24"/>
          <w:szCs w:val="24"/>
        </w:rPr>
        <w:t xml:space="preserve">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p>
    <w:p>
      <w:pPr>
        <w:ind w:firstLine="480"/>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p>
    <w:p>
      <w:pPr>
        <w:ind w:firstLine="480"/>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96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330"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900"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rPr>
            </w:pPr>
            <w:r>
              <w:rPr>
                <w:rFonts w:ascii="宋体" w:hAnsi="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rPr>
            </w:pPr>
            <w:r>
              <w:rPr>
                <w:rFonts w:hint="eastAsia" w:ascii="宋体" w:hAnsi="宋体" w:cs="宋体"/>
                <w:b/>
                <w:bCs/>
                <w:spacing w:val="-3"/>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rPr>
            </w:pPr>
            <w:r>
              <w:rPr>
                <w:rFonts w:hint="eastAsi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pPr>
            <w:r>
              <w:rPr>
                <w:rFonts w:hint="eastAsia" w:ascii="宋体" w:hAnsi="宋体" w:cs="宋体"/>
              </w:rPr>
              <w:t xml:space="preserve">产品</w:t>
            </w:r>
            <w:r>
              <w:rPr>
                <w:rFonts w:ascii="宋体" w:hAnsi="宋体" w:cs="宋体"/>
              </w:rPr>
              <w:t xml:space="preserve">技术参数全部满足招标要求的得满分</w:t>
            </w:r>
            <w:r>
              <w:rPr>
                <w:rFonts w:hint="eastAsia" w:ascii="宋体" w:hAnsi="宋体" w:cs="宋体"/>
              </w:rPr>
              <w:t xml:space="preserve">，</w:t>
            </w:r>
            <w:r>
              <w:rPr>
                <w:rFonts w:ascii="宋体" w:hAnsi="宋体" w:cs="宋体"/>
              </w:rPr>
              <w:t xml:space="preserve">打★指标为必须满足项，如有负偏离将作为无效投标</w:t>
            </w:r>
            <w:r>
              <w:rPr>
                <w:rFonts w:hint="eastAsia" w:ascii="宋体" w:hAnsi="宋体" w:cs="宋体"/>
              </w:rPr>
              <w:t xml:space="preserve">，</w:t>
            </w:r>
            <w:r>
              <w:rPr>
                <w:rFonts w:ascii="宋体" w:hAnsi="宋体" w:cs="宋体"/>
              </w:rPr>
              <w:t xml:space="preserve">打▲指标为重要指标，</w:t>
            </w:r>
            <w:r>
              <w:rPr>
                <w:rFonts w:hint="eastAsia" w:ascii="宋体" w:hAnsi="宋体" w:cs="宋体"/>
              </w:rPr>
              <w:t xml:space="preserve">有1项负偏离扣1分，其余指标有1项负偏离扣0.5分。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17</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color w:val="0000ff"/>
              </w:rPr>
            </w:pPr>
            <w:r>
              <w:rPr>
                <w:rFonts w:hint="eastAsia"/>
              </w:rPr>
              <w:t xml:space="preserve">需求理解</w:t>
            </w:r>
            <w:r/>
          </w:p>
        </w:tc>
        <w:tc>
          <w:tcPr>
            <w:tcBorders>
              <w:top w:val="single" w:color="000000" w:sz="2" w:space="0"/>
              <w:bottom w:val="single" w:color="000000" w:sz="2" w:space="0"/>
            </w:tcBorders>
            <w:tcW w:w="6330" w:type="dxa"/>
            <w:vAlign w:val="center"/>
            <w:textDirection w:val="lrTb"/>
            <w:noWrap w:val="false"/>
          </w:tcPr>
          <w:p>
            <w:pPr>
              <w:rPr>
                <w:rFonts w:ascii="宋体" w:hAnsi="宋体" w:cs="宋体"/>
              </w:rPr>
            </w:pPr>
            <w:r/>
            <w:bookmarkStart w:id="195" w:name="OLE_LINK5"/>
            <w:r>
              <w:rPr>
                <w:rFonts w:hint="eastAsia"/>
              </w:rPr>
              <w:t xml:space="preserve">根据本项目采购需求编制，内容包含</w:t>
            </w:r>
            <w:r>
              <w:rPr>
                <w:rFonts w:hint="eastAsia" w:ascii="宋体" w:hAnsi="宋体" w:cs="宋体"/>
              </w:rPr>
              <w:t xml:space="preserve">：1.业务需求分析；2.建设目标分析；3.建设依据、必要性分析；4.重点难点分析。以上每项内容逐条阐述。</w:t>
            </w:r>
            <w:r/>
          </w:p>
          <w:p>
            <w:pPr>
              <w:rPr>
                <w:rFonts w:ascii="宋体" w:hAnsi="宋体" w:cs="宋体"/>
              </w:rPr>
            </w:pPr>
            <w:r>
              <w:rPr>
                <w:rFonts w:hint="eastAsia" w:ascii="宋体" w:hAnsi="宋体" w:cs="宋体"/>
              </w:rPr>
              <w:t xml:space="preserve">方案内容对需求理解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pStyle w:val="860"/>
              <w:spacing w:line="264" w:lineRule="auto"/>
            </w:pPr>
            <w:r>
              <w:rPr>
                <w:rFonts w:hint="eastAsia" w:ascii="宋体" w:hAnsi="宋体" w:cs="宋体"/>
              </w:rPr>
              <w:t xml:space="preserve">上述每项内容符合得2分；部分符合得1分；不符合或不提供不得分</w:t>
            </w:r>
            <w:bookmarkEnd w:id="195"/>
            <w:r>
              <w:rPr>
                <w:rFonts w:hint="eastAsia" w:ascii="宋体" w:hAnsi="宋体" w:cs="宋体"/>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4"/>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ascii="宋体" w:hAnsi="宋体"/>
              </w:rPr>
              <w:t xml:space="preserve">总体技术方案</w:t>
            </w:r>
            <w:r/>
          </w:p>
        </w:tc>
        <w:tc>
          <w:tcPr>
            <w:tcBorders>
              <w:top w:val="single" w:color="000000" w:sz="2" w:space="0"/>
              <w:bottom w:val="single" w:color="000000" w:sz="2" w:space="0"/>
            </w:tcBorders>
            <w:tcW w:w="6330" w:type="dxa"/>
            <w:vAlign w:val="center"/>
            <w:textDirection w:val="lrTb"/>
            <w:noWrap w:val="false"/>
          </w:tcPr>
          <w:p>
            <w:pPr>
              <w:rPr>
                <w:rFonts w:ascii="宋体" w:hAnsi="宋体" w:cs="宋体"/>
              </w:rPr>
            </w:pPr>
            <w:r>
              <w:rPr>
                <w:rFonts w:hint="eastAsia"/>
              </w:rPr>
              <w:t xml:space="preserve">根据本项目采购需求编制方案，内容包含</w:t>
            </w:r>
            <w:r>
              <w:rPr>
                <w:rFonts w:hint="eastAsia" w:ascii="宋体" w:hAnsi="宋体" w:cs="宋体"/>
              </w:rPr>
              <w:t xml:space="preserve">：1.</w:t>
            </w:r>
            <w:r>
              <w:rPr>
                <w:rFonts w:ascii="宋体" w:hAnsi="宋体"/>
              </w:rPr>
              <w:t xml:space="preserve">总体设计</w:t>
            </w:r>
            <w:r>
              <w:rPr>
                <w:rFonts w:hint="eastAsia" w:ascii="宋体" w:hAnsi="宋体"/>
              </w:rPr>
              <w:t xml:space="preserve">；2.</w:t>
            </w:r>
            <w:r>
              <w:rPr>
                <w:rFonts w:ascii="宋体" w:hAnsi="宋体"/>
              </w:rPr>
              <w:t xml:space="preserve">架构设计</w:t>
            </w:r>
            <w:r>
              <w:rPr>
                <w:rFonts w:hint="eastAsia" w:ascii="宋体" w:hAnsi="宋体"/>
              </w:rPr>
              <w:t xml:space="preserve">；3.</w:t>
            </w:r>
            <w:r>
              <w:rPr>
                <w:rFonts w:ascii="宋体" w:hAnsi="宋体"/>
              </w:rPr>
              <w:t xml:space="preserve">关键技术描述和说明</w:t>
            </w:r>
            <w:r>
              <w:rPr>
                <w:rFonts w:hint="eastAsia" w:ascii="宋体" w:hAnsi="宋体"/>
              </w:rPr>
              <w:t xml:space="preserve">；4.安全解决方案</w:t>
            </w:r>
            <w:r>
              <w:rPr>
                <w:rFonts w:hint="eastAsia" w:ascii="宋体" w:hAnsi="宋体" w:cs="宋体"/>
              </w:rPr>
              <w:t xml:space="preserve">。以上每项内容逐条阐述。</w:t>
            </w:r>
            <w:r/>
          </w:p>
          <w:p>
            <w:pPr>
              <w:rPr>
                <w:rFonts w:ascii="宋体" w:hAnsi="宋体" w:cs="宋体"/>
              </w:rPr>
            </w:pPr>
            <w:r>
              <w:rPr>
                <w:rFonts w:hint="eastAsia" w:ascii="宋体" w:hAnsi="宋体" w:cs="宋体"/>
              </w:rPr>
              <w:t xml:space="preserve">方案内容对需求理解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pStyle w:val="860"/>
              <w:spacing w:line="264" w:lineRule="auto"/>
              <w:rPr>
                <w:rFonts w:ascii="宋体" w:hAnsi="宋体" w:cs="宋体"/>
              </w:rPr>
            </w:pPr>
            <w:r>
              <w:rPr>
                <w:rFonts w:hint="eastAsia" w:ascii="宋体" w:hAnsi="宋体" w:cs="宋体"/>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4"/>
              </w:rPr>
            </w:pPr>
            <w:r>
              <w:rPr>
                <w:rFonts w:hint="eastAsia" w:ascii="宋体" w:hAnsi="宋体" w:cs="宋体"/>
                <w:spacing w:val="-4"/>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179" w:type="dxa"/>
            <w:vAlign w:val="center"/>
            <w:textDirection w:val="lrTb"/>
            <w:noWrap w:val="false"/>
          </w:tcPr>
          <w:p>
            <w:pPr>
              <w:spacing w:line="264" w:lineRule="auto"/>
              <w:rPr>
                <w:rFonts w:ascii="宋体" w:hAnsi="宋体"/>
              </w:rPr>
            </w:pPr>
            <w:r>
              <w:rPr>
                <w:rFonts w:hint="eastAsia" w:ascii="宋体" w:hAnsi="宋体"/>
              </w:rPr>
              <w:t xml:space="preserve">项目实施方案</w:t>
            </w:r>
            <w:r/>
          </w:p>
        </w:tc>
        <w:tc>
          <w:tcPr>
            <w:tcBorders>
              <w:top w:val="single" w:color="000000" w:sz="2" w:space="0"/>
              <w:bottom w:val="single" w:color="000000" w:sz="2" w:space="0"/>
            </w:tcBorders>
            <w:tcW w:w="6330" w:type="dxa"/>
            <w:vAlign w:val="center"/>
            <w:textDirection w:val="lrTb"/>
            <w:noWrap w:val="false"/>
          </w:tcPr>
          <w:p>
            <w:pPr>
              <w:rPr>
                <w:rFonts w:ascii="宋体" w:hAnsi="宋体" w:cs="宋体"/>
              </w:rPr>
            </w:pPr>
            <w:r>
              <w:rPr>
                <w:rFonts w:hint="eastAsia"/>
              </w:rPr>
              <w:t xml:space="preserve">根据本项目采购需求编制方案，内容包含</w:t>
            </w:r>
            <w:r>
              <w:rPr>
                <w:rFonts w:hint="eastAsia" w:ascii="宋体" w:hAnsi="宋体" w:cs="宋体"/>
              </w:rPr>
              <w:t xml:space="preserve">：1.</w:t>
            </w:r>
            <w:r>
              <w:rPr>
                <w:rFonts w:hint="eastAsia" w:ascii="宋体" w:hAnsi="宋体"/>
              </w:rPr>
              <w:t xml:space="preserve">项目实施方案；2.调试测试方案；3.项目管理方案</w:t>
            </w:r>
            <w:r>
              <w:rPr>
                <w:rFonts w:hint="eastAsia" w:ascii="宋体" w:hAnsi="宋体" w:cs="宋体"/>
              </w:rPr>
              <w:t xml:space="preserve">。以上每项内容逐条阐述。</w:t>
            </w:r>
            <w:r/>
          </w:p>
          <w:p>
            <w:pPr>
              <w:rPr>
                <w:rFonts w:ascii="宋体" w:hAnsi="宋体" w:cs="宋体"/>
              </w:rPr>
            </w:pPr>
            <w:r>
              <w:rPr>
                <w:rFonts w:hint="eastAsia" w:ascii="宋体" w:hAnsi="宋体" w:cs="宋体"/>
              </w:rPr>
              <w:t xml:space="preserve">方案内容对需求理解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pStyle w:val="860"/>
              <w:spacing w:line="264" w:lineRule="auto"/>
              <w:rPr>
                <w:rFonts w:ascii="宋体" w:hAnsi="宋体" w:cs="宋体"/>
              </w:rPr>
            </w:pPr>
            <w:r>
              <w:rPr>
                <w:rFonts w:hint="eastAsia" w:ascii="宋体" w:hAnsi="宋体" w:cs="宋体"/>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4"/>
              </w:rPr>
            </w:pPr>
            <w:r>
              <w:rPr>
                <w:rFonts w:hint="eastAsia" w:ascii="宋体" w:hAnsi="宋体" w:cs="宋体"/>
                <w:spacing w:val="-4"/>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ascii="宋体" w:hAnsi="宋体"/>
              </w:rPr>
              <w:t xml:space="preserve">系统对接方案</w:t>
            </w:r>
            <w:r/>
          </w:p>
        </w:tc>
        <w:tc>
          <w:tcPr>
            <w:tcBorders>
              <w:top w:val="single" w:color="000000" w:sz="2" w:space="0"/>
              <w:bottom w:val="single" w:color="000000" w:sz="2" w:space="0"/>
            </w:tcBorders>
            <w:tcW w:w="6330" w:type="dxa"/>
            <w:vAlign w:val="center"/>
            <w:textDirection w:val="lrTb"/>
            <w:noWrap w:val="false"/>
          </w:tcPr>
          <w:p>
            <w:pPr>
              <w:rPr>
                <w:rFonts w:ascii="宋体" w:hAnsi="宋体" w:cs="宋体"/>
              </w:rPr>
            </w:pPr>
            <w:r>
              <w:rPr>
                <w:rFonts w:hint="eastAsia"/>
              </w:rPr>
              <w:t xml:space="preserve">根据本项目采购需求编制方案，内容包含</w:t>
            </w:r>
            <w:r>
              <w:rPr>
                <w:rFonts w:hint="eastAsia" w:ascii="宋体" w:hAnsi="宋体" w:cs="宋体"/>
              </w:rPr>
              <w:t xml:space="preserve">：1.集成接口方案；2.备份与应急预案；3.协助医院电子病历七级应对方案。以上每项内容逐条阐述。</w:t>
            </w:r>
            <w:r/>
          </w:p>
          <w:p>
            <w:pPr>
              <w:rPr>
                <w:rFonts w:ascii="宋体" w:hAnsi="宋体" w:cs="宋体"/>
              </w:rPr>
            </w:pPr>
            <w:r>
              <w:rPr>
                <w:rFonts w:hint="eastAsia" w:ascii="宋体" w:hAnsi="宋体" w:cs="宋体"/>
              </w:rPr>
              <w:t xml:space="preserve">方案内容对需求理解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jc w:val="left"/>
              <w:spacing w:line="264" w:lineRule="auto"/>
              <w:rPr>
                <w:lang w:val="zh-CN"/>
              </w:rPr>
            </w:pPr>
            <w:r>
              <w:rPr>
                <w:rFonts w:hint="eastAsia" w:ascii="宋体" w:hAnsi="宋体" w:cs="宋体"/>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rPr>
            </w:pPr>
            <w:r>
              <w:rPr>
                <w:rFonts w:hint="eastAsia" w:ascii="宋体" w:hAnsi="宋体" w:cs="宋体"/>
                <w:b/>
                <w:bCs/>
                <w:spacing w:val="-3"/>
              </w:rPr>
              <w:t xml:space="preserve">3.服务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ascii="宋体" w:hAnsi="宋体"/>
              </w:rPr>
              <w:t xml:space="preserve">维保服务方案</w:t>
            </w:r>
            <w:r/>
          </w:p>
        </w:tc>
        <w:tc>
          <w:tcPr>
            <w:tcBorders>
              <w:top w:val="single" w:color="000000" w:sz="2" w:space="0"/>
              <w:bottom w:val="single" w:color="000000" w:sz="2" w:space="0"/>
            </w:tcBorders>
            <w:tcW w:w="6330" w:type="dxa"/>
            <w:vAlign w:val="center"/>
            <w:textDirection w:val="lrTb"/>
            <w:noWrap w:val="false"/>
          </w:tcPr>
          <w:p>
            <w:pPr>
              <w:rPr>
                <w:rFonts w:ascii="宋体" w:hAnsi="宋体" w:cs="宋体"/>
              </w:rPr>
            </w:pPr>
            <w:r>
              <w:rPr>
                <w:rFonts w:hint="eastAsia"/>
              </w:rPr>
              <w:t xml:space="preserve">根据本项目采购需求编制方案，内容包含</w:t>
            </w:r>
            <w:r>
              <w:rPr>
                <w:rFonts w:hint="eastAsia" w:ascii="宋体" w:hAnsi="宋体" w:cs="宋体"/>
              </w:rPr>
              <w:t xml:space="preserve">：</w:t>
            </w:r>
            <w:r>
              <w:rPr>
                <w:rFonts w:hint="eastAsia" w:ascii="宋体" w:hAnsi="宋体"/>
              </w:rPr>
              <w:t xml:space="preserve">1.</w:t>
            </w:r>
            <w:r>
              <w:rPr>
                <w:rFonts w:hint="eastAsia" w:ascii="宋体" w:hAnsi="宋体"/>
                <w:bCs/>
              </w:rPr>
              <w:t xml:space="preserve">服务保障体系</w:t>
            </w:r>
            <w:r>
              <w:rPr>
                <w:rFonts w:hint="eastAsia" w:ascii="宋体" w:hAnsi="宋体"/>
              </w:rPr>
              <w:t xml:space="preserve">；2.</w:t>
            </w:r>
            <w:r>
              <w:rPr>
                <w:rFonts w:hint="eastAsia" w:ascii="宋体" w:hAnsi="宋体"/>
                <w:bCs/>
              </w:rPr>
              <w:t xml:space="preserve">服务内容</w:t>
            </w:r>
            <w:r>
              <w:rPr>
                <w:rFonts w:hint="eastAsia" w:ascii="宋体" w:hAnsi="宋体"/>
              </w:rPr>
              <w:t xml:space="preserve">；3.</w:t>
            </w:r>
            <w:r>
              <w:rPr>
                <w:rFonts w:hint="eastAsia" w:ascii="宋体" w:hAnsi="宋体"/>
                <w:bCs/>
              </w:rPr>
              <w:t xml:space="preserve">故障解决方案</w:t>
            </w:r>
            <w:r>
              <w:rPr>
                <w:rFonts w:hint="eastAsia" w:ascii="宋体" w:hAnsi="宋体" w:cs="宋体"/>
              </w:rPr>
              <w:t xml:space="preserve">。以上每项内容逐条阐述。</w:t>
            </w:r>
            <w:r/>
          </w:p>
          <w:p>
            <w:pPr>
              <w:rPr>
                <w:rFonts w:ascii="宋体" w:hAnsi="宋体" w:cs="宋体"/>
              </w:rPr>
            </w:pPr>
            <w:r>
              <w:rPr>
                <w:rFonts w:hint="eastAsia" w:ascii="宋体" w:hAnsi="宋体" w:cs="宋体"/>
              </w:rPr>
              <w:t xml:space="preserve">方案内容对需求理解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pStyle w:val="920"/>
              <w:ind w:left="0"/>
              <w:spacing w:line="264" w:lineRule="auto"/>
              <w:rPr>
                <w:rFonts w:eastAsia="宋体"/>
                <w:sz w:val="21"/>
              </w:rPr>
            </w:pPr>
            <w:r>
              <w:rPr>
                <w:rFonts w:hint="eastAsia" w:ascii="宋体" w:hAnsi="宋体" w:eastAsia="宋体"/>
                <w:sz w:val="21"/>
                <w:lang w:val="en-US"/>
              </w:rPr>
              <w:t xml:space="preserve">上述每项内容符合得</w:t>
            </w:r>
            <w:r>
              <w:rPr>
                <w:rFonts w:hint="eastAsia" w:ascii="宋体" w:hAnsi="宋体"/>
                <w:sz w:val="21"/>
                <w:lang w:val="en-US"/>
              </w:rPr>
              <w:t xml:space="preserve">2</w:t>
            </w:r>
            <w:r>
              <w:rPr>
                <w:rFonts w:hint="eastAsia" w:ascii="宋体" w:hAnsi="宋体" w:eastAsia="宋体"/>
                <w:sz w:val="21"/>
                <w:lang w:val="en-US"/>
              </w:rPr>
              <w:t xml:space="preserve">分；部分符合得</w:t>
            </w:r>
            <w:r>
              <w:rPr>
                <w:rFonts w:hint="eastAsia" w:ascii="宋体" w:hAnsi="宋体"/>
                <w:sz w:val="21"/>
                <w:lang w:val="en-US"/>
              </w:rPr>
              <w:t xml:space="preserve">1</w:t>
            </w:r>
            <w:r>
              <w:rPr>
                <w:rFonts w:hint="eastAsia" w:ascii="宋体" w:hAnsi="宋体" w:eastAsia="宋体"/>
                <w:sz w:val="21"/>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rPr>
            </w:pPr>
            <w:r>
              <w:rPr>
                <w:rFonts w:hint="eastAsia"/>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eastAsia="方正仿宋_GBK"/>
                <w:lang w:bidi="zh-CN"/>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日（含）以来类似项目业绩，每提供</w:t>
            </w:r>
            <w:r>
              <w:rPr>
                <w:rFonts w:hint="eastAsia" w:ascii="宋体" w:hAnsi="宋体" w:cs="宋体"/>
              </w:rPr>
              <w:t xml:space="preserve">1</w:t>
            </w:r>
            <w:r>
              <w:rPr>
                <w:rFonts w:ascii="宋体" w:hAnsi="宋体" w:cs="宋体"/>
              </w:rPr>
              <w:t xml:space="preserve">个得</w:t>
            </w:r>
            <w:r>
              <w:rPr>
                <w:rFonts w:hint="eastAsia" w:ascii="宋体" w:hAnsi="宋体" w:cs="宋体"/>
              </w:rPr>
              <w:t xml:space="preserve">2</w:t>
            </w:r>
            <w:r>
              <w:rPr>
                <w:rFonts w:ascii="宋体" w:hAnsi="宋体" w:cs="宋体"/>
              </w:rPr>
              <w:t xml:space="preserve">分</w:t>
            </w:r>
            <w:r>
              <w:rPr>
                <w:rFonts w:hint="eastAsia" w:ascii="宋体" w:hAnsi="宋体" w:cs="宋体"/>
              </w:rPr>
              <w:t xml:space="preserve">，</w:t>
            </w:r>
            <w:r>
              <w:rPr>
                <w:rFonts w:ascii="宋体" w:hAnsi="宋体" w:cs="宋体"/>
              </w:rPr>
              <w:t xml:space="preserve">本项最多得</w:t>
            </w:r>
            <w:r>
              <w:rPr>
                <w:rFonts w:hint="eastAsia" w:ascii="宋体" w:hAnsi="宋体" w:cs="宋体"/>
              </w:rPr>
              <w:t xml:space="preserve">6分</w:t>
            </w:r>
            <w:r>
              <w:rPr>
                <w:rFonts w:ascii="宋体" w:hAnsi="宋体" w:cs="宋体"/>
              </w:rPr>
              <w:t xml:space="preserve">。（</w:t>
            </w:r>
            <w:r>
              <w:rPr>
                <w:rFonts w:hint="eastAsia" w:ascii="宋体" w:hAnsi="宋体" w:cs="宋体"/>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ascii="宋体" w:hAnsi="宋体" w:cs="宋体"/>
              </w:rPr>
            </w:pPr>
            <w:r>
              <w:rPr>
                <w:rFonts w:hint="eastAsia" w:ascii="宋体" w:hAnsi="宋体" w:cs="宋体"/>
                <w:b/>
                <w:bCs/>
                <w:spacing w:val="-3"/>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投标人投入本项目的项目经理具有工信部和人社部颁发的信息系统项目管理师证书，得3分。</w:t>
            </w:r>
            <w:r/>
          </w:p>
          <w:p>
            <w:pPr>
              <w:spacing w:line="264" w:lineRule="auto"/>
            </w:pPr>
            <w:r>
              <w:rPr>
                <w:rFonts w:hint="eastAsia" w:ascii="宋体" w:hAnsi="宋体" w:cs="宋体"/>
              </w:rPr>
              <w:t xml:space="preserve">（提供人员名单及证书证明材料，投标人为其缴纳的2026年1月以来任意一个月的社保证明材料，缺一不可）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rPr>
            </w:pPr>
            <w:r>
              <w:rPr>
                <w:rFonts w:hint="eastAsia" w:ascii="宋体" w:hAnsi="宋体"/>
              </w:rPr>
              <w:t xml:space="preserve">项目实施团队能力：</w:t>
            </w:r>
            <w:r/>
          </w:p>
          <w:p>
            <w:pPr>
              <w:spacing w:line="264" w:lineRule="auto"/>
              <w:rPr>
                <w:rFonts w:ascii="宋体" w:hAnsi="宋体"/>
              </w:rPr>
            </w:pPr>
            <w:r>
              <w:rPr>
                <w:rFonts w:hint="eastAsia" w:ascii="宋体" w:hAnsi="宋体"/>
              </w:rPr>
              <w:t xml:space="preserve">团队成员具有由工业和信息化部教育与考试中心颁发的数据分析</w:t>
            </w:r>
            <w:r>
              <w:rPr>
                <w:rFonts w:ascii="宋体" w:hAnsi="宋体"/>
              </w:rPr>
              <w:t xml:space="preserve">（初级）</w:t>
            </w:r>
            <w:r>
              <w:rPr>
                <w:rFonts w:hint="eastAsia" w:ascii="宋体" w:hAnsi="宋体"/>
              </w:rPr>
              <w:t xml:space="preserve">证书或国家人力资源部和社会保障部、国家卫生健康委员会颁发的卫生专业技术资格-中级证书，每提供1个证书得2分，最高得4分。</w:t>
            </w:r>
            <w:r/>
          </w:p>
          <w:p>
            <w:pPr>
              <w:spacing w:line="264" w:lineRule="auto"/>
              <w:rPr>
                <w:rFonts w:ascii="宋体" w:hAnsi="宋体" w:cs="宋体"/>
              </w:rPr>
            </w:pPr>
            <w:r>
              <w:rPr>
                <w:rFonts w:hint="eastAsia" w:ascii="宋体" w:hAnsi="宋体"/>
              </w:rPr>
              <w:t xml:space="preserve">（</w:t>
            </w:r>
            <w:r>
              <w:rPr>
                <w:rFonts w:hint="eastAsia" w:ascii="宋体" w:hAnsi="宋体" w:cs="宋体"/>
                <w:color w:val="000000"/>
              </w:rPr>
              <w:t xml:space="preserve">一人多证不重复计分，</w:t>
            </w:r>
            <w:r>
              <w:rPr>
                <w:rFonts w:hint="eastAsia" w:ascii="宋体" w:hAnsi="宋体"/>
              </w:rPr>
              <w:t xml:space="preserve">提供团队成员名单及证书证明材料，投标人为其缴纳的2026年1月以来任意一个月的社保证明材料，缺一不可）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5.3</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履约能力3</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投标人具有本项目相关的软件著作权证书，包括</w:t>
            </w:r>
            <w:r>
              <w:rPr>
                <w:rFonts w:ascii="宋体" w:hAnsi="宋体" w:cs="宋体"/>
              </w:rPr>
              <w:t xml:space="preserve">“</w:t>
            </w:r>
            <w:r>
              <w:rPr>
                <w:rFonts w:hint="eastAsia" w:ascii="宋体" w:hAnsi="宋体" w:cs="宋体"/>
              </w:rPr>
              <w:t xml:space="preserve">肿瘤诊疗类”或“规范化诊疗类</w:t>
            </w:r>
            <w:r>
              <w:rPr>
                <w:rFonts w:ascii="宋体" w:hAnsi="宋体" w:cs="宋体"/>
              </w:rPr>
              <w:t xml:space="preserve">”</w:t>
            </w:r>
            <w:r>
              <w:rPr>
                <w:rFonts w:hint="eastAsia" w:ascii="宋体" w:hAnsi="宋体" w:cs="宋体"/>
              </w:rPr>
              <w:t xml:space="preserve">等，每提供1个证书得</w:t>
            </w:r>
            <w:r>
              <w:rPr>
                <w:rFonts w:ascii="宋体" w:hAnsi="宋体" w:cs="宋体"/>
              </w:rPr>
              <w:t xml:space="preserve">2</w:t>
            </w:r>
            <w:r>
              <w:rPr>
                <w:rFonts w:hint="eastAsia" w:ascii="宋体" w:hAnsi="宋体" w:cs="宋体"/>
              </w:rPr>
              <w:t xml:space="preserve">分，最高得6分。 </w:t>
            </w:r>
            <w:r/>
          </w:p>
          <w:p>
            <w:pPr>
              <w:spacing w:line="264" w:lineRule="auto"/>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pPr>
            <w:r>
              <w:rPr>
                <w:rFonts w:ascii="宋体" w:hAnsi="宋体" w:cs="宋体"/>
                <w:spacing w:val="-11"/>
              </w:rPr>
              <w:t xml:space="preserve">100分</w:t>
            </w:r>
            <w:r/>
          </w:p>
        </w:tc>
      </w:tr>
    </w:tbl>
    <w:p>
      <w:pPr>
        <w:spacing w:line="264" w:lineRule="auto"/>
      </w:pPr>
      <w:r/>
      <w:r/>
    </w:p>
    <w:p>
      <w:pPr>
        <w:jc w:val="center"/>
      </w:pPr>
      <w:r>
        <w:rPr>
          <w:rFonts w:hint="eastAsia"/>
        </w:rPr>
        <w:br w:type="page" w:clear="all"/>
      </w:r>
      <w:r/>
    </w:p>
    <w:p>
      <w:pPr>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4"/>
      <w:r>
        <w:rPr>
          <w:rFonts w:hint="eastAsia" w:ascii="方正小标宋简体" w:hAnsi="方正小标宋简体" w:eastAsia="方正小标宋简体" w:cs="方正小标宋简体"/>
          <w:color w:val="000000"/>
          <w:sz w:val="36"/>
          <w:szCs w:val="36"/>
        </w:rPr>
        <w:t xml:space="preserve">文件格式</w:t>
      </w:r>
      <w:r/>
    </w:p>
    <w:p>
      <w:pPr>
        <w:jc w:val="center"/>
        <w:rPr>
          <w:rFonts w:ascii="宋体" w:hAnsi="宋体"/>
          <w:b/>
          <w:sz w:val="72"/>
        </w:rPr>
      </w:pPr>
      <w:r/>
      <w:bookmarkStart w:id="196" w:name="_Hlt26671244"/>
      <w:r/>
      <w:bookmarkEnd w:id="196"/>
      <w:r/>
      <w:bookmarkStart w:id="197" w:name="_Hlt26955039"/>
      <w:r/>
      <w:bookmarkEnd w:id="197"/>
      <w:r/>
      <w:bookmarkStart w:id="198" w:name="_Toc49090576"/>
      <w:r/>
      <w:bookmarkStart w:id="199" w:name="_Toc26554094"/>
      <w:r/>
      <w:bookmarkStart w:id="200" w:name="_Toc120614282"/>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十一、联合体协议（如有）</w:t>
      </w:r>
      <w:r/>
    </w:p>
    <w:p>
      <w:pPr>
        <w:pStyle w:val="886"/>
        <w:ind w:firstLine="560"/>
        <w:rPr>
          <w:rFonts w:cs="宋体"/>
          <w:sz w:val="28"/>
          <w:szCs w:val="28"/>
        </w:rPr>
      </w:pPr>
      <w:r>
        <w:rPr>
          <w:rFonts w:hint="eastAsia" w:cs="宋体"/>
          <w:sz w:val="28"/>
          <w:szCs w:val="28"/>
        </w:rPr>
        <w:t xml:space="preserve">十二、分包承诺书（如有）</w:t>
      </w:r>
      <w:r/>
    </w:p>
    <w:p>
      <w:pPr>
        <w:pStyle w:val="886"/>
        <w:ind w:firstLine="560"/>
      </w:pPr>
      <w:r>
        <w:rPr>
          <w:rFonts w:hint="eastAsia" w:cs="宋体"/>
          <w:sz w:val="28"/>
          <w:szCs w:val="28"/>
        </w:rPr>
        <w:t xml:space="preserve">十三、关于符合本国产品标准的声明函（如有）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26"/>
        <w:rPr>
          <w:sz w:val="24"/>
        </w:rPr>
      </w:pPr>
      <w:r>
        <w:rPr>
          <w:sz w:val="24"/>
        </w:rPr>
      </w:r>
      <w:r/>
    </w:p>
    <w:p>
      <w:pPr>
        <w:pStyle w:val="926"/>
        <w:rPr>
          <w:sz w:val="24"/>
        </w:rPr>
      </w:pPr>
      <w:r>
        <w:rPr>
          <w:sz w:val="24"/>
        </w:rPr>
      </w:r>
      <w:r/>
    </w:p>
    <w:p>
      <w:pPr>
        <w:pStyle w:val="926"/>
        <w:rPr>
          <w:sz w:val="24"/>
        </w:rPr>
      </w:pPr>
      <w:r>
        <w:rPr>
          <w:sz w:val="24"/>
        </w:rPr>
      </w:r>
      <w:r/>
    </w:p>
    <w:p>
      <w:pPr>
        <w:pStyle w:val="926"/>
        <w:rPr>
          <w:sz w:val="24"/>
        </w:rPr>
      </w:pPr>
      <w:r>
        <w:rPr>
          <w:sz w:val="24"/>
        </w:rPr>
      </w:r>
      <w:r/>
    </w:p>
    <w:p>
      <w:pPr>
        <w:pStyle w:val="926"/>
        <w:rPr>
          <w:sz w:val="24"/>
        </w:rPr>
      </w:pPr>
      <w:r>
        <w:rPr>
          <w:sz w:val="24"/>
        </w:rPr>
      </w:r>
      <w:r/>
    </w:p>
    <w:p>
      <w:pPr>
        <w:ind w:firstLine="480"/>
        <w:spacing w:line="440" w:lineRule="exact"/>
        <w:rPr>
          <w:rFonts w:ascii="宋体" w:hAnsi="宋体"/>
          <w:sz w:val="24"/>
        </w:rPr>
      </w:pPr>
      <w:r>
        <w:rPr>
          <w:rFonts w:ascii="宋体" w:hAnsi="宋体"/>
          <w:sz w:val="24"/>
        </w:rPr>
      </w:r>
      <w:bookmarkEnd w:id="198"/>
      <w:r/>
      <w:bookmarkEnd w:id="199"/>
      <w:r/>
      <w:bookmarkEnd w:id="200"/>
      <w:r/>
      <w:r/>
    </w:p>
    <w:p>
      <w:pPr>
        <w:jc w:val="left"/>
        <w:spacing w:line="360" w:lineRule="auto"/>
        <w:rPr>
          <w:rFonts w:ascii="黑体" w:hAnsi="黑体" w:eastAsia="黑体"/>
          <w:sz w:val="32"/>
          <w:szCs w:val="32"/>
        </w:rPr>
      </w:pPr>
      <w:r/>
      <w:bookmarkStart w:id="201" w:name="_Toc120614284"/>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3"/>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pStyle w:val="965"/>
        <w:rPr>
          <w:rFonts w:ascii="宋体" w:hAnsi="宋体"/>
          <w:b/>
          <w:bCs/>
          <w:lang w:eastAsia="zh-CN"/>
        </w:rPr>
      </w:pPr>
      <w:r>
        <w:rPr>
          <w:rFonts w:ascii="宋体" w:hAnsi="宋体"/>
          <w:b/>
          <w:bCs/>
          <w:lang w:eastAsia="zh-CN"/>
        </w:rPr>
      </w:r>
      <w:r/>
    </w:p>
    <w:p>
      <w:r/>
      <w:r/>
    </w:p>
    <w:p>
      <w:pPr>
        <w:pStyle w:val="886"/>
      </w:pPr>
      <w:r/>
      <w:r/>
    </w:p>
    <w:p>
      <w:r/>
      <w:r/>
    </w:p>
    <w:p>
      <w:pPr>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35"/>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65"/>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35"/>
        <w:ind w:firstLine="480"/>
        <w:spacing w:line="420" w:lineRule="exact"/>
        <w:rPr>
          <w:sz w:val="24"/>
          <w:szCs w:val="24"/>
        </w:rPr>
      </w:pPr>
      <w:r>
        <w:rPr>
          <w:sz w:val="24"/>
          <w:szCs w:val="24"/>
        </w:rPr>
      </w:r>
      <w:r/>
    </w:p>
    <w:p>
      <w:pPr>
        <w:pStyle w:val="935"/>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35"/>
        <w:ind w:firstLine="480"/>
        <w:spacing w:line="480" w:lineRule="exact"/>
        <w:rPr>
          <w:sz w:val="24"/>
          <w:szCs w:val="24"/>
        </w:rPr>
      </w:pPr>
      <w:r>
        <w:rPr>
          <w:rFonts w:hint="eastAsia"/>
          <w:sz w:val="24"/>
          <w:szCs w:val="24"/>
        </w:rPr>
        <w:t xml:space="preserve">本授权书自______年____月____日起生效，特此声明。</w:t>
      </w:r>
      <w:r/>
    </w:p>
    <w:p>
      <w:pPr>
        <w:pStyle w:val="935"/>
        <w:ind w:firstLine="480"/>
        <w:spacing w:line="480" w:lineRule="exact"/>
        <w:rPr>
          <w:sz w:val="24"/>
          <w:szCs w:val="24"/>
        </w:rPr>
      </w:pPr>
      <w:r>
        <w:rPr>
          <w:rFonts w:hint="eastAsia"/>
          <w:sz w:val="24"/>
          <w:szCs w:val="24"/>
        </w:rPr>
        <w:t xml:space="preserve">被授权人身份证号码：</w:t>
      </w:r>
      <w:r/>
    </w:p>
    <w:p>
      <w:pPr>
        <w:pStyle w:val="935"/>
        <w:ind w:firstLine="480"/>
        <w:spacing w:line="480" w:lineRule="exact"/>
        <w:rPr>
          <w:sz w:val="24"/>
          <w:szCs w:val="24"/>
          <w:u w:val="single"/>
        </w:rPr>
      </w:pPr>
      <w:r>
        <w:rPr>
          <w:rFonts w:hint="eastAsia"/>
          <w:sz w:val="24"/>
          <w:szCs w:val="24"/>
        </w:rPr>
        <w:t xml:space="preserve">被授权人联系电话：（手机）</w:t>
      </w:r>
      <w:r/>
    </w:p>
    <w:p>
      <w:pPr>
        <w:pStyle w:val="935"/>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35"/>
        <w:ind w:firstLine="480"/>
        <w:spacing w:line="480" w:lineRule="exact"/>
        <w:rPr>
          <w:sz w:val="24"/>
          <w:szCs w:val="24"/>
          <w:u w:val="single"/>
        </w:rPr>
      </w:pPr>
      <w:r>
        <w:rPr>
          <w:rFonts w:hint="eastAsia"/>
          <w:sz w:val="24"/>
          <w:szCs w:val="24"/>
        </w:rPr>
        <w:t xml:space="preserve">单位地址：</w:t>
      </w:r>
      <w:r/>
    </w:p>
    <w:p>
      <w:pPr>
        <w:pStyle w:val="935"/>
        <w:ind w:firstLine="480"/>
        <w:spacing w:line="480" w:lineRule="exact"/>
        <w:rPr>
          <w:sz w:val="24"/>
          <w:szCs w:val="24"/>
        </w:rPr>
      </w:pPr>
      <w:r>
        <w:rPr>
          <w:rFonts w:hint="eastAsia"/>
          <w:sz w:val="24"/>
          <w:szCs w:val="24"/>
        </w:rPr>
        <w:t xml:space="preserve">日    期：</w:t>
      </w:r>
      <w:bookmarkStart w:id="202" w:name="_Hlt26955070"/>
      <w:r/>
      <w:bookmarkEnd w:id="202"/>
      <w:r/>
      <w:bookmarkStart w:id="203" w:name="_Hlt26671380"/>
      <w:r/>
      <w:bookmarkEnd w:id="203"/>
      <w:r/>
      <w:bookmarkStart w:id="204" w:name="_格式3__银行出具的资信证明"/>
      <w:r/>
      <w:bookmarkEnd w:id="204"/>
      <w:r/>
      <w:r/>
    </w:p>
    <w:p>
      <w:pPr>
        <w:pStyle w:val="856"/>
        <w:rPr>
          <w:i/>
          <w:sz w:val="24"/>
          <w:szCs w:val="24"/>
          <w:u w:val="single"/>
        </w:rPr>
      </w:pPr>
      <w:r>
        <w:rPr>
          <w:i/>
          <w:sz w:val="24"/>
          <w:szCs w:val="24"/>
          <w:u w:val="single"/>
        </w:rPr>
      </w:r>
      <w:r/>
    </w:p>
    <w:p>
      <w:pPr>
        <w:pStyle w:val="856"/>
        <w:rPr>
          <w:i/>
          <w:sz w:val="24"/>
          <w:szCs w:val="24"/>
          <w:u w:val="single"/>
        </w:rPr>
      </w:pPr>
      <w:r>
        <w:rPr>
          <w:i/>
          <w:sz w:val="24"/>
          <w:szCs w:val="24"/>
          <w:u w:val="single"/>
        </w:rPr>
      </w:r>
      <w:r/>
    </w:p>
    <w:p>
      <w:pPr>
        <w:pStyle w:val="856"/>
        <w:rPr>
          <w:i/>
          <w:sz w:val="24"/>
          <w:szCs w:val="24"/>
          <w:u w:val="single"/>
        </w:rPr>
      </w:pPr>
      <w:r>
        <w:rPr>
          <w:i/>
          <w:sz w:val="24"/>
          <w:szCs w:val="24"/>
          <w:u w:val="single"/>
        </w:rPr>
      </w:r>
      <w:r/>
    </w:p>
    <w:p>
      <w:pPr>
        <w:pStyle w:val="856"/>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926"/>
        <w:rPr>
          <w:bCs/>
          <w:sz w:val="24"/>
        </w:rPr>
      </w:pPr>
      <w:r>
        <w:rPr>
          <w:bCs/>
          <w:sz w:val="24"/>
        </w:rPr>
      </w:r>
      <w:r/>
    </w:p>
    <w:p>
      <w:pPr>
        <w:pStyle w:val="926"/>
        <w:rPr>
          <w:bCs/>
          <w:sz w:val="24"/>
        </w:rPr>
      </w:pPr>
      <w:r>
        <w:rPr>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37"/>
        <w:spacing w:before="0" w:after="0" w:line="420" w:lineRule="exact"/>
        <w:rPr>
          <w:rFonts w:ascii="宋体" w:hAnsi="宋体"/>
          <w:szCs w:val="21"/>
        </w:rPr>
      </w:pPr>
      <w:r>
        <w:rPr>
          <w:rFonts w:hint="eastAsia" w:ascii="宋体" w:hAnsi="宋体"/>
          <w:szCs w:val="21"/>
        </w:rPr>
        <w:t xml:space="preserve">致：南京市公共资源交易中心</w:t>
      </w:r>
      <w:r/>
    </w:p>
    <w:p>
      <w:pPr>
        <w:pStyle w:val="937"/>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7"/>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37"/>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37"/>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7"/>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7"/>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7"/>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86"/>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37"/>
        <w:spacing w:before="0" w:after="0" w:line="420" w:lineRule="exact"/>
        <w:rPr>
          <w:rFonts w:ascii="宋体" w:hAnsi="宋体"/>
          <w:szCs w:val="21"/>
        </w:rPr>
      </w:pPr>
      <w:r>
        <w:rPr>
          <w:rFonts w:hint="eastAsia" w:ascii="宋体" w:hAnsi="宋体"/>
          <w:szCs w:val="21"/>
        </w:rPr>
        <w:t xml:space="preserve">9.我方与本次投标有关信息</w:t>
      </w:r>
      <w:r/>
    </w:p>
    <w:p>
      <w:pPr>
        <w:pStyle w:val="937"/>
        <w:spacing w:before="0" w:after="0" w:line="420" w:lineRule="exact"/>
        <w:rPr>
          <w:rFonts w:ascii="宋体" w:hAnsi="宋体"/>
          <w:szCs w:val="21"/>
        </w:rPr>
      </w:pPr>
      <w:r>
        <w:rPr>
          <w:rFonts w:hint="eastAsia" w:ascii="宋体" w:hAnsi="宋体"/>
          <w:szCs w:val="21"/>
        </w:rPr>
        <w:t xml:space="preserve">地  址：</w:t>
      </w:r>
      <w:r/>
    </w:p>
    <w:p>
      <w:pPr>
        <w:pStyle w:val="937"/>
        <w:spacing w:before="0" w:after="0" w:line="420" w:lineRule="exact"/>
        <w:rPr>
          <w:rFonts w:ascii="宋体" w:hAnsi="宋体"/>
          <w:szCs w:val="21"/>
        </w:rPr>
      </w:pPr>
      <w:r>
        <w:rPr>
          <w:rFonts w:hint="eastAsia" w:ascii="宋体" w:hAnsi="宋体"/>
          <w:szCs w:val="21"/>
        </w:rPr>
        <w:t xml:space="preserve">邮  编：</w:t>
      </w:r>
      <w:r/>
    </w:p>
    <w:p>
      <w:pPr>
        <w:pStyle w:val="937"/>
        <w:spacing w:before="0" w:after="0" w:line="420" w:lineRule="exact"/>
        <w:rPr>
          <w:rFonts w:ascii="宋体" w:hAnsi="宋体"/>
          <w:szCs w:val="21"/>
          <w:u w:val="single"/>
        </w:rPr>
      </w:pPr>
      <w:r>
        <w:rPr>
          <w:rFonts w:hint="eastAsia" w:ascii="宋体" w:hAnsi="宋体"/>
          <w:szCs w:val="21"/>
        </w:rPr>
        <w:t xml:space="preserve">电  话：</w:t>
      </w:r>
      <w:r/>
    </w:p>
    <w:p>
      <w:pPr>
        <w:pStyle w:val="937"/>
        <w:spacing w:before="0" w:after="0" w:line="420" w:lineRule="exact"/>
        <w:rPr>
          <w:rFonts w:ascii="宋体" w:hAnsi="宋体"/>
          <w:szCs w:val="21"/>
          <w:u w:val="single"/>
        </w:rPr>
      </w:pPr>
      <w:r>
        <w:rPr>
          <w:rFonts w:hint="eastAsia" w:ascii="宋体" w:hAnsi="宋体"/>
          <w:szCs w:val="21"/>
        </w:rPr>
        <w:t xml:space="preserve">传  真：</w:t>
      </w:r>
      <w:r/>
    </w:p>
    <w:p>
      <w:pPr>
        <w:pStyle w:val="937"/>
        <w:spacing w:before="0" w:after="0" w:line="420" w:lineRule="exact"/>
        <w:rPr>
          <w:rFonts w:ascii="宋体" w:hAnsi="宋体"/>
          <w:szCs w:val="21"/>
          <w:u w:val="single"/>
        </w:rPr>
      </w:pPr>
      <w:r>
        <w:rPr>
          <w:rFonts w:hint="eastAsia" w:ascii="宋体" w:hAnsi="宋体"/>
          <w:szCs w:val="21"/>
        </w:rPr>
        <w:t xml:space="preserve">开户行：</w:t>
      </w:r>
      <w:r/>
    </w:p>
    <w:p>
      <w:pPr>
        <w:pStyle w:val="937"/>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37"/>
        <w:spacing w:before="0" w:after="0" w:line="420" w:lineRule="exact"/>
        <w:rPr>
          <w:rFonts w:ascii="宋体" w:hAnsi="宋体"/>
          <w:szCs w:val="21"/>
        </w:rPr>
      </w:pPr>
      <w:r>
        <w:rPr>
          <w:rFonts w:hint="eastAsia" w:ascii="宋体" w:hAnsi="宋体"/>
          <w:szCs w:val="21"/>
        </w:rPr>
        <w:t xml:space="preserve">日  期：</w:t>
      </w:r>
      <w:r/>
    </w:p>
    <w:p>
      <w:pPr>
        <w:pStyle w:val="937"/>
        <w:ind w:left="420"/>
        <w:spacing w:before="0" w:after="0" w:line="420" w:lineRule="exact"/>
        <w:rPr>
          <w:rFonts w:ascii="宋体" w:hAnsi="宋体"/>
          <w:szCs w:val="21"/>
        </w:rPr>
      </w:pPr>
      <w:r>
        <w:rPr>
          <w:rFonts w:ascii="宋体" w:hAnsi="宋体"/>
          <w:szCs w:val="21"/>
        </w:rPr>
      </w:r>
      <w:r/>
    </w:p>
    <w:p>
      <w:pPr>
        <w:pStyle w:val="937"/>
        <w:ind w:left="420"/>
        <w:spacing w:before="0" w:after="0" w:line="420" w:lineRule="exact"/>
        <w:rPr>
          <w:rFonts w:ascii="宋体" w:hAnsi="宋体"/>
          <w:szCs w:val="21"/>
        </w:rPr>
      </w:pPr>
      <w:r>
        <w:rPr>
          <w:rFonts w:ascii="宋体" w:hAnsi="宋体"/>
          <w:szCs w:val="21"/>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采购包号：</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37"/>
              <w:ind w:firstLine="0"/>
              <w:spacing w:before="0" w:after="0" w:line="480" w:lineRule="auto"/>
              <w:rPr>
                <w:rFonts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886"/>
      </w:pPr>
      <w:r/>
      <w:r/>
    </w:p>
    <w:p>
      <w:pPr>
        <w:spacing w:line="360" w:lineRule="auto"/>
        <w:rPr>
          <w:rFonts w:ascii="黑体" w:eastAsia="黑体"/>
          <w:color w:val="000000"/>
          <w:sz w:val="32"/>
          <w:szCs w:val="32"/>
        </w:rPr>
      </w:pPr>
      <w:r>
        <w:rPr>
          <w:rFonts w:ascii="黑体" w:eastAsia="黑体"/>
          <w:color w:val="000000"/>
          <w:sz w:val="32"/>
          <w:szCs w:val="32"/>
        </w:rPr>
      </w:r>
      <w:r/>
    </w:p>
    <w:p>
      <w:pPr>
        <w:pStyle w:val="886"/>
      </w:pPr>
      <w:r/>
      <w:r/>
    </w:p>
    <w:p>
      <w:r/>
      <w:r/>
    </w:p>
    <w:p>
      <w:pPr>
        <w:pStyle w:val="886"/>
      </w:pPr>
      <w:r/>
      <w:r/>
    </w:p>
    <w:p>
      <w:pPr>
        <w:pStyle w:val="920"/>
        <w:rPr>
          <w:rFonts w:ascii="黑体" w:eastAsia="黑体" w:cs="Times New Roman"/>
          <w:color w:val="000000"/>
          <w:sz w:val="32"/>
          <w:szCs w:val="32"/>
          <w:lang w:val="en-US"/>
        </w:rPr>
      </w:pPr>
      <w:r>
        <w:rPr>
          <w:rFonts w:ascii="黑体" w:eastAsia="黑体" w:cs="Times New Roman"/>
          <w:color w:val="000000"/>
          <w:sz w:val="32"/>
          <w:szCs w:val="32"/>
          <w:lang w:val="en-US"/>
        </w:rPr>
      </w:r>
      <w:r/>
    </w:p>
    <w:p>
      <w:pPr>
        <w:rPr>
          <w:rFonts w:ascii="黑体" w:eastAsia="黑体"/>
          <w:color w:val="000000"/>
          <w:sz w:val="32"/>
          <w:szCs w:val="32"/>
        </w:rPr>
      </w:pPr>
      <w:r>
        <w:rPr>
          <w:rFonts w:ascii="黑体" w:eastAsia="黑体"/>
          <w:color w:val="000000"/>
          <w:sz w:val="32"/>
          <w:szCs w:val="32"/>
        </w:rPr>
      </w:r>
      <w:r/>
    </w:p>
    <w:p>
      <w:pPr>
        <w:pStyle w:val="920"/>
        <w:rPr>
          <w:rFonts w:ascii="黑体" w:eastAsia="黑体" w:cs="Times New Roman"/>
          <w:color w:val="000000"/>
          <w:sz w:val="32"/>
          <w:szCs w:val="32"/>
          <w:lang w:val="en-US"/>
        </w:rPr>
      </w:pPr>
      <w:r>
        <w:rPr>
          <w:rFonts w:ascii="黑体" w:eastAsia="黑体" w:cs="Times New Roman"/>
          <w:color w:val="000000"/>
          <w:sz w:val="32"/>
          <w:szCs w:val="32"/>
          <w:lang w:val="en-US"/>
        </w:rPr>
      </w:r>
      <w:r/>
    </w:p>
    <w:p>
      <w:pPr>
        <w:pStyle w:val="920"/>
        <w:rPr>
          <w:rFonts w:ascii="黑体" w:eastAsia="黑体" w:cs="Times New Roman"/>
          <w:color w:val="000000"/>
          <w:sz w:val="32"/>
          <w:szCs w:val="32"/>
          <w:lang w:val="en-US"/>
        </w:rPr>
      </w:pPr>
      <w:r>
        <w:rPr>
          <w:rFonts w:ascii="黑体" w:eastAsia="黑体" w:cs="Times New Roman"/>
          <w:color w:val="000000"/>
          <w:sz w:val="32"/>
          <w:szCs w:val="32"/>
          <w:lang w:val="en-US"/>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六、投标分项报价表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r>
        <w:rPr>
          <w:rFonts w:hint="eastAsia" w:ascii="宋体" w:hAnsi="宋体"/>
          <w:sz w:val="24"/>
          <w:szCs w:val="24"/>
        </w:rPr>
        <w:t xml:space="preserve">项目编号：                                   采购包号：</w:t>
      </w:r>
      <w:r/>
    </w:p>
    <w:tbl>
      <w:tblPr>
        <w:tblStyle w:val="852"/>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0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60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51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8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445"/>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0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160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515"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18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0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1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0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1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2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0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1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20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5"/>
            <w:tcW w:w="69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gridSpan w:val="7"/>
            <w:tcW w:w="9543" w:type="dxa"/>
            <w:vAlign w:val="center"/>
            <w:textDirection w:val="lrTb"/>
            <w:noWrap w:val="false"/>
          </w:tcPr>
          <w:p>
            <w:pPr>
              <w:jc w:val="left"/>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pStyle w:val="882"/>
        <w:jc w:val="both"/>
        <w:spacing w:before="0" w:beforeAutospacing="0" w:after="0" w:afterAutospacing="0"/>
        <w:rPr>
          <w:color w:val="000000"/>
        </w:rPr>
      </w:pPr>
      <w:r>
        <w:rPr>
          <w:color w:val="000000"/>
        </w:r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sz w:val="24"/>
        </w:rPr>
      </w:pPr>
      <w:r>
        <w:rPr>
          <w:rFonts w:ascii="宋体" w:hAnsi="宋体"/>
          <w:sz w:val="24"/>
        </w:rPr>
      </w:r>
      <w:r/>
    </w:p>
    <w:p>
      <w:pPr>
        <w:pStyle w:val="882"/>
        <w:ind w:firstLine="480"/>
        <w:jc w:val="both"/>
        <w:spacing w:before="0" w:beforeAutospacing="0" w:after="0" w:afterAutospacing="0" w:line="360" w:lineRule="auto"/>
        <w:rPr>
          <w:color w:val="000000"/>
        </w:rPr>
      </w:pPr>
      <w:r>
        <w:rPr>
          <w:color w:val="000000"/>
        </w:rPr>
        <w:t xml:space="preserve">备注： </w:t>
      </w:r>
      <w:r/>
    </w:p>
    <w:p>
      <w:pPr>
        <w:pStyle w:val="882"/>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882"/>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882"/>
        <w:ind w:firstLine="480"/>
        <w:jc w:val="both"/>
        <w:spacing w:before="0" w:beforeAutospacing="0" w:after="0" w:afterAutospacing="0" w:line="360" w:lineRule="auto"/>
        <w:rPr>
          <w:color w:val="000000"/>
        </w:rPr>
      </w:pPr>
      <w:r>
        <w:rPr>
          <w:rFonts w:hint="eastAsia"/>
          <w:color w:val="000000"/>
        </w:rPr>
        <w:t xml:space="preserve">3.供应商所报产品须与“第四章-项目清单”中的产品一一对应，如有缺项、漏项或者超出单价上限的，视为无效投标。</w:t>
      </w:r>
      <w:r>
        <w:rPr>
          <w:rFonts w:hint="eastAsia"/>
        </w:rPr>
        <w:t xml:space="preserve">“项目清单”中分项仅为一项的，此表无需提供。</w:t>
      </w:r>
      <w:r/>
    </w:p>
    <w:p>
      <w:pPr>
        <w:pStyle w:val="882"/>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882"/>
        <w:ind w:firstLine="482"/>
        <w:jc w:val="both"/>
        <w:spacing w:before="0" w:beforeAutospacing="0" w:after="0" w:afterAutospacing="0" w:line="360" w:lineRule="auto"/>
        <w:rPr>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882"/>
        <w:ind w:firstLine="480"/>
        <w:jc w:val="both"/>
        <w:spacing w:before="0" w:beforeAutospacing="0" w:after="0" w:afterAutospacing="0" w:line="360" w:lineRule="auto"/>
        <w:rPr>
          <w:color w:val="000000"/>
        </w:rPr>
      </w:pPr>
      <w:r>
        <w:rPr>
          <w:color w:val="000000"/>
        </w:rPr>
      </w:r>
      <w:r/>
    </w:p>
    <w:p>
      <w:pPr>
        <w:jc w:val="center"/>
        <w:spacing w:line="360" w:lineRule="auto"/>
        <w:rPr>
          <w:rFonts w:ascii="黑体" w:eastAsia="黑体"/>
          <w:color w:val="000000"/>
          <w:sz w:val="32"/>
          <w:szCs w:val="32"/>
        </w:rPr>
      </w:pPr>
      <w:r>
        <w:rPr>
          <w:rFonts w:ascii="黑体" w:eastAsia="黑体"/>
          <w:color w:val="000000"/>
          <w:sz w:val="32"/>
          <w:szCs w:val="32"/>
        </w:rPr>
      </w:r>
      <w:r/>
    </w:p>
    <w:p>
      <w:pPr>
        <w:rPr>
          <w:rFonts w:ascii="黑体" w:hAnsi="黑体" w:eastAsia="黑体"/>
          <w:iCs/>
          <w:sz w:val="32"/>
          <w:szCs w:val="32"/>
        </w:rPr>
      </w:pPr>
      <w:r>
        <w:rPr>
          <w:rFonts w:hint="eastAsia" w:ascii="黑体" w:hAnsi="黑体" w:eastAsia="黑体"/>
          <w:iCs/>
          <w:sz w:val="32"/>
          <w:szCs w:val="32"/>
        </w:rPr>
        <w:t xml:space="preserve">七</w:t>
      </w:r>
      <w:bookmarkEnd w:id="46"/>
      <w:r/>
      <w:bookmarkEnd w:id="47"/>
      <w:r/>
      <w:bookmarkEnd w:id="201"/>
      <w:r>
        <w:rPr>
          <w:rFonts w:hint="eastAsia" w:ascii="黑体" w:hAnsi="黑体" w:eastAsia="黑体"/>
          <w:iCs/>
          <w:sz w:val="32"/>
          <w:szCs w:val="32"/>
        </w:rPr>
        <w:t xml:space="preserve">、技术要求响应及偏离表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pPr>
            <w:r/>
            <w:r/>
          </w:p>
          <w:p>
            <w:pPr>
              <w:pStyle w:val="886"/>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bl>
    <w:p>
      <w:pPr>
        <w:pStyle w:val="882"/>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882"/>
        <w:ind w:firstLine="480"/>
        <w:jc w:val="both"/>
        <w:spacing w:before="0" w:beforeAutospacing="0" w:after="0" w:afterAutospacing="0" w:line="360" w:lineRule="auto"/>
      </w:pPr>
      <w:r>
        <w:t xml:space="preserve">备注： </w:t>
      </w:r>
      <w:r/>
    </w:p>
    <w:p>
      <w:pPr>
        <w:pStyle w:val="882"/>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882"/>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82"/>
        <w:ind w:firstLine="480"/>
        <w:jc w:val="both"/>
        <w:spacing w:before="0" w:beforeAutospacing="0" w:after="0" w:afterAutospacing="0" w:line="360" w:lineRule="auto"/>
      </w:pPr>
      <w:r>
        <w:rPr>
          <w:rFonts w:hint="eastAsia"/>
        </w:rPr>
        <w:t xml:space="preserve">3.行数不够，可自行添加。</w:t>
      </w:r>
      <w:r/>
    </w:p>
    <w:p>
      <w:pPr>
        <w:rPr>
          <w:rFonts w:ascii="黑体" w:hAnsi="黑体" w:eastAsia="黑体"/>
          <w:iCs/>
          <w:sz w:val="32"/>
          <w:szCs w:val="32"/>
        </w:rPr>
      </w:pPr>
      <w:r/>
      <w:bookmarkStart w:id="205" w:name="_Hlt26955054"/>
      <w:r/>
      <w:bookmarkEnd w:id="205"/>
      <w:r/>
      <w:r/>
    </w:p>
    <w:p>
      <w:pPr>
        <w:rPr>
          <w:rFonts w:ascii="黑体" w:hAnsi="黑体" w:eastAsia="黑体"/>
          <w:iCs/>
          <w:sz w:val="32"/>
          <w:szCs w:val="32"/>
        </w:rPr>
      </w:pPr>
      <w:r>
        <w:rPr>
          <w:rFonts w:hint="eastAsia" w:ascii="黑体" w:hAnsi="黑体" w:eastAsia="黑体"/>
          <w:iCs/>
          <w:sz w:val="32"/>
          <w:szCs w:val="32"/>
        </w:rPr>
        <w:t xml:space="preserve">八、商务要求响应及偏离表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ascii="宋体" w:hAnsi="宋体"/>
                <w:sz w:val="24"/>
                <w:szCs w:val="24"/>
              </w:rPr>
            </w:pPr>
            <w:r/>
            <w:bookmarkStart w:id="206" w:name="_Hlt26955056"/>
            <w:r/>
            <w:bookmarkEnd w:id="206"/>
            <w:r/>
            <w:bookmarkStart w:id="207" w:name="_Hlt26609391"/>
            <w:r/>
            <w:bookmarkEnd w:id="207"/>
            <w:r/>
            <w:bookmarkStart w:id="208" w:name="_Hlt26955064"/>
            <w:r/>
            <w:bookmarkEnd w:id="208"/>
            <w:r/>
            <w:bookmarkStart w:id="209" w:name="_Hlt26782999"/>
            <w:r/>
            <w:bookmarkEnd w:id="209"/>
            <w:r/>
            <w:bookmarkStart w:id="210" w:name="_Hlt26580838"/>
            <w:r/>
            <w:bookmarkEnd w:id="210"/>
            <w:r/>
            <w:bookmarkStart w:id="211" w:name="_Hlt24879081"/>
            <w:r/>
            <w:bookmarkEnd w:id="211"/>
            <w:r/>
            <w:bookmarkStart w:id="212" w:name="_Hlt26671372"/>
            <w:r/>
            <w:bookmarkEnd w:id="212"/>
            <w:r/>
            <w:bookmarkStart w:id="213" w:name="_Hlt26671343"/>
            <w:r/>
            <w:bookmarkEnd w:id="213"/>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81"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pPr>
            <w:r/>
            <w:r/>
          </w:p>
          <w:p>
            <w:pPr>
              <w:pStyle w:val="886"/>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bl>
    <w:p>
      <w:pPr>
        <w:pStyle w:val="882"/>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882"/>
        <w:ind w:firstLine="480"/>
        <w:jc w:val="both"/>
        <w:spacing w:before="0" w:beforeAutospacing="0" w:after="0" w:afterAutospacing="0" w:line="360" w:lineRule="auto"/>
      </w:pPr>
      <w:r>
        <w:rPr>
          <w:rFonts w:hint="eastAsia"/>
        </w:rPr>
        <w:t xml:space="preserve">备注： </w:t>
      </w:r>
      <w:r/>
    </w:p>
    <w:p>
      <w:pPr>
        <w:pStyle w:val="882"/>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882"/>
        <w:ind w:firstLine="480"/>
        <w:jc w:val="both"/>
        <w:spacing w:before="0" w:beforeAutospacing="0" w:after="0" w:afterAutospacing="0" w:line="360" w:lineRule="auto"/>
      </w:pPr>
      <w:r>
        <w:rPr>
          <w:rFonts w:hint="eastAsia"/>
        </w:rPr>
        <w:t xml:space="preserve">2.行数不够，可自行添加。</w:t>
      </w:r>
      <w:r/>
    </w:p>
    <w:p>
      <w:pPr>
        <w:rPr>
          <w:color w:val="000000"/>
        </w:rPr>
      </w:pPr>
      <w:r>
        <w:rPr>
          <w:color w:val="000000"/>
        </w:rPr>
      </w:r>
      <w:r/>
    </w:p>
    <w:p>
      <w:pPr>
        <w:jc w:val="center"/>
        <w:rPr>
          <w:rFonts w:ascii="宋体" w:hAnsi="宋体" w:cs="仿宋"/>
          <w:b/>
          <w:bCs/>
          <w:color w:val="000000"/>
          <w:sz w:val="32"/>
          <w:szCs w:val="32"/>
        </w:rPr>
      </w:pPr>
      <w:r>
        <w:rPr>
          <w:rFonts w:ascii="宋体" w:hAnsi="宋体" w:cs="仿宋"/>
          <w:b/>
          <w:bCs/>
          <w:color w:val="000000"/>
          <w:sz w:val="32"/>
          <w:szCs w:val="32"/>
        </w:rPr>
      </w:r>
      <w:r/>
    </w:p>
    <w:p>
      <w:pPr>
        <w:pStyle w:val="920"/>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pStyle w:val="920"/>
        <w:rPr>
          <w:color w:val="000000"/>
        </w:rPr>
      </w:pPr>
      <w:r>
        <w:rPr>
          <w:color w:val="000000"/>
        </w:rPr>
      </w:r>
      <w:r/>
    </w:p>
    <w:p>
      <w:pPr>
        <w:rPr>
          <w:rFonts w:ascii="黑体" w:hAnsi="黑体" w:eastAsia="黑体"/>
          <w:iCs/>
          <w:color w:val="000000"/>
          <w:sz w:val="32"/>
          <w:szCs w:val="32"/>
        </w:rPr>
      </w:pPr>
      <w:r>
        <w:rPr>
          <w:rFonts w:ascii="黑体" w:hAnsi="黑体" w:eastAsia="黑体"/>
          <w:iCs/>
          <w:color w:val="000000"/>
          <w:sz w:val="32"/>
          <w:szCs w:val="32"/>
        </w:rPr>
      </w:r>
      <w:r/>
    </w:p>
    <w:p>
      <w:pPr>
        <w:rPr>
          <w:rFonts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），不对其中涉及的货物的制造商、工程的承建商作出要求。</w:t>
      </w:r>
      <w:r/>
    </w:p>
    <w:p>
      <w:pPr>
        <w:jc w:val="left"/>
        <w:spacing w:line="360" w:lineRule="auto"/>
        <w:rPr>
          <w:rFonts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2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p>
    <w:p>
      <w:pPr>
        <w:pStyle w:val="886"/>
        <w:ind w:firstLine="480"/>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920"/>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920"/>
      </w:pPr>
      <w:r/>
      <w:r/>
    </w:p>
    <w:p>
      <w:pPr>
        <w:jc w:val="left"/>
        <w:spacing w:line="360" w:lineRule="auto"/>
        <w:rPr>
          <w:rFonts w:ascii="黑体" w:hAnsi="黑体" w:eastAsia="黑体"/>
          <w:iCs/>
          <w:sz w:val="32"/>
          <w:szCs w:val="32"/>
        </w:rPr>
      </w:pPr>
      <w:r>
        <w:rPr>
          <w:rFonts w:hint="eastAsia" w:ascii="黑体" w:hAnsi="黑体" w:eastAsia="黑体"/>
          <w:iCs/>
          <w:sz w:val="32"/>
          <w:szCs w:val="32"/>
        </w:rPr>
        <w:t xml:space="preserve">十二、分包承诺书</w:t>
      </w:r>
      <w:r/>
    </w:p>
    <w:p>
      <w:r/>
      <w:r/>
    </w:p>
    <w:p>
      <w:pPr>
        <w:jc w:val="center"/>
        <w:spacing w:line="360" w:lineRule="auto"/>
        <w:rPr>
          <w:rFonts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p>
    <w:p>
      <w:pPr>
        <w:ind w:firstLine="2640"/>
        <w:spacing w:line="480" w:lineRule="auto"/>
        <w:rPr>
          <w:rFonts w:ascii="方正仿宋_GBK" w:hAnsi="方正仿宋_GBK" w:eastAsia="方正仿宋_GBK" w:cs="方正仿宋_GBK"/>
          <w:color w:val="000000"/>
          <w:sz w:val="24"/>
          <w:szCs w:val="24"/>
        </w:rPr>
      </w:pPr>
      <w:r>
        <w:rPr>
          <w:rFonts w:ascii="方正仿宋_GBK" w:hAnsi="方正仿宋_GBK" w:eastAsia="方正仿宋_GBK" w:cs="方正仿宋_GBK"/>
          <w:color w:val="000000"/>
          <w:sz w:val="24"/>
          <w:szCs w:val="24"/>
        </w:rPr>
      </w:r>
      <w:r/>
    </w:p>
    <w:p>
      <w:pPr>
        <w:spacing w:line="480" w:lineRule="auto"/>
        <w:rPr>
          <w:rFonts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：（采购人名称）</w:t>
      </w:r>
      <w:r/>
    </w:p>
    <w:p>
      <w:pPr>
        <w:ind w:firstLine="480"/>
        <w:jc w:val="left"/>
        <w:spacing w:line="480" w:lineRule="auto"/>
        <w:rPr>
          <w:rFonts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p>
    <w:p>
      <w:pPr>
        <w:ind w:firstLine="480"/>
        <w:jc w:val="left"/>
        <w:spacing w:line="480" w:lineRule="auto"/>
        <w:rPr>
          <w:rFonts w:ascii="宋体" w:hAnsi="宋体" w:cs="宋体"/>
          <w:color w:val="000000"/>
          <w:sz w:val="24"/>
          <w:szCs w:val="24"/>
        </w:rPr>
      </w:pPr>
      <w:r>
        <w:rPr>
          <w:rFonts w:hint="eastAsia" w:ascii="宋体" w:hAnsi="宋体" w:cs="宋体"/>
          <w:color w:val="000000"/>
          <w:sz w:val="24"/>
          <w:szCs w:val="24"/>
        </w:rPr>
        <w:t xml:space="preserve">如我公司中标（成交）</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（项目名称）项目，拟将项目中的</w:t>
      </w:r>
      <w:r/>
    </w:p>
    <w:p>
      <w:pPr>
        <w:jc w:val="left"/>
        <w:spacing w:line="480" w:lineRule="auto"/>
        <w:rPr>
          <w:rFonts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建设内容，分包给具有相应资质的供应商实施，并在签订合同时提供分包意向协议。</w:t>
      </w:r>
      <w:r/>
    </w:p>
    <w:p>
      <w:pPr>
        <w:spacing w:line="480" w:lineRule="auto"/>
        <w:rPr>
          <w:rFonts w:ascii="宋体" w:hAnsi="宋体" w:cs="宋体"/>
          <w:color w:val="000000"/>
          <w:sz w:val="24"/>
          <w:szCs w:val="24"/>
        </w:rPr>
      </w:pPr>
      <w:r>
        <w:rPr>
          <w:rFonts w:ascii="宋体" w:hAnsi="宋体" w:cs="宋体"/>
          <w:color w:val="000000"/>
          <w:sz w:val="24"/>
          <w:szCs w:val="24"/>
        </w:rPr>
      </w:r>
      <w:r/>
    </w:p>
    <w:p>
      <w:pPr>
        <w:ind w:right="180" w:firstLine="360"/>
        <w:jc w:val="right"/>
        <w:spacing w:line="480" w:lineRule="auto"/>
        <w:rPr>
          <w:rFonts w:ascii="宋体" w:hAnsi="宋体" w:cs="宋体"/>
          <w:sz w:val="24"/>
          <w:szCs w:val="24"/>
        </w:rPr>
      </w:pPr>
      <w:r>
        <w:rPr>
          <w:rFonts w:hint="eastAsia" w:ascii="宋体" w:hAnsi="宋体" w:cs="宋体"/>
          <w:sz w:val="24"/>
          <w:szCs w:val="24"/>
        </w:rPr>
        <w:t xml:space="preserve">供应商名称：（加盖电子公章）</w:t>
      </w:r>
      <w:r/>
    </w:p>
    <w:p>
      <w:pPr>
        <w:jc w:val="center"/>
        <w:spacing w:line="480" w:lineRule="auto"/>
        <w:rPr>
          <w:rFonts w:ascii="宋体" w:hAnsi="宋体" w:cs="宋体"/>
          <w:sz w:val="24"/>
          <w:szCs w:val="24"/>
        </w:rPr>
      </w:pPr>
      <w:r>
        <w:rPr>
          <w:rFonts w:hint="eastAsia" w:ascii="宋体" w:hAnsi="宋体" w:cs="宋体"/>
          <w:color w:val="000000"/>
          <w:sz w:val="24"/>
          <w:szCs w:val="24"/>
        </w:rPr>
        <w:t xml:space="preserve">                              日  期：</w:t>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886"/>
        <w:ind w:firstLine="640"/>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886"/>
        <w:ind w:firstLine="640"/>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886"/>
        <w:ind w:firstLine="640"/>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886"/>
        <w:ind w:firstLine="640"/>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886"/>
        <w:ind w:firstLine="640"/>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left"/>
        <w:spacing w:line="360" w:lineRule="auto"/>
        <w:rPr>
          <w:rFonts w:ascii="宋体" w:hAnsi="宋体"/>
          <w:sz w:val="24"/>
        </w:rPr>
      </w:pPr>
      <w:r>
        <w:rPr>
          <w:rFonts w:hint="eastAsia"/>
        </w:rPr>
        <w:br w:type="page" w:clear="all"/>
      </w:r>
      <w:r>
        <w:rPr>
          <w:rFonts w:hint="eastAsia" w:ascii="黑体" w:hAnsi="黑体" w:eastAsia="黑体"/>
          <w:sz w:val="32"/>
          <w:szCs w:val="32"/>
        </w:rPr>
        <w:t xml:space="preserve">十三、关于符合本国产品标准的声明函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882"/>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2"/>
        <w:ind w:firstLine="420"/>
        <w:spacing w:before="24" w:beforeAutospacing="0" w:after="24" w:afterAutospacing="0" w:line="360" w:lineRule="auto"/>
        <w:shd w:val="clear" w:color="auto" w:fill="ffffff"/>
      </w:pPr>
      <w:r>
        <w:rPr>
          <w:rFonts w:hint="eastAsia"/>
          <w:shd w:val="clear" w:color="auto" w:fill="ffffff"/>
        </w:rPr>
        <w:t xml:space="preserve">1.</w:t>
      </w:r>
      <w:r>
        <w:rPr>
          <w:rStyle w:val="891"/>
          <w:rFonts w:hint="eastAsia"/>
          <w:i w:val="0"/>
          <w:u w:val="single"/>
          <w:shd w:val="clear" w:color="auto" w:fill="ffffff"/>
        </w:rPr>
        <w:t xml:space="preserve">（产品名称1）</w:t>
      </w:r>
      <w:r>
        <w:rPr>
          <w:rStyle w:val="891"/>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91"/>
          <w:rFonts w:hint="eastAsia"/>
          <w:i w:val="0"/>
          <w:u w:val="single"/>
          <w:shd w:val="clear" w:color="auto" w:fill="ffffff"/>
        </w:rPr>
        <w:t xml:space="preserve">（厂名）</w:t>
      </w:r>
      <w:r>
        <w:rPr>
          <w:rStyle w:val="891"/>
          <w:rFonts w:hint="eastAsia"/>
          <w:i w:val="0"/>
          <w:shd w:val="clear" w:color="auto" w:fill="ffffff"/>
          <w:vertAlign w:val="superscript"/>
        </w:rPr>
        <w:t xml:space="preserve">2</w:t>
      </w:r>
      <w:r>
        <w:rPr>
          <w:rFonts w:hint="eastAsia"/>
          <w:shd w:val="clear" w:color="auto" w:fill="ffffff"/>
        </w:rPr>
        <w:t xml:space="preserve">，厂址为</w:t>
      </w:r>
      <w:r>
        <w:rPr>
          <w:rStyle w:val="891"/>
          <w:rFonts w:hint="eastAsia"/>
          <w:i w:val="0"/>
          <w:u w:val="single"/>
          <w:shd w:val="clear" w:color="auto" w:fill="ffffff"/>
        </w:rPr>
        <w:t xml:space="preserve">（生产厂址）</w:t>
      </w:r>
      <w:r>
        <w:rPr>
          <w:rFonts w:hint="eastAsia"/>
          <w:shd w:val="clear" w:color="auto" w:fill="ffffff"/>
        </w:rPr>
        <w:t xml:space="preserve">。</w:t>
      </w:r>
      <w:r>
        <w:rPr>
          <w:rStyle w:val="891"/>
          <w:rFonts w:hint="eastAsia"/>
          <w:u w:val="single"/>
          <w:shd w:val="clear" w:color="auto" w:fill="ffffff"/>
        </w:rPr>
        <w:t xml:space="preserve">（产品名称1）</w:t>
      </w:r>
      <w:r>
        <w:rPr>
          <w:rFonts w:hint="eastAsia"/>
          <w:shd w:val="clear" w:color="auto" w:fill="ffffff"/>
        </w:rPr>
        <w:t xml:space="preserve">的中国境内生产的组件成本占比≥</w:t>
      </w:r>
      <w:r>
        <w:rPr>
          <w:rStyle w:val="891"/>
          <w:rFonts w:hint="eastAsia"/>
          <w:u w:val="single"/>
          <w:shd w:val="clear" w:color="auto" w:fill="ffffff"/>
        </w:rPr>
        <w:t xml:space="preserve">（规定比例）</w:t>
      </w:r>
      <w:r>
        <w:rPr>
          <w:rStyle w:val="891"/>
          <w:rFonts w:hint="eastAsia"/>
          <w:i w:val="0"/>
          <w:shd w:val="clear" w:color="auto" w:fill="ffffff"/>
          <w:vertAlign w:val="superscript"/>
        </w:rPr>
        <w:t xml:space="preserve">3</w:t>
      </w:r>
      <w:r>
        <w:rPr>
          <w:rFonts w:hint="eastAsia"/>
          <w:shd w:val="clear" w:color="auto" w:fill="ffffff"/>
        </w:rPr>
        <w:t xml:space="preserve">。</w:t>
      </w:r>
      <w:r>
        <w:rPr>
          <w:rStyle w:val="891"/>
          <w:rFonts w:hint="eastAsia"/>
          <w:u w:val="single"/>
          <w:shd w:val="clear" w:color="auto" w:fill="ffffff"/>
        </w:rPr>
        <w:t xml:space="preserve">（产品名称1）</w:t>
      </w:r>
      <w:r>
        <w:rPr>
          <w:rFonts w:hint="eastAsia"/>
          <w:shd w:val="clear" w:color="auto" w:fill="ffffff"/>
        </w:rPr>
        <w:t xml:space="preserve">的</w:t>
      </w:r>
      <w:r>
        <w:rPr>
          <w:rStyle w:val="891"/>
          <w:rFonts w:hint="eastAsia"/>
          <w:u w:val="single"/>
          <w:shd w:val="clear" w:color="auto" w:fill="ffffff"/>
        </w:rPr>
        <w:t xml:space="preserve">（关键组件）</w:t>
      </w:r>
      <w:r>
        <w:rPr>
          <w:rStyle w:val="891"/>
          <w:rFonts w:hint="eastAsia"/>
          <w:i w:val="0"/>
          <w:shd w:val="clear" w:color="auto" w:fill="ffffff"/>
          <w:vertAlign w:val="superscript"/>
        </w:rPr>
        <w:t xml:space="preserve">4</w:t>
      </w:r>
      <w:r>
        <w:rPr>
          <w:rFonts w:hint="eastAsia"/>
          <w:shd w:val="clear" w:color="auto" w:fill="ffffff"/>
        </w:rPr>
        <w:t xml:space="preserve">在中国境内生产。</w:t>
      </w:r>
      <w:r>
        <w:rPr>
          <w:rStyle w:val="891"/>
          <w:rFonts w:hint="eastAsia"/>
          <w:u w:val="single"/>
          <w:shd w:val="clear" w:color="auto" w:fill="ffffff"/>
        </w:rPr>
        <w:t xml:space="preserve">（产品名称1）</w:t>
      </w:r>
      <w:r>
        <w:rPr>
          <w:rFonts w:hint="eastAsia"/>
          <w:shd w:val="clear" w:color="auto" w:fill="ffffff"/>
        </w:rPr>
        <w:t xml:space="preserve">的</w:t>
      </w:r>
      <w:r>
        <w:rPr>
          <w:rStyle w:val="891"/>
          <w:rFonts w:hint="eastAsia"/>
          <w:u w:val="single"/>
          <w:shd w:val="clear" w:color="auto" w:fill="ffffff"/>
        </w:rPr>
        <w:t xml:space="preserve">（关键工序）</w:t>
      </w:r>
      <w:r>
        <w:rPr>
          <w:rStyle w:val="891"/>
          <w:rFonts w:hint="eastAsia"/>
          <w:i w:val="0"/>
          <w:shd w:val="clear" w:color="auto" w:fill="ffffff"/>
          <w:vertAlign w:val="superscript"/>
        </w:rPr>
        <w:t xml:space="preserve">5</w:t>
      </w:r>
      <w:r>
        <w:rPr>
          <w:rFonts w:hint="eastAsia"/>
          <w:shd w:val="clear" w:color="auto" w:fill="ffffff"/>
        </w:rPr>
        <w:t xml:space="preserve">在中国境内完成。</w:t>
      </w:r>
      <w:r/>
    </w:p>
    <w:p>
      <w:pPr>
        <w:pStyle w:val="882"/>
        <w:ind w:firstLine="420"/>
        <w:spacing w:before="24" w:beforeAutospacing="0" w:after="24" w:afterAutospacing="0" w:line="360" w:lineRule="auto"/>
        <w:shd w:val="clear" w:color="auto" w:fill="ffffff"/>
      </w:pPr>
      <w:r>
        <w:rPr>
          <w:rFonts w:hint="eastAsia"/>
          <w:shd w:val="clear" w:color="auto" w:fill="ffffff"/>
        </w:rPr>
        <w:t xml:space="preserve">2.</w:t>
      </w:r>
      <w:r>
        <w:rPr>
          <w:rStyle w:val="891"/>
          <w:rFonts w:hint="eastAsia"/>
          <w:i w:val="0"/>
          <w:u w:val="single"/>
          <w:shd w:val="clear" w:color="auto" w:fill="ffffff"/>
        </w:rPr>
        <w:t xml:space="preserve">（产品名称2）</w:t>
      </w:r>
      <w:r>
        <w:rPr>
          <w:rFonts w:hint="eastAsia"/>
          <w:shd w:val="clear" w:color="auto" w:fill="ffffff"/>
        </w:rPr>
        <w:t xml:space="preserve">，生产厂为</w:t>
      </w:r>
      <w:r>
        <w:rPr>
          <w:rStyle w:val="891"/>
          <w:rFonts w:hint="eastAsia"/>
          <w:i w:val="0"/>
          <w:u w:val="single"/>
          <w:shd w:val="clear" w:color="auto" w:fill="ffffff"/>
        </w:rPr>
        <w:t xml:space="preserve">（厂名）</w:t>
      </w:r>
      <w:r>
        <w:rPr>
          <w:rFonts w:hint="eastAsia"/>
          <w:shd w:val="clear" w:color="auto" w:fill="ffffff"/>
        </w:rPr>
        <w:t xml:space="preserve">，厂址为</w:t>
      </w:r>
      <w:r>
        <w:rPr>
          <w:rStyle w:val="891"/>
          <w:rFonts w:hint="eastAsia"/>
          <w:i w:val="0"/>
          <w:u w:val="single"/>
          <w:shd w:val="clear" w:color="auto" w:fill="ffffff"/>
        </w:rPr>
        <w:t xml:space="preserve">（生产厂址）</w:t>
      </w:r>
      <w:r>
        <w:rPr>
          <w:rFonts w:hint="eastAsia"/>
          <w:shd w:val="clear" w:color="auto" w:fill="ffffff"/>
        </w:rPr>
        <w:t xml:space="preserve">。</w:t>
      </w:r>
      <w:r>
        <w:rPr>
          <w:rStyle w:val="891"/>
          <w:rFonts w:hint="eastAsia"/>
          <w:u w:val="single"/>
          <w:shd w:val="clear" w:color="auto" w:fill="ffffff"/>
        </w:rPr>
        <w:t xml:space="preserve">（产品名称2）</w:t>
      </w:r>
      <w:r>
        <w:rPr>
          <w:rFonts w:hint="eastAsia"/>
          <w:shd w:val="clear" w:color="auto" w:fill="ffffff"/>
        </w:rPr>
        <w:t xml:space="preserve">的中国境内生产的组件成本占比≥</w:t>
      </w:r>
      <w:r>
        <w:rPr>
          <w:rStyle w:val="891"/>
          <w:rFonts w:hint="eastAsia"/>
          <w:u w:val="single"/>
          <w:shd w:val="clear" w:color="auto" w:fill="ffffff"/>
        </w:rPr>
        <w:t xml:space="preserve">（规定比例）</w:t>
      </w:r>
      <w:r>
        <w:rPr>
          <w:rFonts w:hint="eastAsia"/>
          <w:shd w:val="clear" w:color="auto" w:fill="ffffff"/>
        </w:rPr>
        <w:t xml:space="preserve">。</w:t>
      </w:r>
      <w:r>
        <w:rPr>
          <w:rStyle w:val="891"/>
          <w:rFonts w:hint="eastAsia"/>
          <w:u w:val="single"/>
          <w:shd w:val="clear" w:color="auto" w:fill="ffffff"/>
        </w:rPr>
        <w:t xml:space="preserve">（产品名称2）</w:t>
      </w:r>
      <w:r>
        <w:rPr>
          <w:rFonts w:hint="eastAsia"/>
          <w:shd w:val="clear" w:color="auto" w:fill="ffffff"/>
        </w:rPr>
        <w:t xml:space="preserve">的</w:t>
      </w:r>
      <w:r>
        <w:rPr>
          <w:rStyle w:val="891"/>
          <w:rFonts w:hint="eastAsia"/>
          <w:u w:val="single"/>
          <w:shd w:val="clear" w:color="auto" w:fill="ffffff"/>
        </w:rPr>
        <w:t xml:space="preserve">（关键组件）</w:t>
      </w:r>
      <w:r>
        <w:rPr>
          <w:rFonts w:hint="eastAsia"/>
          <w:shd w:val="clear" w:color="auto" w:fill="ffffff"/>
        </w:rPr>
        <w:t xml:space="preserve">在中国境内生产。</w:t>
      </w:r>
      <w:r>
        <w:rPr>
          <w:rStyle w:val="891"/>
          <w:rFonts w:hint="eastAsia"/>
          <w:u w:val="single"/>
          <w:shd w:val="clear" w:color="auto" w:fill="ffffff"/>
        </w:rPr>
        <w:t xml:space="preserve">（产品名称2）</w:t>
      </w:r>
      <w:r>
        <w:rPr>
          <w:rFonts w:hint="eastAsia"/>
          <w:shd w:val="clear" w:color="auto" w:fill="ffffff"/>
        </w:rPr>
        <w:t xml:space="preserve">的</w:t>
      </w:r>
      <w:r>
        <w:rPr>
          <w:rStyle w:val="891"/>
          <w:rFonts w:hint="eastAsia"/>
          <w:u w:val="single"/>
          <w:shd w:val="clear" w:color="auto" w:fill="ffffff"/>
        </w:rPr>
        <w:t xml:space="preserve">（关键工序）</w:t>
      </w:r>
      <w:r>
        <w:rPr>
          <w:rFonts w:hint="eastAsia"/>
          <w:shd w:val="clear" w:color="auto" w:fill="ffffff"/>
        </w:rPr>
        <w:t xml:space="preserve">在中国境内完成。</w:t>
      </w:r>
      <w:r/>
    </w:p>
    <w:p>
      <w:pPr>
        <w:pStyle w:val="882"/>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882"/>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882"/>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882"/>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82"/>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88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88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88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882"/>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882"/>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5.该产品的关键工序要求实施前，“关键工序”栏可不填。</w:t>
      </w:r>
      <w:r/>
    </w:p>
    <w:p>
      <w:pPr>
        <w:pStyle w:val="882"/>
        <w:ind w:firstLine="420"/>
        <w:spacing w:before="24" w:beforeAutospacing="0" w:after="24" w:afterAutospacing="0" w:line="360" w:lineRule="auto"/>
        <w:shd w:val="clear" w:color="auto" w:fill="ffffff"/>
      </w:p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9"/>
        <w:rFonts w:ascii="宋体" w:hAnsi="宋体"/>
      </w:rPr>
      <w:framePr w:wrap="around" w:vAnchor="text" w:hAnchor="margin" w:xAlign="center" w:y="1"/>
    </w:pPr>
    <w:r>
      <w:rPr>
        <w:rFonts w:ascii="宋体" w:hAnsi="宋体"/>
      </w:rPr>
      <w:fldChar w:fldCharType="begin"/>
    </w:r>
    <w:r>
      <w:rPr>
        <w:rStyle w:val="889"/>
        <w:rFonts w:ascii="宋体" w:hAnsi="宋体"/>
      </w:rPr>
      <w:instrText xml:space="preserve">PAGE  </w:instrText>
    </w:r>
    <w:r>
      <w:rPr>
        <w:rFonts w:ascii="宋体" w:hAnsi="宋体"/>
      </w:rPr>
      <w:fldChar w:fldCharType="separate"/>
    </w:r>
    <w:r>
      <w:rPr>
        <w:rStyle w:val="889"/>
        <w:rFonts w:ascii="宋体" w:hAnsi="宋体"/>
      </w:rPr>
      <w:t xml:space="preserve">２６</w:t>
    </w:r>
    <w:r>
      <w:rPr>
        <w:rFonts w:ascii="宋体" w:hAnsi="宋体"/>
      </w:rPr>
      <w:fldChar w:fldCharType="end"/>
    </w:r>
    <w:r/>
  </w:p>
  <w:p>
    <w:pPr>
      <w:pStyle w:val="87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9"/>
      </w:rPr>
      <w:framePr w:wrap="around" w:vAnchor="text" w:hAnchor="margin" w:xAlign="center" w:y="1"/>
    </w:pPr>
    <w:r>
      <w:fldChar w:fldCharType="begin"/>
    </w:r>
    <w:r>
      <w:rPr>
        <w:rStyle w:val="889"/>
      </w:rPr>
      <w:instrText xml:space="preserve">PAGE  </w:instrText>
    </w:r>
    <w:r>
      <w:fldChar w:fldCharType="separate"/>
    </w:r>
    <w:r>
      <w:rPr>
        <w:rStyle w:val="889"/>
      </w:rPr>
      <w:t xml:space="preserve">1</w: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2"/>
    <w:uiPriority w:val="99"/>
  </w:style>
  <w:style w:type="character" w:styleId="706">
    <w:name w:val="Footer Char"/>
    <w:basedOn w:val="851"/>
    <w:link w:val="871"/>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1"/>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1"/>
      <w:lang w:val="en-US" w:eastAsia="zh-CN" w:bidi="ar-SA"/>
    </w:rPr>
  </w:style>
  <w:style w:type="paragraph" w:styleId="842">
    <w:name w:val="Heading 1"/>
    <w:basedOn w:val="841"/>
    <w:next w:val="841"/>
    <w:link w:val="895"/>
    <w:uiPriority w:val="0"/>
    <w:qFormat/>
    <w:pPr>
      <w:jc w:val="center"/>
      <w:keepNext/>
      <w:outlineLvl w:val="0"/>
    </w:pPr>
    <w:rPr>
      <w:rFonts w:ascii="楷体_GB2312" w:eastAsia="楷体_GB2312"/>
      <w:sz w:val="28"/>
      <w:szCs w:val="28"/>
    </w:rPr>
  </w:style>
  <w:style w:type="paragraph" w:styleId="843">
    <w:name w:val="Heading 2"/>
    <w:basedOn w:val="841"/>
    <w:next w:val="856"/>
    <w:link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6"/>
    <w:link w:val="898"/>
    <w:uiPriority w:val="0"/>
    <w:qFormat/>
    <w:pPr>
      <w:keepLines/>
      <w:keepNext/>
      <w:spacing w:before="260" w:after="260" w:line="416" w:lineRule="auto"/>
      <w:outlineLvl w:val="2"/>
    </w:pPr>
    <w:rPr>
      <w:b/>
      <w:bCs/>
      <w:sz w:val="32"/>
      <w:szCs w:val="32"/>
    </w:rPr>
  </w:style>
  <w:style w:type="paragraph" w:styleId="845">
    <w:name w:val="Heading 4"/>
    <w:basedOn w:val="841"/>
    <w:next w:val="856"/>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6"/>
    <w:link w:val="900"/>
    <w:uiPriority w:val="0"/>
    <w:qFormat/>
    <w:pPr>
      <w:keepNext/>
      <w:outlineLvl w:val="4"/>
    </w:pPr>
    <w:rPr>
      <w:rFonts w:ascii="宋体"/>
      <w:color w:val="000000"/>
      <w:sz w:val="28"/>
      <w:szCs w:val="28"/>
    </w:rPr>
  </w:style>
  <w:style w:type="paragraph" w:styleId="847">
    <w:name w:val="Heading 6"/>
    <w:basedOn w:val="841"/>
    <w:next w:val="841"/>
    <w:link w:val="9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2"/>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4"/>
    <w:uiPriority w:val="0"/>
    <w:qFormat/>
    <w:pPr>
      <w:numPr>
        <w:ilvl w:val="8"/>
        <w:numId w:val="1"/>
      </w:numPr>
      <w:keepLines/>
      <w:keepNext/>
      <w:spacing w:before="240" w:after="64" w:line="320" w:lineRule="auto"/>
      <w:outlineLvl w:val="8"/>
    </w:pPr>
    <w:rPr>
      <w:rFonts w:ascii="Arial" w:hAnsi="Arial" w:eastAsia="黑体"/>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customStyle="1">
    <w:name w:val="正文文本首行缩进 2"/>
    <w:basedOn w:val="854"/>
    <w:next w:val="841"/>
    <w:uiPriority w:val="0"/>
    <w:qFormat/>
    <w:pPr>
      <w:ind w:firstLine="420"/>
      <w:spacing w:line="360" w:lineRule="auto"/>
    </w:pPr>
    <w:rPr>
      <w:rFonts w:ascii="宋体" w:hAnsi="宋体" w:eastAsia="宋体"/>
      <w:sz w:val="21"/>
      <w:szCs w:val="20"/>
    </w:rPr>
  </w:style>
  <w:style w:type="paragraph" w:styleId="854">
    <w:name w:val="Body Text Indent"/>
    <w:basedOn w:val="841"/>
    <w:next w:val="855"/>
    <w:link w:val="894"/>
    <w:uiPriority w:val="0"/>
    <w:qFormat/>
    <w:pPr>
      <w:ind w:firstLine="645"/>
    </w:pPr>
    <w:rPr>
      <w:rFonts w:ascii="楷体_GB2312" w:eastAsia="楷体_GB2312"/>
      <w:sz w:val="32"/>
      <w:szCs w:val="32"/>
    </w:rPr>
  </w:style>
  <w:style w:type="paragraph" w:styleId="855">
    <w:name w:val="envelope return"/>
    <w:basedOn w:val="841"/>
    <w:uiPriority w:val="0"/>
    <w:qFormat/>
    <w:rPr>
      <w:rFonts w:ascii="Arial" w:hAnsi="Arial" w:cs="宋体"/>
    </w:rPr>
  </w:style>
  <w:style w:type="paragraph" w:styleId="856">
    <w:name w:val="Normal Indent"/>
    <w:basedOn w:val="841"/>
    <w:link w:val="897"/>
    <w:uiPriority w:val="0"/>
    <w:qFormat/>
    <w:pPr>
      <w:ind w:firstLine="420"/>
    </w:pPr>
  </w:style>
  <w:style w:type="paragraph" w:styleId="857">
    <w:name w:val="List 3"/>
    <w:basedOn w:val="841"/>
    <w:uiPriority w:val="0"/>
    <w:qFormat/>
    <w:pPr>
      <w:ind w:left="100" w:hanging="200"/>
    </w:pPr>
  </w:style>
  <w:style w:type="paragraph" w:styleId="858">
    <w:name w:val="toc 7"/>
    <w:basedOn w:val="841"/>
    <w:next w:val="841"/>
    <w:uiPriority w:val="0"/>
    <w:semiHidden/>
    <w:qFormat/>
    <w:pPr>
      <w:ind w:left="1260"/>
      <w:jc w:val="left"/>
    </w:pPr>
  </w:style>
  <w:style w:type="paragraph" w:styleId="859">
    <w:name w:val="Document Map"/>
    <w:basedOn w:val="841"/>
    <w:link w:val="905"/>
    <w:uiPriority w:val="0"/>
    <w:semiHidden/>
    <w:qFormat/>
    <w:pPr>
      <w:shd w:val="clear" w:color="auto" w:fill="000080"/>
    </w:pPr>
  </w:style>
  <w:style w:type="paragraph" w:styleId="860">
    <w:name w:val="annotation text"/>
    <w:basedOn w:val="841"/>
    <w:link w:val="906"/>
    <w:uiPriority w:val="0"/>
    <w:semiHidden/>
    <w:qFormat/>
    <w:pPr>
      <w:jc w:val="left"/>
    </w:pPr>
  </w:style>
  <w:style w:type="paragraph" w:styleId="861">
    <w:name w:val="Body Text 3"/>
    <w:basedOn w:val="841"/>
    <w:link w:val="907"/>
    <w:uiPriority w:val="0"/>
    <w:qFormat/>
    <w:rPr>
      <w:rFonts w:ascii="仿宋_GB2312" w:hAnsi="Arial" w:eastAsia="仿宋_GB2312"/>
      <w:sz w:val="32"/>
      <w:szCs w:val="32"/>
    </w:rPr>
  </w:style>
  <w:style w:type="paragraph" w:styleId="862">
    <w:name w:val="Body Text"/>
    <w:basedOn w:val="841"/>
    <w:link w:val="908"/>
    <w:uiPriority w:val="0"/>
    <w:qFormat/>
    <w:rPr>
      <w:rFonts w:ascii="楷体_GB2312" w:hAnsi="Arial" w:eastAsia="楷体_GB2312"/>
      <w:sz w:val="28"/>
      <w:szCs w:val="28"/>
    </w:rPr>
  </w:style>
  <w:style w:type="paragraph" w:styleId="863">
    <w:name w:val="List 2"/>
    <w:basedOn w:val="841"/>
    <w:uiPriority w:val="0"/>
    <w:qFormat/>
    <w:pPr>
      <w:ind w:left="100" w:hanging="200"/>
    </w:pPr>
  </w:style>
  <w:style w:type="paragraph" w:styleId="864">
    <w:name w:val="toc 5"/>
    <w:basedOn w:val="841"/>
    <w:next w:val="841"/>
    <w:uiPriority w:val="0"/>
    <w:semiHidden/>
    <w:qFormat/>
    <w:pPr>
      <w:ind w:left="840"/>
      <w:jc w:val="left"/>
    </w:pPr>
  </w:style>
  <w:style w:type="paragraph" w:styleId="865">
    <w:name w:val="toc 3"/>
    <w:basedOn w:val="841"/>
    <w:next w:val="841"/>
    <w:uiPriority w:val="0"/>
    <w:semiHidden/>
    <w:qFormat/>
    <w:pPr>
      <w:ind w:left="420"/>
      <w:jc w:val="left"/>
    </w:pPr>
    <w:rPr>
      <w:i/>
      <w:iCs/>
      <w:szCs w:val="24"/>
    </w:rPr>
  </w:style>
  <w:style w:type="paragraph" w:styleId="866">
    <w:name w:val="Plain Text"/>
    <w:basedOn w:val="841"/>
    <w:link w:val="909"/>
    <w:uiPriority w:val="0"/>
    <w:qFormat/>
    <w:rPr>
      <w:rFonts w:ascii="宋体" w:hAnsi="Courier New" w:cs="Courier New"/>
    </w:rPr>
  </w:style>
  <w:style w:type="paragraph" w:styleId="867">
    <w:name w:val="toc 8"/>
    <w:basedOn w:val="841"/>
    <w:next w:val="841"/>
    <w:uiPriority w:val="0"/>
    <w:semiHidden/>
    <w:qFormat/>
    <w:pPr>
      <w:ind w:left="1470"/>
      <w:jc w:val="left"/>
    </w:pPr>
  </w:style>
  <w:style w:type="paragraph" w:styleId="868">
    <w:name w:val="Date"/>
    <w:basedOn w:val="841"/>
    <w:next w:val="841"/>
    <w:link w:val="910"/>
    <w:uiPriority w:val="0"/>
    <w:qFormat/>
    <w:rPr>
      <w:sz w:val="24"/>
      <w:szCs w:val="24"/>
    </w:rPr>
  </w:style>
  <w:style w:type="paragraph" w:styleId="869">
    <w:name w:val="Body Text Indent 2"/>
    <w:basedOn w:val="841"/>
    <w:link w:val="911"/>
    <w:uiPriority w:val="0"/>
    <w:qFormat/>
    <w:pPr>
      <w:ind w:left="630" w:firstLine="645"/>
    </w:pPr>
    <w:rPr>
      <w:rFonts w:ascii="Arial" w:hAnsi="Arial" w:eastAsia="仿宋_GB2312" w:cs="Arial"/>
      <w:sz w:val="32"/>
      <w:szCs w:val="32"/>
    </w:rPr>
  </w:style>
  <w:style w:type="paragraph" w:styleId="870">
    <w:name w:val="Balloon Text"/>
    <w:basedOn w:val="841"/>
    <w:link w:val="912"/>
    <w:uiPriority w:val="0"/>
    <w:semiHidden/>
    <w:qFormat/>
    <w:rPr>
      <w:sz w:val="18"/>
      <w:szCs w:val="18"/>
    </w:rPr>
  </w:style>
  <w:style w:type="paragraph" w:styleId="871">
    <w:name w:val="Footer"/>
    <w:basedOn w:val="841"/>
    <w:link w:val="913"/>
    <w:uiPriority w:val="0"/>
    <w:qFormat/>
    <w:pPr>
      <w:jc w:val="left"/>
      <w:tabs>
        <w:tab w:val="center" w:pos="4153" w:leader="none"/>
        <w:tab w:val="right" w:pos="8306" w:leader="none"/>
      </w:tabs>
    </w:pPr>
    <w:rPr>
      <w:sz w:val="18"/>
      <w:szCs w:val="18"/>
    </w:rPr>
  </w:style>
  <w:style w:type="paragraph" w:styleId="872">
    <w:name w:val="Header"/>
    <w:basedOn w:val="841"/>
    <w:link w:val="914"/>
    <w:uiPriority w:val="0"/>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4">
    <w:name w:val="toc 4"/>
    <w:basedOn w:val="841"/>
    <w:next w:val="841"/>
    <w:uiPriority w:val="0"/>
    <w:semiHidden/>
    <w:qFormat/>
    <w:pPr>
      <w:ind w:left="630"/>
      <w:jc w:val="left"/>
    </w:pPr>
  </w:style>
  <w:style w:type="paragraph" w:styleId="875">
    <w:name w:val="List"/>
    <w:basedOn w:val="841"/>
    <w:uiPriority w:val="0"/>
    <w:qFormat/>
    <w:pPr>
      <w:ind w:left="200" w:hanging="200"/>
    </w:pPr>
  </w:style>
  <w:style w:type="paragraph" w:styleId="876">
    <w:name w:val="toc 6"/>
    <w:basedOn w:val="841"/>
    <w:next w:val="841"/>
    <w:uiPriority w:val="0"/>
    <w:semiHidden/>
    <w:qFormat/>
    <w:pPr>
      <w:ind w:left="1050"/>
      <w:jc w:val="left"/>
    </w:pPr>
  </w:style>
  <w:style w:type="paragraph" w:styleId="877">
    <w:name w:val="Body Text Indent 3"/>
    <w:basedOn w:val="841"/>
    <w:link w:val="915"/>
    <w:uiPriority w:val="0"/>
    <w:qFormat/>
    <w:pPr>
      <w:ind w:left="645" w:firstLine="645"/>
    </w:pPr>
    <w:rPr>
      <w:rFonts w:ascii="Arial" w:hAnsi="Arial" w:eastAsia="仿宋_GB2312" w:cs="Arial"/>
      <w:color w:val="ffff00"/>
      <w:sz w:val="32"/>
      <w:szCs w:val="32"/>
    </w:rPr>
  </w:style>
  <w:style w:type="paragraph" w:styleId="878">
    <w:name w:val="table of figures"/>
    <w:basedOn w:val="841"/>
    <w:next w:val="841"/>
    <w:uiPriority w:val="0"/>
    <w:semiHidden/>
    <w:qFormat/>
    <w:pPr>
      <w:ind w:left="840" w:hanging="420"/>
    </w:pPr>
  </w:style>
  <w:style w:type="paragraph" w:styleId="879">
    <w:name w:val="toc 2"/>
    <w:basedOn w:val="841"/>
    <w:next w:val="841"/>
    <w:uiPriority w:val="0"/>
    <w:semiHidden/>
    <w:qFormat/>
    <w:pPr>
      <w:ind w:left="210"/>
      <w:jc w:val="left"/>
    </w:pPr>
    <w:rPr>
      <w:smallCaps/>
      <w:szCs w:val="24"/>
    </w:rPr>
  </w:style>
  <w:style w:type="paragraph" w:styleId="880">
    <w:name w:val="toc 9"/>
    <w:basedOn w:val="841"/>
    <w:next w:val="841"/>
    <w:uiPriority w:val="0"/>
    <w:semiHidden/>
    <w:qFormat/>
    <w:pPr>
      <w:ind w:left="1680"/>
      <w:jc w:val="left"/>
    </w:pPr>
  </w:style>
  <w:style w:type="paragraph" w:styleId="881">
    <w:name w:val="Body Text 2"/>
    <w:basedOn w:val="841"/>
    <w:link w:val="916"/>
    <w:uiPriority w:val="0"/>
    <w:qFormat/>
    <w:pPr>
      <w:jc w:val="center"/>
      <w:widowControl/>
    </w:pPr>
    <w:rPr>
      <w:rFonts w:ascii="楷体_GB2312" w:eastAsia="楷体_GB2312"/>
      <w:sz w:val="28"/>
      <w:szCs w:val="28"/>
    </w:rPr>
  </w:style>
  <w:style w:type="paragraph" w:styleId="882">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3">
    <w:name w:val="index 1"/>
    <w:basedOn w:val="841"/>
    <w:next w:val="841"/>
    <w:uiPriority w:val="0"/>
    <w:semiHidden/>
    <w:qFormat/>
    <w:pPr>
      <w:spacing w:line="240" w:lineRule="atLeast"/>
    </w:pPr>
    <w:rPr>
      <w:b/>
      <w:bCs/>
    </w:rPr>
  </w:style>
  <w:style w:type="paragraph" w:styleId="884">
    <w:name w:val="annotation subject"/>
    <w:basedOn w:val="860"/>
    <w:next w:val="860"/>
    <w:link w:val="917"/>
    <w:uiPriority w:val="0"/>
    <w:semiHidden/>
    <w:qFormat/>
    <w:rPr>
      <w:b/>
      <w:bCs/>
    </w:rPr>
  </w:style>
  <w:style w:type="paragraph" w:styleId="885">
    <w:name w:val="Body Text First Indent"/>
    <w:basedOn w:val="841"/>
    <w:link w:val="918"/>
    <w:uiPriority w:val="0"/>
    <w:qFormat/>
    <w:pPr>
      <w:ind w:firstLine="200"/>
      <w:spacing w:line="360" w:lineRule="auto"/>
    </w:pPr>
    <w:rPr>
      <w:rFonts w:ascii="仿宋_GB2312" w:eastAsia="仿宋_GB2312"/>
      <w:sz w:val="30"/>
      <w:szCs w:val="30"/>
    </w:rPr>
  </w:style>
  <w:style w:type="paragraph" w:styleId="886">
    <w:name w:val="Body Text First Indent 2"/>
    <w:basedOn w:val="854"/>
    <w:next w:val="841"/>
    <w:link w:val="919"/>
    <w:uiPriority w:val="0"/>
    <w:qFormat/>
    <w:pPr>
      <w:ind w:firstLine="420"/>
      <w:spacing w:line="360" w:lineRule="auto"/>
    </w:pPr>
    <w:rPr>
      <w:rFonts w:ascii="宋体" w:hAnsi="宋体" w:eastAsia="宋体"/>
      <w:sz w:val="21"/>
      <w:szCs w:val="20"/>
    </w:rPr>
  </w:style>
  <w:style w:type="table" w:styleId="887">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b/>
      <w:bCs/>
    </w:rPr>
  </w:style>
  <w:style w:type="character" w:styleId="889">
    <w:name w:val="page number"/>
    <w:uiPriority w:val="0"/>
    <w:qFormat/>
  </w:style>
  <w:style w:type="character" w:styleId="890">
    <w:name w:val="FollowedHyperlink"/>
    <w:uiPriority w:val="0"/>
    <w:qFormat/>
    <w:rPr>
      <w:color w:val="800080"/>
      <w:u w:val="single"/>
    </w:rPr>
  </w:style>
  <w:style w:type="character" w:styleId="891">
    <w:name w:val="Emphasis"/>
    <w:uiPriority w:val="0"/>
    <w:qFormat/>
    <w:rPr>
      <w:i/>
    </w:rPr>
  </w:style>
  <w:style w:type="character" w:styleId="892">
    <w:name w:val="Hyperlink"/>
    <w:uiPriority w:val="0"/>
    <w:qFormat/>
    <w:rPr>
      <w:color w:val="0000ff"/>
      <w:u w:val="single"/>
    </w:rPr>
  </w:style>
  <w:style w:type="character" w:styleId="893">
    <w:name w:val="annotation reference"/>
    <w:uiPriority w:val="0"/>
    <w:semiHidden/>
    <w:qFormat/>
    <w:rPr>
      <w:sz w:val="21"/>
      <w:szCs w:val="21"/>
    </w:rPr>
  </w:style>
  <w:style w:type="character" w:styleId="894" w:customStyle="1">
    <w:name w:val="正文文本缩进 Char"/>
    <w:link w:val="854"/>
    <w:uiPriority w:val="0"/>
    <w:qFormat/>
    <w:rPr>
      <w:rFonts w:ascii="楷体_GB2312" w:hAnsi="Times New Roman" w:eastAsia="楷体_GB2312" w:cs="Times New Roman"/>
      <w:sz w:val="32"/>
      <w:szCs w:val="32"/>
    </w:rPr>
  </w:style>
  <w:style w:type="character" w:styleId="895" w:customStyle="1">
    <w:name w:val="标题 1 Char"/>
    <w:link w:val="842"/>
    <w:uiPriority w:val="0"/>
    <w:qFormat/>
    <w:rPr>
      <w:rFonts w:ascii="楷体_GB2312" w:hAnsi="Times New Roman" w:eastAsia="楷体_GB2312" w:cs="Times New Roman"/>
      <w:sz w:val="28"/>
      <w:szCs w:val="28"/>
    </w:rPr>
  </w:style>
  <w:style w:type="character" w:styleId="896" w:customStyle="1">
    <w:name w:val="标题 2 Char"/>
    <w:link w:val="843"/>
    <w:uiPriority w:val="0"/>
    <w:qFormat/>
    <w:rPr>
      <w:rFonts w:ascii="Arial" w:hAnsi="Arial" w:eastAsia="幼圆" w:cs="Arial"/>
      <w:b/>
      <w:bCs/>
      <w:sz w:val="44"/>
      <w:szCs w:val="44"/>
    </w:rPr>
  </w:style>
  <w:style w:type="character" w:styleId="897" w:customStyle="1">
    <w:name w:val="正文缩进 Char"/>
    <w:link w:val="856"/>
    <w:uiPriority w:val="0"/>
    <w:qFormat/>
    <w:rPr>
      <w:rFonts w:ascii="Times New Roman" w:hAnsi="Times New Roman" w:eastAsia="宋体" w:cs="Times New Roman"/>
      <w:szCs w:val="21"/>
    </w:rPr>
  </w:style>
  <w:style w:type="character" w:styleId="898" w:customStyle="1">
    <w:name w:val="标题 3 Char"/>
    <w:link w:val="844"/>
    <w:uiPriority w:val="0"/>
    <w:qFormat/>
    <w:rPr>
      <w:rFonts w:ascii="Times New Roman" w:hAnsi="Times New Roman" w:eastAsia="宋体" w:cs="Times New Roman"/>
      <w:b/>
      <w:bCs/>
      <w:sz w:val="32"/>
      <w:szCs w:val="32"/>
    </w:rPr>
  </w:style>
  <w:style w:type="character" w:styleId="899" w:customStyle="1">
    <w:name w:val="标题 4 Char"/>
    <w:link w:val="845"/>
    <w:uiPriority w:val="0"/>
    <w:qFormat/>
    <w:rPr>
      <w:rFonts w:ascii="Arial" w:hAnsi="Arial" w:eastAsia="黑体" w:cs="Arial"/>
      <w:b/>
      <w:bCs/>
      <w:sz w:val="28"/>
      <w:szCs w:val="28"/>
    </w:rPr>
  </w:style>
  <w:style w:type="character" w:styleId="900" w:customStyle="1">
    <w:name w:val="标题 5 Char"/>
    <w:link w:val="846"/>
    <w:uiPriority w:val="0"/>
    <w:qFormat/>
    <w:rPr>
      <w:rFonts w:ascii="宋体" w:hAnsi="Times New Roman" w:eastAsia="宋体" w:cs="Times New Roman"/>
      <w:color w:val="000000"/>
      <w:sz w:val="28"/>
      <w:szCs w:val="28"/>
    </w:rPr>
  </w:style>
  <w:style w:type="character" w:styleId="901" w:customStyle="1">
    <w:name w:val="标题 6 Char"/>
    <w:link w:val="847"/>
    <w:uiPriority w:val="0"/>
    <w:qFormat/>
    <w:rPr>
      <w:rFonts w:ascii="Arial" w:hAnsi="Arial" w:eastAsia="黑体" w:cs="Times New Roman"/>
      <w:b/>
      <w:bCs/>
      <w:sz w:val="24"/>
      <w:szCs w:val="24"/>
    </w:rPr>
  </w:style>
  <w:style w:type="character" w:styleId="902" w:customStyle="1">
    <w:name w:val="标题 7 Char"/>
    <w:link w:val="848"/>
    <w:uiPriority w:val="0"/>
    <w:qFormat/>
    <w:rPr>
      <w:rFonts w:ascii="Times New Roman" w:hAnsi="Times New Roman" w:eastAsia="宋体" w:cs="Times New Roman"/>
      <w:b/>
      <w:bCs/>
      <w:sz w:val="24"/>
      <w:szCs w:val="24"/>
    </w:rPr>
  </w:style>
  <w:style w:type="character" w:styleId="903" w:customStyle="1">
    <w:name w:val="标题 8 Char"/>
    <w:link w:val="849"/>
    <w:uiPriority w:val="0"/>
    <w:qFormat/>
    <w:rPr>
      <w:rFonts w:ascii="Arial" w:hAnsi="Arial" w:eastAsia="黑体" w:cs="Times New Roman"/>
      <w:sz w:val="24"/>
      <w:szCs w:val="24"/>
    </w:rPr>
  </w:style>
  <w:style w:type="character" w:styleId="904" w:customStyle="1">
    <w:name w:val="标题 9 Char"/>
    <w:link w:val="850"/>
    <w:uiPriority w:val="0"/>
    <w:qFormat/>
    <w:rPr>
      <w:rFonts w:ascii="Arial" w:hAnsi="Arial" w:eastAsia="黑体" w:cs="Times New Roman"/>
      <w:szCs w:val="21"/>
    </w:rPr>
  </w:style>
  <w:style w:type="character" w:styleId="905" w:customStyle="1">
    <w:name w:val="文档结构图 Char"/>
    <w:link w:val="859"/>
    <w:uiPriority w:val="0"/>
    <w:semiHidden/>
    <w:qFormat/>
    <w:rPr>
      <w:rFonts w:ascii="Times New Roman" w:hAnsi="Times New Roman" w:eastAsia="宋体" w:cs="Times New Roman"/>
      <w:szCs w:val="21"/>
      <w:shd w:val="clear" w:color="auto" w:fill="000080"/>
    </w:rPr>
  </w:style>
  <w:style w:type="character" w:styleId="906" w:customStyle="1">
    <w:name w:val="批注文字 Char"/>
    <w:link w:val="860"/>
    <w:uiPriority w:val="0"/>
    <w:semiHidden/>
    <w:qFormat/>
    <w:rPr>
      <w:rFonts w:ascii="Times New Roman" w:hAnsi="Times New Roman" w:eastAsia="宋体" w:cs="Times New Roman"/>
      <w:szCs w:val="21"/>
    </w:rPr>
  </w:style>
  <w:style w:type="character" w:styleId="907" w:customStyle="1">
    <w:name w:val="正文文本 3 Char"/>
    <w:link w:val="861"/>
    <w:uiPriority w:val="0"/>
    <w:qFormat/>
    <w:rPr>
      <w:rFonts w:ascii="仿宋_GB2312" w:hAnsi="Arial" w:eastAsia="仿宋_GB2312" w:cs="Times New Roman"/>
      <w:sz w:val="32"/>
      <w:szCs w:val="32"/>
    </w:rPr>
  </w:style>
  <w:style w:type="character" w:styleId="908" w:customStyle="1">
    <w:name w:val="正文文本 Char"/>
    <w:link w:val="862"/>
    <w:uiPriority w:val="0"/>
    <w:qFormat/>
    <w:rPr>
      <w:rFonts w:ascii="楷体_GB2312" w:hAnsi="Arial" w:eastAsia="楷体_GB2312" w:cs="Times New Roman"/>
      <w:sz w:val="28"/>
      <w:szCs w:val="28"/>
    </w:rPr>
  </w:style>
  <w:style w:type="character" w:styleId="909" w:customStyle="1">
    <w:name w:val="纯文本 Char"/>
    <w:link w:val="866"/>
    <w:uiPriority w:val="0"/>
    <w:qFormat/>
    <w:rPr>
      <w:rFonts w:ascii="宋体" w:hAnsi="Courier New" w:eastAsia="宋体" w:cs="Courier New"/>
      <w:szCs w:val="21"/>
    </w:rPr>
  </w:style>
  <w:style w:type="character" w:styleId="910" w:customStyle="1">
    <w:name w:val="日期 Char"/>
    <w:link w:val="868"/>
    <w:uiPriority w:val="0"/>
    <w:qFormat/>
    <w:rPr>
      <w:rFonts w:ascii="Times New Roman" w:hAnsi="Times New Roman" w:eastAsia="宋体" w:cs="Times New Roman"/>
      <w:sz w:val="24"/>
      <w:szCs w:val="24"/>
    </w:rPr>
  </w:style>
  <w:style w:type="character" w:styleId="911" w:customStyle="1">
    <w:name w:val="正文文本缩进 2 Char"/>
    <w:link w:val="869"/>
    <w:uiPriority w:val="0"/>
    <w:qFormat/>
    <w:rPr>
      <w:rFonts w:ascii="Arial" w:hAnsi="Arial" w:eastAsia="仿宋_GB2312" w:cs="Arial"/>
      <w:sz w:val="32"/>
      <w:szCs w:val="32"/>
    </w:rPr>
  </w:style>
  <w:style w:type="character" w:styleId="912" w:customStyle="1">
    <w:name w:val="批注框文本 Char"/>
    <w:link w:val="870"/>
    <w:uiPriority w:val="0"/>
    <w:semiHidden/>
    <w:qFormat/>
    <w:rPr>
      <w:rFonts w:ascii="Times New Roman" w:hAnsi="Times New Roman" w:eastAsia="宋体" w:cs="Times New Roman"/>
      <w:sz w:val="18"/>
      <w:szCs w:val="18"/>
    </w:rPr>
  </w:style>
  <w:style w:type="character" w:styleId="913" w:customStyle="1">
    <w:name w:val="页脚 Char"/>
    <w:link w:val="871"/>
    <w:uiPriority w:val="0"/>
    <w:qFormat/>
    <w:rPr>
      <w:rFonts w:ascii="Times New Roman" w:hAnsi="Times New Roman" w:eastAsia="宋体" w:cs="Times New Roman"/>
      <w:sz w:val="18"/>
      <w:szCs w:val="18"/>
    </w:rPr>
  </w:style>
  <w:style w:type="character" w:styleId="914" w:customStyle="1">
    <w:name w:val="页眉 Char"/>
    <w:link w:val="872"/>
    <w:uiPriority w:val="0"/>
    <w:qFormat/>
    <w:rPr>
      <w:rFonts w:ascii="Times New Roman" w:hAnsi="Times New Roman" w:eastAsia="宋体" w:cs="Times New Roman"/>
      <w:sz w:val="18"/>
      <w:szCs w:val="18"/>
    </w:rPr>
  </w:style>
  <w:style w:type="character" w:styleId="915" w:customStyle="1">
    <w:name w:val="正文文本缩进 3 Char"/>
    <w:link w:val="877"/>
    <w:uiPriority w:val="0"/>
    <w:qFormat/>
    <w:rPr>
      <w:rFonts w:ascii="Arial" w:hAnsi="Arial" w:eastAsia="仿宋_GB2312" w:cs="Arial"/>
      <w:color w:val="ffff00"/>
      <w:sz w:val="32"/>
      <w:szCs w:val="32"/>
    </w:rPr>
  </w:style>
  <w:style w:type="character" w:styleId="916" w:customStyle="1">
    <w:name w:val="正文文本 2 Char"/>
    <w:link w:val="881"/>
    <w:uiPriority w:val="0"/>
    <w:qFormat/>
    <w:rPr>
      <w:rFonts w:ascii="楷体_GB2312" w:hAnsi="Times New Roman" w:eastAsia="楷体_GB2312" w:cs="Times New Roman"/>
      <w:sz w:val="28"/>
      <w:szCs w:val="28"/>
    </w:rPr>
  </w:style>
  <w:style w:type="character" w:styleId="917" w:customStyle="1">
    <w:name w:val="批注主题 Char"/>
    <w:link w:val="884"/>
    <w:uiPriority w:val="0"/>
    <w:semiHidden/>
    <w:qFormat/>
    <w:rPr>
      <w:rFonts w:ascii="Times New Roman" w:hAnsi="Times New Roman" w:eastAsia="宋体" w:cs="Times New Roman"/>
      <w:b/>
      <w:bCs/>
      <w:szCs w:val="21"/>
    </w:rPr>
  </w:style>
  <w:style w:type="character" w:styleId="918" w:customStyle="1">
    <w:name w:val="正文首行缩进 Char"/>
    <w:link w:val="885"/>
    <w:uiPriority w:val="0"/>
    <w:qFormat/>
    <w:rPr>
      <w:rFonts w:ascii="仿宋_GB2312" w:hAnsi="Times New Roman" w:eastAsia="仿宋_GB2312" w:cs="Times New Roman"/>
      <w:sz w:val="30"/>
      <w:szCs w:val="30"/>
    </w:rPr>
  </w:style>
  <w:style w:type="character" w:styleId="919" w:customStyle="1">
    <w:name w:val="正文首行缩进 2 Char"/>
    <w:link w:val="886"/>
    <w:uiPriority w:val="0"/>
    <w:qFormat/>
    <w:rPr>
      <w:rFonts w:ascii="宋体" w:hAnsi="宋体" w:eastAsia="宋体" w:cs="Times New Roman"/>
      <w:sz w:val="32"/>
      <w:szCs w:val="20"/>
    </w:rPr>
  </w:style>
  <w:style w:type="paragraph" w:styleId="920" w:customStyle="1">
    <w:name w:val="索引 41"/>
    <w:basedOn w:val="841"/>
    <w:next w:val="841"/>
    <w:uiPriority w:val="0"/>
    <w:semiHidden/>
    <w:qFormat/>
    <w:pPr>
      <w:ind w:left="1260"/>
    </w:pPr>
    <w:rPr>
      <w:rFonts w:ascii="Calibri" w:hAnsi="Calibri" w:eastAsia="Calibri" w:cs="宋体"/>
      <w:sz w:val="20"/>
      <w:lang w:val="zh-CN"/>
    </w:rPr>
  </w:style>
  <w:style w:type="paragraph" w:styleId="921" w:customStyle="1">
    <w:name w:val="正文首行缩进 21"/>
    <w:basedOn w:val="922"/>
    <w:next w:val="841"/>
    <w:uiPriority w:val="0"/>
    <w:qFormat/>
    <w:pPr>
      <w:ind w:firstLine="420"/>
      <w:spacing w:line="360" w:lineRule="auto"/>
    </w:pPr>
    <w:rPr>
      <w:rFonts w:ascii="宋体" w:hAnsi="宋体" w:eastAsia="宋体"/>
      <w:sz w:val="21"/>
      <w:szCs w:val="20"/>
    </w:rPr>
  </w:style>
  <w:style w:type="paragraph" w:styleId="922" w:customStyle="1">
    <w:name w:val="正文文本缩进11"/>
    <w:basedOn w:val="841"/>
    <w:next w:val="923"/>
    <w:uiPriority w:val="0"/>
    <w:qFormat/>
    <w:pPr>
      <w:ind w:firstLine="645"/>
    </w:pPr>
    <w:rPr>
      <w:rFonts w:ascii="楷体_GB2312" w:eastAsia="楷体_GB2312"/>
      <w:sz w:val="32"/>
      <w:szCs w:val="32"/>
    </w:rPr>
  </w:style>
  <w:style w:type="paragraph" w:styleId="923" w:customStyle="1">
    <w:name w:val="寄信人地址1"/>
    <w:basedOn w:val="841"/>
    <w:uiPriority w:val="0"/>
    <w:qFormat/>
    <w:rPr>
      <w:rFonts w:ascii="Arial" w:hAnsi="Arial" w:cs="宋体"/>
    </w:rPr>
  </w:style>
  <w:style w:type="paragraph" w:styleId="924" w:customStyle="1">
    <w:name w:val="标题 41"/>
    <w:basedOn w:val="841"/>
    <w:next w:val="925"/>
    <w:uiPriority w:val="0"/>
    <w:qFormat/>
    <w:pPr>
      <w:keepLines/>
      <w:keepNext/>
      <w:spacing w:before="280" w:after="290" w:line="376" w:lineRule="auto"/>
      <w:outlineLvl w:val="3"/>
    </w:pPr>
    <w:rPr>
      <w:rFonts w:ascii="Arial" w:hAnsi="Arial" w:eastAsia="黑体" w:cs="Arial"/>
      <w:b/>
      <w:bCs/>
      <w:sz w:val="28"/>
      <w:szCs w:val="28"/>
    </w:rPr>
  </w:style>
  <w:style w:type="paragraph" w:styleId="925" w:customStyle="1">
    <w:name w:val="正文缩进1"/>
    <w:basedOn w:val="841"/>
    <w:uiPriority w:val="0"/>
    <w:qFormat/>
    <w:pPr>
      <w:ind w:firstLine="420"/>
    </w:pPr>
  </w:style>
  <w:style w:type="paragraph" w:styleId="926" w:customStyle="1">
    <w:name w:val="正文文本12"/>
    <w:basedOn w:val="841"/>
    <w:uiPriority w:val="1"/>
    <w:qFormat/>
    <w:pPr>
      <w:ind w:left="120"/>
    </w:pPr>
    <w:rPr>
      <w:rFonts w:ascii="宋体" w:hAnsi="宋体" w:cs="宋体"/>
      <w:lang w:val="zh-CN" w:bidi="zh-CN"/>
    </w:rPr>
  </w:style>
  <w:style w:type="character" w:styleId="927" w:customStyle="1">
    <w:name w:val="font5 Char"/>
    <w:uiPriority w:val="0"/>
    <w:qFormat/>
    <w:rPr>
      <w:rFonts w:ascii="宋体" w:hAnsi="宋体" w:eastAsia="宋体"/>
      <w:sz w:val="28"/>
      <w:szCs w:val="28"/>
      <w:lang w:val="en-US" w:eastAsia="zh-CN" w:bidi="ar-SA"/>
    </w:rPr>
  </w:style>
  <w:style w:type="character" w:styleId="928" w:customStyle="1">
    <w:name w:val="二级目录 Char"/>
    <w:link w:val="929"/>
    <w:uiPriority w:val="0"/>
    <w:qFormat/>
    <w:rPr>
      <w:b/>
      <w:sz w:val="30"/>
      <w:szCs w:val="28"/>
    </w:rPr>
  </w:style>
  <w:style w:type="paragraph" w:styleId="929" w:customStyle="1">
    <w:name w:val="二级目录"/>
    <w:next w:val="841"/>
    <w:link w:val="92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30" w:customStyle="1">
    <w:name w:val="列出段落 Char"/>
    <w:link w:val="931"/>
    <w:uiPriority w:val="0"/>
    <w:qFormat/>
    <w:rPr>
      <w:rFonts w:ascii="Calibri" w:hAnsi="Calibri"/>
      <w:sz w:val="24"/>
      <w:szCs w:val="24"/>
      <w:lang w:eastAsia="en-US" w:bidi="en-US"/>
    </w:rPr>
  </w:style>
  <w:style w:type="paragraph" w:styleId="931" w:customStyle="1">
    <w:name w:val="列出段落1"/>
    <w:basedOn w:val="841"/>
    <w:link w:val="930"/>
    <w:uiPriority w:val="0"/>
    <w:qFormat/>
    <w:pPr>
      <w:contextualSpacing/>
      <w:ind w:left="720"/>
      <w:jc w:val="left"/>
      <w:widowControl/>
    </w:pPr>
    <w:rPr>
      <w:rFonts w:ascii="Calibri" w:hAnsi="Calibri"/>
      <w:sz w:val="24"/>
      <w:szCs w:val="24"/>
      <w:lang w:eastAsia="en-US" w:bidi="en-US"/>
    </w:rPr>
  </w:style>
  <w:style w:type="paragraph" w:styleId="932" w:customStyle="1">
    <w:name w:val="Body Text(ch)"/>
    <w:basedOn w:val="841"/>
    <w:next w:val="862"/>
    <w:uiPriority w:val="0"/>
    <w:qFormat/>
    <w:pPr>
      <w:spacing w:after="120"/>
    </w:pPr>
    <w:rPr>
      <w:rFonts w:ascii="宋体" w:hAnsi="Arial"/>
      <w:bCs/>
      <w:iCs/>
      <w:szCs w:val="24"/>
    </w:rPr>
  </w:style>
  <w:style w:type="paragraph" w:styleId="933"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4"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5" w:customStyle="1">
    <w:name w:val="Char"/>
    <w:basedOn w:val="841"/>
    <w:uiPriority w:val="0"/>
    <w:qFormat/>
    <w:pPr>
      <w:ind w:firstLine="200"/>
      <w:tabs>
        <w:tab w:val="left" w:pos="360" w:leader="none"/>
      </w:tabs>
    </w:pPr>
    <w:rPr>
      <w:sz w:val="28"/>
      <w:szCs w:val="30"/>
    </w:rPr>
  </w:style>
  <w:style w:type="paragraph" w:styleId="936" w:customStyle="1">
    <w:name w:val="Char1"/>
    <w:basedOn w:val="859"/>
    <w:uiPriority w:val="0"/>
    <w:qFormat/>
    <w:rPr>
      <w:rFonts w:ascii="Tahoma" w:hAnsi="Tahoma"/>
      <w:sz w:val="24"/>
      <w:szCs w:val="24"/>
    </w:rPr>
  </w:style>
  <w:style w:type="paragraph" w:styleId="937"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8" w:customStyle="1">
    <w:name w:val="table_lines"/>
    <w:basedOn w:val="841"/>
    <w:uiPriority w:val="0"/>
    <w:qFormat/>
    <w:pPr>
      <w:jc w:val="left"/>
      <w:widowControl/>
    </w:pPr>
    <w:rPr>
      <w:sz w:val="20"/>
      <w:szCs w:val="20"/>
      <w:lang w:val="de-DE" w:eastAsia="de-DE"/>
    </w:rPr>
  </w:style>
  <w:style w:type="paragraph" w:styleId="93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40"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41" w:customStyle="1">
    <w:name w:val="Char Char Char Char"/>
    <w:basedOn w:val="859"/>
    <w:uiPriority w:val="0"/>
    <w:qFormat/>
    <w:pPr>
      <w:spacing w:line="360" w:lineRule="auto"/>
    </w:pPr>
    <w:rPr>
      <w:rFonts w:ascii="Tahoma" w:hAnsi="Tahoma"/>
      <w:sz w:val="24"/>
      <w:szCs w:val="24"/>
    </w:rPr>
  </w:style>
  <w:style w:type="paragraph" w:styleId="942">
    <w:name w:val="List Paragraph"/>
    <w:basedOn w:val="841"/>
    <w:uiPriority w:val="0"/>
    <w:qFormat/>
    <w:pPr>
      <w:contextualSpacing/>
      <w:ind w:left="720"/>
      <w:jc w:val="left"/>
      <w:widowControl/>
    </w:pPr>
    <w:rPr>
      <w:rFonts w:ascii="Calibri" w:hAnsi="Calibri"/>
      <w:sz w:val="24"/>
      <w:szCs w:val="24"/>
      <w:lang w:eastAsia="en-US" w:bidi="en-US"/>
    </w:rPr>
  </w:style>
  <w:style w:type="paragraph" w:styleId="943" w:customStyle="1">
    <w:name w:val="4"/>
    <w:basedOn w:val="841"/>
    <w:next w:val="877"/>
    <w:uiPriority w:val="0"/>
    <w:qFormat/>
    <w:pPr>
      <w:ind w:firstLine="420"/>
      <w:spacing w:line="360" w:lineRule="auto"/>
    </w:pPr>
    <w:rPr>
      <w:color w:val="ff0000"/>
      <w:sz w:val="24"/>
      <w:szCs w:val="24"/>
    </w:rPr>
  </w:style>
  <w:style w:type="paragraph" w:styleId="944"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45" w:customStyle="1">
    <w:name w:val="Char Char Char Char Char Char Char Char Char Char"/>
    <w:basedOn w:val="841"/>
    <w:uiPriority w:val="0"/>
    <w:qFormat/>
    <w:pPr>
      <w:spacing w:line="360" w:lineRule="auto"/>
    </w:pPr>
    <w:rPr>
      <w:sz w:val="24"/>
      <w:szCs w:val="20"/>
    </w:rPr>
  </w:style>
  <w:style w:type="paragraph" w:styleId="946" w:customStyle="1">
    <w:name w:val="样式1"/>
    <w:basedOn w:val="841"/>
    <w:uiPriority w:val="0"/>
    <w:qFormat/>
    <w:pPr>
      <w:numPr>
        <w:ilvl w:val="0"/>
        <w:numId w:val="3"/>
      </w:numPr>
    </w:pPr>
    <w:rPr>
      <w:rFonts w:ascii="宋体" w:hAnsi="宋体"/>
    </w:rPr>
  </w:style>
  <w:style w:type="paragraph" w:styleId="947"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48"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9"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0"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51"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2"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3"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54"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5"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956"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57" w:customStyle="1">
    <w:name w:val="Char Char Char Char1"/>
    <w:basedOn w:val="859"/>
    <w:uiPriority w:val="0"/>
    <w:qFormat/>
    <w:pPr>
      <w:spacing w:line="360" w:lineRule="auto"/>
    </w:pPr>
    <w:rPr>
      <w:rFonts w:ascii="Tahoma" w:hAnsi="Tahoma"/>
      <w:sz w:val="24"/>
      <w:szCs w:val="24"/>
    </w:rPr>
  </w:style>
  <w:style w:type="paragraph" w:styleId="958" w:customStyle="1">
    <w:name w:val="table_1stline"/>
    <w:basedOn w:val="841"/>
    <w:uiPriority w:val="0"/>
    <w:qFormat/>
    <w:pPr>
      <w:jc w:val="left"/>
      <w:spacing w:before="120"/>
      <w:widowControl/>
    </w:pPr>
    <w:rPr>
      <w:bCs/>
      <w:sz w:val="20"/>
      <w:szCs w:val="20"/>
      <w:lang w:val="de-DE" w:eastAsia="de-DE"/>
    </w:rPr>
  </w:style>
  <w:style w:type="paragraph" w:styleId="959"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60"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1" w:customStyle="1">
    <w:name w:val="Revision"/>
    <w:uiPriority w:val="99"/>
    <w:semiHidden/>
    <w:qFormat/>
    <w:rPr>
      <w:rFonts w:ascii="Times New Roman" w:hAnsi="Times New Roman" w:eastAsia="宋体" w:cs="Times New Roman"/>
      <w:sz w:val="21"/>
      <w:szCs w:val="21"/>
      <w:lang w:val="en-US" w:eastAsia="zh-CN" w:bidi="ar-SA"/>
    </w:rPr>
  </w:style>
  <w:style w:type="paragraph" w:styleId="96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3" w:customStyle="1">
    <w:name w:val="正文文本 211"/>
    <w:basedOn w:val="841"/>
    <w:uiPriority w:val="99"/>
    <w:qFormat/>
    <w:pPr>
      <w:jc w:val="center"/>
    </w:pPr>
    <w:rPr>
      <w:b/>
      <w:bCs/>
      <w:sz w:val="20"/>
      <w:szCs w:val="20"/>
    </w:rPr>
  </w:style>
  <w:style w:type="table" w:styleId="964" w:customStyle="1">
    <w:name w:val="Table Normal"/>
    <w:uiPriority w:val="0"/>
    <w:qFormat/>
    <w:tblPr>
      <w:tblCellMar>
        <w:left w:w="0" w:type="dxa"/>
        <w:top w:w="0" w:type="dxa"/>
        <w:right w:w="0" w:type="dxa"/>
        <w:bottom w:w="0" w:type="dxa"/>
      </w:tblCellMar>
    </w:tblPr>
  </w:style>
  <w:style w:type="paragraph" w:styleId="965" w:customStyle="1">
    <w:name w:val="正文文本1"/>
    <w:basedOn w:val="841"/>
    <w:next w:val="841"/>
    <w:uiPriority w:val="0"/>
    <w:semiHidden/>
    <w:qFormat/>
    <w:rPr>
      <w:rFonts w:ascii="Arial" w:hAnsi="Arial" w:eastAsia="Arial" w:cs="Arial"/>
      <w:lang w:eastAsia="en-US"/>
    </w:rPr>
  </w:style>
  <w:style w:type="paragraph" w:styleId="966" w:customStyle="1">
    <w:name w:val="纯文本1"/>
    <w:basedOn w:val="841"/>
    <w:uiPriority w:val="0"/>
    <w:qFormat/>
    <w:rPr>
      <w:rFonts w:ascii="宋体" w:hAnsi="Courier New" w:cs="Courier New"/>
    </w:rPr>
  </w:style>
  <w:style w:type="table" w:styleId="967" w:customStyle="1">
    <w:name w:val="网格型1"/>
    <w:basedOn w:val="968"/>
    <w:uiPriority w:val="0"/>
    <w:qFormat/>
    <w:pPr>
      <w:jc w:val="both"/>
      <w:widowControl w:val="off"/>
    </w:pPr>
    <w:tblPr/>
  </w:style>
  <w:style w:type="table" w:styleId="968" w:customStyle="1">
    <w:name w:val="普通表格1"/>
    <w:uiPriority w:val="99"/>
    <w:unhideWhenUsed/>
    <w:qFormat/>
    <w:tblPr>
      <w:tblCellMar>
        <w:left w:w="0" w:type="dxa"/>
        <w:top w:w="0" w:type="dxa"/>
        <w:right w:w="0" w:type="dxa"/>
        <w:bottom w:w="0" w:type="dxa"/>
      </w:tblCellMar>
    </w:tblPr>
  </w:style>
  <w:style w:type="character" w:styleId="969" w:customStyle="1">
    <w:name w:val="15"/>
    <w:basedOn w:val="851"/>
    <w:uiPriority w:val="0"/>
    <w:qFormat/>
    <w:rPr>
      <w:rFonts w:hint="default" w:ascii="Times New Roman" w:hAnsi="Times New Roman" w:cs="Times New Roman"/>
    </w:rPr>
  </w:style>
  <w:style w:type="paragraph" w:styleId="970" w:customStyle="1">
    <w:name w:val="正文首行缩进 211"/>
    <w:basedOn w:val="922"/>
    <w:next w:val="841"/>
    <w:uiPriority w:val="0"/>
    <w:qFormat/>
    <w:pPr>
      <w:ind w:firstLine="420"/>
      <w:spacing w:line="360" w:lineRule="auto"/>
    </w:pPr>
    <w:rPr>
      <w:rFonts w:ascii="宋体" w:hAnsi="宋体" w:eastAsia="宋体"/>
      <w:szCs w:val="20"/>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李彦</cp:lastModifiedBy>
  <cp:revision>5</cp:revision>
  <dcterms:created xsi:type="dcterms:W3CDTF">2026-07-01T00:35:00Z</dcterms:created>
  <dcterms:modified xsi:type="dcterms:W3CDTF">2026-07-03T01:14:10Z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E20B97C8BEF54268AAF311C49137FF72</vt:lpwstr>
  </property>
  <property fmtid="{D5CDD505-2E9C-101B-9397-08002B2CF9AE}" pid="4" name="KSOTemplateDocerSaveRecord">
    <vt:lpwstr>eyJoZGlkIjoiMTRlMmVlZTU2NWJmNjYyYzFlYzdmMWQyZjY2MjgwOWUiLCJ1c2VySWQiOiIxMjA3OTU4OTE4In0=</vt:lpwstr>
  </property>
</Properties>
</file>