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31"/>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江苏航运职业技术学院安全技能实训中心</w:t>
      </w:r>
      <w:r/>
    </w:p>
    <w:p>
      <w:pPr>
        <w:pStyle w:val="1031"/>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（高压/低压/高处作业方向）</w:t>
      </w:r>
      <w:r/>
    </w:p>
    <w:p>
      <w:pPr>
        <w:pStyle w:val="1031"/>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公开招标</w:t>
      </w:r>
      <w:r>
        <w:rPr>
          <w:rFonts w:hint="eastAsia" w:ascii="仿宋" w:hAnsi="仿宋" w:eastAsia="仿宋" w:cs="仿宋"/>
          <w:b/>
          <w:color w:val="auto"/>
          <w:sz w:val="44"/>
          <w:szCs w:val="44"/>
          <w:highlight w:val="none"/>
          <w:lang w:eastAsia="zh-CN"/>
        </w:rPr>
        <w:t xml:space="preserve">采购项目</w:t>
      </w:r>
      <w:r/>
    </w:p>
    <w:p>
      <w:pPr>
        <w:pStyle w:val="1031"/>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r>
      <w:r/>
    </w:p>
    <w:p>
      <w:pPr>
        <w:jc w:val="center"/>
        <w:spacing w:line="360" w:lineRule="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 xml:space="preserve">政府采购招标文件</w:t>
      </w:r>
      <w:r/>
    </w:p>
    <w:p>
      <w:pPr>
        <w:jc w:val="center"/>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（资格后审）</w:t>
      </w:r>
      <w:r/>
    </w:p>
    <w:p>
      <w:pPr>
        <w:jc w:val="center"/>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项目编号：JSZC-320690-SZXY-G2026-0021</w:t>
      </w:r>
      <w:r/>
    </w:p>
    <w:p>
      <w:pPr>
        <w:pStyle w:val="1031"/>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6"/>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采购单位：江苏航运职业技术学院</w:t>
      </w:r>
      <w:r/>
    </w:p>
    <w:p>
      <w:pPr>
        <w:ind w:firstLine="643"/>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代理机构：苏州新一造价师价格事务所有限公司</w:t>
      </w:r>
      <w:r/>
    </w:p>
    <w:p>
      <w:pPr>
        <w:ind w:firstLine="643"/>
        <w:spacing w:line="360" w:lineRule="auto"/>
        <w:rPr>
          <w:rFonts w:hint="eastAsia" w:ascii="仿宋" w:hAnsi="仿宋" w:eastAsia="仿宋" w:cs="仿宋"/>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ascii="仿宋" w:hAnsi="仿宋" w:eastAsia="仿宋" w:cs="仿宋"/>
          <w:b/>
          <w:color w:val="auto"/>
          <w:sz w:val="32"/>
          <w:szCs w:val="32"/>
          <w:highlight w:val="none"/>
        </w:rPr>
        <w:t xml:space="preserve">日    期：二○二六年</w:t>
      </w:r>
      <w:r>
        <w:rPr>
          <w:rFonts w:hint="eastAsia" w:ascii="仿宋" w:hAnsi="仿宋" w:eastAsia="仿宋" w:cs="仿宋"/>
          <w:b/>
          <w:color w:val="auto"/>
          <w:sz w:val="32"/>
          <w:szCs w:val="32"/>
          <w:highlight w:val="none"/>
          <w:lang w:val="en-US" w:eastAsia="zh-CN"/>
        </w:rPr>
        <w:t xml:space="preserve">六</w:t>
      </w:r>
      <w:r>
        <w:rPr>
          <w:rFonts w:hint="eastAsia" w:ascii="仿宋" w:hAnsi="仿宋" w:eastAsia="仿宋" w:cs="仿宋"/>
          <w:b/>
          <w:color w:val="auto"/>
          <w:sz w:val="32"/>
          <w:szCs w:val="32"/>
          <w:highlight w:val="none"/>
        </w:rPr>
        <w:t xml:space="preserve">月</w:t>
      </w:r>
      <w:r/>
    </w:p>
    <w:p>
      <w:pPr>
        <w:spacing w:line="288" w:lineRule="auto"/>
        <w:rPr>
          <w:rFonts w:hint="eastAsia" w:ascii="仿宋" w:hAnsi="仿宋" w:eastAsia="仿宋" w:cs="仿宋"/>
          <w:color w:val="auto"/>
          <w:highlight w:val="none"/>
        </w:rPr>
      </w:pPr>
      <w:r>
        <mc:AlternateContent>
          <mc:Choice Requires="wpg">
            <w:drawing>
              <wp:inline xmlns:wp="http://schemas.openxmlformats.org/drawingml/2006/wordprocessingDrawing" distT="0" distB="0" distL="0" distR="0">
                <wp:extent cx="5579110" cy="8452485"/>
                <wp:effectExtent l="0" t="0" r="19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1"/>
                        <a:stretch/>
                      </pic:blipFill>
                      <pic:spPr bwMode="auto">
                        <a:xfrm>
                          <a:off x="0" y="0"/>
                          <a:ext cx="5579110" cy="8452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9.3pt;height:665.5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bCs/>
          <w:color w:val="auto"/>
          <w:sz w:val="44"/>
          <w:szCs w:val="44"/>
          <w:highlight w:val="none"/>
        </w:rPr>
        <w:br w:type="page" w:clear="all"/>
      </w:r>
      <w:r/>
    </w:p>
    <w:p>
      <w:pPr>
        <w:pStyle w:val="1034"/>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目  录</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第一章  招标公告</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第二章  投标人须知</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第三章  项目需求</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第四章  评审方法和程序</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第五章  合同签订与验收付款</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第六章  合同授予</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第七章  质疑与投诉</w:t>
      </w:r>
      <w:r/>
    </w:p>
    <w:p>
      <w:pPr>
        <w:pStyle w:val="1026"/>
        <w:ind w:firstLine="640"/>
        <w:spacing w:line="48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第八章  投标文件组成及格式</w:t>
      </w:r>
      <w:r/>
    </w:p>
    <w:p>
      <w:pPr>
        <w:pStyle w:val="1026"/>
        <w:ind w:firstLine="56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0"/>
      </w:pPr>
      <w:r/>
      <w:bookmarkStart w:id="0" w:name="_Toc363573853"/>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tabs>
          <w:tab w:val="left" w:pos="1050" w:leader="none"/>
          <w:tab w:val="right" w:pos="9402" w:leader="dot"/>
        </w:tabs>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t xml:space="preserve">第一章  招标公告</w:t>
      </w:r>
      <w:bookmarkEnd w:id="0"/>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4"/>
          <w:szCs w:val="24"/>
          <w:highlight w:val="none"/>
        </w:rPr>
        <w:t xml:space="preserve">项目概况</w:t>
      </w:r>
      <w:r/>
    </w:p>
    <w:p>
      <w:pPr>
        <w:ind w:firstLine="480"/>
        <w:spacing w:line="360" w:lineRule="auto"/>
        <w:rPr>
          <w:rFonts w:hint="eastAsia" w:ascii="仿宋" w:hAnsi="仿宋" w:eastAsia="仿宋" w:cs="仿宋"/>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4"/>
          <w:szCs w:val="24"/>
          <w:highlight w:val="none"/>
          <w:u w:val="single"/>
          <w:lang w:eastAsia="zh-CN"/>
        </w:rPr>
        <w:t xml:space="preserve">江苏航运职业技术学院安全技能实训中心（高压/低压/高处作业方向）公开招标采购项目</w:t>
      </w:r>
      <w:r>
        <w:rPr>
          <w:rFonts w:hint="eastAsia" w:ascii="仿宋" w:hAnsi="仿宋" w:eastAsia="仿宋" w:cs="仿宋"/>
          <w:bCs/>
          <w:color w:val="auto"/>
          <w:sz w:val="24"/>
          <w:szCs w:val="24"/>
          <w:highlight w:val="none"/>
        </w:rPr>
        <w:t xml:space="preserve">的潜在投标人应在</w:t>
      </w:r>
      <w:r>
        <w:rPr>
          <w:rFonts w:hint="eastAsia" w:ascii="仿宋" w:hAnsi="仿宋" w:eastAsia="仿宋" w:cs="仿宋"/>
          <w:bCs/>
          <w:color w:val="auto"/>
          <w:sz w:val="24"/>
          <w:szCs w:val="24"/>
          <w:highlight w:val="none"/>
          <w:u w:val="single"/>
        </w:rPr>
        <w:t xml:space="preserve">江苏政府采购网苏采云系统</w:t>
      </w:r>
      <w:r>
        <w:rPr>
          <w:rFonts w:hint="eastAsia" w:ascii="仿宋" w:hAnsi="仿宋" w:eastAsia="仿宋" w:cs="仿宋"/>
          <w:bCs/>
          <w:color w:val="auto"/>
          <w:sz w:val="24"/>
          <w:szCs w:val="24"/>
          <w:highlight w:val="none"/>
        </w:rPr>
        <w:t xml:space="preserve">获取招标文件，并于</w:t>
      </w:r>
      <w:r>
        <w:rPr>
          <w:rFonts w:hint="eastAsia" w:ascii="仿宋" w:hAnsi="仿宋" w:eastAsia="仿宋" w:cs="仿宋"/>
          <w:bCs/>
          <w:color w:val="auto"/>
          <w:sz w:val="24"/>
          <w:szCs w:val="24"/>
          <w:highlight w:val="none"/>
          <w:u w:val="single"/>
        </w:rPr>
        <w:t xml:space="preserve">2026年0</w:t>
      </w:r>
      <w:r>
        <w:rPr>
          <w:rFonts w:hint="eastAsia" w:ascii="仿宋" w:hAnsi="仿宋" w:eastAsia="仿宋" w:cs="仿宋"/>
          <w:bCs/>
          <w:color w:val="auto"/>
          <w:sz w:val="24"/>
          <w:szCs w:val="24"/>
          <w:highlight w:val="none"/>
          <w:u w:val="single"/>
          <w:lang w:val="en-US" w:eastAsia="zh-CN"/>
        </w:rPr>
        <w:t xml:space="preserve">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北京时间）前递交投标文件。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rPr>
          <w:rFonts w:hint="eastAsia" w:ascii="仿宋" w:hAnsi="仿宋" w:eastAsia="仿宋" w:cs="仿宋"/>
          <w:b/>
          <w:bCs/>
          <w:color w:val="auto"/>
          <w:sz w:val="24"/>
          <w:szCs w:val="24"/>
          <w:highlight w:val="none"/>
        </w:rPr>
        <w:t xml:space="preserve">项目基本情况</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项目编号：JSZC-320690-SZXY-G2026-0021</w:t>
      </w:r>
      <w:r/>
    </w:p>
    <w:p>
      <w:pPr>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江苏航运职业技术学院安全技能实训中心（高压/低压/高处作业方向）公开招标采购项目</w:t>
      </w:r>
      <w:r/>
    </w:p>
    <w:p>
      <w:pPr>
        <w:ind w:firstLine="480"/>
        <w:jc w:val="left"/>
        <w:spacing w:line="360" w:lineRule="auto"/>
        <w:rPr>
          <w:rFonts w:hint="eastAsia" w:ascii="仿宋" w:hAnsi="仿宋" w:eastAsia="仿宋" w:cs="仿宋"/>
          <w:color w:val="auto"/>
          <w:sz w:val="24"/>
          <w:szCs w:val="24"/>
          <w:highlight w:val="none"/>
        </w:rPr>
      </w:pPr>
      <w:r/>
      <w:bookmarkStart w:id="1" w:name="_Toc387526273"/>
      <w:r/>
      <w:bookmarkStart w:id="2" w:name="_Toc20597"/>
      <w:r/>
      <w:bookmarkStart w:id="3" w:name="_Toc387526365"/>
      <w:r/>
      <w:bookmarkStart w:id="4" w:name="_Toc387526169"/>
      <w:r>
        <w:rPr>
          <w:rFonts w:hint="eastAsia" w:ascii="仿宋" w:hAnsi="仿宋" w:eastAsia="仿宋" w:cs="仿宋"/>
          <w:color w:val="auto"/>
          <w:sz w:val="24"/>
          <w:szCs w:val="24"/>
          <w:highlight w:val="none"/>
        </w:rPr>
        <w:t xml:space="preserve">采购方式：公开招标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项目类型：货物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所属行业：工业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rPr>
        <w:t xml:space="preserve">万元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val="en-US" w:eastAsia="zh-CN"/>
        </w:rPr>
        <w:t xml:space="preserve">126.39</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rPr>
        <w:t xml:space="preserve">，投标报价超过最高限价的为无效投标。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w:t>
      </w:r>
      <w:r>
        <w:rPr>
          <w:rFonts w:hint="eastAsia" w:ascii="仿宋" w:hAnsi="仿宋" w:eastAsia="仿宋" w:cs="仿宋"/>
          <w:color w:val="auto"/>
          <w:sz w:val="24"/>
          <w:szCs w:val="24"/>
          <w:highlight w:val="none"/>
          <w:lang w:eastAsia="zh-CN"/>
        </w:rPr>
        <w:t xml:space="preserve">江苏航运职业技术学院安全技能实训中心（高压/低压/高处作业方向）公开招标采购项目公开招标采购项目</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本项目核心产品：</w:t>
      </w:r>
      <w:r>
        <w:rPr>
          <w:rFonts w:hint="eastAsia" w:ascii="仿宋" w:hAnsi="仿宋" w:eastAsia="仿宋" w:cs="仿宋"/>
          <w:color w:val="auto"/>
          <w:sz w:val="24"/>
          <w:szCs w:val="24"/>
          <w:highlight w:val="none"/>
          <w:lang w:eastAsia="zh-CN"/>
        </w:rPr>
        <w:t xml:space="preserve">低压电工K31电气设备安装实操考培设备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具体详见招标文件第三章项目需求。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交货时间：</w:t>
      </w:r>
      <w:bookmarkEnd w:id="1"/>
      <w:r/>
      <w:bookmarkEnd w:id="2"/>
      <w:r/>
      <w:bookmarkEnd w:id="3"/>
      <w:r/>
      <w:bookmarkEnd w:id="4"/>
      <w:r>
        <w:rPr>
          <w:rFonts w:hint="eastAsia" w:ascii="仿宋" w:hAnsi="仿宋" w:eastAsia="仿宋" w:cs="仿宋"/>
          <w:b/>
          <w:bCs/>
          <w:color w:val="auto"/>
          <w:sz w:val="24"/>
          <w:szCs w:val="24"/>
          <w:highlight w:val="none"/>
        </w:rPr>
        <w:t xml:space="preserve">自合同签订之日起60日历天内完成全部货物的供货、安装及调试；逾期完成的，中标人承担逾期违约责任。安装调试完成后，中标人须书面提出申请，并在30日历天内完成所有培训及通过招标人最终验收；若培训未按要求完成（包括参训人员未全部通过考核）或验收不合格，中标人承担违约责任（免费补充培训、支付逾期违约金等），同时招标人有权拒绝签署最终验收报告。</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本项目（是/否）接受联合体：否。</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本项目不接受分包。</w:t>
      </w:r>
      <w:r/>
    </w:p>
    <w:p>
      <w:pPr>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本项目不接受进口产品。</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二、申请人的资格要求：</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（一）基本资格条件</w:t>
      </w:r>
      <w:r/>
    </w:p>
    <w:p>
      <w:pPr>
        <w:contextualSpacing/>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满足《中华人民共和国政府采购法》第二十二条规定，并提供下列材料：</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投标人符合《中华人民共和国政府采购法》第二十二条规定条件的声明函</w:t>
      </w:r>
      <w:r>
        <w:rPr>
          <w:rFonts w:hint="eastAsia" w:ascii="仿宋" w:hAnsi="仿宋" w:eastAsia="仿宋" w:cs="仿宋"/>
          <w:color w:val="auto"/>
          <w:sz w:val="24"/>
          <w:szCs w:val="24"/>
          <w:highlight w:val="none"/>
          <w:lang w:eastAsia="zh-CN"/>
        </w:rPr>
        <w:t xml:space="preserve">（格式按照后附件）</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2.投标声明函（格式按照后附件）。</w:t>
      </w:r>
      <w:r/>
    </w:p>
    <w:p>
      <w:pPr>
        <w:ind w:firstLine="482"/>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（二）落实政府采购政策需满足的资格要求：</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本项目为专门面向中小微企业采购项目（须按照财库〔2020〕46号文要求提供中小企业声明函，格式见附件）</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（2）残疾人福利性单位按照《关于促进残疾人就业政府采购政策的通知》（财库〔2017〕141号）有关规定执行。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（3）监狱企业按照《关于政府采购支持监狱企业发展有关问题的通知》（财库【2014】68号）有关规定执行。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备注：本项目专门面向中小企业，不享受价格扣除优惠政策。</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（三）项目的特定资格要求：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1.供应商未被“信用中国”网站列入失信被执行人或重大税收违法案件当事人名单或政府采购严重失信行为记录名单，或查询“信用中国”网站后发现投标供应商不存在其他不符合资格条件规定的信用记录的。</w:t>
      </w:r>
      <w:r/>
    </w:p>
    <w:p>
      <w:pPr>
        <w:contextualSpacing/>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2.法定代表人参加投标的，必须提供法定代表人身份证明及法定代表人本人身份证</w:t>
      </w:r>
      <w:r>
        <w:rPr>
          <w:rFonts w:hint="eastAsia" w:ascii="仿宋" w:hAnsi="仿宋" w:eastAsia="仿宋" w:cs="仿宋"/>
          <w:color w:val="auto"/>
          <w:sz w:val="24"/>
          <w:szCs w:val="24"/>
          <w:highlight w:val="none"/>
          <w:lang w:eastAsia="zh-CN"/>
        </w:rPr>
        <w:t xml:space="preserve">原件扫描件</w:t>
      </w:r>
      <w:r>
        <w:rPr>
          <w:rFonts w:hint="eastAsia" w:ascii="仿宋" w:hAnsi="仿宋" w:eastAsia="仿宋" w:cs="仿宋"/>
          <w:color w:val="auto"/>
          <w:sz w:val="24"/>
          <w:szCs w:val="24"/>
          <w:highlight w:val="none"/>
        </w:rPr>
        <w:t xml:space="preserve">；非法定代表人参加投标的，必须提供法定代表人签字或盖章的授权委托书、法定代表人本人身份证</w:t>
      </w:r>
      <w:r>
        <w:rPr>
          <w:rFonts w:hint="eastAsia" w:ascii="仿宋" w:hAnsi="仿宋" w:eastAsia="仿宋" w:cs="仿宋"/>
          <w:color w:val="auto"/>
          <w:sz w:val="24"/>
          <w:szCs w:val="24"/>
          <w:highlight w:val="none"/>
          <w:lang w:eastAsia="zh-CN"/>
        </w:rPr>
        <w:t xml:space="preserve">原件扫描件</w:t>
      </w:r>
      <w:r>
        <w:rPr>
          <w:rFonts w:hint="eastAsia" w:ascii="仿宋" w:hAnsi="仿宋" w:eastAsia="仿宋" w:cs="仿宋"/>
          <w:color w:val="auto"/>
          <w:sz w:val="24"/>
          <w:szCs w:val="24"/>
          <w:highlight w:val="none"/>
        </w:rPr>
        <w:t xml:space="preserve">及被授权人本人身份证</w:t>
      </w:r>
      <w:r>
        <w:rPr>
          <w:rFonts w:hint="eastAsia" w:ascii="仿宋" w:hAnsi="仿宋" w:eastAsia="仿宋" w:cs="仿宋"/>
          <w:color w:val="auto"/>
          <w:sz w:val="24"/>
          <w:szCs w:val="24"/>
          <w:highlight w:val="none"/>
          <w:lang w:eastAsia="zh-CN"/>
        </w:rPr>
        <w:t xml:space="preserve">原件扫描件。</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拒绝下述投标人参加本次采购活动：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.2凡为采购项目提供整体设计、规范编制或者项目管理、监理、检测等服务的供应商，不得再参加本项目的采购活动。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符合法律、法规规定的其他条件。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注：以上所有资格要求条件必须在资格审查材料中逐条提供有效证明材料或相关承诺书并加盖公章，否则投标无效。</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具体资格要求详见第八章中的“资格审查文件”。</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三、获取招标文件</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1.时间：自本项目招标公告发布之日起5个工作日。</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2.地点：网上注册登记成功后系统内免费下载。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3.获取方式：本项目采用网上注册登记方式。</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3.1潜在供应商访问电子招标响应交易平台的网络地址和方法：</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3.2潜在供应商访问“苏采云”系统的网络地址和方法：“苏采云”系统的网址：http：//jszfcg.jsczt.cn/。</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3.3“CA数字证书”的获取：</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3.5采购人或招标代理机构（采购代理机构）将数据电文形式的采购文件加载至“苏采云”系统，供潜在供应商下载或者查阅。</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注：如潜在供应商未按上述要求操作，将自行承担所产生的风险。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四、提交投标文件截止时间、开标时间和地点</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1.投标文件提交截止时间</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08</w:t>
      </w:r>
      <w:r>
        <w:rPr>
          <w:rFonts w:hint="eastAsia" w:ascii="仿宋" w:hAnsi="仿宋" w:eastAsia="仿宋" w:cs="仿宋"/>
          <w:bCs/>
          <w:color w:val="auto"/>
          <w:sz w:val="24"/>
          <w:szCs w:val="24"/>
          <w:highlight w:val="none"/>
          <w:u w:val="single"/>
        </w:rPr>
        <w:t xml:space="preserve">日09时30分</w:t>
      </w:r>
      <w:r>
        <w:rPr>
          <w:rFonts w:hint="eastAsia" w:ascii="仿宋" w:hAnsi="仿宋" w:eastAsia="仿宋" w:cs="仿宋"/>
          <w:color w:val="auto"/>
          <w:sz w:val="24"/>
          <w:szCs w:val="24"/>
          <w:highlight w:val="none"/>
        </w:rPr>
        <w:t xml:space="preserve">（北京时间）。逾时，“苏采云”系统将拒绝接受上传响应文件电子文档。</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2.线上开标地点：“苏采云”系统（网址：http：//jszfcg.jsczt.cn/）“开标大厅”。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仿宋"/>
          <w:b/>
          <w:color w:val="auto"/>
          <w:sz w:val="24"/>
          <w:szCs w:val="24"/>
          <w:highlight w:val="none"/>
        </w:rPr>
        <w:t xml:space="preserve">投标供应商解密限定在开标后30分钟之内完成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注：各供应商请关注开标大厅交流区，在开标结束后，请勿离开开标大厅。</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五、公告期限</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自本公告发布之日起5个工作日。</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1.投标保证金：免收；本项目招标文件中涉及投标保证金的事项，均按免收投标保证金执行。</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2.项目开标活动模式：不见面远程投标模式，供应商在各自地点通过不见面交易系统参加开标会。</w:t>
      </w:r>
      <w:r/>
    </w:p>
    <w:p>
      <w:pPr>
        <w:ind w:firstLine="482"/>
        <w:jc w:val="left"/>
        <w:spacing w:line="360" w:lineRule="auto"/>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3.项目演示、样品、答辩等（如有请描述）：</w:t>
      </w:r>
      <w:r>
        <w:rPr>
          <w:rFonts w:hint="eastAsia" w:ascii="仿宋" w:hAnsi="仿宋" w:eastAsia="仿宋" w:cs="仿宋"/>
          <w:b/>
          <w:bCs w:val="0"/>
          <w:color w:val="auto"/>
          <w:sz w:val="24"/>
          <w:szCs w:val="24"/>
          <w:highlight w:val="none"/>
          <w:lang w:val="en-US" w:eastAsia="zh-CN"/>
        </w:rPr>
        <w:t xml:space="preserve">无。</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4.对项目需求部分（投标人其他资格</w:t>
      </w:r>
      <w:r>
        <w:rPr>
          <w:rFonts w:hint="eastAsia" w:ascii="仿宋" w:hAnsi="仿宋" w:eastAsia="仿宋" w:cs="仿宋"/>
          <w:color w:val="auto"/>
          <w:sz w:val="24"/>
          <w:szCs w:val="24"/>
          <w:highlight w:val="none"/>
        </w:rPr>
        <w:t xml:space="preserve">要求</w:t>
      </w:r>
      <w:r>
        <w:rPr>
          <w:rFonts w:hint="eastAsia" w:ascii="仿宋" w:hAnsi="仿宋" w:eastAsia="仿宋" w:cs="仿宋"/>
          <w:bCs/>
          <w:color w:val="auto"/>
          <w:sz w:val="24"/>
          <w:szCs w:val="24"/>
          <w:highlight w:val="none"/>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w:t>
      </w:r>
      <w:bookmarkStart w:id="5" w:name="OLE_LINK5"/>
      <w:r>
        <w:rPr>
          <w:rFonts w:hint="eastAsia" w:ascii="仿宋" w:hAnsi="仿宋" w:eastAsia="仿宋" w:cs="仿宋"/>
          <w:bCs/>
          <w:color w:val="auto"/>
          <w:sz w:val="24"/>
          <w:szCs w:val="24"/>
          <w:highlight w:val="none"/>
        </w:rPr>
        <w:t xml:space="preserve">核查后发现虚假或违背承诺的，依照相关法律法规规定处理。</w:t>
      </w:r>
      <w:bookmarkEnd w:id="5"/>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6.本次采购的有关信息将在江苏政府采购网上发布，敬请留意。</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7.请各投标人充分考虑项目周期，谨慎参与交易，中标后不得以任何理由放弃中标资格或不按规定履约。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8.勘察现场或答疑：本次采购不组织集中勘察现场。投标人如对采购需求有疑问请与采购联系人沟通。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投标单位认为</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文件使自己的权益受到损害的，可以自获取</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文件之日或者招标公告期限届满之日(公告期限届满后获取</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文件的，以公告期限届满之日为准)起7个工作日内，对</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rPr>
        <w:t xml:space="preserve">文件需求的以书面形式向招标人提出质疑，对其他内容的以书面形式向招标人和代理机构提出质疑。质疑函范本详见</w:t>
      </w:r>
      <w:r>
        <w:rPr>
          <w:rFonts w:hint="eastAsia" w:ascii="仿宋" w:hAnsi="仿宋" w:eastAsia="仿宋" w:cs="仿宋"/>
          <w:bCs/>
          <w:color w:val="auto"/>
          <w:sz w:val="24"/>
          <w:szCs w:val="24"/>
          <w:highlight w:val="none"/>
          <w:lang w:eastAsia="zh-CN"/>
        </w:rPr>
        <w:t xml:space="preserve">本招标文件</w:t>
      </w:r>
      <w:r>
        <w:rPr>
          <w:rFonts w:hint="eastAsia" w:ascii="仿宋" w:hAnsi="仿宋" w:eastAsia="仿宋" w:cs="仿宋"/>
          <w:bCs/>
          <w:color w:val="auto"/>
          <w:sz w:val="24"/>
          <w:szCs w:val="24"/>
          <w:highlight w:val="none"/>
        </w:rPr>
        <w:t xml:space="preserve">后附格式。</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七、对本次招标提出询问，请按以下方式联系。</w:t>
      </w:r>
      <w:r/>
    </w:p>
    <w:p>
      <w:pPr>
        <w:ind w:firstLine="480"/>
        <w:spacing w:line="360" w:lineRule="auto"/>
        <w:rPr>
          <w:rFonts w:hint="eastAsia" w:ascii="仿宋" w:hAnsi="仿宋" w:eastAsia="仿宋" w:cs="仿宋"/>
          <w:color w:val="auto"/>
          <w:sz w:val="24"/>
          <w:szCs w:val="24"/>
          <w:highlight w:val="none"/>
        </w:rPr>
      </w:pPr>
      <w:r/>
      <w:bookmarkStart w:id="6" w:name="_Toc363573854"/>
      <w:r>
        <w:rPr>
          <w:rFonts w:hint="eastAsia" w:ascii="仿宋" w:hAnsi="仿宋" w:eastAsia="仿宋" w:cs="仿宋"/>
          <w:color w:val="auto"/>
          <w:sz w:val="24"/>
          <w:szCs w:val="24"/>
          <w:highlight w:val="none"/>
        </w:rPr>
        <w:t xml:space="preserve">1.采购人信息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址：江苏省南通市经济技术开发区通盛大道185号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联系人：黄老师、</w:t>
      </w:r>
      <w:r>
        <w:rPr>
          <w:rFonts w:hint="eastAsia" w:ascii="仿宋" w:hAnsi="仿宋" w:eastAsia="仿宋" w:cs="仿宋"/>
          <w:color w:val="auto"/>
          <w:sz w:val="24"/>
          <w:szCs w:val="24"/>
          <w:highlight w:val="none"/>
          <w:lang w:val="en-US" w:eastAsia="zh-CN"/>
        </w:rPr>
        <w:t xml:space="preserve">徐</w:t>
      </w:r>
      <w:r>
        <w:rPr>
          <w:rFonts w:hint="eastAsia" w:ascii="仿宋" w:hAnsi="仿宋" w:eastAsia="仿宋" w:cs="仿宋"/>
          <w:color w:val="auto"/>
          <w:sz w:val="24"/>
          <w:szCs w:val="24"/>
          <w:highlight w:val="none"/>
        </w:rPr>
        <w:t xml:space="preserve">老师</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联系方式：0513-85960860、</w:t>
      </w:r>
      <w:r>
        <w:rPr>
          <w:rFonts w:hint="eastAsia" w:ascii="仿宋" w:hAnsi="仿宋" w:eastAsia="仿宋" w:cs="仿宋"/>
          <w:color w:val="auto"/>
          <w:sz w:val="24"/>
          <w:szCs w:val="24"/>
          <w:highlight w:val="none"/>
          <w:lang w:val="en-US" w:eastAsia="zh-CN"/>
        </w:rPr>
        <w:t xml:space="preserve">13962943196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称：苏州新一造价师价格事务所有限公司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址：南通市经济技术开发区长通路9号（飞马国际中心A座1205室）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0513-69895668</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采购文件制作人：代福勇</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4.软件技术支持：0519-86722801</w:t>
      </w:r>
      <w:bookmarkEnd w:id="6"/>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附件：</w:t>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1.公开招标文件</w:t>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2.政府采购采购人信用承诺书</w:t>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3.公平竞争审查二维码</w:t>
      </w:r>
      <w:r/>
    </w:p>
    <w:p>
      <w:pPr>
        <w:pStyle w:val="1005"/>
        <w:ind w:firstLine="482"/>
        <w:spacing w:before="0"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4.办理政采贷和履约保函（保险）告知函</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contextualSpacing/>
        <w:jc w:val="center"/>
        <w:spacing w:line="360" w:lineRule="auto"/>
        <w:rPr>
          <w:rFonts w:hint="eastAsia" w:ascii="仿宋" w:hAnsi="仿宋" w:eastAsia="仿宋" w:cs="仿宋"/>
          <w:b/>
          <w:color w:val="auto"/>
          <w:sz w:val="36"/>
          <w:szCs w:val="36"/>
          <w:highlight w:val="none"/>
        </w:rPr>
      </w:pPr>
      <w:r/>
      <w:bookmarkStart w:id="7" w:name="_Toc13543213"/>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contextualSpacing/>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36"/>
          <w:szCs w:val="36"/>
          <w:highlight w:val="none"/>
        </w:rPr>
        <w:t xml:space="preserve">第二章  投标人须知</w:t>
      </w:r>
      <w:r/>
    </w:p>
    <w:p>
      <w:pPr>
        <w:contextualSpacing/>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一、总则</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1.招标方式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2.合格的投标人</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3.适用法律</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采购人不收取任何费用。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招标代理费：依据财政部《政府采购代理机构管理暂行办法》第十五条规定，约定由中标人向招标代理机构支付代理服务费。本项目采购代理服务费按照苏政采协[2024]20号文标准*70%计收，此费用包含在投标报价中，不单独列项，供应商报价时应综合考虑，由中标人在取得成交通知书前，向招标代理机构一次付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 投标人一旦参加本项目采购活动，即被认为接受了本招标文件的规定和约束。</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6.招标文件的解释</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 </w:t>
      </w:r>
      <w:r>
        <w:rPr>
          <w:rFonts w:hint="eastAsia" w:ascii="仿宋" w:hAnsi="仿宋" w:eastAsia="仿宋" w:cs="仿宋"/>
          <w:color w:val="auto"/>
          <w:sz w:val="24"/>
          <w:szCs w:val="24"/>
          <w:highlight w:val="none"/>
        </w:rPr>
        <w:t xml:space="preserve">招标文件需求部分（投标人资格要求、项目需求、商务技术评分标准）由招标人解释，其它部分由招标代理机构解释。</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二、招标文件</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1.招标文件构成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1.1</w:t>
      </w:r>
      <w:r>
        <w:rPr>
          <w:rFonts w:hint="eastAsia" w:ascii="仿宋" w:hAnsi="仿宋" w:eastAsia="仿宋" w:cs="仿宋"/>
          <w:color w:val="auto"/>
          <w:sz w:val="24"/>
          <w:szCs w:val="24"/>
          <w:highlight w:val="none"/>
        </w:rPr>
        <w:t xml:space="preserve"> 招标文件由以下部分组成：</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（1）招标公告</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（4）评审方法和程序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（5）合同签订与验收付款</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（6）合同授予</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（7）质疑与投诉</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（8）投标文件组成及格式</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w:t>
      </w:r>
      <w:r>
        <w:rPr>
          <w:rFonts w:hint="eastAsia" w:ascii="仿宋" w:hAnsi="仿宋" w:eastAsia="仿宋" w:cs="仿宋"/>
          <w:bCs/>
          <w:color w:val="auto"/>
          <w:sz w:val="24"/>
          <w:szCs w:val="24"/>
          <w:highlight w:val="none"/>
        </w:rPr>
        <w:t xml:space="preserve">招标人或招标代理机构</w:t>
      </w:r>
      <w:r>
        <w:rPr>
          <w:rFonts w:hint="eastAsia" w:ascii="仿宋" w:hAnsi="仿宋" w:eastAsia="仿宋" w:cs="仿宋"/>
          <w:color w:val="auto"/>
          <w:sz w:val="24"/>
          <w:szCs w:val="24"/>
          <w:highlight w:val="none"/>
        </w:rPr>
        <w:t xml:space="preserve">联系解决。</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1.2 </w:t>
      </w:r>
      <w:r>
        <w:rPr>
          <w:rFonts w:hint="eastAsia" w:ascii="仿宋" w:hAnsi="仿宋" w:eastAsia="仿宋" w:cs="仿宋"/>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2.招标文件的澄清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 </w:t>
      </w:r>
      <w:r>
        <w:rPr>
          <w:rFonts w:hint="eastAsia" w:ascii="仿宋" w:hAnsi="仿宋" w:eastAsia="仿宋" w:cs="仿宋"/>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w:t>
      </w:r>
      <w:r>
        <w:rPr>
          <w:rFonts w:hint="eastAsia" w:ascii="仿宋" w:hAnsi="仿宋" w:eastAsia="仿宋" w:cs="仿宋"/>
          <w:bCs/>
          <w:color w:val="auto"/>
          <w:sz w:val="24"/>
          <w:szCs w:val="24"/>
          <w:highlight w:val="none"/>
        </w:rPr>
        <w:t xml:space="preserve">招标人</w:t>
      </w:r>
      <w:r>
        <w:rPr>
          <w:rFonts w:hint="eastAsia" w:ascii="仿宋" w:hAnsi="仿宋" w:eastAsia="仿宋" w:cs="仿宋"/>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3.招标文件的修改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在投标文件提交截止时间前，招标人或招标代理机构可以对招标文件进行修改</w:t>
      </w:r>
      <w:r>
        <w:rPr>
          <w:rFonts w:hint="eastAsia" w:ascii="仿宋" w:hAnsi="仿宋" w:eastAsia="仿宋" w:cs="仿宋"/>
          <w:color w:val="auto"/>
          <w:sz w:val="24"/>
          <w:szCs w:val="24"/>
          <w:highlight w:val="none"/>
        </w:rPr>
        <w:t xml:space="preserve">，澄清或者修改的内容作为招标文件的组成部分。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招标人或招标代理机构有权按照法定的要求推迟投标文件提交截止日期和开标日期。</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3.3 招标文件的修改将在江苏政府采购网公布，补充文件将作为招标文件的组成部分，并对投标人具有约束力</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三、投标文件的编制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1.投标文件的语言及度量衡单位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投标人提交的投标文件以及投标人与招标人或招标代理机构就有关投标的所有来往通知、函件和文件均应使用简体中文。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除技术性能另有规定外，投标文件所使用的度量衡单位，均须采用国家法定计量单位。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2.投标文件构成</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3.证明投标人及投标标的符合招标文件规定的文件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投标人应按照法律、法规、规章和规范性文件以及招标文件要求提交证明文件，证明其及投标标的符合招标文件规定。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招标文件对证明文件无明确形式要求的，证明文件可以以文字资料、图纸和数据等形式提交。</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投标人应按照招标文件规定格式填报投标分项报价表。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 投标货币。投标文件中的单价和总价无特殊规定的采用人民币报价，以元为单位标注。招标文件中另有规定的按规定执行。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5.技术要求响应及偏离表、商务要求响应及偏离表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投标人需对招标文件中的技术要求与商务要求逐项作出响应或偏离，并说明原因。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投标人可在投标文件中提供认为需要的其他技术文件或说明。</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6.投标函和开标一览表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投标人应按照招标文件中提供的格式完整、正确填写投标函、开标一览表。</w:t>
      </w:r>
      <w:r>
        <w:rPr>
          <w:rFonts w:hint="eastAsia" w:ascii="仿宋" w:hAnsi="仿宋" w:eastAsia="仿宋" w:cs="仿宋"/>
          <w:b/>
          <w:color w:val="auto"/>
          <w:sz w:val="24"/>
          <w:szCs w:val="24"/>
          <w:highlight w:val="none"/>
          <w:u w:val="single"/>
        </w:rPr>
        <w:t xml:space="preserve">*每项货物、服务等只允许有一个报价，任何有选择的报价将不予接受，将作为无效投标文件处理。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 投标有效期为招标文件规定的投标文件提交截止时间后</w:t>
      </w:r>
      <w:r>
        <w:rPr>
          <w:rFonts w:hint="eastAsia" w:ascii="仿宋" w:hAnsi="仿宋" w:eastAsia="仿宋" w:cs="仿宋"/>
          <w:bCs/>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。投标有效期比规定短的将被视为非实质性响应而予以拒绝。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8.投标有效期的延长</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9.电子投标文件其他要求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电子招标投标交易平台（即“苏采云”系统）相关要求是本招标文件的组成部分。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投标人应对CA证书妥善保管，如被他人盗用投标，因此带来的结果均由投标人自行承担。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投标人应当对招标文件提出的实质性要求和条件作出实质性响应，并在电子投标系统逐条应答。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投标人应对要求提供的资格证明文件（如资质证书、资格证书）、技术资料（如白皮书、彩页、手册、检测报告等）扫描上传至投标系统。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四、投标文件的提交</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1.投标文件的提交</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线上提交与接收地点：投标人应当通过“苏采云”系统提交数据电文形式的投标文件（即电子投标），“苏采云”系统自动接收。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2.提交投标文件截止日期</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投标人上传电子投标文件的时间不得迟于公开招标公告中规定的投标文件提交截止时间。</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3.投标文件的密封（加密）要求：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3.1 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3.2 投标人须通过“苏采云”系统提供的政府采购客户端工具（使用“CA数字证书”）加盖电子签章。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 投标人未按规定加密的投标文件，“苏采云”系统将拒收并提示。</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4.投标文件的拒收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 招标代理机构拒绝接收在其规定的投标文件提交截止时间后上传的任何投标文件。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5.投标文件的撤回和修改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电子投标文件的撤回</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投标人撤回电子投标文件，则认为其不再参与本项目投标活动。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投标文件的修改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在投标文件提交截止时间之后，投标人不得对其电子投标文件作任何修改。</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6.投标文件线上格式要求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 供应商应当通过“苏采云”系统提交数据电文形式的投标文件（即电子投标）。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 通过“苏采云”系统提交政府采购客户端工具导出加密的投标文件（后缀名为zip）。响应文件不得超过150M!</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五、开标与评标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1.开标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或采购代理机构将在招标公告中规定的时间和地点组织公开开标。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开标当天</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及时登录不见面开标大厅，投标文件递交截止时间后，</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将在系统内公布</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名单，然后通过开标会议区发出投标文件解密的指令，</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在开标室按规定时间自行实施远程解密，</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解密限定在开标后30分钟之内完成。因</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撤销其投标文件，系统内投标文件将被退回；因</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bCs w:val="0"/>
          <w:color w:val="auto"/>
          <w:sz w:val="24"/>
          <w:szCs w:val="24"/>
          <w:highlight w:val="none"/>
        </w:rPr>
        <w:t xml:space="preserve">开标仪式由采购代理机构组织，在不见面交易系统中进行开标，并公布各</w:t>
      </w:r>
      <w:r>
        <w:rPr>
          <w:rFonts w:hint="eastAsia" w:ascii="仿宋" w:hAnsi="仿宋" w:eastAsia="仿宋" w:cs="仿宋"/>
          <w:b/>
          <w:bCs w:val="0"/>
          <w:color w:val="auto"/>
          <w:sz w:val="24"/>
          <w:szCs w:val="24"/>
          <w:highlight w:val="none"/>
          <w:lang w:eastAsia="zh-CN"/>
        </w:rPr>
        <w:t xml:space="preserve">投标单位</w:t>
      </w:r>
      <w:r>
        <w:rPr>
          <w:rFonts w:hint="eastAsia" w:ascii="仿宋" w:hAnsi="仿宋" w:eastAsia="仿宋" w:cs="仿宋"/>
          <w:b/>
          <w:bCs w:val="0"/>
          <w:color w:val="auto"/>
          <w:sz w:val="24"/>
          <w:szCs w:val="24"/>
          <w:highlight w:val="none"/>
        </w:rPr>
        <w:t xml:space="preserve">的《开标一览表》。</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2.评标委员会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开标后，招标代理机构将立即组织评标委员会（以下简称评委会）进行评审。</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评委会由招标人代表和有关技术、经济等方面的专家组成，且人员构成符合政府采购有关规定。</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评标委员会独立工作，负责评审所有投标文件并确定中标候选人。</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3.评审过程的保密与公正</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评标委员会、招标人或招标代理机构、相关监督人员等与评审工作有关的人员，对评审情况以及在评审过程中获悉的国家秘密、商业秘密负有保密责任。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在评审过程中，投标人不得以任何行为影响评审过程，否则其投标文件将被作为无效投标文件。</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凡是与审查、澄清、评价和比较投标的有关资料以及授标建议等，招标人、评标委员会、招标代理机构均不得向投标人或与评标无关的其他人员透露。</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在评审期间，招标代理机构将设专门人员与投标人联系。</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招标人、招标代理机构和评标委员会不向未中标的投标人解释未中标原因，也不公布评审过程中的相关细节。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4.投标文件的澄清</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接到评标委员会澄清、说明和更正要求的投标人如未按规定做出澄清、说明和 更正，其风险由投标人自行承担。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5.对投标文件的审查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 投标文件初审分为资格性审查和符合性审查。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5.1.1 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5.1.2 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5.1.3 未通过资格审查或符合性审查的投标人，招标代理机构将在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 </w:t>
      </w:r>
      <w:r>
        <w:rPr>
          <w:rFonts w:hint="eastAsia" w:ascii="仿宋" w:hAnsi="仿宋" w:eastAsia="仿宋" w:cs="仿宋"/>
          <w:color w:val="auto"/>
          <w:sz w:val="24"/>
          <w:szCs w:val="24"/>
          <w:highlight w:val="none"/>
        </w:rPr>
        <w:t xml:space="preserve">在详细评审之前</w:t>
      </w:r>
      <w:r>
        <w:rPr>
          <w:rFonts w:hint="eastAsia" w:ascii="仿宋" w:hAnsi="仿宋" w:eastAsia="仿宋" w:cs="仿宋"/>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仿宋" w:hAnsi="仿宋" w:eastAsia="仿宋" w:cs="仿宋"/>
          <w:color w:val="auto"/>
          <w:sz w:val="24"/>
          <w:szCs w:val="24"/>
          <w:highlight w:val="none"/>
        </w:rPr>
        <w:t xml:space="preserve">重大偏离的认定需经过评委会以少数服从多数的原则作出结论</w:t>
      </w:r>
      <w:r>
        <w:rPr>
          <w:rFonts w:hint="eastAsia" w:ascii="仿宋" w:hAnsi="仿宋" w:eastAsia="仿宋" w:cs="仿宋"/>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5.3 如果投标文件实质上没有响应招标文件的要求，评标委员会将予以拒绝，投标人不得通过修改或撤销不符合要求的偏离或保留而使其投标文件成为实质性响应的文件。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5.4 评标委员会将对确定为实质性响应的文件进行进一步审核，看其是否有计算上或累加上的算术错误，修正错误的原则如下：</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5.5 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5.6 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非单一产品采购项目，招标文件中将载明其中的核心产品。多家投标人提供的核心产品品牌相同的，按前两款规定处理。</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5.8 评审委员会启动异常低价投标（响应）审查的情形和具体要求：</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（一）根据财政部财库〔2026〕2号《关于推动解决政府采购异常低价问题的通知》文件精神，评审中出现下列情形之一的，评审委员会应当启动异常低价投标（响应）审查程序：</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3.投标（响应）报价低于采购项目最高限价45%的，即投标（响应）报价&lt;采购项目最高限价×45%；</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4.评审委员会基于专业判断，认为供应商报价过低，有可能影响产品质量或者不能诚信履约的其他情形。</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相关法律法规对供应商报价有规定的，从其规定。</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5.9 投标人在开、评标全过程中应保持通讯畅通，及时登录苏采云系统查阅、答复相关信息</w:t>
      </w:r>
      <w:r>
        <w:rPr>
          <w:rFonts w:hint="eastAsia" w:ascii="仿宋" w:hAnsi="仿宋" w:eastAsia="仿宋" w:cs="仿宋"/>
          <w:bCs/>
          <w:color w:val="auto"/>
          <w:sz w:val="24"/>
          <w:szCs w:val="24"/>
          <w:highlight w:val="none"/>
        </w:rPr>
        <w:t xml:space="preserve">，并安排专人与招标人或招标代理机构及评标委员会联系</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六、无效投标条款</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1.同一投标人提交两个（含两个）以上不同的投标报价的。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2.投标人不具备招标文件中规定资格要求的。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3.投标人的报价超过了采购预算或最高限价的。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4.未通过符合性审查的。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5.不符合招标文件中规定的实质性要求和条件的。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7.投标文件含有招标人不能接受的附加条件的。</w:t>
      </w:r>
      <w:r/>
    </w:p>
    <w:p>
      <w:pPr>
        <w:contextualSpacing/>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8.评标小组认为投标单位的报价出现（财库〔2026〕2号文）规定的异常低价情形之一的，将通过“不见面交易系统”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contextualSpacing/>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10.投标文件未按照招标文件要求加盖CA电子公章的。</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凡是投标文件中涉及供应商资信认证、人员证书、业绩荣誉等扫描件，和要求法定代表人或授权委托人签字，和以供应商名称落款并注明需要盖章的，均需相应盖章或签字。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w:t>
      </w:r>
      <w:r>
        <w:rPr>
          <w:rFonts w:hint="eastAsia" w:ascii="仿宋" w:hAnsi="仿宋" w:eastAsia="仿宋" w:cs="仿宋"/>
          <w:b/>
          <w:bCs w:val="0"/>
          <w:color w:val="auto"/>
          <w:sz w:val="24"/>
          <w:szCs w:val="24"/>
          <w:highlight w:val="none"/>
        </w:rPr>
        <w:t xml:space="preserve">投标人的商务技术标得分低于本采购文件商务技术标评分分值的50%的，视为未实质性响应采购文件要求。</w:t>
      </w:r>
      <w:r/>
    </w:p>
    <w:p>
      <w:pPr>
        <w:pStyle w:val="1026"/>
        <w:ind w:firstLine="480"/>
        <w:spacing w:line="288"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13.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.投标人在苏采云系统规定的时间内未成功解密电子投标文件的。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.投标人未按照招标文件要求上传电子投标文件的，或上传的文件打不开的。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.不同的投标人投标文件制作机器码、文件创建标识码一致的。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.其他法律、法规及本招标文件规定的属无效投标的情形</w:t>
      </w:r>
      <w:r>
        <w:rPr>
          <w:rFonts w:hint="eastAsia" w:ascii="仿宋" w:hAnsi="仿宋" w:eastAsia="仿宋" w:cs="仿宋"/>
          <w:color w:val="auto"/>
          <w:sz w:val="24"/>
          <w:szCs w:val="24"/>
          <w:highlight w:val="none"/>
        </w:rPr>
        <w:t xml:space="preserve">。</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七、废标条款</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1.符合专业条件的供应商或者对招标文件作实质响应的供应商不足三家的（</w:t>
      </w:r>
      <w:r>
        <w:rPr>
          <w:rFonts w:hint="eastAsia" w:ascii="仿宋" w:hAnsi="仿宋" w:eastAsia="仿宋" w:cs="仿宋"/>
          <w:b/>
          <w:bCs/>
          <w:color w:val="auto"/>
          <w:sz w:val="24"/>
          <w:szCs w:val="24"/>
          <w:highlight w:val="none"/>
          <w:u w:val="single"/>
        </w:rPr>
        <w:t xml:space="preserve">含不同投标人提供的核心产品品牌不足三个的）</w:t>
      </w:r>
      <w:r>
        <w:rPr>
          <w:rFonts w:hint="eastAsia" w:ascii="仿宋" w:hAnsi="仿宋" w:eastAsia="仿宋" w:cs="仿宋"/>
          <w:color w:val="auto"/>
          <w:sz w:val="24"/>
          <w:szCs w:val="24"/>
          <w:highlight w:val="none"/>
        </w:rPr>
        <w:t xml:space="preserve">。</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3.因重大变故，采购任务取消的。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4.评标委员会认定招标文件存在歧义、重大缺陷导致评审工作无法进行。</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5.因苏采云系统系统故障原因造成开标不成功的。</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6.投标截止时间结束后参加投标的供应商不足三家的处理：</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定标</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1.确定中标单位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 中标候选人的选取原则和数量见招标文件第四</w:t>
      </w:r>
      <w:r>
        <w:rPr>
          <w:rFonts w:hint="eastAsia" w:ascii="仿宋" w:hAnsi="仿宋" w:eastAsia="仿宋" w:cs="仿宋"/>
          <w:bCs/>
          <w:color w:val="auto"/>
          <w:sz w:val="24"/>
          <w:szCs w:val="24"/>
          <w:highlight w:val="none"/>
          <w:lang w:val="en-US" w:eastAsia="zh-CN"/>
        </w:rPr>
        <w:t xml:space="preserve">部分</w:t>
      </w:r>
      <w:r>
        <w:rPr>
          <w:rFonts w:hint="eastAsia" w:ascii="仿宋" w:hAnsi="仿宋" w:eastAsia="仿宋" w:cs="仿宋"/>
          <w:bCs/>
          <w:color w:val="auto"/>
          <w:sz w:val="24"/>
          <w:szCs w:val="24"/>
          <w:highlight w:val="none"/>
        </w:rPr>
        <w:t xml:space="preserve">规定。</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招标人应根据评委会推荐的中标候选人确定中标人。</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 招标代理机构将在“江苏政府采购网”发布中标结果公告，公告期限为1个工作日。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 若有充分证据证明，中标人出现下列情况之一的，一经查实，将被取消中标资格：</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 提供虚假材料谋取中标的。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 向招标人或招标代理机构行贿或者评审专家提供其他不正当利益的。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1.4.3 恶意竞争，报价明显低于其自身合理成本且又无法提供证明的。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1.4.4 属于本文件规定的无效条件，但在评审过程中又未被评标委员会发现的。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1.4.5 与评审专家、招标人、其他投标人或者招标代理机构工作人员恶意串通的。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1.4.6 采取不正当手段诋毁、排挤其他投标人的。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1.4.7 中标后无正当理由拒不与招标人签订政府采购合同或者未按照招标文件确定的事项签订政府采购合同的。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1.4.8 将政府采购合同转包的。</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 有下列情形之一的，视为投标人串通参与投标，投标无效：</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1.5.1 不同投标人的投标文件由同一单位或者个人编制；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1.5.2 不同投标人委托同一单位或者个人办理投标事宜；</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1.5.3 不同投标人的投标文件载明的项目管理成员或者联系人员为同一人；</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1.5.4 不同投标人的投标文件异常一致或者响应报价呈规律性差异；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1.5.5 不同投标人的投标文件相互混装。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2.质疑处理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
          <w:color w:val="auto"/>
          <w:sz w:val="24"/>
          <w:szCs w:val="24"/>
          <w:highlight w:val="none"/>
        </w:rPr>
        <w:t xml:space="preserve">2.2.1 对可以质疑的招标文件提出质疑的，为收到招标文件之日或者招标文件公告期限届满之日</w:t>
      </w:r>
      <w:r>
        <w:rPr>
          <w:rFonts w:hint="eastAsia" w:ascii="仿宋" w:hAnsi="仿宋" w:eastAsia="仿宋" w:cs="仿宋"/>
          <w:b/>
          <w:bCs w:val="0"/>
          <w:color w:val="auto"/>
          <w:sz w:val="24"/>
          <w:szCs w:val="24"/>
          <w:highlight w:val="none"/>
          <w:u w:val="single"/>
        </w:rPr>
        <w:t xml:space="preserve">（本项目招标公告期限届满后获取招标文件的，以公告期限届满之日为准）；</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2.2.2 对采购过程提出质疑的，为各采购程序环节结束之日；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2.2.3 对中标结果提出质疑的，为中标结果公告期限届满之日。</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2.3 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2.4 质疑答复依据《政府采购质疑和投诉办法》（财政部令第94号）。</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招标人或招标代理机构质疑接收人及联系方式，见招标文件第一章。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 以下情形的质疑不予受理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 内容不符合《政府采购质疑和投诉办法》第十二条规定的质疑。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2.5.2 超出政府采购法定期限的质疑。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2.5.3 未参加投标活动的投标人或在投标活动中自身权益未受到损害的投标人所提出的质疑。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2.5.4 投标人组成联合体参加投标，联合体中任何一方或多方未按要求签字、盖章、加盖公章的质疑。</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九</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中标通知书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公告中标结果的同时，</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或采购代理机构向</w:t>
      </w:r>
      <w:r>
        <w:rPr>
          <w:rFonts w:hint="eastAsia" w:ascii="仿宋" w:hAnsi="仿宋" w:eastAsia="仿宋" w:cs="仿宋"/>
          <w:bCs/>
          <w:color w:val="auto"/>
          <w:sz w:val="24"/>
          <w:szCs w:val="24"/>
          <w:highlight w:val="none"/>
          <w:lang w:eastAsia="zh-CN"/>
        </w:rPr>
        <w:t xml:space="preserve">中标单位</w:t>
      </w:r>
      <w:r>
        <w:rPr>
          <w:rFonts w:hint="eastAsia" w:ascii="仿宋" w:hAnsi="仿宋" w:eastAsia="仿宋" w:cs="仿宋"/>
          <w:bCs/>
          <w:color w:val="auto"/>
          <w:sz w:val="24"/>
          <w:szCs w:val="24"/>
          <w:highlight w:val="none"/>
        </w:rPr>
        <w:t xml:space="preserve">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特别说明：中标单位在中标</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结果</w:t>
      </w:r>
      <w:r>
        <w:rPr>
          <w:rFonts w:hint="eastAsia" w:ascii="仿宋" w:hAnsi="仿宋" w:eastAsia="仿宋" w:cs="仿宋"/>
          <w:bCs/>
          <w:color w:val="auto"/>
          <w:sz w:val="24"/>
          <w:szCs w:val="24"/>
          <w:highlight w:val="none"/>
        </w:rPr>
        <w:t xml:space="preserve">公示期后、领取中标通知书前必须按要求提供纸质响应文件（资格审查材料、</w:t>
      </w:r>
      <w:r>
        <w:rPr>
          <w:rFonts w:hint="eastAsia" w:ascii="仿宋" w:hAnsi="仿宋" w:eastAsia="仿宋" w:cs="仿宋"/>
          <w:bCs/>
          <w:color w:val="auto"/>
          <w:sz w:val="24"/>
          <w:szCs w:val="24"/>
          <w:highlight w:val="none"/>
          <w:lang w:val="en-US" w:eastAsia="zh-CN"/>
        </w:rPr>
        <w:t xml:space="preserve">商务</w:t>
      </w:r>
      <w:r>
        <w:rPr>
          <w:rFonts w:hint="eastAsia" w:ascii="仿宋" w:hAnsi="仿宋" w:eastAsia="仿宋" w:cs="仿宋"/>
          <w:bCs/>
          <w:color w:val="auto"/>
          <w:sz w:val="24"/>
          <w:szCs w:val="24"/>
          <w:highlight w:val="none"/>
        </w:rPr>
        <w:t xml:space="preserve">技术标、报价标）</w:t>
      </w:r>
      <w:r>
        <w:rPr>
          <w:rFonts w:hint="eastAsia" w:ascii="仿宋" w:hAnsi="仿宋" w:eastAsia="仿宋" w:cs="仿宋"/>
          <w:bCs/>
          <w:color w:val="auto"/>
          <w:sz w:val="24"/>
          <w:szCs w:val="24"/>
          <w:highlight w:val="none"/>
          <w:lang w:eastAsia="zh-CN"/>
        </w:rPr>
        <w:t xml:space="preserve">叁份</w:t>
      </w:r>
      <w:r>
        <w:rPr>
          <w:rFonts w:hint="eastAsia" w:ascii="仿宋" w:hAnsi="仿宋" w:eastAsia="仿宋" w:cs="仿宋"/>
          <w:bCs/>
          <w:color w:val="auto"/>
          <w:sz w:val="24"/>
          <w:szCs w:val="24"/>
          <w:highlight w:val="none"/>
        </w:rPr>
        <w:t xml:space="preserve">及电子格式投标文件（光盘贰份）</w:t>
      </w:r>
      <w:r>
        <w:rPr>
          <w:rFonts w:hint="eastAsia" w:ascii="仿宋" w:hAnsi="仿宋" w:eastAsia="仿宋" w:cs="仿宋"/>
          <w:bCs/>
          <w:color w:val="auto"/>
          <w:sz w:val="24"/>
          <w:szCs w:val="24"/>
          <w:highlight w:val="none"/>
          <w:lang w:val="en-US" w:eastAsia="zh-CN"/>
        </w:rPr>
        <w:t xml:space="preserve">交给招标代理机构</w:t>
      </w:r>
      <w:r>
        <w:rPr>
          <w:rFonts w:hint="eastAsia" w:ascii="仿宋" w:hAnsi="仿宋" w:eastAsia="仿宋" w:cs="仿宋"/>
          <w:bCs/>
          <w:color w:val="auto"/>
          <w:sz w:val="24"/>
          <w:szCs w:val="24"/>
          <w:highlight w:val="none"/>
        </w:rPr>
        <w:t xml:space="preserve">，以供存档。纸质响应文件应使用CA系统打印，且必须保证与评标时的电子标书完全一致，否则不予签订合同。</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zh-CN"/>
        </w:rPr>
        <w:t xml:space="preserve">履约保证金</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1.履约保证金是否收取：</w:t>
      </w:r>
      <w:r>
        <w:rPr>
          <w:rFonts w:hint="eastAsia" w:ascii="仿宋" w:hAnsi="仿宋" w:eastAsia="仿宋" w:cs="仿宋"/>
          <w:color w:val="auto"/>
          <w:sz w:val="24"/>
          <w:szCs w:val="24"/>
          <w:highlight w:val="none"/>
          <w:u w:val="single"/>
        </w:rPr>
        <w:t xml:space="preserve">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2.履约保证金的数额：本项目中标后的履约保证金为项目中标价的</w:t>
      </w:r>
      <w:r>
        <w:rPr>
          <w:rFonts w:hint="eastAsia" w:ascii="仿宋" w:hAnsi="仿宋" w:eastAsia="仿宋" w:cs="仿宋"/>
          <w:color w:val="auto"/>
          <w:sz w:val="24"/>
          <w:szCs w:val="24"/>
          <w:highlight w:val="none"/>
          <w:u w:val="single"/>
        </w:rPr>
        <w:t xml:space="preserve"> 10%</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shd w:val="clear" w:color="auto" w:fill="ffff00"/>
        </w:rPr>
      </w:pPr>
      <w:r>
        <w:rPr>
          <w:rFonts w:hint="eastAsia" w:ascii="仿宋" w:hAnsi="仿宋" w:eastAsia="仿宋" w:cs="仿宋"/>
          <w:color w:val="auto"/>
          <w:sz w:val="24"/>
          <w:szCs w:val="24"/>
          <w:highlight w:val="none"/>
        </w:rPr>
        <w:t xml:space="preserve">3.缴纳履约保证金时间：中标供应商在中标通知书发出之日起</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4.缴纳履约保证金形式：</w:t>
      </w:r>
      <w:r>
        <w:rPr>
          <w:rFonts w:hint="eastAsia" w:ascii="仿宋" w:hAnsi="仿宋" w:eastAsia="仿宋" w:cs="仿宋"/>
          <w:color w:val="auto"/>
          <w:sz w:val="24"/>
          <w:szCs w:val="24"/>
          <w:highlight w:val="none"/>
          <w:u w:val="single"/>
          <w:lang w:val="en-US" w:eastAsia="zh-CN"/>
        </w:rPr>
        <w:t xml:space="preserve">现金、转账、</w:t>
      </w:r>
      <w:r>
        <w:rPr>
          <w:rFonts w:hint="eastAsia" w:ascii="仿宋" w:hAnsi="仿宋" w:eastAsia="仿宋" w:cs="仿宋"/>
          <w:color w:val="auto"/>
          <w:sz w:val="24"/>
          <w:szCs w:val="24"/>
          <w:highlight w:val="none"/>
          <w:u w:val="single"/>
        </w:rPr>
        <w:t xml:space="preserve">支票、汇票、本票或者</w:t>
      </w:r>
      <w:r>
        <w:rPr>
          <w:rFonts w:hint="eastAsia" w:ascii="仿宋" w:hAnsi="仿宋" w:eastAsia="仿宋" w:cs="仿宋"/>
          <w:color w:val="auto"/>
          <w:sz w:val="24"/>
          <w:szCs w:val="24"/>
          <w:highlight w:val="none"/>
          <w:u w:val="single"/>
          <w:lang w:val="en-US" w:eastAsia="zh-CN"/>
        </w:rPr>
        <w:t xml:space="preserve">公司</w:t>
      </w:r>
      <w:r>
        <w:rPr>
          <w:rFonts w:hint="eastAsia" w:ascii="仿宋" w:hAnsi="仿宋" w:eastAsia="仿宋" w:cs="仿宋"/>
          <w:color w:val="auto"/>
          <w:sz w:val="24"/>
          <w:szCs w:val="24"/>
          <w:highlight w:val="none"/>
          <w:u w:val="single"/>
        </w:rPr>
        <w:t xml:space="preserve">基本账户所在</w:t>
      </w:r>
      <w:r>
        <w:rPr>
          <w:rFonts w:hint="eastAsia" w:ascii="仿宋" w:hAnsi="仿宋" w:eastAsia="仿宋" w:cs="仿宋"/>
          <w:color w:val="auto"/>
          <w:sz w:val="24"/>
          <w:szCs w:val="24"/>
          <w:highlight w:val="none"/>
          <w:u w:val="single"/>
          <w:lang w:val="en-US" w:eastAsia="zh-CN"/>
        </w:rPr>
        <w:t xml:space="preserve">银行</w:t>
      </w:r>
      <w:r>
        <w:rPr>
          <w:rFonts w:hint="eastAsia" w:ascii="仿宋" w:hAnsi="仿宋" w:eastAsia="仿宋" w:cs="仿宋"/>
          <w:color w:val="auto"/>
          <w:sz w:val="24"/>
          <w:szCs w:val="24"/>
          <w:highlight w:val="none"/>
          <w:u w:val="single"/>
        </w:rPr>
        <w:t xml:space="preserve">出具的见索即付无任何附加条件的保函、履约保证金保险</w:t>
      </w:r>
      <w:r>
        <w:rPr>
          <w:rFonts w:hint="eastAsia" w:ascii="仿宋" w:hAnsi="仿宋" w:eastAsia="仿宋" w:cs="仿宋"/>
          <w:color w:val="auto"/>
          <w:sz w:val="24"/>
          <w:szCs w:val="24"/>
          <w:highlight w:val="none"/>
        </w:rPr>
        <w:t xml:space="preserve">等形式。如选择公司基本账户所在银行出具</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保函、履约保证金保险等形式，有效期须与履约时间一致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含质保期</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5.退还履约保证金时间：中标供应商全部履约合同义务，质保期满后无质量、进度等问题的，采购人在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三十个工作日内一次性退还履约保证金（不计息）或者退还履约保证金保函，采购人若逾期退还履约保证金的，按照逾期部分的每日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6.退还履约保证金方式：同缴纳方式。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7.退还履约保证金条件：中标供应商在全部履约合同义务后（含质保期），经采购人验收合格无质量、进度等问题，采购人凭中标供应商提交的申请，一次性无息退还该合同项目的履约保证金。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8.不予退还履约保证金的情形：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contextualSpacing/>
        <w:ind w:firstLine="482"/>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十一、授予合同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1.签订合同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1.l 中标人应当在中标通知书发出之日起三十日内，按照招标文件确定的事项与招标人签订政府采购合同。</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签订合同时需做好提交各类声明函、承诺函、业绩证明、资质、职称证书等相应原件的核查准备；核查后发现虚假或违背承诺的，依照相关法律法规规定处理。</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 招标文件、中标人的投标文件及投标过程中有关澄清、承诺文件均应作为合同附件。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 签订合同后，</w:t>
      </w:r>
      <w:r>
        <w:rPr>
          <w:rFonts w:hint="eastAsia" w:ascii="仿宋" w:hAnsi="仿宋" w:eastAsia="仿宋" w:cs="仿宋"/>
          <w:bCs/>
          <w:color w:val="auto"/>
          <w:sz w:val="24"/>
          <w:szCs w:val="24"/>
          <w:highlight w:val="none"/>
          <w:u w:val="single"/>
        </w:rPr>
        <w:t xml:space="preserve">中标人不得将合同标的进行转包</w:t>
      </w:r>
      <w:r>
        <w:rPr>
          <w:rFonts w:hint="eastAsia" w:ascii="仿宋" w:hAnsi="仿宋" w:eastAsia="仿宋" w:cs="仿宋"/>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2.标的物的追加</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 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2.2 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3.政府采购合同信用融资扶持政策</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、电子招标投标交易平台</w:t>
      </w:r>
      <w:r/>
    </w:p>
    <w:p>
      <w:pPr>
        <w:contextualSpacing/>
        <w:ind w:firstLine="480"/>
        <w:spacing w:line="360" w:lineRule="auto"/>
        <w:rPr>
          <w:rStyle w:val="1035"/>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"http://jszfcg.jsczt.cn/）相关要求是本招标文件的组成部分。" \o "http://jszfcg.jsczt.cn/）相关要求是本招标文件的组成部分。" </w:instrText>
      </w:r>
      <w:r>
        <w:rPr>
          <w:rFonts w:hint="eastAsia" w:ascii="仿宋" w:hAnsi="仿宋" w:eastAsia="仿宋" w:cs="仿宋"/>
          <w:color w:val="auto"/>
          <w:highlight w:val="none"/>
        </w:rPr>
        <w:fldChar w:fldCharType="separate"/>
      </w:r>
      <w:r>
        <w:rPr>
          <w:rStyle w:val="1035"/>
          <w:rFonts w:hint="eastAsia" w:ascii="仿宋" w:hAnsi="仿宋" w:eastAsia="仿宋" w:cs="仿宋"/>
          <w:bCs/>
          <w:color w:val="auto"/>
          <w:sz w:val="24"/>
          <w:szCs w:val="24"/>
          <w:highlight w:val="none"/>
        </w:rPr>
        <w:t xml:space="preserve">http：//jszfcg.jsczt.cn/）相关要求是本招标文件的组成部分。</w:t>
      </w:r>
      <w:r>
        <w:rPr>
          <w:rStyle w:val="1035"/>
          <w:rFonts w:hint="eastAsia" w:ascii="仿宋" w:hAnsi="仿宋" w:eastAsia="仿宋" w:cs="仿宋"/>
          <w:bCs/>
          <w:color w:val="auto"/>
          <w:sz w:val="24"/>
          <w:szCs w:val="24"/>
          <w:highlight w:val="none"/>
        </w:rPr>
        <w:fldChar w:fldCharType="end"/>
      </w:r>
      <w:r/>
    </w:p>
    <w:p>
      <w:pPr>
        <w:ind w:firstLine="482"/>
        <w:spacing w:line="500" w:lineRule="exact"/>
        <w:shd w:val="clear" w:color="auto" w:fill="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b/>
          <w:bCs/>
          <w:color w:val="auto"/>
          <w:sz w:val="24"/>
          <w:szCs w:val="24"/>
          <w:highlight w:val="none"/>
          <w:lang w:val="en-US" w:eastAsia="zh-CN"/>
        </w:rPr>
        <w:t xml:space="preserve">政府采购政策功能落实（本项目不适用）</w:t>
      </w:r>
      <w:r/>
    </w:p>
    <w:p>
      <w:pPr>
        <w:contextualSpacing/>
        <w:ind w:firstLine="480"/>
        <w:spacing w:line="440" w:lineRule="exact"/>
        <w:shd w:val="clear" w:color="auto" w:fill="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 xml:space="preserve">本项目采购标的对应的中小企业划分标准所属行业为</w:t>
      </w:r>
      <w:r>
        <w:rPr>
          <w:rFonts w:hint="eastAsia" w:ascii="仿宋" w:hAnsi="仿宋" w:eastAsia="仿宋" w:cs="仿宋"/>
          <w:b/>
          <w:bCs/>
          <w:color w:val="auto"/>
          <w:sz w:val="24"/>
          <w:szCs w:val="24"/>
          <w:highlight w:val="none"/>
          <w:u w:val="single"/>
          <w:lang w:val="zh-CN" w:eastAsia="zh-CN"/>
        </w:rPr>
        <w:t xml:space="preserve">工业</w:t>
      </w:r>
      <w:r>
        <w:rPr>
          <w:rFonts w:hint="eastAsia" w:ascii="仿宋" w:hAnsi="仿宋" w:eastAsia="仿宋" w:cs="仿宋"/>
          <w:color w:val="auto"/>
          <w:sz w:val="24"/>
          <w:szCs w:val="24"/>
          <w:highlight w:val="none"/>
          <w:lang w:val="zh-CN"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1.小微型企业价格扣除</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（1）本项目对小型和微型企业产品给予10%的扣除价格，用扣除后的价格参与评审。</w:t>
      </w:r>
      <w:r/>
    </w:p>
    <w:p>
      <w:pPr>
        <w:contextualSpacing/>
        <w:ind w:firstLine="480"/>
        <w:spacing w:line="440" w:lineRule="exact"/>
        <w:shd w:val="clear" w:color="auto" w:fil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（2）供应商需按照《政府采购促进中小企业发展管理办法》（财库﹝2020﹞46 号）的规定提供相应的《中小企业声明函》</w:t>
      </w:r>
      <w:r>
        <w:rPr>
          <w:rFonts w:hint="eastAsia" w:ascii="仿宋" w:hAnsi="仿宋" w:eastAsia="仿宋" w:cs="仿宋"/>
          <w:color w:val="auto"/>
          <w:sz w:val="24"/>
          <w:szCs w:val="24"/>
          <w:highlight w:val="none"/>
          <w:u w:val="none"/>
          <w:lang w:val="en-US" w:eastAsia="zh-CN"/>
        </w:rPr>
        <w:t xml:space="preserve">。（格式按后附）</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（3）企业标准请参照《关于印发中小企业划型标准规定的通知》（工信部联企业[2011]300号）文件规定自行填写。</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2.残疾人福利单位价格扣除</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（1）本项目对残疾人福利性单位，给予10%的价格扣除，用扣除后的价格参与评审。</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（2）残疾人福利单位需按照采购文件的要求提供《残疾人福利性单位声明函》。</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（3）残疾人福利单位标准请参照《关于促进残疾人就业政府采购政策的通知》（财库〔2017〕141号）。</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3.监狱和戒毒企业价格扣除</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（1）本项目对监狱和戒毒企业（简称监狱企业）给予10%的价格扣除，用扣除后的价格参与评审。</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（3）监狱企业标准请参照《关于政府采购支持监狱企业发展有关问题的通知》（财库[2014]68号）。</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4.残疾人福利单位、监狱企业属于小型、微型企业的，不重复享受政策。</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contextualSpacing/>
        <w:ind w:firstLine="480"/>
        <w:spacing w:line="440" w:lineRule="exact"/>
        <w:shd w:val="clear" w:color="auto" w:fil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6.联合体各方均为小型、微型企业（残疾人福利单位、监狱企业）的，联合体享受上述同类价格扣除，用扣除后的价格参与评审。</w:t>
      </w:r>
      <w:r/>
    </w:p>
    <w:p>
      <w:pPr>
        <w:contextualSpacing/>
        <w:ind w:firstLine="241"/>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十四、</w:t>
      </w:r>
      <w:r>
        <w:rPr>
          <w:rFonts w:hint="eastAsia" w:ascii="仿宋" w:hAnsi="仿宋" w:eastAsia="仿宋" w:cs="仿宋"/>
          <w:b/>
          <w:bCs/>
          <w:color w:val="auto"/>
          <w:sz w:val="24"/>
          <w:szCs w:val="24"/>
          <w:highlight w:val="none"/>
        </w:rPr>
        <w:t xml:space="preserve">未尽事宜</w:t>
      </w:r>
      <w:r/>
    </w:p>
    <w:p>
      <w:pPr>
        <w:contextualSpacing/>
        <w:ind w:firstLine="480"/>
        <w:jc w:val="left"/>
        <w:spacing w:line="360" w:lineRule="auto"/>
        <w:rPr>
          <w:rFonts w:hint="eastAsia" w:ascii="仿宋" w:hAnsi="仿宋" w:eastAsia="仿宋" w:cs="仿宋"/>
          <w:b/>
          <w:bCs/>
          <w:color w:val="auto"/>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hint="eastAsia" w:ascii="仿宋" w:hAnsi="仿宋" w:eastAsia="仿宋" w:cs="仿宋"/>
          <w:color w:val="auto"/>
          <w:sz w:val="24"/>
          <w:szCs w:val="24"/>
          <w:highlight w:val="none"/>
        </w:rPr>
        <w:t xml:space="preserve">按《中华人民共和国政府采购法》及其他有关法律法规的规定执行。</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项目需求</w:t>
      </w:r>
      <w:r/>
    </w:p>
    <w:p>
      <w:pPr>
        <w:pStyle w:val="1036"/>
        <w:ind w:firstLine="480"/>
        <w:spacing w:line="360" w:lineRule="auto"/>
        <w:rPr>
          <w:rFonts w:hint="eastAsia" w:ascii="仿宋" w:hAnsi="仿宋" w:eastAsia="仿宋" w:cs="仿宋"/>
          <w:b w:val="0"/>
          <w:color w:val="auto"/>
          <w:sz w:val="24"/>
          <w:szCs w:val="24"/>
          <w:highlight w:val="none"/>
          <w:lang w:val="zh-CN"/>
        </w:rPr>
      </w:pPr>
      <w:r/>
      <w:bookmarkStart w:id="8" w:name="_Toc182848996"/>
      <w:r/>
      <w:r/>
    </w:p>
    <w:p>
      <w:pPr>
        <w:pStyle w:val="1036"/>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val="0"/>
          <w:color w:val="auto"/>
          <w:sz w:val="24"/>
          <w:szCs w:val="24"/>
          <w:highlight w:val="none"/>
          <w:lang w:val="zh-CN"/>
        </w:rPr>
        <w:t xml:space="preserve">供应商在制作投标文件时仔细研究项目需求说明。</w:t>
      </w:r>
      <w:r>
        <w:rPr>
          <w:rFonts w:hint="eastAsia" w:ascii="仿宋" w:hAnsi="仿宋" w:eastAsia="仿宋" w:cs="仿宋"/>
          <w:b/>
          <w:bCs/>
          <w:color w:val="auto"/>
          <w:sz w:val="24"/>
          <w:szCs w:val="24"/>
          <w:highlight w:val="none"/>
          <w:lang w:val="zh-CN"/>
        </w:rPr>
        <w:t xml:space="preserve">项目需求包括技术要求和商务要求：</w:t>
      </w:r>
      <w:r>
        <w:rPr>
          <w:rFonts w:hint="eastAsia" w:ascii="仿宋" w:hAnsi="仿宋" w:eastAsia="仿宋" w:cs="仿宋"/>
          <w:b/>
          <w:bCs/>
          <w:color w:val="auto"/>
          <w:sz w:val="24"/>
          <w:szCs w:val="24"/>
          <w:highlight w:val="none"/>
          <w:u w:val="single"/>
          <w:lang w:val="zh-CN"/>
        </w:rPr>
        <w:t xml:space="preserve">技术要求是指对采购标的功能和质量要求，包括服务内容和标准等</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u w:val="single"/>
          <w:lang w:val="zh-CN"/>
        </w:rPr>
        <w:t xml:space="preserve">商务要求是指取得采购标的的时间、地点、财务和服务要求，包括交付（实施）的时间（期限）和地点（范围），付款条件（进度和方法）等。</w:t>
      </w:r>
      <w:r/>
    </w:p>
    <w:p>
      <w:pPr>
        <w:ind w:firstLine="562"/>
        <w:spacing w:line="288" w:lineRule="auto"/>
        <w:rPr>
          <w:rFonts w:hint="eastAsia" w:ascii="仿宋" w:hAnsi="仿宋" w:eastAsia="仿宋" w:cs="仿宋"/>
          <w:b w:val="0"/>
          <w:color w:val="auto"/>
          <w:sz w:val="24"/>
          <w:szCs w:val="24"/>
          <w:highlight w:val="none"/>
          <w:lang w:val="zh-CN"/>
        </w:rPr>
      </w:pPr>
      <w:r>
        <w:rPr>
          <w:rFonts w:hint="eastAsia" w:ascii="仿宋" w:hAnsi="仿宋" w:eastAsia="仿宋" w:cs="仿宋"/>
          <w:b w:val="0"/>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contextualSpacing/>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一、需求总则</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1.关于优先采购：</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2"/>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（2）本次招标采购涉及产品如列入节能产品、环境标志产品实施品目清单的，各公开招标响应供应商应提供国家确定的认证机构出具的、处于有效期之内的节能产品、环境标志产品认证证书。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2.绿色采购</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1.本次采购需切实履行绿色采购。</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1.1商品包装环保要求：应当按《关于印发〈商品包装政府采购需求标准（试行）〉、〈快递包装政府采购需求标准（试行）〉的通知》（财办库〔2020〕123号）文件执行。</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（1）商品包装层数不得超过 3 层，空隙率不大于40%；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（2）商品包装尽可能使用单一材质的包装材料，如因功能需求必需使用不同材质，不同材质间应便于分离；</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（3）商品包装中铅、汞、镉、六价铬的总含量应不大于100mg/kg；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（4）商品包装印刷使用的油墨中挥发性有机化合物(VOCs)含量应不大于 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（5）塑料材质商品包装上呈现的印刷颜色不得超过 6 色；</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（6）纸质商品包装应使用 75%以上的可再生纤维原料生产；</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（7）木质商品包装的原料应来源于可持续性森林。</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1.2快递包装环保要求：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（1）快递包装中重金属（铅、汞、镉、六价铬）总量应不大于 100mg/kg；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（2）快递包装印刷使用的油墨中不应添加邻苯二甲酸酯，其挥发性有机化合物(VOCs)含量应不大于5%（以重量计）；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（3）快递包装中使用纸基材的包装材料，纸基材中的有机氯的含量应不大于 150 mg/kg；</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（5）快递中使用的塑料包装袋不得使用聚氯乙烯作为原料，且原料应为单一材质制成，生物分解率大于60%；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（6）快递中使用的充气类填充物不得使用聚氯乙烯作为原料，且原料为单一材质制成，生物分解率大于60%；</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（7）快递中使用的集装袋应为单一材质制成，其重复使用次数应不小于 80 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（8）快递中应使用幅宽不大于45mm 的生物降解胶带；</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（9）快递包装中不得使用溶剂型胶粘剂；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（10）快递应使用电子面单；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（11）直接使用商品包装作为快递包装的商品，其商品包装满足《商品包装政府采购需求标准（试行）》即可；</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（12）快递包装产品质量和封装方式应符合相关国家或行业标准技术指标要求。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3.关于招标项目涉及产品：</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本项目采购不接受全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二、项目公开招标响应说明</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公开招标响应供应商不能简单照搬照抄招标项目需求说明中的技术要求，必须作实事求是的响应：</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1.照搬照抄项目需求说明中的技术要求，一旦中标，在与采购人签订合同和履约环节中不得提出异议，一切后果和损失由中标人承担。</w:t>
      </w:r>
      <w:r/>
    </w:p>
    <w:p>
      <w:pPr>
        <w:contextualSpacing/>
        <w:ind w:firstLine="480"/>
        <w:spacing w:line="360" w:lineRule="auto"/>
        <w:rPr>
          <w:rFonts w:hint="eastAsia" w:ascii="仿宋" w:hAnsi="仿宋" w:eastAsia="仿宋" w:cs="仿宋"/>
          <w:b/>
          <w:bCs w:val="0"/>
          <w:color w:val="auto"/>
          <w:sz w:val="24"/>
          <w:szCs w:val="24"/>
          <w:highlight w:val="none"/>
          <w:u w:val="single"/>
        </w:rPr>
      </w:pPr>
      <w:r>
        <w:rPr>
          <w:rFonts w:hint="eastAsia" w:ascii="仿宋" w:hAnsi="仿宋" w:eastAsia="仿宋" w:cs="仿宋"/>
          <w:bCs/>
          <w:color w:val="auto"/>
          <w:sz w:val="24"/>
          <w:szCs w:val="24"/>
          <w:highlight w:val="none"/>
        </w:rPr>
        <w:t xml:space="preserve">2.公开招标响应供应商提供的货物和服务与采购人提出的项目需求说明中的技术要求不同，</w:t>
      </w:r>
      <w:r>
        <w:rPr>
          <w:rFonts w:hint="eastAsia" w:ascii="仿宋" w:hAnsi="仿宋" w:eastAsia="仿宋" w:cs="仿宋"/>
          <w:b/>
          <w:bCs w:val="0"/>
          <w:color w:val="auto"/>
          <w:sz w:val="24"/>
          <w:szCs w:val="24"/>
          <w:highlight w:val="none"/>
          <w:u w:val="single"/>
        </w:rPr>
        <w:t xml:space="preserve">必</w:t>
      </w:r>
      <w:bookmarkStart w:id="9" w:name="_Hlk69896050"/>
      <w:r>
        <w:rPr>
          <w:rFonts w:hint="eastAsia" w:ascii="仿宋" w:hAnsi="仿宋" w:eastAsia="仿宋" w:cs="仿宋"/>
          <w:b/>
          <w:bCs w:val="0"/>
          <w:color w:val="auto"/>
          <w:sz w:val="24"/>
          <w:szCs w:val="24"/>
          <w:highlight w:val="none"/>
          <w:u w:val="single"/>
        </w:rPr>
        <w:t xml:space="preserve">须在逐一逐条响应的</w:t>
      </w:r>
      <w:r>
        <w:rPr>
          <w:rFonts w:hint="eastAsia" w:ascii="仿宋" w:hAnsi="仿宋" w:eastAsia="仿宋" w:cs="仿宋"/>
          <w:b/>
          <w:bCs w:val="0"/>
          <w:color w:val="auto"/>
          <w:sz w:val="24"/>
          <w:szCs w:val="24"/>
          <w:highlight w:val="none"/>
          <w:u w:val="single"/>
          <w:lang w:val="zh-CN"/>
        </w:rPr>
        <w:t xml:space="preserve">《技术部分正负偏离表》</w:t>
      </w:r>
      <w:r>
        <w:rPr>
          <w:rFonts w:hint="eastAsia" w:ascii="仿宋" w:hAnsi="仿宋" w:eastAsia="仿宋" w:cs="仿宋"/>
          <w:b/>
          <w:bCs w:val="0"/>
          <w:color w:val="auto"/>
          <w:sz w:val="24"/>
          <w:szCs w:val="24"/>
          <w:highlight w:val="none"/>
          <w:u w:val="single"/>
        </w:rPr>
        <w:t xml:space="preserve">上明示偏离的部分。</w:t>
      </w:r>
      <w:bookmarkEnd w:id="9"/>
      <w:r/>
      <w:r/>
    </w:p>
    <w:p>
      <w:pPr>
        <w:contextualSpacing/>
        <w:ind w:firstLine="482"/>
        <w:spacing w:line="360" w:lineRule="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eastAsia="zh-CN"/>
        </w:rPr>
        <w:t xml:space="preserve">（</w:t>
      </w:r>
      <w:r>
        <w:rPr>
          <w:rFonts w:hint="eastAsia" w:ascii="仿宋" w:hAnsi="仿宋" w:eastAsia="仿宋" w:cs="仿宋"/>
          <w:b/>
          <w:bCs w:val="0"/>
          <w:color w:val="auto"/>
          <w:sz w:val="24"/>
          <w:szCs w:val="24"/>
          <w:highlight w:val="none"/>
          <w:u w:val="none"/>
          <w:lang w:val="en-US" w:eastAsia="zh-CN"/>
        </w:rPr>
        <w:t xml:space="preserve">一</w:t>
      </w:r>
      <w:r>
        <w:rPr>
          <w:rFonts w:hint="eastAsia" w:ascii="仿宋" w:hAnsi="仿宋" w:eastAsia="仿宋" w:cs="仿宋"/>
          <w:b/>
          <w:bCs w:val="0"/>
          <w:color w:val="auto"/>
          <w:sz w:val="24"/>
          <w:szCs w:val="24"/>
          <w:highlight w:val="none"/>
          <w:u w:val="none"/>
          <w:lang w:eastAsia="zh-CN"/>
        </w:rPr>
        <w:t xml:space="preserve">）货物清单</w:t>
      </w:r>
      <w:r/>
    </w:p>
    <w:tbl>
      <w:tblPr>
        <w:tblStyle w:val="1009"/>
        <w:tblW w:w="52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7"/>
        <w:gridCol w:w="777"/>
        <w:gridCol w:w="1445"/>
        <w:gridCol w:w="777"/>
        <w:gridCol w:w="3408"/>
        <w:gridCol w:w="707"/>
        <w:gridCol w:w="678"/>
        <w:gridCol w:w="1173"/>
      </w:tblGrid>
      <w:tr>
        <w:trPr>
          <w:jc w:val="center"/>
          <w:trHeight w:val="0"/>
          <w:tblHeader/>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gridSpan w:val="2"/>
            <w:shd w:val="clear" w:color="auto" w:fill="ffffff"/>
            <w:tcW w:w="1141"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大类</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考培设备</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设备名称</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数量</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备注</w:t>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99" w:type="pct"/>
            <w:vAlign w:val="center"/>
            <w:vMerge w:val="restart"/>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t xml:space="preserve">通用科目四</w:t>
            </w:r>
            <w:r/>
          </w:p>
        </w:tc>
        <w:tc>
          <w:tcPr>
            <w:shd w:val="clear" w:color="auto" w:fill="ffffff"/>
            <w:tcW w:w="742" w:type="pct"/>
            <w:vAlign w:val="center"/>
            <w:vMerge w:val="restart"/>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t xml:space="preserve">科目四作业现场应急处置</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t xml:space="preserve">灭火器的选择和使用实操考培设备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eastAsia="zh-CN"/>
              </w:rPr>
              <w:suppressLineNumbers w:val="0"/>
            </w:pPr>
            <w:r>
              <w:rPr>
                <w:rFonts w:hint="default" w:ascii="仿宋" w:hAnsi="仿宋" w:eastAsia="仿宋" w:cs="仿宋"/>
                <w:i w:val="0"/>
                <w:iCs w:val="0"/>
                <w:color w:val="auto"/>
                <w:sz w:val="20"/>
                <w:szCs w:val="20"/>
                <w:highlight w:val="none"/>
                <w:u w:val="none"/>
                <w:lang w:val="en-US" w:eastAsia="zh-CN"/>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K4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rPr>
              <w:t xml:space="preserve">灭火器的选择和使用实操考培设备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原设备升级改造1套</w:t>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rPr>
              <w:t xml:space="preserve">单人徒手心肺复苏实操考培设备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jc w:val="center"/>
          <w:trHeight w:val="499"/>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创伤包扎实操</w:t>
            </w:r>
            <w:r>
              <w:rPr>
                <w:rFonts w:hint="eastAsia" w:ascii="仿宋" w:hAnsi="仿宋" w:eastAsia="仿宋" w:cs="仿宋"/>
                <w:i w:val="0"/>
                <w:iCs w:val="0"/>
                <w:color w:val="auto"/>
                <w:sz w:val="20"/>
                <w:szCs w:val="20"/>
                <w:highlight w:val="none"/>
                <w:u w:val="none"/>
              </w:rPr>
              <w:t xml:space="preserve">考培</w:t>
            </w:r>
            <w:r>
              <w:rPr>
                <w:rFonts w:hint="eastAsia" w:ascii="仿宋" w:hAnsi="仿宋" w:eastAsia="仿宋" w:cs="仿宋"/>
                <w:i w:val="0"/>
                <w:iCs w:val="0"/>
                <w:color w:val="auto"/>
                <w:sz w:val="20"/>
                <w:szCs w:val="20"/>
                <w:highlight w:val="none"/>
                <w:u w:val="none"/>
                <w:lang w:val="en-US" w:eastAsia="zh-CN" w:bidi="ar"/>
              </w:rPr>
              <w:t xml:space="preserve">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触电事故现场应急处置实操考培设备（分别低压、高压）</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SA"/>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auto" w:fill="ffffff"/>
            <w:tcW w:w="399" w:type="pct"/>
            <w:vAlign w:val="center"/>
            <w:vMerge w:val="restart"/>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低压电工作业</w:t>
            </w:r>
            <w:r/>
          </w:p>
        </w:tc>
        <w:tc>
          <w:tcPr>
            <w:shd w:val="clear" w:color="auto" w:fill="ffffff"/>
            <w:tcW w:w="742" w:type="pct"/>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科目一安全用具使用</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K11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低压电工电力安全工器具与电工仪器仪表实操考培设备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科目二作业现场安全隐患排除</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K21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低压电工K21作业现场安全隐患排除实操考培设备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restart"/>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科目三安全操作技术</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低压电工K31电气设备安装实操考培设备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核心产品</w:t>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K32</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低压电工K32低压开关柜实操考培设备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K33</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低压电工K33临时用电系统实操考培设备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auto" w:fill="ffffff"/>
            <w:tcW w:w="399" w:type="pct"/>
            <w:vAlign w:val="center"/>
            <w:vMerge w:val="restart"/>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高压电工作业</w:t>
            </w:r>
            <w:r/>
          </w:p>
        </w:tc>
        <w:tc>
          <w:tcPr>
            <w:shd w:val="clear" w:color="auto" w:fill="ffffff"/>
            <w:tcW w:w="742" w:type="pct"/>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科目一安全用具使用</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K11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高压电工电力安全工器具与电工仪器仪表实操考培设备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科目二作业现场安全隐患排除</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K21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高压电工作业现场安全隐患排除实操考培设备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原设备进行改造</w:t>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restart"/>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科目三安全操作技术</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高压电工K31 10/0.4k V变配电系统(成套开关柜)实操设备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注：</w:t>
            </w:r>
            <w:r>
              <w:rPr>
                <w:rFonts w:hint="eastAsia" w:ascii="仿宋" w:hAnsi="仿宋" w:eastAsia="仿宋" w:cs="仿宋"/>
                <w:color w:val="auto"/>
                <w:sz w:val="22"/>
                <w:szCs w:val="22"/>
                <w:highlight w:val="none"/>
              </w:rPr>
              <w:t xml:space="preserve">高压开关柜(整套)</w:t>
            </w:r>
            <w:r>
              <w:rPr>
                <w:rFonts w:hint="eastAsia" w:ascii="仿宋" w:hAnsi="仿宋" w:eastAsia="仿宋" w:cs="仿宋"/>
                <w:i w:val="0"/>
                <w:iCs w:val="0"/>
                <w:color w:val="auto"/>
                <w:sz w:val="20"/>
                <w:szCs w:val="20"/>
                <w:highlight w:val="none"/>
                <w:u w:val="none"/>
                <w:lang w:val="en-US" w:eastAsia="zh-CN" w:bidi="ar"/>
              </w:rPr>
              <w:t xml:space="preserve">部分进行改造。</w:t>
            </w:r>
            <w:r>
              <w:rPr>
                <w:rFonts w:hint="eastAsia" w:ascii="仿宋" w:hAnsi="仿宋" w:eastAsia="仿宋" w:cs="仿宋"/>
                <w:color w:val="auto"/>
                <w:sz w:val="22"/>
                <w:szCs w:val="22"/>
                <w:highlight w:val="none"/>
              </w:rPr>
              <w:t xml:space="preserve">干式电力变压器</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低压开关柜</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整套</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等其他部分新购。详见技术要求</w:t>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K32</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高压电工K32 10/0.4k V变配电系统(架空线路)实操设备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K33</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高压电工K33 电气设备安装实操考培设备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auto" w:fill="ffffff"/>
            <w:tcW w:w="399" w:type="pct"/>
            <w:vAlign w:val="center"/>
            <w:vMerge w:val="restart"/>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高处作业</w:t>
            </w:r>
            <w:r/>
          </w:p>
        </w:tc>
        <w:tc>
          <w:tcPr>
            <w:shd w:val="clear" w:color="auto" w:fill="ffffff"/>
            <w:tcW w:w="742" w:type="pct"/>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科目一安全用具使用</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K11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高处作业安全用具实操考培设备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424"/>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restart"/>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科目二作业现场安全隐患排除</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K21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高处作业零部件判废实操考培设备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649"/>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K22</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高处作业作业现场安全隐患排除实操考培设备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原设备进行改造</w:t>
            </w:r>
            <w:r/>
          </w:p>
        </w:tc>
      </w:tr>
      <w:tr>
        <w:trPr>
          <w:jc w:val="center"/>
          <w:trHeight w:val="340"/>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restart"/>
            <w:textDirection w:val="lrTb"/>
            <w:noWrap w:val="false"/>
          </w:tcPr>
          <w:p>
            <w:pPr>
              <w:ind w:left="0" w:right="0" w:firstLine="0"/>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科目三安全操作技术</w:t>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K31</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移动平台实操考培设备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382"/>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K32</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吊篮实操考培设备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348"/>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K33</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吊具实操考培设备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jc w:val="center"/>
          <w:trHeight w:val="376"/>
        </w:trPr>
        <w:tc>
          <w:tcPr>
            <w:shd w:val="clear" w:color="auto" w:fill="ffffff"/>
            <w:tcW w:w="394"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auto" w:fill="ffffff"/>
            <w:tcW w:w="399" w:type="pct"/>
            <w:vAlign w:val="center"/>
            <w:vMerge w:val="continue"/>
            <w:textDirection w:val="lrTb"/>
            <w:noWrap w:val="false"/>
          </w:tcPr>
          <w:p>
            <w:pPr>
              <w:ind w:left="0" w:right="0" w:firstLine="0"/>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742" w:type="pct"/>
            <w:vAlign w:val="center"/>
            <w:vMerge w:val="continue"/>
            <w:textDirection w:val="lrTb"/>
            <w:noWrap w:val="false"/>
          </w:tcPr>
          <w:p>
            <w:pPr>
              <w:ind w:left="0" w:right="0" w:firstLine="0"/>
              <w:jc w:val="left"/>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ffffff"/>
            <w:tcW w:w="399"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K34</w:t>
            </w:r>
            <w:r/>
          </w:p>
        </w:tc>
        <w:tc>
          <w:tcPr>
            <w:shd w:val="clear" w:color="auto" w:fill="ffffff"/>
            <w:tcW w:w="1750"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登杆登塔考培设备</w:t>
            </w:r>
            <w:r/>
          </w:p>
        </w:tc>
        <w:tc>
          <w:tcPr>
            <w:shd w:val="clear" w:color="auto" w:fill="ffffff"/>
            <w:tcW w:w="363"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ffffff"/>
            <w:tcW w:w="348"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套</w:t>
            </w:r>
            <w:r/>
          </w:p>
        </w:tc>
        <w:tc>
          <w:tcPr>
            <w:shd w:val="clear" w:color="auto" w:fill="ffffff"/>
            <w:tcW w:w="602" w:type="pct"/>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bl>
    <w:p>
      <w:pPr>
        <w:contextualSpacing/>
        <w:ind w:firstLine="482"/>
        <w:spacing w:line="360" w:lineRule="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注：</w:t>
      </w:r>
      <w:r>
        <w:rPr>
          <w:rFonts w:hint="eastAsia" w:ascii="仿宋" w:hAnsi="仿宋" w:eastAsia="仿宋" w:cs="仿宋"/>
          <w:b/>
          <w:bCs w:val="0"/>
          <w:color w:val="auto"/>
          <w:sz w:val="24"/>
          <w:szCs w:val="24"/>
          <w:highlight w:val="none"/>
          <w:u w:val="none"/>
          <w:lang w:eastAsia="zh-CN"/>
        </w:rPr>
        <w:t xml:space="preserve">投标单位应自行现场勘察，本项目现场查勘联系人：</w:t>
      </w:r>
      <w:r>
        <w:rPr>
          <w:rFonts w:hint="eastAsia" w:ascii="仿宋" w:hAnsi="仿宋" w:eastAsia="仿宋" w:cs="仿宋"/>
          <w:b/>
          <w:bCs w:val="0"/>
          <w:color w:val="auto"/>
          <w:sz w:val="24"/>
          <w:szCs w:val="24"/>
          <w:highlight w:val="none"/>
          <w:u w:val="none"/>
          <w:lang w:val="en-US" w:eastAsia="zh-CN"/>
        </w:rPr>
        <w:t xml:space="preserve">徐</w:t>
      </w:r>
      <w:r>
        <w:rPr>
          <w:rFonts w:hint="eastAsia" w:ascii="仿宋" w:hAnsi="仿宋" w:eastAsia="仿宋" w:cs="仿宋"/>
          <w:b/>
          <w:bCs w:val="0"/>
          <w:color w:val="auto"/>
          <w:sz w:val="24"/>
          <w:szCs w:val="24"/>
          <w:highlight w:val="none"/>
          <w:u w:val="none"/>
          <w:lang w:eastAsia="zh-CN"/>
        </w:rPr>
        <w:t xml:space="preserve">老师，联系号码：13962943196；</w:t>
      </w:r>
      <w:r>
        <w:rPr>
          <w:rFonts w:hint="eastAsia" w:ascii="仿宋" w:hAnsi="仿宋" w:eastAsia="仿宋" w:cs="仿宋"/>
          <w:b/>
          <w:bCs w:val="0"/>
          <w:color w:val="auto"/>
          <w:sz w:val="24"/>
          <w:szCs w:val="24"/>
          <w:highlight w:val="none"/>
          <w:u w:val="none"/>
          <w:lang w:eastAsia="zh-CN"/>
        </w:rPr>
        <w:t xml:space="preserve">查勘时间：2026年</w:t>
      </w:r>
      <w:r>
        <w:rPr>
          <w:rFonts w:hint="eastAsia" w:ascii="仿宋" w:hAnsi="仿宋" w:eastAsia="仿宋" w:cs="仿宋"/>
          <w:b/>
          <w:bCs w:val="0"/>
          <w:color w:val="auto"/>
          <w:sz w:val="24"/>
          <w:szCs w:val="24"/>
          <w:highlight w:val="none"/>
          <w:u w:val="none"/>
          <w:lang w:val="en-US" w:eastAsia="zh-CN"/>
        </w:rPr>
        <w:t xml:space="preserve">6</w:t>
      </w:r>
      <w:r>
        <w:rPr>
          <w:rFonts w:hint="eastAsia" w:ascii="仿宋" w:hAnsi="仿宋" w:eastAsia="仿宋" w:cs="仿宋"/>
          <w:b/>
          <w:bCs w:val="0"/>
          <w:color w:val="auto"/>
          <w:sz w:val="24"/>
          <w:szCs w:val="24"/>
          <w:highlight w:val="none"/>
          <w:u w:val="none"/>
          <w:lang w:eastAsia="zh-CN"/>
        </w:rPr>
        <w:t xml:space="preserve">月</w:t>
      </w:r>
      <w:r>
        <w:rPr>
          <w:rFonts w:hint="eastAsia" w:ascii="仿宋" w:hAnsi="仿宋" w:eastAsia="仿宋" w:cs="仿宋"/>
          <w:b/>
          <w:bCs w:val="0"/>
          <w:color w:val="auto"/>
          <w:sz w:val="24"/>
          <w:szCs w:val="24"/>
          <w:highlight w:val="none"/>
          <w:u w:val="none"/>
          <w:lang w:val="en-US" w:eastAsia="zh-CN"/>
        </w:rPr>
        <w:t xml:space="preserve">12</w:t>
      </w:r>
      <w:r>
        <w:rPr>
          <w:rFonts w:hint="eastAsia" w:ascii="仿宋" w:hAnsi="仿宋" w:eastAsia="仿宋" w:cs="仿宋"/>
          <w:b/>
          <w:bCs w:val="0"/>
          <w:color w:val="auto"/>
          <w:sz w:val="24"/>
          <w:szCs w:val="24"/>
          <w:highlight w:val="none"/>
          <w:u w:val="none"/>
          <w:lang w:eastAsia="zh-CN"/>
        </w:rPr>
        <w:t xml:space="preserve">日-2026年</w:t>
      </w:r>
      <w:r>
        <w:rPr>
          <w:rFonts w:hint="eastAsia" w:ascii="仿宋" w:hAnsi="仿宋" w:eastAsia="仿宋" w:cs="仿宋"/>
          <w:b/>
          <w:bCs w:val="0"/>
          <w:color w:val="auto"/>
          <w:sz w:val="24"/>
          <w:szCs w:val="24"/>
          <w:highlight w:val="none"/>
          <w:u w:val="none"/>
          <w:lang w:val="en-US" w:eastAsia="zh-CN"/>
        </w:rPr>
        <w:t xml:space="preserve">7</w:t>
      </w:r>
      <w:r>
        <w:rPr>
          <w:rFonts w:hint="eastAsia" w:ascii="仿宋" w:hAnsi="仿宋" w:eastAsia="仿宋" w:cs="仿宋"/>
          <w:b/>
          <w:bCs w:val="0"/>
          <w:color w:val="auto"/>
          <w:sz w:val="24"/>
          <w:szCs w:val="24"/>
          <w:highlight w:val="none"/>
          <w:u w:val="none"/>
          <w:lang w:eastAsia="zh-CN"/>
        </w:rPr>
        <w:t xml:space="preserve">月</w:t>
      </w:r>
      <w:r>
        <w:rPr>
          <w:rFonts w:hint="eastAsia" w:ascii="仿宋" w:hAnsi="仿宋" w:eastAsia="仿宋" w:cs="仿宋"/>
          <w:b/>
          <w:bCs w:val="0"/>
          <w:color w:val="auto"/>
          <w:sz w:val="24"/>
          <w:szCs w:val="24"/>
          <w:highlight w:val="none"/>
          <w:u w:val="none"/>
          <w:lang w:val="en-US" w:eastAsia="zh-CN"/>
        </w:rPr>
        <w:t xml:space="preserve">7</w:t>
      </w:r>
      <w:r>
        <w:rPr>
          <w:rFonts w:hint="eastAsia" w:ascii="仿宋" w:hAnsi="仿宋" w:eastAsia="仿宋" w:cs="仿宋"/>
          <w:b/>
          <w:bCs w:val="0"/>
          <w:color w:val="auto"/>
          <w:sz w:val="24"/>
          <w:szCs w:val="24"/>
          <w:highlight w:val="none"/>
          <w:u w:val="none"/>
          <w:lang w:eastAsia="zh-CN"/>
        </w:rPr>
        <w:t xml:space="preserve">日，上午：9:30-11:00，下午：13:30-16:30</w:t>
      </w:r>
      <w:r>
        <w:rPr>
          <w:rFonts w:hint="eastAsia" w:ascii="仿宋" w:hAnsi="仿宋" w:eastAsia="仿宋" w:cs="仿宋"/>
          <w:b/>
          <w:bCs w:val="0"/>
          <w:color w:val="auto"/>
          <w:sz w:val="24"/>
          <w:szCs w:val="24"/>
          <w:highlight w:val="none"/>
          <w:u w:val="none"/>
          <w:lang w:eastAsia="zh-CN"/>
        </w:rPr>
        <w:t xml:space="preserve">，不包含节假日期间。</w:t>
      </w:r>
      <w:r/>
    </w:p>
    <w:p>
      <w:pPr>
        <w:contextualSpacing/>
        <w:ind w:firstLine="482"/>
        <w:spacing w:line="360" w:lineRule="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eastAsia="zh-CN"/>
        </w:rPr>
        <w:t xml:space="preserve">（</w:t>
      </w:r>
      <w:r>
        <w:rPr>
          <w:rFonts w:hint="eastAsia" w:ascii="仿宋" w:hAnsi="仿宋" w:eastAsia="仿宋" w:cs="仿宋"/>
          <w:b/>
          <w:bCs w:val="0"/>
          <w:color w:val="auto"/>
          <w:sz w:val="24"/>
          <w:szCs w:val="24"/>
          <w:highlight w:val="none"/>
          <w:u w:val="none"/>
          <w:lang w:val="en-US" w:eastAsia="zh-CN"/>
        </w:rPr>
        <w:t xml:space="preserve">二</w:t>
      </w:r>
      <w:r>
        <w:rPr>
          <w:rFonts w:hint="eastAsia" w:ascii="仿宋" w:hAnsi="仿宋" w:eastAsia="仿宋" w:cs="仿宋"/>
          <w:b/>
          <w:bCs w:val="0"/>
          <w:color w:val="auto"/>
          <w:sz w:val="24"/>
          <w:szCs w:val="24"/>
          <w:highlight w:val="none"/>
          <w:u w:val="none"/>
          <w:lang w:eastAsia="zh-CN"/>
        </w:rPr>
        <w:t xml:space="preserve">）技术参数要求</w:t>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一）安全</w:t>
      </w:r>
      <w:r>
        <w:rPr>
          <w:rFonts w:hint="eastAsia" w:ascii="仿宋" w:hAnsi="仿宋" w:eastAsia="仿宋" w:cs="仿宋"/>
          <w:b/>
          <w:bCs/>
          <w:color w:val="auto"/>
          <w:sz w:val="24"/>
          <w:szCs w:val="24"/>
          <w:highlight w:val="none"/>
          <w:lang w:val="en-US" w:eastAsia="zh-CN"/>
        </w:rPr>
        <w:t xml:space="preserve">生产</w:t>
      </w:r>
      <w:r>
        <w:rPr>
          <w:rFonts w:hint="eastAsia" w:ascii="仿宋" w:hAnsi="仿宋" w:eastAsia="仿宋" w:cs="仿宋"/>
          <w:b/>
          <w:bCs/>
          <w:color w:val="auto"/>
          <w:sz w:val="24"/>
          <w:szCs w:val="24"/>
          <w:highlight w:val="none"/>
        </w:rPr>
        <w:t xml:space="preserve">实操</w:t>
      </w:r>
      <w:r>
        <w:rPr>
          <w:rFonts w:hint="eastAsia" w:ascii="仿宋" w:hAnsi="仿宋" w:eastAsia="仿宋" w:cs="仿宋"/>
          <w:b/>
          <w:bCs/>
          <w:color w:val="auto"/>
          <w:sz w:val="24"/>
          <w:szCs w:val="24"/>
          <w:highlight w:val="none"/>
          <w:lang w:val="en-US" w:eastAsia="zh-CN"/>
        </w:rPr>
        <w:t xml:space="preserve">考试</w:t>
      </w:r>
      <w:r>
        <w:rPr>
          <w:rFonts w:hint="eastAsia" w:ascii="仿宋" w:hAnsi="仿宋" w:eastAsia="仿宋" w:cs="仿宋"/>
          <w:b/>
          <w:bCs/>
          <w:color w:val="auto"/>
          <w:sz w:val="24"/>
          <w:szCs w:val="24"/>
          <w:highlight w:val="none"/>
        </w:rPr>
        <w:t xml:space="preserve">考场建设</w:t>
      </w:r>
      <w:r>
        <w:rPr>
          <w:rFonts w:hint="eastAsia" w:ascii="仿宋" w:hAnsi="仿宋" w:eastAsia="仿宋" w:cs="仿宋"/>
          <w:b/>
          <w:bCs/>
          <w:color w:val="auto"/>
          <w:sz w:val="24"/>
          <w:szCs w:val="24"/>
          <w:highlight w:val="none"/>
          <w:lang w:val="en-US" w:eastAsia="zh-CN"/>
        </w:rPr>
        <w:t xml:space="preserve">总体</w:t>
      </w:r>
      <w:r>
        <w:rPr>
          <w:rFonts w:hint="eastAsia" w:ascii="仿宋" w:hAnsi="仿宋" w:eastAsia="仿宋" w:cs="仿宋"/>
          <w:b/>
          <w:bCs/>
          <w:color w:val="auto"/>
          <w:sz w:val="24"/>
          <w:szCs w:val="24"/>
          <w:highlight w:val="none"/>
        </w:rPr>
        <w:t xml:space="preserve">要求</w:t>
      </w:r>
      <w:r/>
    </w:p>
    <w:p>
      <w:pPr>
        <w:ind w:firstLine="560"/>
        <w:jc w:val="left"/>
        <w:spacing w:line="560" w:lineRule="exact"/>
        <w:shd w:val="clear" w:color="auto" w:fil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本次采购项目涉及特种作业实操</w:t>
      </w:r>
      <w:r>
        <w:rPr>
          <w:rFonts w:hint="eastAsia" w:ascii="仿宋" w:hAnsi="仿宋" w:eastAsia="仿宋" w:cs="仿宋"/>
          <w:color w:val="auto"/>
          <w:sz w:val="22"/>
          <w:szCs w:val="22"/>
          <w:highlight w:val="none"/>
          <w:lang w:val="en-US" w:eastAsia="zh-CN"/>
        </w:rPr>
        <w:t xml:space="preserve">培训</w:t>
      </w:r>
      <w:r>
        <w:rPr>
          <w:rFonts w:hint="eastAsia" w:ascii="仿宋" w:hAnsi="仿宋" w:eastAsia="仿宋" w:cs="仿宋"/>
          <w:color w:val="auto"/>
          <w:sz w:val="22"/>
          <w:szCs w:val="22"/>
          <w:highlight w:val="none"/>
          <w:lang w:eastAsia="zh-CN"/>
        </w:rPr>
        <w:t xml:space="preserve">设备及配套设备。所购设备须严格满足应急管理部《安全生产考试机构和考试点管理规定》（应急〔2025〕41号）及附件《考试点建设标准》中关于特种作业安全技术实际操作考试设备的配备要求，其中</w:t>
      </w:r>
      <w:r>
        <w:rPr>
          <w:rFonts w:hint="eastAsia" w:ascii="仿宋" w:hAnsi="仿宋" w:eastAsia="仿宋" w:cs="仿宋"/>
          <w:color w:val="auto"/>
          <w:sz w:val="22"/>
          <w:szCs w:val="22"/>
          <w:highlight w:val="none"/>
          <w:lang w:val="en-US" w:eastAsia="zh-CN"/>
        </w:rPr>
        <w:t xml:space="preserve">低压</w:t>
      </w:r>
      <w:r>
        <w:rPr>
          <w:rFonts w:hint="eastAsia" w:ascii="仿宋" w:hAnsi="仿宋" w:eastAsia="仿宋" w:cs="仿宋"/>
          <w:color w:val="auto"/>
          <w:sz w:val="22"/>
          <w:szCs w:val="22"/>
          <w:highlight w:val="none"/>
          <w:lang w:eastAsia="zh-CN"/>
        </w:rPr>
        <w:t xml:space="preserve">电工作业、</w:t>
      </w:r>
      <w:r>
        <w:rPr>
          <w:rFonts w:hint="eastAsia" w:ascii="仿宋" w:hAnsi="仿宋" w:eastAsia="仿宋" w:cs="仿宋"/>
          <w:color w:val="auto"/>
          <w:sz w:val="22"/>
          <w:szCs w:val="22"/>
          <w:highlight w:val="none"/>
          <w:lang w:val="en-US" w:eastAsia="zh-CN"/>
        </w:rPr>
        <w:t xml:space="preserve">高压电工</w:t>
      </w:r>
      <w:r>
        <w:rPr>
          <w:rFonts w:hint="eastAsia" w:ascii="仿宋" w:hAnsi="仿宋" w:eastAsia="仿宋" w:cs="仿宋"/>
          <w:color w:val="auto"/>
          <w:sz w:val="22"/>
          <w:szCs w:val="22"/>
          <w:highlight w:val="none"/>
          <w:lang w:eastAsia="zh-CN"/>
        </w:rPr>
        <w:t xml:space="preserve">作业、高处作业3个作业类别须</w:t>
      </w:r>
      <w:r>
        <w:rPr>
          <w:rFonts w:hint="eastAsia" w:ascii="仿宋" w:hAnsi="仿宋" w:eastAsia="仿宋" w:cs="仿宋"/>
          <w:color w:val="auto"/>
          <w:sz w:val="22"/>
          <w:szCs w:val="22"/>
          <w:highlight w:val="none"/>
          <w:lang w:eastAsia="zh-CN"/>
        </w:rPr>
        <w:t xml:space="preserve">使用真实设备进行实际操作考试。同时须满足应急管理部《低压电工作业人员安全技术培训大纲和考核标准》等6个培训大纲和考核标准（应急〔2025〕59号）中关于安全用具使用、作业现场安全隐患排除、安全操作技术、作业现场应急处置4个实操考核科目的设备配置要求。投标人所供设备（包括低压电工K31电气设备安装实操考培设备、低压电工K33临时用电系统实操考培设备、高压电工K32 10/0.4kV变配电系统（架空线路）实操设备）的性能指标、操作方式及考核标准，须与南通市应急管理服务中心的考试设备保持一致，以保障培训的一致性。</w:t>
      </w:r>
      <w:r/>
    </w:p>
    <w:p>
      <w:pPr>
        <w:pStyle w:val="1025"/>
        <w:ind w:firstLine="440"/>
        <w:keepLines w:val="0"/>
        <w:keepNext w:val="0"/>
        <w:pageBreakBefore w:val="0"/>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人所供设备的性能指标、关键技术参数、操作界面及考核逻辑须与南通市应急管理服务中心（以下简称“考试中心”）在用的考试设备（满足（应急〔2025〕41号）、（应急〔2025〕59号）文件的要求）一致，以确保培训与考试的无差别衔接。</w:t>
      </w:r>
      <w:r/>
    </w:p>
    <w:p>
      <w:pPr>
        <w:pStyle w:val="1025"/>
        <w:ind w:firstLine="482"/>
        <w:keepLines w:val="0"/>
        <w:keepNext w:val="0"/>
        <w:pageBreakBefore w:val="0"/>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4"/>
          <w:szCs w:val="21"/>
          <w:highlight w:val="none"/>
          <w:lang w:val="zh-CN"/>
        </w:rPr>
        <w:t xml:space="preserve">★</w:t>
      </w:r>
      <w:r>
        <w:rPr>
          <w:rFonts w:hint="default" w:ascii="仿宋" w:hAnsi="仿宋" w:eastAsia="仿宋" w:cs="仿宋"/>
          <w:b/>
          <w:bCs/>
          <w:color w:val="auto"/>
          <w:sz w:val="22"/>
          <w:szCs w:val="22"/>
          <w:highlight w:val="none"/>
          <w:lang w:val="en-US" w:eastAsia="zh-CN" w:bidi="ar-SA"/>
        </w:rPr>
        <w:t xml:space="preserve">投标人须承诺：</w:t>
      </w:r>
      <w:r>
        <w:rPr>
          <w:rFonts w:hint="eastAsia" w:ascii="仿宋" w:hAnsi="仿宋" w:eastAsia="仿宋" w:cs="仿宋"/>
          <w:b/>
          <w:bCs/>
          <w:color w:val="auto"/>
          <w:sz w:val="22"/>
          <w:szCs w:val="22"/>
          <w:highlight w:val="none"/>
          <w:lang w:val="en-US" w:eastAsia="zh-CN" w:bidi="ar-SA"/>
        </w:rPr>
        <w:t xml:space="preserve">在合同约定的质保期内（自最终验收合格之日起36个月），如考试中心对同类考试设备进行任何形式的升级（包括功能增加、参数调整、软件版本更新或硬件局部优化），投标人须无偿对采购人设备进行同步升级，并保证升级完成后的设备与考试中心升级后的设备保持完全一致。因升级产生的材料、人工、运输、调试等全部费用由投标人承担。</w:t>
      </w:r>
      <w:r/>
    </w:p>
    <w:p>
      <w:pPr>
        <w:pStyle w:val="1025"/>
        <w:ind w:firstLine="482"/>
        <w:keepLines w:val="0"/>
        <w:keepNext w:val="0"/>
        <w:pageBreakBefore w:val="0"/>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4"/>
          <w:szCs w:val="24"/>
          <w:highlight w:val="none"/>
          <w:u w:val="single"/>
          <w:lang w:val="en-US" w:eastAsia="zh-CN"/>
        </w:rPr>
        <w:t xml:space="preserve">以上加</w:t>
      </w:r>
      <w:r>
        <w:rPr>
          <w:rFonts w:hint="eastAsia" w:ascii="仿宋" w:hAnsi="仿宋" w:eastAsia="仿宋" w:cs="仿宋"/>
          <w:b/>
          <w:bCs/>
          <w:color w:val="auto"/>
          <w:sz w:val="24"/>
          <w:szCs w:val="24"/>
          <w:highlight w:val="none"/>
          <w:u w:val="single"/>
          <w:lang w:val="zh-CN" w:eastAsia="zh-CN"/>
        </w:rPr>
        <w:t xml:space="preserve">★</w:t>
      </w:r>
      <w:r>
        <w:rPr>
          <w:rFonts w:hint="eastAsia" w:ascii="仿宋" w:hAnsi="仿宋" w:eastAsia="仿宋" w:cs="仿宋"/>
          <w:b/>
          <w:bCs/>
          <w:color w:val="auto"/>
          <w:sz w:val="24"/>
          <w:szCs w:val="24"/>
          <w:highlight w:val="none"/>
          <w:u w:val="single"/>
          <w:lang w:val="en-US" w:eastAsia="zh-CN"/>
        </w:rPr>
        <w:t xml:space="preserve">条款为符合性审查内容，在符合性审查时提供相应的承诺书（格式自拟），未提交或不符合的，或者不清晰的，符合性审查均不予通过。</w:t>
      </w:r>
      <w:r/>
    </w:p>
    <w:p>
      <w:pPr>
        <w:pStyle w:val="1025"/>
        <w:ind w:firstLine="440"/>
        <w:keepLines w:val="0"/>
        <w:keepNext w:val="0"/>
        <w:pageBreakBefore w:val="0"/>
        <w:widowControl w:val="off"/>
        <w:rPr>
          <w:rFonts w:hint="default" w:ascii="仿宋" w:hAnsi="仿宋" w:eastAsia="仿宋" w:cs="仿宋"/>
          <w:color w:val="auto"/>
          <w:sz w:val="22"/>
          <w:szCs w:val="22"/>
          <w:highlight w:val="none"/>
          <w:lang w:val="en-US" w:eastAsia="zh-CN" w:bidi="ar-SA"/>
        </w:rPr>
      </w:pPr>
      <w:r>
        <w:rPr>
          <w:rFonts w:hint="default" w:ascii="仿宋" w:hAnsi="仿宋" w:eastAsia="仿宋" w:cs="仿宋"/>
          <w:color w:val="auto"/>
          <w:sz w:val="22"/>
          <w:szCs w:val="22"/>
          <w:highlight w:val="none"/>
          <w:lang w:val="en-US" w:eastAsia="zh-CN" w:bidi="ar-SA"/>
        </w:rPr>
        <w:t xml:space="preserve">投标人未按上述要求提供免费升级服务的，采购人有权扣除全部履约保证金，并追究其违约责任。</w:t>
      </w:r>
      <w:r/>
    </w:p>
    <w:p>
      <w:pPr>
        <w:pStyle w:val="1025"/>
        <w:ind w:firstLine="440"/>
        <w:keepLines w:val="0"/>
        <w:keepNext w:val="0"/>
        <w:pageBreakBefore w:val="0"/>
        <w:widowControl w:val="off"/>
        <w:rPr>
          <w:rFonts w:hint="default" w:ascii="仿宋" w:hAnsi="仿宋" w:eastAsia="仿宋" w:cs="仿宋"/>
          <w:color w:val="auto"/>
          <w:sz w:val="22"/>
          <w:szCs w:val="22"/>
          <w:highlight w:val="none"/>
          <w:lang w:val="en-US" w:eastAsia="zh-CN" w:bidi="ar-SA"/>
        </w:rPr>
      </w:pPr>
      <w:r>
        <w:rPr>
          <w:rFonts w:hint="default" w:ascii="仿宋" w:hAnsi="仿宋" w:eastAsia="仿宋" w:cs="仿宋"/>
          <w:color w:val="auto"/>
          <w:sz w:val="22"/>
          <w:szCs w:val="22"/>
          <w:highlight w:val="none"/>
          <w:lang w:val="en-US" w:eastAsia="zh-CN" w:bidi="ar-SA"/>
        </w:rPr>
        <w:t xml:space="preserve">所有设备及器材均须粘贴清晰、耐久的标识标签，标签内容至少包括设备名称等关键信息。设备建设须配套完善的安全防护措施，包括但不限于</w:t>
      </w:r>
      <w:r>
        <w:rPr>
          <w:rFonts w:hint="eastAsia" w:ascii="仿宋" w:hAnsi="仿宋" w:eastAsia="仿宋" w:cs="仿宋"/>
          <w:color w:val="auto"/>
          <w:sz w:val="22"/>
          <w:szCs w:val="22"/>
          <w:highlight w:val="none"/>
          <w:lang w:val="en-US" w:eastAsia="zh-CN" w:bidi="ar-SA"/>
        </w:rPr>
        <w:t xml:space="preserve">考培设备</w:t>
      </w:r>
      <w:r>
        <w:rPr>
          <w:rFonts w:hint="default" w:ascii="仿宋" w:hAnsi="仿宋" w:eastAsia="仿宋" w:cs="仿宋"/>
          <w:color w:val="auto"/>
          <w:sz w:val="22"/>
          <w:szCs w:val="22"/>
          <w:highlight w:val="none"/>
          <w:lang w:val="en-US" w:eastAsia="zh-CN" w:bidi="ar-SA"/>
        </w:rPr>
        <w:t xml:space="preserve">围护结构、安全隔离装置、防护栏及警示标识，确保考生操作安全及考试现场符合应急〔2025〕41号文件关于考试点安全设施的要求。</w:t>
      </w:r>
      <w:r/>
    </w:p>
    <w:p>
      <w:pPr>
        <w:pStyle w:val="1025"/>
        <w:ind w:firstLine="482"/>
        <w:keepLines w:val="0"/>
        <w:keepNext w:val="0"/>
        <w:pageBreakBefore w:val="0"/>
        <w:widowControl w:val="off"/>
        <w:rPr>
          <w:rFonts w:hint="default"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4"/>
          <w:szCs w:val="21"/>
          <w:highlight w:val="none"/>
          <w:lang w:val="zh-CN"/>
        </w:rPr>
        <w:t xml:space="preserve">★</w:t>
      </w:r>
      <w:r>
        <w:rPr>
          <w:rFonts w:hint="default" w:ascii="仿宋" w:hAnsi="仿宋" w:eastAsia="仿宋" w:cs="仿宋"/>
          <w:b/>
          <w:bCs/>
          <w:color w:val="auto"/>
          <w:sz w:val="22"/>
          <w:szCs w:val="22"/>
          <w:highlight w:val="none"/>
          <w:lang w:val="en-US" w:eastAsia="zh-CN" w:bidi="ar-SA"/>
        </w:rPr>
        <w:t xml:space="preserve">投标人须承诺：自设备最终验收合格之日起36个月质保期内，免费提供设备正常运行所需的所有易损件及易耗材料（以下简称“备品备件”），不得以任何理由向采购人收取费用。若采购人在质保期内实际使用中发现清单外确属正常损耗的零件/材料，供应商仍应免费提供，不得以“未列入清单”为由拒绝。</w:t>
      </w:r>
      <w:r/>
    </w:p>
    <w:p>
      <w:pPr>
        <w:pStyle w:val="1015"/>
        <w:ind w:firstLine="482"/>
        <w:spacing w:before="120" w:after="120" w:line="360" w:lineRule="auto"/>
        <w:tabs>
          <w:tab w:val="left" w:pos="0" w:leader="none"/>
        </w:tabs>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以上加</w:t>
      </w:r>
      <w:r>
        <w:rPr>
          <w:rFonts w:hint="eastAsia" w:ascii="仿宋" w:hAnsi="仿宋" w:eastAsia="仿宋" w:cs="仿宋"/>
          <w:b/>
          <w:bCs/>
          <w:color w:val="auto"/>
          <w:sz w:val="24"/>
          <w:szCs w:val="24"/>
          <w:highlight w:val="none"/>
          <w:u w:val="single"/>
          <w:lang w:val="zh-CN" w:eastAsia="zh-CN"/>
        </w:rPr>
        <w:t xml:space="preserve">★</w:t>
      </w:r>
      <w:r>
        <w:rPr>
          <w:rFonts w:hint="eastAsia" w:ascii="仿宋" w:hAnsi="仿宋" w:eastAsia="仿宋" w:cs="仿宋"/>
          <w:b/>
          <w:bCs/>
          <w:color w:val="auto"/>
          <w:sz w:val="24"/>
          <w:szCs w:val="24"/>
          <w:highlight w:val="none"/>
          <w:u w:val="single"/>
          <w:lang w:val="en-US" w:eastAsia="zh-CN"/>
        </w:rPr>
        <w:t xml:space="preserve">条款为符合性审查内容，在符合性审查时提供相应的承诺书（格式自拟），未提交或不符合的，或者不清晰的，符合性审查均不予通过。</w:t>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安全</w:t>
      </w:r>
      <w:r>
        <w:rPr>
          <w:rFonts w:hint="eastAsia" w:ascii="仿宋" w:hAnsi="仿宋" w:eastAsia="仿宋" w:cs="仿宋"/>
          <w:b/>
          <w:bCs/>
          <w:color w:val="auto"/>
          <w:sz w:val="24"/>
          <w:szCs w:val="24"/>
          <w:highlight w:val="none"/>
          <w:lang w:val="en-US" w:eastAsia="zh-CN"/>
        </w:rPr>
        <w:t xml:space="preserve">生产实操</w:t>
      </w:r>
      <w:r>
        <w:rPr>
          <w:rFonts w:hint="eastAsia" w:ascii="仿宋" w:hAnsi="仿宋" w:eastAsia="仿宋" w:cs="仿宋"/>
          <w:b/>
          <w:bCs/>
          <w:color w:val="auto"/>
          <w:sz w:val="24"/>
          <w:szCs w:val="24"/>
          <w:highlight w:val="none"/>
        </w:rPr>
        <w:t xml:space="preserve">考试设备技术参数要求</w:t>
      </w:r>
      <w:bookmarkStart w:id="10" w:name="_Toc26740"/>
      <w:r/>
      <w:r/>
    </w:p>
    <w:p>
      <w:pPr>
        <w:ind w:firstLine="482"/>
        <w:keepLines w:val="0"/>
        <w:keepNext w:val="0"/>
        <w:pageBreakBefore w:val="0"/>
        <w:spacing w:line="360" w:lineRule="auto"/>
        <w:shd w:val="clear" w:color="auto" w:fill="auto"/>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1.新购部分设备需求</w:t>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（1）</w:t>
      </w:r>
      <w:r>
        <w:rPr>
          <w:rFonts w:hint="eastAsia" w:ascii="仿宋" w:hAnsi="仿宋" w:eastAsia="仿宋" w:cs="仿宋"/>
          <w:b/>
          <w:bCs/>
          <w:color w:val="auto"/>
          <w:sz w:val="24"/>
          <w:szCs w:val="24"/>
          <w:highlight w:val="none"/>
        </w:rPr>
        <w:t xml:space="preserve">通用科目四</w:t>
      </w:r>
      <w:r/>
    </w:p>
    <w:tbl>
      <w:tblPr>
        <w:tblStyle w:val="100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799"/>
        <w:gridCol w:w="699"/>
        <w:gridCol w:w="1049"/>
        <w:gridCol w:w="657"/>
        <w:gridCol w:w="541"/>
        <w:gridCol w:w="4832"/>
      </w:tblGrid>
      <w:tr>
        <w:trPr>
          <w:jc w:val="center"/>
          <w:trHeight w:val="0"/>
          <w:tblHeader/>
        </w:trPr>
        <w:tc>
          <w:tcPr>
            <w:shd w:val="clear" w:color="auto" w:fill="auto"/>
            <w:tcW w:w="356"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shd w:val="clear" w:color="auto" w:fill="auto"/>
            <w:tcW w:w="432"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编号</w:t>
            </w:r>
            <w:r/>
          </w:p>
        </w:tc>
        <w:tc>
          <w:tcPr>
            <w:shd w:val="clear" w:color="auto" w:fill="auto"/>
            <w:tcW w:w="378"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名称</w:t>
            </w:r>
            <w:r/>
          </w:p>
        </w:tc>
        <w:tc>
          <w:tcPr>
            <w:shd w:val="clear" w:color="auto" w:fill="auto"/>
            <w:tcW w:w="567"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设备/设施/器材</w:t>
            </w:r>
            <w:r/>
          </w:p>
        </w:tc>
        <w:tc>
          <w:tcPr>
            <w:shd w:val="clear" w:color="auto" w:fill="auto"/>
            <w:tcW w:w="355"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数量</w:t>
            </w:r>
            <w:r/>
          </w:p>
        </w:tc>
        <w:tc>
          <w:tcPr>
            <w:shd w:val="clear" w:color="auto" w:fill="auto"/>
            <w:tcW w:w="292"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单位</w:t>
            </w:r>
            <w:r/>
          </w:p>
        </w:tc>
        <w:tc>
          <w:tcPr>
            <w:shd w:val="clear" w:color="auto" w:fill="auto"/>
            <w:tcW w:w="2616"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标准要求</w:t>
            </w:r>
            <w:r/>
          </w:p>
        </w:tc>
      </w:tr>
      <w:tr>
        <w:trPr>
          <w:jc w:val="center"/>
          <w:trHeight w:val="0"/>
        </w:trPr>
        <w:tc>
          <w:tcPr>
            <w:shd w:val="clear" w:color="auto" w:fill="auto"/>
            <w:tcW w:w="356"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W w:w="432" w:type="pct"/>
            <w:vAlign w:val="center"/>
            <w:vMerge w:val="restart"/>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通用科目四作业现场应急处置</w:t>
            </w:r>
            <w:r/>
          </w:p>
        </w:tc>
        <w:tc>
          <w:tcPr>
            <w:shd w:val="clear" w:color="auto" w:fill="auto"/>
            <w:tcW w:w="378"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灭火器选择与使用</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灭火器的选择和使用实操考培设备</w:t>
            </w:r>
            <w:r/>
          </w:p>
        </w:tc>
        <w:tc>
          <w:tcPr>
            <w:shd w:val="clear" w:color="auto" w:fill="auto"/>
            <w:tcW w:w="355"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W w:w="292"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套</w:t>
            </w:r>
            <w:r/>
          </w:p>
        </w:tc>
        <w:tc>
          <w:tcPr>
            <w:shd w:val="clear" w:color="auto" w:fill="auto"/>
            <w:tcW w:w="2616"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1.硬件需求：</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（1）控制系统。CPU i7：主频≥2.5GHz，内存：≥8GB；独显：≥2G；硬盘：≥128G固态硬盘</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（2）视觉成像设备。≥55英寸或以上液晶显示器；多点触控；分辨率：≥1920×1080。</w:t>
            </w:r>
            <w:r/>
          </w:p>
          <w:p>
            <w:pPr>
              <w:ind w:left="0" w:right="0" w:firstLine="0"/>
              <w:jc w:val="left"/>
              <w:keepNext/>
              <w:widowControl/>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2.技术要求：</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灭火器的选择与使用实操</w:t>
            </w: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建设及考核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考试的专业性与规范性。</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灭火器的选择和使用实操考核装置需配置灭火器的选择和使用实操智能网络考核系统。系统建设严格遵循国家标准和规范，在设计上秉持“软件+实物”的创新原则。其中，“软件触控”部分通过人机交互界面，考生可进行场景选择、信息录入等操作；“实物智能”需体现在考生需实际操作配备的智能灭火器及相关设备，完成识别火源类型、选择合适灭火器、模拟灭火操作等任务，以此全面完成大纲内容的实操考核。</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考核系统性能要求：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1）必须满足应急[2025]41号《安全生产考试机构和考试点管理规定》；</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为提高考试效率，要求灭火器的选择和使用考试设备作为单独的考试科目，不与其他考核科目集成使用</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产品要求实现人机交互，场景中第一人称位置根据考生现场实际位置移动而同步发生变动，支持识别侧身等行为，并且屏幕中人物实时根据人物状态响应，并在视觉成像设备上实时呈现灭火距离的同步变化</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default" w:ascii="仿宋" w:hAnsi="仿宋" w:eastAsia="仿宋" w:cs="仿宋"/>
                <w:i w:val="0"/>
                <w:iCs w:val="0"/>
                <w:color w:val="auto"/>
                <w:sz w:val="20"/>
                <w:szCs w:val="20"/>
                <w:highlight w:val="none"/>
                <w:u w:val="none"/>
                <w:lang w:val="en-US"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系统识别操作者使用灭火器的种类，并根据操作者的灭火操作，火灾情景实时动态变化，如在灭火器喷洒下，火焰变弱，最终熄灭的效果。</w:t>
            </w:r>
            <w:r/>
          </w:p>
        </w:tc>
      </w:tr>
      <w:tr>
        <w:trPr>
          <w:jc w:val="center"/>
          <w:trHeight w:val="0"/>
        </w:trPr>
        <w:tc>
          <w:tcPr>
            <w:shd w:val="clear" w:color="auto" w:fill="auto"/>
            <w:tcW w:w="356"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p>
        </w:tc>
        <w:tc>
          <w:tcPr>
            <w:shd w:val="clear" w:color="auto" w:fill="auto"/>
            <w:tcW w:w="432" w:type="pct"/>
            <w:vAlign w:val="center"/>
            <w:vMerge w:val="continue"/>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shd w:val="clear" w:color="auto" w:fill="auto"/>
            <w:tcW w:w="378"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单人徒手心肺复苏</w:t>
            </w:r>
            <w:r>
              <w:rPr>
                <w:rFonts w:hint="eastAsia" w:ascii="仿宋" w:hAnsi="仿宋" w:eastAsia="仿宋" w:cs="仿宋"/>
                <w:color w:val="auto"/>
                <w:sz w:val="22"/>
                <w:szCs w:val="22"/>
                <w:highlight w:val="none"/>
                <w:lang w:val="en-US" w:eastAsia="zh-CN"/>
              </w:rPr>
              <w:t xml:space="preserve">考培设备</w:t>
            </w:r>
            <w:r/>
          </w:p>
        </w:tc>
        <w:tc>
          <w:tcPr>
            <w:shd w:val="clear" w:color="auto" w:fill="auto"/>
            <w:tcW w:w="567"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单人徒手心肺复苏实操考培设备</w:t>
            </w:r>
            <w:r/>
          </w:p>
        </w:tc>
        <w:tc>
          <w:tcPr>
            <w:shd w:val="clear" w:color="auto" w:fill="auto"/>
            <w:tcW w:w="355"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W w:w="292"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套</w:t>
            </w:r>
            <w:r/>
          </w:p>
        </w:tc>
        <w:tc>
          <w:tcPr>
            <w:shd w:val="clear" w:color="auto" w:fill="auto"/>
            <w:tcW w:w="2616"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1.硬件需求：</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）心肺检测假人：CPR橡皮人（</w:t>
            </w:r>
            <w:r>
              <w:rPr>
                <w:rFonts w:hint="eastAsia" w:ascii="仿宋" w:hAnsi="仿宋" w:eastAsia="仿宋" w:cs="仿宋"/>
                <w:color w:val="auto"/>
                <w:sz w:val="22"/>
                <w:szCs w:val="22"/>
                <w:highlight w:val="none"/>
                <w:lang w:val="en-US" w:eastAsia="zh-CN"/>
              </w:rPr>
              <w:t xml:space="preserve">1:1</w:t>
            </w:r>
            <w:r>
              <w:rPr>
                <w:rFonts w:hint="eastAsia" w:ascii="仿宋" w:hAnsi="仿宋" w:eastAsia="仿宋" w:cs="仿宋"/>
                <w:color w:val="auto"/>
                <w:sz w:val="22"/>
                <w:szCs w:val="22"/>
                <w:highlight w:val="none"/>
                <w:lang w:eastAsia="zh-CN"/>
              </w:rPr>
              <w:t xml:space="preserve">高逼真人体模型）,可智能检测。</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考核系统</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工控一体带</w:t>
            </w:r>
            <w:r>
              <w:rPr>
                <w:rFonts w:hint="eastAsia" w:ascii="仿宋" w:hAnsi="仿宋" w:eastAsia="仿宋" w:cs="仿宋"/>
                <w:color w:val="auto"/>
                <w:sz w:val="22"/>
                <w:szCs w:val="22"/>
                <w:highlight w:val="none"/>
                <w:lang w:eastAsia="zh-CN"/>
              </w:rPr>
              <w:t xml:space="preserve">智能评分，</w:t>
            </w:r>
            <w:r>
              <w:rPr>
                <w:rFonts w:hint="eastAsia" w:ascii="仿宋" w:hAnsi="仿宋" w:eastAsia="仿宋" w:cs="仿宋"/>
                <w:color w:val="auto"/>
                <w:sz w:val="22"/>
                <w:szCs w:val="22"/>
                <w:highlight w:val="none"/>
                <w:lang w:val="en-US" w:eastAsia="zh-CN"/>
              </w:rPr>
              <w:t xml:space="preserve">含23.8英</w:t>
            </w:r>
            <w:r>
              <w:rPr>
                <w:rFonts w:hint="eastAsia" w:ascii="仿宋" w:hAnsi="仿宋" w:eastAsia="仿宋" w:cs="仿宋"/>
                <w:color w:val="auto"/>
                <w:sz w:val="22"/>
                <w:szCs w:val="22"/>
                <w:highlight w:val="none"/>
                <w:lang w:eastAsia="zh-CN"/>
              </w:rPr>
              <w:t xml:space="preserve">寸</w:t>
            </w:r>
            <w:r>
              <w:rPr>
                <w:rFonts w:hint="eastAsia" w:ascii="仿宋" w:hAnsi="仿宋" w:eastAsia="仿宋" w:cs="仿宋"/>
                <w:color w:val="auto"/>
                <w:sz w:val="22"/>
                <w:szCs w:val="22"/>
                <w:highlight w:val="none"/>
                <w:lang w:val="en-US" w:eastAsia="zh-CN"/>
              </w:rPr>
              <w:t xml:space="preserve">触摸</w:t>
            </w:r>
            <w:r>
              <w:rPr>
                <w:rFonts w:hint="eastAsia" w:ascii="仿宋" w:hAnsi="仿宋" w:eastAsia="仿宋" w:cs="仿宋"/>
                <w:color w:val="auto"/>
                <w:sz w:val="22"/>
                <w:szCs w:val="22"/>
                <w:highlight w:val="none"/>
                <w:lang w:eastAsia="zh-CN"/>
              </w:rPr>
              <w:t xml:space="preserve">屏，i</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lang w:eastAsia="zh-CN"/>
              </w:rPr>
              <w:t xml:space="preserve">CPU，</w:t>
            </w:r>
            <w:r>
              <w:rPr>
                <w:rFonts w:hint="eastAsia" w:ascii="仿宋" w:hAnsi="仿宋" w:eastAsia="仿宋" w:cs="仿宋"/>
                <w:color w:val="auto"/>
                <w:sz w:val="22"/>
                <w:szCs w:val="22"/>
                <w:highlight w:val="none"/>
                <w:lang w:val="en-US" w:eastAsia="zh-CN"/>
              </w:rPr>
              <w:t xml:space="preserve">16</w:t>
            </w:r>
            <w:r>
              <w:rPr>
                <w:rFonts w:hint="eastAsia" w:ascii="仿宋" w:hAnsi="仿宋" w:eastAsia="仿宋" w:cs="仿宋"/>
                <w:color w:val="auto"/>
                <w:sz w:val="22"/>
                <w:szCs w:val="22"/>
                <w:highlight w:val="none"/>
                <w:lang w:eastAsia="zh-CN"/>
              </w:rPr>
              <w:t xml:space="preserve">g内存，12</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lang w:eastAsia="zh-CN"/>
              </w:rPr>
              <w:t xml:space="preserve">G固态硬盘</w:t>
            </w:r>
            <w:r/>
          </w:p>
          <w:p>
            <w:pPr>
              <w:ind w:left="0" w:right="0" w:firstLine="0"/>
              <w:jc w:val="left"/>
              <w:keepNext/>
              <w:widowControl/>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2.技术要求：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）必须满足国家《特种作业安全技术实际操作考试点设备配备标准（试行）》；</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）软件：评分软件系统智能评分，支持考核成绩的自动汇总功能；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考试终端</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一体化终端设计，智能化人机交互，设备敦实坚固，经久耐用，外观造型轻巧大方，简洁美观。</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（4）具体操作要求：</w:t>
            </w:r>
            <w:r/>
          </w:p>
          <w:p>
            <w:pPr>
              <w:ind w:left="0" w:right="0" w:firstLine="0"/>
              <w:jc w:val="left"/>
              <w:keepNext/>
              <w:widowControl/>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模拟标准气道开放；人工手位胸外按压时：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1）动态显示按压深度：按压深度正确(5-6cm区域)由绿灯显示、按压深度不够（小于5cm）由黄色、按压深度过深（大于6cm）由红色指示灯移动的动态反馈显示CPR按压深度。</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2）计数显示；详细记录按压错误的具体原因（按压力量过大、按压力量过小、按压位置不对及正确的次数）。</w:t>
            </w:r>
            <w:r/>
          </w:p>
          <w:p>
            <w:pPr>
              <w:ind w:left="0" w:right="0" w:firstLine="0"/>
              <w:jc w:val="left"/>
              <w:keepNext/>
              <w:widowControl/>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 xml:space="preserve">人工口对口呼吸(吹气)时：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）动态指示灯显示</w:t>
            </w:r>
            <w:r>
              <w:rPr>
                <w:rFonts w:hint="eastAsia" w:ascii="仿宋" w:hAnsi="仿宋" w:eastAsia="仿宋" w:cs="仿宋"/>
                <w:color w:val="auto"/>
                <w:sz w:val="22"/>
                <w:szCs w:val="22"/>
                <w:highlight w:val="none"/>
                <w:lang w:val="en-US" w:eastAsia="zh-CN"/>
              </w:rPr>
              <w:t xml:space="preserve">吹</w:t>
            </w:r>
            <w:r>
              <w:rPr>
                <w:rFonts w:hint="eastAsia" w:ascii="仿宋" w:hAnsi="仿宋" w:eastAsia="仿宋" w:cs="仿宋"/>
                <w:color w:val="auto"/>
                <w:sz w:val="22"/>
                <w:szCs w:val="22"/>
                <w:highlight w:val="none"/>
                <w:lang w:eastAsia="zh-CN"/>
              </w:rPr>
              <w:t xml:space="preserve">气量：吹入的</w:t>
            </w:r>
            <w:r>
              <w:rPr>
                <w:rFonts w:hint="eastAsia" w:ascii="仿宋" w:hAnsi="仿宋" w:eastAsia="仿宋" w:cs="仿宋"/>
                <w:color w:val="auto"/>
                <w:sz w:val="22"/>
                <w:szCs w:val="22"/>
                <w:highlight w:val="none"/>
                <w:lang w:val="en-US" w:eastAsia="zh-CN"/>
              </w:rPr>
              <w:t xml:space="preserve">吹</w:t>
            </w:r>
            <w:r>
              <w:rPr>
                <w:rFonts w:hint="eastAsia" w:ascii="仿宋" w:hAnsi="仿宋" w:eastAsia="仿宋" w:cs="仿宋"/>
                <w:color w:val="auto"/>
                <w:sz w:val="22"/>
                <w:szCs w:val="22"/>
                <w:highlight w:val="none"/>
                <w:lang w:eastAsia="zh-CN"/>
              </w:rPr>
              <w:t xml:space="preserve">气量正确由绿灯显示、吹入的</w:t>
            </w:r>
            <w:r>
              <w:rPr>
                <w:rFonts w:hint="eastAsia" w:ascii="仿宋" w:hAnsi="仿宋" w:eastAsia="仿宋" w:cs="仿宋"/>
                <w:color w:val="auto"/>
                <w:sz w:val="22"/>
                <w:szCs w:val="22"/>
                <w:highlight w:val="none"/>
                <w:lang w:val="en-US" w:eastAsia="zh-CN"/>
              </w:rPr>
              <w:t xml:space="preserve">吹</w:t>
            </w:r>
            <w:r>
              <w:rPr>
                <w:rFonts w:hint="eastAsia" w:ascii="仿宋" w:hAnsi="仿宋" w:eastAsia="仿宋" w:cs="仿宋"/>
                <w:color w:val="auto"/>
                <w:sz w:val="22"/>
                <w:szCs w:val="22"/>
                <w:highlight w:val="none"/>
                <w:lang w:eastAsia="zh-CN"/>
              </w:rPr>
              <w:t xml:space="preserve">气量过小或过大分别由黄色或红色指示灯移动的动态反馈显示</w:t>
            </w:r>
            <w:r>
              <w:rPr>
                <w:rFonts w:hint="eastAsia" w:ascii="仿宋" w:hAnsi="仿宋" w:eastAsia="仿宋" w:cs="仿宋"/>
                <w:color w:val="auto"/>
                <w:sz w:val="22"/>
                <w:szCs w:val="22"/>
                <w:highlight w:val="none"/>
                <w:lang w:val="en-US" w:eastAsia="zh-CN"/>
              </w:rPr>
              <w:t xml:space="preserve">吹</w:t>
            </w:r>
            <w:r>
              <w:rPr>
                <w:rFonts w:hint="eastAsia" w:ascii="仿宋" w:hAnsi="仿宋" w:eastAsia="仿宋" w:cs="仿宋"/>
                <w:color w:val="auto"/>
                <w:sz w:val="22"/>
                <w:szCs w:val="22"/>
                <w:highlight w:val="none"/>
                <w:lang w:eastAsia="zh-CN"/>
              </w:rPr>
              <w:t xml:space="preserve">气量度；</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）液晶计数显示：详细记录吹气错误的具体原因（按吹气量过大、吹气力量过小、及吹气正确的次数）。</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按压与人工呼吸比：30：2（单人或双人）</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操作周期：有效30次按压及2次人工吹气，30：</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五个循环周期CPR操作。</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操作频率：最新国际标准：100-120次/分钟。</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操作方式：训练操作；考核操作(专业考核、普及考核)。</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操作时间：以秒为单位计时。</w:t>
            </w:r>
            <w:r/>
          </w:p>
        </w:tc>
      </w:tr>
      <w:tr>
        <w:trPr>
          <w:jc w:val="center"/>
          <w:trHeight w:val="0"/>
        </w:trPr>
        <w:tc>
          <w:tcPr>
            <w:shd w:val="clear" w:color="auto" w:fill="auto"/>
            <w:tcW w:w="356"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p>
        </w:tc>
        <w:tc>
          <w:tcPr>
            <w:shd w:val="clear" w:color="auto" w:fill="auto"/>
            <w:tcW w:w="432" w:type="pct"/>
            <w:vAlign w:val="center"/>
            <w:vMerge w:val="continue"/>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shd w:val="clear" w:color="auto" w:fill="auto"/>
            <w:tcW w:w="378"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创伤包扎</w:t>
            </w:r>
            <w:r>
              <w:rPr>
                <w:rFonts w:hint="eastAsia" w:ascii="仿宋" w:hAnsi="仿宋" w:eastAsia="仿宋" w:cs="仿宋"/>
                <w:color w:val="auto"/>
                <w:sz w:val="22"/>
                <w:szCs w:val="22"/>
                <w:highlight w:val="none"/>
                <w:lang w:val="en-US" w:eastAsia="zh-CN"/>
              </w:rPr>
              <w:t xml:space="preserve">考培设备</w:t>
            </w:r>
            <w:r/>
          </w:p>
        </w:tc>
        <w:tc>
          <w:tcPr>
            <w:shd w:val="clear" w:color="auto" w:fill="auto"/>
            <w:tcW w:w="567"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创伤包扎实操考培设备</w:t>
            </w:r>
            <w:r/>
          </w:p>
        </w:tc>
        <w:tc>
          <w:tcPr>
            <w:shd w:val="clear" w:color="auto" w:fill="auto"/>
            <w:tcW w:w="355"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p>
        </w:tc>
        <w:tc>
          <w:tcPr>
            <w:shd w:val="clear" w:color="auto" w:fill="auto"/>
            <w:tcW w:w="292"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套</w:t>
            </w:r>
            <w:r/>
          </w:p>
        </w:tc>
        <w:tc>
          <w:tcPr>
            <w:shd w:val="clear" w:color="auto" w:fill="auto"/>
            <w:tcW w:w="2616"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1.硬件需求：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包扎检测假人：CPR橡皮人（</w:t>
            </w:r>
            <w:r>
              <w:rPr>
                <w:rFonts w:hint="eastAsia" w:ascii="仿宋" w:hAnsi="仿宋" w:eastAsia="仿宋" w:cs="仿宋"/>
                <w:color w:val="auto"/>
                <w:sz w:val="22"/>
                <w:szCs w:val="22"/>
                <w:highlight w:val="none"/>
                <w:lang w:val="en-US" w:eastAsia="zh-CN"/>
              </w:rPr>
              <w:t xml:space="preserve">1:1</w:t>
            </w:r>
            <w:r>
              <w:rPr>
                <w:rFonts w:hint="eastAsia" w:ascii="仿宋" w:hAnsi="仿宋" w:eastAsia="仿宋" w:cs="仿宋"/>
                <w:color w:val="auto"/>
                <w:sz w:val="22"/>
                <w:szCs w:val="22"/>
                <w:highlight w:val="none"/>
                <w:lang w:eastAsia="zh-CN"/>
              </w:rPr>
              <w:t xml:space="preserve">高逼真人体模型）+创伤，可智能检测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弹性绷带：10*450cm（</w:t>
            </w:r>
            <w:r>
              <w:rPr>
                <w:rFonts w:hint="eastAsia" w:ascii="仿宋" w:hAnsi="仿宋" w:eastAsia="仿宋" w:cs="仿宋"/>
                <w:color w:val="auto"/>
                <w:sz w:val="22"/>
                <w:szCs w:val="22"/>
                <w:highlight w:val="none"/>
                <w:lang w:val="en-US" w:eastAsia="zh-CN"/>
              </w:rPr>
              <w:t xml:space="preserve">考核要求</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考核设备，</w:t>
            </w:r>
            <w:r>
              <w:rPr>
                <w:rFonts w:hint="eastAsia" w:ascii="仿宋" w:hAnsi="仿宋" w:eastAsia="仿宋" w:cs="仿宋"/>
                <w:color w:val="auto"/>
                <w:sz w:val="22"/>
                <w:szCs w:val="22"/>
                <w:highlight w:val="none"/>
                <w:lang w:eastAsia="zh-CN"/>
              </w:rPr>
              <w:t xml:space="preserve">工控一体机：</w:t>
            </w:r>
            <w:r>
              <w:rPr>
                <w:rFonts w:hint="eastAsia" w:ascii="仿宋" w:hAnsi="仿宋" w:eastAsia="仿宋" w:cs="仿宋"/>
                <w:color w:val="auto"/>
                <w:sz w:val="22"/>
                <w:szCs w:val="22"/>
                <w:highlight w:val="none"/>
                <w:lang w:val="en-US" w:eastAsia="zh-CN"/>
              </w:rPr>
              <w:t xml:space="preserve">工控一体带</w:t>
            </w:r>
            <w:r>
              <w:rPr>
                <w:rFonts w:hint="eastAsia" w:ascii="仿宋" w:hAnsi="仿宋" w:eastAsia="仿宋" w:cs="仿宋"/>
                <w:color w:val="auto"/>
                <w:sz w:val="22"/>
                <w:szCs w:val="22"/>
                <w:highlight w:val="none"/>
                <w:lang w:eastAsia="zh-CN"/>
              </w:rPr>
              <w:t xml:space="preserve">智能评分，</w:t>
            </w:r>
            <w:r>
              <w:rPr>
                <w:rFonts w:hint="eastAsia" w:ascii="仿宋" w:hAnsi="仿宋" w:eastAsia="仿宋" w:cs="仿宋"/>
                <w:color w:val="auto"/>
                <w:sz w:val="22"/>
                <w:szCs w:val="22"/>
                <w:highlight w:val="none"/>
                <w:lang w:val="en-US" w:eastAsia="zh-CN"/>
              </w:rPr>
              <w:t xml:space="preserve">含23.8英</w:t>
            </w:r>
            <w:r>
              <w:rPr>
                <w:rFonts w:hint="eastAsia" w:ascii="仿宋" w:hAnsi="仿宋" w:eastAsia="仿宋" w:cs="仿宋"/>
                <w:color w:val="auto"/>
                <w:sz w:val="22"/>
                <w:szCs w:val="22"/>
                <w:highlight w:val="none"/>
                <w:lang w:eastAsia="zh-CN"/>
              </w:rPr>
              <w:t xml:space="preserve">寸</w:t>
            </w:r>
            <w:r>
              <w:rPr>
                <w:rFonts w:hint="eastAsia" w:ascii="仿宋" w:hAnsi="仿宋" w:eastAsia="仿宋" w:cs="仿宋"/>
                <w:color w:val="auto"/>
                <w:sz w:val="22"/>
                <w:szCs w:val="22"/>
                <w:highlight w:val="none"/>
                <w:lang w:val="en-US" w:eastAsia="zh-CN"/>
              </w:rPr>
              <w:t xml:space="preserve">触摸</w:t>
            </w:r>
            <w:r>
              <w:rPr>
                <w:rFonts w:hint="eastAsia" w:ascii="仿宋" w:hAnsi="仿宋" w:eastAsia="仿宋" w:cs="仿宋"/>
                <w:color w:val="auto"/>
                <w:sz w:val="22"/>
                <w:szCs w:val="22"/>
                <w:highlight w:val="none"/>
                <w:lang w:eastAsia="zh-CN"/>
              </w:rPr>
              <w:t xml:space="preserve">屏，i</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lang w:eastAsia="zh-CN"/>
              </w:rPr>
              <w:t xml:space="preserve">CPU，</w:t>
            </w:r>
            <w:r>
              <w:rPr>
                <w:rFonts w:hint="eastAsia" w:ascii="仿宋" w:hAnsi="仿宋" w:eastAsia="仿宋" w:cs="仿宋"/>
                <w:color w:val="auto"/>
                <w:sz w:val="22"/>
                <w:szCs w:val="22"/>
                <w:highlight w:val="none"/>
                <w:lang w:val="en-US" w:eastAsia="zh-CN"/>
              </w:rPr>
              <w:t xml:space="preserve">16</w:t>
            </w:r>
            <w:r>
              <w:rPr>
                <w:rFonts w:hint="eastAsia" w:ascii="仿宋" w:hAnsi="仿宋" w:eastAsia="仿宋" w:cs="仿宋"/>
                <w:color w:val="auto"/>
                <w:sz w:val="22"/>
                <w:szCs w:val="22"/>
                <w:highlight w:val="none"/>
                <w:lang w:eastAsia="zh-CN"/>
              </w:rPr>
              <w:t xml:space="preserve">g内存，12</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lang w:eastAsia="zh-CN"/>
              </w:rPr>
              <w:t xml:space="preserve">G固态硬盘</w:t>
            </w:r>
            <w:r/>
          </w:p>
          <w:p>
            <w:pPr>
              <w:ind w:left="0" w:right="0" w:firstLine="0"/>
              <w:jc w:val="left"/>
              <w:keepNext/>
              <w:widowControl/>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2.技术要求：</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（1）须满足国家《特种作业安全技术实际操作考试点设备配备标准（试行）》；</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（2）创伤包扎模拟人：真实的创伤包扎模拟人进行智能化改造；</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（3）软件：评分软件系统智能评分，支持考核成绩的自动汇总功能；</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（4）功能满足考试大纲考点要求，能够采集考生对模拟人的相关操作数据，对受伤部位进行包扎以及包扎方法等；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（5）支持危险化学品安全作业、金属非金属矿山作业、登高架设作业、高处安装、维护、拆除作业等作业现场应急处置的考核内容；</w:t>
            </w:r>
            <w:r/>
          </w:p>
        </w:tc>
      </w:tr>
      <w:tr>
        <w:trPr>
          <w:jc w:val="center"/>
          <w:trHeight w:val="0"/>
        </w:trPr>
        <w:tc>
          <w:tcPr>
            <w:shd w:val="clear" w:color="auto" w:fill="auto"/>
            <w:tcW w:w="356"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p>
        </w:tc>
        <w:tc>
          <w:tcPr>
            <w:shd w:val="clear" w:color="auto" w:fill="auto"/>
            <w:tcW w:w="432" w:type="pct"/>
            <w:vAlign w:val="center"/>
            <w:vMerge w:val="continue"/>
            <w:textDirection w:val="lrTb"/>
            <w:noWrap/>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78"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触电事故现场应急处置</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触电事故现场应急处置装置</w:t>
            </w:r>
            <w:r/>
          </w:p>
        </w:tc>
        <w:tc>
          <w:tcPr>
            <w:shd w:val="clear" w:color="auto" w:fill="auto"/>
            <w:tcW w:w="355"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p>
        </w:tc>
        <w:tc>
          <w:tcPr>
            <w:shd w:val="clear" w:color="auto" w:fill="auto"/>
            <w:tcW w:w="292"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16"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1.心肺复苏模拟操作系统，1套</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）工作电源：AC220V 50Hz</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）高级自动电脑心肺复苏模拟人：模拟人（</w:t>
            </w:r>
            <w:r>
              <w:rPr>
                <w:rFonts w:hint="eastAsia" w:ascii="仿宋" w:hAnsi="仿宋" w:eastAsia="仿宋" w:cs="仿宋"/>
                <w:color w:val="auto"/>
                <w:sz w:val="22"/>
                <w:szCs w:val="22"/>
                <w:highlight w:val="none"/>
                <w:lang w:val="en-US" w:eastAsia="zh-CN"/>
              </w:rPr>
              <w:t xml:space="preserve">1:1</w:t>
            </w:r>
            <w:r>
              <w:rPr>
                <w:rFonts w:hint="eastAsia" w:ascii="仿宋" w:hAnsi="仿宋" w:eastAsia="仿宋" w:cs="仿宋"/>
                <w:color w:val="auto"/>
                <w:sz w:val="22"/>
                <w:szCs w:val="22"/>
                <w:highlight w:val="none"/>
                <w:lang w:eastAsia="zh-CN"/>
              </w:rPr>
              <w:t xml:space="preserve">高逼真人体模型）+白色语音显示控制盒，模拟人上肢关节可自由活动。模拟标准气道开放显示。人工手位胸外按压指示灯显示、数码计数显示。</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2.触电与急救场景搭设：</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硬件需求：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需配备</w:t>
            </w:r>
            <w:r>
              <w:rPr>
                <w:rFonts w:hint="eastAsia" w:ascii="仿宋" w:hAnsi="仿宋" w:eastAsia="仿宋" w:cs="仿宋"/>
                <w:color w:val="auto"/>
                <w:sz w:val="22"/>
                <w:szCs w:val="22"/>
                <w:highlight w:val="none"/>
                <w:lang w:eastAsia="zh-CN"/>
              </w:rPr>
              <w:t xml:space="preserve">配电箱1个（</w:t>
            </w:r>
            <w:r>
              <w:rPr>
                <w:rFonts w:hint="eastAsia" w:ascii="仿宋" w:hAnsi="仿宋" w:eastAsia="仿宋" w:cs="仿宋"/>
                <w:color w:val="auto"/>
                <w:sz w:val="22"/>
                <w:szCs w:val="22"/>
                <w:highlight w:val="none"/>
                <w:lang w:val="en-US" w:eastAsia="zh-CN"/>
              </w:rPr>
              <w:t xml:space="preserve">常规钢板材质，大小可装的下全塑2-3回路、2P开关，</w:t>
            </w:r>
            <w:r>
              <w:rPr>
                <w:rFonts w:hint="eastAsia" w:ascii="仿宋" w:hAnsi="仿宋" w:eastAsia="仿宋" w:cs="仿宋"/>
                <w:color w:val="auto"/>
                <w:sz w:val="22"/>
                <w:szCs w:val="22"/>
                <w:highlight w:val="none"/>
                <w:lang w:eastAsia="zh-CN"/>
              </w:rPr>
              <w:t xml:space="preserve">电压：</w:t>
            </w:r>
            <w:r>
              <w:rPr>
                <w:rFonts w:hint="eastAsia" w:ascii="仿宋" w:hAnsi="仿宋" w:eastAsia="仿宋" w:cs="仿宋"/>
                <w:color w:val="auto"/>
                <w:sz w:val="22"/>
                <w:szCs w:val="22"/>
                <w:highlight w:val="none"/>
                <w:lang w:val="en-US" w:eastAsia="zh-CN"/>
              </w:rPr>
              <w:t xml:space="preserve">交流</w:t>
            </w:r>
            <w:r>
              <w:rPr>
                <w:rFonts w:hint="eastAsia" w:ascii="仿宋" w:hAnsi="仿宋" w:eastAsia="仿宋" w:cs="仿宋"/>
                <w:color w:val="auto"/>
                <w:sz w:val="22"/>
                <w:szCs w:val="22"/>
                <w:highlight w:val="none"/>
                <w:lang w:eastAsia="zh-CN"/>
              </w:rPr>
              <w:t xml:space="preserve">230/440V），明装全塑2-3回路、空气开关2P1个，圆木棒2根，干棒1根，湿木棒1根，直径≥15mm，长≥120cm；不锈钢圆管1根，直径≥22mm，长≥120cm</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挑杆架1台，落地漏电保护器1个，低压电线2根，高压架空电缆1根，个人安全用具（绝缘靴、绝缘手套）2套、改造电话机1台、绝缘夹钳2个，高压拉闸杆2根等组成。</w:t>
            </w:r>
            <w:r/>
          </w:p>
          <w:p>
            <w:pPr>
              <w:ind w:left="0" w:right="0" w:firstLine="0"/>
              <w:jc w:val="left"/>
              <w:keepNext/>
              <w:widowControl/>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3.技术要求：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通过低压电线杂乱缠绕于配电箱及地面、高压架空电缆模拟悬空漏电状态，搭配设备违规接线、安全用具随意摆放等场景布置，营造高低压触电现场环境。</w:t>
            </w:r>
            <w:r/>
          </w:p>
        </w:tc>
      </w:tr>
    </w:tbl>
    <w:p>
      <w:pPr>
        <w:rPr>
          <w:color w:val="auto"/>
          <w:highlight w:val="none"/>
        </w:rPr>
      </w:pPr>
      <w:r>
        <w:rPr>
          <w:color w:val="auto"/>
          <w:highlight w:val="none"/>
        </w:rPr>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（2）低压电工作业</w:t>
      </w:r>
      <w:bookmarkEnd w:id="10"/>
      <w:r/>
      <w:r/>
    </w:p>
    <w:tbl>
      <w:tblPr>
        <w:tblStyle w:val="10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742"/>
        <w:gridCol w:w="658"/>
        <w:gridCol w:w="474"/>
        <w:gridCol w:w="974"/>
        <w:gridCol w:w="599"/>
        <w:gridCol w:w="416"/>
        <w:gridCol w:w="4919"/>
      </w:tblGrid>
      <w:tr>
        <w:trPr>
          <w:jc w:val="center"/>
          <w:trHeight w:val="0"/>
          <w:tblHeader/>
        </w:trPr>
        <w:tc>
          <w:tcPr>
            <w:shd w:val="clear" w:color="auto" w:fill="auto"/>
            <w:tcW w:w="248"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shd w:val="clear" w:color="auto" w:fill="auto"/>
            <w:tcW w:w="401"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编号</w:t>
            </w:r>
            <w:r/>
          </w:p>
        </w:tc>
        <w:tc>
          <w:tcPr>
            <w:shd w:val="clear" w:color="auto" w:fill="auto"/>
            <w:tcW w:w="355"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名称</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设备/设施/器材</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单套数量</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单位</w:t>
            </w:r>
            <w:r/>
          </w:p>
        </w:tc>
        <w:tc>
          <w:tcPr>
            <w:shd w:val="clear" w:color="auto" w:fill="auto"/>
            <w:tcW w:w="2661"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标准要求</w:t>
            </w:r>
            <w:r/>
          </w:p>
        </w:tc>
      </w:tr>
      <w:tr>
        <w:trPr>
          <w:jc w:val="center"/>
          <w:trHeight w:val="0"/>
        </w:trPr>
        <w:tc>
          <w:tcPr>
            <w:shd w:val="clear" w:color="auto" w:fill="auto"/>
            <w:tcW w:w="248"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科目一</w:t>
            </w:r>
            <w:r/>
          </w:p>
        </w:tc>
        <w:tc>
          <w:tcPr>
            <w:shd w:val="clear" w:color="auto" w:fill="auto"/>
            <w:tcW w:w="401"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K11</w:t>
            </w:r>
            <w:r/>
          </w:p>
        </w:tc>
        <w:tc>
          <w:tcPr>
            <w:shd w:val="clear" w:color="auto" w:fill="auto"/>
            <w:tcW w:w="355" w:type="pct"/>
            <w:vAlign w:val="center"/>
            <w:vMerge w:val="restart"/>
            <w:textDirection w:val="lrTb"/>
            <w:noWrap w:val="false"/>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电力安全工器具与电工仪器仪表</w:t>
            </w:r>
            <w:r>
              <w:rPr>
                <w:rFonts w:hint="eastAsia" w:ascii="仿宋" w:hAnsi="仿宋" w:eastAsia="仿宋" w:cs="仿宋"/>
                <w:color w:val="auto"/>
                <w:sz w:val="22"/>
                <w:szCs w:val="22"/>
                <w:highlight w:val="none"/>
                <w:lang w:val="en-US" w:eastAsia="zh-CN"/>
              </w:rPr>
              <w:t xml:space="preserve">考培设备</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低压验电笔</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1.测量范围：测量范围≤500VAC。</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2.刀杆材料选用优质CR-V钢，全硬热处理，经久耐用。</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3.便携式笔夹设计，便于悬挂与携带，随时取用更方便。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4.氖泡式验电笔。</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5.符合现行标准《测量、控制和实验室用电气设备的安全要求第1部分：通用要求》(GB 4793.1)的有关要求。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携带型低压短路接地线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1.适用电压：0.4kV；接地棒长度：0.5m。</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2.棒材质：玻璃钢。</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3.符合现行标准《便携式接地和接地短路装置》(DL/T879)、《带电作业用空心绝缘管、泡沫填充绝缘管和实心绝缘棒》(GB13398)的有关要求。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绝缘凳</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1.类型：移动式绝缘凳</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2.材质：绝缘玻璃钢。</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3.符合现行标准《带电作业用绝缘硬梯》(GB/T17620)的有关要求。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绝缘梯</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1.尺寸：1.5M（误差±5%）。</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2.材质：绝缘玻璃钢。</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3.符合现行标准《带电作业用绝缘硬梯》(GB/T17620)的有关要求。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绝缘胶带</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卷</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1.材质：PVC</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2.电压等级：600V及以下</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绝缘手套</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1.适用电压：12kV，直板。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3.符合现行标准《带电作业用绝缘手套》(GB/T17622)的有关要求。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绝缘鞋</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1.适用电压：10kV。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2.材质：橡胶底/帆布鞋帮。</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3.符合现行标准《足部防护安全鞋》(GB21148)的有关要求。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1.颜色：黄色，国标加厚V-2型。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2.材质：ABS+PE+针织布。</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3.符合现行标准《头部防护安全帽》(GB2811)的有关要求。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防护眼镜</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1.颜色：透明色。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2.材质：PC聚碳酸酯。</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3.符合现行标准《眼面防护具通用技术规范》(GB14866)的有关要求。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安全绳</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661" w:type="pct"/>
            <w:vAlign w:val="center"/>
            <w:textDirection w:val="lrTb"/>
            <w:noWrap w:val="false"/>
          </w:tcPr>
          <w:p>
            <w:pPr>
              <w:numPr>
                <w:ilvl w:val="0"/>
                <w:numId w:val="0"/>
              </w:num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SA"/>
              </w:rPr>
              <w:t xml:space="preserve">1.</w:t>
            </w:r>
            <w:r>
              <w:rPr>
                <w:rFonts w:hint="eastAsia" w:ascii="仿宋" w:hAnsi="仿宋" w:eastAsia="仿宋" w:cs="仿宋"/>
                <w:color w:val="auto"/>
                <w:sz w:val="22"/>
                <w:szCs w:val="22"/>
                <w:highlight w:val="none"/>
                <w:lang w:eastAsia="zh-CN"/>
              </w:rPr>
              <w:t xml:space="preserve">直径：16mm（误差±5%）</w:t>
            </w:r>
            <w:r/>
          </w:p>
          <w:p>
            <w:pPr>
              <w:numPr>
                <w:ilvl w:val="0"/>
                <w:numId w:val="0"/>
              </w:num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lang w:val="en-US" w:eastAsia="zh-CN"/>
              </w:rPr>
              <w:t xml:space="preserve">长度：≥10米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.材质：丙纶。</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4.三层编织</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.符合现行标准《坠落防护安全绳》(GB24543)的有关要求。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围杆作业用安全带</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1.围杆式。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2.材质：高强度丙纶。</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3.长度≥2米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区域限制用安全带</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1.橘色单钩。</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3.度≥2米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坠落悬挂用安全带</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w:t>
            </w:r>
            <w:r>
              <w:rPr>
                <w:rFonts w:hint="eastAsia" w:ascii="仿宋" w:hAnsi="仿宋" w:eastAsia="仿宋" w:cs="仿宋"/>
                <w:color w:val="auto"/>
                <w:sz w:val="22"/>
                <w:szCs w:val="22"/>
                <w:highlight w:val="none"/>
                <w:lang w:val="en-US" w:eastAsia="zh-CN"/>
              </w:rPr>
              <w:t xml:space="preserve">Z-F阻燃五点式双大钩配缓冲</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脚扣</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1.产品规格：250型。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2.适用杆高：6-8m电线杆。</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3.材质：锰钢无缝钢管。</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4.符合现行标准《坠落防护登杆脚扣》(AQ6109)的有关要求。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登高板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1.使用范围：电力、电信高空作业。</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2.材质：编织绳+实木</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3.绳子直径≥16mm，绳长≥1.8m；</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4.板≥630*25*25mm，可承受重量≥200KG。</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电杆</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1.符合《环形混凝土电杆》（GB/T4623）国家标准。</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2.尺寸参数：高度按照现场实际情况而定，</w:t>
            </w:r>
            <w:r>
              <w:rPr>
                <w:rFonts w:hint="eastAsia" w:ascii="仿宋" w:hAnsi="仿宋" w:eastAsia="仿宋" w:cs="仿宋"/>
                <w:color w:val="auto"/>
                <w:sz w:val="22"/>
                <w:szCs w:val="22"/>
                <w:highlight w:val="none"/>
                <w:lang w:val="en-US" w:eastAsia="zh-CN"/>
              </w:rPr>
              <w:t xml:space="preserve">电杆地面往上至少4.5m，并且保证安装可靠牢固，无安全隐患</w:t>
            </w:r>
            <w:r>
              <w:rPr>
                <w:rFonts w:hint="eastAsia" w:ascii="仿宋" w:hAnsi="仿宋" w:eastAsia="仿宋" w:cs="仿宋"/>
                <w:color w:val="auto"/>
                <w:sz w:val="22"/>
                <w:szCs w:val="22"/>
                <w:highlight w:val="none"/>
                <w:lang w:eastAsia="zh-CN"/>
              </w:rPr>
              <w:t xml:space="preserve">。</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工具袋</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1.材质：帆布</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电工通用工具</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包含：锯子、批头*10、手电筒、美工刀、电工胶布、套筒（5-13）、十字螺丝刀、一字螺丝刀、棘轮手柄、零件盒、精密螺丝批、活动扳手、羊角锤、水泵钳、内六角（1.5-6）、数显电笔、3M卷尺、剪刀、钢丝钳、尖嘴钳、剥线钳。</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指针式万用表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1.直流电流：0.05mA/0.5mA/5mA/50mA/500mA/10A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2.直流电压：0.25V/1V/2.5V/10V/50V/250V/500V/1000V/2500V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3.交流电压：10V/50V/250V/500V/1000V/2500V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4.直流电阻：R*1/R*10/R*100/R*lk/R*l0k</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数字式万用表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1.直流电压：100uV～1000V。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2.交流电压：1mV～750V。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3.直流电流：0.1uA～20A。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4.交流电流：10uA～20A。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5.电阻：0.1Ω～20MΩ。</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数字式钳形电流表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1.直流电压：600mV/6V/60V/600V。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2.交流电压：6V/60V/600V。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3.直流电流：60A/600A。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4.交流电流：60A/600A。</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指针式钳型电流表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1.交流电流：0～500A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2.交流电压：0～500V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3.直流电压：0～500V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4.直流电流：0～100mA</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500V指针式兆欧表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1.额定电压：500V，允差±10%.</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2.测量范围0-500MΩ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3.准确度10级</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1000V指针式兆欧表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1.额定电压：1000V，允差±10%</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2.测量范围0-1000MΩ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3.准确度10级</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数字式兆欧表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1.输出电压：100V/250V/500V/1000V，0～10%。</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.短路电流，&lt;2mA。</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数字式或指针式接地电阻测试仪</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1.测量范围0-1000Ω。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2.准确度3</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3.使用温湿度：温度(-20--40)℃；相对湿度≤80%</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漏电保护器测试仪</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1.测试电流：5～1000mA分12档</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2.动作时间：0.001s～1.000s</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3.可用漏保：220V/380V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4.测试模式：手动/自动双模式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5.电池：7号干电池 4节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电阻箱</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1.阻值可调范围:0～99999.9Ω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2.尺寸:165*125*65mm（误差±5%）</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C型漏电保护器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1.类型：C型。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2.极数：4P。</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3.额定电压：400V。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4.额定电流：32A。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5.功能：过载、短路、漏电保护。</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D型漏电保护器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1.类型：D型。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2.极数：4P。</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3.额定电流：32A。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4.功能：过载、短路、漏电保护。</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restart"/>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干扰项</w:t>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低压验电笔</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无法正常使用的。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携带型低压短路接地线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缺少附件的。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非标的、过期的、缺少附件的、轻微损坏的。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安全带</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非标的、过期的、缺少附件的、轻微损坏的。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脚扣</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无法正常使用的。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登高板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无法正常使用的。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绝缘手套</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过期的、损坏的。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绝缘鞋</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过期的、损坏的。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万用表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分别为外表无明显破损，未定期进行计量检定的和不能正常使用的。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钳形电流表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分别为外表无明显破损，未定期进行计量检定的和不能正常使用的。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兆欧表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分别为外表无明显破损，未定期进行计量检定的和不能正常使用的。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接地电阻测试仪</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分别为外表无明显破损，未定期进行计量检定的和不能正常使用的。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漏电保护器测试仪</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分别为外表无明显破损，未定期进行计量检定的和不能正常使用的。</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安全工器具存放柜</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1.尺寸：200*80*45CM（±50mm）</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2.材质：优质冷轧钢板</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仪器仪表测试台</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设备要求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）尺寸应≤1200×890×1250mm（±50mm）；（</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）输入电压应 380VAC±10%，部分输出应设 24V 安全电压；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）功率应≤2500W；</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）主体应采用经静电喷塑工艺处理的金属框架，具备防腐蚀、防锈蚀特性；</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）台面应选用防滑绝缘材质，表面粗糙度应应符合 GB/T1031-2009 标准。</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设备功能要求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）应符合《通用用电设备配电设计规范》(GB50055)、《低压配电设计规范》(GB50054) 现行标准要求；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）应满足《安全生产考试机构和考试点管理规定》（应急〔2025〕41 号）要求，全部应采用实物化仪器仪表测量真实应用场景；</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）应通过真实电气元件搭建不同测量电路，功能区应包括交直流电压测量区、电阻测试区、交流电流测量区、接地电阻测量区、绝缘电阻测量区及漏电保护测试区等；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）应具备综合类测量、绝缘电阻测量、接地电阻测量及漏电保护测量功能。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.智能考核系统要求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）应具备仪器仪表选择识别功能，系统支持仪器仪表识别，支持扩展仪表测量台和安全用具选择自动切换或同时验证；考生从仪器仪表摆放架选取设备后，自动验证设备选择的正确性。</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）应具备随机出题功能，系统具备随机生成测量任务的功能，任务中的电阻、电压、电流等测量值支持制定和随机两种模式。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）摇表故障模拟功能需支持精准控制与随机设定两种模式。</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1.材质：钢</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2.安装方式：卡扣连接</w:t>
            </w:r>
            <w:r/>
          </w:p>
          <w:p>
            <w:pPr>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3层</w:t>
            </w:r>
            <w:r/>
          </w:p>
          <w:p>
            <w:pPr>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4.尺寸</w:t>
            </w:r>
            <w:r>
              <w:rPr>
                <w:rFonts w:hint="eastAsia" w:ascii="仿宋" w:hAnsi="仿宋" w:eastAsia="仿宋" w:cs="仿宋"/>
                <w:color w:val="auto"/>
                <w:sz w:val="22"/>
                <w:szCs w:val="22"/>
                <w:highlight w:val="none"/>
                <w:lang w:eastAsia="zh-CN"/>
              </w:rPr>
              <w:t xml:space="preserve">≥80*40*200</w:t>
            </w:r>
            <w:r>
              <w:rPr>
                <w:rFonts w:hint="eastAsia" w:ascii="仿宋" w:hAnsi="仿宋" w:eastAsia="仿宋" w:cs="仿宋"/>
                <w:color w:val="auto"/>
                <w:sz w:val="22"/>
                <w:szCs w:val="22"/>
                <w:highlight w:val="none"/>
                <w:lang w:val="en-US" w:eastAsia="zh-CN"/>
              </w:rPr>
              <w:t xml:space="preserve">cm</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电气安全标志考核装置</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设备要求</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）整体尺寸≤2300*770*1850mmmm（±50mm），适配常规考核场地空间布局，保障设备部署灵活性与空间兼容性。</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）电源参数：功率≥30W，待机功率≥2.5W；工作电压兼容 110～220V、50/60Hz。</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）材质要求：主体采用经静电喷塑工艺处理的金属框架。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功能要求</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）显示屏模块：考生触摸安全标志灯箱触发答题，系统需实时关联三维作业场景，实现 “实物操作+场景化考核”。</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）标志牌灯箱模块：按 GB/T29481 标准布置四类标志（禁止≥9 个、指令≥8 个、警告≥9 个、提示≥6 个）。</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）设备支持场景交互式考核：场景需至少支持工厂配电房、居民区配电房、变电站、户外检修作业场景的交互式考核。</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速差自控器(防坠器)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1.材质：铝合金内壳+聚丙烯外壳+钢丝绳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2.尺寸：3m（误差±5%）。</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3.符合现行标准《坠落防护速差自控器》(GB24544)的有关要求。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安全防护垫</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1.厚度：≥30cm。</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2.材质：帆布+高密度海绵垫。</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rPr>
                <w:rFonts w:hint="eastAsia" w:ascii="仿宋" w:hAnsi="仿宋" w:eastAsia="仿宋" w:cs="仿宋"/>
                <w:color w:val="auto"/>
                <w:sz w:val="22"/>
                <w:szCs w:val="22"/>
                <w:highlight w:val="none"/>
                <w:lang w:val="en-US" w:eastAsia="zh-CN"/>
              </w:rPr>
              <w:t xml:space="preserve">展示用</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jc w:val="center"/>
          <w:trHeight w:val="0"/>
        </w:trPr>
        <w:tc>
          <w:tcPr>
            <w:shd w:val="clear" w:color="auto" w:fill="auto"/>
            <w:tcW w:w="248"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科目二</w:t>
            </w:r>
            <w:r/>
          </w:p>
        </w:tc>
        <w:tc>
          <w:tcPr>
            <w:shd w:val="clear" w:color="auto" w:fill="auto"/>
            <w:tcW w:w="401"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K21</w:t>
            </w:r>
            <w:r/>
          </w:p>
        </w:tc>
        <w:tc>
          <w:tcPr>
            <w:shd w:val="clear" w:color="auto" w:fill="auto"/>
            <w:tcW w:w="355" w:type="pct"/>
            <w:vAlign w:val="center"/>
            <w:textDirection w:val="lrTb"/>
            <w:noWrap w:val="false"/>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作业现场安全隐患排除</w:t>
            </w:r>
            <w:r>
              <w:rPr>
                <w:rFonts w:hint="eastAsia" w:ascii="仿宋" w:hAnsi="仿宋" w:eastAsia="仿宋" w:cs="仿宋"/>
                <w:color w:val="auto"/>
                <w:sz w:val="22"/>
                <w:szCs w:val="22"/>
                <w:highlight w:val="none"/>
                <w:lang w:val="en-US" w:eastAsia="zh-CN"/>
              </w:rPr>
              <w:t xml:space="preserve">考培设备</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作业现场安全隐患排除</w:t>
            </w:r>
            <w:r>
              <w:rPr>
                <w:rFonts w:ascii="仿宋" w:hAnsi="仿宋" w:eastAsia="仿宋" w:cs="仿宋"/>
                <w:color w:val="auto"/>
                <w:sz w:val="22"/>
                <w:szCs w:val="22"/>
                <w:highlight w:val="none"/>
              </w:rPr>
              <w:t xml:space="preserve">场景</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1.场景内容：辨识移动电动工具使用风险隐患；辨识电工登杆作业风险隐患；辨识临时用电风险隐患</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2.配备设备：照明、动力开关箱；电杆；假人；电工工具；安全工器具等</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3.模拟作业现场安全隐患排除场景</w:t>
            </w:r>
            <w:r/>
          </w:p>
        </w:tc>
      </w:tr>
      <w:tr>
        <w:trPr>
          <w:jc w:val="center"/>
          <w:trHeight w:val="0"/>
        </w:trPr>
        <w:tc>
          <w:tcPr>
            <w:shd w:val="clear" w:color="auto" w:fill="auto"/>
            <w:tcW w:w="248"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科目三</w:t>
            </w:r>
            <w:r/>
          </w:p>
        </w:tc>
        <w:tc>
          <w:tcPr>
            <w:shd w:val="clear" w:color="auto" w:fill="auto"/>
            <w:tcW w:w="401"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K31</w:t>
            </w:r>
            <w:r/>
          </w:p>
        </w:tc>
        <w:tc>
          <w:tcPr>
            <w:shd w:val="clear" w:color="auto" w:fill="auto"/>
            <w:tcW w:w="355" w:type="pct"/>
            <w:vAlign w:val="center"/>
            <w:vMerge w:val="restart"/>
            <w:textDirection w:val="lrTb"/>
            <w:noWrap w:val="false"/>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电气设备安装</w:t>
            </w:r>
            <w:r>
              <w:rPr>
                <w:rFonts w:hint="eastAsia" w:ascii="仿宋" w:hAnsi="仿宋" w:eastAsia="仿宋" w:cs="仿宋"/>
                <w:color w:val="auto"/>
                <w:sz w:val="22"/>
                <w:szCs w:val="22"/>
                <w:highlight w:val="none"/>
                <w:lang w:val="en-US" w:eastAsia="zh-CN"/>
              </w:rPr>
              <w:t xml:space="preserve">考培设备</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电路图</w:t>
            </w:r>
            <w:r/>
          </w:p>
        </w:tc>
        <w:tc>
          <w:tcPr>
            <w:shd w:val="clear" w:color="auto" w:fill="auto"/>
            <w:tcW w:w="324" w:type="pct"/>
            <w:vAlign w:val="center"/>
            <w:vMerge w:val="restart"/>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W w:w="225"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1.考核用电路图，</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2.电路图包含：</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（1）低压配电箱安装接线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（2）单相电能表带照明设备的接线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（3）三相异步电动机单向连续运转电路接线（带点动控制）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（4）带熔断器（断路器）、仪表、电流互感器的三相异步电动机电路的接线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（5）三相异步电动机正反转运行电路的接线</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单相电能表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1.类型：单相电子式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2.电压：</w:t>
            </w:r>
            <w:r>
              <w:rPr>
                <w:rFonts w:hint="eastAsia" w:ascii="仿宋" w:hAnsi="仿宋" w:eastAsia="仿宋" w:cs="仿宋"/>
                <w:color w:val="auto"/>
                <w:sz w:val="22"/>
                <w:szCs w:val="22"/>
                <w:highlight w:val="none"/>
                <w:lang w:val="en-US" w:eastAsia="zh-CN"/>
              </w:rPr>
              <w:t xml:space="preserve">交流</w:t>
            </w:r>
            <w:r>
              <w:rPr>
                <w:rFonts w:hint="eastAsia" w:ascii="仿宋" w:hAnsi="仿宋" w:eastAsia="仿宋" w:cs="仿宋"/>
                <w:color w:val="auto"/>
                <w:sz w:val="22"/>
                <w:szCs w:val="22"/>
                <w:highlight w:val="none"/>
                <w:lang w:eastAsia="zh-CN"/>
              </w:rPr>
              <w:t xml:space="preserve">220V。</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三相四线电能表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1.类型：三相电子式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2.符合现行标准《电测量设备》(GB/T17215)相应部分的要求。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1.类型：指针式电流表</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2.符合现行标准《直接作用模拟指示电测量仪表及其附件》(GB/T7676)相应部分的要求。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电涌保护器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1.最大放电电流：20kA。极数：1P。</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2.类型：导轨式安装。</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3.符合现行标准《低压电涌保护器(SPD)第11部分：低压电源系统的电涌保护器性能要求和试验方法》(GB/T18802.11)的有关要求。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熔断器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1.类型：导轨式安装。</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2.RT18系列，3A。</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断路器(带漏电保护器)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1.类型：C型。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2.电流：16A。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3.安装方式：导轨式。</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4.符合现行标准《低压开关设备和控制设备》(GB/T14048)相应部分的要求，或符合低压开关设备和控制设备相关的其他国家标准。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1.类型：C型。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2.电流：16A。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3.安装方式：导轨式。</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4.符合现行标准《低压开关设备和控制设备》(GB/T14048)相应部分的要求，或符合低压开关设备和控制设备相关的其他国家标准。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剩余电流动作保护器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1.安装方式：导轨式。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2.C型，额定电流16A。</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交流接触器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1.线圈电压类型：交流</w:t>
            </w:r>
            <w:r>
              <w:rPr>
                <w:rFonts w:hint="eastAsia" w:ascii="仿宋" w:hAnsi="仿宋" w:eastAsia="仿宋" w:cs="仿宋"/>
                <w:color w:val="auto"/>
                <w:sz w:val="22"/>
                <w:szCs w:val="22"/>
                <w:highlight w:val="none"/>
                <w:lang w:val="en-US" w:eastAsia="zh-CN"/>
              </w:rPr>
              <w:t xml:space="preserve">380V或220V</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2.两常开两常闭。</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热继电器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1.额定绝缘电压：690V。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电流互感器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1.类型：三相电流互感器</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按钮开关</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1.类型：自复位按钮。</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2.符合现行标准《低压l开关设备和控制设备》(GB/T14048)相应部分的要求，或符合低压开关设备和控制设备相关的其他国家标准。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万能转换开关</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1.类型：万能转换开关。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三档旋钮开关</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1.类型：3档开关。</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2.符合现行标准《低压开关设备和控制设备》(GB/T14048)相应部分的要求，或符合低压开关设备和控制设备相关的其他国家标准。</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五孔插座</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1.类型：86型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2.材质：PC</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双控开关</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1.类型：86型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2.材质：PC</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单控开关</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1.类型：86型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2.材质：PC</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三相异步电动机</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1.电压：380V。功率：180W不带端子。</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2.转速：≥1400转/分钟。</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灯具</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1.电压：220V。</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配电箱</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1.类型：明装24回路。</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电气设备固定背板</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1.背板尺寸：电气设备固定背板的外形尺寸（长*宽）需满足≤700*600mm，以适配各类电气设备的安装空间需求，确保安装过程的便捷性与兼容性。</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2.材质：采用金属材质制作，该材质应具备良好的强度与刚性，能够有效承载电气设备的重量，并在长期使用过程中抵抗外力冲击与变形，保证设备安装的稳定性与可靠性。</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w:t>
            </w:r>
            <w:r/>
          </w:p>
        </w:tc>
        <w:tc>
          <w:tcPr>
            <w:shd w:val="clear" w:color="auto" w:fill="auto"/>
            <w:tcW w:w="324" w:type="pct"/>
            <w:vAlign w:val="center"/>
            <w:vMerge w:val="restart"/>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W w:w="225"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单股、多股等各种颜色与多种规格线径</w:t>
            </w:r>
            <w:r>
              <w:rPr>
                <w:rFonts w:hint="eastAsia" w:ascii="仿宋" w:hAnsi="仿宋" w:eastAsia="仿宋" w:cs="仿宋"/>
                <w:color w:val="auto"/>
                <w:sz w:val="22"/>
                <w:szCs w:val="22"/>
                <w:highlight w:val="none"/>
                <w:lang w:val="en-US" w:eastAsia="zh-CN"/>
              </w:rPr>
              <w:t xml:space="preserve">国标铜芯</w:t>
            </w:r>
            <w:r>
              <w:rPr>
                <w:rFonts w:hint="eastAsia" w:ascii="仿宋" w:hAnsi="仿宋" w:eastAsia="仿宋" w:cs="仿宋"/>
                <w:color w:val="auto"/>
                <w:sz w:val="22"/>
                <w:szCs w:val="22"/>
                <w:highlight w:val="none"/>
                <w:lang w:eastAsia="zh-CN"/>
              </w:rPr>
              <w:t xml:space="preserve">导线（</w:t>
            </w:r>
            <w:r>
              <w:rPr>
                <w:rFonts w:hint="eastAsia" w:ascii="仿宋" w:hAnsi="仿宋" w:eastAsia="仿宋" w:cs="仿宋"/>
                <w:color w:val="auto"/>
                <w:sz w:val="22"/>
                <w:szCs w:val="22"/>
                <w:highlight w:val="none"/>
                <w:lang w:val="en-US" w:eastAsia="zh-CN"/>
              </w:rPr>
              <w:t xml:space="preserve">各2卷</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BV1mm²国标蓝色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BV2.5mm²国标蓝色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BV4mm²国标蓝色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BV6mm²国标蓝色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BV1.5mm²单芯硬线红色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BV1.5mm²单芯硬线黄色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BV1.5mm²单芯硬线黄绿</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BV1.5mm²单芯硬线黑色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BV1.5mm²单芯硬线绿色</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接线端子</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1.材质：黄铜镀锌。</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线芯压接工具及模具</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1.材质：高碳钢</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2.压接范围：1.25-8mm²</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导线连接器</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1.材质：铜</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搪锡设备及焊锡丝</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搪锡设备：</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1.电压:220V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2.特点：温度可调</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焊锡丝：</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1.直径：1mm</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连接管</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1.1-16平方</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2.材质：铜</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绝缘胶带</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1.材质：PVC</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2.电压等级：600V及以下</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接线工具</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剥线钳、老虎钳、尖嘴钳、工具刀、一字螺丝刀、十字螺丝刀。</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电气设备安装实操装置</w:t>
            </w:r>
            <w:r/>
          </w:p>
        </w:tc>
        <w:tc>
          <w:tcPr>
            <w:shd w:val="clear" w:color="auto" w:fill="auto"/>
            <w:tcW w:w="324"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5"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设备</w:t>
            </w:r>
            <w:r>
              <w:rPr>
                <w:rFonts w:hint="eastAsia" w:ascii="仿宋" w:hAnsi="仿宋" w:eastAsia="仿宋" w:cs="仿宋"/>
                <w:color w:val="auto"/>
                <w:sz w:val="22"/>
                <w:szCs w:val="22"/>
                <w:highlight w:val="none"/>
                <w:lang w:val="en-US" w:eastAsia="zh-CN"/>
              </w:rPr>
              <w:t xml:space="preserve">基本</w:t>
            </w:r>
            <w:r>
              <w:rPr>
                <w:rFonts w:hint="eastAsia" w:ascii="仿宋" w:hAnsi="仿宋" w:eastAsia="仿宋" w:cs="仿宋"/>
                <w:color w:val="auto"/>
                <w:sz w:val="22"/>
                <w:szCs w:val="22"/>
                <w:highlight w:val="none"/>
                <w:lang w:eastAsia="zh-CN"/>
              </w:rPr>
              <w:t xml:space="preserve">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）设备尺寸≤1</w:t>
            </w:r>
            <w:r>
              <w:rPr>
                <w:rFonts w:hint="eastAsia" w:ascii="仿宋" w:hAnsi="仿宋" w:eastAsia="仿宋" w:cs="仿宋"/>
                <w:color w:val="auto"/>
                <w:sz w:val="22"/>
                <w:szCs w:val="22"/>
                <w:highlight w:val="none"/>
                <w:lang w:val="en-US" w:eastAsia="zh-CN"/>
              </w:rPr>
              <w:t xml:space="preserve">350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540</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1800</w:t>
            </w:r>
            <w:r>
              <w:rPr>
                <w:rFonts w:hint="eastAsia" w:ascii="仿宋" w:hAnsi="仿宋" w:eastAsia="仿宋" w:cs="仿宋"/>
                <w:color w:val="auto"/>
                <w:sz w:val="22"/>
                <w:szCs w:val="22"/>
                <w:highlight w:val="none"/>
                <w:lang w:eastAsia="zh-CN"/>
              </w:rPr>
              <w:t xml:space="preserve">mm（±50mm），紧凑合理，适配低压电工考核场地布局，满足标准化陈列对空间的要求，便于多台设备有序摆放。</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）主体材质采用优质冷轧钢板一体化钣金成型工艺，兼具坚固耐用性与轻量化特点，保障设备结构强度，同时便于搬运、移动，适配不同考核场地灵活布置。</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（3）电气规格要求：</w:t>
            </w:r>
            <w:r>
              <w:rPr>
                <w:rFonts w:hint="eastAsia" w:ascii="仿宋" w:hAnsi="仿宋" w:eastAsia="仿宋" w:cs="仿宋"/>
                <w:color w:val="auto"/>
                <w:sz w:val="22"/>
                <w:szCs w:val="22"/>
                <w:highlight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功能要求：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）网孔板应作为实操线路接线标准化载体，支持考生自主完成元器件选型、安装与接线操作。</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（3）应实现实操考试试题的规范化管理，人工评分与智能评分应相结合，确保实操考试的公正性、严肃性、合理性。应对实操考试过程中的数据进行有效存储、分析和管理，保证考试数据的完整性和可追溯性。</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支持时间管理：</w:t>
            </w:r>
            <w:r>
              <w:rPr>
                <w:rFonts w:hint="eastAsia" w:ascii="仿宋" w:hAnsi="仿宋" w:eastAsia="仿宋" w:cs="仿宋"/>
                <w:color w:val="auto"/>
                <w:sz w:val="22"/>
                <w:szCs w:val="22"/>
                <w:highlight w:val="none"/>
                <w:lang w:val="en-US" w:eastAsia="zh-CN"/>
              </w:rPr>
              <w:t xml:space="preserve">考试信息LED显示</w:t>
            </w:r>
            <w:r>
              <w:rPr>
                <w:rFonts w:hint="eastAsia" w:ascii="仿宋" w:hAnsi="仿宋" w:eastAsia="仿宋" w:cs="仿宋"/>
                <w:color w:val="auto"/>
                <w:sz w:val="22"/>
                <w:szCs w:val="22"/>
                <w:highlight w:val="none"/>
                <w:lang w:eastAsia="zh-CN"/>
              </w:rPr>
              <w:t xml:space="preserve">屏幕实时显示考核倒计时，精准控制考试时长，确保考核时间维度的公正性。</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（5）应实现实操过程中考生不需要操作软件，实现全程无感识别，更加符合实际作业情况。</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搭载智能考核系统，</w:t>
            </w:r>
            <w:r>
              <w:rPr>
                <w:rFonts w:hint="eastAsia" w:ascii="仿宋" w:hAnsi="仿宋" w:eastAsia="仿宋" w:cs="仿宋"/>
                <w:color w:val="auto"/>
                <w:sz w:val="22"/>
                <w:szCs w:val="22"/>
                <w:highlight w:val="none"/>
                <w:lang w:val="en-US" w:eastAsia="zh-CN"/>
              </w:rPr>
              <w:t xml:space="preserve">系统支持</w:t>
            </w:r>
            <w:r>
              <w:rPr>
                <w:rFonts w:hint="eastAsia" w:ascii="仿宋" w:hAnsi="仿宋" w:eastAsia="仿宋" w:cs="仿宋"/>
                <w:color w:val="auto"/>
                <w:sz w:val="22"/>
                <w:szCs w:val="22"/>
                <w:highlight w:val="none"/>
                <w:lang w:eastAsia="zh-CN"/>
              </w:rPr>
              <w:t xml:space="preserve">随机抽题组卷、考题电路图高清展示等功能，通过可视化交互界面，构建管控于一体的信息化考核平台。</w:t>
            </w:r>
            <w:r>
              <w:rPr>
                <w:rFonts w:hint="eastAsia" w:ascii="仿宋" w:hAnsi="仿宋" w:eastAsia="仿宋" w:cs="仿宋"/>
                <w:color w:val="auto"/>
                <w:sz w:val="22"/>
                <w:szCs w:val="22"/>
                <w:highlight w:val="none"/>
                <w:lang w:val="en-US" w:eastAsia="zh-CN"/>
              </w:rPr>
              <w:br/>
            </w:r>
            <w:r>
              <w:rPr>
                <w:rFonts w:hint="eastAsia" w:ascii="仿宋" w:hAnsi="仿宋" w:eastAsia="仿宋" w:cs="仿宋"/>
                <w:color w:val="auto"/>
                <w:sz w:val="22"/>
                <w:szCs w:val="22"/>
                <w:highlight w:val="none"/>
                <w:lang w:val="en-US" w:eastAsia="zh-CN"/>
              </w:rPr>
              <w:t xml:space="preserve">（7）设备</w:t>
            </w:r>
            <w:r>
              <w:rPr>
                <w:rFonts w:hint="eastAsia" w:ascii="仿宋" w:hAnsi="仿宋" w:eastAsia="仿宋" w:cs="仿宋"/>
                <w:color w:val="auto"/>
                <w:sz w:val="22"/>
                <w:szCs w:val="22"/>
                <w:highlight w:val="none"/>
                <w:lang w:eastAsia="zh-CN"/>
              </w:rPr>
              <w:t xml:space="preserve">有醒目指示灯提醒功能：提醒工位空闲、工位在用、考试终止（中断）情况。</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324"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1.材质：钢</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2.安装方式：卡扣连接</w:t>
            </w:r>
            <w:r/>
          </w:p>
          <w:p>
            <w:pPr>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4.尺寸</w:t>
            </w:r>
            <w:r>
              <w:rPr>
                <w:rFonts w:hint="eastAsia" w:ascii="仿宋" w:hAnsi="仿宋" w:eastAsia="仿宋" w:cs="仿宋"/>
                <w:color w:val="auto"/>
                <w:sz w:val="22"/>
                <w:szCs w:val="22"/>
                <w:highlight w:val="none"/>
                <w:lang w:eastAsia="zh-CN"/>
              </w:rPr>
              <w:t xml:space="preserve">≥80*40*200</w:t>
            </w:r>
            <w:r>
              <w:rPr>
                <w:rFonts w:hint="eastAsia" w:ascii="仿宋" w:hAnsi="仿宋" w:eastAsia="仿宋" w:cs="仿宋"/>
                <w:color w:val="auto"/>
                <w:sz w:val="22"/>
                <w:szCs w:val="22"/>
                <w:highlight w:val="none"/>
                <w:lang w:val="en-US" w:eastAsia="zh-CN"/>
              </w:rPr>
              <w:t xml:space="preserve">cm</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pStyle w:val="1019"/>
              <w:ind w:left="0" w:right="0" w:firstLine="0"/>
              <w:jc w:val="center"/>
              <w:keepNext/>
              <w:spacing w:beforeAutospacing="0" w:afterAutospacing="0"/>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324"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1.配备禁止、警告、指令、提示等四类安全标志。</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2.符合现行标准《安全标志及其使用导则》(GB2894)的有关要求。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324"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3.尺寸根据</w:t>
            </w:r>
            <w:r>
              <w:rPr>
                <w:rFonts w:hint="eastAsia" w:ascii="仿宋" w:hAnsi="仿宋" w:eastAsia="仿宋" w:cs="仿宋"/>
                <w:color w:val="auto"/>
                <w:sz w:val="22"/>
                <w:szCs w:val="22"/>
                <w:highlight w:val="none"/>
              </w:rPr>
              <w:t xml:space="preserve">电气设备安装实操装置</w:t>
            </w:r>
            <w:r>
              <w:rPr>
                <w:rFonts w:hint="eastAsia" w:ascii="仿宋" w:hAnsi="仿宋" w:eastAsia="仿宋" w:cs="仿宋"/>
                <w:color w:val="auto"/>
                <w:sz w:val="22"/>
                <w:szCs w:val="22"/>
                <w:highlight w:val="none"/>
                <w:lang w:val="en-US" w:eastAsia="zh-CN"/>
              </w:rPr>
              <w:t xml:space="preserve">尺寸进行铺设</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4.绝缘等级≥6kv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jc w:val="center"/>
          <w:trHeight w:val="0"/>
        </w:trPr>
        <w:tc>
          <w:tcPr>
            <w:shd w:val="clear" w:color="auto" w:fill="auto"/>
            <w:tcW w:w="248" w:type="pct"/>
            <w:vAlign w:val="center"/>
            <w:vMerge w:val="restart"/>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K32</w:t>
            </w:r>
            <w:r/>
          </w:p>
        </w:tc>
        <w:tc>
          <w:tcPr>
            <w:shd w:val="clear" w:color="auto" w:fill="auto"/>
            <w:tcW w:w="355" w:type="pct"/>
            <w:vAlign w:val="center"/>
            <w:vMerge w:val="restart"/>
            <w:textDirection w:val="lrTb"/>
            <w:noWrap w:val="false"/>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低压开关柜</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进线柜</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额定参数</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）额定工作电压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主电路：≥400V；辅助电路：交流：220V~380V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）额定绝缘电压：主电路额定绝缘电压为690V。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）额定频率：50Hz</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）额定电流：水平母线额定工作电流≥1000A；垂直母线额定工作电流≥1000A</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装置内母线额定短时耐受电流为50KA（1S）；装置内母线额定峰值耐受电流≥105KA（0.1S）</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框架结构</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）装置外壳的防护等级IP40。</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）装置的外形尺寸为：≥2200mm*800mm*800mm（±20mm）</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）内部功能单元采用金属隔板分隔，各功能单元能抽出检修、相同规格的单元能实现互换使用，断路器和塑壳开关、隔离开关都能在柜外操作。</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产品配置</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）进线柜内主要材料：</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包含：低压抽出式框架断路器；电流互感器；电压表和电流表若干；镀锡铝排；母线夹。</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）出线柜内主要材料：</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包含：塑壳断路器；电流互感器；电流表；导电母线；母线夹；一次接线端子；绝缘导线；操作结构。</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）补偿柜内主要材料：</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包含：隔离开关；电流互感器；无功补偿控制器；电流表；功率因数表；电压表；熔断器；交流接触器；热继电器；电力电容器；避雷器；镀锡铝排；母线夹；绝缘导线。</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出线柜</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vMerge w:val="continue"/>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r>
      <w:tr>
        <w:trPr>
          <w:jc w:val="center"/>
          <w:trHeight w:val="1713"/>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补偿柜</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vMerge w:val="continue"/>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考评员移动评分系统</w:t>
            </w:r>
            <w:r/>
          </w:p>
        </w:tc>
        <w:tc>
          <w:tcPr>
            <w:shd w:val="clear" w:color="auto" w:fill="auto"/>
            <w:tcW w:w="324"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硬件设备</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）屏幕尺寸：≥10.1英寸</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）触摸寿命：≥单点触摸5000万次</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）内置系统：基于android13及以上安卓系统或同等功能国产系统，内存≥6G+硬盘≥128G</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）摄像头：前置：≥800万像素、后置：≥800万像素摄像头。</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系统功能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）须满足国家《安全生产考试机构和考试点管理规定》（应急〔2025〕41号）；</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）系统具备以下功能：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考评员登录认证功能，支持账号密码登录与人脸识别登录；</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考生信息确认功能，支持准考证号/身份证号/扫码登录，系统自动推送考生的姓名、准考证号、考试子科目等信息；</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考试题目抽取功能：支持随机抽取考题组卷；</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考评员在线评分功能：支持自行配置评分项和否定项；</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考试过程拍照功能：支持上传照片和视频；</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考试评分提醒功能；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lang w:eastAsia="zh-CN"/>
              </w:rPr>
              <w:t xml:space="preserve">考试成绩单生成功能；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lang w:eastAsia="zh-CN"/>
              </w:rPr>
              <w:t xml:space="preserve">成绩查询功能；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lang w:eastAsia="zh-CN"/>
              </w:rPr>
              <w:t xml:space="preserve">评分记录查询功能。</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接线模拟图板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面</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低压接线模拟图板要求：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1.接线模拟图板需含：电源指示，报警指示灯，带电指示灯，模拟低压开关旋扭，一次接线图。</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2.功能要求：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模拟操作低压开关柜之间关系动作，反应出工作状态。当操作程序错误时，会发出报警声，以提示操作有误。</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接地干线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1.用于低压开关柜接地</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1.材质：玻璃钢绝缘、底座橡胶底座。</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1.配备禁止、警告、指令、提示等四类安全标志。</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2.符合现行标准《安全标志及其使用导则》(GB2894)的有关要求。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restart"/>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K33</w:t>
            </w:r>
            <w:r/>
          </w:p>
        </w:tc>
        <w:tc>
          <w:tcPr>
            <w:shd w:val="clear" w:color="auto" w:fill="auto"/>
            <w:tcW w:w="355" w:type="pct"/>
            <w:vAlign w:val="center"/>
            <w:vMerge w:val="restart"/>
            <w:textDirection w:val="lrTb"/>
            <w:noWrap w:val="false"/>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临时用电系统</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临时用电系统施工图</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张</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符合《施工现场临时用电安全技术规范》（JGJ46-2012）等现行标准规范要求。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供电系统</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2.TN</w:t>
            </w:r>
            <w:r>
              <w:rPr>
                <w:rFonts w:hint="eastAsia" w:ascii="仿宋" w:hAnsi="仿宋" w:eastAsia="仿宋" w:cs="仿宋"/>
                <w:color w:val="auto"/>
                <w:sz w:val="22"/>
                <w:szCs w:val="22"/>
                <w:highlight w:val="none"/>
                <w:lang w:eastAsia="zh-CN"/>
              </w:rPr>
              <w:t xml:space="preserve">-S 系统：即三相五线制（L1、L2、L3、N、PE 线），中性点接地，PE 线独立用于设备金属外壳接零保护。除中性点工作接地外，需在配电室或总配电箱处、配电线路中间及末端重复接地（不少于三处，接地电阻≤10Ω），增强安全性。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总配电箱（整套）：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配电箱*1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电压表*1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电流表*3</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三相四线电能表*1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转换开关*1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电流互感器*3</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隔离开关*1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总断路器*1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分断路器*2</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总配电箱采用科学的模块化设计，内置1组总隔离开关与透明塑壳断路器作为主控制单元，分路设置2路具备隔离功能的透明塑壳断路器，配备高性能漏电保护装置，集成欠压、过载、短路、漏电、断相五重保护功能。同时配置三相四线电能表、电压表、3个电流表及电流互感器，实现电力参数的精准监测与计量。漏电保护装置严格遵循安全标准，其额定漏电动作电流与动作时间乘积≤30mA・S，其中延时动作型漏电保护器额定漏电动作电流设定为30mA，动作时间控制在0.1S＜t≤0.2S区间。</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val="en-US" w:eastAsia="zh-CN"/>
              </w:rPr>
              <w:t xml:space="preserve">技术要求：</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1.与电路图匹配。</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2.电流表、电压表、三相四线电能表符合现行标准《电测量设备》(GB/T17215)相应部分的要求。</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3.转换开关符合现行标准《低压开关设备和控制设备》(GB/T14048)相应部分的要求。</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4.电流互感器符合现行标准《互感器》GB/T20840)相应部分的要求。</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5.分断路器为透明塑壳，分断时可见分断点，带漏电保护。</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6.隔离开关、断路器符合现行标准《低压开关设备和控制设备》(GB/T14048)相应部分的要求。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分配电箱(整套)：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配电箱*1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总断路器*1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分断路器*2</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1.与电路图匹配。</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2.含动力回路、照明回路。</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3.断路器为透明塑壳，在分断时可见分断点。</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4.符合现行标准《低压开关设备和控制设备》(GB/T14048)相应部分的要求。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动力开关箱（整套）：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开关箱*1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断路器*1</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动力开关箱配备透明漏电塑壳断路器作为主控开关，设置螺栓PE线端子排，从硬件配置层面保障用电安全与操作规范。</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1.与电路图匹配。</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2.断路器为透明塑壳，在分断时可见分断点，带漏电保护。</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3.符合现行标准《低压开关设备和控制设备》(GB/T14048)相应部分的要求。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照明开关箱(整套)：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开关箱*1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断路器*1</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照明开关箱配备透明漏电塑壳断路器作为主控开关，设置螺栓PE线端子排，从硬件配置层面保障用电安全与操作规范</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1.与电路图匹配。</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2.断路器为透明塑壳，在分断时可见分断点，带漏电保护。</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3.符合现行标准《低压开关设备和控制设备》(GB/T14048)相应部分的要求。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单股、多股等各种颜色与多种规格线径</w:t>
            </w:r>
            <w:r>
              <w:rPr>
                <w:rFonts w:hint="eastAsia" w:ascii="仿宋" w:hAnsi="仿宋" w:eastAsia="仿宋" w:cs="仿宋"/>
                <w:color w:val="auto"/>
                <w:sz w:val="22"/>
                <w:szCs w:val="22"/>
                <w:highlight w:val="none"/>
                <w:lang w:val="en-US" w:eastAsia="zh-CN"/>
              </w:rPr>
              <w:t xml:space="preserve">国标铜芯</w:t>
            </w:r>
            <w:r>
              <w:rPr>
                <w:rFonts w:hint="eastAsia" w:ascii="仿宋" w:hAnsi="仿宋" w:eastAsia="仿宋" w:cs="仿宋"/>
                <w:color w:val="auto"/>
                <w:sz w:val="22"/>
                <w:szCs w:val="22"/>
                <w:highlight w:val="none"/>
                <w:lang w:eastAsia="zh-CN"/>
              </w:rPr>
              <w:t xml:space="preserve">导线（</w:t>
            </w:r>
            <w:r>
              <w:rPr>
                <w:rFonts w:hint="eastAsia" w:ascii="仿宋" w:hAnsi="仿宋" w:eastAsia="仿宋" w:cs="仿宋"/>
                <w:color w:val="auto"/>
                <w:sz w:val="22"/>
                <w:szCs w:val="22"/>
                <w:highlight w:val="none"/>
                <w:lang w:val="en-US" w:eastAsia="zh-CN"/>
              </w:rPr>
              <w:t xml:space="preserve">各2卷</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BVR1mm²国标黑色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BVR2.5mm²国标黑色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BVR25mm²国标黑色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BV4mm²国标黄色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BV4mm²国标绿色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BV4mm²国标红色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BV4mm²国标蓝色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BV6mm²国标黄色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BV6mm²国标绿色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BV6mm²国标红色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BV6mm²国标蓝色</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接线端子</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1.材质：黄铜镀锌。</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电缆</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1.材质：纯铜</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接地装置及临时接地连接点</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1.用于临时用电系统接地</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按照现场实际情况而定，符合现行标准《建筑与市政工程施工现场临时用电安全技术标准》(JGJ/T46)的有关要求。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电动机</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1.适用电压：380V。</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2.安装结构型式：卧式。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3.工作原理：异步电动机。</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照明灯具</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1.电压：220V</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接线工具</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剥线钳、老虎钳、尖嘴钳、工具刀、一字螺丝刀、十字螺丝刀、千分尺、绝缘胶布。</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1.配备禁止、警告、指令、提示等四类安全标志。</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2.符合现行标准《安全标志及其使用导则》(GB2894)的有关要求。</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restart"/>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干扰项</w:t>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总配电箱分断路器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与电路图不匹配，不带漏电保护。</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分配电箱分断路器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与电路图不匹配。</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动力开关箱断路器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与电路图不匹配，不带漏电保护。</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56" w:type="pct"/>
            <w:vAlign w:val="center"/>
            <w:vMerge w:val="continue"/>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526" w:type="pct"/>
            <w:vAlign w:val="center"/>
            <w:textDirection w:val="lrTb"/>
            <w:noWrap w:val="false"/>
          </w:tcPr>
          <w:p>
            <w:pPr>
              <w:ind w:left="0" w:right="0" w:firstLine="0"/>
              <w:jc w:val="left"/>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照明开关箱断路器</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与电路图不匹配，不带漏电保护。</w:t>
            </w:r>
            <w:r/>
          </w:p>
        </w:tc>
      </w:tr>
      <w:tr>
        <w:trPr>
          <w:jc w:val="center"/>
          <w:trHeight w:val="0"/>
        </w:trPr>
        <w:tc>
          <w:tcPr>
            <w:shd w:val="clear" w:color="auto" w:fill="auto"/>
            <w:tcW w:w="248"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1" w:type="pct"/>
            <w:vAlign w:val="center"/>
            <w:vMerge w:val="continue"/>
            <w:textDirection w:val="lrTb"/>
            <w:noWrap/>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55" w:type="pct"/>
            <w:vAlign w:val="center"/>
            <w:vMerge w:val="continue"/>
            <w:textDirection w:val="lrTb"/>
            <w:noWrap w:val="false"/>
          </w:tcPr>
          <w:p>
            <w:pPr>
              <w:ind w:left="0" w:right="0" w:firstLine="0"/>
              <w:jc w:val="center"/>
              <w:keepNex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83" w:type="pct"/>
            <w:vAlign w:val="center"/>
            <w:textDirection w:val="lrTb"/>
            <w:noWrap w:val="false"/>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324"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5" w:type="pct"/>
            <w:vAlign w:val="center"/>
            <w:textDirection w:val="lrTb"/>
            <w:noWrap/>
          </w:tcPr>
          <w:p>
            <w:pPr>
              <w:ind w:left="0" w:right="0" w:firstLine="0"/>
              <w:jc w:val="center"/>
              <w:keepNex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卷</w:t>
            </w:r>
            <w:r/>
          </w:p>
        </w:tc>
        <w:tc>
          <w:tcPr>
            <w:shd w:val="clear" w:color="auto" w:fill="auto"/>
            <w:tcW w:w="2661"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3.绝缘等级≥6kv</w:t>
            </w:r>
            <w:r/>
          </w:p>
          <w:p>
            <w:pPr>
              <w:pStyle w:val="1025"/>
              <w:ind w:firstLine="0"/>
              <w:rPr>
                <w:rFonts w:hint="default" w:eastAsia="仿宋"/>
                <w:color w:val="auto"/>
                <w:highlight w:val="none"/>
                <w:lang w:val="en-US" w:eastAsia="zh-CN"/>
              </w:rPr>
            </w:pPr>
            <w:r>
              <w:rPr>
                <w:rFonts w:hint="eastAsia" w:ascii="仿宋" w:hAnsi="仿宋" w:eastAsia="仿宋" w:cs="仿宋"/>
                <w:color w:val="auto"/>
                <w:sz w:val="22"/>
                <w:szCs w:val="22"/>
                <w:highlight w:val="none"/>
                <w:lang w:val="en-US" w:eastAsia="zh-CN"/>
              </w:rPr>
              <w:t xml:space="preserve">4.尺寸根据“</w:t>
            </w:r>
            <w:r>
              <w:rPr>
                <w:rFonts w:hint="eastAsia" w:ascii="仿宋" w:hAnsi="仿宋" w:eastAsia="仿宋" w:cs="仿宋"/>
                <w:color w:val="auto"/>
                <w:sz w:val="22"/>
                <w:szCs w:val="22"/>
                <w:highlight w:val="none"/>
              </w:rPr>
              <w:t xml:space="preserve">临时用电系统</w:t>
            </w: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lang w:val="en-US" w:eastAsia="zh-CN"/>
              </w:rPr>
              <w:t xml:space="preserve">系统”布局尺寸进行铺设；</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.符合现行标准《带电作业用绝缘垫》(DL/T853)的有关要求。</w:t>
            </w:r>
            <w:r/>
          </w:p>
        </w:tc>
      </w:tr>
    </w:tbl>
    <w:p>
      <w:pPr>
        <w:rPr>
          <w:rFonts w:ascii="仿宋" w:hAnsi="仿宋" w:eastAsia="仿宋" w:cs="仿宋"/>
          <w:color w:val="auto"/>
          <w:sz w:val="22"/>
          <w:szCs w:val="22"/>
          <w:highlight w:val="none"/>
          <w:lang w:bidi="ar"/>
        </w:rPr>
      </w:pPr>
      <w:r>
        <w:rPr>
          <w:rFonts w:ascii="仿宋" w:hAnsi="仿宋" w:eastAsia="仿宋" w:cs="仿宋"/>
          <w:color w:val="auto"/>
          <w:sz w:val="22"/>
          <w:szCs w:val="22"/>
          <w:highlight w:val="none"/>
          <w:lang w:bidi="ar"/>
        </w:rPr>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lang w:val="en-US" w:eastAsia="zh-CN" w:bidi="ar-SA"/>
        </w:rPr>
      </w:pPr>
      <w:r/>
      <w:bookmarkStart w:id="11" w:name="_Toc21601"/>
      <w:r>
        <w:rPr>
          <w:rFonts w:hint="eastAsia" w:ascii="仿宋" w:hAnsi="仿宋" w:eastAsia="仿宋" w:cs="仿宋"/>
          <w:b/>
          <w:bCs/>
          <w:color w:val="auto"/>
          <w:sz w:val="24"/>
          <w:szCs w:val="24"/>
          <w:highlight w:val="none"/>
          <w:lang w:val="en-US" w:eastAsia="zh-CN" w:bidi="ar-SA"/>
        </w:rPr>
        <w:t xml:space="preserve">（3）高压电工</w:t>
      </w:r>
      <w:bookmarkEnd w:id="11"/>
      <w:r>
        <w:rPr>
          <w:rFonts w:hint="eastAsia" w:ascii="仿宋" w:hAnsi="仿宋" w:eastAsia="仿宋" w:cs="仿宋"/>
          <w:b/>
          <w:bCs/>
          <w:color w:val="auto"/>
          <w:sz w:val="24"/>
          <w:szCs w:val="24"/>
          <w:highlight w:val="none"/>
          <w:lang w:val="en-US" w:eastAsia="zh-CN" w:bidi="ar-SA"/>
        </w:rPr>
        <w:t xml:space="preserve">作业</w:t>
      </w:r>
      <w:r/>
    </w:p>
    <w:tbl>
      <w:tblPr>
        <w:tblStyle w:val="10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714"/>
        <w:gridCol w:w="769"/>
        <w:gridCol w:w="448"/>
        <w:gridCol w:w="894"/>
        <w:gridCol w:w="325"/>
        <w:gridCol w:w="424"/>
        <w:gridCol w:w="5050"/>
      </w:tblGrid>
      <w:tr>
        <w:trPr>
          <w:trHeight w:val="57"/>
        </w:trPr>
        <w:tc>
          <w:tcPr>
            <w:shd w:val="clear" w:color="auto" w:fill="auto"/>
            <w:tcW w:w="33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序号</w:t>
            </w:r>
            <w:r/>
          </w:p>
        </w:tc>
        <w:tc>
          <w:tcPr>
            <w:shd w:val="clear" w:color="auto" w:fill="auto"/>
            <w:tcW w:w="386"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编号</w:t>
            </w:r>
            <w:r/>
          </w:p>
        </w:tc>
        <w:tc>
          <w:tcPr>
            <w:shd w:val="clear" w:color="auto" w:fill="auto"/>
            <w:tcW w:w="41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名称</w:t>
            </w:r>
            <w:r/>
          </w:p>
        </w:tc>
        <w:tc>
          <w:tcPr>
            <w:gridSpan w:val="2"/>
            <w:shd w:val="clear" w:color="auto" w:fill="auto"/>
            <w:tcW w:w="72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设备/设施/器材</w:t>
            </w:r>
            <w:r/>
          </w:p>
        </w:tc>
        <w:tc>
          <w:tcPr>
            <w:shd w:val="clear" w:color="auto" w:fill="auto"/>
            <w:tcW w:w="175"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单套数量</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w:t>
            </w:r>
            <w:r/>
          </w:p>
        </w:tc>
        <w:tc>
          <w:tcPr>
            <w:shd w:val="clear" w:color="auto" w:fill="auto"/>
            <w:tcW w:w="2734"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标准要求</w:t>
            </w:r>
            <w:r/>
          </w:p>
        </w:tc>
      </w:tr>
      <w:tr>
        <w:trPr>
          <w:trHeight w:val="57"/>
        </w:trPr>
        <w:tc>
          <w:tcPr>
            <w:shd w:val="clear" w:color="auto" w:fill="auto"/>
            <w:tcW w:w="330"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科目一</w:t>
            </w:r>
            <w:r/>
          </w:p>
        </w:tc>
        <w:tc>
          <w:tcPr>
            <w:shd w:val="clear" w:color="auto" w:fill="auto"/>
            <w:tcW w:w="386"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K11</w:t>
            </w:r>
            <w:r/>
          </w:p>
        </w:tc>
        <w:tc>
          <w:tcPr>
            <w:shd w:val="clear" w:color="auto" w:fill="auto"/>
            <w:tcW w:w="416"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电力安全工器具与电工仪器仪表</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高压验电器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1.验电电压：10kV。</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2.接触式，声光报警。</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3.尺寸：杆长1m，多节伸缩。</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4.材质：环氧树脂。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5.符合现行标准《电容型验电器》(DL/T740)的有关要求。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高压放电棒</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1.适用电压：10kV；带接地线夹。</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2.操作杆：超耐压环氧树脂杆</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3.导线装置：导线连接地夹</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4.符合现行标准《便携式接地和接地短路装置》(DL/T879)、《带电作业用空心绝缘管、泡沫填充绝缘管和实心绝缘棒》(GB13398)的有关要求。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高压验电信号发生器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numPr>
                <w:ilvl w:val="0"/>
                <w:numId w:val="0"/>
              </w:num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lang w:val="en-US" w:eastAsia="zh-CN" w:bidi="ar-SA"/>
              </w:rPr>
              <w:t xml:space="preserve">1.</w:t>
            </w:r>
            <w:r>
              <w:rPr>
                <w:rFonts w:hint="eastAsia" w:ascii="仿宋" w:hAnsi="仿宋" w:eastAsia="仿宋" w:cs="仿宋"/>
                <w:color w:val="auto"/>
                <w:sz w:val="22"/>
                <w:szCs w:val="22"/>
                <w:highlight w:val="none"/>
              </w:rPr>
              <w:t xml:space="preserve">电压等级：0.4KV-10KV。</w:t>
            </w:r>
            <w:r/>
          </w:p>
          <w:p>
            <w:pPr>
              <w:numPr>
                <w:ilvl w:val="0"/>
                <w:numId w:val="0"/>
              </w:num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rPr>
              <w:t xml:space="preserve">类型：手持工频验电发生器</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3.符合现行标准《合成信号发生器通用规范》(GB/T12114)的有关要求。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携带型高压短路接地线</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2.杆身材质：环氧树脂绝缘杆</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3.符合现行标准《便携式接地和接地短路装置》(DL/T879)、《带电作业用空心绝缘管、泡沫填充绝缘管和实心绝缘棒》(GB13398)的有关要求。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带防雨罩绝缘操作杆</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2.材质：环氧树脂，带防雨罩。</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不带防雨罩绝缘操作杆</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2.材质：环氧树脂，不带防雨罩。</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绝缘夹钳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把</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1.适用电压：10kV；自锁式。</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2.材质：玻璃钢。</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1.额定电压：0.2-10KV；伸缩型。</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2.符合现行标准《电容型验电器》(DL/T740)的有关要求。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低压验电笔</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1.测量范围：测量范围≤500VAC</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2.刀杆材料选用优质CR-V钢，全硬热处理，经久耐用</w:t>
            </w:r>
            <w:r/>
          </w:p>
          <w:p>
            <w:pPr>
              <w:jc w:val="left"/>
              <w:widowControl/>
              <w:rPr>
                <w:rFonts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3.便携式笔夹设计，便于悬挂与携带，随时取用更方便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4.氖泡式验电笔</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携带型低压短路接地线</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1.适用电压：0.4kV；接地棒长度：0.5m。</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2.棒材质：玻璃钢。</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3.符合现行标准《便携式接地和接地短路装置》(DL/T879)、《带电作业用空心绝缘管、泡沫填充绝缘管和实心绝缘棒》(GB13398)的有关要求。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传递绳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4" w:type="pct"/>
            <w:vAlign w:val="center"/>
            <w:textDirection w:val="lrTb"/>
            <w:noWrap w:val="false"/>
          </w:tcPr>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1.材质：尼龙</w:t>
            </w:r>
            <w:r/>
          </w:p>
          <w:p>
            <w:pPr>
              <w:jc w:val="lef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2.直径≥10.5mm，长度10m。</w:t>
            </w:r>
            <w:r/>
          </w:p>
          <w:p>
            <w:pPr>
              <w:jc w:val="lef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3.拉力≥2吨。</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1.类型：移动式绝缘凳 </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2.材质：绝缘玻璃钢。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3.符合现行标准《带电作业用绝缘硬梯》(GB/T17620)的有关要求。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绝缘梯</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1.尺寸：1.5M（误差±5%）。</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2.材质：绝缘玻璃钢。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3.符合现行标准《带电作业用绝缘硬梯》(GB/T17620)的有关要求。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卷</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1.材质：绝缘橡胶。</w:t>
            </w:r>
            <w:r/>
          </w:p>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.符合现行标准《带电作业用绝缘垫》(DL/T853)的有关要求。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绝缘手套</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1.适用电压：12kV，直板。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2.材质：橡胶。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3.符合现行标准《带电作业用绝缘手套》(GB/T17622)的有关要求。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绝缘靴</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1.适用电压：25KV。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2.材质：防水橡胶。</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3.符合现行标准《足部防护安全鞋》(GB21148)的有关要求。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绝缘鞋</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2.材质：橡胶底/帆布鞋帮。</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3.符合现行标准《足部防护安全鞋》(GB21148)的有关要求。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1.颜色：黄色，国标加厚V-2型。</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2.材质：ABS+PE+针织布。</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3.符合现行标准《头部防护安全帽》(GB2811)的有关要求。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防护眼镜</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1.颜色：透明色。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2.材质：PC聚碳酸酯。</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3.符合现行标准《眼面防护具通用技术规范》(GB14866)的有关要求。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4" w:type="pct"/>
            <w:vAlign w:val="center"/>
            <w:textDirection w:val="lrTb"/>
            <w:noWrap w:val="false"/>
          </w:tcPr>
          <w:p>
            <w:pPr>
              <w:numPr>
                <w:ilvl w:val="0"/>
                <w:numId w:val="0"/>
              </w:num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SA"/>
              </w:rPr>
              <w:t xml:space="preserve">1.</w:t>
            </w:r>
            <w:r>
              <w:rPr>
                <w:rFonts w:hint="eastAsia" w:ascii="仿宋" w:hAnsi="仿宋" w:eastAsia="仿宋" w:cs="仿宋"/>
                <w:color w:val="auto"/>
                <w:sz w:val="22"/>
                <w:szCs w:val="22"/>
                <w:highlight w:val="none"/>
                <w:lang w:eastAsia="zh-CN"/>
              </w:rPr>
              <w:t xml:space="preserve">直径：16mm（误差±5%）</w:t>
            </w:r>
            <w:r/>
          </w:p>
          <w:p>
            <w:pPr>
              <w:numPr>
                <w:ilvl w:val="0"/>
                <w:numId w:val="0"/>
              </w:num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lang w:val="en-US" w:eastAsia="zh-CN"/>
              </w:rPr>
              <w:t xml:space="preserve">长度：≥10米</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.材质：丙纶。</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5.三层编织</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.符合现行标准《坠落防护安全绳》(GB24543)的有关要求。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围杆作业用安全带</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1.围杆式。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2.材质：高强度丙纶。</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3.长度≥2米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区域限制用安全带</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1.橘色单钩。</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3.度≥2米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坠落悬挂用安全带</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w:t>
            </w:r>
            <w:r>
              <w:rPr>
                <w:rFonts w:hint="eastAsia" w:ascii="仿宋" w:hAnsi="仿宋" w:eastAsia="仿宋" w:cs="仿宋"/>
                <w:color w:val="auto"/>
                <w:sz w:val="22"/>
                <w:szCs w:val="22"/>
                <w:highlight w:val="none"/>
                <w:lang w:val="en-US" w:eastAsia="zh-CN"/>
              </w:rPr>
              <w:t xml:space="preserve">Z-F阻燃五点式双大钩配缓冲</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脚扣</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1.产品规格：250型。</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2.适用杆高：6-8m电线杆。</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3.材质：锰钢无缝钢管。</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4.符合现行标准《环形混凝土电杆用脚扣》(DL/T1642)或《坠落防护登杆脚扣》(AQ6109)的有关要求。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登高板</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1.使用范围：电力、电信高空作业。</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2.材质：编织绳+实木</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3.绳子直径≥16mm，绳长≥1.8m；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4.板≥630*25*25mm，可承受重量≥200KG。</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电杆</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4" w:type="pct"/>
            <w:vAlign w:val="center"/>
            <w:textDirection w:val="lrTb"/>
            <w:noWrap w:val="false"/>
          </w:tcPr>
          <w:p>
            <w:pPr>
              <w:jc w:val="left"/>
              <w:spacing w:before="60" w:afterAutospacing="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1.符合《环形混凝土电杆》（GB/T4623）国家标准。</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eastAsia="zh-CN"/>
              </w:rPr>
              <w:t xml:space="preserve">2.尺寸参数：高度按照现场实际情况而定，</w:t>
            </w:r>
            <w:r>
              <w:rPr>
                <w:rFonts w:hint="eastAsia" w:ascii="仿宋" w:hAnsi="仿宋" w:eastAsia="仿宋" w:cs="仿宋"/>
                <w:color w:val="auto"/>
                <w:sz w:val="22"/>
                <w:szCs w:val="22"/>
                <w:highlight w:val="none"/>
                <w:lang w:val="en-US" w:eastAsia="zh-CN"/>
              </w:rPr>
              <w:t xml:space="preserve">电杆地面往上至少4.5m，并且保证安装可靠牢固，无安全隐患</w:t>
            </w:r>
            <w:r>
              <w:rPr>
                <w:rFonts w:hint="eastAsia" w:ascii="仿宋" w:hAnsi="仿宋" w:eastAsia="仿宋" w:cs="仿宋"/>
                <w:color w:val="auto"/>
                <w:sz w:val="22"/>
                <w:szCs w:val="22"/>
                <w:highlight w:val="none"/>
                <w:lang w:eastAsia="zh-CN"/>
              </w:rPr>
              <w:t xml:space="preserve">。</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工具袋</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1.材质：帆布</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电工通用工具</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包含：锯子、批头*10、手电筒、美工刀、电工胶布、套筒（5-13）、十字螺丝刀、一字螺丝刀、棘轮手柄、零件盒、精密螺丝批、活动扳手、羊角锤、水泵钳、内六角（1.5-6）、数显电笔、3M卷尺、剪刀、钢丝钳、尖嘴钳、剥线钳。</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数字式万用表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1.直流电压：100uV～1000V。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2.交流电压：1mV～750V。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3.直流电流：0.1uA～20A。</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4.交流电流：10uA～20A。</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5.电阻：0.1Ω～20MΩ。</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指针式万用表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1.直流电流：0.05mA/0.5mA/5mA/50mA/500mA/10A</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2.直流电压：0.25V/1V/2.5V/10V/50V/250V/500V/1000V/2500V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3.交流电压：10V/50V/250V/500V/1000V/2500V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4.直流电阻：R*1/R*10/R*100/R*lk/R*l0k</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数字式钳形电流表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1.直流电压：600mV/6V/60V/600V。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2.交流电压：6V/60V/600V。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3.直流电流：60A/600A。</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4.交流电流：60A/600A。</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指针式钳形电流表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1.交流电流：0～500A</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2.交流电压：0～500V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3.直流电压：0～500V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4.直流电流：0～100mA</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500V指针式兆欧表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1.额定电压：500V，允差±10%.</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2.测量范围0-500MΩ.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3.准确度10级。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1000V指针式兆欧表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1.额定电压：1000V，允差±10%。</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2.测量范围0-1000MΩ。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3.准确度10级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2500V指针式兆欧表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1.额定电压：2500V，允差±10%。</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2.测量范围0-2500MΩ。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3.准确度10级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数字式绝缘电阻测试仪</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1.输出电压：2500V。</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数字式或指针式接地电阻测试仪</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1.测量范围0-1000Ω。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2.准确度3</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3.使用温湿度：温度(-20--40)℃；相对湿度≤80%</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直流单臂电桥</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pStyle w:val="1011"/>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1.型号：QJ23A型</w:t>
            </w:r>
            <w:r/>
          </w:p>
          <w:p>
            <w:pPr>
              <w:pStyle w:val="1011"/>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2.类型：单臂电桥</w:t>
            </w:r>
            <w:r/>
          </w:p>
        </w:tc>
      </w:tr>
      <w:tr>
        <w:trPr>
          <w:trHeight w:val="940"/>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直流电阻测试仪</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1.类型：数显</w:t>
            </w:r>
            <w:r/>
          </w:p>
          <w:p>
            <w:pPr>
              <w:pStyle w:val="1011"/>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2.测试电流:档位可调</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电阻箱</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1.阻值可调范围:0～99999.9Ω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2.尺寸:165*125*65mm（误差±5%）</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干扰项</w:t>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高压验电器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高压放电棒</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缺少附件的。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高压验电信号发生器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携带型高压短路接地线</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缺少附件的。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绝缘操作杆</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带防雨罩，无法正常使用的。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绝缘操作杆</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不带防雨罩，无法正常使用的。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绝缘夹钳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把</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低压验电笔</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携带型低压短路接地线</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缺少附件的。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非标的、过期的、缺少附件的、轻微损坏的。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安全带</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非标的、过期的、缺少附件的、轻微损坏的。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脚扣</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登高板</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无法正常使用的。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绝缘手套</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防护等级不足的、过期的、损坏的。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绝缘靴</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防护等级不足的、过期的、损坏的。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绝缘鞋</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过期的、损坏的。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万用表</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钳形电流表</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兆欧表</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绝缘电阻测试仪</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接地电阻测试仪</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直流单臂电桥</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57"/>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42"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8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直流电阻测试仪</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分别为外表无明显破损，未定期进行计量检定的和不能正常使用的。</w:t>
            </w:r>
            <w:r/>
          </w:p>
        </w:tc>
      </w:tr>
      <w:tr>
        <w:trPr>
          <w:trHeight w:val="1040"/>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安全工器具存放柜</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1.尺寸：200*80*45CM（±50mm）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2.材质：优质冷轧钢板</w:t>
            </w:r>
            <w:r/>
          </w:p>
        </w:tc>
      </w:tr>
      <w:tr>
        <w:trPr>
          <w:trHeight w:val="90"/>
        </w:trPr>
        <w:tc>
          <w:tcPr>
            <w:shd w:val="clear" w:color="auto" w:fill="auto"/>
            <w:tcW w:w="330"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仪器仪表测试台</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设备要求</w:t>
            </w:r>
            <w:r/>
          </w:p>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尺寸应≤1200×890×1250mm（±50mm）；</w:t>
            </w:r>
            <w:r/>
          </w:p>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输入电压应 380VAC±10%，部分输出应设 24V 安全电压；</w:t>
            </w:r>
            <w:r/>
          </w:p>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功率应≤2500W；</w:t>
            </w:r>
            <w:r/>
          </w:p>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主体应采用经静电喷塑工艺处理的金属框架，具备防腐蚀、防锈蚀特性；</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台面应选用防滑绝缘材质，表面粗糙度应应符合 GB/T1031-2009 标准。</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设备功能要求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应符合《通用用电设备配电设计规范》(GB50055)、《低压配电设计规范》(GB50054) 现行标准要求；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应满足《安全生产考试机构和考试点管理规定》（应急〔2025〕41 号）要求，全部应采用实物化仪器仪表测量真实应用场景；</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应通过真实电气元件搭建不同测量电路，功能区应包括交直流电压测量区、电阻测试区、交流电流测量区、接地电阻测量区、绝缘电阻测量区及漏电保护测试区等；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应具备综合类测量、绝缘电阻测量、接地电阻测量及漏电保护测量功能。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智能考核系统要求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应具备仪器仪表选择识别功能，系统支持仪器仪表识别，支持扩展仪表测量台和安全用具选择自动切换或同时验证；考生从仪器仪表摆放架选取设备后，自动验证设备选择的正确性。</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应具备随机出题功能，系统具备随机生成测量任务的功能，任务中的电阻、电压、电流等测量值支持制定和随机两种模式。</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摇表故障模拟功能需支持精准控制与随机设定两种模式。</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电气安全标志考核装置</w:t>
            </w:r>
            <w:r/>
          </w:p>
        </w:tc>
        <w:tc>
          <w:tcPr>
            <w:shd w:val="clear" w:color="auto" w:fill="auto"/>
            <w:tcW w:w="175"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设备要求</w:t>
            </w:r>
            <w:r>
              <w:rPr>
                <w:rFonts w:hint="eastAsia" w:ascii="仿宋" w:hAnsi="仿宋" w:eastAsia="仿宋" w:cs="仿宋"/>
                <w:color w:val="auto"/>
                <w:sz w:val="22"/>
                <w:szCs w:val="22"/>
                <w:highlight w:val="none"/>
              </w:rPr>
              <w:br w:type="textWrapping" w:clear="all"/>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整体尺寸≤2300*770*1850mmmm（±50mm），精准适配常规考核场地空间布局，保障设备部署灵活性与空间兼容性。</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电源参数：功率30～90W，待机功率≥2.5W；工作电压兼容110～220V、50/60Hz。</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材质要求：主体采用经静电喷塑工艺处理的金属框架。</w:t>
            </w:r>
            <w:r/>
          </w:p>
          <w:p>
            <w:pPr>
              <w:numPr>
                <w:ilvl w:val="0"/>
                <w:numId w:val="0"/>
              </w:num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color w:val="auto"/>
                <w:sz w:val="22"/>
                <w:szCs w:val="22"/>
                <w:highlight w:val="none"/>
              </w:rPr>
              <w:t xml:space="preserve">功能要求</w:t>
            </w:r>
            <w:r>
              <w:rPr>
                <w:rFonts w:hint="eastAsia" w:ascii="仿宋" w:hAnsi="仿宋" w:eastAsia="仿宋" w:cs="仿宋"/>
                <w:color w:val="auto"/>
                <w:sz w:val="22"/>
                <w:szCs w:val="22"/>
                <w:highlight w:val="none"/>
              </w:rPr>
              <w:br w:type="textWrapping" w:clear="all"/>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显示屏模块：考生触摸安全标志灯箱触发答题，系统需实时关联三维作业场景，实现“实物操作+场景化考核”。</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标志牌灯箱模块：按GB/T29481标准布置四类标志。（禁止≥9个、指令≥8个、警告≥9个、提示≥6个）</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速差自控器(防坠器)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1.材质：铝合金内壳+聚丙烯外壳+钢丝绳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2.尺寸：3m（误差±5%）。</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3.符合现行标准《坠落防护速差自控器》(GB24544)的有关要求。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安全防护垫</w:t>
            </w:r>
            <w:r/>
          </w:p>
        </w:tc>
        <w:tc>
          <w:tcPr>
            <w:shd w:val="clear" w:color="auto" w:fill="auto"/>
            <w:tcW w:w="175" w:type="pct"/>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卷</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1.厚度：≥30cm。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2.材质：帆布+高密度海绵垫。</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trHeight w:val="57"/>
        </w:trPr>
        <w:tc>
          <w:tcPr>
            <w:shd w:val="clear" w:color="auto" w:fill="auto"/>
            <w:tcW w:w="330" w:type="pct"/>
            <w:vAlign w:val="center"/>
            <w:vMerge w:val="restart"/>
            <w:textDirection w:val="lrTb"/>
            <w:noWrap/>
          </w:tcPr>
          <w:p>
            <w:pP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科目三安全操作技术</w:t>
            </w:r>
            <w:r/>
          </w:p>
        </w:tc>
        <w:tc>
          <w:tcPr>
            <w:shd w:val="clear" w:color="auto" w:fill="auto"/>
            <w:tcW w:w="386" w:type="pct"/>
            <w:vAlign w:val="center"/>
            <w:vMerge w:val="restart"/>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K31</w:t>
            </w:r>
            <w:r/>
          </w:p>
        </w:tc>
        <w:tc>
          <w:tcPr>
            <w:shd w:val="clear" w:color="auto" w:fill="auto"/>
            <w:tcW w:w="416"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10/0.4kV变配电系统(成套开关柜)</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干式电力变压器</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台</w:t>
            </w:r>
            <w:r/>
          </w:p>
        </w:tc>
        <w:tc>
          <w:tcPr>
            <w:shd w:val="clear" w:color="auto" w:fill="auto"/>
            <w:tcW w:w="2734" w:type="pct"/>
            <w:vAlign w:val="center"/>
            <w:textDirection w:val="lrTb"/>
            <w:noWrap w:val="false"/>
          </w:tcPr>
          <w:p>
            <w:pP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10/0.4kV干式电力变压器符合现行标准《干式电力变压器技术参数和要求》(GB/T10228)的有关要求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设备要求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电气规格要求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额定电压：一次侧额定电压10kV，二次侧额定电压0.4kV，电压偏差范围需符合GB1094.11-2007标准，一次侧电压波动±5%时，二次侧输出电压波动范围控制在±2%以内。</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额定容量：30kVA，负载损耗≤350W，空载损耗≤85W。</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电源相数：三相；频率：50Hz。</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短路阻抗：5.5%±0.2%。</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连接组标号：Dyn11，需满足三相不平衡负载工况下，中性点漂移量≤10V（不平衡负载率达40%时）。</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结构与材料参数</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带外壳及温控器，不通电；</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绝缘等级：F级绝缘。</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绕组结构：高压绕组采用层式绕法，低压绕组采用箔式绕法，绕组导线材质为无氧铜。</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外壳防护：外壳采用不锈钢材质（304不锈钢），防护等级≥IP20，外壳表面需进行拉丝处理，厚度不小于1.5mm。</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冷却与运行参数要求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过载能力：在强迫风冷状态下，变压器允许过载120%连续运行2小时，过载150%连续运行30分钟，且过载运行后绕组绝缘电阻下降幅度≤5%。</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运行噪音：自然风冷时，距变压器1m处噪音值≤50dB；强迫风冷时，距变压器1m处噪音值≤60dB。</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功能要求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10/0.4kV干式电力变压器用于配合高压开关柜和低压开关柜，构建10/0.4kV变配电系统成套配电装置，满足巡视检查、变压器绝缘测量、电力变压器分接开关调整等考核需求。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低压开关柜（整套）：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出线柜*1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进线柜*1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补偿柜*1</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额定参数</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额定工作电压</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主电路：400V；辅助电路：交流：220V~380V</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额定绝缘电压：主电路额定绝缘电压为690V。</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额定频率：50Hz</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额定电流：水平母线额定工作电流≤1000A；垂直母线额定工作电流≤1000A</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装置内母线额定短时耐受电流为50KA（1S）；装置内母线额定峰值耐受电流105KA（0.1S）</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框架结构</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装置外壳的防护等级IP33。</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装置的外形尺寸为：≤2200mm*800mm*800mm（±20mm）两台，≤2200mm*600mm*800mm（±20mm）一台。</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内部功能单元采用金属隔板分隔，各功能单元能抽出检修、相同规格的单元能实现互换使用，断路器和塑壳开关、隔离开关都能在柜外操作。</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产品配置</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）进线柜内主要材料：</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包含：低压抽出式框架断路器；电流互感器；电压表和电流表若干；镀锡铝排；母线夹。</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）出线柜内主要材料：</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包含：塑壳断路器；电流互感器；电流表；镀锡铝排；母线夹；一次接线端子；绝缘导线25mm²；操作结构。</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）电容柜内主要材料：</w:t>
            </w:r>
            <w:r/>
          </w:p>
          <w:p>
            <w:pPr>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包含：隔离开关；电流互感器；无功补偿控制器；电流表；电压表；微型断路器；交流接触器；热继电器；电力电容器；避雷器；镀锡铝排；母线夹；绝缘导线。</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接线模拟图板</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含高压接线模拟图板和低压接线模拟图板。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高压接线模拟图板与低压接线模拟图板要求：</w:t>
            </w:r>
            <w:r/>
          </w:p>
          <w:p>
            <w:pPr>
              <w:jc w:val="left"/>
              <w:widowControl/>
              <w:rPr>
                <w:rFonts w:ascii="仿宋" w:hAnsi="仿宋" w:eastAsia="仿宋" w:cs="仿宋"/>
                <w:b/>
                <w:bCs/>
                <w:color w:val="auto"/>
                <w:sz w:val="22"/>
                <w:szCs w:val="22"/>
                <w:highlight w:val="none"/>
              </w:rPr>
            </w:pPr>
            <w:r>
              <w:rPr>
                <w:rFonts w:hint="eastAsia" w:ascii="仿宋" w:hAnsi="仿宋" w:eastAsia="仿宋" w:cs="仿宋"/>
                <w:color w:val="auto"/>
                <w:sz w:val="22"/>
                <w:szCs w:val="22"/>
                <w:highlight w:val="none"/>
              </w:rPr>
              <w:t xml:space="preserve">1.接线模拟图板需含：电源指示，报警指示灯，带电指示灯，地刀指示灯，模拟开关旋扭，一次接线图。</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2.功能要求：</w:t>
            </w:r>
            <w:r/>
          </w:p>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模拟操作开关柜之间关系动作，反应出工作状态。当操作程序错误时，会发出报警声，以提示操作有误。</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电力电缆</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1.材质：铝制电缆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接地干线</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1.用于10/0.4kV变配电系统(成套开关柜)接地</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安全围栏</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1.材质：玻璃钢绝缘、底座橡胶底座。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安全标志</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1.配备禁止标志、警告标志、指令标志、提示标志等四类电气安全标志挂牌。</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2.符合现行标准《电气安全标志》(GB/T29481)、《安全标志及其使用导则》(GB2894)的有关要求。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绝缘垫</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rPr>
                <w:rFonts w:hint="eastAsia" w:ascii="仿宋" w:hAnsi="仿宋" w:eastAsia="仿宋" w:cs="仿宋"/>
                <w:color w:val="auto"/>
                <w:sz w:val="22"/>
                <w:szCs w:val="22"/>
                <w:highlight w:val="none"/>
                <w:lang w:val="en-US" w:eastAsia="zh-CN"/>
              </w:rPr>
              <w:t xml:space="preserve">展示用</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3.绝缘等级≥6kv</w:t>
            </w:r>
            <w:r/>
          </w:p>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.符合现行标准《带电作业用绝缘垫》(DL/T853)的有关要求。</w:t>
            </w:r>
            <w:r/>
          </w:p>
        </w:tc>
      </w:tr>
      <w:tr>
        <w:trPr>
          <w:trHeight w:val="57"/>
        </w:trPr>
        <w:tc>
          <w:tcPr>
            <w:shd w:val="clear" w:color="auto" w:fill="auto"/>
            <w:tcW w:w="330" w:type="pct"/>
            <w:vAlign w:val="center"/>
            <w:vMerge w:val="continue"/>
            <w:textDirection w:val="lrTb"/>
            <w:noWrap/>
          </w:tcPr>
          <w:p>
            <w:pPr>
              <w:rPr>
                <w:rFonts w:hint="default" w:ascii="仿宋" w:hAnsi="仿宋" w:eastAsia="仿宋" w:cs="仿宋"/>
                <w:color w:val="auto"/>
                <w:sz w:val="22"/>
                <w:szCs w:val="22"/>
                <w:highlight w:val="none"/>
                <w:lang w:val="en-US" w:eastAsia="zh-CN"/>
              </w:rPr>
            </w:pPr>
            <w:r>
              <w:rPr>
                <w:rFonts w:hint="default" w:ascii="仿宋" w:hAnsi="仿宋" w:eastAsia="仿宋" w:cs="仿宋"/>
                <w:color w:val="auto"/>
                <w:sz w:val="22"/>
                <w:szCs w:val="22"/>
                <w:highlight w:val="none"/>
                <w:lang w:val="en-US" w:eastAsia="zh-CN"/>
              </w:rPr>
            </w:r>
            <w:r/>
          </w:p>
        </w:tc>
        <w:tc>
          <w:tcPr>
            <w:shd w:val="clear" w:color="auto" w:fill="auto"/>
            <w:tcW w:w="386"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K32</w:t>
            </w:r>
            <w:r/>
          </w:p>
        </w:tc>
        <w:tc>
          <w:tcPr>
            <w:shd w:val="clear" w:color="auto" w:fill="auto"/>
            <w:tcW w:w="416"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10/0.4kV变配电系统(架空线路)</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隔离开关</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1.送电端隔离开关。</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10kV架空绝缘电缆及验电接地环</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1.架空长度≥2.5m,送电端需接隔离开关，受电端带验电接地环，接变压器台架上的跌落式熔断器。</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跌落式熔断器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1.适用电压：10KV；材质：陶瓷。</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2.符合现行标准《高压交流熔断器》(GB/T15166)相应部分的要求。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验电接地环</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1.验电接地环电压等级：10kV。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2.安装在跌落式熔断器与避雷器之间的高压线上。</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避雷器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1.类型：氧化锌避雷器。</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油浸式电力变压器</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台</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1.10/0.4kV油浸式电力变压器。</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2.符合现行标准《油浸式电力变压器技术参数和要求》(GB/T6451)的有关要求。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低压配电柜</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1.箱体配置：隔离开关、断路器、电压表、计量仪表、电力电容器等。</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接地扁铁</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1.用于10/0.4kV变配电系统(架空线路)接地</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0.4kV架空绝缘导线及验电接地环</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1.架空长度不低于2.5m，送电端带验电接地环。</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配套设备设施</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导线、绝缘子、电杆、金具、杆上配变安全运行标志。</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作业环境显示屏</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1.硬件配置：触控显示屏，分辨率≥1920×1080；单点触摸寿命≥5000万次；搭载≥四核心处理器，运行内存≥4G，固态硬盘≥120G，内置操作系统，确保设备运行稳定。</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2.系统功能：需搭载作业环境显示系统，系统可随机生成作业环境信息，以画面结合文字的形式呈现。</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3.系统支持考生对天气（含晴天、雨、雪、雾场景）、温度、风向、风力环境进行选择。考试时随机生成天气气候画面，考生可更换画面选择正确的天气信息以满足作业要求。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1.材质：玻璃钢绝缘、底座橡胶底座。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1.配备禁止标志、警告标志、指令标志、提示标志等四类电气安全标志。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2.符合现行标准《电气安全标志》(GB/T29481)、《安全标志及其使用导则》(GB2894)的有关要求。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考评员移动评分系统</w:t>
            </w:r>
            <w:r/>
          </w:p>
        </w:tc>
        <w:tc>
          <w:tcPr>
            <w:shd w:val="clear" w:color="auto" w:fill="auto"/>
            <w:tcW w:w="17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硬件设备</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屏幕尺寸：≥10.1英寸</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触摸寿命：≥单点触摸5000万次</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内置系统：基于android13及以上安卓系统或同等功能国产系统，内存≥6G+硬盘≥128G</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摄像头：前置：≥800万像素、后置：≥800万像素摄像头。</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系统功能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须满足国家《安全生产考试机构和考试点管理规定》（应急〔2025〕41号）；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jc w:val="left"/>
              <w:widowControl/>
              <w:rPr>
                <w:rFonts w:ascii="仿宋" w:hAnsi="仿宋" w:eastAsia="仿宋" w:cs="仿宋"/>
                <w:b/>
                <w:bCs/>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系统具备以下功能：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考评员登录认证功能，支持账号密码登录与人脸识别登录；</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考生信息确认功能，支持准考证号/身份证号/扫码登录，系统自动推送考生的姓名、准考证号、考试子科目等信息；</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考试题目抽取功能：支持随机抽取考题组卷；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考评员在线评分功能：支持自行配置评分项和否定项；</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考试过程拍照功能：支持上传照片和视频；</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考试评分提醒功能；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考试成绩单生成功能；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成绩查询功能；</w:t>
            </w:r>
            <w:r/>
          </w:p>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评分记录查询功能。</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K33</w:t>
            </w:r>
            <w:r/>
          </w:p>
        </w:tc>
        <w:tc>
          <w:tcPr>
            <w:shd w:val="clear" w:color="auto" w:fill="auto"/>
            <w:tcW w:w="416"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电气设备安装</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电路图</w:t>
            </w:r>
            <w:r/>
          </w:p>
        </w:tc>
        <w:tc>
          <w:tcPr>
            <w:shd w:val="clear" w:color="auto" w:fill="auto"/>
            <w:tcW w:w="175" w:type="pct"/>
            <w:vAlign w:val="center"/>
            <w:vMerge w:val="restart"/>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1.考核用电路图，</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2.电路图包含：</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（1）低压配电箱安装接线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（2）单相电能表带照明设备的接线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（3）三相异步电动机单向连续运转电路接线（带点动控制）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（4）带熔断器（断路器）、仪表、电流互感器的三相异步电动机电路的接线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（5）三相异步电动机正反转运行电路的接线</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单相电能表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1.类型：单相电子式</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2.电压：220V。</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三相四线电能表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1.类型：三相电子式</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2.符合现行标准《电测量设备》(GB/T17215)相应部分的要求。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1.类型：指针式电流表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2.符合现行标准《直接作用模拟指示电测量仪表及其附件》(GB/T7676)相应部分的要求。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电涌保护器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1.最大放电电流：20kA。极数：1P。</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2.类型：导轨式安装。</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3.符合现行标准《低压电涌保护器(SPD)第11部分：低压电源系统的电涌保护器性能要求和试验方法》(GB/T18802.11)的有关要求。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熔断器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1.类型：导轨式安装。</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2.RT18系列，3A。</w:t>
            </w:r>
            <w:r>
              <w:rPr>
                <w:rFonts w:hint="eastAsia" w:ascii="仿宋" w:hAnsi="仿宋" w:eastAsia="仿宋" w:cs="仿宋"/>
                <w:color w:val="auto"/>
                <w:sz w:val="22"/>
                <w:szCs w:val="22"/>
                <w:highlight w:val="none"/>
                <w:lang w:eastAsia="zh-CN"/>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断路器(带漏电保护器)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1.类型：C型。</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2.电流：16A。</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3.安装方式：导轨式。</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1.类型：C型。</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2.电流：16A。</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3.安装方式：导轨式。</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剩余电流动作保护器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1.安装方式：导轨式。</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2.C型，额定电流16A。</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交流接触器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1.线圈电压类型：</w:t>
            </w:r>
            <w:r>
              <w:rPr>
                <w:rFonts w:hint="eastAsia" w:ascii="仿宋" w:hAnsi="仿宋" w:eastAsia="仿宋" w:cs="仿宋"/>
                <w:color w:val="auto"/>
                <w:sz w:val="22"/>
                <w:szCs w:val="22"/>
                <w:highlight w:val="none"/>
                <w:lang w:eastAsia="zh-CN"/>
              </w:rPr>
              <w:t xml:space="preserve">交流</w:t>
            </w:r>
            <w:r>
              <w:rPr>
                <w:rFonts w:hint="eastAsia" w:ascii="仿宋" w:hAnsi="仿宋" w:eastAsia="仿宋" w:cs="仿宋"/>
                <w:color w:val="auto"/>
                <w:sz w:val="22"/>
                <w:szCs w:val="22"/>
                <w:highlight w:val="none"/>
                <w:lang w:val="en-US" w:eastAsia="zh-CN"/>
              </w:rPr>
              <w:t xml:space="preserve">380V或220V</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2.两常开两常闭。</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热继电器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1.额定绝缘电压：690V。</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电流互感器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1.类型：三相电流互感器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按钮开关</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1.类型：自复位按钮。</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2.符合现行标准《低压l开关设备和控制设备》(GB/T14048)相应部分的要求，或符合低压开关设备和控制设备相关的其他国家标准。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万能转换开关</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1.类型：万能转换开关。</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三档旋钮开关</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1.类型：3档开关。</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2.符合现行标准《低压开关设备和控制设备》(GB/T14048)相应部分的要求，或符合低压开关设备和控制设备相关的其他国家标准。</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五孔插座</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1.类型：86型</w:t>
            </w:r>
            <w:r/>
          </w:p>
          <w:p>
            <w:pPr>
              <w:pStyle w:val="1011"/>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2.材质：PC</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双控开关</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1.类型：86型</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2.材质：PC</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单控开关</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1.类型：86型</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2.材质：PC</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三相异步电动机</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1.电压：380V。功率：180W不带端子。</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2.转速：≥1400转/分钟。</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灯具</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1.电压：220V。</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配电箱</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1.类型：明装24回路。</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电气设备固定背板（网孔版）</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1.背板尺寸：电气设备固定背板的外形尺寸（长*宽）需满足≤700*600mm，以适配各类电气设备的安装空间需求，确保安装过程的便捷性与兼容性。</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w:t>
            </w:r>
            <w:r/>
          </w:p>
        </w:tc>
        <w:tc>
          <w:tcPr>
            <w:shd w:val="clear" w:color="auto" w:fill="auto"/>
            <w:tcW w:w="175" w:type="pct"/>
            <w:vAlign w:val="center"/>
            <w:vMerge w:val="restart"/>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单股、多股等各种颜色与多种规格线径</w:t>
            </w:r>
            <w:r>
              <w:rPr>
                <w:rFonts w:hint="eastAsia" w:ascii="仿宋" w:hAnsi="仿宋" w:eastAsia="仿宋" w:cs="仿宋"/>
                <w:color w:val="auto"/>
                <w:sz w:val="22"/>
                <w:szCs w:val="22"/>
                <w:highlight w:val="none"/>
                <w:lang w:val="en-US" w:eastAsia="zh-CN"/>
              </w:rPr>
              <w:t xml:space="preserve">国标铜芯</w:t>
            </w:r>
            <w:r>
              <w:rPr>
                <w:rFonts w:hint="eastAsia" w:ascii="仿宋" w:hAnsi="仿宋" w:eastAsia="仿宋" w:cs="仿宋"/>
                <w:color w:val="auto"/>
                <w:sz w:val="22"/>
                <w:szCs w:val="22"/>
                <w:highlight w:val="none"/>
              </w:rPr>
              <w:t xml:space="preserve">导线</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各2卷</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BV1mm²国标蓝色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BV2.5mm²国标蓝色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BV4mm²国标蓝色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BV6mm²国标蓝色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BV1.5mm²单芯硬线红色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BV1.5mm²单芯硬线黄色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BV1.5mm²单芯硬线蓝色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BV1.5mm²单芯硬线黄绿</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BV1.5mm²单芯硬线黑色</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BV1.5mm²单芯硬线绿色</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接线端子</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1.材质：黄铜镀锌。</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线芯压接工具及模具</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1.材质：高碳钢</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2.压接范围：1.25-8mm²</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导线连接器</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1.材质：铜</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搪锡设备</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1.电压:220V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2.特点：温度可调</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焊锡丝</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1.直径：1mm</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连接管</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1.1-16平方</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2.材质：铜</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绝缘胶带</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1.材质：PVC</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2.电压等级：600V及以下</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接线工具</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剥线钳、老虎钳、尖嘴钳、工具刀、一字螺丝刀、十字螺丝刀。</w:t>
            </w:r>
            <w:r/>
          </w:p>
        </w:tc>
      </w:tr>
      <w:tr>
        <w:trPr>
          <w:trHeight w:val="1634"/>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电气设备安装实操装置</w:t>
            </w:r>
            <w:r/>
          </w:p>
        </w:tc>
        <w:tc>
          <w:tcPr>
            <w:shd w:val="clear" w:color="auto" w:fill="auto"/>
            <w:tcW w:w="175" w:type="pct"/>
            <w:vAlign w:val="center"/>
            <w:vMerge w:val="continue"/>
            <w:textDirection w:val="lrTb"/>
            <w:noWrap/>
          </w:tcPr>
          <w:p>
            <w:pPr>
              <w:jc w:val="righ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29"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73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设备</w:t>
            </w:r>
            <w:r>
              <w:rPr>
                <w:rFonts w:hint="eastAsia" w:ascii="仿宋" w:hAnsi="仿宋" w:eastAsia="仿宋" w:cs="仿宋"/>
                <w:i w:val="0"/>
                <w:iCs w:val="0"/>
                <w:color w:val="auto"/>
                <w:sz w:val="22"/>
                <w:szCs w:val="22"/>
                <w:highlight w:val="none"/>
                <w:u w:val="none"/>
                <w:lang w:val="en-US" w:eastAsia="zh-CN"/>
              </w:rPr>
              <w:t xml:space="preserve">基本</w:t>
            </w:r>
            <w:r>
              <w:rPr>
                <w:rFonts w:hint="eastAsia" w:ascii="仿宋" w:hAnsi="仿宋" w:eastAsia="仿宋" w:cs="仿宋"/>
                <w:i w:val="0"/>
                <w:iCs w:val="0"/>
                <w:color w:val="auto"/>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设备尺寸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w:t>
            </w:r>
            <w:r>
              <w:rPr>
                <w:rFonts w:hint="eastAsia" w:ascii="仿宋" w:hAnsi="仿宋" w:eastAsia="仿宋" w:cs="仿宋"/>
                <w:i w:val="0"/>
                <w:iCs w:val="0"/>
                <w:color w:val="auto"/>
                <w:sz w:val="22"/>
                <w:szCs w:val="22"/>
                <w:highlight w:val="none"/>
                <w:u w:val="none"/>
                <w:lang w:val="en-US" w:eastAsia="zh-CN"/>
              </w:rPr>
              <w:t xml:space="preserve">350</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540</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1800</w:t>
            </w:r>
            <w:r>
              <w:rPr>
                <w:rFonts w:hint="eastAsia" w:ascii="仿宋" w:hAnsi="仿宋" w:eastAsia="仿宋" w:cs="仿宋"/>
                <w:i w:val="0"/>
                <w:iCs w:val="0"/>
                <w:color w:val="auto"/>
                <w:sz w:val="22"/>
                <w:szCs w:val="22"/>
                <w:highlight w:val="none"/>
                <w:u w:val="none"/>
              </w:rPr>
              <w:t xml:space="preserve">mm（±50mm），紧凑合理，适配低压电工考核场地布局，满足标准化陈列对空间的要求，便于多台设备有序摆放。</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主体材质采用优质冷轧钢板一体化钣金成型工艺，兼具坚固耐用性与轻量化特点，保障设备结构强度，同时便于搬运、移动，适配不同考核场地灵活布置。</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（3）电气规格要求：</w:t>
            </w:r>
            <w:r>
              <w:rPr>
                <w:rFonts w:hint="eastAsia" w:ascii="仿宋" w:hAnsi="仿宋" w:eastAsia="仿宋" w:cs="仿宋"/>
                <w:i w:val="0"/>
                <w:iCs w:val="0"/>
                <w:color w:val="auto"/>
                <w:sz w:val="22"/>
                <w:szCs w:val="22"/>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仿宋" w:hAnsi="仿宋" w:eastAsia="仿宋" w:cs="仿宋"/>
                <w:i w:val="0"/>
                <w:iCs w:val="0"/>
                <w:color w:val="auto"/>
                <w:sz w:val="22"/>
                <w:szCs w:val="22"/>
                <w:highlight w:val="none"/>
                <w:u w:val="none"/>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功能要求：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（3）应实现实操考试试题的规范化管理，人工评分与智能评分应相结合，确保实操考试的公正性、严肃性、合理性。应对实操考试过程中的数据进行有效存储、分析和管理，保证考试数据的完整性和可追溯性。</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rPr>
              <w:t xml:space="preserve">支持时间管理：</w:t>
            </w:r>
            <w:r>
              <w:rPr>
                <w:rFonts w:hint="eastAsia" w:ascii="仿宋" w:hAnsi="仿宋" w:eastAsia="仿宋" w:cs="仿宋"/>
                <w:i w:val="0"/>
                <w:iCs w:val="0"/>
                <w:color w:val="auto"/>
                <w:sz w:val="22"/>
                <w:szCs w:val="22"/>
                <w:highlight w:val="none"/>
                <w:u w:val="none"/>
                <w:lang w:val="en-US" w:eastAsia="zh-CN"/>
              </w:rPr>
              <w:t xml:space="preserve">考试信息LED显示</w:t>
            </w:r>
            <w:r>
              <w:rPr>
                <w:rFonts w:hint="eastAsia" w:ascii="仿宋" w:hAnsi="仿宋" w:eastAsia="仿宋" w:cs="仿宋"/>
                <w:i w:val="0"/>
                <w:iCs w:val="0"/>
                <w:color w:val="auto"/>
                <w:sz w:val="22"/>
                <w:szCs w:val="22"/>
                <w:highlight w:val="none"/>
                <w:u w:val="none"/>
              </w:rPr>
              <w:t xml:space="preserve">屏幕实时显示考核倒计时，精准控制考试时长，确保考核时间维度的公正性</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（5）应实现实操过程中考生不需要操作软件，实现全程无感识别，更加符合实际作业情况。</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（6）</w:t>
            </w:r>
            <w:r>
              <w:rPr>
                <w:rFonts w:hint="eastAsia" w:ascii="仿宋" w:hAnsi="仿宋" w:eastAsia="仿宋" w:cs="仿宋"/>
                <w:i w:val="0"/>
                <w:iCs w:val="0"/>
                <w:color w:val="auto"/>
                <w:sz w:val="22"/>
                <w:szCs w:val="22"/>
                <w:highlight w:val="none"/>
                <w:u w:val="none"/>
              </w:rPr>
              <w:t xml:space="preserve">支持身份认证：支持身份证号及准考证号登录，自动关联考生信息、调取并显示考试电路图</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widowControl/>
              <w:rPr>
                <w:color w:val="auto"/>
                <w:highlight w:val="none"/>
              </w:rPr>
              <w:suppressLineNumbers w:val="0"/>
            </w:pPr>
            <w:r>
              <w:rPr>
                <w:rFonts w:hint="eastAsia" w:ascii="仿宋" w:hAnsi="仿宋" w:eastAsia="仿宋" w:cs="仿宋"/>
                <w:i w:val="0"/>
                <w:iCs w:val="0"/>
                <w:color w:val="auto"/>
                <w:sz w:val="22"/>
                <w:szCs w:val="22"/>
                <w:highlight w:val="none"/>
                <w:u w:val="none"/>
                <w:lang w:val="en-US" w:eastAsia="zh-CN"/>
              </w:rPr>
              <w:t xml:space="preserve">（7）</w:t>
            </w:r>
            <w:r>
              <w:rPr>
                <w:rFonts w:hint="eastAsia" w:ascii="仿宋" w:hAnsi="仿宋" w:eastAsia="仿宋" w:cs="仿宋"/>
                <w:i w:val="0"/>
                <w:iCs w:val="0"/>
                <w:color w:val="auto"/>
                <w:sz w:val="22"/>
                <w:szCs w:val="22"/>
                <w:highlight w:val="none"/>
                <w:u w:val="none"/>
              </w:rPr>
              <w:t xml:space="preserve">搭载智能考核系统，</w:t>
            </w:r>
            <w:r>
              <w:rPr>
                <w:rFonts w:hint="eastAsia" w:ascii="仿宋" w:hAnsi="仿宋" w:eastAsia="仿宋" w:cs="仿宋"/>
                <w:i w:val="0"/>
                <w:iCs w:val="0"/>
                <w:color w:val="auto"/>
                <w:sz w:val="22"/>
                <w:szCs w:val="22"/>
                <w:highlight w:val="none"/>
                <w:u w:val="none"/>
                <w:lang w:val="en-US" w:eastAsia="zh-CN"/>
              </w:rPr>
              <w:t xml:space="preserve">系统支持</w:t>
            </w:r>
            <w:r>
              <w:rPr>
                <w:rFonts w:hint="eastAsia" w:ascii="仿宋" w:hAnsi="仿宋" w:eastAsia="仿宋" w:cs="仿宋"/>
                <w:i w:val="0"/>
                <w:iCs w:val="0"/>
                <w:color w:val="auto"/>
                <w:sz w:val="22"/>
                <w:szCs w:val="22"/>
                <w:highlight w:val="none"/>
                <w:u w:val="none"/>
              </w:rPr>
              <w:t xml:space="preserve">随机抽题组卷、考题电路图高清展示等功能，通过可视化交互界面，构建管控于一体的信息化考核平台</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（8）设备</w:t>
            </w:r>
            <w:r>
              <w:rPr>
                <w:rFonts w:hint="eastAsia" w:ascii="仿宋" w:hAnsi="仿宋" w:eastAsia="仿宋" w:cs="仿宋"/>
                <w:i w:val="0"/>
                <w:iCs w:val="0"/>
                <w:color w:val="auto"/>
                <w:sz w:val="22"/>
                <w:szCs w:val="22"/>
                <w:highlight w:val="none"/>
                <w:u w:val="none"/>
                <w:lang w:eastAsia="zh-CN"/>
              </w:rPr>
              <w:t xml:space="preserve">有醒目指示灯提醒功能：提醒工位空闲、工位在用、考试终止（中断）情况。</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1.配备禁止、警告、指令、提示等四类安全标志。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2.符合现行标准《安全标志及其使用导则》(GB2894)的有关要求。</w:t>
            </w:r>
            <w:r/>
          </w:p>
        </w:tc>
      </w:tr>
      <w:tr>
        <w:trPr>
          <w:trHeight w:val="57"/>
        </w:trPr>
        <w:tc>
          <w:tcPr>
            <w:shd w:val="clear" w:color="auto" w:fill="auto"/>
            <w:tcW w:w="330"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86"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16"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726"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绝缘垫</w:t>
            </w:r>
            <w:r/>
          </w:p>
        </w:tc>
        <w:tc>
          <w:tcPr>
            <w:shd w:val="clear" w:color="auto" w:fill="auto"/>
            <w:tcW w:w="175" w:type="pct"/>
            <w:vAlign w:val="center"/>
            <w:textDirection w:val="lrTb"/>
            <w:noWrap/>
          </w:tcPr>
          <w:p>
            <w:pPr>
              <w:jc w:val="righ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4"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1.材质：绝缘橡胶。</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2.颜色：黑色。</w:t>
            </w:r>
            <w:r/>
          </w:p>
          <w:p>
            <w:pPr>
              <w:ind w:left="0" w:right="0" w:firstLine="0"/>
              <w:jc w:val="left"/>
              <w:keepNex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3.尺寸根据</w:t>
            </w:r>
            <w:r>
              <w:rPr>
                <w:rFonts w:hint="eastAsia" w:ascii="仿宋" w:hAnsi="仿宋" w:eastAsia="仿宋" w:cs="仿宋"/>
                <w:color w:val="auto"/>
                <w:sz w:val="22"/>
                <w:szCs w:val="22"/>
                <w:highlight w:val="none"/>
              </w:rPr>
              <w:t xml:space="preserve">电气设备安装实操装置</w:t>
            </w:r>
            <w:r>
              <w:rPr>
                <w:rFonts w:hint="eastAsia" w:ascii="仿宋" w:hAnsi="仿宋" w:eastAsia="仿宋" w:cs="仿宋"/>
                <w:color w:val="auto"/>
                <w:sz w:val="22"/>
                <w:szCs w:val="22"/>
                <w:highlight w:val="none"/>
                <w:lang w:val="en-US" w:eastAsia="zh-CN"/>
              </w:rPr>
              <w:t xml:space="preserve">尺寸进行铺设</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4.绝缘等级≥6kv</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.符合现行标准《带电作业用绝缘垫》(DL/T853)的有关要求。</w:t>
            </w:r>
            <w:r/>
          </w:p>
        </w:tc>
      </w:tr>
    </w:tbl>
    <w:p>
      <w:pPr>
        <w:rPr>
          <w:rFonts w:ascii="仿宋" w:hAnsi="仿宋" w:eastAsia="仿宋" w:cs="仿宋"/>
          <w:color w:val="auto"/>
          <w:sz w:val="22"/>
          <w:szCs w:val="22"/>
          <w:highlight w:val="none"/>
          <w:lang w:bidi="ar"/>
        </w:rPr>
      </w:pPr>
      <w:r>
        <w:rPr>
          <w:rFonts w:ascii="仿宋" w:hAnsi="仿宋" w:eastAsia="仿宋" w:cs="仿宋"/>
          <w:color w:val="auto"/>
          <w:sz w:val="22"/>
          <w:szCs w:val="22"/>
          <w:highlight w:val="none"/>
          <w:lang w:bidi="ar"/>
        </w:rPr>
      </w:r>
      <w:r/>
    </w:p>
    <w:p>
      <w:pPr>
        <w:ind w:firstLine="482"/>
        <w:keepLines w:val="0"/>
        <w:keepNext w:val="0"/>
        <w:pageBreakBefore w:val="0"/>
        <w:spacing w:line="360" w:lineRule="auto"/>
        <w:shd w:val="clear" w:color="auto" w:fill="auto"/>
        <w:widowControl w:val="off"/>
        <w:rPr>
          <w:rFonts w:hint="eastAsia" w:ascii="仿宋" w:hAnsi="仿宋" w:eastAsia="仿宋" w:cs="仿宋"/>
          <w:b/>
          <w:bCs/>
          <w:color w:val="auto"/>
          <w:sz w:val="24"/>
          <w:szCs w:val="24"/>
          <w:highlight w:val="none"/>
          <w:lang w:val="en-US" w:eastAsia="zh-CN" w:bidi="ar-SA"/>
        </w:rPr>
      </w:pPr>
      <w:r/>
      <w:bookmarkStart w:id="12" w:name="_Toc29776"/>
      <w:r>
        <w:rPr>
          <w:rFonts w:hint="eastAsia" w:ascii="仿宋" w:hAnsi="仿宋" w:eastAsia="仿宋" w:cs="仿宋"/>
          <w:b/>
          <w:bCs/>
          <w:color w:val="auto"/>
          <w:sz w:val="24"/>
          <w:szCs w:val="24"/>
          <w:highlight w:val="none"/>
          <w:lang w:val="en-US" w:eastAsia="zh-CN" w:bidi="ar-SA"/>
        </w:rPr>
        <w:t xml:space="preserve">（4）高处作业</w:t>
      </w:r>
      <w:bookmarkEnd w:id="12"/>
      <w:r/>
      <w:r/>
    </w:p>
    <w:tbl>
      <w:tblPr>
        <w:tblStyle w:val="10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9"/>
        <w:gridCol w:w="724"/>
        <w:gridCol w:w="757"/>
        <w:gridCol w:w="384"/>
        <w:gridCol w:w="723"/>
        <w:gridCol w:w="740"/>
        <w:gridCol w:w="425"/>
        <w:gridCol w:w="5060"/>
      </w:tblGrid>
      <w:tr>
        <w:trPr/>
        <w:tc>
          <w:tcPr>
            <w:shd w:val="clear" w:color="auto" w:fill="auto"/>
            <w:tcW w:w="232"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序号</w:t>
            </w:r>
            <w:r/>
          </w:p>
        </w:tc>
        <w:tc>
          <w:tcPr>
            <w:shd w:val="clear" w:color="auto" w:fill="auto"/>
            <w:tcW w:w="391"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编号</w:t>
            </w:r>
            <w:r/>
          </w:p>
        </w:tc>
        <w:tc>
          <w:tcPr>
            <w:shd w:val="clear" w:color="auto" w:fill="auto"/>
            <w:tcW w:w="409"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名称</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设备/设施/器材</w:t>
            </w:r>
            <w:r/>
          </w:p>
        </w:tc>
        <w:tc>
          <w:tcPr>
            <w:shd w:val="clear" w:color="auto" w:fill="auto"/>
            <w:tcW w:w="400"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单套数量</w:t>
            </w:r>
            <w:r/>
          </w:p>
        </w:tc>
        <w:tc>
          <w:tcPr>
            <w:shd w:val="clear" w:color="auto" w:fill="auto"/>
            <w:tcW w:w="229" w:type="pct"/>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标准要求</w:t>
            </w:r>
            <w:r/>
          </w:p>
        </w:tc>
      </w:tr>
      <w:tr>
        <w:trPr/>
        <w:tc>
          <w:tcPr>
            <w:shd w:val="clear" w:color="auto" w:fill="auto"/>
            <w:tcW w:w="232"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科目一</w:t>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K11</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安全用具</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1.材质：ABS/PE/针织布。</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2.产品功能：抗冲击、防砸</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3.符合现行标准《头部防护安全帽》(GB2811)的有关要求。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围杆作业用安全带</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1.围杆式。</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2.材质：高强度丙纶。</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3.长度≥2米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区域限制用安全带</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1.橘色单钩。</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3.度≥2米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坠落悬挂用安全带</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w:t>
            </w:r>
            <w:r>
              <w:rPr>
                <w:rFonts w:hint="eastAsia" w:ascii="仿宋" w:hAnsi="仿宋" w:eastAsia="仿宋" w:cs="仿宋"/>
                <w:color w:val="auto"/>
                <w:sz w:val="22"/>
                <w:szCs w:val="22"/>
                <w:highlight w:val="none"/>
                <w:lang w:val="en-US" w:eastAsia="zh-CN"/>
              </w:rPr>
              <w:t xml:space="preserve">Z-F阻燃五点式双大钩配缓冲</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2.材质：聚酯纤维+合金钢。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.符合现行标准《坠落防护安全带》(GB6095)的有关要求。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安全鞋</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1.材质：帆布 橡胶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2.功能：高帮、系带、防滑。</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3.符合现行标准《足部防护安全鞋》(GB21148)的有关要求。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脚扣</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737" w:type="pct"/>
            <w:vAlign w:val="center"/>
            <w:textDirection w:val="lrTb"/>
            <w:noWrap w:val="false"/>
          </w:tcPr>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1.产品规格：250型。</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2.适用杆高：6-8m电线杆。</w:t>
            </w:r>
            <w:r/>
          </w:p>
          <w:p>
            <w:pPr>
              <w:ind w:left="0" w:right="0" w:firstLine="0"/>
              <w:jc w:val="left"/>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3.材质：锰钢无缝钢管。</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4.符合现行标准《坠落防护登杆脚扣》(AQ6109)的有关要求。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工作服</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1.材质：纯棉</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2.功能：耐穿耐磨</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3.款式：长袖</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反光背心</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1.材质：纱网/针织</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2.反光：高度化纤反光条</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3.颜色：蓝色</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手套</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1.材质：尼龙</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2.功能：耐磨、不易打滑</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07" w:type="pct"/>
            <w:vAlign w:val="center"/>
            <w:vMerge w:val="restart"/>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干扰项</w:t>
            </w:r>
            <w:r/>
          </w:p>
        </w:tc>
        <w:tc>
          <w:tcPr>
            <w:shd w:val="clear" w:color="auto" w:fill="auto"/>
            <w:tcW w:w="391"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安全帽</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顶</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非标的、过期的、缺少附件的、轻微损坏的</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07"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安全带</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非标的、过期的、缺少附件的、轻微损坏的。</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207"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安全鞋</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双</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非标的、损坏的。</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衣架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1.材质：塑料+金属</w:t>
            </w:r>
            <w:r/>
          </w:p>
        </w:tc>
      </w:tr>
      <w:tr>
        <w:trPr>
          <w:trHeight w:val="584"/>
        </w:trPr>
        <w:tc>
          <w:tcPr>
            <w:shd w:val="clear" w:color="auto" w:fill="auto"/>
            <w:tcW w:w="232"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科目二</w:t>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K21</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零部件判废</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移动平台各类零部件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有问题的移动平台各类零部件</w:t>
            </w:r>
            <w:r/>
          </w:p>
        </w:tc>
      </w:tr>
      <w:tr>
        <w:trPr>
          <w:trHeight w:val="231"/>
        </w:trPr>
        <w:tc>
          <w:tcPr>
            <w:shd w:val="clear" w:color="auto" w:fill="auto"/>
            <w:tcW w:w="232"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吊篮各类零部件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有问题的吊篮各类零部件</w:t>
            </w:r>
            <w:r/>
          </w:p>
        </w:tc>
      </w:tr>
      <w:tr>
        <w:trPr>
          <w:trHeight w:val="231"/>
        </w:trPr>
        <w:tc>
          <w:tcPr>
            <w:shd w:val="clear" w:color="auto" w:fill="auto"/>
            <w:tcW w:w="232"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单人吊具各类零部件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有问题的单人吊具各类零部件</w:t>
            </w:r>
            <w:r/>
          </w:p>
        </w:tc>
      </w:tr>
      <w:tr>
        <w:trPr>
          <w:trHeight w:val="231"/>
        </w:trPr>
        <w:tc>
          <w:tcPr>
            <w:shd w:val="clear" w:color="auto" w:fill="auto"/>
            <w:tcW w:w="232"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c>
          <w:tcPr>
            <w:shd w:val="clear" w:color="auto" w:fill="auto"/>
            <w:tcW w:w="232"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科目三</w:t>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K31</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移动平台</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移动式操作平台(门式架)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pStyle w:val="1019"/>
              <w:spacing w:before="27" w:beforeAutospacing="0" w:afterAutospacing="0"/>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1.满足搭设1层所需的构配件。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2.门架及配件符合现行标准《门式钢管脚手架》(JG/T13)的有关要求。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3.脚轮符合现行标准《工业脚轮和车轮》(GB/T14687)的有关要求，可调高度、可制动，万向脚轮。</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移动操作架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pStyle w:val="1019"/>
              <w:spacing w:before="49" w:beforeAutospacing="0" w:afterAutospacing="0"/>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1.满足搭设1层所需的构配件。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2.钢管及连接件符合现行标准《建筑施工扣件式钢管脚手架安全技术规范》(JGJ130)对构配件的质量要求，扣件还符合现行标准《钢管脚手架扣件》(GB/T15831)的有关要求。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3.脚轮应符合现行标准《工业脚轮和车 轮》(GB/T 14687)的有关要求，可调高 度、可制动，万向脚轮。</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搭设平台所需的配套工器具</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卷尺：尺带长度：7.5m；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扳手：材质：铬钒合金钢</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工具袋</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材质：帆布</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考评员移动评分系统</w:t>
            </w:r>
            <w:r/>
          </w:p>
        </w:tc>
        <w:tc>
          <w:tcPr>
            <w:shd w:val="clear" w:color="auto" w:fill="auto"/>
            <w:tcW w:w="400" w:type="pct"/>
            <w:vAlign w:val="center"/>
            <w:textDirection w:val="lrTb"/>
            <w:noWrap/>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硬件设备</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屏幕尺寸：≥10.1英寸</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触摸寿命：≥单点触摸5000万次</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内置系统：基于android13及以上安卓系统或同等功能国产系统，内存≥6G+硬盘≥128G</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摄像头：前置：≥800万像素、后置：≥800万像素摄像头。</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系统功能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须满足国家《安全生产考试机构和考试点管理规定》（应急〔2025〕41号）；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jc w:val="left"/>
              <w:widowControl/>
              <w:rPr>
                <w:rFonts w:ascii="仿宋" w:hAnsi="仿宋" w:eastAsia="仿宋" w:cs="仿宋"/>
                <w:b/>
                <w:bCs/>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系统具备以下功能：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考评员登录认证功能，支持账号密码登录与人脸识别登录；</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考生信息确认功能，支持准考证号/身份证号/扫码登录，系统自动推送考生的姓名、准考证号、考试子科目等信息；</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考试题目抽取功能：支持随机抽取考题组卷；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考评员在线评分功能：支持自行配置评分项和否定项；</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考试过程拍照功能：支持上传照片和视频；</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考试评分提醒功能；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考试成绩单生成功能；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成绩查询功能；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评分记录查询功能。</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作业环境显示屏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737" w:type="pct"/>
            <w:vAlign w:val="center"/>
            <w:textDirection w:val="lrTb"/>
            <w:noWrap w:val="false"/>
          </w:tcPr>
          <w:p>
            <w:pPr>
              <w:jc w:val="lef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1.硬件配置：≥32英寸触控显示屏，分辨率≥1920×1080；单点触摸寿命≥5000万次；搭载≥四核心处理器，运行内存≥4G，固态硬盘≥120G，内置操作系统，确保设备运行稳定。</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2.系统功能：需搭载作业环境显示系统，系统可随机生成作业环境信息，以画面结合文字的形式呈现。</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水平生命线装置</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1.头顶式水平生命线系统安装于作业人员头顶上方，提供坠落限位或坠落制动保护，系统由固定锚点、能量缓冲装置、柔性或刚性导轨配合滑轮滑梭连接速差防坠器组成。</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2.支持调节范围为0-18米；支持2人（100kg/人）使用。</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3.符合EN 795:2012及GB38454-2019 标准要求。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1.材质：玻璃钢绝缘、底座橡胶底座。</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禁止、警告、指令、提示四类标示牌</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1.配备禁止、警告、指令、提示等四类安全标志。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2.符合现行标准《安全标志及其使用导则》(GB2894)的有关要求。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K32</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吊篮</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高处作业吊篮</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numPr>
                <w:ilvl w:val="0"/>
                <w:numId w:val="0"/>
              </w:num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吊篮参数要求：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结构层数：单层；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驱动方式：电动；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特性：爬升式；</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额定载重量：不小于500kg；</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吊点平台：双吊点；</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2.吊篮符合现行标准《高处作业吊篮》(GB/T19155)的有关要求。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3.吊篮应装设安全钢丝绳。</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4.吊篮的防坠落装置(安全锁)应在标定期限内使用。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5.吊篮两端应装设限位器、限位开关(限行、断电),保证吊篮起升至最高点时，</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其底部净空高度不小于2m。</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6.吊篮安装应编制专项施工方案并经批准、审核，吊篮安装符合现行标准《高处作业吊篮安装、拆卸、使用技术规程》(JB/T11699)的有关规定。安装后应经调试、验收合格后方可投入使用。</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清洗作业工具</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1.滚刷、塑料水桶</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作业平台</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1.固定式悬挂装置安装平台、扶梯、墙壁、女儿墙等，墙壁高度不小于4m,悬挂装置安装平台有围栏防坠措施。</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作业环境显示屏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1.硬件配置：触控显示屏，分辨率≥1920×1080；单点触摸寿命≥5000万次；搭载≥四核心处理器，运行内存≥4G，固态硬盘≥120G，内置操作系统，确保设备运行稳定。</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2.系统功能：需搭载作业环境显示系统，系统可随机生成作业环境信息，以画面结合文字的形式呈现。</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3.系统支持考生对天气（含晴天、雨、雪、雾场景）、温度、风向、风力环境进行选择。考试时随机生成天气气候画面，考生可更换画面选择正确的天气信息以满足作业要求。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1.材质：玻璃钢绝缘、底座橡胶底座。</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1.配备禁止、警告、指令、提示等四类安全标志。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2.符合现行标准《安全标志及其使用导则》(GB2894)的有关要求。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安全绳</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1.材质：高强度锦纶绳。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2.符合现行标准《坠落防护安全绳》(GB24543)的有关要求。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安全绳自锁器</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1.适用绳径：16-20mm。</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2.符合现行标准《坠落防护带柔性导轨的自锁器》(GB/T24537)的有关要求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低压验电笔</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1.测量范围≤500V/AC</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2.氖泡测电笔</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3.刀杆材料选用优质CR-V钢，全硬热处理，经久耐用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4.符合现行标准《测量、控制和实验室用电气设备的安全要求第1部分：通用要求》(GB4793.1)的有关要求。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K33</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单人吊具</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座板式单人吊具(整套)</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1.材质：涤纶+丙纶+榆木。主绳直径：22mm。副绳直径：18mm。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2.吊具包括挂点装置、悬吊下降系统、坠落保护系统等，符合现行标准《座板式单人吊具悬吊作业安全技术规范》(GB23525)、《坠落防护装备通用技术规范》(GB42297)的有关要求。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3.挂点装置符合现行标准《坠落防护挂点装置》(GB30862)的有关要求。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4.工作绳、安全绳符合现行标准《坠落防护安全绳》(GB24543)的有关要求。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5.下降器符合现行标准《座板式单人吊具悬吊作业安全技术规范》(GB23525)的有关要求。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6.连接器符合现行标准《坠落防护连接器》(GB/T23469)的有关要求。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7.自锁器符合现行标准《坠落防护带柔性导轨的自锁器》(GB/T24537)的有关要求。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清洗作业工具</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1.滚刷：类型：羊毛短毛滚刷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2.塑料水桶：材质：塑料</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作业平台</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1.固定式悬挂装置安装平台、扶梯、墙壁、女儿墙等，墙壁高度不小于2m,作业准备平台有围栏防坠措施。</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作业环境显示屏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1.硬件配置：触控显示屏，分辨率≥1920×1080；单点触摸寿命≥5000万次；搭载≥四核心处理器，运行内存≥4G，固态硬盘≥120G，内置操作系统，确保设备运行稳定。</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2.系统功能：需搭载作业环境显示系统，系统可随机生成作业环境信息，以画面结合文字的形式呈现。</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3.系统支持考生对天气（含晴天、雨、雪、雾场景）、温度、风向、风力环境进行选择。考试时随机生成天气气候画面，考生可更换画面选择正确的天气信息以满足作业要求。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1.材质：玻璃钢绝缘、底座橡胶底座。</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1.配备禁止、警告、指令、提示等四类安全标志。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2.符合现行标准《安全标志及其使用导则》(GB2894)的有关要求。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体重秤</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1.测量范围</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120KG。</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安全防护垫</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张</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1.厚度：≥30cm。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2.材质：帆布+高密度海绵垫。</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restart"/>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K34</w:t>
            </w:r>
            <w:r/>
          </w:p>
        </w:tc>
        <w:tc>
          <w:tcPr>
            <w:shd w:val="clear" w:color="auto" w:fill="auto"/>
            <w:tcW w:w="409" w:type="pct"/>
            <w:vAlign w:val="center"/>
            <w:vMerge w:val="restart"/>
            <w:textDirection w:val="lrTb"/>
            <w:noWrap w:val="false"/>
          </w:tcPr>
          <w:p>
            <w:pPr>
              <w:jc w:val="lef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登杆登塔</w:t>
            </w:r>
            <w:r>
              <w:rPr>
                <w:rFonts w:hint="eastAsia" w:ascii="仿宋" w:hAnsi="仿宋" w:eastAsia="仿宋" w:cs="仿宋"/>
                <w:color w:val="auto"/>
                <w:sz w:val="22"/>
                <w:szCs w:val="22"/>
                <w:highlight w:val="none"/>
                <w:lang w:eastAsia="zh-CN"/>
              </w:rPr>
              <w:t xml:space="preserve">考培设备</w:t>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电杆</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1.符合《环形混凝土电杆》（GB/T4623）国家标准。</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2.尺寸参数：高度按照现场实际情况而定。</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抱箍</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副</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与电杆匹配</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铁塔</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铁塔符合现行标准《输电线路铁塔制造技术条件》(GB/T2694)的有关要求。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一.铁塔材质规格</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1.主材：采用≥L50x50热镀锌角钢，材质为Q235。</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2.辅材：其余构件采用不低于Q235材质的热镀锌钢材，锌层平均厚度≥55μm，符合GB/T2694中第5.1条防腐要求。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二.结构设计要求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整体结构：按比例还原输电线路铁塔局部结构，总高度≥4m，配备防坠落导轨。</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安全标识：在铁塔醒目位置设置“禁止攀爬”“注意安全”“系挂安全带”等安全标识，标识内容、颜色、尺寸符合GB2894《安全标志及其使用导则》要求。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三.安装工艺标准</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铁塔制造与安装严格执行GB/T2694相关条款，构件加工尺寸符合设计要求。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螺栓连接需牢固可靠，扭矩值符合设计要求。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传递绳</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1.材质：尼龙</w:t>
            </w:r>
            <w:r/>
          </w:p>
          <w:p>
            <w:pPr>
              <w:jc w:val="lef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2.直径</w:t>
            </w:r>
            <w:r>
              <w:rPr>
                <w:rFonts w:hint="eastAsia" w:ascii="仿宋" w:hAnsi="仿宋" w:eastAsia="仿宋" w:cs="仿宋"/>
                <w:color w:val="auto"/>
                <w:sz w:val="22"/>
                <w:szCs w:val="22"/>
                <w:highlight w:val="none"/>
                <w:lang w:val="en-US" w:eastAsia="zh-CN"/>
              </w:rPr>
              <w:t xml:space="preserve">≥</w:t>
            </w:r>
            <w:r>
              <w:rPr>
                <w:rFonts w:hint="eastAsia" w:ascii="仿宋" w:hAnsi="仿宋" w:eastAsia="仿宋" w:cs="仿宋"/>
                <w:color w:val="auto"/>
                <w:sz w:val="22"/>
                <w:szCs w:val="22"/>
                <w:highlight w:val="none"/>
              </w:rPr>
              <w:t xml:space="preserve">10mm</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长度≥</w:t>
            </w:r>
            <w:r>
              <w:rPr>
                <w:rFonts w:hint="eastAsia" w:ascii="仿宋" w:hAnsi="仿宋" w:eastAsia="仿宋" w:cs="仿宋"/>
                <w:color w:val="auto"/>
                <w:sz w:val="22"/>
                <w:szCs w:val="22"/>
                <w:highlight w:val="none"/>
              </w:rPr>
              <w:t xml:space="preserve">10m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3.功能：耐磨，强度高</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安装杆(塔)上设备设施所需的配套工器具</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1.扳手：材质：铬钒合金钢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2.卷尺：尺带长度：7.5m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3.铁锤:材质：木/铁</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4.手持电动套筒扳手：类型：无线</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工具袋</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1.材质：帆布</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作业环境显示屏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1.硬件配置：触控显示屏，分辨率≥1920×1080；单点触摸寿命≥5000万次；搭载≥四核心处理器，运行内存≥4G，固态硬盘≥120G，内置操作系统，确保设备运行稳定。</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2.系统功能：需搭载作业环境显示系统，系统可随机生成作业环境信息，以画面结合文字的形式呈现。</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3.系统支持考生对天气（含晴天、雨、雪、雾场景）、温度、风向、风力环境进行选择。考试时随机生成天气气候画面，考生可更换画面选择正确的天气信息以满足作业要求。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安全围栏</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个</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1.材质：玻璃钢绝缘、底座橡胶底座。</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安全标志</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1.配备禁止、警告、指令、提示等四类安全标志。</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2.符合现行标准《安全标志及其使用导则》(GB2894)的有关要求。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器材摆放架</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1.材质：钢</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2.安装方式：卡扣连接</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速差自控器(防坠器)</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套</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1.材质：铝合金内壳+聚丙烯外壳+钢丝绳</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2.尺寸：5m（误差±5%）。</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3.符合现行标准《坠落防护速差自控器》(GB24544)的有关要求。</w:t>
            </w:r>
            <w:r/>
          </w:p>
        </w:tc>
      </w:tr>
      <w:tr>
        <w:trPr/>
        <w:tc>
          <w:tcPr>
            <w:shd w:val="clear" w:color="auto" w:fill="auto"/>
            <w:tcW w:w="232"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391" w:type="pct"/>
            <w:vAlign w:val="center"/>
            <w:vMerge w:val="continue"/>
            <w:textDirection w:val="lrTb"/>
            <w:noWrap/>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shd w:val="clear" w:color="auto" w:fill="auto"/>
            <w:tcW w:w="409" w:type="pct"/>
            <w:vAlign w:val="center"/>
            <w:vMerge w:val="continue"/>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gridSpan w:val="2"/>
            <w:shd w:val="clear" w:color="auto" w:fill="auto"/>
            <w:tcW w:w="598"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安全防护垫</w:t>
            </w:r>
            <w:r/>
          </w:p>
        </w:tc>
        <w:tc>
          <w:tcPr>
            <w:shd w:val="clear" w:color="auto" w:fill="auto"/>
            <w:tcW w:w="400"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shd w:val="clear" w:color="auto" w:fill="auto"/>
            <w:tcW w:w="229" w:type="pct"/>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张</w:t>
            </w:r>
            <w:r/>
          </w:p>
        </w:tc>
        <w:tc>
          <w:tcPr>
            <w:shd w:val="clear" w:color="auto" w:fill="auto"/>
            <w:tcW w:w="2737" w:type="pct"/>
            <w:vAlign w:val="center"/>
            <w:textDirection w:val="lrTb"/>
            <w:noWrap w:val="false"/>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1.厚度：≥30cm。</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2.材质：帆布+高密度海绵垫。</w:t>
            </w:r>
            <w:r/>
          </w:p>
        </w:tc>
      </w:tr>
    </w:tbl>
    <w:p>
      <w:pP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br w:type="page" w:clear="all"/>
      </w:r>
      <w:r/>
    </w:p>
    <w:p>
      <w:pPr>
        <w:contextualSpacing/>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2.升级改造设备需求</w:t>
      </w:r>
      <w:r/>
    </w:p>
    <w:tbl>
      <w:tblPr>
        <w:tblStyle w:val="100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799"/>
        <w:gridCol w:w="699"/>
        <w:gridCol w:w="1049"/>
        <w:gridCol w:w="657"/>
        <w:gridCol w:w="541"/>
        <w:gridCol w:w="4832"/>
      </w:tblGrid>
      <w:tr>
        <w:trPr>
          <w:jc w:val="center"/>
          <w:trHeight w:val="0"/>
          <w:tblHeader/>
        </w:trPr>
        <w:tc>
          <w:tcPr>
            <w:shd w:val="clear" w:color="auto" w:fill="auto"/>
            <w:tcW w:w="356"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shd w:val="clear" w:color="auto" w:fill="auto"/>
            <w:tcW w:w="432"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编号</w:t>
            </w:r>
            <w:r/>
          </w:p>
        </w:tc>
        <w:tc>
          <w:tcPr>
            <w:shd w:val="clear" w:color="auto" w:fill="auto"/>
            <w:tcW w:w="378"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lang w:eastAsia="zh-CN"/>
              </w:rPr>
              <w:t xml:space="preserve">考培设备</w:t>
            </w:r>
            <w:r>
              <w:rPr>
                <w:rFonts w:hint="eastAsia" w:ascii="仿宋" w:hAnsi="仿宋" w:eastAsia="仿宋" w:cs="仿宋"/>
                <w:b/>
                <w:color w:val="auto"/>
                <w:sz w:val="22"/>
                <w:szCs w:val="22"/>
                <w:highlight w:val="none"/>
              </w:rPr>
              <w:t xml:space="preserve">名称</w:t>
            </w:r>
            <w:r/>
          </w:p>
        </w:tc>
        <w:tc>
          <w:tcPr>
            <w:shd w:val="clear" w:color="auto" w:fill="auto"/>
            <w:tcW w:w="567"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设备/设施/器材</w:t>
            </w:r>
            <w:r/>
          </w:p>
        </w:tc>
        <w:tc>
          <w:tcPr>
            <w:shd w:val="clear" w:color="auto" w:fill="auto"/>
            <w:tcW w:w="355"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数量</w:t>
            </w:r>
            <w:r/>
          </w:p>
        </w:tc>
        <w:tc>
          <w:tcPr>
            <w:shd w:val="clear" w:color="auto" w:fill="auto"/>
            <w:tcW w:w="292" w:type="pct"/>
            <w:vAlign w:val="center"/>
            <w:textDirection w:val="lrTb"/>
            <w:noWrap/>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单位</w:t>
            </w:r>
            <w:r/>
          </w:p>
        </w:tc>
        <w:tc>
          <w:tcPr>
            <w:shd w:val="clear" w:color="auto" w:fill="auto"/>
            <w:tcW w:w="2616" w:type="pct"/>
            <w:vAlign w:val="center"/>
            <w:textDirection w:val="lrTb"/>
            <w:noWrap w:val="false"/>
          </w:tcPr>
          <w:p>
            <w:pPr>
              <w:ind w:left="0" w:right="0" w:firstLine="0"/>
              <w:jc w:val="center"/>
              <w:keepNext/>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标准要求</w:t>
            </w:r>
            <w:r/>
          </w:p>
        </w:tc>
      </w:tr>
      <w:tr>
        <w:trPr>
          <w:jc w:val="center"/>
          <w:trHeight w:val="0"/>
        </w:trPr>
        <w:tc>
          <w:tcPr>
            <w:shd w:val="clear" w:color="auto" w:fill="auto"/>
            <w:tcW w:w="356" w:type="pct"/>
            <w:vAlign w:val="center"/>
            <w:textDirection w:val="lrTb"/>
            <w:noWrap/>
          </w:tcPr>
          <w:p>
            <w:pPr>
              <w:rPr>
                <w:rFonts w:hint="default"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通用科目四</w:t>
            </w:r>
            <w:r/>
          </w:p>
        </w:tc>
        <w:tc>
          <w:tcPr>
            <w:shd w:val="clear" w:color="auto" w:fill="auto"/>
            <w:tcW w:w="432" w:type="pct"/>
            <w:vAlign w:val="center"/>
            <w:textDirection w:val="lrTb"/>
            <w:noWrap/>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通用科目四作业现场应急处置</w:t>
            </w:r>
            <w:r/>
          </w:p>
        </w:tc>
        <w:tc>
          <w:tcPr>
            <w:shd w:val="clear" w:color="auto" w:fill="auto"/>
            <w:tcW w:w="378"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灭火器选择与使用</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ind w:left="0" w:right="0" w:firstLine="0"/>
              <w:jc w:val="center"/>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灭火器的选择和使用实操考培设备</w:t>
            </w:r>
            <w:r/>
          </w:p>
        </w:tc>
        <w:tc>
          <w:tcPr>
            <w:shd w:val="clear" w:color="auto" w:fill="auto"/>
            <w:tcW w:w="355"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p>
        </w:tc>
        <w:tc>
          <w:tcPr>
            <w:shd w:val="clear" w:color="auto" w:fill="auto"/>
            <w:tcW w:w="292" w:type="pct"/>
            <w:vAlign w:val="center"/>
            <w:textDirection w:val="lrTb"/>
            <w:noWrap/>
          </w:tcPr>
          <w:p>
            <w:pPr>
              <w:ind w:left="0" w:right="0" w:firstLine="0"/>
              <w:jc w:val="center"/>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套</w:t>
            </w:r>
            <w:r/>
          </w:p>
        </w:tc>
        <w:tc>
          <w:tcPr>
            <w:shd w:val="clear" w:color="auto" w:fill="auto"/>
            <w:tcW w:w="2616" w:type="pct"/>
            <w:vAlign w:val="center"/>
            <w:textDirection w:val="lrTb"/>
            <w:noWrap w:val="false"/>
          </w:tcPr>
          <w:p>
            <w:pPr>
              <w:ind w:left="0" w:right="0" w:firstLine="0"/>
              <w:jc w:val="left"/>
              <w:keepNex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在原来设备上进行改造，满足以下功能：</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灭火器的选择与使用实操</w:t>
            </w:r>
            <w:r>
              <w:rPr>
                <w:rFonts w:hint="eastAsia" w:ascii="仿宋" w:hAnsi="仿宋" w:eastAsia="仿宋" w:cs="仿宋"/>
                <w:color w:val="auto"/>
                <w:sz w:val="22"/>
                <w:szCs w:val="22"/>
                <w:highlight w:val="none"/>
                <w:lang w:eastAsia="zh-CN"/>
              </w:rPr>
              <w:t xml:space="preserve">考培设备</w:t>
            </w:r>
            <w:r>
              <w:rPr>
                <w:rFonts w:hint="eastAsia" w:ascii="仿宋" w:hAnsi="仿宋" w:eastAsia="仿宋" w:cs="仿宋"/>
                <w:color w:val="auto"/>
                <w:sz w:val="22"/>
                <w:szCs w:val="22"/>
                <w:highlight w:val="none"/>
              </w:rPr>
              <w:t xml:space="preserve">建设及考核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考试的专业性与规范性。</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2.灭火器的选择和使用实操考核装置需配置灭火器的选择和使用实操智能网络考核系统。系统建设严格遵循国家标准和规范，在设计上秉持“软件+实物”的创新原则。其中，“软件触控”部分通过人机交互界面，考生可进行场景选择、信息录入等操作；“实物智能”需体现在考生需实际操作配备的智能灭火器及相关设备，完成识别火源类型、选择合适灭火器、模拟灭火操作等任务，以此全面完成大纲内容的实操考核。</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3.考核系统性能要求：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（1）必须满足应急[2025]41号《安全生产考试机构和考试点管理规定》；</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为提高考试效率，要求灭火器的选择和使用考试设备作为单独的考试科目，不与其他考核科目集成使用</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产品要求实现人机交互，场景中第一人称位置根据考生现场实际位置移动而同步发生变动，支持识别侧身等行为，并且屏幕中人物实时根据人物状态响应，并在视觉成像设备上实时呈现灭火距离的同步变化</w:t>
            </w:r>
            <w:r>
              <w:rPr>
                <w:rFonts w:hint="eastAsia" w:ascii="仿宋" w:hAnsi="仿宋" w:eastAsia="仿宋" w:cs="仿宋"/>
                <w:color w:val="auto"/>
                <w:sz w:val="22"/>
                <w:szCs w:val="22"/>
                <w:highlight w:val="none"/>
                <w:lang w:eastAsia="zh-CN"/>
              </w:rPr>
              <w:t xml:space="preserve">；</w:t>
            </w:r>
            <w:r/>
          </w:p>
          <w:p>
            <w:pPr>
              <w:ind w:left="0" w:right="0" w:firstLine="0"/>
              <w:jc w:val="left"/>
              <w:keepNext/>
              <w:widowControl/>
              <w:rPr>
                <w:rFonts w:hint="default" w:ascii="仿宋" w:hAnsi="仿宋" w:eastAsia="仿宋" w:cs="仿宋"/>
                <w:i w:val="0"/>
                <w:iCs w:val="0"/>
                <w:color w:val="auto"/>
                <w:sz w:val="20"/>
                <w:szCs w:val="20"/>
                <w:highlight w:val="none"/>
                <w:u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系统识别操作者使用灭火器的种类，并根据操作者的灭火操作，火灾情景实时动态变化，如在灭火器喷洒下，火焰变弱，最终熄灭的效果。</w:t>
            </w:r>
            <w:r/>
          </w:p>
        </w:tc>
      </w:tr>
      <w:tr>
        <w:trPr>
          <w:jc w:val="center"/>
          <w:trHeight w:val="0"/>
        </w:trPr>
        <w:tc>
          <w:tcPr>
            <w:shd w:val="clear" w:color="auto" w:fill="auto"/>
            <w:tcW w:w="356" w:type="pct"/>
            <w:vAlign w:val="center"/>
            <w:textDirection w:val="lrTb"/>
            <w:noWrap/>
          </w:tcPr>
          <w:p>
            <w:pPr>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高压电工</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科目二</w:t>
            </w:r>
            <w:r/>
          </w:p>
          <w:p>
            <w:pPr>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shd w:val="clear" w:color="auto" w:fill="auto"/>
            <w:tcW w:w="432" w:type="pct"/>
            <w:vAlign w:val="center"/>
            <w:textDirection w:val="lrTb"/>
            <w:noWrap/>
          </w:tcPr>
          <w:p>
            <w:pPr>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K21</w:t>
            </w:r>
            <w:r/>
          </w:p>
        </w:tc>
        <w:tc>
          <w:tcPr>
            <w:shd w:val="clear" w:color="auto" w:fill="auto"/>
            <w:tcW w:w="378" w:type="pct"/>
            <w:vAlign w:val="center"/>
            <w:textDirection w:val="lrTb"/>
            <w:noWrap w:val="false"/>
          </w:tcPr>
          <w:p>
            <w:pPr>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作业现场安全隐患排除</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作业现场安全隐患排除场景</w:t>
            </w:r>
            <w:r/>
          </w:p>
        </w:tc>
        <w:tc>
          <w:tcPr>
            <w:shd w:val="clear" w:color="auto" w:fill="auto"/>
            <w:tcW w:w="35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92"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616" w:type="pct"/>
            <w:vAlign w:val="center"/>
            <w:textDirection w:val="lrTb"/>
            <w:noWrap w:val="false"/>
          </w:tcPr>
          <w:p>
            <w:pPr>
              <w:jc w:val="lef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在原来设备上进行改造，满足以下功能：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1.场景内容：辨识开关柜停（送）电作业风险隐患；辨识柱上变压器停（送）电作业风险隐患</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2.配备设备：高压柜；柱上变压器；假人；电工安全工器具等</w:t>
            </w:r>
            <w:r/>
          </w:p>
          <w:p>
            <w:pPr>
              <w:jc w:val="left"/>
              <w:widowControl/>
              <w:rPr>
                <w:rFonts w:hint="eastAsia" w:ascii="Times New Roman" w:hAnsi="Times New Roman" w:eastAsia="楷体_GB2312" w:cs="Times New Roman"/>
                <w:color w:val="auto"/>
                <w:sz w:val="26"/>
                <w:highlight w:val="none"/>
                <w:lang w:val="en-US" w:eastAsia="zh-CN" w:bidi="ar-SA"/>
              </w:rPr>
            </w:pPr>
            <w:r>
              <w:rPr>
                <w:rFonts w:hint="eastAsia" w:ascii="仿宋" w:hAnsi="仿宋" w:eastAsia="仿宋" w:cs="仿宋"/>
                <w:color w:val="auto"/>
                <w:sz w:val="22"/>
                <w:szCs w:val="22"/>
                <w:highlight w:val="none"/>
              </w:rPr>
              <w:t xml:space="preserve">3.模拟作业现场安全隐患排除场景</w:t>
            </w:r>
            <w:r/>
          </w:p>
        </w:tc>
      </w:tr>
      <w:tr>
        <w:trPr>
          <w:jc w:val="center"/>
          <w:trHeight w:val="0"/>
        </w:trPr>
        <w:tc>
          <w:tcPr>
            <w:shd w:val="clear" w:color="auto" w:fill="auto"/>
            <w:tcW w:w="356"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rPr>
              <w:t xml:space="preserve">高压电工</w:t>
            </w:r>
            <w:r>
              <w:rPr>
                <w:rFonts w:hint="eastAsia" w:ascii="仿宋" w:hAnsi="仿宋" w:eastAsia="仿宋" w:cs="仿宋"/>
                <w:color w:val="auto"/>
                <w:sz w:val="22"/>
                <w:szCs w:val="22"/>
                <w:highlight w:val="none"/>
              </w:rPr>
              <w:t xml:space="preserve">科目三</w:t>
            </w:r>
            <w:r/>
          </w:p>
        </w:tc>
        <w:tc>
          <w:tcPr>
            <w:shd w:val="clear" w:color="auto" w:fill="auto"/>
            <w:tcW w:w="432"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K31</w:t>
            </w:r>
            <w:r/>
          </w:p>
        </w:tc>
        <w:tc>
          <w:tcPr>
            <w:shd w:val="clear" w:color="auto" w:fill="auto"/>
            <w:tcW w:w="378"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10/0.4kV变配电系统(成套开关柜)</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高压开关柜(整套)：</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进线柜*1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计量柜*1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PT柜*1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出线柜*1</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操作开关柜的附属配件及工器具*1</w:t>
            </w:r>
            <w:r/>
          </w:p>
        </w:tc>
        <w:tc>
          <w:tcPr>
            <w:shd w:val="clear" w:color="auto" w:fill="auto"/>
            <w:tcW w:w="355" w:type="pct"/>
            <w:vAlign w:val="center"/>
            <w:textDirection w:val="lrTb"/>
            <w:noWrap/>
          </w:tcPr>
          <w:p>
            <w:pPr>
              <w:jc w:val="righ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92"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616" w:type="pct"/>
            <w:vAlign w:val="center"/>
            <w:textDirection w:val="lrTb"/>
            <w:noWrap w:val="false"/>
          </w:tcPr>
          <w:p>
            <w:pPr>
              <w:jc w:val="left"/>
              <w:widowControl/>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在原来设备上进行改造，满足以下功能：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设备要求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工作电源：AC380V，50Hz，系统功耗≤500W。</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开关柜要求：</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采用标准尺寸的KYN28型中置式10kV高压开关柜</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外壳材质为冷轧板喷塑，柜体采用并柜安装方式，边柜均配置整面封板。</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柜体采用抗腐蚀、抗氧化、高强度优质板材，采用无焊点螺栓连接全组装结构，封闭后防护等级达到IP4X。</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整个柜体由接地的金属隔板分隔成母线室、继电器室、断路器手车室和电缆室四个功能小室，各功能单元设有独立的压力释放通道和释放门，需完全符合国标要求，具有完整的“五防”功能。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主要配置参数及详细功能要求</w:t>
            </w:r>
            <w:r/>
          </w:p>
          <w:p>
            <w:pPr>
              <w:pStyle w:val="1058"/>
              <w:ind w:left="254" w:right="52" w:hanging="180"/>
              <w:spacing w:before="13"/>
              <w:widowControl/>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 xml:space="preserve">高压开关柜应符合现行标准《高压交流开关设备和控制设备标准的共用技术要求》(GB/T11022)的有关要求。</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(整套)需为KYN28型中置式10kV高压开关柜，包含由进线柜（KYN28A-12型）1面、计量柜（KYN28-12型）1面、PT柜（KYN28-12型）1面、出线柜（KYN28-12型）1面以及1套操作开关柜的附属配件及工器具。</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进线柜（KYN28A-12型）</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断路器：配备1台手车式高压真空断路器，额定电压10kV，额定电流630A。</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①</w:t>
            </w:r>
            <w:r>
              <w:rPr>
                <w:rFonts w:hint="eastAsia" w:ascii="仿宋" w:hAnsi="仿宋" w:eastAsia="仿宋" w:cs="仿宋"/>
                <w:color w:val="auto"/>
                <w:sz w:val="22"/>
                <w:szCs w:val="22"/>
                <w:highlight w:val="none"/>
              </w:rPr>
              <w:t xml:space="preserve">断路器机械结构必须能够承受学员频繁操作，机械寿命≥30000次。</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②</w:t>
            </w:r>
            <w:r>
              <w:rPr>
                <w:rFonts w:hint="eastAsia" w:ascii="仿宋" w:hAnsi="仿宋" w:eastAsia="仿宋" w:cs="仿宋"/>
                <w:color w:val="auto"/>
                <w:sz w:val="22"/>
                <w:szCs w:val="22"/>
                <w:highlight w:val="none"/>
              </w:rPr>
              <w:t xml:space="preserve">手车操作室内安装稳定高导轨，确保断路器手车推进或抽出轻巧便捷；</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③</w:t>
            </w:r>
            <w:r>
              <w:rPr>
                <w:rFonts w:hint="eastAsia" w:ascii="仿宋" w:hAnsi="仿宋" w:eastAsia="仿宋" w:cs="仿宋"/>
                <w:color w:val="auto"/>
                <w:sz w:val="22"/>
                <w:szCs w:val="22"/>
                <w:highlight w:val="none"/>
              </w:rPr>
              <w:t xml:space="preserve">为满足手车断路器与母排侧和电缆侧自动隔离要求，手车室内设计带自动锁扣，锁扣解锁时间≤0.5s。</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④</w:t>
            </w:r>
            <w:r>
              <w:rPr>
                <w:rFonts w:hint="eastAsia" w:ascii="仿宋" w:hAnsi="仿宋" w:eastAsia="仿宋" w:cs="仿宋"/>
                <w:color w:val="auto"/>
                <w:sz w:val="22"/>
                <w:szCs w:val="22"/>
                <w:highlight w:val="none"/>
              </w:rPr>
              <w:t xml:space="preserve">断路器状态、手车位置为试验位置及工作位置均能在开关状态显示仪显示，其中面板还包含双色指示灯以及其机械位置。</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开关状态指示仪：配置1台额定电压220V的开关状态指示仪（高压开关智能操控装置），具备显示开关状态、小车工作位置、试验位置、断路器位置等功能。柜面可清晰看到弹簧储能状态、高压带电指示、温湿度控制器等状态。</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避雷器：额定电压10kV，大电流冲击耐受≥40kA。</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进线柜需具备多种故障模拟类型，涵盖失压跳闸、过载/过负荷、短路等基础故障场景。</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进线柜能模拟失压跳闸故障、过载/过负荷保护故障、短路保护故障等故障场景，每种故障模拟均须在综保装置上显示对应的保护动作事项。</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）计量柜（KYN28-12型）</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互感器与电表：配置电流互感器、全封闭电压互感器，精度等级≥0.2，需实现对电能的准确计量，并配置计量电度表。</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计量电度表需采用多功能智能电表，支持RS485、以太网双通讯接口，且具备带电显示、温湿度控制等功能。</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PT柜（KYN28-12型）</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PT手车1台，额定电流630A，内装电压互感器2台，额定电压：10/0.1kV；高分段熔断器1组，额定电流1A。</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开关状态指示仪：配置额定电压220V的开关状态指示仪(高压开关智能操控装置)，可显示开关状态、小车工作位置、试验位置等状态。</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其他配置：设置独立的手车工作位置指示、试验位置指示，配置转换开关一套，电压表一个。</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出线柜（KYN28-12型）</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断路器：1台手车式高压真空断路器，额定电压12kV，额定电流630A，断路器各项要求与进线柜一致。</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接地开关：配备1台接地开关。</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开关状态指示仪：额定电压220V，具备显示开关状态、小车工作位置、试验位置、断路器位置、接地刀位置、柜面可清晰看到弹簧储能状态、高压带电指示、温湿度控制等功能状态。</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避雷器：额定电压10kV，大电流冲击耐受≥40kA，残压比≤1.8（8/20μs波形）。</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出线柜设置独立的断路器手车储能指示、工作位置指示、试验位置指示。</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出线柜能模拟失压跳闸故障、过载/过负荷保护故障、短路保护故障、轻瓦斯告警故障、超温告警故障、重瓦斯跳闸故障、超温跳闸故障等，且均可在综保装置上显示对应的保护动作事项。</w:t>
            </w:r>
            <w:r/>
          </w:p>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操作开关柜的附属配件及工器具包括：绝缘手套2双，绝缘鞋2双，安全帽2顶。</w:t>
            </w:r>
            <w:r/>
          </w:p>
        </w:tc>
      </w:tr>
      <w:tr>
        <w:trPr>
          <w:jc w:val="center"/>
          <w:trHeight w:val="0"/>
        </w:trPr>
        <w:tc>
          <w:tcPr>
            <w:shd w:val="clear" w:color="auto" w:fill="auto"/>
            <w:tcW w:w="356" w:type="pct"/>
            <w:vAlign w:val="center"/>
            <w:textDirection w:val="lrTb"/>
            <w:noWrap/>
          </w:tcPr>
          <w:p>
            <w:pPr>
              <w:rPr>
                <w:rFonts w:hint="default"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高处作业</w:t>
            </w:r>
            <w:r>
              <w:rPr>
                <w:rFonts w:hint="eastAsia" w:ascii="仿宋" w:hAnsi="仿宋" w:eastAsia="仿宋" w:cs="仿宋"/>
                <w:color w:val="auto"/>
                <w:sz w:val="22"/>
                <w:szCs w:val="22"/>
                <w:highlight w:val="none"/>
                <w:lang w:val="en-US" w:eastAsia="zh-CN" w:bidi="ar-SA"/>
              </w:rPr>
              <w:t xml:space="preserve">科目二</w:t>
            </w:r>
            <w:r/>
          </w:p>
        </w:tc>
        <w:tc>
          <w:tcPr>
            <w:shd w:val="clear" w:color="auto" w:fill="auto"/>
            <w:tcW w:w="432" w:type="pct"/>
            <w:vAlign w:val="center"/>
            <w:textDirection w:val="lrTb"/>
            <w:noWrap/>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K22</w:t>
            </w:r>
            <w:r/>
          </w:p>
        </w:tc>
        <w:tc>
          <w:tcPr>
            <w:shd w:val="clear" w:color="auto" w:fill="auto"/>
            <w:tcW w:w="378"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作业现场安全隐患排除</w:t>
            </w:r>
            <w:r>
              <w:rPr>
                <w:rFonts w:hint="eastAsia" w:ascii="仿宋" w:hAnsi="仿宋" w:eastAsia="仿宋" w:cs="仿宋"/>
                <w:color w:val="auto"/>
                <w:sz w:val="22"/>
                <w:szCs w:val="22"/>
                <w:highlight w:val="none"/>
                <w:lang w:eastAsia="zh-CN"/>
              </w:rPr>
              <w:t xml:space="preserve">考培设备</w:t>
            </w:r>
            <w:r/>
          </w:p>
        </w:tc>
        <w:tc>
          <w:tcPr>
            <w:shd w:val="clear" w:color="auto" w:fill="auto"/>
            <w:tcW w:w="567" w:type="pct"/>
            <w:vAlign w:val="center"/>
            <w:textDirection w:val="lrTb"/>
            <w:noWrap w:val="false"/>
          </w:tcPr>
          <w:p>
            <w:pPr>
              <w:jc w:val="lef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作业现场安全隐患排除场景</w:t>
            </w:r>
            <w:r/>
          </w:p>
        </w:tc>
        <w:tc>
          <w:tcPr>
            <w:shd w:val="clear" w:color="auto" w:fill="auto"/>
            <w:tcW w:w="355" w:type="pct"/>
            <w:vAlign w:val="center"/>
            <w:textDirection w:val="lrTb"/>
            <w:noWrap/>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1</w:t>
            </w:r>
            <w:r/>
          </w:p>
        </w:tc>
        <w:tc>
          <w:tcPr>
            <w:shd w:val="clear" w:color="auto" w:fill="auto"/>
            <w:tcW w:w="292" w:type="pct"/>
            <w:vAlign w:val="center"/>
            <w:textDirection w:val="lrTb"/>
            <w:noWrap/>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套</w:t>
            </w:r>
            <w:r/>
          </w:p>
        </w:tc>
        <w:tc>
          <w:tcPr>
            <w:shd w:val="clear" w:color="auto" w:fill="auto"/>
            <w:tcW w:w="2616" w:type="pct"/>
            <w:vAlign w:val="center"/>
            <w:textDirection w:val="lrTb"/>
            <w:noWrap w:val="false"/>
          </w:tcPr>
          <w:p>
            <w:pPr>
              <w:jc w:val="left"/>
              <w:widowControl/>
              <w:rPr>
                <w:rFonts w:hint="default"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lang w:val="en-US" w:eastAsia="zh-CN"/>
              </w:rPr>
              <w:t xml:space="preserve">在原来设备上进行改造，满足以下功能：</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1.场景内容：辨识作业人员风险隐患；辨识移动平台风险隐患；辨识吊篮风险隐患；辨识单人吊具风险隐患；辨识杆塔风险隐患</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2.配备设备：移动平台；假人；单人吊具、吊篮、电杆、铁塔等</w:t>
            </w:r>
            <w:r/>
          </w:p>
          <w:p>
            <w:pPr>
              <w:jc w:val="left"/>
              <w:widowControl/>
              <w:rPr>
                <w:rFonts w:hint="eastAsia" w:ascii="Times New Roman" w:hAnsi="Times New Roman" w:eastAsia="楷体_GB2312" w:cs="Times New Roman"/>
                <w:color w:val="auto"/>
                <w:sz w:val="26"/>
                <w:highlight w:val="none"/>
                <w:lang w:val="en-US" w:eastAsia="zh-CN" w:bidi="ar-SA"/>
              </w:rPr>
            </w:pPr>
            <w:r>
              <w:rPr>
                <w:rFonts w:hint="eastAsia" w:ascii="仿宋" w:hAnsi="仿宋" w:eastAsia="仿宋" w:cs="仿宋"/>
                <w:color w:val="auto"/>
                <w:sz w:val="22"/>
                <w:szCs w:val="22"/>
                <w:highlight w:val="none"/>
              </w:rPr>
              <w:t xml:space="preserve">3.模拟作业现场安全隐患排除场景</w:t>
            </w:r>
            <w:r/>
          </w:p>
        </w:tc>
      </w:tr>
    </w:tbl>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3.项目需求产品的技术参数响应：</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为鼓励不同品牌的充分竞争，如某主要技术参数属于个别品牌专有，则该主要技术参数不具有限制性，供应商可以自行调整，但必须保证“正偏离</w:t>
      </w:r>
      <w:r>
        <w:rPr>
          <w:rFonts w:hint="eastAsia" w:ascii="仿宋" w:hAnsi="仿宋" w:eastAsia="仿宋" w:cs="仿宋"/>
          <w:b/>
          <w:color w:val="auto"/>
          <w:sz w:val="24"/>
          <w:szCs w:val="24"/>
          <w:highlight w:val="none"/>
          <w:lang w:val="en-US" w:eastAsia="zh-CN"/>
        </w:rPr>
        <w:t xml:space="preserve">或无偏离</w:t>
      </w:r>
      <w:r>
        <w:rPr>
          <w:rFonts w:hint="eastAsia" w:ascii="仿宋" w:hAnsi="仿宋" w:eastAsia="仿宋" w:cs="仿宋"/>
          <w:b/>
          <w:color w:val="auto"/>
          <w:sz w:val="24"/>
          <w:szCs w:val="24"/>
          <w:highlight w:val="none"/>
        </w:rPr>
        <w:t xml:space="preserve">”。公开招标响应供应商可对提供的竞标产品涉及的技术参数进行对比参照，并具体提供以下材料：</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（1）指标排它性的证明材料；</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（2）产品调整对比表；</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（3）调整后产品的详细技术参数；</w:t>
      </w:r>
      <w:r/>
    </w:p>
    <w:p>
      <w:pPr>
        <w:contextualSpacing/>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三、采购标的数量</w:t>
      </w:r>
      <w:r>
        <w:rPr>
          <w:rFonts w:hint="eastAsia" w:ascii="仿宋" w:hAnsi="仿宋" w:eastAsia="仿宋" w:cs="仿宋"/>
          <w:b/>
          <w:bCs/>
          <w:color w:val="auto"/>
          <w:sz w:val="24"/>
          <w:szCs w:val="24"/>
          <w:highlight w:val="none"/>
          <w:lang w:val="en-US" w:eastAsia="zh-CN"/>
        </w:rPr>
        <w:t xml:space="preserve">及技术要求</w:t>
      </w:r>
      <w:r/>
    </w:p>
    <w:p>
      <w:pPr>
        <w:ind w:firstLine="281"/>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i w:val="0"/>
          <w:iCs w:val="0"/>
          <w:color w:val="auto"/>
          <w:sz w:val="28"/>
          <w:szCs w:val="28"/>
          <w:highlight w:val="none"/>
          <w:u w:val="single"/>
          <w:lang w:val="en-US" w:eastAsia="zh-CN"/>
        </w:rPr>
        <w:t xml:space="preserve">注明：</w:t>
      </w:r>
      <w:r>
        <w:rPr>
          <w:rFonts w:hint="eastAsia" w:ascii="仿宋" w:hAnsi="仿宋" w:eastAsia="仿宋" w:cs="仿宋"/>
          <w:b/>
          <w:bCs/>
          <w:i w:val="0"/>
          <w:iCs w:val="0"/>
          <w:color w:val="auto"/>
          <w:sz w:val="28"/>
          <w:szCs w:val="28"/>
          <w:highlight w:val="none"/>
          <w:u w:val="single"/>
        </w:rPr>
        <w:t xml:space="preserve">以上条款为技术条款中的实质性条款，需在技术部分正负偏离表中逐条响应，负偏离则符合性审查不通过，作为无效投标处理</w:t>
      </w:r>
      <w:r>
        <w:rPr>
          <w:rFonts w:hint="eastAsia" w:ascii="仿宋" w:hAnsi="仿宋" w:eastAsia="仿宋" w:cs="仿宋"/>
          <w:b/>
          <w:bCs/>
          <w:i w:val="0"/>
          <w:iCs w:val="0"/>
          <w:color w:val="auto"/>
          <w:sz w:val="28"/>
          <w:szCs w:val="28"/>
          <w:highlight w:val="none"/>
          <w:u w:val="single"/>
          <w:lang w:eastAsia="zh-CN"/>
        </w:rPr>
        <w:t xml:space="preserve">。</w:t>
      </w:r>
      <w:r/>
    </w:p>
    <w:p>
      <w:pPr>
        <w:pStyle w:val="1015"/>
        <w:spacing w:before="120" w:after="120" w:line="360" w:lineRule="auto"/>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四、采购标的需满足的服务要求（升级、维护、安装、调试、</w:t>
      </w:r>
      <w:r>
        <w:rPr>
          <w:rFonts w:hint="eastAsia" w:ascii="仿宋" w:hAnsi="仿宋" w:eastAsia="仿宋" w:cs="仿宋"/>
          <w:b/>
          <w:bCs/>
          <w:color w:val="auto"/>
          <w:sz w:val="24"/>
          <w:szCs w:val="24"/>
          <w:highlight w:val="none"/>
          <w:lang w:val="en-US" w:eastAsia="zh-CN"/>
        </w:rPr>
        <w:t xml:space="preserve">售后服务、</w:t>
      </w:r>
      <w:r>
        <w:rPr>
          <w:rFonts w:hint="eastAsia" w:ascii="仿宋" w:hAnsi="仿宋" w:eastAsia="仿宋" w:cs="仿宋"/>
          <w:b/>
          <w:bCs/>
          <w:color w:val="auto"/>
          <w:sz w:val="24"/>
          <w:szCs w:val="24"/>
          <w:highlight w:val="none"/>
        </w:rPr>
        <w:t xml:space="preserve">培训要求）</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.产品使用中，接到采购方电话通知后，</w:t>
      </w:r>
      <w:r>
        <w:rPr>
          <w:rFonts w:hint="eastAsia" w:ascii="仿宋" w:hAnsi="仿宋" w:eastAsia="仿宋" w:cs="仿宋"/>
          <w:bCs/>
          <w:color w:val="auto"/>
          <w:sz w:val="24"/>
          <w:szCs w:val="24"/>
          <w:highlight w:val="none"/>
          <w:lang w:val="en-US" w:eastAsia="zh-CN"/>
        </w:rPr>
        <w:t xml:space="preserve">需</w:t>
      </w:r>
      <w:r>
        <w:rPr>
          <w:rFonts w:hint="eastAsia" w:ascii="仿宋" w:hAnsi="仿宋" w:eastAsia="仿宋" w:cs="仿宋"/>
          <w:bCs/>
          <w:color w:val="auto"/>
          <w:sz w:val="24"/>
          <w:szCs w:val="24"/>
          <w:highlight w:val="none"/>
        </w:rPr>
        <w:t xml:space="preserve">在一小时内提供技术指导或远程维护，</w:t>
      </w:r>
      <w:r>
        <w:rPr>
          <w:rFonts w:hint="eastAsia" w:ascii="仿宋" w:hAnsi="仿宋" w:eastAsia="仿宋" w:cs="仿宋"/>
          <w:bCs/>
          <w:color w:val="auto"/>
          <w:sz w:val="24"/>
          <w:szCs w:val="24"/>
          <w:highlight w:val="none"/>
          <w:lang w:val="en-US" w:eastAsia="zh-CN"/>
        </w:rPr>
        <w:t xml:space="preserve">如需现场服务的，应</w:t>
      </w:r>
      <w:r>
        <w:rPr>
          <w:rFonts w:hint="eastAsia" w:ascii="仿宋" w:hAnsi="仿宋" w:eastAsia="仿宋" w:cs="仿宋"/>
          <w:bCs/>
          <w:color w:val="auto"/>
          <w:sz w:val="24"/>
          <w:szCs w:val="24"/>
          <w:highlight w:val="none"/>
        </w:rPr>
        <w:t xml:space="preserve">在12小时（省外单位48小时）内派出技术人员到达用户现场进行相关服务。</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.安装、调试、培训要求：项目实施阶段安排专业技术人员现场实施，中标方对使用方进行免费使用培训。</w:t>
      </w:r>
      <w:r>
        <w:rPr>
          <w:rFonts w:hint="eastAsia" w:ascii="仿宋" w:hAnsi="仿宋" w:eastAsia="仿宋" w:cs="仿宋"/>
          <w:b/>
          <w:bCs w:val="0"/>
          <w:color w:val="auto"/>
          <w:sz w:val="24"/>
          <w:szCs w:val="24"/>
          <w:highlight w:val="none"/>
        </w:rPr>
        <w:t xml:space="preserve">培训须覆盖所有设备及全部功能科目，培训结束后由采购人组织统一考核，考核范围须包含全部规定科目。只有通过采购人考核，方可获得培训合格证明（由采购人出具或经采购人确认）。中标人须确保所有参训教师最终均通过考核并取得证明，否则视为培训未完成，采购人有权拒绝最终验收。未通过考核的，中标人须免费提供补充培训直至全部通过。</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bidi="ar-SA"/>
        </w:rPr>
        <w:t xml:space="preserve">3.本项目整体质保期36个月（自验验收合格之日起开始计算），免费送货、免费安装，本项目所有的投标产品终身免费升级维护及技术支持，质保期过后维修只收材料成本费，且保证备品充足。设备发生故障及外观或材料损坏时，中标单位未在以上要求的时间内解决问题的，每次扣除合同总金额的1%。</w:t>
      </w:r>
      <w:r>
        <w:rPr>
          <w:rFonts w:hint="eastAsia" w:ascii="仿宋" w:hAnsi="仿宋" w:eastAsia="仿宋" w:cs="仿宋"/>
          <w:bCs/>
          <w:color w:val="auto"/>
          <w:sz w:val="24"/>
          <w:szCs w:val="24"/>
          <w:highlight w:val="none"/>
        </w:rPr>
        <w:t xml:space="preserve">其他按有关规定执行(国际标准、国家标准、行业标准或企业标准)。</w:t>
      </w:r>
      <w:r/>
    </w:p>
    <w:p>
      <w:pPr>
        <w:pStyle w:val="1015"/>
        <w:spacing w:before="120" w:after="120" w:line="360" w:lineRule="auto"/>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五、采购标的包装、运输、交货、验收标准</w:t>
      </w:r>
      <w:r/>
    </w:p>
    <w:p>
      <w:pPr>
        <w:pStyle w:val="1015"/>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1.商品包装环保要求：</w:t>
      </w:r>
      <w:r>
        <w:rPr>
          <w:rFonts w:hint="eastAsia" w:ascii="仿宋" w:hAnsi="仿宋" w:eastAsia="仿宋" w:cs="仿宋"/>
          <w:color w:val="auto"/>
          <w:sz w:val="24"/>
          <w:szCs w:val="24"/>
          <w:highlight w:val="none"/>
        </w:rPr>
        <w:t xml:space="preserve">应当按《关于印发〈商品包装政府采购需求标准（试行）〉、〈快递包装政府采购需求标准（试行）〉的通知》（财办库〔2020〕123号）文件执行。</w:t>
      </w:r>
      <w:r/>
    </w:p>
    <w:p>
      <w:pPr>
        <w:pStyle w:val="1015"/>
        <w:ind w:firstLine="480"/>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1015"/>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2.运输：</w:t>
      </w:r>
      <w:r>
        <w:rPr>
          <w:rFonts w:hint="eastAsia" w:ascii="仿宋" w:hAnsi="仿宋" w:eastAsia="仿宋" w:cs="仿宋"/>
          <w:color w:val="auto"/>
          <w:sz w:val="24"/>
          <w:szCs w:val="24"/>
          <w:highlight w:val="none"/>
        </w:rPr>
        <w:t xml:space="preserve">货物的运输及风险由中标人负责，运输费用及运输保险费用包含在合同价款中，采购人对此不负任何责任。</w:t>
      </w:r>
      <w:r/>
    </w:p>
    <w:p>
      <w:pPr>
        <w:pStyle w:val="1015"/>
        <w:ind w:firstLine="482"/>
        <w:spacing w:before="120" w:after="120"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3.交货、安装：</w:t>
      </w:r>
      <w:r>
        <w:rPr>
          <w:rFonts w:hint="eastAsia" w:ascii="仿宋" w:hAnsi="仿宋" w:eastAsia="仿宋" w:cs="仿宋"/>
          <w:color w:val="auto"/>
          <w:sz w:val="24"/>
          <w:szCs w:val="24"/>
          <w:highlight w:val="none"/>
        </w:rPr>
        <w:t xml:space="preserve">交货方式为中标人送货至采购人指定地点，除不可抗力因素外，中标人必须按合同规定的时间、地点安排交货并安装。</w:t>
      </w:r>
      <w:r/>
    </w:p>
    <w:p>
      <w:pPr>
        <w:pStyle w:val="1015"/>
        <w:ind w:firstLine="482"/>
        <w:spacing w:before="120" w:after="120" w:line="360" w:lineRule="auto"/>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1"/>
          <w:highlight w:val="none"/>
          <w:lang w:val="zh-CN"/>
        </w:rPr>
        <w:t xml:space="preserve">★</w:t>
      </w:r>
      <w:r>
        <w:rPr>
          <w:rFonts w:hint="eastAsia" w:ascii="仿宋" w:hAnsi="仿宋" w:eastAsia="仿宋" w:cs="仿宋"/>
          <w:b/>
          <w:bCs/>
          <w:color w:val="auto"/>
          <w:sz w:val="24"/>
          <w:szCs w:val="24"/>
          <w:highlight w:val="none"/>
          <w:lang w:val="en-US" w:eastAsia="zh-CN"/>
        </w:rPr>
        <w:t xml:space="preserve">交货时间：自合同签订之日起60日历天内完成全部货物的供货、安装及调试；逾期完成的，中标人承担逾期违约责任。安装调试完成后，中标人须书面提出申请，并在30日历天内完成所有培训及通过招标人最终验收；若培训未按要求完成（包括参训人员未全部通过考核）或验收不合格，中标人承担违约责任（免费补充培训、支付逾期违约金等），同时招标人有权拒绝签署最终验收报告。</w:t>
      </w:r>
      <w:r/>
    </w:p>
    <w:p>
      <w:pPr>
        <w:pStyle w:val="1015"/>
        <w:ind w:firstLine="482"/>
        <w:spacing w:before="120" w:after="120" w:line="360" w:lineRule="auto"/>
        <w:tabs>
          <w:tab w:val="left" w:pos="0"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1"/>
          <w:highlight w:val="none"/>
          <w:lang w:val="en-US" w:eastAsia="zh-CN"/>
        </w:rPr>
        <w:t xml:space="preserve">注明：本项目不排除采购人根据现场实际情况，要求中标单位提前交付并验收成功，</w:t>
      </w:r>
      <w:r>
        <w:rPr>
          <w:rFonts w:hint="eastAsia" w:ascii="仿宋" w:hAnsi="仿宋" w:eastAsia="仿宋" w:cs="仿宋"/>
          <w:b/>
          <w:bCs/>
          <w:color w:val="auto"/>
          <w:sz w:val="24"/>
          <w:szCs w:val="24"/>
          <w:highlight w:val="none"/>
          <w:lang w:val="en-US" w:eastAsia="zh-CN"/>
        </w:rPr>
        <w:t xml:space="preserve">投标单位应具备满足招标人以上要求，能够提前完成本项目所有产品供货、安装、调试、培训及通过招标人最终验收的能力。</w:t>
      </w:r>
      <w:r/>
    </w:p>
    <w:p>
      <w:pPr>
        <w:pStyle w:val="1015"/>
        <w:ind w:firstLine="482"/>
        <w:spacing w:before="120" w:after="120" w:line="360" w:lineRule="auto"/>
        <w:tabs>
          <w:tab w:val="left" w:pos="0" w:leader="none"/>
        </w:tabs>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以上第4条款（包含以上注明内容）为符合性审查内容，在符合性审查时提供相应的承诺书（格式自拟），未提交或不符合的，或者不清晰的，符合性审查均不予通过。</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.验收标准：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采购人应当根据采购项目的具体情况，自行组织项目验收。验收方成员应当在验收书上签字，并承担相应的法律责任。如果发现与合同中要求不符，供应商须承担由此发生的一切损失和费用，并接受相应的处理。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严格按照采购合同开展履约验收。采购人成立验收小组，按照采购合同的约定对供应商履约情况进行验收。验收时，按照采购合同的约定对</w:t>
      </w:r>
      <w:r>
        <w:rPr>
          <w:rFonts w:hint="eastAsia" w:ascii="仿宋" w:hAnsi="仿宋" w:eastAsia="仿宋" w:cs="仿宋"/>
          <w:color w:val="auto"/>
          <w:sz w:val="24"/>
          <w:szCs w:val="24"/>
          <w:highlight w:val="none"/>
          <w:lang w:val="en-US" w:eastAsia="zh-CN"/>
        </w:rPr>
        <w:t xml:space="preserve">设备建设</w:t>
      </w:r>
      <w:r>
        <w:rPr>
          <w:rFonts w:hint="eastAsia" w:ascii="仿宋" w:hAnsi="仿宋" w:eastAsia="仿宋" w:cs="仿宋"/>
          <w:color w:val="auto"/>
          <w:sz w:val="24"/>
          <w:szCs w:val="24"/>
          <w:highlight w:val="none"/>
        </w:rPr>
        <w:t xml:space="preserve">的履约情况进行确认。</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1015"/>
        <w:spacing w:before="120" w:after="120" w:line="360" w:lineRule="auto"/>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采购标的付款方式</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1.付款方式</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在招标人现场安装调试（或服务）完毕后，经招标人根据合同和标书条款验收合格，</w:t>
      </w:r>
      <w:r>
        <w:rPr>
          <w:rFonts w:hint="eastAsia" w:ascii="仿宋" w:hAnsi="仿宋" w:eastAsia="仿宋" w:cs="仿宋"/>
          <w:color w:val="auto"/>
          <w:sz w:val="24"/>
          <w:szCs w:val="24"/>
          <w:highlight w:val="none"/>
          <w:lang w:val="en-US" w:eastAsia="zh-CN"/>
        </w:rPr>
        <w:t xml:space="preserve">并经审计完成后，</w:t>
      </w:r>
      <w:r>
        <w:rPr>
          <w:rFonts w:hint="eastAsia" w:ascii="仿宋" w:hAnsi="仿宋" w:eastAsia="仿宋" w:cs="仿宋"/>
          <w:color w:val="auto"/>
          <w:sz w:val="24"/>
          <w:szCs w:val="24"/>
          <w:highlight w:val="none"/>
        </w:rPr>
        <w:t xml:space="preserve">招标人全额支付合同总价款。</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2.中标人凭以下文件资料申请支付合同款</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（1）采购合同；</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（2）中标通知书</w:t>
      </w:r>
      <w:r>
        <w:rPr>
          <w:rFonts w:hint="eastAsia" w:ascii="仿宋" w:hAnsi="仿宋" w:eastAsia="仿宋" w:cs="仿宋"/>
          <w:color w:val="auto"/>
          <w:sz w:val="24"/>
          <w:szCs w:val="24"/>
          <w:highlight w:val="none"/>
          <w:lang w:eastAsia="zh-CN"/>
        </w:rPr>
        <w:t xml:space="preserve">原件</w:t>
      </w:r>
      <w:r>
        <w:rPr>
          <w:rFonts w:hint="eastAsia" w:ascii="仿宋" w:hAnsi="仿宋" w:eastAsia="仿宋" w:cs="仿宋"/>
          <w:color w:val="auto"/>
          <w:sz w:val="24"/>
          <w:szCs w:val="24"/>
          <w:highlight w:val="none"/>
        </w:rPr>
        <w:t xml:space="preserve">或扫描件；</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（3）中标人开具的国家税务机关监制的正式增值税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（4）采购人已收讫货物的验收凭证；</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（5）采购人签发的验收合格文件。</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r/>
    </w:p>
    <w:p>
      <w:pPr>
        <w:pStyle w:val="1015"/>
        <w:spacing w:before="120" w:after="120" w:line="360" w:lineRule="auto"/>
        <w:tabs>
          <w:tab w:val="left" w:pos="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1.采购人无正当理由未按合同规定的期限向中标人支付货款的，每逾期1天采购人向中标人支付该批次货款总额的0.04%滞纳金，批次累计滞纳金总额不超过批次欠款总额的0.6%。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2.中标人逾期交付货物的，每逾期1天，中标人向采购人偿付支付该批次货款总额的0.04%滞纳金，批次累计滞纳金总额不超过批次总额的0.6%。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3.中标人所交付的货物品种、型号、</w:t>
      </w:r>
      <w:r>
        <w:rPr>
          <w:rFonts w:hint="eastAsia" w:ascii="仿宋" w:hAnsi="仿宋" w:eastAsia="仿宋" w:cs="仿宋"/>
          <w:color w:val="auto"/>
          <w:sz w:val="24"/>
          <w:szCs w:val="24"/>
          <w:highlight w:val="none"/>
        </w:rPr>
        <w:t xml:space="preserve">规格不符合合同规定，中标人需在收到书面通知15日内解决退换货问题，因退换货造成逾期交付的，中标人需交纳逾期滞纳金，逾期滞纳金按原收货截止日次日起计至合格货物收到之日止，每逾期1天，按本批次货款总额的0.04%计算。若中标人在15日退换货期限内不能完成供货，除每日按本批次货款总额的0.04%计算滞纳金外，还应支付每日1万元罚款，直至供货日止。若中标人在以上合计60天期限内仍不能完成供货，将被处以此批货款30%的罚款，同时处罚履约保证金的50%，采购人可采取必要的补救措施，但由此引发的风险和费用将由中标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4.中标人未按合同规定的和“服务承诺”提供的售后服务的，应按合同总价款的8%向采购人承担违约责任。</w:t>
      </w:r>
      <w:r/>
    </w:p>
    <w:p>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政府采购中实施本国产品标准及相关政策</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1.本项目对采购本国产品给予政策支持，具体内容见招标文件第四部分具体内容。</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5"/>
        <w:spacing w:before="120" w:after="120" w:line="360" w:lineRule="auto"/>
        <w:tabs>
          <w:tab w:val="left" w:pos="0"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九、样品：无</w:t>
      </w:r>
      <w:r/>
    </w:p>
    <w:p>
      <w:pPr>
        <w:jc w:val="center"/>
        <w:spacing w:line="360" w:lineRule="auto"/>
        <w:rPr>
          <w:rFonts w:hint="eastAsia" w:ascii="仿宋" w:hAnsi="仿宋" w:eastAsia="仿宋" w:cs="仿宋"/>
          <w:color w:val="auto"/>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第四章  评审方法和程序</w:t>
      </w:r>
      <w:bookmarkEnd w:id="8"/>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一、招标人委托招标代理机构组织招标</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1.成立评标委员会小组，评标委员会由招标人代表和评审专家组成，成员人数应当为</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人以上单数，其中评审专家不得少于成员总数的三分之二。</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二、开标</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1.不见面远程开标模式：开标当天各投标人在各自地点通过苏采云系统及时登录不见面开标大厅，参加投标活动。</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2.招标代理机构主持开标并记录，及时处理投标人代表提出的询问或者回避申请。</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3.投标人不足3家的不得开标。</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三、资格审查</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1.开标后，招标人及其委托的采购代理机构依据相关法律政策的规定，根据招标文件载明的资格审查要求，对投标人的资格进行审查。</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2.资格审查合格的投标人进入评标。</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3.合格投标人不足3家的，不得评标。</w:t>
      </w:r>
      <w:r/>
    </w:p>
    <w:p>
      <w:pPr>
        <w:contextualSpacing/>
        <w:ind w:firstLine="480"/>
        <w:spacing w:line="360"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四、评标</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1.评标时间：</w:t>
      </w:r>
      <w:r>
        <w:rPr>
          <w:rFonts w:hint="eastAsia" w:ascii="仿宋" w:hAnsi="仿宋" w:eastAsia="仿宋" w:cs="仿宋"/>
          <w:b/>
          <w:bCs/>
          <w:color w:val="auto"/>
          <w:sz w:val="24"/>
          <w:szCs w:val="24"/>
          <w:highlight w:val="none"/>
        </w:rPr>
        <w:t xml:space="preserve">资格审查结束以后</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2.招标代理机构负责组织评标工作，并履行下列职责：</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（2）宣布评标纪律。</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（3）公布投标人名单，告知评审专家应当回避的情形。</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（4）组织评标委员会推选评标组长，招标人代表不得担任组长。</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（6）根据评标委员会的要求介绍采购相关政策法规、招标文件。</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①分值汇总计算错误的；</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②分项评分超出评分标准范围的；</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③评标委员会成员对客观评审因素评分不一致的；</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④经评标委员会认定评分畸高、畸低的。</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（10）处理与评标有关的其他事项。</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3.评标委员会负责具体评标事务：</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4.评标委员会成员独立履行以下职责与义务：</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（1）遵纪守法，客观、公正、廉洁地履行职责；</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（2）审查合格投标人的投标文件是否实质性响应招标文件要求，并做出评价；</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（3）按照招标文件规定的评标办法和评标标准进行评标，对评审意见承担个人责任；</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（4）可以要求投标人对投标文件有关事项做出解释或澄清；</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（5）对评标过程和结果，以及投标人的商业秘密保密；</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（6）配合相关部门的投诉处理工作；</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（7）配合招标人或招标代理机构答复投标人提出的质疑。</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7.评审期间，合格投标人的投标文件仍有可能被评标委员会根据规定判为无效投标。</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五、评审原则</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1.本项目采用</w:t>
      </w:r>
      <w:r>
        <w:rPr>
          <w:rFonts w:hint="eastAsia" w:ascii="仿宋" w:hAnsi="仿宋" w:eastAsia="仿宋" w:cs="仿宋"/>
          <w:b/>
          <w:bCs/>
          <w:color w:val="auto"/>
          <w:sz w:val="24"/>
          <w:szCs w:val="24"/>
          <w:highlight w:val="none"/>
          <w:u w:val="single"/>
        </w:rPr>
        <w:t xml:space="preserve">综合评分法</w:t>
      </w:r>
      <w:r>
        <w:rPr>
          <w:rFonts w:hint="eastAsia" w:ascii="仿宋" w:hAnsi="仿宋" w:eastAsia="仿宋" w:cs="仿宋"/>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4.对投标文件的评审判定，只依据投标文件内容本身，不依靠开标后任何外来证明文件。</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六、评审方法</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1.评标程序：</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资格评审</w:t>
      </w:r>
      <w:r>
        <w:rPr>
          <w:rFonts w:hint="eastAsia" w:ascii="仿宋" w:hAnsi="仿宋" w:eastAsia="仿宋" w:cs="仿宋"/>
          <w:color w:val="auto"/>
          <w:sz w:val="24"/>
          <w:szCs w:val="24"/>
          <w:highlight w:val="none"/>
          <w:lang w:val="en-US" w:eastAsia="zh-CN"/>
        </w:rPr>
        <w:t xml:space="preserve">→符合性审查→</w:t>
      </w:r>
      <w:r>
        <w:rPr>
          <w:rFonts w:hint="eastAsia" w:ascii="仿宋" w:hAnsi="仿宋" w:eastAsia="仿宋" w:cs="仿宋"/>
          <w:color w:val="auto"/>
          <w:sz w:val="24"/>
          <w:szCs w:val="24"/>
          <w:highlight w:val="none"/>
        </w:rPr>
        <w:t xml:space="preserve">商务技术标评审</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价格标评审</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确定中标候选人。</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本次资格审查采用资格后审，各投标人资格审查</w:t>
      </w:r>
      <w:r>
        <w:rPr>
          <w:rFonts w:hint="eastAsia" w:ascii="仿宋" w:hAnsi="仿宋" w:eastAsia="仿宋" w:cs="仿宋"/>
          <w:color w:val="auto"/>
          <w:sz w:val="24"/>
          <w:szCs w:val="24"/>
          <w:highlight w:val="none"/>
          <w:lang w:val="en-US" w:eastAsia="zh-CN"/>
        </w:rPr>
        <w:t xml:space="preserve">及符合性审查</w:t>
      </w:r>
      <w:r>
        <w:rPr>
          <w:rFonts w:hint="eastAsia" w:ascii="仿宋" w:hAnsi="仿宋" w:eastAsia="仿宋" w:cs="仿宋"/>
          <w:color w:val="auto"/>
          <w:sz w:val="24"/>
          <w:szCs w:val="24"/>
          <w:highlight w:val="none"/>
        </w:rPr>
        <w:t xml:space="preserve">通过后方能进入商务技术标的开标。先开商务技术标，商务技术标打分结束后再开价格标。</w:t>
      </w:r>
      <w:r/>
    </w:p>
    <w:p>
      <w:pPr>
        <w:numPr>
          <w:ilvl w:val="0"/>
          <w:numId w:val="2"/>
        </w:numPr>
        <w:ind w:left="0"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评标委员会将仅对按本招标文件载明的方法与规定，为实质上响应招标文件要求的投标文件评审并进行评价和比较。</w:t>
      </w:r>
      <w:r/>
    </w:p>
    <w:p>
      <w:pPr>
        <w:ind w:firstLine="413"/>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招标人</w:t>
      </w:r>
      <w:r>
        <w:rPr>
          <w:rFonts w:hint="eastAsia" w:ascii="仿宋" w:hAnsi="仿宋" w:eastAsia="仿宋" w:cs="仿宋"/>
          <w:bCs/>
          <w:color w:val="auto"/>
          <w:sz w:val="24"/>
          <w:szCs w:val="24"/>
          <w:highlight w:val="none"/>
        </w:rPr>
        <w:t xml:space="preserve">（代表）对</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资格进行审查。</w:t>
      </w:r>
      <w:r/>
    </w:p>
    <w:p>
      <w:pPr>
        <w:pStyle w:val="1057"/>
        <w:ind w:firstLine="577"/>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资格不合格的，其投标文件判定为无效投标文件。</w:t>
      </w:r>
      <w:r/>
    </w:p>
    <w:p>
      <w:pPr>
        <w:ind w:firstLine="413"/>
        <w:jc w:val="left"/>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）评标委员会对符合资格</w:t>
      </w:r>
      <w:r>
        <w:rPr>
          <w:rFonts w:hint="eastAsia" w:ascii="仿宋" w:hAnsi="仿宋" w:eastAsia="仿宋" w:cs="仿宋"/>
          <w:bCs/>
          <w:color w:val="auto"/>
          <w:sz w:val="24"/>
          <w:szCs w:val="24"/>
          <w:highlight w:val="none"/>
          <w:lang w:eastAsia="zh-CN"/>
        </w:rPr>
        <w:t xml:space="preserve">投标单位</w:t>
      </w:r>
      <w:r>
        <w:rPr>
          <w:rFonts w:hint="eastAsia" w:ascii="仿宋" w:hAnsi="仿宋" w:eastAsia="仿宋" w:cs="仿宋"/>
          <w:bCs/>
          <w:color w:val="auto"/>
          <w:sz w:val="24"/>
          <w:szCs w:val="24"/>
          <w:highlight w:val="none"/>
        </w:rPr>
        <w:t xml:space="preserve">的投标文件进行符合性审查。</w:t>
      </w:r>
      <w:r/>
    </w:p>
    <w:p>
      <w:pPr>
        <w:jc w:val="cente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符合性审查要求</w:t>
      </w:r>
      <w:r/>
    </w:p>
    <w:tbl>
      <w:tblPr>
        <w:tblStyle w:val="1009"/>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按《招标文件》要求</w:t>
            </w:r>
            <w:r>
              <w:rPr>
                <w:rFonts w:hint="eastAsia" w:ascii="仿宋" w:hAnsi="仿宋" w:eastAsia="仿宋" w:cs="仿宋"/>
                <w:bCs/>
                <w:color w:val="auto"/>
                <w:sz w:val="24"/>
                <w:szCs w:val="24"/>
                <w:highlight w:val="none"/>
              </w:rPr>
              <w:t xml:space="preserve">提供承诺书</w:t>
            </w:r>
            <w:r>
              <w:rPr>
                <w:rFonts w:hint="eastAsia" w:ascii="仿宋" w:hAnsi="仿宋" w:eastAsia="仿宋" w:cs="仿宋"/>
                <w:bCs/>
                <w:color w:val="auto"/>
                <w:sz w:val="24"/>
                <w:szCs w:val="24"/>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
                <w:color w:val="auto"/>
                <w:sz w:val="24"/>
                <w:szCs w:val="24"/>
                <w:highlight w:val="none"/>
                <w:lang w:val="zh-CN"/>
              </w:rPr>
              <w:t xml:space="preserve">满足《</w:t>
            </w:r>
            <w:r>
              <w:rPr>
                <w:rFonts w:hint="eastAsia" w:ascii="仿宋" w:hAnsi="仿宋" w:eastAsia="仿宋" w:cs="仿宋"/>
                <w:b/>
                <w:color w:val="auto"/>
                <w:sz w:val="24"/>
                <w:szCs w:val="24"/>
                <w:highlight w:val="none"/>
              </w:rPr>
              <w:t xml:space="preserve">招标</w:t>
            </w:r>
            <w:r>
              <w:rPr>
                <w:rFonts w:hint="eastAsia" w:ascii="仿宋" w:hAnsi="仿宋" w:eastAsia="仿宋" w:cs="仿宋"/>
                <w:b/>
                <w:color w:val="auto"/>
                <w:sz w:val="24"/>
                <w:szCs w:val="24"/>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没有串通投标情形。</w:t>
            </w:r>
            <w:r/>
          </w:p>
        </w:tc>
      </w:tr>
    </w:tbl>
    <w:p>
      <w:pPr>
        <w:pStyle w:val="1057"/>
        <w:ind w:firstLine="577"/>
        <w:spacing w:line="288"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lang w:val="zh-CN"/>
        </w:rPr>
        <w:t xml:space="preserve">本</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文件有“★”标明的条款，请各投标单位仔细研读且作为符合性审查要求，未通过符合性审查的响应文件，经</w:t>
      </w:r>
      <w:r>
        <w:rPr>
          <w:rFonts w:hint="eastAsia" w:ascii="仿宋" w:hAnsi="仿宋" w:eastAsia="仿宋" w:cs="仿宋"/>
          <w:b/>
          <w:color w:val="auto"/>
          <w:sz w:val="24"/>
          <w:szCs w:val="24"/>
          <w:highlight w:val="none"/>
          <w:u w:val="single"/>
        </w:rPr>
        <w:t xml:space="preserve">评标</w:t>
      </w:r>
      <w:r>
        <w:rPr>
          <w:rFonts w:hint="eastAsia" w:ascii="仿宋" w:hAnsi="仿宋" w:eastAsia="仿宋" w:cs="仿宋"/>
          <w:b/>
          <w:color w:val="auto"/>
          <w:sz w:val="24"/>
          <w:szCs w:val="24"/>
          <w:highlight w:val="none"/>
          <w:u w:val="single"/>
          <w:lang w:val="zh-CN"/>
        </w:rPr>
        <w:t xml:space="preserve">小组核实将被判为不满足</w:t>
      </w:r>
      <w:r>
        <w:rPr>
          <w:rFonts w:hint="eastAsia" w:ascii="仿宋" w:hAnsi="仿宋" w:eastAsia="仿宋" w:cs="仿宋"/>
          <w:b/>
          <w:color w:val="auto"/>
          <w:sz w:val="24"/>
          <w:szCs w:val="24"/>
          <w:highlight w:val="none"/>
          <w:u w:val="single"/>
        </w:rPr>
        <w:t xml:space="preserve">招标</w:t>
      </w:r>
      <w:r>
        <w:rPr>
          <w:rFonts w:hint="eastAsia" w:ascii="仿宋" w:hAnsi="仿宋" w:eastAsia="仿宋" w:cs="仿宋"/>
          <w:b/>
          <w:color w:val="auto"/>
          <w:sz w:val="24"/>
          <w:szCs w:val="24"/>
          <w:highlight w:val="none"/>
          <w:u w:val="single"/>
          <w:lang w:val="zh-CN"/>
        </w:rPr>
        <w:t xml:space="preserve">文件实质性要求，</w:t>
      </w:r>
      <w:r>
        <w:rPr>
          <w:rFonts w:hint="eastAsia" w:ascii="仿宋" w:hAnsi="仿宋" w:eastAsia="仿宋" w:cs="仿宋"/>
          <w:b/>
          <w:color w:val="auto"/>
          <w:sz w:val="24"/>
          <w:szCs w:val="24"/>
          <w:highlight w:val="none"/>
          <w:u w:val="single"/>
        </w:rPr>
        <w:t xml:space="preserve">作</w:t>
      </w:r>
      <w:r>
        <w:rPr>
          <w:rFonts w:hint="eastAsia" w:ascii="仿宋" w:hAnsi="仿宋" w:eastAsia="仿宋" w:cs="仿宋"/>
          <w:b/>
          <w:color w:val="auto"/>
          <w:sz w:val="24"/>
          <w:szCs w:val="24"/>
          <w:highlight w:val="none"/>
          <w:u w:val="single"/>
          <w:lang w:eastAsia="zh-CN"/>
        </w:rPr>
        <w:t xml:space="preserve">无效投标处理</w:t>
      </w:r>
      <w:r>
        <w:rPr>
          <w:rFonts w:hint="eastAsia" w:ascii="仿宋" w:hAnsi="仿宋" w:eastAsia="仿宋" w:cs="仿宋"/>
          <w:b/>
          <w:color w:val="auto"/>
          <w:sz w:val="24"/>
          <w:szCs w:val="24"/>
          <w:highlight w:val="none"/>
          <w:u w:val="single"/>
        </w:rPr>
        <w:t xml:space="preserve">。符合性审查资料请放置在</w:t>
      </w:r>
      <w:r>
        <w:rPr>
          <w:rFonts w:hint="eastAsia" w:ascii="仿宋" w:hAnsi="仿宋" w:eastAsia="仿宋" w:cs="仿宋"/>
          <w:b/>
          <w:color w:val="auto"/>
          <w:sz w:val="24"/>
          <w:szCs w:val="24"/>
          <w:highlight w:val="none"/>
          <w:u w:val="single"/>
          <w:lang w:val="en-US" w:eastAsia="zh-CN"/>
        </w:rPr>
        <w:t xml:space="preserve">符合性</w:t>
      </w:r>
      <w:r>
        <w:rPr>
          <w:rFonts w:hint="eastAsia" w:ascii="仿宋" w:hAnsi="仿宋" w:eastAsia="仿宋" w:cs="仿宋"/>
          <w:b/>
          <w:color w:val="auto"/>
          <w:sz w:val="24"/>
          <w:szCs w:val="24"/>
          <w:highlight w:val="none"/>
          <w:u w:val="single"/>
        </w:rPr>
        <w:t xml:space="preserve">资料中，若因</w:t>
      </w:r>
      <w:r>
        <w:rPr>
          <w:rFonts w:hint="eastAsia" w:ascii="仿宋" w:hAnsi="仿宋" w:eastAsia="仿宋" w:cs="仿宋"/>
          <w:b/>
          <w:color w:val="auto"/>
          <w:sz w:val="24"/>
          <w:szCs w:val="24"/>
          <w:highlight w:val="none"/>
          <w:u w:val="single"/>
          <w:lang w:eastAsia="zh-CN"/>
        </w:rPr>
        <w:t xml:space="preserve">投标单位</w:t>
      </w:r>
      <w:r>
        <w:rPr>
          <w:rFonts w:hint="eastAsia" w:ascii="仿宋" w:hAnsi="仿宋" w:eastAsia="仿宋" w:cs="仿宋"/>
          <w:b/>
          <w:color w:val="auto"/>
          <w:sz w:val="24"/>
          <w:szCs w:val="24"/>
          <w:highlight w:val="none"/>
          <w:u w:val="single"/>
        </w:rPr>
        <w:t xml:space="preserve">提供的资料混乱、不清晰导致符合性审查未能通过的，由</w:t>
      </w:r>
      <w:r>
        <w:rPr>
          <w:rFonts w:hint="eastAsia" w:ascii="仿宋" w:hAnsi="仿宋" w:eastAsia="仿宋" w:cs="仿宋"/>
          <w:b/>
          <w:color w:val="auto"/>
          <w:sz w:val="24"/>
          <w:szCs w:val="24"/>
          <w:highlight w:val="none"/>
          <w:u w:val="single"/>
          <w:lang w:eastAsia="zh-CN"/>
        </w:rPr>
        <w:t xml:space="preserve">投标单位</w:t>
      </w:r>
      <w:r>
        <w:rPr>
          <w:rFonts w:hint="eastAsia" w:ascii="仿宋" w:hAnsi="仿宋" w:eastAsia="仿宋" w:cs="仿宋"/>
          <w:b/>
          <w:color w:val="auto"/>
          <w:sz w:val="24"/>
          <w:szCs w:val="24"/>
          <w:highlight w:val="none"/>
          <w:u w:val="single"/>
        </w:rPr>
        <w:t xml:space="preserve">自行承担后果。</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3.本次项目的商务技术标和价格标评审总分值为100分。两部分评审因素比重如下：</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商务技术标分值占总分值的比重为</w:t>
      </w:r>
      <w:r>
        <w:rPr>
          <w:rFonts w:hint="eastAsia" w:ascii="仿宋" w:hAnsi="仿宋" w:eastAsia="仿宋" w:cs="仿宋"/>
          <w:b/>
          <w:bCs/>
          <w:color w:val="auto"/>
          <w:sz w:val="24"/>
          <w:szCs w:val="24"/>
          <w:highlight w:val="none"/>
          <w:u w:val="single"/>
        </w:rPr>
        <w:t xml:space="preserve">70%</w:t>
      </w:r>
      <w:r>
        <w:rPr>
          <w:rFonts w:hint="eastAsia" w:ascii="仿宋" w:hAnsi="仿宋" w:eastAsia="仿宋" w:cs="仿宋"/>
          <w:b/>
          <w:bCs/>
          <w:color w:val="auto"/>
          <w:sz w:val="24"/>
          <w:szCs w:val="24"/>
          <w:highlight w:val="none"/>
        </w:rPr>
        <w:t xml:space="preserve">（权重）</w:t>
      </w:r>
      <w:r>
        <w:rPr>
          <w:rFonts w:hint="eastAsia" w:ascii="仿宋" w:hAnsi="仿宋" w:eastAsia="仿宋" w:cs="仿宋"/>
          <w:color w:val="auto"/>
          <w:sz w:val="24"/>
          <w:szCs w:val="24"/>
          <w:highlight w:val="none"/>
        </w:rPr>
        <w:t xml:space="preserve">（计算结果均四舍五入保留两位小数）；</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价格标分值占总分值的比重为</w:t>
      </w:r>
      <w:r>
        <w:rPr>
          <w:rFonts w:hint="eastAsia" w:ascii="仿宋" w:hAnsi="仿宋" w:eastAsia="仿宋" w:cs="仿宋"/>
          <w:b/>
          <w:bCs/>
          <w:color w:val="auto"/>
          <w:sz w:val="24"/>
          <w:szCs w:val="24"/>
          <w:highlight w:val="none"/>
          <w:u w:val="single"/>
        </w:rPr>
        <w:t xml:space="preserve">30%</w:t>
      </w:r>
      <w:r>
        <w:rPr>
          <w:rFonts w:hint="eastAsia" w:ascii="仿宋" w:hAnsi="仿宋" w:eastAsia="仿宋" w:cs="仿宋"/>
          <w:b/>
          <w:bCs/>
          <w:color w:val="auto"/>
          <w:sz w:val="24"/>
          <w:szCs w:val="24"/>
          <w:highlight w:val="none"/>
        </w:rPr>
        <w:t xml:space="preserve">（权重）</w:t>
      </w:r>
      <w:r>
        <w:rPr>
          <w:rFonts w:hint="eastAsia" w:ascii="仿宋" w:hAnsi="仿宋" w:eastAsia="仿宋" w:cs="仿宋"/>
          <w:color w:val="auto"/>
          <w:sz w:val="24"/>
          <w:szCs w:val="24"/>
          <w:highlight w:val="none"/>
        </w:rPr>
        <w:t xml:space="preserve">（计算结果均四舍五入保留两位小数）； </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6.商务技术分按评委的算术平均值计算（计算结果均四舍五入保留两位小数）。</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7.开启投标人的价格报价标，现场唱标后由投标人代表在苏采云系统确认。</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8.投标人的价格标评审得分直接计算取得，并与其商务技术标得分相加为该投标人的综合得分（计算结果均四舍五入保留两位小数）。</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七、关于投标价格评审</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1.针对投标价格实质响应的评审</w:t>
      </w:r>
      <w:r/>
    </w:p>
    <w:p>
      <w:pPr>
        <w:ind w:firstLine="48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2.针对投标价格合理性的评审</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按照《关于推动解决政府采购异常低价问题的通知》（财库〔2026〕2号文）的要求</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（一）本项目如出现下列情形之一的，磋商小组应当启动异常低价投标（响应）审查程序：</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3.投标（响应）报价低于采购项目最高限价45%的，即投标（响应）报价&lt;采购项目最高限价×45%；</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八、评审评分项</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（一）商务技术标评分：（70分）</w:t>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bl>
      <w:tblPr>
        <w:tblStyle w:val="100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294"/>
        <w:gridCol w:w="6852"/>
        <w:gridCol w:w="1094"/>
      </w:tblGrid>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center"/>
              <w:keepLines w:val="0"/>
              <w:pageBreakBefore w:val="0"/>
              <w:spacing w:line="24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r>
      <w:tr>
        <w:trPr>
          <w:trHeight w:val="1133"/>
        </w:trPr>
        <w:tc>
          <w:tcPr>
            <w:shd w:val="clear" w:color="auto" w:fill="auto"/>
            <w:tcBorders>
              <w:top w:val="single" w:color="000000" w:sz="4" w:space="0"/>
              <w:left w:val="single" w:color="000000" w:sz="4" w:space="0"/>
              <w:bottom w:val="single" w:color="auto"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投标供应商实力</w:t>
            </w:r>
            <w:r/>
          </w:p>
        </w:tc>
        <w:tc>
          <w:tcPr>
            <w:shd w:val="clear" w:color="auto" w:fill="auto"/>
            <w:tcBorders>
              <w:top w:val="single" w:color="000000" w:sz="4" w:space="0"/>
              <w:left w:val="single" w:color="000000" w:sz="4" w:space="0"/>
              <w:bottom w:val="single" w:color="auto"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供应商具有知识产权管理体系认证证书的得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bidi="ar"/>
              </w:rPr>
              <w:t xml:space="preserve">分，具有信息安全管理体系认证证书的得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bidi="ar"/>
              </w:rPr>
              <w:t xml:space="preserve">分；本项最多得</w:t>
            </w: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bidi="ar"/>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b/>
                <w:bCs/>
                <w:color w:val="auto"/>
                <w:sz w:val="21"/>
                <w:szCs w:val="21"/>
                <w:highlight w:val="none"/>
                <w:lang w:bidi="ar"/>
              </w:rPr>
              <w:t xml:space="preserve">注：提供上述证书原件扫描件，且证书须在有效期内，未按要求提供不得分。</w:t>
            </w:r>
            <w:r/>
          </w:p>
        </w:tc>
        <w:tc>
          <w:tcPr>
            <w:shd w:val="clear" w:color="auto" w:fill="auto"/>
            <w:tcBorders>
              <w:top w:val="single" w:color="000000" w:sz="4" w:space="0"/>
              <w:left w:val="single" w:color="000000" w:sz="4" w:space="0"/>
              <w:bottom w:val="single" w:color="auto"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r>
      <w:tr>
        <w:trPr>
          <w:trHeight w:val="1833"/>
        </w:trPr>
        <w:tc>
          <w:tcPr>
            <w:shd w:val="clear" w:color="auto" w:fill="auto"/>
            <w:tcBorders>
              <w:top w:val="single" w:color="auto"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拟派</w:t>
            </w:r>
            <w:r>
              <w:rPr>
                <w:rFonts w:hint="eastAsia" w:ascii="仿宋" w:hAnsi="仿宋" w:eastAsia="仿宋" w:cs="仿宋"/>
                <w:color w:val="auto"/>
                <w:sz w:val="21"/>
                <w:szCs w:val="21"/>
                <w:highlight w:val="none"/>
              </w:rPr>
              <w:t xml:space="preserve">项目组成员配备</w:t>
            </w:r>
            <w:r/>
          </w:p>
        </w:tc>
        <w:tc>
          <w:tcPr>
            <w:shd w:val="clear" w:color="auto" w:fill="auto"/>
            <w:tcBorders>
              <w:top w:val="single" w:color="auto"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供应商拟派项目组成员:具有注册安全工程师、网络工程师、特种作业操作证</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低压电工</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、特种作业操作证（高压电工），每提供1项有效证书的得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bidi="ar"/>
              </w:rPr>
              <w:t xml:space="preserve">分；本项最多得</w:t>
            </w:r>
            <w:r>
              <w:rPr>
                <w:rFonts w:hint="eastAsia" w:ascii="仿宋" w:hAnsi="仿宋" w:eastAsia="仿宋" w:cs="仿宋"/>
                <w:color w:val="auto"/>
                <w:sz w:val="21"/>
                <w:szCs w:val="21"/>
                <w:highlight w:val="none"/>
                <w:lang w:val="en-US" w:eastAsia="zh-CN" w:bidi="ar"/>
              </w:rPr>
              <w:t xml:space="preserve">4</w:t>
            </w:r>
            <w:r>
              <w:rPr>
                <w:rFonts w:hint="eastAsia" w:ascii="仿宋" w:hAnsi="仿宋" w:eastAsia="仿宋" w:cs="仿宋"/>
                <w:color w:val="auto"/>
                <w:sz w:val="21"/>
                <w:szCs w:val="21"/>
                <w:highlight w:val="none"/>
                <w:lang w:bidi="ar"/>
              </w:rPr>
              <w:t xml:space="preserve">分。</w:t>
            </w:r>
            <w:r/>
          </w:p>
          <w:p>
            <w:pPr>
              <w:jc w:val="left"/>
              <w:keepLines w:val="0"/>
              <w:pageBreakBefore w:val="0"/>
              <w:spacing w:line="240" w:lineRule="auto"/>
              <w:widowControl/>
              <w:rPr>
                <w:rFonts w:hint="eastAsia" w:ascii="仿宋" w:hAnsi="仿宋" w:eastAsia="仿宋" w:cs="仿宋"/>
                <w:b/>
                <w:bCs/>
                <w:color w:val="auto"/>
                <w:sz w:val="21"/>
                <w:szCs w:val="21"/>
                <w:highlight w:val="none"/>
                <w:lang w:bidi="ar"/>
              </w:rPr>
            </w:pPr>
            <w:r>
              <w:rPr>
                <w:rFonts w:hint="eastAsia" w:ascii="仿宋" w:hAnsi="仿宋" w:eastAsia="仿宋" w:cs="仿宋"/>
                <w:b/>
                <w:bCs/>
                <w:color w:val="auto"/>
                <w:sz w:val="21"/>
                <w:szCs w:val="21"/>
                <w:highlight w:val="none"/>
                <w:lang w:bidi="ar"/>
              </w:rPr>
              <w:t xml:space="preserve">注：同一人员不重复计分。提供上述人员的相应证书</w:t>
            </w:r>
            <w:r>
              <w:rPr>
                <w:rFonts w:hint="eastAsia" w:ascii="仿宋" w:hAnsi="仿宋" w:eastAsia="仿宋" w:cs="仿宋"/>
                <w:b/>
                <w:bCs/>
                <w:color w:val="auto"/>
                <w:sz w:val="21"/>
                <w:szCs w:val="21"/>
                <w:highlight w:val="none"/>
                <w:lang w:val="en-US" w:eastAsia="zh-CN" w:bidi="ar"/>
              </w:rPr>
              <w:t xml:space="preserve">原件扫描件</w:t>
            </w:r>
            <w:r>
              <w:rPr>
                <w:rFonts w:hint="eastAsia" w:ascii="仿宋" w:hAnsi="仿宋" w:eastAsia="仿宋" w:cs="仿宋"/>
                <w:b/>
                <w:bCs/>
                <w:color w:val="auto"/>
                <w:sz w:val="21"/>
                <w:szCs w:val="21"/>
                <w:highlight w:val="none"/>
                <w:lang w:bidi="ar"/>
              </w:rPr>
              <w:t xml:space="preserve">、社保机构出具的投标人为上述人员缴纳的投标截止日前连续3个月</w:t>
            </w:r>
            <w:r>
              <w:rPr>
                <w:rFonts w:hint="eastAsia" w:ascii="仿宋" w:hAnsi="仿宋" w:eastAsia="仿宋" w:cs="仿宋"/>
                <w:b/>
                <w:bCs/>
                <w:color w:val="auto"/>
                <w:sz w:val="21"/>
                <w:szCs w:val="21"/>
                <w:highlight w:val="none"/>
                <w:lang w:eastAsia="zh-CN" w:bidi="ar"/>
              </w:rPr>
              <w:t xml:space="preserve">（</w:t>
            </w:r>
            <w:r>
              <w:rPr>
                <w:rFonts w:hint="eastAsia" w:ascii="仿宋" w:hAnsi="仿宋" w:eastAsia="仿宋" w:cs="仿宋"/>
                <w:b/>
                <w:bCs/>
                <w:color w:val="auto"/>
                <w:sz w:val="21"/>
                <w:szCs w:val="21"/>
                <w:highlight w:val="none"/>
                <w:lang w:val="en-US" w:eastAsia="zh-CN" w:bidi="ar"/>
              </w:rPr>
              <w:t xml:space="preserve">2026年3月至2026年5月</w:t>
            </w:r>
            <w:r>
              <w:rPr>
                <w:rFonts w:hint="eastAsia" w:ascii="仿宋" w:hAnsi="仿宋" w:eastAsia="仿宋" w:cs="仿宋"/>
                <w:b/>
                <w:bCs/>
                <w:color w:val="auto"/>
                <w:sz w:val="21"/>
                <w:szCs w:val="21"/>
                <w:highlight w:val="none"/>
                <w:lang w:eastAsia="zh-CN" w:bidi="ar"/>
              </w:rPr>
              <w:t xml:space="preserve">）</w:t>
            </w:r>
            <w:r>
              <w:rPr>
                <w:rFonts w:hint="eastAsia" w:ascii="仿宋" w:hAnsi="仿宋" w:eastAsia="仿宋" w:cs="仿宋"/>
                <w:b/>
                <w:bCs/>
                <w:color w:val="auto"/>
                <w:sz w:val="21"/>
                <w:szCs w:val="21"/>
                <w:highlight w:val="none"/>
                <w:lang w:bidi="ar"/>
              </w:rPr>
              <w:t xml:space="preserve">内任意一个月的社保缴纳证明,未按要求提供者不得分。</w:t>
            </w:r>
            <w:r/>
          </w:p>
        </w:tc>
        <w:tc>
          <w:tcPr>
            <w:shd w:val="clear" w:color="auto" w:fill="auto"/>
            <w:tcBorders>
              <w:top w:val="single" w:color="auto"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r>
      <w:tr>
        <w:trPr>
          <w:trHeight w:val="1801"/>
        </w:trPr>
        <w:tc>
          <w:tcPr>
            <w:shd w:val="clear" w:color="auto" w:fill="auto"/>
            <w:tcBorders>
              <w:top w:val="single" w:color="000000" w:sz="4" w:space="0"/>
              <w:left w:val="single" w:color="000000" w:sz="4" w:space="0"/>
              <w:bottom w:val="single" w:color="auto"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投标供应商业绩</w:t>
            </w:r>
            <w:r/>
          </w:p>
        </w:tc>
        <w:tc>
          <w:tcPr>
            <w:shd w:val="clear" w:color="auto" w:fill="auto"/>
            <w:tcBorders>
              <w:top w:val="single" w:color="000000" w:sz="4" w:space="0"/>
              <w:left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202</w:t>
            </w: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bidi="ar"/>
              </w:rPr>
              <w:t xml:space="preserve">年1月1日（以合同签订时间为准）以来，供应商承担过同类项目（同类项目指项目中的主要产品包含特种作业</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低压，或高压，或高处，或公共</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bidi="ar"/>
              </w:rPr>
              <w:t xml:space="preserve">考培设备）业绩的，每提供1个得1分；本项最多得</w:t>
            </w:r>
            <w:r>
              <w:rPr>
                <w:rFonts w:hint="eastAsia" w:ascii="仿宋" w:hAnsi="仿宋" w:eastAsia="仿宋" w:cs="仿宋"/>
                <w:color w:val="auto"/>
                <w:sz w:val="21"/>
                <w:szCs w:val="21"/>
                <w:highlight w:val="none"/>
                <w:lang w:val="en-US" w:eastAsia="zh-CN" w:bidi="ar"/>
              </w:rPr>
              <w:t xml:space="preserve">4</w:t>
            </w:r>
            <w:r>
              <w:rPr>
                <w:rFonts w:hint="eastAsia" w:ascii="仿宋" w:hAnsi="仿宋" w:eastAsia="仿宋" w:cs="仿宋"/>
                <w:color w:val="auto"/>
                <w:sz w:val="21"/>
                <w:szCs w:val="21"/>
                <w:highlight w:val="none"/>
                <w:lang w:bidi="ar"/>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注：业绩证明材料需提供项目合同</w:t>
            </w:r>
            <w:r>
              <w:rPr>
                <w:rFonts w:hint="eastAsia" w:ascii="仿宋" w:hAnsi="仿宋" w:eastAsia="仿宋" w:cs="仿宋"/>
                <w:b/>
                <w:bCs/>
                <w:color w:val="auto"/>
                <w:sz w:val="21"/>
                <w:szCs w:val="21"/>
                <w:highlight w:val="none"/>
                <w:lang w:val="en-US" w:eastAsia="zh-CN"/>
              </w:rPr>
              <w:t xml:space="preserve">原件扫描件加盖公章</w:t>
            </w:r>
            <w:r>
              <w:rPr>
                <w:rFonts w:hint="eastAsia" w:ascii="仿宋" w:hAnsi="仿宋" w:eastAsia="仿宋" w:cs="仿宋"/>
                <w:b/>
                <w:bCs/>
                <w:color w:val="auto"/>
                <w:sz w:val="21"/>
                <w:szCs w:val="21"/>
                <w:highlight w:val="none"/>
              </w:rPr>
              <w:t xml:space="preserve">，合同中须明确体现上述同类项目相关内容；若未按前述要求提供证明材料的，该业绩不得分。</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r>
      <w:tr>
        <w:trPr>
          <w:trHeight w:val="2525"/>
        </w:trPr>
        <w:tc>
          <w:tcPr>
            <w:shd w:val="clear" w:color="auto" w:fill="auto"/>
            <w:tcBorders>
              <w:top w:val="single" w:color="000000" w:sz="4" w:space="0"/>
              <w:left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产品要求响应</w:t>
            </w:r>
            <w:r/>
          </w:p>
          <w:p>
            <w:pPr>
              <w:jc w:val="both"/>
              <w:keepLines w:val="0"/>
              <w:pageBreakBefore w:val="0"/>
              <w:spacing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Borders>
              <w:top w:val="single" w:color="000000" w:sz="4" w:space="0"/>
              <w:left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b/>
                <w:bCs/>
                <w:color w:val="auto"/>
                <w:spacing w:val="-3"/>
                <w:sz w:val="21"/>
                <w:szCs w:val="21"/>
                <w:highlight w:val="none"/>
              </w:rPr>
            </w:pPr>
            <w:r>
              <w:rPr>
                <w:rFonts w:hint="eastAsia" w:ascii="仿宋" w:hAnsi="仿宋" w:eastAsia="仿宋" w:cs="仿宋"/>
                <w:b/>
                <w:bCs/>
                <w:color w:val="auto"/>
                <w:spacing w:val="-3"/>
                <w:sz w:val="21"/>
                <w:szCs w:val="21"/>
                <w:highlight w:val="none"/>
              </w:rPr>
              <w:t xml:space="preserve">评审小组对投标文件中产品规格参数响应进行评分。</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bidi="ar-SA"/>
              </w:rPr>
              <w:t xml:space="preserve">1.</w:t>
            </w:r>
            <w:r>
              <w:rPr>
                <w:rFonts w:hint="eastAsia" w:ascii="仿宋" w:hAnsi="仿宋" w:eastAsia="仿宋" w:cs="仿宋"/>
                <w:color w:val="auto"/>
                <w:sz w:val="21"/>
                <w:szCs w:val="21"/>
                <w:highlight w:val="none"/>
              </w:rPr>
              <w:t xml:space="preserve">灭火器的选择和使用实操考培设备</w:t>
            </w:r>
            <w:r>
              <w:rPr>
                <w:rFonts w:hint="eastAsia" w:ascii="仿宋" w:hAnsi="仿宋" w:eastAsia="仿宋" w:cs="仿宋"/>
                <w:color w:val="auto"/>
                <w:sz w:val="21"/>
                <w:szCs w:val="21"/>
                <w:highlight w:val="none"/>
                <w:lang w:eastAsia="zh-CN"/>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）提供水基、泡沫、干粉、二氧化碳、清水等实物仿真灭火器以及沙池、干沙、铲等；灭火器瓶身、喷口、压把外观与真实灭火器一致，灭火器支持无线充电。</w:t>
            </w:r>
            <w:r>
              <w:rPr>
                <w:rFonts w:hint="eastAsia" w:ascii="仿宋" w:hAnsi="仿宋" w:eastAsia="仿宋" w:cs="仿宋"/>
                <w:b/>
                <w:bCs/>
                <w:color w:val="auto"/>
                <w:sz w:val="21"/>
                <w:szCs w:val="21"/>
                <w:highlight w:val="none"/>
              </w:rPr>
              <w:t xml:space="preserve">（需提供</w:t>
            </w:r>
            <w:r>
              <w:rPr>
                <w:rFonts w:hint="eastAsia" w:ascii="仿宋" w:hAnsi="仿宋" w:eastAsia="仿宋" w:cs="仿宋"/>
                <w:b/>
                <w:bCs/>
                <w:color w:val="auto"/>
                <w:sz w:val="21"/>
                <w:szCs w:val="21"/>
                <w:highlight w:val="none"/>
                <w:lang w:val="en-US" w:eastAsia="zh-CN"/>
              </w:rPr>
              <w:t xml:space="preserve">至少3种（</w:t>
            </w:r>
            <w:r>
              <w:rPr>
                <w:rFonts w:hint="eastAsia" w:ascii="仿宋" w:hAnsi="仿宋" w:eastAsia="仿宋" w:cs="仿宋"/>
                <w:b/>
                <w:bCs/>
                <w:color w:val="auto"/>
                <w:sz w:val="21"/>
                <w:szCs w:val="21"/>
                <w:highlight w:val="none"/>
              </w:rPr>
              <w:t xml:space="preserve">水基、泡沫、干粉、二氧化碳、清水</w:t>
            </w:r>
            <w:r>
              <w:rPr>
                <w:rFonts w:hint="eastAsia" w:ascii="仿宋" w:hAnsi="仿宋" w:eastAsia="仿宋" w:cs="仿宋"/>
                <w:b/>
                <w:bCs/>
                <w:color w:val="auto"/>
                <w:sz w:val="21"/>
                <w:szCs w:val="21"/>
                <w:highlight w:val="none"/>
                <w:lang w:val="en-US" w:eastAsia="zh-CN"/>
              </w:rPr>
              <w:t xml:space="preserve">）实物</w:t>
            </w:r>
            <w:r>
              <w:rPr>
                <w:rFonts w:hint="eastAsia" w:ascii="仿宋" w:hAnsi="仿宋" w:eastAsia="仿宋" w:cs="仿宋"/>
                <w:b/>
                <w:bCs/>
                <w:color w:val="auto"/>
                <w:sz w:val="21"/>
                <w:szCs w:val="21"/>
                <w:highlight w:val="none"/>
              </w:rPr>
              <w:t xml:space="preserve">仿真灭火器的瓶身、喷口、压把外观照片</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提供并能清晰展现灭火器各项信息的得1分</w:t>
            </w:r>
            <w:r>
              <w:rPr>
                <w:rFonts w:hint="eastAsia" w:ascii="仿宋" w:hAnsi="仿宋" w:eastAsia="仿宋" w:cs="仿宋"/>
                <w:b/>
                <w:bCs/>
                <w:color w:val="auto"/>
                <w:sz w:val="21"/>
                <w:szCs w:val="21"/>
                <w:highlight w:val="none"/>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）火灾场景至少包含50种各种类型火灾的三维模拟场景。满足扑灭A、B、C、D、E等五类火灾要求，包括A类火灾≥20种，B类火灾≥8种，C类火灾≥1种，D类火灾≥1种，E类火灾≥20种。</w:t>
            </w:r>
            <w:r>
              <w:rPr>
                <w:rFonts w:hint="eastAsia" w:ascii="仿宋" w:hAnsi="仿宋" w:eastAsia="仿宋" w:cs="仿宋"/>
                <w:b/>
                <w:bCs/>
                <w:color w:val="auto"/>
                <w:sz w:val="21"/>
                <w:szCs w:val="21"/>
                <w:highlight w:val="none"/>
              </w:rPr>
              <w:t xml:space="preserve">（需提供以上50种三维模拟场景</w:t>
            </w:r>
            <w:r>
              <w:rPr>
                <w:rFonts w:hint="eastAsia" w:ascii="仿宋" w:hAnsi="仿宋" w:eastAsia="仿宋" w:cs="仿宋"/>
                <w:b/>
                <w:bCs/>
                <w:color w:val="auto"/>
                <w:sz w:val="21"/>
                <w:szCs w:val="21"/>
                <w:highlight w:val="none"/>
                <w:lang w:val="en-US" w:eastAsia="zh-CN"/>
              </w:rPr>
              <w:t xml:space="preserve">的</w:t>
            </w:r>
            <w:r>
              <w:rPr>
                <w:rFonts w:hint="eastAsia" w:ascii="仿宋" w:hAnsi="仿宋" w:eastAsia="仿宋" w:cs="仿宋"/>
                <w:b/>
                <w:bCs/>
                <w:color w:val="auto"/>
                <w:sz w:val="21"/>
                <w:szCs w:val="21"/>
                <w:highlight w:val="none"/>
              </w:rPr>
              <w:t xml:space="preserve">火灾场景</w:t>
            </w:r>
            <w:r>
              <w:rPr>
                <w:rFonts w:hint="eastAsia"/>
                <w:color w:val="auto"/>
                <w:highlight w:val="none"/>
                <w:lang w:eastAsia="zh-CN"/>
              </w:rPr>
              <w:t xml:space="preserve">（</w:t>
            </w:r>
            <w:r>
              <w:rPr>
                <w:rFonts w:hint="eastAsia" w:ascii="仿宋" w:hAnsi="仿宋" w:eastAsia="仿宋" w:cs="仿宋"/>
                <w:color w:val="auto"/>
                <w:sz w:val="21"/>
                <w:szCs w:val="21"/>
                <w:highlight w:val="none"/>
                <w:lang w:val="en-US" w:eastAsia="zh-CN"/>
              </w:rPr>
              <w:t xml:space="preserve">供应商列举</w:t>
            </w:r>
            <w:r>
              <w:rPr>
                <w:rFonts w:hint="eastAsia"/>
                <w:color w:val="auto"/>
                <w:highlight w:val="none"/>
                <w:lang w:eastAsia="zh-CN"/>
              </w:rPr>
              <w:t xml:space="preserve">）</w:t>
            </w:r>
            <w:r>
              <w:rPr>
                <w:rFonts w:hint="eastAsia" w:ascii="仿宋" w:hAnsi="仿宋" w:eastAsia="仿宋" w:cs="仿宋"/>
                <w:b/>
                <w:bCs/>
                <w:color w:val="auto"/>
                <w:sz w:val="21"/>
                <w:szCs w:val="21"/>
                <w:highlight w:val="none"/>
              </w:rPr>
              <w:t xml:space="preserve">截图证明，场景截图及名称须逐一对应。</w:t>
            </w:r>
            <w:r>
              <w:rPr>
                <w:rFonts w:hint="eastAsia" w:ascii="仿宋" w:hAnsi="仿宋" w:eastAsia="仿宋" w:cs="仿宋"/>
                <w:b/>
                <w:bCs/>
                <w:color w:val="auto"/>
                <w:sz w:val="21"/>
                <w:szCs w:val="21"/>
                <w:highlight w:val="none"/>
                <w:lang w:val="en-US" w:eastAsia="zh-CN"/>
              </w:rPr>
              <w:t xml:space="preserve">能完整提供的得1分</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eastAsia="zh-CN"/>
              </w:rPr>
              <w:t xml:space="preserve">。</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2.（1）</w:t>
            </w:r>
            <w:r>
              <w:rPr>
                <w:rFonts w:hint="eastAsia" w:ascii="仿宋" w:hAnsi="仿宋" w:eastAsia="仿宋" w:cs="仿宋"/>
                <w:color w:val="auto"/>
                <w:sz w:val="21"/>
                <w:szCs w:val="21"/>
                <w:highlight w:val="none"/>
              </w:rPr>
              <w:t xml:space="preserve">单人徒手心肺复苏实操考培设备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材料特点：面皮肤、颈皮肤、胸皮肤、头发，采用进口热塑弹性体混合胶材料，由不锈钢摸具、经注塑机高温注压而成，具有解剖标志准确、手感真实、肤色统一、形态逼真、外形美观、经久耐用、消毒清洗不变形、拆装更换方便等特点，其材料达到国外同等水平。（投标文件需提供封面具有CNAS</w:t>
            </w:r>
            <w:r>
              <w:rPr>
                <w:rFonts w:hint="eastAsia" w:ascii="仿宋" w:hAnsi="仿宋" w:eastAsia="仿宋" w:cs="仿宋"/>
                <w:color w:val="auto"/>
                <w:sz w:val="21"/>
                <w:szCs w:val="21"/>
                <w:highlight w:val="none"/>
                <w:lang w:val="en-US" w:eastAsia="zh-CN"/>
              </w:rPr>
              <w:t xml:space="preserve">或</w:t>
            </w:r>
            <w:r>
              <w:rPr>
                <w:rFonts w:hint="eastAsia" w:ascii="仿宋" w:hAnsi="仿宋" w:eastAsia="仿宋" w:cs="仿宋"/>
                <w:color w:val="auto"/>
                <w:sz w:val="21"/>
                <w:szCs w:val="21"/>
                <w:highlight w:val="none"/>
              </w:rPr>
              <w:t xml:space="preserve">CMA的报告）</w:t>
            </w:r>
            <w:r>
              <w:rPr>
                <w:rFonts w:hint="eastAsia" w:ascii="仿宋" w:hAnsi="仿宋" w:eastAsia="仿宋" w:cs="仿宋"/>
                <w:color w:val="auto"/>
                <w:sz w:val="21"/>
                <w:szCs w:val="21"/>
                <w:highlight w:val="none"/>
                <w:lang w:val="en-US" w:eastAsia="zh-CN"/>
              </w:rPr>
              <w:t xml:space="preserve">得1分。</w:t>
            </w:r>
            <w:r/>
          </w:p>
          <w:p>
            <w:pPr>
              <w:numPr>
                <w:ilvl w:val="0"/>
                <w:numId w:val="0"/>
              </w:num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考评员移动评分系统</w:t>
            </w:r>
            <w:r>
              <w:rPr>
                <w:rFonts w:hint="eastAsia" w:ascii="仿宋" w:hAnsi="仿宋" w:eastAsia="仿宋" w:cs="仿宋"/>
                <w:color w:val="auto"/>
                <w:sz w:val="21"/>
                <w:szCs w:val="21"/>
                <w:highlight w:val="none"/>
                <w:lang w:val="en-US" w:eastAsia="zh-CN"/>
              </w:rPr>
              <w:t xml:space="preserve">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系统具备考试成绩自动上传至省级实操考核管理平台的功能，方便</w:t>
            </w:r>
            <w:r>
              <w:rPr>
                <w:rFonts w:hint="eastAsia" w:ascii="仿宋" w:hAnsi="仿宋" w:eastAsia="仿宋" w:cs="仿宋"/>
                <w:color w:val="auto"/>
                <w:sz w:val="21"/>
                <w:szCs w:val="21"/>
                <w:highlight w:val="none"/>
                <w:lang w:val="en-US" w:eastAsia="zh-CN"/>
              </w:rPr>
              <w:t xml:space="preserve">培训</w:t>
            </w:r>
            <w:r>
              <w:rPr>
                <w:rFonts w:hint="eastAsia" w:ascii="仿宋" w:hAnsi="仿宋" w:eastAsia="仿宋" w:cs="仿宋"/>
                <w:color w:val="auto"/>
                <w:sz w:val="21"/>
                <w:szCs w:val="21"/>
                <w:highlight w:val="none"/>
              </w:rPr>
              <w:t xml:space="preserve">组织和管理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同步对标考试内容</w:t>
            </w:r>
            <w:r>
              <w:rPr>
                <w:rFonts w:hint="eastAsia" w:ascii="仿宋" w:hAnsi="仿宋" w:eastAsia="仿宋" w:cs="仿宋"/>
                <w:color w:val="auto"/>
                <w:sz w:val="21"/>
                <w:szCs w:val="21"/>
                <w:highlight w:val="none"/>
                <w:lang w:eastAsia="zh-CN"/>
              </w:rPr>
              <w:t xml:space="preserve">）。</w:t>
            </w:r>
            <w:r>
              <w:rPr>
                <w:rFonts w:hint="eastAsia"/>
                <w:color w:val="auto"/>
                <w:sz w:val="24"/>
                <w:szCs w:val="18"/>
                <w:highlight w:val="none"/>
              </w:rPr>
              <w:t xml:space="preserve">（需提供类似省一级安全培训考试系统平台或省级软件对接服务的服务方案）</w:t>
            </w:r>
            <w:r>
              <w:rPr>
                <w:rFonts w:hint="eastAsia" w:ascii="仿宋" w:hAnsi="仿宋" w:eastAsia="仿宋" w:cs="仿宋"/>
                <w:b/>
                <w:bCs/>
                <w:color w:val="auto"/>
                <w:sz w:val="21"/>
                <w:szCs w:val="21"/>
                <w:highlight w:val="none"/>
                <w:lang w:val="en-US" w:eastAsia="zh-CN"/>
              </w:rPr>
              <w:t xml:space="preserve">并满足要求得2分。</w:t>
            </w:r>
            <w:r/>
          </w:p>
          <w:p>
            <w:pPr>
              <w:jc w:val="left"/>
              <w:keepLines w:val="0"/>
              <w:pageBreakBefore w:val="0"/>
              <w:spacing w:line="240" w:lineRule="auto"/>
              <w:shd w:val="clear" w:color="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3.低压电工作业-K11-</w:t>
            </w:r>
            <w:r>
              <w:rPr>
                <w:rFonts w:hint="eastAsia" w:ascii="仿宋" w:hAnsi="仿宋" w:eastAsia="仿宋" w:cs="仿宋"/>
                <w:color w:val="auto"/>
                <w:sz w:val="21"/>
                <w:szCs w:val="21"/>
                <w:highlight w:val="none"/>
              </w:rPr>
              <w:t xml:space="preserve">电力安全工器具与电工仪器仪表</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仪器仪表测试台</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需提供封面具有CNAS或CMA或认证标识的检验报告为佐证，且报告中完整呈现</w:t>
            </w:r>
            <w:r>
              <w:rPr>
                <w:rFonts w:hint="eastAsia" w:ascii="仿宋" w:hAnsi="仿宋" w:eastAsia="仿宋" w:cs="仿宋"/>
                <w:b/>
                <w:bCs/>
                <w:color w:val="auto"/>
                <w:sz w:val="21"/>
                <w:szCs w:val="21"/>
                <w:highlight w:val="none"/>
                <w:lang w:val="en-US" w:eastAsia="zh-CN"/>
              </w:rPr>
              <w:t xml:space="preserve">文中叙述</w:t>
            </w:r>
            <w:r>
              <w:rPr>
                <w:rFonts w:hint="eastAsia" w:ascii="仿宋" w:hAnsi="仿宋" w:eastAsia="仿宋" w:cs="仿宋"/>
                <w:b/>
                <w:bCs/>
                <w:color w:val="auto"/>
                <w:sz w:val="21"/>
                <w:szCs w:val="21"/>
                <w:highlight w:val="none"/>
              </w:rPr>
              <w:t xml:space="preserve">要求</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提供并满足要求得1分。</w:t>
            </w:r>
            <w:r/>
          </w:p>
          <w:p>
            <w:pPr>
              <w:ind w:left="0" w:right="0" w:firstLine="0"/>
              <w:jc w:val="left"/>
              <w:keepLines w:val="0"/>
              <w:keepNext/>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4.低压电工作业-K11-</w:t>
            </w:r>
            <w:r>
              <w:rPr>
                <w:rFonts w:hint="eastAsia" w:ascii="仿宋" w:hAnsi="仿宋" w:eastAsia="仿宋" w:cs="仿宋"/>
                <w:color w:val="auto"/>
                <w:sz w:val="21"/>
                <w:szCs w:val="21"/>
                <w:highlight w:val="none"/>
              </w:rPr>
              <w:t xml:space="preserve">电力安全工器具与电工仪器仪表</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电气安全标志考核装置</w:t>
            </w:r>
            <w:r>
              <w:rPr>
                <w:rFonts w:hint="eastAsia" w:ascii="仿宋" w:hAnsi="仿宋" w:eastAsia="仿宋" w:cs="仿宋"/>
                <w:color w:val="auto"/>
                <w:sz w:val="21"/>
                <w:szCs w:val="21"/>
                <w:highlight w:val="none"/>
                <w:lang w:eastAsia="zh-CN"/>
              </w:rPr>
              <w:t xml:space="preserve">。</w:t>
            </w:r>
            <w:r/>
          </w:p>
          <w:p>
            <w:p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需提供标志配置数量</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禁止≥9个、指令≥8个、警告≥9个、提示≥6个</w:t>
            </w:r>
            <w:r>
              <w:rPr>
                <w:rFonts w:hint="eastAsia" w:ascii="仿宋" w:hAnsi="仿宋" w:eastAsia="仿宋" w:cs="仿宋"/>
                <w:b w:val="0"/>
                <w:bCs w:val="0"/>
                <w:color w:val="auto"/>
                <w:sz w:val="21"/>
                <w:szCs w:val="21"/>
                <w:highlight w:val="none"/>
                <w:lang w:eastAsia="zh-CN"/>
              </w:rPr>
              <w:t xml:space="preserve">）</w:t>
            </w:r>
            <w:r>
              <w:rPr>
                <w:rFonts w:hint="eastAsia" w:ascii="仿宋" w:hAnsi="仿宋" w:eastAsia="仿宋" w:cs="仿宋"/>
                <w:b w:val="0"/>
                <w:bCs w:val="0"/>
                <w:color w:val="auto"/>
                <w:sz w:val="21"/>
                <w:szCs w:val="21"/>
                <w:highlight w:val="none"/>
              </w:rPr>
              <w:t xml:space="preserve">及类型图，以此验证设备功能区设计符合GB/T29481标准，且功能完备，能够满足电气安全标志考核的多样化需求。</w:t>
            </w:r>
            <w:r>
              <w:rPr>
                <w:rFonts w:hint="eastAsia" w:ascii="仿宋" w:hAnsi="仿宋" w:eastAsia="仿宋" w:cs="仿宋"/>
                <w:b/>
                <w:bCs/>
                <w:color w:val="auto"/>
                <w:sz w:val="21"/>
                <w:szCs w:val="21"/>
                <w:highlight w:val="none"/>
                <w:lang w:val="en-US" w:eastAsia="zh-CN"/>
              </w:rPr>
              <w:t xml:space="preserve">提供并满足要求得1分。</w:t>
            </w:r>
            <w:r/>
          </w:p>
          <w:p>
            <w:p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场景交互式考核</w:t>
            </w:r>
            <w:r>
              <w:rPr>
                <w:rFonts w:hint="eastAsia" w:ascii="仿宋" w:hAnsi="仿宋" w:eastAsia="仿宋" w:cs="仿宋"/>
                <w:b/>
                <w:bCs/>
                <w:color w:val="auto"/>
                <w:sz w:val="21"/>
                <w:szCs w:val="21"/>
                <w:highlight w:val="none"/>
              </w:rPr>
              <w:t xml:space="preserve">需提供工厂配电房、居民区配电房、变电站、户外检修作业四类场景的场景图及交互式考核操作界面截图需标注场景名称及交互功能点。</w:t>
            </w:r>
            <w:r>
              <w:rPr>
                <w:rFonts w:hint="eastAsia" w:ascii="仿宋" w:hAnsi="仿宋" w:eastAsia="仿宋" w:cs="仿宋"/>
                <w:b/>
                <w:bCs/>
                <w:color w:val="auto"/>
                <w:sz w:val="21"/>
                <w:szCs w:val="21"/>
                <w:highlight w:val="none"/>
                <w:lang w:val="en-US" w:eastAsia="zh-CN"/>
              </w:rPr>
              <w:t xml:space="preserve">提供并满足要求得1分。</w:t>
            </w:r>
            <w:r/>
          </w:p>
          <w:p>
            <w:pPr>
              <w:ind w:left="0" w:right="0" w:firstLine="0"/>
              <w:jc w:val="left"/>
              <w:keepLines w:val="0"/>
              <w:keepNext/>
              <w:pageBreakBefore w:val="0"/>
              <w:spacing w:line="240" w:lineRule="auto"/>
              <w:widowControl/>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5.低压电工作业-K31-</w:t>
            </w:r>
            <w:r>
              <w:rPr>
                <w:rFonts w:hint="eastAsia" w:ascii="仿宋" w:hAnsi="仿宋" w:eastAsia="仿宋" w:cs="仿宋"/>
                <w:color w:val="auto"/>
                <w:sz w:val="21"/>
                <w:szCs w:val="21"/>
                <w:highlight w:val="none"/>
              </w:rPr>
              <w:t xml:space="preserve">低压开关柜</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接线模拟图板</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i w:val="0"/>
                <w:iCs w:val="0"/>
                <w:color w:val="auto"/>
                <w:sz w:val="22"/>
                <w:szCs w:val="22"/>
                <w:highlight w:val="none"/>
                <w:u w:val="none"/>
              </w:rPr>
              <w:t xml:space="preserve">支持身份认证：支持身份证号及准考证号登录，自动关联考生信息、调取并显示考试电路图</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提供登录界面（</w:t>
            </w:r>
            <w:r>
              <w:rPr>
                <w:rFonts w:hint="eastAsia" w:ascii="仿宋" w:hAnsi="仿宋" w:eastAsia="仿宋" w:cs="仿宋"/>
                <w:i w:val="0"/>
                <w:iCs w:val="0"/>
                <w:color w:val="auto"/>
                <w:sz w:val="22"/>
                <w:szCs w:val="22"/>
                <w:highlight w:val="none"/>
                <w:u w:val="none"/>
              </w:rPr>
              <w:t xml:space="preserve">支持身份证号及准考证号登录</w:t>
            </w:r>
            <w:r>
              <w:rPr>
                <w:rFonts w:hint="eastAsia" w:ascii="仿宋" w:hAnsi="仿宋" w:eastAsia="仿宋" w:cs="仿宋"/>
                <w:i w:val="0"/>
                <w:iCs w:val="0"/>
                <w:color w:val="auto"/>
                <w:sz w:val="22"/>
                <w:szCs w:val="22"/>
                <w:highlight w:val="none"/>
                <w:u w:val="none"/>
                <w:lang w:val="en-US" w:eastAsia="zh-CN"/>
              </w:rPr>
              <w:t xml:space="preserve">）、考生信息界面、</w:t>
            </w:r>
            <w:r>
              <w:rPr>
                <w:rFonts w:hint="eastAsia" w:ascii="仿宋" w:hAnsi="仿宋" w:eastAsia="仿宋" w:cs="仿宋"/>
                <w:i w:val="0"/>
                <w:iCs w:val="0"/>
                <w:color w:val="auto"/>
                <w:sz w:val="22"/>
                <w:szCs w:val="22"/>
                <w:highlight w:val="none"/>
                <w:u w:val="none"/>
              </w:rPr>
              <w:t xml:space="preserve">调取并显示考试电路图</w:t>
            </w:r>
            <w:r>
              <w:rPr>
                <w:rFonts w:hint="eastAsia" w:ascii="仿宋" w:hAnsi="仿宋" w:eastAsia="仿宋" w:cs="仿宋"/>
                <w:i w:val="0"/>
                <w:iCs w:val="0"/>
                <w:color w:val="auto"/>
                <w:sz w:val="22"/>
                <w:szCs w:val="22"/>
                <w:highlight w:val="none"/>
                <w:u w:val="none"/>
                <w:lang w:val="en-US" w:eastAsia="zh-CN"/>
              </w:rPr>
              <w:t xml:space="preserve">的界面的截图，提供信息完整并满足要求得1分。</w:t>
            </w:r>
            <w:r/>
          </w:p>
          <w:p>
            <w:pPr>
              <w:ind w:left="0" w:right="0" w:firstLine="0"/>
              <w:jc w:val="left"/>
              <w:keepLines w:val="0"/>
              <w:keepNext/>
              <w:pageBreakBefore w:val="0"/>
              <w:spacing w:line="240" w:lineRule="auto"/>
              <w:widowControl/>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lang w:val="en-US" w:eastAsia="zh-CN"/>
              </w:rPr>
              <w:t xml:space="preserve">6.低压电工作业-K32-</w:t>
            </w:r>
            <w:r>
              <w:rPr>
                <w:rFonts w:hint="eastAsia" w:ascii="仿宋" w:hAnsi="仿宋" w:eastAsia="仿宋" w:cs="仿宋"/>
                <w:color w:val="auto"/>
                <w:sz w:val="21"/>
                <w:szCs w:val="21"/>
                <w:highlight w:val="none"/>
              </w:rPr>
              <w:t xml:space="preserve">低压开关柜</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接线模拟图板</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需提供实物设备照片2张</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含</w:t>
            </w:r>
            <w:r>
              <w:rPr>
                <w:rFonts w:hint="eastAsia" w:ascii="仿宋" w:hAnsi="仿宋" w:eastAsia="仿宋" w:cs="仿宋"/>
                <w:color w:val="auto"/>
                <w:sz w:val="21"/>
                <w:szCs w:val="21"/>
                <w:highlight w:val="none"/>
              </w:rPr>
              <w:t xml:space="preserve">电源指示，报警指示灯，带电指示灯，模拟低压开关旋扭，一次接线图</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，验证设备的真实性</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提供并满足要求得1分。</w:t>
            </w:r>
            <w:r/>
          </w:p>
          <w:p>
            <w:p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考评员移动评分系统</w:t>
            </w:r>
            <w:r>
              <w:rPr>
                <w:rFonts w:hint="eastAsia" w:ascii="仿宋" w:hAnsi="仿宋" w:eastAsia="仿宋" w:cs="仿宋"/>
                <w:color w:val="auto"/>
                <w:sz w:val="21"/>
                <w:szCs w:val="21"/>
                <w:highlight w:val="none"/>
                <w:lang w:eastAsia="zh-CN"/>
              </w:rPr>
              <w:t xml:space="preserve">（低压电工作业、高压电工作业、高处作业）。</w:t>
            </w:r>
            <w:r>
              <w:rPr>
                <w:rFonts w:hint="eastAsia" w:ascii="仿宋" w:hAnsi="仿宋" w:eastAsia="仿宋" w:cs="仿宋"/>
                <w:b/>
                <w:bCs/>
                <w:color w:val="auto"/>
                <w:sz w:val="21"/>
                <w:szCs w:val="21"/>
                <w:highlight w:val="none"/>
              </w:rPr>
              <w:t xml:space="preserve">需逐项提供系统功能截图</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1.考评员登录2.考生信息确认3.考试题目抽取功能4.在线评分5.考试过程拍照6.考试评分提醒7.考试成绩单生成8.成绩查询9.评分记录查询</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，验证投标系统功能设计完备性</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提供并所有功能均满足要求加1分。</w:t>
            </w:r>
            <w:r/>
          </w:p>
          <w:p>
            <w:pPr>
              <w:pStyle w:val="101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8.高压电工作业-K31-</w:t>
            </w:r>
            <w:r>
              <w:rPr>
                <w:rFonts w:hint="eastAsia" w:ascii="仿宋" w:hAnsi="仿宋" w:eastAsia="仿宋" w:cs="仿宋"/>
                <w:color w:val="auto"/>
                <w:sz w:val="21"/>
                <w:szCs w:val="21"/>
                <w:highlight w:val="none"/>
              </w:rPr>
              <w:t xml:space="preserve">10/0.4kV变配电系统(成套开关柜)</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高压开关柜(整套)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微机综合保护装置：1台额定电压220V的微机综合保护装置，电压测量范围0～100V，电流测量范围0～5A，带RS485通讯接口，具备过流保护、低电压保护、过电压保护、过负荷保护、保护合闸、保护分闸等保护功能。</w:t>
            </w:r>
            <w:r>
              <w:rPr>
                <w:rFonts w:hint="eastAsia" w:ascii="仿宋" w:hAnsi="仿宋" w:eastAsia="仿宋" w:cs="仿宋"/>
                <w:b/>
                <w:bCs/>
                <w:color w:val="auto"/>
                <w:sz w:val="21"/>
                <w:szCs w:val="21"/>
                <w:highlight w:val="none"/>
                <w:lang w:val="en-US" w:eastAsia="zh-CN"/>
              </w:rPr>
              <w:t xml:space="preserve">提供</w:t>
            </w:r>
            <w:r>
              <w:rPr>
                <w:rFonts w:hint="eastAsia" w:ascii="仿宋" w:hAnsi="仿宋" w:eastAsia="仿宋" w:cs="仿宋"/>
                <w:b/>
                <w:bCs/>
                <w:color w:val="auto"/>
                <w:sz w:val="22"/>
                <w:szCs w:val="22"/>
                <w:highlight w:val="none"/>
              </w:rPr>
              <w:t xml:space="preserve">设备满足本项要求的证明材料</w:t>
            </w:r>
            <w:r>
              <w:rPr>
                <w:rFonts w:hint="eastAsia" w:ascii="仿宋" w:hAnsi="仿宋" w:eastAsia="仿宋" w:cs="仿宋"/>
                <w:b/>
                <w:bCs/>
                <w:color w:val="auto"/>
                <w:sz w:val="21"/>
                <w:szCs w:val="21"/>
                <w:highlight w:val="none"/>
                <w:lang w:val="en-US" w:eastAsia="zh-CN"/>
              </w:rPr>
              <w:t xml:space="preserve">加1分。</w:t>
            </w:r>
            <w:r/>
          </w:p>
          <w:p>
            <w:pPr>
              <w:ind w:left="0" w:right="0" w:firstLine="0"/>
              <w:jc w:val="left"/>
              <w:keepLines w:val="0"/>
              <w:keepNext/>
              <w:pageBreakBefore w:val="0"/>
              <w:spacing w:line="240" w:lineRule="auto"/>
              <w:widowControl/>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9.高处作业-K31-</w:t>
            </w:r>
            <w:r>
              <w:rPr>
                <w:rFonts w:hint="eastAsia" w:ascii="仿宋" w:hAnsi="仿宋" w:eastAsia="仿宋" w:cs="仿宋"/>
                <w:color w:val="auto"/>
                <w:sz w:val="21"/>
                <w:szCs w:val="21"/>
                <w:highlight w:val="none"/>
              </w:rPr>
              <w:t xml:space="preserve">移动平台</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作业环境显示屏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系统支持考生对天气（含晴天、雨、雪、雾场景）、温度、风向、风力环境进行选择。考试时随机生成天气气候画面，考生可更换画面选择正确的天气信息以满足作业要求。</w:t>
            </w:r>
            <w:r>
              <w:rPr>
                <w:rFonts w:hint="eastAsia" w:ascii="仿宋" w:hAnsi="仿宋" w:eastAsia="仿宋" w:cs="仿宋"/>
                <w:b/>
                <w:bCs/>
                <w:color w:val="auto"/>
                <w:sz w:val="21"/>
                <w:szCs w:val="21"/>
                <w:highlight w:val="none"/>
              </w:rPr>
              <w:t xml:space="preserve">（投标文件中须提供至少3张系统界面截图作为功能佐证材料，截图需能体现天气（含晴天、雨、雪、雾场景）、温度、风向、风力等信息，且应包含不同天气状况下的界面天气信息展示供考生选择）</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提供并所有功能均满足要求加1分。</w:t>
            </w:r>
            <w:r/>
          </w:p>
          <w:p>
            <w:pPr>
              <w:ind w:left="0" w:right="0" w:firstLine="0"/>
              <w:jc w:val="left"/>
              <w:keepLines w:val="0"/>
              <w:keepNext/>
              <w:pageBreakBefore w:val="0"/>
              <w:spacing w:line="240" w:lineRule="auto"/>
              <w:widowControl/>
              <w:rPr>
                <w:color w:val="auto"/>
                <w:highlight w:val="none"/>
              </w:rPr>
            </w:pPr>
            <w:r>
              <w:rPr>
                <w:rFonts w:hint="eastAsia" w:ascii="仿宋" w:hAnsi="仿宋" w:eastAsia="仿宋" w:cs="仿宋"/>
                <w:b/>
                <w:bCs/>
                <w:color w:val="auto"/>
                <w:sz w:val="21"/>
                <w:szCs w:val="21"/>
                <w:highlight w:val="none"/>
                <w:lang w:val="en-US" w:eastAsia="zh-CN"/>
              </w:rPr>
              <w:t xml:space="preserve">10.高处作业-K34-</w:t>
            </w:r>
            <w:r>
              <w:rPr>
                <w:rFonts w:hint="eastAsia" w:ascii="仿宋" w:hAnsi="仿宋" w:eastAsia="仿宋" w:cs="仿宋"/>
                <w:color w:val="auto"/>
                <w:sz w:val="21"/>
                <w:szCs w:val="21"/>
                <w:highlight w:val="none"/>
              </w:rPr>
              <w:t xml:space="preserve">登杆登塔</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铁塔</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铁塔主材、镀锌层厚度、整体结构、安全标识、安装焊接工艺符合以上要求，满足高处安装、维护、拆除作业-登杆登塔</w:t>
            </w:r>
            <w:r>
              <w:rPr>
                <w:rFonts w:hint="eastAsia" w:ascii="仿宋" w:hAnsi="仿宋" w:eastAsia="仿宋" w:cs="仿宋"/>
                <w:color w:val="auto"/>
                <w:sz w:val="21"/>
                <w:szCs w:val="21"/>
                <w:highlight w:val="none"/>
                <w:lang w:eastAsia="zh-CN"/>
              </w:rPr>
              <w:t xml:space="preserve">考培设备</w:t>
            </w:r>
            <w:r>
              <w:rPr>
                <w:rFonts w:hint="eastAsia" w:ascii="仿宋" w:hAnsi="仿宋" w:eastAsia="仿宋" w:cs="仿宋"/>
                <w:color w:val="auto"/>
                <w:sz w:val="21"/>
                <w:szCs w:val="21"/>
                <w:highlight w:val="none"/>
              </w:rPr>
              <w:t xml:space="preserve">实操考核中中攀爬铁塔到达作业位置将安全带大钩挂入高处悬挂点以及登塔作业收尾阶段的操作，保证过程的安全性与场景真实性。</w:t>
            </w:r>
            <w:r>
              <w:rPr>
                <w:rFonts w:hint="eastAsia" w:ascii="仿宋" w:hAnsi="仿宋" w:eastAsia="仿宋" w:cs="仿宋"/>
                <w:b/>
                <w:bCs/>
                <w:color w:val="auto"/>
                <w:sz w:val="21"/>
                <w:szCs w:val="21"/>
                <w:highlight w:val="none"/>
              </w:rPr>
              <w:t xml:space="preserve">（需提供铁塔主材、镀锌层厚度、整体结构、安全标识、安装焊接工艺符合以上要求的且封面具有CNAS或CMA标识的检验报告为佐证。）</w:t>
            </w:r>
            <w:r>
              <w:rPr>
                <w:rFonts w:hint="eastAsia" w:ascii="仿宋" w:hAnsi="仿宋" w:eastAsia="仿宋" w:cs="仿宋"/>
                <w:b/>
                <w:bCs/>
                <w:color w:val="auto"/>
                <w:sz w:val="21"/>
                <w:szCs w:val="21"/>
                <w:highlight w:val="none"/>
                <w:lang w:val="en-US" w:eastAsia="zh-CN"/>
              </w:rPr>
              <w:t xml:space="preserve">提供并所有功能均满足要求加1分。</w:t>
            </w:r>
            <w:r/>
          </w:p>
          <w:p>
            <w:pPr>
              <w:jc w:val="left"/>
              <w:keepLines w:val="0"/>
              <w:pageBreakBefore w:val="0"/>
              <w:spacing w:line="240" w:lineRule="auto"/>
              <w:widowControl/>
              <w:rPr>
                <w:rFonts w:hint="eastAsia" w:ascii="仿宋" w:hAnsi="仿宋" w:eastAsia="仿宋" w:cs="仿宋"/>
                <w:b/>
                <w:bCs/>
                <w:color w:val="auto"/>
                <w:spacing w:val="-3"/>
                <w:sz w:val="21"/>
                <w:szCs w:val="21"/>
                <w:highlight w:val="none"/>
              </w:rPr>
            </w:pPr>
            <w:r>
              <w:rPr>
                <w:rFonts w:hint="eastAsia" w:ascii="仿宋" w:hAnsi="仿宋" w:eastAsia="仿宋" w:cs="仿宋"/>
                <w:b/>
                <w:bCs/>
                <w:color w:val="auto"/>
                <w:sz w:val="21"/>
                <w:szCs w:val="21"/>
                <w:highlight w:val="none"/>
              </w:rPr>
              <w:t xml:space="preserve">注：以上参数</w:t>
            </w:r>
            <w:r>
              <w:rPr>
                <w:rFonts w:hint="eastAsia" w:ascii="仿宋" w:hAnsi="仿宋" w:eastAsia="仿宋" w:cs="仿宋"/>
                <w:b/>
                <w:bCs/>
                <w:color w:val="auto"/>
                <w:sz w:val="21"/>
                <w:szCs w:val="21"/>
                <w:highlight w:val="none"/>
                <w:lang w:val="en-US" w:eastAsia="zh-CN"/>
              </w:rPr>
              <w:t xml:space="preserve">及佐证材料</w:t>
            </w:r>
            <w:r>
              <w:rPr>
                <w:rFonts w:hint="eastAsia" w:ascii="仿宋" w:hAnsi="仿宋" w:eastAsia="仿宋" w:cs="仿宋"/>
                <w:b/>
                <w:bCs/>
                <w:color w:val="auto"/>
                <w:sz w:val="21"/>
                <w:szCs w:val="21"/>
                <w:highlight w:val="none"/>
              </w:rPr>
              <w:t xml:space="preserve">请单独列</w:t>
            </w:r>
            <w:r>
              <w:rPr>
                <w:rFonts w:hint="eastAsia" w:ascii="仿宋" w:hAnsi="仿宋" w:eastAsia="仿宋" w:cs="仿宋"/>
                <w:b/>
                <w:bCs/>
                <w:color w:val="auto"/>
                <w:sz w:val="21"/>
                <w:szCs w:val="21"/>
                <w:highlight w:val="none"/>
                <w:lang w:val="en-US" w:eastAsia="zh-CN"/>
              </w:rPr>
              <w:t xml:space="preserve">明</w:t>
            </w:r>
            <w:r>
              <w:rPr>
                <w:rFonts w:hint="eastAsia" w:ascii="仿宋" w:hAnsi="仿宋" w:eastAsia="仿宋" w:cs="仿宋"/>
                <w:b/>
                <w:bCs/>
                <w:color w:val="auto"/>
                <w:sz w:val="21"/>
                <w:szCs w:val="21"/>
                <w:highlight w:val="none"/>
              </w:rPr>
              <w:t xml:space="preserve">，并标明页码</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中标后</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lang w:val="en-US" w:eastAsia="zh-CN"/>
              </w:rPr>
              <w:t xml:space="preserve">自成交结果公告发布之日起</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三个工作日内需提供</w:t>
            </w:r>
            <w:r>
              <w:rPr>
                <w:rFonts w:hint="eastAsia" w:ascii="仿宋" w:hAnsi="仿宋" w:eastAsia="仿宋" w:cs="仿宋"/>
                <w:b/>
                <w:bCs/>
                <w:color w:val="auto"/>
                <w:sz w:val="21"/>
                <w:szCs w:val="21"/>
                <w:highlight w:val="none"/>
                <w:lang w:val="en-US" w:eastAsia="zh-CN"/>
              </w:rPr>
              <w:t xml:space="preserve">以上</w:t>
            </w:r>
            <w:r>
              <w:rPr>
                <w:rFonts w:hint="eastAsia" w:ascii="仿宋" w:hAnsi="仿宋" w:eastAsia="仿宋" w:cs="仿宋"/>
                <w:b/>
                <w:bCs/>
                <w:color w:val="auto"/>
                <w:sz w:val="21"/>
                <w:szCs w:val="21"/>
                <w:highlight w:val="none"/>
              </w:rPr>
              <w:t xml:space="preserve">所有佐证资料</w:t>
            </w:r>
            <w:r>
              <w:rPr>
                <w:rFonts w:hint="eastAsia" w:ascii="仿宋" w:hAnsi="仿宋" w:eastAsia="仿宋" w:cs="仿宋"/>
                <w:b/>
                <w:bCs/>
                <w:color w:val="auto"/>
                <w:sz w:val="21"/>
                <w:szCs w:val="21"/>
                <w:highlight w:val="none"/>
                <w:lang w:val="en-US" w:eastAsia="zh-CN"/>
              </w:rPr>
              <w:t xml:space="preserve">原件给采购人核实，</w:t>
            </w:r>
            <w:r>
              <w:rPr>
                <w:rFonts w:hint="eastAsia" w:ascii="仿宋" w:hAnsi="仿宋" w:eastAsia="仿宋" w:cs="仿宋"/>
                <w:b/>
                <w:bCs/>
                <w:color w:val="auto"/>
                <w:sz w:val="21"/>
                <w:szCs w:val="21"/>
                <w:highlight w:val="none"/>
              </w:rPr>
              <w:t xml:space="preserve">如无法提供</w:t>
            </w:r>
            <w:r>
              <w:rPr>
                <w:rFonts w:hint="eastAsia" w:ascii="仿宋" w:hAnsi="仿宋" w:eastAsia="仿宋" w:cs="仿宋"/>
                <w:b/>
                <w:bCs/>
                <w:color w:val="auto"/>
                <w:sz w:val="21"/>
                <w:szCs w:val="21"/>
                <w:highlight w:val="none"/>
                <w:lang w:val="en-US" w:eastAsia="zh-CN"/>
              </w:rPr>
              <w:t xml:space="preserve">或提供的不符合</w:t>
            </w:r>
            <w:r>
              <w:rPr>
                <w:rFonts w:hint="eastAsia" w:ascii="仿宋" w:hAnsi="仿宋" w:eastAsia="仿宋" w:cs="仿宋"/>
                <w:b/>
                <w:bCs/>
                <w:color w:val="auto"/>
                <w:sz w:val="21"/>
                <w:szCs w:val="21"/>
                <w:highlight w:val="none"/>
              </w:rPr>
              <w:t xml:space="preserve">则取消其中标资格。</w:t>
            </w:r>
            <w:r/>
          </w:p>
        </w:tc>
        <w:tc>
          <w:tcPr>
            <w:shd w:val="clear" w:color="auto" w:fill="auto"/>
            <w:tcBorders>
              <w:top w:val="single" w:color="000000" w:sz="4" w:space="0"/>
              <w:left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4</w:t>
            </w:r>
            <w:r/>
          </w:p>
        </w:tc>
      </w:tr>
      <w:tr>
        <w:trPr>
          <w:trHeight w:val="399"/>
        </w:trPr>
        <w:tc>
          <w:tcPr>
            <w:shd w:val="clear" w:color="auto" w:fill="auto"/>
            <w:tcBorders>
              <w:top w:val="single" w:color="000000" w:sz="4" w:space="0"/>
              <w:left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产品安全及结构设计方案</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1、产品安全设计（12分）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针对本项目采购需求，供应商提交关于投标产品的安全设计功能方案。依据供应商所提供的方案的完整性、详尽性、安全实用性、合理性支撑以及创新性等方面进行综合评分。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①低压电工电气安全设计方案。方案优于采购需求的得4分；方案符合采购需求的得2分；方案基本满足采购需求的得1分；未提供不得分。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②高压电工作业电气安全设计方案。方案优于采购需求的得4分；方案符合采购需求的得2分；方案基本满足采购需求的得1分；未提供不得分。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③高处作业、登高作业考场安全设计方案。方案优于采购需求的得4分；方案符合采购需求的得2分；方案基本满足采购需求的得1分；未提供不得分。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2、产品结构设计（6分）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供应商提交针对本项目所投设备的产品设计方案，涵盖材料、工艺设计、结构、模块、可维护性及用户体验便捷程度等方面进行综合评分。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①方案的专业性、成熟度、针对采购标的及实际特点的契合度高，以及对用户使用有实质性辅助提升的效果的得6分；</w:t>
            </w:r>
            <w:r/>
          </w:p>
          <w:p>
            <w:pPr>
              <w:jc w:val="left"/>
              <w:keepLines w:val="0"/>
              <w:pageBreakBefore w:val="0"/>
              <w:spacing w:line="240" w:lineRule="auto"/>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②</w:t>
            </w:r>
            <w:r>
              <w:rPr>
                <w:rFonts w:hint="eastAsia" w:ascii="仿宋" w:hAnsi="仿宋" w:eastAsia="仿宋" w:cs="仿宋"/>
                <w:i w:val="0"/>
                <w:iCs w:val="0"/>
                <w:caps w:val="0"/>
                <w:color w:val="auto"/>
                <w:spacing w:val="0"/>
                <w:sz w:val="21"/>
                <w:szCs w:val="21"/>
                <w:highlight w:val="none"/>
                <w:shd w:val="clear" w:color="auto" w:fill="auto"/>
              </w:rPr>
              <w:t xml:space="preserve">方案较为专业、成熟度良好，较贴合采购标的及实际特点，在结构、模块、可维护性或用户体验方面有一定改进，对用户使用有较好的辅助提升效果</w:t>
            </w:r>
            <w:r>
              <w:rPr>
                <w:rFonts w:hint="eastAsia" w:ascii="仿宋" w:hAnsi="仿宋" w:eastAsia="仿宋" w:cs="仿宋"/>
                <w:i w:val="0"/>
                <w:iCs w:val="0"/>
                <w:caps w:val="0"/>
                <w:color w:val="auto"/>
                <w:spacing w:val="0"/>
                <w:sz w:val="21"/>
                <w:szCs w:val="21"/>
                <w:highlight w:val="none"/>
                <w:shd w:val="clear" w:color="auto"/>
                <w:lang w:val="en-US" w:eastAsia="zh-CN"/>
              </w:rPr>
              <w:t xml:space="preserve">的得5分；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③方案的专业性</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成熟度</w:t>
            </w:r>
            <w:r>
              <w:rPr>
                <w:rFonts w:hint="eastAsia" w:ascii="仿宋" w:hAnsi="仿宋" w:eastAsia="仿宋" w:cs="仿宋"/>
                <w:color w:val="auto"/>
                <w:sz w:val="21"/>
                <w:szCs w:val="21"/>
                <w:highlight w:val="none"/>
              </w:rPr>
              <w:t xml:space="preserve">一般、针对采购标的及实际特点的</w:t>
            </w:r>
            <w:r>
              <w:rPr>
                <w:rFonts w:hint="eastAsia" w:ascii="仿宋" w:hAnsi="仿宋" w:eastAsia="仿宋" w:cs="仿宋"/>
                <w:color w:val="auto"/>
                <w:sz w:val="21"/>
                <w:szCs w:val="21"/>
                <w:highlight w:val="none"/>
                <w:lang w:val="en-US" w:eastAsia="zh-CN"/>
              </w:rPr>
              <w:t xml:space="preserve">有</w:t>
            </w:r>
            <w:r>
              <w:rPr>
                <w:rFonts w:hint="eastAsia" w:ascii="仿宋" w:hAnsi="仿宋" w:eastAsia="仿宋" w:cs="仿宋"/>
                <w:color w:val="auto"/>
                <w:sz w:val="21"/>
                <w:szCs w:val="21"/>
                <w:highlight w:val="none"/>
              </w:rPr>
              <w:t xml:space="preserve">契合度，以及对用户使用辅助提升的效果一般的得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w:t>
            </w:r>
            <w:r>
              <w:rPr>
                <w:rFonts w:hint="eastAsia" w:ascii="仿宋" w:hAnsi="仿宋" w:eastAsia="仿宋" w:cs="仿宋"/>
                <w:color w:val="auto"/>
                <w:sz w:val="21"/>
                <w:szCs w:val="21"/>
                <w:highlight w:val="none"/>
                <w:lang w:val="en-US" w:eastAsia="zh-CN"/>
              </w:rPr>
              <w:t xml:space="preserve">有</w:t>
            </w:r>
            <w:r>
              <w:rPr>
                <w:rFonts w:hint="eastAsia" w:ascii="仿宋" w:hAnsi="仿宋" w:eastAsia="仿宋" w:cs="仿宋"/>
                <w:color w:val="auto"/>
                <w:sz w:val="21"/>
                <w:szCs w:val="21"/>
                <w:highlight w:val="none"/>
              </w:rPr>
              <w:t xml:space="preserve">方案的专业性差、</w:t>
            </w:r>
            <w:r>
              <w:rPr>
                <w:rFonts w:hint="eastAsia" w:ascii="仿宋" w:hAnsi="仿宋" w:eastAsia="仿宋" w:cs="仿宋"/>
                <w:color w:val="auto"/>
                <w:sz w:val="21"/>
                <w:szCs w:val="21"/>
                <w:highlight w:val="none"/>
                <w:lang w:val="en-US" w:eastAsia="zh-CN"/>
              </w:rPr>
              <w:t xml:space="preserve">提供针对</w:t>
            </w:r>
            <w:r>
              <w:rPr>
                <w:rFonts w:hint="eastAsia" w:ascii="仿宋" w:hAnsi="仿宋" w:eastAsia="仿宋" w:cs="仿宋"/>
                <w:color w:val="auto"/>
                <w:sz w:val="21"/>
                <w:szCs w:val="21"/>
                <w:highlight w:val="none"/>
              </w:rPr>
              <w:t xml:space="preserve">采购标的及实际特点，的得1分；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p>
        </w:tc>
      </w:tr>
      <w:tr>
        <w:trPr>
          <w:trHeight w:val="278"/>
        </w:trPr>
        <w:tc>
          <w:tcPr>
            <w:shd w:val="clear" w:color="auto" w:fill="auto"/>
            <w:tcBorders>
              <w:top w:val="single" w:color="auto"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场地布局整体规划</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供应商所提供的设计效果进行评分，内容包含但不限于设计效果紧贴项目主题，层次清晰、布局合理，展示主题突出鲜明，具备场地完整总平面图、表现图（整体效果图、局部效果图）、场地详细图纸及场地平面文化设计方案。</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w:t>
            </w:r>
            <w:r>
              <w:rPr>
                <w:rFonts w:hint="eastAsia" w:ascii="仿宋" w:hAnsi="仿宋" w:eastAsia="仿宋" w:cs="仿宋"/>
                <w:i w:val="0"/>
                <w:iCs w:val="0"/>
                <w:caps w:val="0"/>
                <w:color w:val="auto"/>
                <w:spacing w:val="0"/>
                <w:sz w:val="21"/>
                <w:szCs w:val="21"/>
                <w:highlight w:val="none"/>
                <w:shd w:val="clear" w:color="auto" w:fill="auto"/>
              </w:rPr>
              <w:t xml:space="preserve">方案完整、详尽、计划合理、可行，完全满足项目采购需求；设计效果与项目主题高度契合，层次分明，布局科学，主题展示极其突出；所有要求的图纸及文化设计方案均齐全、清晰、专业，无任何缺漏</w:t>
            </w:r>
            <w:r>
              <w:rPr>
                <w:rFonts w:hint="eastAsia" w:ascii="仿宋" w:hAnsi="仿宋" w:eastAsia="仿宋" w:cs="仿宋"/>
                <w:i w:val="0"/>
                <w:iCs w:val="0"/>
                <w:caps w:val="0"/>
                <w:color w:val="auto"/>
                <w:spacing w:val="0"/>
                <w:sz w:val="21"/>
                <w:szCs w:val="21"/>
                <w:highlight w:val="none"/>
                <w:shd w:val="clear" w:color="auto" w:fill="auto"/>
                <w:lang w:val="en-US" w:eastAsia="zh-CN"/>
              </w:rPr>
              <w:t xml:space="preserve">的</w:t>
            </w:r>
            <w:r>
              <w:rPr>
                <w:rFonts w:hint="eastAsia" w:ascii="仿宋" w:hAnsi="仿宋" w:eastAsia="仿宋" w:cs="仿宋"/>
                <w:color w:val="auto"/>
                <w:sz w:val="21"/>
                <w:szCs w:val="21"/>
                <w:highlight w:val="none"/>
              </w:rPr>
              <w:t xml:space="preserve">得6分；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w:t>
            </w:r>
            <w:r>
              <w:rPr>
                <w:rFonts w:hint="eastAsia" w:ascii="仿宋" w:hAnsi="仿宋" w:eastAsia="仿宋" w:cs="仿宋"/>
                <w:i w:val="0"/>
                <w:iCs w:val="0"/>
                <w:caps w:val="0"/>
                <w:color w:val="auto"/>
                <w:spacing w:val="0"/>
                <w:sz w:val="21"/>
                <w:szCs w:val="21"/>
                <w:highlight w:val="none"/>
                <w:shd w:val="clear" w:color="auto" w:fill="auto"/>
              </w:rPr>
              <w:t xml:space="preserve">方案完整、总体科学合理、可行，基本满足项目采购需求；设计效果与项目主题较为契合，层次和布局合理，主题展示较为鲜明；要求的图纸及方案基本齐全，但存在少量细节不够详尽或表述略欠清晰，不影响整体实施</w:t>
            </w:r>
            <w:r>
              <w:rPr>
                <w:rFonts w:hint="eastAsia" w:ascii="仿宋" w:hAnsi="仿宋" w:eastAsia="仿宋" w:cs="仿宋"/>
                <w:i w:val="0"/>
                <w:iCs w:val="0"/>
                <w:caps w:val="0"/>
                <w:color w:val="auto"/>
                <w:spacing w:val="0"/>
                <w:sz w:val="21"/>
                <w:szCs w:val="21"/>
                <w:highlight w:val="none"/>
                <w:shd w:val="clear" w:color="auto" w:fill="auto"/>
                <w:lang w:val="en-US" w:eastAsia="zh-CN"/>
              </w:rPr>
              <w:t xml:space="preserve">的</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③方案基本完整，总体方向合理，但部分内容（如某一类图纸或文化设计细节）表述不清或缺失非核心要素，仍能满足项目主要采购需求；设计效果与主题关联一般，布局和层次有待优化</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④方案缺漏较多（如缺少局部效果图或平面文化设计方案等），但提供的内容总体合理，对项目有一定的参考价值；设计效果与主题契合度较低，但仍能看出基本思路</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lang w:val="en-US" w:eastAsia="zh-CN"/>
              </w:rPr>
              <w:t xml:space="preserve">得0.5分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未提供不得分</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进度计划控制方案</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根据供应商所提供的进度计划控制方案与项目采购需求的满足情况进行综合评分。（包括但不限于明确货物交付时间、安装调试时间安排等）</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①方案详细明确、交付时间和安装调试时间明确、各环节的工作进度安排详细合理的得5分；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②方案较详细明确、交付时间和安装调试时间较明确、各环节的工作进度安排较为详细合理的得3分；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③方案不详细或有缺失、交付时间和安装调试时间不明确、各环节的工作进度安排不详细不合理的得1分；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④未提供不得分</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质量管理体系及保证措施</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根据供应商针对本项目制定的质量保证体系及保证措施进行综合评分，提供内容至少包含完整的质量保证体系、质量目标保证措施、质量控制保证措施三项核心内容。</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①内容具有针对性和实用性，优于项目实际需求的得5分；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②内容具有针对性和实用性，符合项目实际需求的得3分；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③有一项内容存在瑕疵（瑕疵指体系建设与项目实际需求有漏项、技术措施与项目实际特点不匹配、质控措施无监督制约机制）的得1分；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④未提供不得分</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培训方案</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供应商需提交详尽的技术培训方案及相应承诺，并提供系统升级服务方案及相应承诺。依据供应商提交的技术培训及升级服务方案和承诺的完善程度进行综合评分。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技术培训方案及升级服务方案内容详细、规划合理、可操作性强。培训组织形式科学，人员安排明确，时间充足且合理，培训内容全面覆盖所有要求项（应用升级、系统管理、运行维护），升级服务承诺清晰具体，具备完善的保障措施。得6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②技术培训方案及升级服务方案内容较为详细、规划较合理、可操作性较好。主要要素完整，但个别细节（如时间分配或人员资质）略显不足，整体上明显优于一般水平，能够满足采购需求。得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③技术培训方案及升级服务方案内容完整，但可操作性一般。包含组织形式、人员、时间、培训内容等必要信息，但规划较为笼统，或升级服务承诺不够具体，实施时可能需要进一步细化。得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④技术培训方案及升级服务方案内容简单、可操作性差。仅罗列大纲或缺少关键要素（如未明确培训时间或人员安排），升级服务方案模糊，难以有效执行。得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未提供方案内容的</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售后服务方案</w:t>
            </w:r>
            <w:r/>
          </w:p>
          <w:p>
            <w:pPr>
              <w:jc w:val="center"/>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706" w:type="pct"/>
            <w:vAlign w:val="center"/>
            <w:textDirection w:val="lrTb"/>
            <w:noWrap w:val="false"/>
          </w:tcPr>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根据供应商针对本项目制定的售后服务方案进行综合评分，包括但不限于包括服务的响应时间、解决问题的能力、紧急故障处理预案、备品备件</w:t>
            </w:r>
            <w:r>
              <w:rPr>
                <w:rFonts w:hint="eastAsia" w:ascii="仿宋" w:hAnsi="仿宋" w:eastAsia="仿宋" w:cs="仿宋"/>
                <w:color w:val="auto"/>
                <w:sz w:val="21"/>
                <w:szCs w:val="21"/>
                <w:highlight w:val="none"/>
                <w:lang w:val="en-US" w:eastAsia="zh-CN"/>
              </w:rPr>
              <w:t xml:space="preserve">清单</w:t>
            </w:r>
            <w:r>
              <w:rPr>
                <w:rFonts w:hint="eastAsia" w:ascii="仿宋" w:hAnsi="仿宋" w:eastAsia="仿宋" w:cs="仿宋"/>
                <w:color w:val="auto"/>
                <w:sz w:val="21"/>
                <w:szCs w:val="21"/>
                <w:highlight w:val="none"/>
              </w:rPr>
              <w:t xml:space="preserve">、技术指导、质保内容、质保期后的维保方案等。</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①售后服务方案详细完整、解决问题的预案周全、</w:t>
            </w:r>
            <w:r>
              <w:rPr>
                <w:rFonts w:hint="eastAsia" w:ascii="仿宋" w:hAnsi="仿宋" w:eastAsia="仿宋" w:cs="仿宋"/>
                <w:b/>
                <w:bCs/>
                <w:color w:val="auto"/>
                <w:sz w:val="21"/>
                <w:szCs w:val="21"/>
                <w:highlight w:val="none"/>
              </w:rPr>
              <w:t xml:space="preserve">备品备件充足</w:t>
            </w:r>
            <w:r>
              <w:rPr>
                <w:rFonts w:hint="eastAsia" w:ascii="仿宋" w:hAnsi="仿宋" w:eastAsia="仿宋" w:cs="仿宋"/>
                <w:color w:val="auto"/>
                <w:sz w:val="21"/>
                <w:szCs w:val="21"/>
                <w:highlight w:val="none"/>
              </w:rPr>
              <w:t xml:space="preserve">、质保及质保期后的维保方案非常完善。所有评审要素均覆盖到位，且具有极强的可操作性和针对性，能够充分满足项目长期运行需求。得6分；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售后服务方案较为完整、解决问题的预案较为周全、备品备件较充足、质保及质保期后的维保方案比较完善。相比优秀档存在少量细节不足（如备品备件清单略简单或技术指导不够深入），但整体质量明显高于基本要求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售后服务方案基本完整、解决问题的预案基本完整、备品备件充足性一般、质保及质保期后的维保方案基本完善。覆盖了主要评审内容，但部分细节（如紧急故障处理流程或质保期后服务定价等）不够清晰，或可操作性一般</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p>
          <w:p>
            <w:pPr>
              <w:jc w:val="left"/>
              <w:keepLines w:val="0"/>
              <w:pageBreakBefore w:val="0"/>
              <w:spacing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④售后服务方案片面或有明显缺陷。缺失至少一项核心内容（如无备品备件清单、无质保期后维保方案等），或方案过于笼统，难以有效执行。得</w:t>
            </w:r>
            <w:r>
              <w:rPr>
                <w:rFonts w:hint="eastAsia" w:ascii="仿宋" w:hAnsi="仿宋" w:eastAsia="仿宋" w:cs="仿宋"/>
                <w:color w:val="auto"/>
                <w:sz w:val="21"/>
                <w:szCs w:val="21"/>
                <w:highlight w:val="none"/>
                <w:lang w:val="en-US" w:eastAsia="zh-CN"/>
              </w:rPr>
              <w:t xml:space="preserve">0.5</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p>
          <w:p>
            <w:pPr>
              <w:jc w:val="left"/>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方案不科学，售后服务内容不合理</w:t>
            </w:r>
            <w:r>
              <w:rPr>
                <w:rFonts w:hint="eastAsia" w:ascii="仿宋" w:hAnsi="仿宋" w:eastAsia="仿宋" w:cs="仿宋"/>
                <w:color w:val="auto"/>
                <w:sz w:val="21"/>
                <w:szCs w:val="21"/>
                <w:highlight w:val="none"/>
                <w:lang w:val="en-US" w:eastAsia="zh-CN"/>
              </w:rPr>
              <w:t xml:space="preserve">或背离本项目需求内容的不予得分</w:t>
            </w:r>
            <w:r>
              <w:rPr>
                <w:rFonts w:hint="eastAsia" w:ascii="仿宋" w:hAnsi="仿宋" w:eastAsia="仿宋" w:cs="仿宋"/>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pageBreakBefore w:val="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r>
    </w:tbl>
    <w:p>
      <w:pPr>
        <w:keepLines w:val="0"/>
        <w:pageBreakBefore w:val="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2.投标文件商务技术标得分低于本采购文件商务技术标评分分值（70分）的50%时，视为未实质性响应采购文件要求，作为无效投标处理。</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3.评委依据招标文件载明的方法评分，评分四舍五入精确到小数点后两位。</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val="zh-CN"/>
        </w:rPr>
        <w:t xml:space="preserve">价格标</w:t>
      </w:r>
      <w:r>
        <w:rPr>
          <w:rFonts w:hint="eastAsia" w:ascii="仿宋" w:hAnsi="仿宋" w:eastAsia="仿宋" w:cs="仿宋"/>
          <w:b/>
          <w:color w:val="auto"/>
          <w:sz w:val="24"/>
          <w:szCs w:val="24"/>
          <w:highlight w:val="none"/>
        </w:rPr>
        <w:t xml:space="preserve">评分：（30分）</w:t>
      </w:r>
      <w:r/>
    </w:p>
    <w:p>
      <w:pPr>
        <w:contextualSpacing/>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1.本次项目最高限价：</w:t>
      </w:r>
      <w:r>
        <w:rPr>
          <w:rFonts w:hint="eastAsia" w:ascii="仿宋" w:hAnsi="仿宋" w:eastAsia="仿宋" w:cs="仿宋"/>
          <w:b/>
          <w:color w:val="auto"/>
          <w:sz w:val="24"/>
          <w:szCs w:val="24"/>
          <w:highlight w:val="none"/>
          <w:lang w:val="en-US" w:eastAsia="zh-CN"/>
        </w:rPr>
        <w:t xml:space="preserve">126.39</w:t>
      </w:r>
      <w:r>
        <w:rPr>
          <w:rFonts w:hint="eastAsia" w:ascii="仿宋" w:hAnsi="仿宋" w:eastAsia="仿宋" w:cs="仿宋"/>
          <w:b/>
          <w:color w:val="auto"/>
          <w:sz w:val="24"/>
          <w:szCs w:val="24"/>
          <w:highlight w:val="none"/>
        </w:rPr>
        <w:t xml:space="preserve">万元</w:t>
      </w:r>
      <w:r>
        <w:rPr>
          <w:rFonts w:hint="eastAsia" w:ascii="仿宋" w:hAnsi="仿宋" w:eastAsia="仿宋" w:cs="仿宋"/>
          <w:b/>
          <w:color w:val="auto"/>
          <w:sz w:val="24"/>
          <w:szCs w:val="24"/>
          <w:highlight w:val="none"/>
        </w:rPr>
        <w:t xml:space="preserve">，响应报价超过限价作无效标处理。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2.满足招标文件要求且投标报价最低的报价为评标基准价，其价格标得分为满分。</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3.其他投标供应商的价格标得分按照下列公式计算：</w:t>
      </w:r>
      <w:r/>
    </w:p>
    <w:p>
      <w:pPr>
        <w:contextualSpacing/>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价格标得分=（评标基准价/投标报价）×30%×100</w:t>
      </w:r>
      <w:r/>
    </w:p>
    <w:p>
      <w:pPr>
        <w:numPr>
          <w:ilvl w:val="0"/>
          <w:numId w:val="0"/>
        </w:num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bidi="ar-SA"/>
        </w:rPr>
        <w:t xml:space="preserve">（三）</w:t>
      </w:r>
      <w:r>
        <w:rPr>
          <w:rFonts w:hint="eastAsia" w:ascii="仿宋" w:hAnsi="仿宋" w:eastAsia="仿宋" w:cs="仿宋"/>
          <w:b/>
          <w:color w:val="auto"/>
          <w:sz w:val="24"/>
          <w:szCs w:val="24"/>
          <w:highlight w:val="none"/>
        </w:rPr>
        <w:t xml:space="preserve">政府采购政策功能落实</w:t>
      </w:r>
      <w:bookmarkEnd w:id="7"/>
      <w:r/>
      <w:bookmarkStart w:id="13" w:name="_Toc363573857"/>
      <w:r/>
      <w:r/>
    </w:p>
    <w:p>
      <w:pPr>
        <w:ind w:firstLine="482"/>
        <w:keepLines w:val="0"/>
        <w:keepNext w:val="0"/>
        <w:pageBreakBefore w:val="0"/>
        <w:spacing w:line="400" w:lineRule="exact"/>
        <w:shd w:val="clear" w:color="auto"/>
        <w:widowControl w:val="off"/>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lang w:val="en-US" w:eastAsia="zh-CN"/>
        </w:rPr>
        <w:t xml:space="preserve">1、</w:t>
      </w:r>
      <w:r>
        <w:rPr>
          <w:rFonts w:hint="eastAsia" w:ascii="仿宋" w:hAnsi="仿宋" w:eastAsia="仿宋" w:cs="仿宋"/>
          <w:b/>
          <w:bCs w:val="0"/>
          <w:color w:val="auto"/>
          <w:sz w:val="24"/>
          <w:highlight w:val="none"/>
        </w:rPr>
        <w:t xml:space="preserve">专门面向中小企业采购的项目或者采购包，不再执行价格评审优惠的扶持政策。</w:t>
      </w:r>
      <w:r/>
    </w:p>
    <w:p>
      <w:pPr>
        <w:numPr>
          <w:ilvl w:val="0"/>
          <w:numId w:val="0"/>
        </w:numPr>
        <w:ind w:firstLine="480"/>
        <w:keepLines w:val="0"/>
        <w:keepNext w:val="0"/>
        <w:pageBreakBefore w:val="0"/>
        <w:spacing w:line="400" w:lineRule="exact"/>
        <w:shd w:val="clear" w:color="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根据《江苏省政府采购信用管理暂行办法》的规定，供应商信用评价结果为三星的扣2分，评价结果为二星的扣3分，评价结果为一星的扣4分。</w:t>
      </w:r>
      <w:r/>
    </w:p>
    <w:p>
      <w:pPr>
        <w:pStyle w:val="1056"/>
        <w:numPr>
          <w:ilvl w:val="0"/>
          <w:numId w:val="0"/>
        </w:numPr>
        <w:ind w:left="0" w:right="0" w:firstLine="241"/>
        <w:jc w:val="both"/>
        <w:spacing w:before="0" w:after="0" w:line="288"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（四）采购本国产品的支持政策</w:t>
      </w:r>
      <w:r/>
    </w:p>
    <w:p>
      <w:pPr>
        <w:ind w:firstLine="480"/>
        <w:jc w:val="left"/>
        <w:keepLines w:val="0"/>
        <w:keepNext w:val="0"/>
        <w:pageBreakBefore w:val="0"/>
        <w:spacing w:line="400" w:lineRule="exact"/>
        <w:widowControl w:val="off"/>
        <w:rPr>
          <w:rFonts w:hint="eastAsia" w:ascii="仿宋" w:hAnsi="仿宋" w:eastAsia="仿宋" w:cs="仿宋"/>
          <w:b w:val="0"/>
          <w:bCs/>
          <w:color w:val="auto"/>
          <w:sz w:val="24"/>
          <w:highlight w:val="none"/>
          <w:lang w:val="en-US" w:eastAsia="zh-CN" w:bidi="ar-SA"/>
        </w:rPr>
      </w:pPr>
      <w:r>
        <w:rPr>
          <w:rFonts w:hint="eastAsia" w:ascii="仿宋" w:hAnsi="仿宋" w:eastAsia="仿宋" w:cs="仿宋"/>
          <w:b w:val="0"/>
          <w:bCs/>
          <w:color w:val="auto"/>
          <w:sz w:val="24"/>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400" w:lineRule="exact"/>
        <w:widowControl w:val="off"/>
        <w:rPr>
          <w:rFonts w:hint="eastAsia" w:ascii="仿宋" w:hAnsi="仿宋" w:eastAsia="仿宋" w:cs="仿宋"/>
          <w:b w:val="0"/>
          <w:bCs/>
          <w:color w:val="auto"/>
          <w:sz w:val="24"/>
          <w:highlight w:val="none"/>
          <w:lang w:val="en-US" w:eastAsia="zh-CN" w:bidi="ar-SA"/>
        </w:rPr>
      </w:pPr>
      <w:r>
        <w:rPr>
          <w:rFonts w:hint="eastAsia" w:ascii="仿宋" w:hAnsi="仿宋" w:eastAsia="仿宋" w:cs="仿宋"/>
          <w:b w:val="0"/>
          <w:bCs/>
          <w:color w:val="auto"/>
          <w:sz w:val="24"/>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keepLines w:val="0"/>
        <w:keepNext w:val="0"/>
        <w:pageBreakBefore w:val="0"/>
        <w:spacing w:line="400" w:lineRule="exact"/>
        <w:widowControl w:val="off"/>
        <w:rPr>
          <w:rFonts w:hint="eastAsia" w:ascii="仿宋" w:hAnsi="仿宋" w:eastAsia="仿宋" w:cs="仿宋"/>
          <w:b w:val="0"/>
          <w:bCs/>
          <w:color w:val="auto"/>
          <w:sz w:val="24"/>
          <w:highlight w:val="none"/>
          <w:lang w:val="en-US" w:eastAsia="zh-CN" w:bidi="ar-SA"/>
        </w:rPr>
      </w:pPr>
      <w:r>
        <w:rPr>
          <w:rFonts w:hint="eastAsia" w:ascii="仿宋" w:hAnsi="仿宋" w:eastAsia="仿宋" w:cs="仿宋"/>
          <w:b w:val="0"/>
          <w:bCs/>
          <w:color w:val="auto"/>
          <w:sz w:val="24"/>
          <w:highlight w:val="none"/>
          <w:lang w:val="en-US" w:eastAsia="zh-CN" w:bidi="ar-SA"/>
        </w:rPr>
        <w:t xml:space="preserve">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00" w:lineRule="exact"/>
        <w:widowControl w:val="off"/>
        <w:rPr>
          <w:rFonts w:hint="eastAsia" w:ascii="仿宋" w:hAnsi="仿宋" w:eastAsia="仿宋" w:cs="仿宋"/>
          <w:b w:val="0"/>
          <w:bCs/>
          <w:color w:val="auto"/>
          <w:sz w:val="24"/>
          <w:highlight w:val="none"/>
          <w:lang w:val="en-US" w:eastAsia="zh-CN" w:bidi="ar-SA"/>
        </w:rPr>
      </w:pPr>
      <w:r>
        <w:rPr>
          <w:rFonts w:hint="eastAsia" w:ascii="仿宋" w:hAnsi="仿宋" w:eastAsia="仿宋" w:cs="仿宋"/>
          <w:b w:val="0"/>
          <w:bCs/>
          <w:color w:val="auto"/>
          <w:sz w:val="24"/>
          <w:highlight w:val="none"/>
          <w:lang w:val="en-US" w:eastAsia="zh-CN" w:bidi="ar-SA"/>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 w:val="0"/>
          <w:bCs/>
          <w:color w:val="auto"/>
          <w:sz w:val="24"/>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）中标人的确定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会汇总各评委评分后，按照综合得分从高到低的顺序推荐前三名中标候选人，得分相同的，按投标报价由低到高顺序排列。得分且投标报价均相同时则通过抽签方式随机确定排名顺序。投标文件满足招标文件全部实质性要求，且按照评审因素的量化指标评审得分最高的投标人为排名第一的中标候选人，并编写评标报告。</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招标人委托评标委员会直接确定中标人。</w:t>
      </w:r>
      <w:r/>
    </w:p>
    <w:p>
      <w:pPr>
        <w:pStyle w:val="1015"/>
        <w:numPr>
          <w:ilvl w:val="0"/>
          <w:numId w:val="0"/>
        </w:numPr>
        <w:ind w:firstLine="482"/>
        <w:keepLines w:val="0"/>
        <w:keepNext w:val="0"/>
        <w:pageBreakBefore w:val="0"/>
        <w:spacing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bidi="ar-SA"/>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1015"/>
        <w:ind w:firstLine="482"/>
        <w:keepLines w:val="0"/>
        <w:keepNext w:val="0"/>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九、评标争议</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十、落标原因</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评标委员会不对落标的投标人做落标原因的解释。</w:t>
      </w:r>
      <w:r/>
    </w:p>
    <w:p>
      <w:pPr>
        <w:ind w:firstLine="723"/>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第五章  合同签订与验收付款</w:t>
      </w:r>
      <w:bookmarkEnd w:id="13"/>
      <w:r/>
      <w:r/>
    </w:p>
    <w:p>
      <w:pPr>
        <w:ind w:firstLine="482"/>
        <w:jc w:val="center"/>
        <w:spacing w:line="360" w:lineRule="auto"/>
        <w:rPr>
          <w:rFonts w:hint="eastAsia" w:ascii="仿宋" w:hAnsi="仿宋" w:eastAsia="仿宋" w:cs="仿宋"/>
          <w:b/>
          <w:color w:val="auto"/>
          <w:sz w:val="32"/>
          <w:szCs w:val="32"/>
          <w:highlight w:val="none"/>
        </w:rPr>
        <w:outlineLvl w:val="0"/>
      </w:pPr>
      <w:r/>
      <w:bookmarkStart w:id="14" w:name="_Toc8219"/>
      <w:r/>
      <w:bookmarkStart w:id="15" w:name="_Toc363573859"/>
      <w:r>
        <w:rPr>
          <w:rFonts w:hint="eastAsia" w:ascii="仿宋" w:hAnsi="仿宋" w:eastAsia="仿宋" w:cs="仿宋"/>
          <w:b/>
          <w:color w:val="auto"/>
          <w:sz w:val="32"/>
          <w:szCs w:val="32"/>
          <w:highlight w:val="none"/>
        </w:rPr>
        <w:t xml:space="preserve">江苏省政府采购合同（货物）</w:t>
      </w:r>
      <w:r/>
    </w:p>
    <w:p>
      <w:pPr>
        <w:ind w:firstLine="482"/>
        <w:jc w:val="center"/>
        <w:spacing w:line="360" w:lineRule="auto"/>
        <w:rPr>
          <w:rFonts w:hint="eastAsia"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（合同编号：         ）</w:t>
      </w:r>
      <w:bookmarkEnd w:id="14"/>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：江苏航运职业技术学院安全技能实训中心（高压/低压/高处作业方向）公开招标采购项目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rPr>
          <w:rFonts w:hint="eastAsia" w:ascii="仿宋" w:hAnsi="仿宋" w:eastAsia="仿宋" w:cs="仿宋"/>
          <w:color w:val="auto"/>
          <w:sz w:val="24"/>
          <w:szCs w:val="24"/>
          <w:highlight w:val="none"/>
          <w:u w:val="single"/>
        </w:rPr>
        <w:t xml:space="preserve">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乙方（中标人）：</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eastAsia="zh-CN"/>
        </w:rPr>
        <w:t xml:space="preserve">江苏航运职业技术学院安全技能实训中心（高压/低压/高处作业方向）公开招标采购项目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）公开招标的结果，签署本合同。</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一、合同内容</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lang w:eastAsia="zh-CN"/>
        </w:rPr>
        <w:t xml:space="preserve">江苏航运职业技术学院安全技能实训中心（高压/低压/高处作业方向）公开招标采购项目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标的质量：合格</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w:t>
      </w:r>
      <w:r/>
    </w:p>
    <w:tbl>
      <w:tblPr>
        <w:tblStyle w:val="1009"/>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74"/>
        <w:gridCol w:w="1211"/>
        <w:gridCol w:w="1276"/>
        <w:gridCol w:w="992"/>
        <w:gridCol w:w="851"/>
        <w:gridCol w:w="850"/>
        <w:gridCol w:w="851"/>
        <w:gridCol w:w="965"/>
      </w:tblGrid>
      <w:tr>
        <w:trPr>
          <w:cantSplit/>
          <w:trHeight w:val="624" w:hRule="exact"/>
        </w:trPr>
        <w:tc>
          <w:tcPr>
            <w:tcW w:w="703"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674"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W w:w="121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规格型号</w:t>
            </w:r>
            <w:r/>
          </w:p>
        </w:tc>
        <w:tc>
          <w:tcPr>
            <w:tcW w:w="127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品牌</w:t>
            </w:r>
            <w:r/>
          </w:p>
        </w:tc>
        <w:tc>
          <w:tcPr>
            <w:tcW w:w="992"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W w:w="850"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单价</w:t>
            </w:r>
            <w:r/>
          </w:p>
        </w:tc>
        <w:tc>
          <w:tcPr>
            <w:tcW w:w="85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金额</w:t>
            </w:r>
            <w:r/>
          </w:p>
        </w:tc>
        <w:tc>
          <w:tcPr>
            <w:tcW w:w="965" w:type="dxa"/>
            <w:vAlign w:val="center"/>
            <w:textDirection w:val="lrTb"/>
            <w:noWrap w:val="false"/>
          </w:tcPr>
          <w:p>
            <w:pPr>
              <w:ind w:firstLine="120"/>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tc>
      </w:tr>
      <w:tr>
        <w:trPr>
          <w:cantSplit/>
          <w:trHeight w:val="479"/>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02"/>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13"/>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1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92"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41"/>
        </w:trPr>
        <w:tc>
          <w:tcPr>
            <w:tcW w:w="7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8"/>
            <w:tcW w:w="867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设备交货期：合同签订后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个日历日内完成交货。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w:t>
      </w:r>
      <w:r>
        <w:rPr>
          <w:rFonts w:hint="eastAsia" w:ascii="仿宋" w:hAnsi="仿宋" w:eastAsia="仿宋" w:cs="仿宋"/>
          <w:color w:val="auto"/>
          <w:spacing w:val="7"/>
          <w:sz w:val="24"/>
          <w:szCs w:val="24"/>
          <w:highlight w:val="none"/>
          <w:shd w:val="clear" w:color="auto" w:fill="ffffff"/>
        </w:rPr>
        <w:t xml:space="preserve">项目交付时间：</w:t>
      </w:r>
      <w:r>
        <w:rPr>
          <w:rFonts w:hint="eastAsia" w:ascii="仿宋" w:hAnsi="仿宋" w:eastAsia="仿宋" w:cs="仿宋"/>
          <w:color w:val="auto"/>
          <w:spacing w:val="7"/>
          <w:sz w:val="24"/>
          <w:szCs w:val="24"/>
          <w:highlight w:val="none"/>
          <w:u w:val="single"/>
          <w:shd w:val="clear" w:color="auto" w:fill="ffffff"/>
        </w:rPr>
        <w:t xml:space="preserve">                  </w:t>
      </w:r>
      <w:r>
        <w:rPr>
          <w:rFonts w:hint="eastAsia" w:ascii="仿宋" w:hAnsi="仿宋" w:eastAsia="仿宋" w:cs="仿宋"/>
          <w:color w:val="auto"/>
          <w:spacing w:val="7"/>
          <w:sz w:val="24"/>
          <w:szCs w:val="24"/>
          <w:highlight w:val="none"/>
          <w:shd w:val="clear" w:color="auto" w:fill="ffffff"/>
        </w:rPr>
        <w:t xml:space="preserve">完成交付</w:t>
      </w:r>
      <w:r>
        <w:rPr>
          <w:rFonts w:hint="eastAsia" w:ascii="仿宋" w:hAnsi="仿宋" w:eastAsia="仿宋" w:cs="仿宋"/>
          <w:color w:val="auto"/>
          <w:spacing w:val="7"/>
          <w:sz w:val="24"/>
          <w:szCs w:val="24"/>
          <w:highlight w:val="none"/>
          <w:shd w:val="clear" w:color="auto" w:fill="ffffff"/>
          <w:lang w:val="en-US" w:eastAsia="zh-CN"/>
        </w:rPr>
        <w:t xml:space="preserve">并验收完成</w:t>
      </w:r>
      <w:r>
        <w:rPr>
          <w:rFonts w:hint="eastAsia" w:ascii="仿宋" w:hAnsi="仿宋" w:eastAsia="仿宋" w:cs="仿宋"/>
          <w:color w:val="auto"/>
          <w:spacing w:val="7"/>
          <w:sz w:val="24"/>
          <w:szCs w:val="24"/>
          <w:highlight w:val="none"/>
          <w:shd w:val="clear" w:color="auto" w:fill="ffffff"/>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履行地点：江苏航运职业技术学院，具体按甲方指定地点送货安装并提供服务。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履行方式：同招标文件要求。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包装方式：同招标文件要求。</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二、合同金额</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本合同金额为（大写）：人民币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本合同价格形式为固定单价合同，该固定单价在合同履行过程中不因市场变化、政策调整等各种因素而变动。</w:t>
      </w:r>
      <w:r/>
    </w:p>
    <w:p>
      <w:pPr>
        <w:ind w:firstLine="482"/>
        <w:jc w:val="lef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三、技术资料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四、知识产权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乙方应保证甲方在使用、接受本合同货物（包含与货物相关的服务）或其任何一部分时不受第三方提出侵犯其专利权、版权、商标权、著作权和工业设计权等知识产权的起诉。一旦出现侵权，由乙方负全部责任。</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五、产权担保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乙方保证所交付的货物（包含与货物相关的服务）的所有权完全属于乙方且无任何抵押、查封等产权瑕疵。乙方应具有所交付软件的软件著作权证明材料或提供软件授权证明材料。</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六、履约保证金</w:t>
      </w:r>
      <w:r/>
    </w:p>
    <w:p>
      <w:pPr>
        <w:ind w:left="478"/>
        <w:spacing w:line="360" w:lineRule="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rPr>
        <w:t xml:space="preserve">6.1 乙方提供的履约保证金额为合同价的10%，本合同履约保证金为：</w:t>
      </w:r>
      <w:r>
        <w:rPr>
          <w:rFonts w:hint="eastAsia" w:ascii="仿宋" w:hAnsi="仿宋" w:eastAsia="仿宋" w:cs="仿宋"/>
          <w:bCs/>
          <w:color w:val="auto"/>
          <w:sz w:val="24"/>
          <w:szCs w:val="24"/>
          <w:highlight w:val="none"/>
          <w:u w:val="single"/>
        </w:rPr>
        <w:t xml:space="preserve">人民币 元     （¥     ）</w:t>
      </w:r>
      <w:r>
        <w:rPr>
          <w:rFonts w:hint="eastAsia" w:ascii="仿宋" w:hAnsi="仿宋" w:eastAsia="仿宋" w:cs="仿宋"/>
          <w:bCs/>
          <w:color w:val="auto"/>
          <w:sz w:val="24"/>
          <w:szCs w:val="24"/>
          <w:highlight w:val="none"/>
          <w:u w:val="none"/>
          <w:lang w:eastAsia="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缴纳履约保证金时间：乙方在中标通知书发出之日起15日内。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缴纳履约保证金形式：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甲方的账户：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单位名称：江苏航运职业技术学院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账号：32001642336052515609；</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统一社会信用代码：123200004660042577。</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合同全部履行结束后，甲方应及时退还交纳的履约保证金。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退还履约保证金时间：乙方全部履约合同义务，质保期满后无质量、进度等问题的，采购人在</w:t>
      </w:r>
      <w:r>
        <w:rPr>
          <w:rFonts w:hint="eastAsia" w:ascii="仿宋" w:hAnsi="仿宋" w:eastAsia="仿宋" w:cs="仿宋"/>
          <w:color w:val="auto"/>
          <w:sz w:val="24"/>
          <w:szCs w:val="24"/>
          <w:highlight w:val="none"/>
          <w:lang w:val="en-US" w:eastAsia="zh-CN"/>
        </w:rPr>
        <w:t xml:space="preserve">收到中标供应商提出的申请后，</w:t>
      </w:r>
      <w:r>
        <w:rPr>
          <w:rFonts w:hint="eastAsia" w:ascii="仿宋" w:hAnsi="仿宋" w:eastAsia="仿宋" w:cs="仿宋"/>
          <w:color w:val="auto"/>
          <w:sz w:val="24"/>
          <w:szCs w:val="24"/>
          <w:highlight w:val="none"/>
        </w:rPr>
        <w:t xml:space="preserve">三十个工作日内一次性退还履约保证金（不计息）或者退还履约保证金保函，甲方若逾期退还履约保证金的，按照逾期部分的每日</w:t>
      </w:r>
      <w:r>
        <w:rPr>
          <w:rFonts w:hint="eastAsia" w:ascii="仿宋" w:hAnsi="仿宋" w:eastAsia="仿宋" w:cs="仿宋"/>
          <w:color w:val="auto"/>
          <w:sz w:val="24"/>
          <w:szCs w:val="24"/>
          <w:highlight w:val="none"/>
          <w:u w:val="single"/>
        </w:rPr>
        <w:t xml:space="preserve">0.05%</w:t>
      </w:r>
      <w:r>
        <w:rPr>
          <w:rFonts w:hint="eastAsia" w:ascii="仿宋" w:hAnsi="仿宋" w:eastAsia="仿宋" w:cs="仿宋"/>
          <w:color w:val="auto"/>
          <w:sz w:val="24"/>
          <w:szCs w:val="24"/>
          <w:highlight w:val="none"/>
        </w:rPr>
        <w:t xml:space="preserve">支付违约金。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退还履约保证金方式：同缴纳方式。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退还履约保证金条件：乙方在全部履约合同义务后（含质保期），经甲方验收合格无质量、进度等问题，甲方凭乙方提交的申请，一次性无息退还该合同项目的履约保证金。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6.7 履约保证金不予退还的情形：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a.签订合同后，乙方不履行合同义务的，甲方有权全额扣除履约保证金，全额不予退还，同时甲方亦有权终止合同，乙方还须承担相应的法律赔偿责任。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若乙方以保函形式提供担保的，乙方需将保函正本提交给甲方。乙方在履约过程中发生违约行为，甲方有权要求担保人按照保函约定向甲方无条件付款。满足本合同第6.6约定的条件时，甲方将保函正本退还给乙方。</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七、合同转包等事项</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乙方不得将合同标的转包给他人履行。乙方如有转包，甲方视为乙方根本违约，有权给予解除合同。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乙方保证提供的产品不得侵犯第三方专利权、商标权和设计权、版权等。否则，乙方负全部责任，并承担由此引起的一切后果。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乙方应保证其货物在正确安装、正常使用下，在其使用寿命期内应具有满意的性能。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乙方应采取必要的安全措施保证货物的运输及安装的安全，并承担货物的运输及安装过程中产生的风险。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 乙方提供详细的生产供货及安装计划，并标明主要时间节点。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发货前乙方均应通知甲方进行验收（但甲方的验收对于乙方应按本合同承担的质量担保责任不予任何减轻或免除）。</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八、合同款项支付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合同款项的支付方式及进度安排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在招标人现场安装调试（或服务）完毕后，经招标人根据合同和标书条款验收合格，</w:t>
      </w:r>
      <w:r>
        <w:rPr>
          <w:rFonts w:hint="eastAsia" w:ascii="仿宋" w:hAnsi="仿宋" w:eastAsia="仿宋" w:cs="仿宋"/>
          <w:color w:val="auto"/>
          <w:sz w:val="24"/>
          <w:szCs w:val="24"/>
          <w:highlight w:val="none"/>
          <w:lang w:val="en-US" w:eastAsia="zh-CN"/>
        </w:rPr>
        <w:t xml:space="preserve">并经审计完成后，</w:t>
      </w:r>
      <w:r>
        <w:rPr>
          <w:rFonts w:hint="eastAsia" w:ascii="仿宋" w:hAnsi="仿宋" w:eastAsia="仿宋" w:cs="仿宋"/>
          <w:color w:val="auto"/>
          <w:sz w:val="24"/>
          <w:szCs w:val="24"/>
          <w:highlight w:val="none"/>
        </w:rPr>
        <w:t xml:space="preserve">招标人全额支付合同总价款。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乙方凭以下文件资料申请支付合同款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 采购合同；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 中标通知书</w:t>
      </w:r>
      <w:r>
        <w:rPr>
          <w:rFonts w:hint="eastAsia" w:ascii="仿宋" w:hAnsi="仿宋" w:eastAsia="仿宋" w:cs="仿宋"/>
          <w:color w:val="auto"/>
          <w:sz w:val="24"/>
          <w:szCs w:val="24"/>
          <w:highlight w:val="none"/>
          <w:lang w:eastAsia="zh-CN"/>
        </w:rPr>
        <w:t xml:space="preserve">原件</w:t>
      </w:r>
      <w:r>
        <w:rPr>
          <w:rFonts w:hint="eastAsia" w:ascii="仿宋" w:hAnsi="仿宋" w:eastAsia="仿宋" w:cs="仿宋"/>
          <w:color w:val="auto"/>
          <w:sz w:val="24"/>
          <w:szCs w:val="24"/>
          <w:highlight w:val="none"/>
        </w:rPr>
        <w:t xml:space="preserve">或扫描件；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8.2.3 乙方开具的国家税务机关监制的正式增值税</w:t>
      </w:r>
      <w:r>
        <w:rPr>
          <w:rFonts w:hint="eastAsia" w:ascii="仿宋" w:hAnsi="仿宋" w:eastAsia="仿宋" w:cs="仿宋"/>
          <w:color w:val="auto"/>
          <w:sz w:val="24"/>
          <w:szCs w:val="24"/>
          <w:highlight w:val="none"/>
          <w:lang w:val="en-US" w:eastAsia="zh-CN"/>
        </w:rPr>
        <w:t xml:space="preserve">专用</w:t>
      </w:r>
      <w:r>
        <w:rPr>
          <w:rFonts w:hint="eastAsia" w:ascii="仿宋" w:hAnsi="仿宋" w:eastAsia="仿宋" w:cs="仿宋"/>
          <w:color w:val="auto"/>
          <w:sz w:val="24"/>
          <w:szCs w:val="24"/>
          <w:highlight w:val="none"/>
        </w:rPr>
        <w:t xml:space="preserve">发票；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8.2.4 甲方已收讫货物的验收凭证；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8.2.5 甲方签发的验收合格文件。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因甲方使用的是财政资金，甲方在前款规定的付款时间为向政府采购支付部门提出办理财政支付申请手续的时间（不含政府财政支付部门审核的时间），在规定时间内提出支付申请手续后即视为甲方是按期支付。</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九、税费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本合同执行中相关的一切税费均由乙方负担。</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十、质量保修范围和保修期及售后服务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乙方应按招标文件规定的货物性能、技术要求、质量标准向甲方提供产品，并不低于投标文件的质量、规格和参数的要求。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（1）更换：由乙方承担所发生的全部费用。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（2）贬值处理：由甲乙双方合议定价。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（3）退货处理：乙方应退还甲方支付的合同款，同时应承担该货物的直接费用（运输、保险、检验、货款利息及银行手续费等）。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售后服务要求：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10.3.1 产品终生免费升级维护。其他按有关规定执行(国际标准、国家标准、行业标准或企业标准)。</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10.3.2 </w:t>
      </w:r>
      <w:r>
        <w:rPr>
          <w:rFonts w:hint="eastAsia" w:ascii="仿宋" w:hAnsi="仿宋" w:eastAsia="仿宋" w:cs="仿宋"/>
          <w:bCs/>
          <w:color w:val="auto"/>
          <w:sz w:val="24"/>
          <w:szCs w:val="24"/>
          <w:highlight w:val="none"/>
        </w:rPr>
        <w:t xml:space="preserve">产品使用中，接到采购方电话通知后，</w:t>
      </w:r>
      <w:r>
        <w:rPr>
          <w:rFonts w:hint="eastAsia" w:ascii="仿宋" w:hAnsi="仿宋" w:eastAsia="仿宋" w:cs="仿宋"/>
          <w:bCs/>
          <w:color w:val="auto"/>
          <w:sz w:val="24"/>
          <w:szCs w:val="24"/>
          <w:highlight w:val="none"/>
          <w:lang w:val="en-US" w:eastAsia="zh-CN"/>
        </w:rPr>
        <w:t xml:space="preserve">需</w:t>
      </w:r>
      <w:r>
        <w:rPr>
          <w:rFonts w:hint="eastAsia" w:ascii="仿宋" w:hAnsi="仿宋" w:eastAsia="仿宋" w:cs="仿宋"/>
          <w:bCs/>
          <w:color w:val="auto"/>
          <w:sz w:val="24"/>
          <w:szCs w:val="24"/>
          <w:highlight w:val="none"/>
        </w:rPr>
        <w:t xml:space="preserve">在一小时内提供技术指导或远程维护，</w:t>
      </w:r>
      <w:r>
        <w:rPr>
          <w:rFonts w:hint="eastAsia" w:ascii="仿宋" w:hAnsi="仿宋" w:eastAsia="仿宋" w:cs="仿宋"/>
          <w:bCs/>
          <w:color w:val="auto"/>
          <w:sz w:val="24"/>
          <w:szCs w:val="24"/>
          <w:highlight w:val="none"/>
          <w:lang w:val="en-US" w:eastAsia="zh-CN"/>
        </w:rPr>
        <w:t xml:space="preserve">如需现场服务的，应</w:t>
      </w:r>
      <w:r>
        <w:rPr>
          <w:rFonts w:hint="eastAsia" w:ascii="仿宋" w:hAnsi="仿宋" w:eastAsia="仿宋" w:cs="仿宋"/>
          <w:bCs/>
          <w:color w:val="auto"/>
          <w:sz w:val="24"/>
          <w:szCs w:val="24"/>
          <w:highlight w:val="none"/>
        </w:rPr>
        <w:t xml:space="preserve">在12小时（省外单位48小时）内派出技术人员到达用户现场进行相关服务。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10.3.3 安装、调试、培训要求：项目实施阶段乙方安排专业技术人员现场实施，乙方对使用方进行所有设备的免费使用培训。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上述的货物免费保修期为</w:t>
      </w:r>
      <w:r>
        <w:rPr>
          <w:rFonts w:hint="eastAsia" w:ascii="仿宋" w:hAnsi="仿宋" w:eastAsia="仿宋" w:cs="仿宋"/>
          <w:color w:val="auto"/>
          <w:sz w:val="24"/>
          <w:szCs w:val="24"/>
          <w:highlight w:val="none"/>
          <w:lang w:val="en-US" w:eastAsia="zh-CN"/>
        </w:rPr>
        <w:t xml:space="preserve">36个月</w:t>
      </w:r>
      <w:r>
        <w:rPr>
          <w:rFonts w:hint="eastAsia" w:ascii="仿宋" w:hAnsi="仿宋" w:eastAsia="仿宋" w:cs="仿宋"/>
          <w:color w:val="auto"/>
          <w:sz w:val="24"/>
          <w:szCs w:val="24"/>
          <w:highlight w:val="none"/>
        </w:rPr>
        <w:t xml:space="preserve">（自交货验收合格之日起计）。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10.5</w:t>
      </w:r>
      <w:r>
        <w:rPr>
          <w:rFonts w:hint="eastAsia" w:ascii="仿宋" w:hAnsi="仿宋" w:eastAsia="仿宋" w:cs="仿宋"/>
          <w:color w:val="auto"/>
          <w:sz w:val="24"/>
          <w:szCs w:val="24"/>
          <w:highlight w:val="none"/>
        </w:rPr>
        <w:t xml:space="preserve">在合同约定的质保期内（自最终验收合格之日起36个月），如考试中心对同类考试设备进行任何形式的升级（包括功能增加、参数调整、软件版本更新或硬件局部优化），投标人须无偿对采购人设备进行同步升级，并保证升级完成后的设备与考试中心升级后的设备保持完全一致。因升级产生的材料、人工、运输、调试等全部费用由投标人承担。</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十一、项目验收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甲方依法组织履约验收工作。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如有必要，甲方邀请参加本项目的其他供应商或第三方专业机构及专家参与验收，相关意见将作为验收书的参考资料。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25"/>
        <w:rPr>
          <w:rFonts w:hint="default"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11.5 安装、调试、培训要求：项目实施阶段安排专业技术人员现场实施，中标方对使用方进行免费使用培训。培训须覆盖所有设备及全部功能科目，培训结束后由采购人组织统一考核，考核范围须包含全部规定科目。只有通过采购人考核，方可获得培训合格证明（由采购人出具或经采购人确认）。中标人须确保所有参训教师最终均通过考核并取得证明，否则视为培训未完成，采购人有权拒绝最终验收。未通过考核的，中标人须免费提供补充培训直至全部通过。</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十二、货物的包装、发运及运输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货物在交付甲方前发生的风险均由乙方负责。</w:t>
      </w:r>
      <w:r/>
    </w:p>
    <w:p>
      <w:pPr>
        <w:ind w:right="26"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货物在规定的交付期限内由乙方送达甲方指定的地点视为交付，乙方同时需通知甲方货物已送达。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 乙方提供的货物必须达到或优于招标文件“采购清单”技术需求中各项指标参数。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12.6 商品包装环保要求：应当按《关于印发〈商品包装政府采购需求标准（试行）〉、〈快递包装政府采购需求标准（试行）〉的通知》（财办库〔2020〕123号）文件执行。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（5）塑料材质商品包装上呈现的印刷颜色不得超过6色；</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12.7 快递包装环保要求：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（10）快递应使用电子面单；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（11）直接使用商品包装作为快递包装的商品，其商品包装满足《商品包装政府采购需求标准（试行）》即可；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（12）快递包装产品质量和封装方式应符合相关国家或行业标准技术指标要求。</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甲方无正当理由未按合同规定的期限向乙方支付货款的，每逾期1天甲方向乙方支付该批次货款总额的0.04%滞纳金，批次累计滞纳金总额不超过批次欠款总额的0.6%。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乙方逾期交付货物的，每逾期1天，乙方向甲方偿付支付该批次货款总额的0.04%滞纳金，批次累计滞纳金总额不超过批次总额的0.6%。</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乙方所交付的货物</w:t>
      </w:r>
      <w:r>
        <w:rPr>
          <w:rFonts w:hint="eastAsia" w:ascii="仿宋" w:hAnsi="仿宋" w:eastAsia="仿宋" w:cs="仿宋"/>
          <w:color w:val="auto"/>
          <w:sz w:val="24"/>
          <w:szCs w:val="24"/>
          <w:highlight w:val="none"/>
        </w:rPr>
        <w:t xml:space="preserve">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乙方未按合同规定的和“服务承诺”提供的售后服务的，应按合同总价款的8%向甲方承担违约责任。</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十四、不可抗力事件处理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不可抗力事件延续120天以上，双方应通过友好协商，确定是否继续履行合同。</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十五、解决争议的方法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甲乙双方因合同签订、履行而发生的一切争议，应通过友好协商解决。如协商不成由甲方所地人民法院管辖。</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十六、合同生效及其它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合同经双方法定代表人或授权委托代表人签字并加盖单位公章后生效。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本合同未尽事宜，遵照中华人民共和国现行法律法规有关条文执行。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 本合同正本一式捌份，具有同等法律效力，甲方、乙方各执肆份。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lang w:val="zh-CN"/>
        </w:rPr>
        <w:t xml:space="preserve">组成本合同的有关文件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（3）投标文件；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招标文件；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）相关服务计划；</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签订日期：2026年月  日</w:t>
      </w:r>
      <w:bookmarkStart w:id="16" w:name="_Hlt16619369"/>
      <w:r/>
      <w:bookmarkEnd w:id="16"/>
      <w:r>
        <w:rPr>
          <w:rFonts w:hint="eastAsia" w:ascii="仿宋" w:hAnsi="仿宋" w:eastAsia="仿宋" w:cs="仿宋"/>
          <w:color w:val="auto"/>
          <w:sz w:val="24"/>
          <w:szCs w:val="24"/>
          <w:highlight w:val="none"/>
        </w:rPr>
        <w:t xml:space="preserve">          签订日期：2026年月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color w:val="auto"/>
          <w:sz w:val="24"/>
          <w:szCs w:val="24"/>
          <w:highlight w:val="none"/>
        </w:rPr>
        <w:t xml:space="preserve">甲方保留对合同修改和完善的权利，本合同样本中的条款仅作为双方签订合同的参考，为阐明各方的权利和义务，经协商可增加新的条款。但不得与招标文件、成交供应商投标文件的实质性内容相背离。</w:t>
      </w:r>
      <w:r/>
    </w:p>
    <w:p>
      <w:pPr>
        <w:ind w:firstLine="2530"/>
        <w:jc w:val="left"/>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第六章  合同授予</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w:t>
      </w:r>
      <w:r>
        <w:rPr>
          <w:rFonts w:hint="eastAsia" w:ascii="仿宋" w:hAnsi="仿宋" w:eastAsia="仿宋" w:cs="仿宋"/>
          <w:bCs/>
          <w:color w:val="auto"/>
          <w:sz w:val="24"/>
          <w:szCs w:val="24"/>
          <w:highlight w:val="none"/>
        </w:rPr>
        <w:t xml:space="preserve">自中标通知书发出之日起30日内，中标人凭“中标通知书”及履约缴纳凭证与招标人签订合同。</w:t>
      </w:r>
      <w:r>
        <w:rPr>
          <w:rFonts w:hint="eastAsia" w:ascii="仿宋" w:hAnsi="仿宋" w:eastAsia="仿宋" w:cs="仿宋"/>
          <w:color w:val="auto"/>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三、中标人出现违约情形，应当及时纠正或补偿；造成损失的，按合同约定追究违约责任。</w:t>
      </w:r>
      <w:bookmarkEnd w:id="15"/>
      <w:r/>
      <w:r/>
    </w:p>
    <w:p>
      <w:pPr>
        <w:contextualSpacing/>
        <w:ind w:firstLine="480"/>
        <w:spacing w:line="360" w:lineRule="auto"/>
        <w:rPr>
          <w:rFonts w:hint="eastAsia" w:ascii="仿宋" w:hAnsi="仿宋" w:eastAsia="仿宋" w:cs="仿宋"/>
          <w:color w:val="auto"/>
          <w:sz w:val="24"/>
          <w:szCs w:val="21"/>
          <w:highlight w:val="none"/>
        </w:rPr>
      </w:pPr>
      <w:r/>
      <w:bookmarkStart w:id="17" w:name="_Toc363573860"/>
      <w:r>
        <w:rPr>
          <w:rFonts w:hint="eastAsia" w:ascii="仿宋" w:hAnsi="仿宋" w:eastAsia="仿宋" w:cs="仿宋"/>
          <w:color w:val="auto"/>
          <w:sz w:val="24"/>
          <w:szCs w:val="21"/>
          <w:highlight w:val="none"/>
        </w:rPr>
        <w:t xml:space="preserve">四、不响应付款方式的，视同投标文件无效，按无效投标文件处理。</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五、付款方式详见招标文件第五章。</w:t>
      </w:r>
      <w:r/>
    </w:p>
    <w:p>
      <w:pPr>
        <w:contextualSpacing/>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1039"/>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contextualSpacing/>
        <w:jc w:val="center"/>
        <w:spacing w:line="36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第七章  质疑与投诉</w:t>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一、质疑的提出</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注明：公告期限届满后获取招标文件的，以公告期限届满之日为准。</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2.2对采购过程提出质疑的，为各采购程序环节结束之日；</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2.3对中标结果提出质疑的，为中标结果公告期限届满之日。</w:t>
      </w:r>
      <w:r/>
    </w:p>
    <w:p>
      <w:pPr>
        <w:contextualSpacing/>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投标人应当在法定质疑期内一次性提出针对同一采购程序环节的质疑。</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招标人质疑接收人及联系方式，见招标文件第一章。</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 以下情形的质疑不予受理</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5.2 超出政府采购法定期限的质疑。</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5.3 未参加招投标活动的投标人。</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附件：</w:t>
      </w:r>
      <w:r/>
    </w:p>
    <w:p>
      <w:pPr>
        <w:contextualSpacing/>
        <w:ind w:firstLine="480"/>
        <w:jc w:val="center"/>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32"/>
          <w:szCs w:val="32"/>
          <w:highlight w:val="none"/>
        </w:rPr>
        <w:t xml:space="preserve">质疑函范本</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一、质疑</w:t>
      </w:r>
      <w:r>
        <w:rPr>
          <w:rFonts w:hint="eastAsia" w:ascii="仿宋" w:hAnsi="仿宋" w:eastAsia="仿宋" w:cs="仿宋"/>
          <w:color w:val="auto"/>
          <w:sz w:val="24"/>
          <w:szCs w:val="21"/>
          <w:highlight w:val="none"/>
        </w:rPr>
        <w:t xml:space="preserve">投标人</w:t>
      </w:r>
      <w:r>
        <w:rPr>
          <w:rFonts w:hint="eastAsia" w:ascii="仿宋" w:hAnsi="仿宋" w:eastAsia="仿宋" w:cs="仿宋"/>
          <w:bCs/>
          <w:color w:val="auto"/>
          <w:sz w:val="24"/>
          <w:szCs w:val="21"/>
          <w:highlight w:val="none"/>
        </w:rPr>
        <w:t xml:space="preserve">基本信息</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质疑投标人：</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联系人：联系电话：</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授权代表：</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联系电话：</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地址：邮编：</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二、质疑项目基本情况</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质疑项目的编号：包号：</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招标人名称：</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招标文件获取日期：</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三、质疑事项具体内容</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质疑事项1：</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事实依据：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法律依据：</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质疑事项2</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p>
    <w:p>
      <w:pPr>
        <w:contextualSpacing/>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四、与质疑事项相关的质疑请求</w:t>
      </w:r>
      <w:r/>
    </w:p>
    <w:p>
      <w:pPr>
        <w:contextualSpacing/>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请求：</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签字(签章)：                   公章：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质疑函制作说明：</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1.投标人提出质疑时，应提交质疑函和必要的证明材料。</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5.质疑函的质疑请求应与质疑事项相关。</w:t>
      </w:r>
      <w:r/>
    </w:p>
    <w:p>
      <w:pPr>
        <w:contextualSpacing/>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24"/>
          <w:szCs w:val="21"/>
          <w:highlight w:val="none"/>
        </w:rPr>
        <w:br w:type="page" w:clear="all"/>
      </w:r>
      <w:r>
        <w:rPr>
          <w:rFonts w:hint="eastAsia" w:ascii="仿宋" w:hAnsi="仿宋" w:eastAsia="仿宋" w:cs="仿宋"/>
          <w:b/>
          <w:color w:val="auto"/>
          <w:sz w:val="36"/>
          <w:szCs w:val="36"/>
          <w:highlight w:val="none"/>
        </w:rPr>
        <w:t xml:space="preserve">第八章  投标文件组成及格式</w:t>
      </w:r>
      <w:bookmarkEnd w:id="17"/>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一、基本目录</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1.开标一览表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具体以系统中的格式为准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2.投标分项报价表</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3.供应商信用承诺书</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4.供应商情况表</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二、资格审查文件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1.投标人符合《中华人民共和国政府采购法》第二十二条规定条件的声明函</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如为法定代表人参加投标的，必须提供法定代表人身份证明及法定代表人本人身份证</w:t>
      </w:r>
      <w:r>
        <w:rPr>
          <w:rFonts w:hint="eastAsia" w:ascii="仿宋" w:hAnsi="仿宋" w:eastAsia="仿宋" w:cs="仿宋"/>
          <w:bCs/>
          <w:color w:val="auto"/>
          <w:sz w:val="24"/>
          <w:szCs w:val="24"/>
          <w:highlight w:val="none"/>
          <w:lang w:eastAsia="zh-CN"/>
        </w:rPr>
        <w:t xml:space="preserve">原件扫描件</w:t>
      </w:r>
      <w:r>
        <w:rPr>
          <w:rFonts w:hint="eastAsia" w:ascii="仿宋" w:hAnsi="仿宋" w:eastAsia="仿宋" w:cs="仿宋"/>
          <w:bCs/>
          <w:color w:val="auto"/>
          <w:sz w:val="24"/>
          <w:szCs w:val="24"/>
          <w:highlight w:val="none"/>
        </w:rPr>
        <w:t xml:space="preserve">；如为非法定代表人参加投标的，必须提供法定代表人签字或盖章的授权委托书、法定代表人本人身份证</w:t>
      </w:r>
      <w:r>
        <w:rPr>
          <w:rFonts w:hint="eastAsia" w:ascii="仿宋" w:hAnsi="仿宋" w:eastAsia="仿宋" w:cs="仿宋"/>
          <w:bCs/>
          <w:color w:val="auto"/>
          <w:sz w:val="24"/>
          <w:szCs w:val="24"/>
          <w:highlight w:val="none"/>
          <w:lang w:eastAsia="zh-CN"/>
        </w:rPr>
        <w:t xml:space="preserve">原件扫描件</w:t>
      </w:r>
      <w:r>
        <w:rPr>
          <w:rFonts w:hint="eastAsia" w:ascii="仿宋" w:hAnsi="仿宋" w:eastAsia="仿宋" w:cs="仿宋"/>
          <w:bCs/>
          <w:color w:val="auto"/>
          <w:sz w:val="24"/>
          <w:szCs w:val="24"/>
          <w:highlight w:val="none"/>
        </w:rPr>
        <w:t xml:space="preserve">及被授权人本人身份证</w:t>
      </w:r>
      <w:r>
        <w:rPr>
          <w:rFonts w:hint="eastAsia" w:ascii="仿宋" w:hAnsi="仿宋" w:eastAsia="仿宋" w:cs="仿宋"/>
          <w:bCs/>
          <w:color w:val="auto"/>
          <w:sz w:val="24"/>
          <w:szCs w:val="24"/>
          <w:highlight w:val="none"/>
          <w:lang w:eastAsia="zh-CN"/>
        </w:rPr>
        <w:t xml:space="preserve">原件扫描件（格式按照后附件）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.拒绝下述供应商参加本次采购活动（提供声明，</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.2凡为采购项目提供整体设计、规范编制或者项目管理、监理、检测等服务的供应商，不得再参加本项目的采购活动。</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投标声明函</w:t>
      </w:r>
      <w:r>
        <w:rPr>
          <w:rFonts w:hint="eastAsia" w:ascii="仿宋" w:hAnsi="仿宋" w:eastAsia="仿宋" w:cs="仿宋"/>
          <w:bCs/>
          <w:color w:val="auto"/>
          <w:sz w:val="24"/>
          <w:szCs w:val="24"/>
          <w:highlight w:val="none"/>
          <w:lang w:eastAsia="zh-CN"/>
        </w:rPr>
        <w:t xml:space="preserve">（格式按照后附件）</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本项目专门面向中小企业采购，供应商应为中小微企业或监狱企业或残疾人福利性单位，并按照采购文件要求提供《中小企业声明函》或《残疾人福利性单位声明函》或监狱和戒毒企业证明材料。（以下满足其一即可）</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rPr>
          <w:rFonts w:hint="default" w:ascii="仿宋" w:hAnsi="仿宋" w:eastAsia="仿宋" w:cs="仿宋"/>
          <w:bCs/>
          <w:color w:val="auto"/>
          <w:sz w:val="24"/>
          <w:szCs w:val="24"/>
          <w:highlight w:val="none"/>
          <w:lang w:val="en-US" w:eastAsia="zh-CN"/>
        </w:rPr>
        <w:t xml:space="preserve">.1中小企业声明函</w:t>
      </w:r>
      <w:r>
        <w:rPr>
          <w:rFonts w:hint="eastAsia" w:ascii="仿宋" w:hAnsi="仿宋" w:eastAsia="仿宋" w:cs="仿宋"/>
          <w:bCs/>
          <w:color w:val="auto"/>
          <w:sz w:val="24"/>
          <w:szCs w:val="24"/>
          <w:highlight w:val="none"/>
          <w:lang w:eastAsia="zh-CN"/>
        </w:rPr>
        <w:t xml:space="preserve">（格式按照后附件）</w:t>
      </w:r>
      <w:r>
        <w:rPr>
          <w:rFonts w:hint="default" w:ascii="仿宋" w:hAnsi="仿宋" w:eastAsia="仿宋" w:cs="仿宋"/>
          <w:bCs/>
          <w:color w:val="auto"/>
          <w:sz w:val="24"/>
          <w:szCs w:val="24"/>
          <w:highlight w:val="none"/>
          <w:lang w:val="en-US" w:eastAsia="zh-CN"/>
        </w:rPr>
        <w:t xml:space="preserve">；</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rPr>
          <w:rFonts w:hint="default" w:ascii="仿宋" w:hAnsi="仿宋" w:eastAsia="仿宋" w:cs="仿宋"/>
          <w:bCs/>
          <w:color w:val="auto"/>
          <w:sz w:val="24"/>
          <w:szCs w:val="24"/>
          <w:highlight w:val="none"/>
          <w:lang w:val="en-US" w:eastAsia="zh-CN"/>
        </w:rPr>
        <w:t xml:space="preserve">.2残疾人福利性单位声明函</w:t>
      </w:r>
      <w:r>
        <w:rPr>
          <w:rFonts w:hint="eastAsia" w:ascii="仿宋" w:hAnsi="仿宋" w:eastAsia="仿宋" w:cs="仿宋"/>
          <w:bCs/>
          <w:color w:val="auto"/>
          <w:sz w:val="24"/>
          <w:szCs w:val="24"/>
          <w:highlight w:val="none"/>
          <w:lang w:eastAsia="zh-CN"/>
        </w:rPr>
        <w:t xml:space="preserve">（格式按照后附件）</w:t>
      </w:r>
      <w:r>
        <w:rPr>
          <w:rFonts w:hint="default" w:ascii="仿宋" w:hAnsi="仿宋" w:eastAsia="仿宋" w:cs="仿宋"/>
          <w:bCs/>
          <w:color w:val="auto"/>
          <w:sz w:val="24"/>
          <w:szCs w:val="24"/>
          <w:highlight w:val="none"/>
          <w:lang w:val="en-US" w:eastAsia="zh-CN"/>
        </w:rPr>
        <w:t xml:space="preserve">；</w:t>
      </w:r>
      <w:r/>
    </w:p>
    <w:p>
      <w:pPr>
        <w:contextualSpacing/>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rPr>
          <w:rFonts w:hint="default" w:ascii="仿宋" w:hAnsi="仿宋" w:eastAsia="仿宋" w:cs="仿宋"/>
          <w:bCs/>
          <w:color w:val="auto"/>
          <w:sz w:val="24"/>
          <w:szCs w:val="24"/>
          <w:highlight w:val="none"/>
          <w:lang w:val="en-US" w:eastAsia="zh-CN"/>
        </w:rPr>
        <w:t xml:space="preserve">.3监狱和戒毒企业证明材料</w:t>
      </w:r>
      <w:r>
        <w:rPr>
          <w:rFonts w:hint="eastAsia" w:ascii="仿宋" w:hAnsi="仿宋" w:eastAsia="仿宋" w:cs="仿宋"/>
          <w:bCs/>
          <w:color w:val="auto"/>
          <w:sz w:val="24"/>
          <w:szCs w:val="24"/>
          <w:highlight w:val="none"/>
          <w:lang w:eastAsia="zh-CN"/>
        </w:rPr>
        <w:t xml:space="preserve">（格式按照后附件）</w:t>
      </w:r>
      <w:r>
        <w:rPr>
          <w:rFonts w:hint="default" w:ascii="仿宋" w:hAnsi="仿宋" w:eastAsia="仿宋" w:cs="仿宋"/>
          <w:bCs/>
          <w:color w:val="auto"/>
          <w:sz w:val="24"/>
          <w:szCs w:val="24"/>
          <w:highlight w:val="none"/>
          <w:lang w:val="en-US" w:eastAsia="zh-CN"/>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.供应商认为需提供的其他材料。</w:t>
      </w:r>
      <w:r/>
    </w:p>
    <w:p>
      <w:pPr>
        <w:contextualSpacing/>
        <w:ind w:firstLine="482"/>
        <w:jc w:val="left"/>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注：以上所有资格要求条件必须在资格审查材料中逐条提供有效证明材料及相关承诺书并加盖公章，否则投标无效。</w:t>
      </w:r>
      <w:r/>
    </w:p>
    <w:p>
      <w:pPr>
        <w:contextualSpacing/>
        <w:ind w:firstLine="482"/>
        <w:jc w:val="left"/>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三、符合性审查文件</w:t>
      </w:r>
      <w:r/>
    </w:p>
    <w:p>
      <w:pPr>
        <w:contextualSpacing/>
        <w:ind w:firstLine="482"/>
        <w:jc w:val="left"/>
        <w:spacing w:line="360" w:lineRule="auto"/>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val="0"/>
          <w:bCs/>
          <w:color w:val="auto"/>
          <w:sz w:val="24"/>
          <w:szCs w:val="21"/>
          <w:highlight w:val="none"/>
          <w:lang w:val="en-US" w:eastAsia="zh-CN"/>
        </w:rPr>
        <w:t xml:space="preserve">1</w:t>
      </w:r>
      <w:r>
        <w:rPr>
          <w:rFonts w:hint="eastAsia" w:ascii="仿宋" w:hAnsi="仿宋" w:eastAsia="仿宋" w:cs="仿宋"/>
          <w:b w:val="0"/>
          <w:bCs/>
          <w:color w:val="auto"/>
          <w:sz w:val="24"/>
          <w:szCs w:val="21"/>
          <w:highlight w:val="none"/>
        </w:rPr>
        <w:t xml:space="preserve">.投标响应函</w:t>
      </w:r>
      <w:r>
        <w:rPr>
          <w:rFonts w:hint="eastAsia" w:ascii="仿宋" w:hAnsi="仿宋" w:eastAsia="仿宋" w:cs="仿宋"/>
          <w:b w:val="0"/>
          <w:bCs/>
          <w:color w:val="auto"/>
          <w:sz w:val="24"/>
          <w:szCs w:val="21"/>
          <w:highlight w:val="none"/>
          <w:lang w:eastAsia="zh-CN"/>
        </w:rPr>
        <w:t xml:space="preserve">（格式按照后附件）</w:t>
      </w:r>
      <w:r>
        <w:rPr>
          <w:rFonts w:hint="eastAsia" w:ascii="仿宋" w:hAnsi="仿宋" w:eastAsia="仿宋" w:cs="仿宋"/>
          <w:b w:val="0"/>
          <w:bCs/>
          <w:color w:val="auto"/>
          <w:sz w:val="24"/>
          <w:szCs w:val="21"/>
          <w:highlight w:val="none"/>
        </w:rPr>
        <w:t xml:space="preserve">。</w:t>
      </w:r>
      <w:r/>
    </w:p>
    <w:p>
      <w:pPr>
        <w:contextualSpacing/>
        <w:ind w:firstLine="482"/>
        <w:jc w:val="left"/>
        <w:spacing w:line="360" w:lineRule="auto"/>
        <w:rPr>
          <w:rFonts w:hint="eastAsia" w:ascii="仿宋" w:hAnsi="仿宋" w:eastAsia="仿宋" w:cs="仿宋"/>
          <w:b w:val="0"/>
          <w:bCs/>
          <w:color w:val="auto"/>
          <w:sz w:val="24"/>
          <w:szCs w:val="21"/>
          <w:highlight w:val="none"/>
          <w:lang w:eastAsia="zh-CN"/>
        </w:rPr>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val="0"/>
          <w:bCs/>
          <w:color w:val="auto"/>
          <w:sz w:val="24"/>
          <w:szCs w:val="21"/>
          <w:highlight w:val="none"/>
          <w:lang w:val="en-US" w:eastAsia="zh-CN"/>
        </w:rPr>
        <w:t xml:space="preserve">2.产品质量保证承诺书</w:t>
      </w:r>
      <w:r>
        <w:rPr>
          <w:rFonts w:hint="eastAsia" w:ascii="仿宋" w:hAnsi="仿宋" w:eastAsia="仿宋" w:cs="仿宋"/>
          <w:b w:val="0"/>
          <w:bCs/>
          <w:color w:val="auto"/>
          <w:sz w:val="24"/>
          <w:szCs w:val="21"/>
          <w:highlight w:val="none"/>
          <w:lang w:eastAsia="zh-CN"/>
        </w:rPr>
        <w:t xml:space="preserve">（格式按照后附件）。</w:t>
      </w:r>
      <w:r/>
    </w:p>
    <w:p>
      <w:pPr>
        <w:contextualSpacing/>
        <w:ind w:firstLine="482"/>
        <w:jc w:val="left"/>
        <w:spacing w:line="360" w:lineRule="auto"/>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val="0"/>
          <w:bCs/>
          <w:color w:val="auto"/>
          <w:sz w:val="24"/>
          <w:szCs w:val="21"/>
          <w:highlight w:val="none"/>
          <w:lang w:val="en-US" w:eastAsia="zh-CN"/>
        </w:rPr>
        <w:t xml:space="preserve">3.</w:t>
      </w:r>
      <w:r>
        <w:rPr>
          <w:rFonts w:hint="eastAsia" w:ascii="仿宋" w:hAnsi="仿宋" w:eastAsia="仿宋" w:cs="仿宋"/>
          <w:b w:val="0"/>
          <w:bCs/>
          <w:color w:val="auto"/>
          <w:sz w:val="24"/>
          <w:szCs w:val="21"/>
          <w:highlight w:val="none"/>
        </w:rPr>
        <w:t xml:space="preserve">商务条款正负偏离表</w:t>
      </w:r>
      <w:r>
        <w:rPr>
          <w:rFonts w:hint="eastAsia" w:ascii="仿宋" w:hAnsi="仿宋" w:eastAsia="仿宋" w:cs="仿宋"/>
          <w:b w:val="0"/>
          <w:bCs/>
          <w:color w:val="auto"/>
          <w:sz w:val="24"/>
          <w:szCs w:val="21"/>
          <w:highlight w:val="none"/>
          <w:lang w:eastAsia="zh-CN"/>
        </w:rPr>
        <w:t xml:space="preserve">（格式按照后附件）</w:t>
      </w:r>
      <w:r>
        <w:rPr>
          <w:rFonts w:hint="eastAsia" w:ascii="仿宋" w:hAnsi="仿宋" w:eastAsia="仿宋" w:cs="仿宋"/>
          <w:b w:val="0"/>
          <w:bCs/>
          <w:color w:val="auto"/>
          <w:sz w:val="24"/>
          <w:szCs w:val="21"/>
          <w:highlight w:val="none"/>
        </w:rPr>
        <w:t xml:space="preserve">。</w:t>
      </w:r>
      <w:r/>
    </w:p>
    <w:p>
      <w:pPr>
        <w:contextualSpacing/>
        <w:ind w:firstLine="482"/>
        <w:jc w:val="lef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技术</w:t>
      </w:r>
      <w:r>
        <w:rPr>
          <w:rFonts w:hint="eastAsia" w:ascii="仿宋" w:hAnsi="仿宋" w:eastAsia="仿宋" w:cs="仿宋"/>
          <w:b w:val="0"/>
          <w:bCs/>
          <w:color w:val="auto"/>
          <w:sz w:val="24"/>
          <w:szCs w:val="24"/>
          <w:highlight w:val="none"/>
        </w:rPr>
        <w:t xml:space="preserve">条款正负偏离表</w:t>
      </w:r>
      <w:r>
        <w:rPr>
          <w:rFonts w:hint="eastAsia" w:ascii="仿宋" w:hAnsi="仿宋" w:eastAsia="仿宋" w:cs="仿宋"/>
          <w:b w:val="0"/>
          <w:bCs/>
          <w:color w:val="auto"/>
          <w:sz w:val="24"/>
          <w:szCs w:val="24"/>
          <w:highlight w:val="none"/>
          <w:lang w:eastAsia="zh-CN"/>
        </w:rPr>
        <w:t xml:space="preserve">（格式按照后附件）</w:t>
      </w:r>
      <w:r>
        <w:rPr>
          <w:rFonts w:hint="eastAsia" w:ascii="仿宋" w:hAnsi="仿宋" w:eastAsia="仿宋" w:cs="仿宋"/>
          <w:b w:val="0"/>
          <w:bCs/>
          <w:color w:val="auto"/>
          <w:sz w:val="24"/>
          <w:szCs w:val="24"/>
          <w:highlight w:val="none"/>
        </w:rPr>
        <w:t xml:space="preserve">。</w:t>
      </w:r>
      <w:r/>
    </w:p>
    <w:p>
      <w:pPr>
        <w:pStyle w:val="1025"/>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5.投标人须承诺：在合同约定的质保期内（自最终验收合格之日起36个月），如考试中心对同类考试设备进行任何形式的升级（包括功能增加、参数调整、软件版本更新或硬件局部优化），投标人须无偿对采购人设备进行同步升级，并保证升级完成后的设备与考试中心升级后的设备保持完全一致。因升级产生的材料、人工、运输、调试等全部费用由投标人承担。</w:t>
      </w:r>
      <w:r>
        <w:rPr>
          <w:rFonts w:hint="eastAsia" w:ascii="仿宋" w:hAnsi="仿宋" w:eastAsia="仿宋" w:cs="仿宋"/>
          <w:b w:val="0"/>
          <w:bCs/>
          <w:color w:val="auto"/>
          <w:sz w:val="24"/>
          <w:szCs w:val="21"/>
          <w:highlight w:val="none"/>
          <w:lang w:val="en-US" w:eastAsia="zh-CN"/>
        </w:rPr>
        <w:t xml:space="preserve">（承诺书格式自拟）</w:t>
      </w:r>
      <w:r/>
    </w:p>
    <w:p>
      <w:pPr>
        <w:contextualSpacing/>
        <w:ind w:firstLine="482"/>
        <w:jc w:val="left"/>
        <w:spacing w:line="360" w:lineRule="auto"/>
        <w:rPr>
          <w:rFonts w:hint="eastAsia" w:ascii="仿宋" w:hAnsi="仿宋" w:eastAsia="仿宋" w:cs="仿宋"/>
          <w:b w:val="0"/>
          <w:bCs/>
          <w:color w:val="auto"/>
          <w:sz w:val="24"/>
          <w:szCs w:val="21"/>
          <w:highlight w:val="none"/>
          <w:lang w:val="zh-CN"/>
        </w:rPr>
      </w:pPr>
      <w:r>
        <w:rPr>
          <w:rFonts w:hint="eastAsia" w:ascii="仿宋" w:hAnsi="仿宋" w:eastAsia="仿宋" w:cs="仿宋"/>
          <w:b w:val="0"/>
          <w:bCs/>
          <w:color w:val="auto"/>
          <w:sz w:val="24"/>
          <w:szCs w:val="21"/>
          <w:highlight w:val="none"/>
          <w:lang w:val="en-US" w:eastAsia="zh-CN"/>
        </w:rPr>
        <w:t xml:space="preserve">★6.</w:t>
      </w:r>
      <w:r>
        <w:rPr>
          <w:rFonts w:hint="eastAsia" w:ascii="仿宋" w:hAnsi="仿宋" w:eastAsia="仿宋" w:cs="仿宋"/>
          <w:b w:val="0"/>
          <w:bCs/>
          <w:color w:val="auto"/>
          <w:sz w:val="24"/>
          <w:szCs w:val="21"/>
          <w:highlight w:val="none"/>
          <w:lang w:val="zh-CN"/>
        </w:rPr>
        <w:t xml:space="preserve">投标人须承诺：自设备最终验收合格之日起36个月质保期内，免费提供设备正常运行所需的所有易损件及易耗材料（以下简称“备品备件”），不得以任何理由向采购人收取费用。若采购人在质保期内实际使用中发现清单外确属正常损耗的零件/材料，供应商仍应免费提供，不得以“未列入清单”为由拒绝。</w:t>
      </w:r>
      <w:r>
        <w:rPr>
          <w:rFonts w:hint="eastAsia" w:ascii="仿宋" w:hAnsi="仿宋" w:eastAsia="仿宋" w:cs="仿宋"/>
          <w:b w:val="0"/>
          <w:bCs/>
          <w:color w:val="auto"/>
          <w:sz w:val="24"/>
          <w:szCs w:val="21"/>
          <w:highlight w:val="none"/>
          <w:lang w:val="en-US" w:eastAsia="zh-CN"/>
        </w:rPr>
        <w:t xml:space="preserve">（承诺书格式自拟）</w:t>
      </w:r>
      <w:r/>
    </w:p>
    <w:p>
      <w:pPr>
        <w:contextualSpacing/>
        <w:ind w:firstLine="482"/>
        <w:jc w:val="left"/>
        <w:spacing w:line="360" w:lineRule="auto"/>
        <w:rPr>
          <w:rFonts w:hint="eastAsia" w:ascii="仿宋" w:hAnsi="仿宋" w:eastAsia="仿宋" w:cs="仿宋"/>
          <w:b w:val="0"/>
          <w:bCs/>
          <w:color w:val="auto"/>
          <w:sz w:val="24"/>
          <w:szCs w:val="21"/>
          <w:highlight w:val="none"/>
          <w:lang w:val="en-US" w:eastAsia="zh-CN"/>
        </w:rPr>
      </w:pPr>
      <w:r>
        <w:rPr>
          <w:rFonts w:hint="eastAsia" w:ascii="仿宋" w:hAnsi="仿宋" w:eastAsia="仿宋" w:cs="仿宋"/>
          <w:b w:val="0"/>
          <w:bCs/>
          <w:color w:val="auto"/>
          <w:sz w:val="24"/>
          <w:szCs w:val="21"/>
          <w:highlight w:val="none"/>
          <w:lang w:val="en-US" w:eastAsia="zh-CN"/>
        </w:rPr>
        <w:t xml:space="preserve">★7.交货时间：自合同签订之日起60日历天内完成全部货物的供货、安装及调试；逾期完成的，中标人承担逾期违约责任。安装调试完成后，中标人须书面提出申请，并在30日历天内完成所有培训及通过招标人最终验收；若培训未按要求完成（包括参训人员未全部通过考核）或验收不合格，中标人承担违约责任（免费补充培训、支付逾期违约金等），同时招标人有权拒绝签署最终验收报告。（承诺书格式自拟）</w:t>
      </w:r>
      <w:r/>
    </w:p>
    <w:p>
      <w:pPr>
        <w:pStyle w:val="1015"/>
        <w:ind w:firstLine="482"/>
        <w:spacing w:before="120" w:after="120" w:line="360" w:lineRule="auto"/>
        <w:tabs>
          <w:tab w:val="left" w:pos="0"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1"/>
          <w:highlight w:val="none"/>
          <w:lang w:val="en-US" w:eastAsia="zh-CN"/>
        </w:rPr>
        <w:t xml:space="preserve">注明：本项目不排除采购人根据现场实际情况，要求中标单位提前交付并验收成功，</w:t>
      </w:r>
      <w:r>
        <w:rPr>
          <w:rFonts w:hint="eastAsia" w:ascii="仿宋" w:hAnsi="仿宋" w:eastAsia="仿宋" w:cs="仿宋"/>
          <w:b/>
          <w:bCs/>
          <w:color w:val="auto"/>
          <w:sz w:val="24"/>
          <w:szCs w:val="24"/>
          <w:highlight w:val="none"/>
          <w:lang w:val="en-US" w:eastAsia="zh-CN"/>
        </w:rPr>
        <w:t xml:space="preserve">投标单位应具备满足招标人以上要求，能够提前完成本项目所有产品供货、安装、调试、培训及通过招标人最终验收的能力。</w:t>
      </w:r>
      <w:r/>
    </w:p>
    <w:p>
      <w:pPr>
        <w:pStyle w:val="1015"/>
        <w:ind w:firstLine="482"/>
        <w:spacing w:before="120" w:after="120" w:line="360" w:lineRule="auto"/>
        <w:tabs>
          <w:tab w:val="left" w:pos="0" w:leader="none"/>
        </w:tabs>
        <w:rPr>
          <w:rFonts w:hint="eastAsia" w:ascii="仿宋" w:hAnsi="仿宋" w:eastAsia="仿宋" w:cs="仿宋"/>
          <w:bCs/>
          <w:color w:val="auto"/>
          <w:sz w:val="24"/>
          <w:szCs w:val="21"/>
          <w:highlight w:val="none"/>
          <w:lang w:val="en-US" w:eastAsia="zh-CN"/>
        </w:rPr>
      </w:pPr>
      <w:r>
        <w:rPr>
          <w:rFonts w:hint="eastAsia" w:ascii="仿宋" w:hAnsi="仿宋" w:eastAsia="仿宋" w:cs="仿宋"/>
          <w:b/>
          <w:bCs/>
          <w:color w:val="auto"/>
          <w:sz w:val="24"/>
          <w:szCs w:val="24"/>
          <w:highlight w:val="none"/>
          <w:u w:val="single"/>
          <w:lang w:val="en-US" w:eastAsia="zh-CN"/>
        </w:rPr>
        <w:t xml:space="preserve">以上第7条款（包含以上注明内容）为符合性审查内容，在符合性审查时提供相应的承诺书（格式自拟），未提交或不符合的，或者不清晰的，符合性审查均不予通过。</w:t>
      </w:r>
      <w:r/>
    </w:p>
    <w:p>
      <w:pPr>
        <w:contextualSpacing/>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.投标人认为需要提交的其他资料。</w:t>
      </w:r>
      <w:r/>
    </w:p>
    <w:p>
      <w:pPr>
        <w:contextualSpacing/>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四、商务技术标文件</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.评标办法中所涉及的事项需提供的所有资料</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包含投标</w:t>
      </w:r>
      <w:r>
        <w:rPr>
          <w:rFonts w:hint="eastAsia" w:ascii="仿宋" w:hAnsi="仿宋" w:eastAsia="仿宋" w:cs="仿宋"/>
          <w:bCs/>
          <w:color w:val="auto"/>
          <w:sz w:val="24"/>
          <w:szCs w:val="24"/>
          <w:highlight w:val="none"/>
        </w:rPr>
        <w:t xml:space="preserve">货物需求清单，需列明</w:t>
      </w:r>
      <w:r>
        <w:rPr>
          <w:rFonts w:hint="eastAsia" w:ascii="仿宋" w:hAnsi="仿宋" w:eastAsia="仿宋" w:cs="仿宋"/>
          <w:bCs/>
          <w:color w:val="auto"/>
          <w:sz w:val="24"/>
          <w:szCs w:val="24"/>
          <w:highlight w:val="none"/>
          <w:lang w:val="zh-CN"/>
        </w:rPr>
        <w:t xml:space="preserve">具</w:t>
      </w:r>
      <w:r>
        <w:rPr>
          <w:rFonts w:hint="eastAsia" w:ascii="仿宋" w:hAnsi="仿宋" w:eastAsia="仿宋" w:cs="仿宋"/>
          <w:bCs/>
          <w:color w:val="auto"/>
          <w:sz w:val="24"/>
          <w:szCs w:val="24"/>
          <w:highlight w:val="none"/>
        </w:rPr>
        <w:t xml:space="preserve">体</w:t>
      </w:r>
      <w:r>
        <w:rPr>
          <w:rFonts w:hint="eastAsia" w:ascii="仿宋" w:hAnsi="仿宋" w:eastAsia="仿宋" w:cs="仿宋"/>
          <w:bCs/>
          <w:color w:val="auto"/>
          <w:sz w:val="24"/>
          <w:szCs w:val="24"/>
          <w:highlight w:val="none"/>
          <w:lang w:val="en-US" w:eastAsia="zh-CN"/>
        </w:rPr>
        <w:t xml:space="preserve">设备名称</w:t>
      </w:r>
      <w:r>
        <w:rPr>
          <w:rFonts w:hint="eastAsia" w:ascii="仿宋" w:hAnsi="仿宋" w:eastAsia="仿宋" w:cs="仿宋"/>
          <w:bCs/>
          <w:color w:val="auto"/>
          <w:sz w:val="24"/>
          <w:szCs w:val="24"/>
          <w:highlight w:val="none"/>
          <w:lang w:val="zh-CN"/>
        </w:rPr>
        <w:t xml:space="preserve">、数量、品牌、型号、配置性能、</w:t>
      </w:r>
      <w:r>
        <w:rPr>
          <w:rFonts w:hint="eastAsia" w:ascii="仿宋" w:hAnsi="仿宋" w:eastAsia="仿宋" w:cs="仿宋"/>
          <w:bCs/>
          <w:color w:val="auto"/>
          <w:sz w:val="24"/>
          <w:szCs w:val="24"/>
          <w:highlight w:val="none"/>
        </w:rPr>
        <w:t xml:space="preserve">制造商名称</w:t>
      </w:r>
      <w:r>
        <w:rPr>
          <w:rFonts w:hint="eastAsia" w:ascii="仿宋" w:hAnsi="仿宋" w:eastAsia="仿宋" w:cs="仿宋"/>
          <w:bCs/>
          <w:color w:val="auto"/>
          <w:sz w:val="24"/>
          <w:szCs w:val="24"/>
          <w:highlight w:val="none"/>
          <w:lang w:val="zh-CN"/>
        </w:rPr>
        <w:t xml:space="preserve">等</w:t>
      </w:r>
      <w:r>
        <w:rPr>
          <w:rFonts w:hint="eastAsia" w:ascii="仿宋" w:hAnsi="仿宋" w:eastAsia="仿宋" w:cs="仿宋"/>
          <w:bCs/>
          <w:color w:val="auto"/>
          <w:sz w:val="24"/>
          <w:szCs w:val="24"/>
          <w:highlight w:val="none"/>
        </w:rPr>
        <w:t xml:space="preserve">。</w:t>
      </w:r>
      <w:r/>
    </w:p>
    <w:p>
      <w:pPr>
        <w:contextualSpacing/>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4"/>
          <w:highlight w:val="none"/>
        </w:rPr>
        <w:t xml:space="preserve">注：为方便评委评审，请投标人按评标办法中所涉及的事项顺序进行编制，可以补充相关材料。</w:t>
      </w:r>
      <w:r/>
    </w:p>
    <w:p>
      <w:pPr>
        <w:numPr>
          <w:ilvl w:val="0"/>
          <w:numId w:val="0"/>
        </w:numPr>
        <w:contextualSpacing/>
        <w:ind w:firstLine="241"/>
        <w:jc w:val="left"/>
        <w:spacing w:line="360" w:lineRule="auto"/>
        <w:rPr>
          <w:rFonts w:hint="eastAsia" w:ascii="仿宋" w:hAnsi="仿宋" w:eastAsia="仿宋" w:cs="仿宋"/>
          <w:b/>
          <w:bCs/>
          <w:color w:val="auto"/>
          <w:sz w:val="24"/>
          <w:szCs w:val="21"/>
          <w:highlight w:val="none"/>
          <w:lang w:val="en-US" w:eastAsia="zh-CN"/>
        </w:rPr>
      </w:pPr>
      <w:r>
        <w:rPr>
          <w:rFonts w:hint="eastAsia" w:ascii="仿宋" w:hAnsi="仿宋" w:eastAsia="仿宋" w:cs="仿宋"/>
          <w:b/>
          <w:bCs/>
          <w:color w:val="auto"/>
          <w:sz w:val="24"/>
          <w:szCs w:val="21"/>
          <w:highlight w:val="none"/>
          <w:lang w:val="en-US" w:eastAsia="zh-CN"/>
        </w:rPr>
        <w:t xml:space="preserve">五、</w:t>
      </w:r>
      <w:r>
        <w:rPr>
          <w:rFonts w:hint="eastAsia" w:ascii="仿宋" w:hAnsi="仿宋" w:eastAsia="仿宋" w:cs="仿宋"/>
          <w:b/>
          <w:bCs/>
          <w:color w:val="auto"/>
          <w:sz w:val="24"/>
          <w:szCs w:val="21"/>
          <w:highlight w:val="none"/>
        </w:rPr>
        <w:t xml:space="preserve">价格</w:t>
      </w:r>
      <w:r>
        <w:rPr>
          <w:rFonts w:hint="eastAsia" w:ascii="仿宋" w:hAnsi="仿宋" w:eastAsia="仿宋" w:cs="仿宋"/>
          <w:b/>
          <w:bCs/>
          <w:color w:val="auto"/>
          <w:sz w:val="24"/>
          <w:szCs w:val="21"/>
          <w:highlight w:val="none"/>
          <w:lang w:val="en-US" w:eastAsia="zh-CN"/>
        </w:rPr>
        <w:t xml:space="preserve">标文件</w:t>
      </w:r>
      <w:r/>
    </w:p>
    <w:p>
      <w:pPr>
        <w:numPr>
          <w:ilvl w:val="0"/>
          <w:numId w:val="0"/>
        </w:numPr>
        <w:contextualSpacing/>
        <w:ind w:firstLine="482"/>
        <w:jc w:val="left"/>
        <w:spacing w:line="360" w:lineRule="auto"/>
        <w:rPr>
          <w:rFonts w:hint="eastAsia" w:ascii="仿宋" w:hAnsi="仿宋" w:eastAsia="仿宋" w:cs="仿宋"/>
          <w:b/>
          <w:bCs/>
          <w:color w:val="auto"/>
          <w:sz w:val="24"/>
          <w:szCs w:val="21"/>
          <w:highlight w:val="none"/>
          <w:lang w:val="en-US" w:eastAsia="zh-CN"/>
        </w:rPr>
      </w:pPr>
      <w:r>
        <w:rPr>
          <w:rFonts w:hint="eastAsia" w:ascii="仿宋" w:hAnsi="仿宋" w:eastAsia="仿宋" w:cs="仿宋"/>
          <w:b/>
          <w:bCs/>
          <w:color w:val="auto"/>
          <w:sz w:val="24"/>
          <w:szCs w:val="21"/>
          <w:highlight w:val="none"/>
          <w:lang w:val="en-US" w:eastAsia="zh-CN"/>
        </w:rPr>
        <w:t xml:space="preserve">1、</w:t>
      </w:r>
      <w:r>
        <w:rPr>
          <w:rFonts w:hint="eastAsia" w:ascii="仿宋" w:hAnsi="仿宋" w:eastAsia="仿宋" w:cs="仿宋"/>
          <w:b/>
          <w:bCs/>
          <w:color w:val="auto"/>
          <w:sz w:val="24"/>
          <w:highlight w:val="none"/>
        </w:rPr>
        <w:t xml:space="preserve">价格评审优惠</w:t>
      </w:r>
      <w:r>
        <w:rPr>
          <w:rFonts w:hint="eastAsia" w:ascii="仿宋" w:hAnsi="仿宋" w:eastAsia="仿宋" w:cs="仿宋"/>
          <w:b/>
          <w:bCs/>
          <w:color w:val="auto"/>
          <w:sz w:val="24"/>
          <w:szCs w:val="21"/>
          <w:highlight w:val="none"/>
        </w:rPr>
        <w:t xml:space="preserve">证明文件</w:t>
      </w:r>
      <w:r>
        <w:rPr>
          <w:rFonts w:hint="eastAsia" w:ascii="仿宋" w:hAnsi="仿宋" w:eastAsia="仿宋" w:cs="仿宋"/>
          <w:b/>
          <w:bCs/>
          <w:color w:val="auto"/>
          <w:sz w:val="24"/>
          <w:szCs w:val="21"/>
          <w:highlight w:val="none"/>
          <w:lang w:eastAsia="zh-CN"/>
        </w:rPr>
        <w:t xml:space="preserve">（</w:t>
      </w:r>
      <w:r>
        <w:rPr>
          <w:rFonts w:hint="eastAsia" w:ascii="仿宋" w:hAnsi="仿宋" w:eastAsia="仿宋" w:cs="仿宋"/>
          <w:b/>
          <w:bCs/>
          <w:color w:val="auto"/>
          <w:sz w:val="24"/>
          <w:szCs w:val="21"/>
          <w:highlight w:val="none"/>
          <w:lang w:val="en-US" w:eastAsia="zh-CN"/>
        </w:rPr>
        <w:t xml:space="preserve">如有</w:t>
      </w:r>
      <w:r>
        <w:rPr>
          <w:rFonts w:hint="eastAsia" w:ascii="仿宋" w:hAnsi="仿宋" w:eastAsia="仿宋" w:cs="仿宋"/>
          <w:b/>
          <w:bCs/>
          <w:color w:val="auto"/>
          <w:sz w:val="24"/>
          <w:szCs w:val="21"/>
          <w:highlight w:val="none"/>
          <w:lang w:eastAsia="zh-CN"/>
        </w:rPr>
        <w:t xml:space="preserve">）。</w:t>
      </w:r>
      <w:r/>
    </w:p>
    <w:p>
      <w:pPr>
        <w:contextualSpacing/>
        <w:ind w:firstLine="480"/>
        <w:spacing w:line="360" w:lineRule="auto"/>
        <w:rPr>
          <w:rFonts w:hint="eastAsia" w:ascii="仿宋" w:hAnsi="仿宋" w:eastAsia="仿宋" w:cs="仿宋"/>
          <w:bCs/>
          <w:color w:val="auto"/>
          <w:sz w:val="24"/>
          <w:szCs w:val="21"/>
          <w:highlight w:val="none"/>
          <w:lang w:eastAsia="zh-CN"/>
        </w:rPr>
      </w:pPr>
      <w:r>
        <w:rPr>
          <w:rFonts w:hint="eastAsia" w:ascii="仿宋" w:hAnsi="仿宋" w:eastAsia="仿宋" w:cs="仿宋"/>
          <w:bCs/>
          <w:color w:val="auto"/>
          <w:sz w:val="24"/>
          <w:szCs w:val="21"/>
          <w:highlight w:val="none"/>
          <w:lang w:eastAsia="zh-CN"/>
        </w:rPr>
        <w:t xml:space="preserve">（</w:t>
      </w:r>
      <w:r>
        <w:rPr>
          <w:rFonts w:hint="eastAsia" w:ascii="仿宋" w:hAnsi="仿宋" w:eastAsia="仿宋" w:cs="仿宋"/>
          <w:bCs/>
          <w:color w:val="auto"/>
          <w:sz w:val="24"/>
          <w:szCs w:val="21"/>
          <w:highlight w:val="none"/>
          <w:lang w:val="en-US" w:eastAsia="zh-CN"/>
        </w:rPr>
        <w:t xml:space="preserve">1</w:t>
      </w:r>
      <w:r>
        <w:rPr>
          <w:rFonts w:hint="eastAsia" w:ascii="仿宋" w:hAnsi="仿宋" w:eastAsia="仿宋" w:cs="仿宋"/>
          <w:bCs/>
          <w:color w:val="auto"/>
          <w:sz w:val="24"/>
          <w:szCs w:val="21"/>
          <w:highlight w:val="none"/>
          <w:lang w:eastAsia="zh-CN"/>
        </w:rPr>
        <w:t xml:space="preserve">）</w:t>
      </w:r>
      <w:r>
        <w:rPr>
          <w:rFonts w:hint="eastAsia" w:ascii="仿宋" w:hAnsi="仿宋" w:eastAsia="仿宋" w:cs="仿宋"/>
          <w:bCs/>
          <w:color w:val="auto"/>
          <w:sz w:val="24"/>
          <w:szCs w:val="21"/>
          <w:highlight w:val="none"/>
        </w:rPr>
        <w:t xml:space="preserve">关于符合本国产品标准的声明函（如有，</w:t>
      </w:r>
      <w:r>
        <w:rPr>
          <w:rFonts w:hint="eastAsia" w:ascii="仿宋" w:hAnsi="仿宋" w:eastAsia="仿宋" w:cs="仿宋"/>
          <w:bCs/>
          <w:color w:val="auto"/>
          <w:sz w:val="24"/>
          <w:szCs w:val="21"/>
          <w:highlight w:val="none"/>
          <w:lang w:eastAsia="zh-CN"/>
        </w:rPr>
        <w:t xml:space="preserve">格式按照后附件</w:t>
      </w:r>
      <w:r>
        <w:rPr>
          <w:rFonts w:hint="eastAsia" w:ascii="仿宋" w:hAnsi="仿宋" w:eastAsia="仿宋" w:cs="仿宋"/>
          <w:bCs/>
          <w:color w:val="auto"/>
          <w:sz w:val="24"/>
          <w:szCs w:val="21"/>
          <w:highlight w:val="none"/>
        </w:rPr>
        <w:t xml:space="preserve">）</w:t>
      </w:r>
      <w:r>
        <w:rPr>
          <w:rFonts w:hint="eastAsia" w:ascii="仿宋" w:hAnsi="仿宋" w:eastAsia="仿宋" w:cs="仿宋"/>
          <w:bCs/>
          <w:color w:val="auto"/>
          <w:sz w:val="24"/>
          <w:szCs w:val="21"/>
          <w:highlight w:val="none"/>
          <w:lang w:eastAsia="zh-CN"/>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b/>
          <w:bCs/>
          <w:color w:val="auto"/>
          <w:sz w:val="24"/>
          <w:szCs w:val="21"/>
          <w:highlight w:val="none"/>
        </w:rPr>
        <w:t xml:space="preserve">附件：相关格式</w:t>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1.开标 一 览表</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投标人全称（加盖公章）：</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tbl>
      <w:tblPr>
        <w:tblStyle w:val="100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rHeight w:val="623"/>
        </w:trPr>
        <w:tc>
          <w:tcPr>
            <w:tcW w:w="4148"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投标货物、服务名称</w:t>
            </w:r>
            <w:r/>
          </w:p>
        </w:tc>
        <w:tc>
          <w:tcPr>
            <w:tcW w:w="4607" w:type="dxa"/>
            <w:vAlign w:val="center"/>
            <w:textDirection w:val="lrTb"/>
            <w:noWrap w:val="false"/>
          </w:tcPr>
          <w:p>
            <w:pPr>
              <w:jc w:val="center"/>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投标总报价</w:t>
            </w:r>
            <w:r/>
          </w:p>
        </w:tc>
      </w:tr>
      <w:tr>
        <w:trPr>
          <w:trHeight w:val="1091"/>
        </w:trPr>
        <w:tc>
          <w:tcPr>
            <w:tcW w:w="4148"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w:t>
            </w:r>
            <w:r/>
          </w:p>
          <w:p>
            <w:pPr>
              <w:rPr>
                <w:rFonts w:hint="eastAsia" w:ascii="仿宋" w:hAnsi="仿宋" w:eastAsia="仿宋" w:cs="仿宋"/>
                <w:color w:val="auto"/>
                <w:szCs w:val="22"/>
                <w:highlight w:val="none"/>
                <w:u w:val="single"/>
              </w:rPr>
            </w:pPr>
            <w:r>
              <w:rPr>
                <w:rFonts w:hint="eastAsia" w:ascii="仿宋" w:hAnsi="仿宋" w:eastAsia="仿宋" w:cs="仿宋"/>
                <w:color w:val="auto"/>
                <w:sz w:val="28"/>
                <w:szCs w:val="28"/>
                <w:highlight w:val="none"/>
              </w:rPr>
              <w:t xml:space="preserve">小写：元（人民币）</w:t>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1.开标一览表必须加盖投标单位公章（</w:t>
      </w:r>
      <w:r>
        <w:rPr>
          <w:rFonts w:hint="eastAsia" w:ascii="仿宋" w:hAnsi="仿宋" w:eastAsia="仿宋" w:cs="仿宋"/>
          <w:color w:val="auto"/>
          <w:sz w:val="28"/>
          <w:szCs w:val="28"/>
          <w:highlight w:val="none"/>
          <w:lang w:eastAsia="zh-CN"/>
        </w:rPr>
        <w:t xml:space="preserve">原件扫描件</w:t>
      </w:r>
      <w:r>
        <w:rPr>
          <w:rFonts w:hint="eastAsia" w:ascii="仿宋" w:hAnsi="仿宋" w:eastAsia="仿宋" w:cs="仿宋"/>
          <w:color w:val="auto"/>
          <w:sz w:val="28"/>
          <w:szCs w:val="28"/>
          <w:highlight w:val="none"/>
        </w:rPr>
        <w:t xml:space="preserve">无效）。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2.如有分包，投标人投任何一个包的标的，都需单独填写开标一览表。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3.投标报价小数点后可保留二位小数。</w:t>
      </w:r>
      <w:r/>
    </w:p>
    <w:p>
      <w:pPr>
        <w:jc w:val="center"/>
        <w:spacing w:line="360" w:lineRule="auto"/>
        <w:rPr>
          <w:rFonts w:hint="default" w:ascii="仿宋" w:hAnsi="仿宋" w:eastAsia="仿宋" w:cs="仿宋"/>
          <w:b/>
          <w:bCs/>
          <w:color w:val="auto"/>
          <w:sz w:val="28"/>
          <w:szCs w:val="28"/>
          <w:highlight w:val="none"/>
          <w:shd w:val="clear" w:color="auto" w:fill="00b0f0"/>
          <w:lang w:val="en-US" w:eastAsia="zh-CN"/>
        </w:rPr>
        <w:outlineLvl w:val="3"/>
      </w:pPr>
      <w:r>
        <w:rPr>
          <w:rFonts w:hint="eastAsia" w:ascii="仿宋" w:hAnsi="仿宋" w:eastAsia="仿宋" w:cs="仿宋"/>
          <w:b/>
          <w:color w:val="auto"/>
          <w:highlight w:val="none"/>
        </w:rPr>
        <w:br w:type="page" w:clear="all"/>
      </w: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投标分项报价表</w:t>
      </w:r>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p>
    <w:p>
      <w:pPr>
        <w:jc w:val="left"/>
        <w:spacing w:line="360" w:lineRule="auto"/>
        <w:rPr>
          <w:rFonts w:hint="eastAsia" w:ascii="仿宋" w:hAnsi="仿宋" w:eastAsia="仿宋" w:cs="仿宋"/>
          <w:b/>
          <w:bCs/>
          <w:color w:val="auto"/>
          <w:sz w:val="28"/>
          <w:szCs w:val="28"/>
          <w:highlight w:val="none"/>
          <w:shd w:val="clear" w:color="auto" w:fill="00b0f0"/>
          <w:lang w:val="zh-CN"/>
        </w:rPr>
        <w:outlineLvl w:val="4"/>
      </w:pPr>
      <w:r>
        <w:rPr>
          <w:rFonts w:hint="eastAsia" w:ascii="仿宋" w:hAnsi="仿宋" w:eastAsia="仿宋" w:cs="仿宋"/>
          <w:color w:val="auto"/>
          <w:sz w:val="24"/>
          <w:szCs w:val="24"/>
          <w:highlight w:val="none"/>
        </w:rPr>
        <w:t xml:space="preserve">项目编号：</w:t>
      </w:r>
      <w:r/>
    </w:p>
    <w:tbl>
      <w:tblPr>
        <w:tblStyle w:val="1009"/>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797"/>
        <w:gridCol w:w="1155"/>
        <w:gridCol w:w="1155"/>
        <w:gridCol w:w="1155"/>
        <w:gridCol w:w="1155"/>
        <w:gridCol w:w="1155"/>
        <w:gridCol w:w="1159"/>
      </w:tblGrid>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797"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设备名称</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品牌</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规格型号</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制造商</w:t>
            </w:r>
            <w:r/>
          </w:p>
        </w:tc>
        <w:tc>
          <w:tcPr>
            <w:tcW w:w="1155"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投标</w:t>
            </w:r>
            <w:r>
              <w:rPr>
                <w:rFonts w:hint="eastAsia" w:ascii="仿宋" w:hAnsi="仿宋" w:eastAsia="仿宋" w:cs="仿宋"/>
                <w:b/>
                <w:bCs/>
                <w:color w:val="auto"/>
                <w:sz w:val="24"/>
                <w:szCs w:val="24"/>
                <w:highlight w:val="none"/>
              </w:rPr>
              <w:t xml:space="preserve">单价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c>
          <w:tcPr>
            <w:tcW w:w="1159"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投标</w:t>
            </w:r>
            <w:r>
              <w:rPr>
                <w:rFonts w:hint="eastAsia" w:ascii="仿宋" w:hAnsi="仿宋" w:eastAsia="仿宋" w:cs="仿宋"/>
                <w:b/>
                <w:bCs/>
                <w:color w:val="auto"/>
                <w:sz w:val="24"/>
                <w:szCs w:val="24"/>
                <w:highlight w:val="none"/>
              </w:rPr>
              <w:t xml:space="preserve">合价</w:t>
            </w:r>
            <w:r/>
          </w:p>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（元）</w:t>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508" w:type="dxa"/>
            <w:vAlign w:val="center"/>
            <w:textDirection w:val="lrTb"/>
            <w:noWrap w:val="false"/>
          </w:tcPr>
          <w:p>
            <w:pPr>
              <w:jc w:val="center"/>
              <w:spacing w:before="120" w:after="120" w:line="3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1797" w:type="dxa"/>
            <w:vAlign w:val="center"/>
            <w:textDirection w:val="lrTb"/>
            <w:noWrap w:val="false"/>
          </w:tcPr>
          <w:p>
            <w:pPr>
              <w:jc w:val="left"/>
              <w:spacing w:before="120" w:after="120"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t>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jc w:val="center"/>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9" w:type="dxa"/>
            <w:vAlign w:val="center"/>
            <w:textDirection w:val="lrTb"/>
            <w:noWrap w:val="false"/>
          </w:tcPr>
          <w:p>
            <w:pPr>
              <w:ind w:firstLine="480"/>
              <w:jc w:val="left"/>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lang w:bidi="ar"/>
              </w:rPr>
              <w:t xml:space="preserve">合计投标总金额：大写：           小写：（¥）</w:t>
            </w:r>
            <w:r/>
          </w:p>
        </w:tc>
      </w:tr>
      <w:tr>
        <w:trPr>
          <w:trHeight w:val="900"/>
        </w:trPr>
        <w:tc>
          <w:tcPr>
            <w:gridSpan w:val="8"/>
            <w:tcW w:w="9239" w:type="dxa"/>
            <w:vAlign w:val="center"/>
            <w:textDirection w:val="lrTb"/>
            <w:noWrap w:val="false"/>
          </w:tcPr>
          <w:p>
            <w:pPr>
              <w:jc w:val="left"/>
              <w:spacing w:line="320" w:lineRule="exact"/>
              <w:rPr>
                <w:rFonts w:hint="eastAsia" w:ascii="仿宋" w:hAnsi="仿宋" w:eastAsia="仿宋" w:cs="仿宋"/>
                <w:bCs/>
                <w:color w:val="auto"/>
                <w:sz w:val="28"/>
                <w:szCs w:val="28"/>
                <w:highlight w:val="none"/>
                <w:lang w:bidi="ar"/>
              </w:rPr>
            </w:pPr>
            <w:r>
              <w:rPr>
                <w:rFonts w:hint="eastAsia" w:ascii="仿宋" w:hAnsi="仿宋" w:eastAsia="仿宋" w:cs="仿宋"/>
                <w:color w:val="auto"/>
                <w:sz w:val="22"/>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2"/>
                <w:highlight w:val="none"/>
                <w:u w:val="single"/>
              </w:rPr>
              <w:t xml:space="preserve">***</w:t>
            </w:r>
            <w:r>
              <w:rPr>
                <w:rFonts w:hint="eastAsia" w:ascii="仿宋" w:hAnsi="仿宋" w:eastAsia="仿宋" w:cs="仿宋"/>
                <w:color w:val="auto"/>
                <w:sz w:val="22"/>
                <w:highlight w:val="none"/>
              </w:rPr>
              <w:t xml:space="preserve">%。</w:t>
            </w:r>
            <w:r/>
          </w:p>
        </w:tc>
      </w:tr>
    </w:tbl>
    <w:p>
      <w:pPr>
        <w:jc w:val="left"/>
        <w:spacing w:line="360" w:lineRule="auto"/>
        <w:rPr>
          <w:rFonts w:hint="eastAsia" w:ascii="仿宋" w:hAnsi="仿宋" w:eastAsia="仿宋" w:cs="仿宋"/>
          <w:b/>
          <w:color w:val="auto"/>
          <w:sz w:val="24"/>
          <w:highlight w:val="none"/>
          <w:lang w:val="zh-CN"/>
        </w:rPr>
        <w:outlineLvl w:val="4"/>
      </w:pPr>
      <w:r>
        <w:rPr>
          <w:rFonts w:hint="eastAsia" w:ascii="仿宋" w:hAnsi="仿宋" w:eastAsia="仿宋" w:cs="仿宋"/>
          <w:b/>
          <w:color w:val="auto"/>
          <w:sz w:val="24"/>
          <w:highlight w:val="none"/>
          <w:lang w:val="zh-CN"/>
        </w:rPr>
      </w:r>
      <w:r/>
    </w:p>
    <w:p>
      <w:pPr>
        <w:spacing w:line="440" w:lineRule="exact"/>
        <w:shd w:val="clear" w:color="auto"/>
        <w:rPr>
          <w:rFonts w:hint="eastAsia" w:ascii="仿宋" w:hAnsi="仿宋" w:eastAsia="仿宋" w:cs="仿宋"/>
          <w:b/>
          <w:color w:val="auto"/>
          <w:sz w:val="24"/>
          <w:highlight w:val="none"/>
          <w:lang w:val="zh-CN"/>
        </w:rPr>
        <w:outlineLvl w:val="0"/>
      </w:pPr>
      <w:r>
        <w:rPr>
          <w:rFonts w:hint="eastAsia" w:ascii="仿宋" w:hAnsi="仿宋" w:eastAsia="仿宋" w:cs="仿宋"/>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仿宋" w:hAnsi="仿宋" w:eastAsia="仿宋" w:cs="仿宋"/>
          <w:b/>
          <w:color w:val="auto"/>
          <w:sz w:val="24"/>
          <w:highlight w:val="none"/>
        </w:rPr>
        <w:t xml:space="preserve">开标一览表</w:t>
      </w:r>
      <w:r>
        <w:rPr>
          <w:rFonts w:hint="eastAsia" w:ascii="仿宋" w:hAnsi="仿宋" w:eastAsia="仿宋" w:cs="仿宋"/>
          <w:b/>
          <w:color w:val="auto"/>
          <w:sz w:val="24"/>
          <w:highlight w:val="none"/>
          <w:lang w:val="zh-CN"/>
        </w:rPr>
        <w:t xml:space="preserve">报价合计相等。请各供应商务必按照以上要求填报，否则作为无效响应处理。</w:t>
      </w:r>
      <w:r/>
    </w:p>
    <w:p>
      <w:pPr>
        <w:numPr>
          <w:ilvl w:val="0"/>
          <w:numId w:val="3"/>
        </w:numPr>
        <w:spacing w:line="440" w:lineRule="exact"/>
        <w:shd w:val="clear" w:color="auto"/>
        <w:rPr>
          <w:rFonts w:hint="eastAsia" w:ascii="仿宋" w:hAnsi="仿宋" w:eastAsia="仿宋" w:cs="仿宋"/>
          <w:color w:val="auto"/>
          <w:highlight w:val="none"/>
        </w:rPr>
        <w:outlineLvl w:val="0"/>
      </w:pPr>
      <w:r>
        <w:rPr>
          <w:rFonts w:hint="eastAsia" w:ascii="仿宋" w:hAnsi="仿宋" w:eastAsia="仿宋" w:cs="仿宋"/>
          <w:b/>
          <w:color w:val="auto"/>
          <w:sz w:val="24"/>
          <w:highlight w:val="none"/>
        </w:rPr>
        <w:t xml:space="preserve">供应商须详细备注主要标的信息，并</w:t>
      </w:r>
      <w:r>
        <w:rPr>
          <w:rFonts w:hint="eastAsia" w:ascii="仿宋" w:hAnsi="仿宋" w:eastAsia="仿宋" w:cs="仿宋"/>
          <w:b/>
          <w:color w:val="auto"/>
          <w:sz w:val="24"/>
          <w:highlight w:val="none"/>
          <w:lang w:val="zh-CN"/>
        </w:rPr>
        <w:t xml:space="preserve">将随成交公告进行公示。内容不实的，属于提供虚假材料谋取中标、成交，依照《中华人民共和</w:t>
      </w:r>
      <w:r>
        <w:rPr>
          <w:rFonts w:hint="eastAsia" w:ascii="仿宋" w:hAnsi="仿宋" w:eastAsia="仿宋" w:cs="仿宋"/>
          <w:b/>
          <w:color w:val="auto"/>
          <w:sz w:val="24"/>
          <w:highlight w:val="none"/>
        </w:rPr>
        <w:t xml:space="preserve">国政府采购法》等国家有关规定追究相应责</w:t>
      </w:r>
      <w:r>
        <w:rPr>
          <w:rFonts w:hint="eastAsia" w:ascii="仿宋" w:hAnsi="仿宋" w:eastAsia="仿宋" w:cs="仿宋"/>
          <w:b/>
          <w:color w:val="auto"/>
          <w:sz w:val="24"/>
          <w:highlight w:val="none"/>
          <w:lang w:val="zh-CN"/>
        </w:rPr>
        <w:t xml:space="preserve">任。</w:t>
      </w:r>
      <w:r/>
    </w:p>
    <w:p>
      <w:pPr>
        <w:spacing w:line="440" w:lineRule="exact"/>
        <w:shd w:val="clear" w:color="auto"/>
        <w:rPr>
          <w:rFonts w:hint="eastAsia" w:ascii="仿宋" w:hAnsi="仿宋" w:eastAsia="仿宋" w:cs="仿宋"/>
          <w:b/>
          <w:color w:val="auto"/>
          <w:sz w:val="24"/>
          <w:highlight w:val="none"/>
        </w:rPr>
        <w:outlineLvl w:val="0"/>
      </w:pPr>
      <w:r>
        <w:rPr>
          <w:rFonts w:hint="eastAsia" w:ascii="仿宋" w:hAnsi="仿宋" w:eastAsia="仿宋" w:cs="仿宋"/>
          <w:b/>
          <w:color w:val="auto"/>
          <w:sz w:val="24"/>
          <w:highlight w:val="none"/>
          <w:lang w:val="en-US" w:eastAsia="zh-CN"/>
        </w:rPr>
        <w:t xml:space="preserve">3</w:t>
      </w:r>
      <w:r>
        <w:rPr>
          <w:rFonts w:hint="eastAsia" w:ascii="仿宋" w:hAnsi="仿宋" w:eastAsia="仿宋" w:cs="仿宋"/>
          <w:b/>
          <w:color w:val="auto"/>
          <w:sz w:val="24"/>
          <w:highlight w:val="none"/>
        </w:rPr>
        <w:t xml:space="preserve">.上述价格已经包括但不限于关税、增值税、运输费、保险费等。</w:t>
      </w:r>
      <w:r/>
    </w:p>
    <w:p>
      <w:pPr>
        <w:spacing w:line="440" w:lineRule="exact"/>
        <w:shd w:val="clear" w:color="auto"/>
        <w:rPr>
          <w:rFonts w:hint="eastAsia" w:ascii="仿宋" w:hAnsi="仿宋" w:eastAsia="仿宋" w:cs="仿宋"/>
          <w:b/>
          <w:color w:val="auto"/>
          <w:sz w:val="24"/>
          <w:highlight w:val="none"/>
          <w:lang w:val="zh-CN"/>
        </w:rPr>
        <w:outlineLvl w:val="0"/>
      </w:pPr>
      <w:r>
        <w:rPr>
          <w:rFonts w:hint="eastAsia" w:ascii="仿宋" w:hAnsi="仿宋" w:eastAsia="仿宋" w:cs="仿宋"/>
          <w:b/>
          <w:color w:val="auto"/>
          <w:sz w:val="24"/>
          <w:highlight w:val="none"/>
          <w:lang w:val="en-US" w:eastAsia="zh-CN"/>
        </w:rPr>
        <w:t xml:space="preserve">4</w:t>
      </w:r>
      <w:r>
        <w:rPr>
          <w:rFonts w:hint="eastAsia" w:ascii="仿宋" w:hAnsi="仿宋" w:eastAsia="仿宋" w:cs="仿宋"/>
          <w:b/>
          <w:color w:val="auto"/>
          <w:sz w:val="24"/>
          <w:highlight w:val="none"/>
        </w:rPr>
        <w:t xml:space="preserve">.投标产品中涉及的进口部件，须在上表备注中写明进口部件的内容及涉及的进口税费金额。</w:t>
      </w:r>
      <w:r/>
    </w:p>
    <w:p>
      <w:pPr>
        <w:jc w:val="both"/>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5</w:t>
      </w:r>
      <w:r>
        <w:rPr>
          <w:rFonts w:hint="eastAsia" w:ascii="仿宋" w:hAnsi="仿宋" w:eastAsia="仿宋" w:cs="仿宋"/>
          <w:b/>
          <w:color w:val="auto"/>
          <w:sz w:val="24"/>
          <w:highlight w:val="none"/>
        </w:rPr>
        <w:t xml:space="preserve">.请按照本次提供的本项目中招标文件第三章  项目需求内容要求进行报价，若出现漏项或不报价格的视为无效报价。</w:t>
      </w:r>
      <w:r/>
    </w:p>
    <w:p>
      <w:pPr>
        <w:jc w:val="left"/>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投标人（加盖CA电子签章）： </w:t>
      </w:r>
      <w:r/>
    </w:p>
    <w:p>
      <w:pPr>
        <w:jc w:val="left"/>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法定代表人或被授权人（签字或加盖CA电子签章）：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注：①如果按单价计算的结果与总价不一致，以单价为准，修正总价。</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②如果不提供详细分项报价将视为未实质性响应招标文件。</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Cs/>
          <w:color w:val="auto"/>
          <w:sz w:val="24"/>
          <w:szCs w:val="24"/>
          <w:highlight w:val="none"/>
        </w:rPr>
        <w:br w:type="page" w:clear="all"/>
      </w:r>
      <w:r/>
    </w:p>
    <w:p>
      <w:pPr>
        <w:jc w:val="center"/>
        <w:spacing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3.关于符合本国产品标准的声明函</w:t>
      </w:r>
      <w:r/>
    </w:p>
    <w:p>
      <w:pPr>
        <w:ind w:left="0" w:right="0" w:firstLine="42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420"/>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0"/>
          <w:highlight w:val="none"/>
          <w:vertAlign w:val="superscript"/>
        </w:rPr>
        <w:t xml:space="preserve">1</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0"/>
          <w:highlight w:val="none"/>
          <w:vertAlign w:val="superscript"/>
        </w:rPr>
        <w:t xml:space="preserve">2</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（产品名称1） </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0"/>
          <w:highlight w:val="none"/>
          <w:vertAlign w:val="superscript"/>
        </w:rPr>
        <w:t xml:space="preserve">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0"/>
          <w:highlight w:val="none"/>
          <w:vertAlign w:val="superscript"/>
        </w:rPr>
        <w:t xml:space="preserve">4</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0"/>
          <w:highlight w:val="none"/>
          <w:vertAlign w:val="superscript"/>
        </w:rPr>
        <w:t xml:space="preserve">5</w:t>
      </w:r>
      <w:r>
        <w:rPr>
          <w:rFonts w:hint="eastAsia" w:ascii="仿宋" w:hAnsi="仿宋" w:eastAsia="仿宋" w:cs="仿宋"/>
          <w:color w:val="auto"/>
          <w:sz w:val="24"/>
          <w:highlight w:val="none"/>
        </w:rPr>
        <w:t xml:space="preserve">在中国境内完成。</w:t>
      </w:r>
      <w:r/>
    </w:p>
    <w:p>
      <w:pPr>
        <w:ind w:left="0" w:right="0"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，生产厂为</w:t>
      </w:r>
      <w:r>
        <w:rPr>
          <w:rFonts w:hint="eastAsia" w:ascii="仿宋" w:hAnsi="仿宋" w:eastAsia="仿宋" w:cs="仿宋"/>
          <w:color w:val="auto"/>
          <w:sz w:val="24"/>
          <w:highlight w:val="none"/>
          <w:u w:val="single"/>
        </w:rPr>
        <w:t xml:space="preserve">（厂名）</w:t>
      </w:r>
      <w:r>
        <w:rPr>
          <w:rFonts w:hint="eastAsia" w:ascii="仿宋" w:hAnsi="仿宋" w:eastAsia="仿宋" w:cs="仿宋"/>
          <w:color w:val="auto"/>
          <w:sz w:val="24"/>
          <w:highlight w:val="none"/>
        </w:rPr>
        <w:t xml:space="preserve">，厂址为</w:t>
      </w:r>
      <w:r>
        <w:rPr>
          <w:rFonts w:hint="eastAsia" w:ascii="仿宋" w:hAnsi="仿宋" w:eastAsia="仿宋" w:cs="仿宋"/>
          <w:color w:val="auto"/>
          <w:sz w:val="24"/>
          <w:highlight w:val="none"/>
          <w:u w:val="single"/>
        </w:rPr>
        <w:t xml:space="preserve">（生产厂址）</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的中国境内生产的组件成本占比≥</w:t>
      </w:r>
      <w:r>
        <w:rPr>
          <w:rFonts w:hint="eastAsia" w:ascii="仿宋" w:hAnsi="仿宋" w:eastAsia="仿宋" w:cs="仿宋"/>
          <w:color w:val="auto"/>
          <w:sz w:val="24"/>
          <w:highlight w:val="none"/>
          <w:u w:val="single"/>
        </w:rPr>
        <w:t xml:space="preserve">（规定比例）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（产品名称2）</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（关键组件）</w:t>
      </w:r>
      <w:r>
        <w:rPr>
          <w:rFonts w:hint="eastAsia" w:ascii="仿宋" w:hAnsi="仿宋" w:eastAsia="仿宋" w:cs="仿宋"/>
          <w:color w:val="auto"/>
          <w:sz w:val="24"/>
          <w:highlight w:val="none"/>
        </w:rPr>
        <w:t xml:space="preserve">在中国境内生产。</w:t>
      </w:r>
      <w:r>
        <w:rPr>
          <w:rFonts w:hint="eastAsia" w:ascii="仿宋" w:hAnsi="仿宋" w:eastAsia="仿宋" w:cs="仿宋"/>
          <w:color w:val="auto"/>
          <w:sz w:val="24"/>
          <w:highlight w:val="none"/>
          <w:u w:val="single"/>
        </w:rPr>
        <w:t xml:space="preserve">（产品名称1）</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（关键工序）</w:t>
      </w:r>
      <w:r>
        <w:rPr>
          <w:rFonts w:hint="eastAsia" w:ascii="仿宋" w:hAnsi="仿宋" w:eastAsia="仿宋" w:cs="仿宋"/>
          <w:color w:val="auto"/>
          <w:sz w:val="24"/>
          <w:highlight w:val="none"/>
        </w:rPr>
        <w:t xml:space="preserve">在中国境内完成。</w:t>
      </w:r>
      <w:r/>
    </w:p>
    <w:p>
      <w:pPr>
        <w:ind w:left="0" w:right="0"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ind w:left="0" w:right="0" w:firstLine="4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本公司（单位）对上述声明内容的真实性负责。如有虚假，愿承担相应法律责任。</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480" w:firstLine="372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公司（单位）名称（盖章）：　</w:t>
      </w:r>
      <w:r/>
    </w:p>
    <w:p>
      <w:pPr>
        <w:ind w:left="0" w:right="0" w:firstLine="0"/>
        <w:jc w:val="center"/>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日期：　   年　  月　  日         </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__________________</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1.产品如有型号，请在“产品名称”栏一并填写。</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2.生产厂名与厂址应与生产厂营业执照载明的相关信息保持一致。</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3.该产品的中国境内生产的组件成本占比相关要求实施前，“规定比例”栏可不填，下同。</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4.该产品的关键组件要求实施前，“关键组件”栏可不填，下同。</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5.该产品的关键工序要求实施前，“关键工序”栏可不填，下同。</w:t>
      </w:r>
      <w:r/>
    </w:p>
    <w:p>
      <w:pPr>
        <w:ind w:left="0" w:right="0" w:firstLine="0"/>
        <w:spacing w:before="30" w:after="3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6.用斜线划除的地方无需填写。</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736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32"/>
          <w:szCs w:val="32"/>
          <w:highlight w:val="none"/>
        </w:rPr>
        <w:br w:type="page" w:clear="all"/>
      </w:r>
      <w:r/>
    </w:p>
    <w:p>
      <w:pPr>
        <w:ind w:firstLine="5520"/>
        <w:rPr>
          <w:rFonts w:hint="eastAsia" w:ascii="仿宋" w:hAnsi="仿宋" w:eastAsia="仿宋" w:cs="仿宋"/>
          <w:bCs/>
          <w:color w:val="auto"/>
          <w:sz w:val="24"/>
          <w:szCs w:val="24"/>
          <w:highlight w:val="none"/>
          <w:lang w:val="en-US" w:eastAsia="zh-CN"/>
        </w:rPr>
        <w:sectPr>
          <w:footnotePr/>
          <w:endnotePr/>
          <w:type w:val="nextPage"/>
          <w:pgSz w:w="11906" w:h="16838" w:orient="portrait"/>
          <w:pgMar w:top="1080" w:right="1440" w:bottom="1080" w:left="1440" w:header="851" w:footer="624" w:gutter="0"/>
          <w:cols w:num="1" w:sep="0" w:space="720" w:equalWidth="1"/>
          <w:docGrid w:linePitch="360"/>
        </w:sectPr>
      </w:pPr>
      <w:r>
        <w:rPr>
          <w:rFonts w:hint="eastAsia" w:ascii="仿宋" w:hAnsi="仿宋" w:eastAsia="仿宋" w:cs="仿宋"/>
          <w:bCs/>
          <w:color w:val="auto"/>
          <w:sz w:val="24"/>
          <w:szCs w:val="24"/>
          <w:highlight w:val="none"/>
          <w:lang w:val="en-US" w:eastAsia="zh-CN"/>
        </w:rPr>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供应商信用承诺书</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三、严格遵守即时信息公示规定，及时更新公共资源交易中心主体信息库中信息；</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六、自觉接受政府部门、行业组织、社会公众、新闻舆论等监督；</w:t>
      </w:r>
      <w:r/>
    </w:p>
    <w:p>
      <w:pPr>
        <w:ind w:firstLine="480"/>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七、上述承诺已向本单位员工作了宣传教育；</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lang w:val="zh-CN"/>
        </w:rPr>
        <w:t xml:space="preserve">如有违反上述承诺的不良行为，本单位同意将其予以上网公示。</w:t>
      </w:r>
      <w:r/>
    </w:p>
    <w:p>
      <w:pP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r>
      <w:r/>
    </w:p>
    <w:p>
      <w:pPr>
        <w:jc w:val="cente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88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.供应商情况表</w:t>
      </w:r>
      <w:r/>
    </w:p>
    <w:tbl>
      <w:tblPr>
        <w:tblStyle w:val="100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公司具备的相关资质等级及相应的证书号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（请附有关证书的</w:t>
            </w:r>
            <w:r>
              <w:rPr>
                <w:rFonts w:hint="eastAsia" w:ascii="仿宋" w:hAnsi="仿宋" w:eastAsia="仿宋" w:cs="仿宋"/>
                <w:color w:val="auto"/>
                <w:sz w:val="24"/>
                <w:szCs w:val="24"/>
                <w:highlight w:val="none"/>
                <w:lang w:eastAsia="zh-CN"/>
              </w:rPr>
              <w:t xml:space="preserve">原件扫描件</w:t>
            </w:r>
            <w:r>
              <w:rPr>
                <w:rFonts w:hint="eastAsia" w:ascii="仿宋" w:hAnsi="仿宋" w:eastAsia="仿宋" w:cs="仿宋"/>
                <w:color w:val="auto"/>
                <w:sz w:val="24"/>
                <w:szCs w:val="24"/>
                <w:highlight w:val="non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w:t>
            </w:r>
            <w:r>
              <w:rPr>
                <w:rFonts w:hint="eastAsia" w:ascii="仿宋" w:hAnsi="仿宋" w:eastAsia="仿宋" w:cs="仿宋"/>
                <w:color w:val="auto"/>
                <w:sz w:val="24"/>
                <w:szCs w:val="24"/>
                <w:highlight w:val="none"/>
                <w:u w:val="single"/>
              </w:rPr>
              <w:t xml:space="preserve">   （是否通过，何种）   </w:t>
            </w:r>
            <w:r>
              <w:rPr>
                <w:rFonts w:hint="eastAsia" w:ascii="仿宋" w:hAnsi="仿宋" w:eastAsia="仿宋" w:cs="仿宋"/>
                <w:color w:val="auto"/>
                <w:sz w:val="24"/>
                <w:szCs w:val="24"/>
                <w:highlight w:val="none"/>
              </w:rPr>
              <w:t xml:space="preserve">质量保证体系认证（如通过请附相关在有效期内的证书</w:t>
            </w:r>
            <w:r>
              <w:rPr>
                <w:rFonts w:hint="eastAsia" w:ascii="仿宋" w:hAnsi="仿宋" w:eastAsia="仿宋" w:cs="仿宋"/>
                <w:color w:val="auto"/>
                <w:sz w:val="24"/>
                <w:szCs w:val="24"/>
                <w:highlight w:val="none"/>
                <w:lang w:eastAsia="zh-CN"/>
              </w:rPr>
              <w:t xml:space="preserve">原件扫描件</w:t>
            </w:r>
            <w:r>
              <w:rPr>
                <w:rFonts w:hint="eastAsia" w:ascii="仿宋" w:hAnsi="仿宋" w:eastAsia="仿宋" w:cs="仿宋"/>
                <w:color w:val="auto"/>
                <w:sz w:val="24"/>
                <w:szCs w:val="24"/>
                <w:highlight w:val="non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营业执照载明：</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投标人（加盖CA电子签章）： </w:t>
      </w:r>
      <w:r/>
    </w:p>
    <w:p>
      <w:pPr>
        <w:jc w:val="right"/>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法定代表人或被授权人（签字或加盖CA电子签章）： </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.投标人符合《政府采购法》第二十二条规定条件的声明函</w:t>
      </w:r>
      <w:r/>
    </w:p>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ind w:firstLine="480"/>
        <w:spacing w:line="360" w:lineRule="auto"/>
        <w:rPr>
          <w:rFonts w:hint="eastAsia" w:ascii="仿宋" w:hAnsi="仿宋" w:eastAsia="仿宋" w:cs="仿宋"/>
          <w:b/>
          <w:bCs/>
          <w:color w:val="auto"/>
          <w:sz w:val="24"/>
          <w:szCs w:val="21"/>
          <w:highlight w:val="none"/>
        </w:rPr>
      </w:pPr>
      <w:r>
        <w:rPr>
          <w:rFonts w:hint="eastAsia" w:ascii="仿宋" w:hAnsi="仿宋" w:eastAsia="仿宋" w:cs="仿宋"/>
          <w:bCs/>
          <w:color w:val="auto"/>
          <w:sz w:val="24"/>
          <w:szCs w:val="21"/>
          <w:highlight w:val="none"/>
        </w:rPr>
        <w:t xml:space="preserve">我单位参加</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（项目名称），</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2.我单位具有良好的商业信誉和健全的财务会计制度；</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3.我单位具有履行合同所必需的设备和专业技术能力；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4.我单位有依法缴纳税收和社会保障资金的良好记录；</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6.我单位满足法律、行政法规规定的其他条件。</w:t>
      </w:r>
      <w:r/>
    </w:p>
    <w:p>
      <w:pPr>
        <w:pStyle w:val="1026"/>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1026"/>
        <w:ind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color w:val="auto"/>
          <w:sz w:val="24"/>
          <w:szCs w:val="21"/>
          <w:highlight w:val="none"/>
        </w:rPr>
        <w:br w:type="page" w:clear="all"/>
      </w: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.法定代表人身份证明</w:t>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（法定代表人参加投标时，须出示此证明）</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先生/女士： 现任我单位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职务，为法定代表人，特此证明。</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附：法定代表人情况：</w:t>
      </w:r>
      <w:r/>
    </w:p>
    <w:p>
      <w:pPr>
        <w:ind w:firstLine="480"/>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性别：</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年龄：</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身份证号码：</w:t>
      </w:r>
      <w:r>
        <w:rPr>
          <w:rFonts w:hint="eastAsia" w:ascii="仿宋" w:hAnsi="仿宋" w:eastAsia="仿宋" w:cs="仿宋"/>
          <w:color w:val="auto"/>
          <w:sz w:val="24"/>
          <w:szCs w:val="21"/>
          <w:highlight w:val="none"/>
          <w:u w:val="single"/>
        </w:rPr>
        <w:t xml:space="preserve">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手机：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传真：</w:t>
      </w:r>
      <w:r>
        <w:rPr>
          <w:rFonts w:hint="eastAsia" w:ascii="仿宋" w:hAnsi="仿宋" w:eastAsia="仿宋" w:cs="仿宋"/>
          <w:color w:val="auto"/>
          <w:sz w:val="24"/>
          <w:szCs w:val="21"/>
          <w:highlight w:val="none"/>
          <w:u w:val="single"/>
        </w:rPr>
        <w:t xml:space="preserve">                       </w:t>
      </w:r>
      <w:r/>
    </w:p>
    <w:p>
      <w:pPr>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 注：提供法定代表人的身份证</w:t>
      </w:r>
      <w:r>
        <w:rPr>
          <w:rFonts w:hint="eastAsia" w:ascii="仿宋" w:hAnsi="仿宋" w:eastAsia="仿宋" w:cs="仿宋"/>
          <w:b/>
          <w:bCs/>
          <w:color w:val="auto"/>
          <w:sz w:val="24"/>
          <w:szCs w:val="21"/>
          <w:highlight w:val="none"/>
          <w:lang w:eastAsia="zh-CN"/>
        </w:rPr>
        <w:t xml:space="preserve">原件扫描件</w:t>
      </w:r>
      <w:r>
        <w:rPr>
          <w:rFonts w:hint="eastAsia" w:ascii="仿宋" w:hAnsi="仿宋" w:eastAsia="仿宋" w:cs="仿宋"/>
          <w:b/>
          <w:bCs/>
          <w:color w:val="auto"/>
          <w:sz w:val="24"/>
          <w:szCs w:val="21"/>
          <w:highlight w:val="none"/>
        </w:rPr>
        <w:t xml:space="preserve">盖公章</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投标人（加盖CA电子签章）：</w:t>
      </w:r>
      <w:r/>
    </w:p>
    <w:p>
      <w:pPr>
        <w:ind w:firstLine="2920"/>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szCs w:val="21"/>
          <w:highlight w:val="none"/>
        </w:rPr>
        <w:t xml:space="preserve">法定代表人（签字或加盖CA电子签章）</w:t>
      </w:r>
      <w:r/>
    </w:p>
    <w:p>
      <w:pPr>
        <w:ind w:firstLine="292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72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4"/>
          <w:szCs w:val="21"/>
          <w:highlight w:val="none"/>
        </w:rPr>
        <w:br w:type="page" w:clear="all"/>
      </w:r>
      <w:r>
        <w:rPr>
          <w:rFonts w:hint="eastAsia" w:ascii="仿宋" w:hAnsi="仿宋" w:eastAsia="仿宋" w:cs="仿宋"/>
          <w:b/>
          <w:bCs/>
          <w:color w:val="auto"/>
          <w:sz w:val="28"/>
          <w:szCs w:val="28"/>
          <w:highlight w:val="none"/>
          <w:lang w:val="en-US" w:eastAsia="zh-CN"/>
        </w:rPr>
        <w:t xml:space="preserve">8</w:t>
      </w:r>
      <w:r>
        <w:rPr>
          <w:rFonts w:hint="eastAsia" w:ascii="仿宋" w:hAnsi="仿宋" w:eastAsia="仿宋" w:cs="仿宋"/>
          <w:b/>
          <w:bCs/>
          <w:color w:val="auto"/>
          <w:sz w:val="28"/>
          <w:szCs w:val="28"/>
          <w:highlight w:val="none"/>
        </w:rPr>
        <w:t xml:space="preserve">.授权委托书</w:t>
      </w:r>
      <w:r/>
    </w:p>
    <w:p>
      <w:pPr>
        <w:jc w:val="cente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t xml:space="preserve">（被授权人参加投标时，须出示此证明）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（授权单位名称）的法定代表人，现委托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（姓名）（身份证号：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）为我方代理人，以我方名义全权处理与本次采购项目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）有关的一切事务，其法律后果由我方承担。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本授权书于2026年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日起生效。代理人无转委托权。</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代理人(被授权人)：</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授权单位名称（加盖CA电子签章）：</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授权单位法定代表人（签字或加盖CA电子签章）：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bidi="ar"/>
        </w:rPr>
        <w:t xml:space="preserve">时间：</w:t>
      </w:r>
      <w:r>
        <w:rPr>
          <w:rFonts w:hint="eastAsia" w:ascii="仿宋" w:hAnsi="仿宋" w:eastAsia="仿宋" w:cs="仿宋"/>
          <w:color w:val="auto"/>
          <w:sz w:val="24"/>
          <w:highlight w:val="none"/>
          <w:lang w:bidi="ar"/>
        </w:rPr>
        <w:t xml:space="preserve">2026年</w:t>
      </w:r>
      <w:r>
        <w:rPr>
          <w:rFonts w:hint="eastAsia" w:ascii="仿宋" w:hAnsi="仿宋" w:eastAsia="仿宋" w:cs="仿宋"/>
          <w:color w:val="auto"/>
          <w:sz w:val="24"/>
          <w:highlight w:val="none"/>
          <w:lang w:val="zh-CN" w:bidi="ar"/>
        </w:rPr>
        <w:t xml:space="preserve">  月   日</w:t>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contextualSpacing/>
        <w:ind w:firstLine="463"/>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注：法定代表人本人身份证</w:t>
      </w:r>
      <w:r>
        <w:rPr>
          <w:rFonts w:hint="eastAsia" w:ascii="仿宋" w:hAnsi="仿宋" w:eastAsia="仿宋" w:cs="仿宋"/>
          <w:b/>
          <w:color w:val="auto"/>
          <w:sz w:val="24"/>
          <w:highlight w:val="none"/>
          <w:lang w:eastAsia="zh-CN"/>
        </w:rPr>
        <w:t xml:space="preserve">原件扫描件</w:t>
      </w:r>
      <w:r>
        <w:rPr>
          <w:rFonts w:hint="eastAsia" w:ascii="仿宋" w:hAnsi="仿宋" w:eastAsia="仿宋" w:cs="仿宋"/>
          <w:b/>
          <w:color w:val="auto"/>
          <w:sz w:val="24"/>
          <w:highlight w:val="none"/>
        </w:rPr>
        <w:t xml:space="preserve">及被授权人本人身份证</w:t>
      </w:r>
      <w:r>
        <w:rPr>
          <w:rFonts w:hint="eastAsia" w:ascii="仿宋" w:hAnsi="仿宋" w:eastAsia="仿宋" w:cs="仿宋"/>
          <w:b/>
          <w:color w:val="auto"/>
          <w:sz w:val="24"/>
          <w:highlight w:val="none"/>
          <w:lang w:eastAsia="zh-CN"/>
        </w:rPr>
        <w:t xml:space="preserve">原件扫描件</w:t>
      </w:r>
      <w:r>
        <w:rPr>
          <w:rFonts w:hint="eastAsia" w:ascii="仿宋" w:hAnsi="仿宋" w:eastAsia="仿宋" w:cs="仿宋"/>
          <w:b/>
          <w:color w:val="auto"/>
          <w:sz w:val="24"/>
          <w:highlight w:val="none"/>
        </w:rPr>
        <w:t xml:space="preserve">盖公章</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.声 明</w:t>
      </w:r>
      <w:r/>
    </w:p>
    <w:p>
      <w:pPr>
        <w:ind w:firstLine="42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（采购人）：</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我单位不存在以下情况：</w:t>
      </w:r>
      <w:r/>
    </w:p>
    <w:p>
      <w:pPr>
        <w:ind w:firstLine="42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1.单位负责人为同一人或者存在直接控股、管理关系的不同供应商，同时参加同一合同项下的政府采购活动。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2.为采购项目提供整体设计、规范编制或者项目管理、监理、检测等服务的供应商，再参加该采购项目的其他采购活动。</w:t>
      </w:r>
      <w:r/>
    </w:p>
    <w:p>
      <w:pPr>
        <w:ind w:left="18" w:right="1" w:firstLine="42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316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br w:type="page" w:clear="all"/>
      </w:r>
      <w:r/>
    </w:p>
    <w:p>
      <w:pPr>
        <w:ind w:firstLine="3092"/>
        <w:jc w:val="lef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10</w:t>
      </w:r>
      <w:r>
        <w:rPr>
          <w:rFonts w:hint="eastAsia" w:ascii="仿宋" w:hAnsi="仿宋" w:eastAsia="仿宋" w:cs="仿宋"/>
          <w:b/>
          <w:bCs/>
          <w:color w:val="auto"/>
          <w:sz w:val="28"/>
          <w:szCs w:val="28"/>
          <w:highlight w:val="none"/>
        </w:rPr>
        <w:t xml:space="preserve">.投标声明函</w:t>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rPr>
          <w:rFonts w:hint="eastAsia" w:ascii="仿宋" w:hAnsi="仿宋" w:eastAsia="仿宋" w:cs="仿宋"/>
          <w:color w:val="auto"/>
          <w:sz w:val="24"/>
          <w:szCs w:val="21"/>
          <w:highlight w:val="none"/>
          <w:u w:val="single"/>
          <w:shd w:val="clear" w:color="auto" w:fill="ffffff"/>
        </w:rPr>
        <w:t xml:space="preserve">           </w:t>
      </w:r>
      <w:r>
        <w:rPr>
          <w:rFonts w:hint="eastAsia" w:ascii="仿宋" w:hAnsi="仿宋" w:eastAsia="仿宋" w:cs="仿宋"/>
          <w:color w:val="auto"/>
          <w:sz w:val="24"/>
          <w:szCs w:val="21"/>
          <w:highlight w:val="none"/>
          <w:shd w:val="clear" w:color="auto" w:fill="ffffff"/>
        </w:rPr>
        <w:t xml:space="preserve">（采购人）</w:t>
      </w:r>
      <w:r>
        <w:rPr>
          <w:rFonts w:hint="eastAsia" w:ascii="仿宋" w:hAnsi="仿宋" w:eastAsia="仿宋" w:cs="仿宋"/>
          <w:color w:val="auto"/>
          <w:sz w:val="24"/>
          <w:szCs w:val="21"/>
          <w:highlight w:val="none"/>
        </w:rPr>
        <w:t xml:space="preserve">：</w:t>
      </w:r>
      <w:bookmarkStart w:id="18" w:name="_Toc396833717"/>
      <w:r/>
      <w:r/>
    </w:p>
    <w:p>
      <w:pPr>
        <w:numPr>
          <w:ilvl w:val="1"/>
          <w:numId w:val="0"/>
        </w:num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1.我方承诺信用记录中未</w:t>
      </w:r>
      <w:r>
        <w:rPr>
          <w:rFonts w:hint="eastAsia" w:ascii="仿宋" w:hAnsi="仿宋" w:eastAsia="仿宋" w:cs="仿宋"/>
          <w:color w:val="auto"/>
          <w:sz w:val="24"/>
          <w:szCs w:val="24"/>
          <w:highlight w:val="none"/>
        </w:rPr>
        <w:t xml:space="preserve">被“信用中国”网站(</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\o "http://www.creditchina.gov.cn"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)、中华人民共和国最高人民法院网站（</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"http://www.court.gov.cn/" \o "http://www.court.gov.cn/"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http：//www.court.gov.cn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）等渠道列入信用记录失信被执行人，未被中国政府采购网(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\o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"http://hd.chinatax.gov.cn/xxk/" \o "http://hd.chinatax.gov.cn/xxk/"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http：//hd.chinatax.gov.cn/xxk</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）等渠道列入重大税收违法案件当事人名单，未被国家企业信用信息公示系统（</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"http://www.gsxt.gov.cn" \o "http://www.gsxt.gov.cn"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http：//www.gsxt.gov.cn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）等渠道列入经营异常名录、严重违法失信企业名单，未被全国公共资源交易平台（</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"http://www.ggzy.gov.cn" \o "http://www.ggzy.gov.cn"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http：//www.ggzy.gov.cn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）等渠道列入黑名单</w:t>
      </w:r>
      <w:r>
        <w:rPr>
          <w:rFonts w:hint="eastAsia" w:ascii="仿宋" w:hAnsi="仿宋" w:eastAsia="仿宋" w:cs="仿宋"/>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2.我方承诺参加本次采购活动前三年内，在经营活动中没有重大违法记录，否则，可将我方的投标文件按照无效投标文件处理。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.我方投标文件有效期为自开标日起</w:t>
      </w:r>
      <w:r>
        <w:rPr>
          <w:rFonts w:hint="eastAsia" w:ascii="仿宋" w:hAnsi="仿宋" w:eastAsia="仿宋" w:cs="仿宋"/>
          <w:color w:val="auto"/>
          <w:sz w:val="24"/>
          <w:szCs w:val="21"/>
          <w:highlight w:val="none"/>
          <w:u w:val="single"/>
        </w:rPr>
        <w:t xml:space="preserve">60</w:t>
      </w:r>
      <w:r>
        <w:rPr>
          <w:rFonts w:hint="eastAsia" w:ascii="仿宋" w:hAnsi="仿宋" w:eastAsia="仿宋" w:cs="仿宋"/>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5</w:t>
      </w:r>
      <w:r>
        <w:rPr>
          <w:rFonts w:hint="eastAsia" w:ascii="仿宋" w:hAnsi="仿宋" w:eastAsia="仿宋" w:cs="仿宋"/>
          <w:color w:val="auto"/>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rPr>
        <w:t xml:space="preserve">.我方承诺投标文件中所有的资料及所作各项承诺均真实准确，</w:t>
      </w:r>
      <w:r>
        <w:rPr>
          <w:rFonts w:hint="eastAsia" w:ascii="仿宋" w:hAnsi="仿宋" w:eastAsia="仿宋" w:cs="仿宋"/>
          <w:color w:val="auto"/>
          <w:sz w:val="24"/>
          <w:szCs w:val="21"/>
          <w:highlight w:val="none"/>
          <w:lang w:val="en-US" w:eastAsia="zh-CN"/>
        </w:rPr>
        <w:t xml:space="preserve">本单位</w:t>
      </w:r>
      <w:r>
        <w:rPr>
          <w:rFonts w:hint="eastAsia" w:ascii="仿宋" w:hAnsi="仿宋" w:eastAsia="仿宋" w:cs="仿宋"/>
          <w:color w:val="auto"/>
          <w:sz w:val="24"/>
          <w:szCs w:val="21"/>
          <w:highlight w:val="none"/>
        </w:rPr>
        <w:t xml:space="preserve">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rPr>
        <w:t xml:space="preserve">.我方委托授权（姓名：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right"/>
        <w:spacing w:line="360" w:lineRule="auto"/>
        <w:tabs>
          <w:tab w:val="left" w:pos="945"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8"/>
      <w:r/>
      <w:r/>
    </w:p>
    <w:p>
      <w:pPr>
        <w:jc w:val="cente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ind w:firstLine="2920"/>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rPr>
          <w:rFonts w:hint="eastAsia" w:ascii="仿宋" w:hAnsi="仿宋" w:eastAsia="仿宋" w:cs="仿宋"/>
          <w:b/>
          <w:bCs/>
          <w:color w:val="auto"/>
          <w:sz w:val="28"/>
          <w:szCs w:val="28"/>
          <w:highlight w:val="none"/>
        </w:rPr>
      </w:pPr>
      <w:r>
        <w:rPr>
          <w:rFonts w:hint="eastAsia" w:ascii="仿宋" w:hAnsi="仿宋" w:eastAsia="仿宋" w:cs="仿宋"/>
          <w:color w:val="auto"/>
          <w:sz w:val="24"/>
          <w:szCs w:val="21"/>
          <w:highlight w:val="none"/>
        </w:rPr>
        <w:br w:type="page" w:clear="all"/>
      </w:r>
      <w:r/>
    </w:p>
    <w:p>
      <w:pPr>
        <w:ind w:firstLine="3092"/>
        <w:jc w:val="left"/>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11.中小企业声明函（格式）</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val="en-US" w:eastAsia="zh-CN"/>
        </w:rPr>
        <w:t xml:space="preserve">江苏航运职业技术学院安全技能实训中心（高压/低压/高处作业方向）公开招标采购项目</w:t>
      </w:r>
      <w:r>
        <w:rPr>
          <w:rFonts w:hint="eastAsia" w:ascii="仿宋" w:hAnsi="仿宋" w:eastAsia="仿宋" w:cs="仿宋"/>
          <w:color w:val="auto"/>
          <w:sz w:val="24"/>
          <w:szCs w:val="24"/>
          <w:highlight w:val="none"/>
          <w:u w:val="single"/>
        </w:rPr>
        <w:t xml:space="preserve">（项目编号：      )的</w:t>
      </w:r>
      <w:r>
        <w:rPr>
          <w:rFonts w:hint="eastAsia" w:ascii="仿宋" w:hAnsi="仿宋" w:eastAsia="仿宋" w:cs="仿宋"/>
          <w:color w:val="auto"/>
          <w:sz w:val="24"/>
          <w:szCs w:val="24"/>
          <w:highlight w:val="none"/>
        </w:rPr>
        <w:t xml:space="preserve">采购活动，提供的货物</w:t>
      </w:r>
      <w:r>
        <w:rPr>
          <w:rFonts w:hint="eastAsia" w:ascii="仿宋" w:hAnsi="仿宋" w:eastAsia="仿宋" w:cs="仿宋"/>
          <w:b/>
          <w:bCs/>
          <w:color w:val="auto"/>
          <w:sz w:val="24"/>
          <w:szCs w:val="24"/>
          <w:highlight w:val="none"/>
          <w:u w:val="single"/>
        </w:rPr>
        <w:t xml:space="preserve">全部</w:t>
      </w:r>
      <w:r>
        <w:rPr>
          <w:rFonts w:hint="eastAsia" w:ascii="仿宋" w:hAnsi="仿宋" w:eastAsia="仿宋" w:cs="仿宋"/>
          <w:color w:val="auto"/>
          <w:sz w:val="24"/>
          <w:szCs w:val="24"/>
          <w:highlight w:val="none"/>
        </w:rPr>
        <w:t xml:space="preserve">由符合政策要求的中小企业</w:t>
      </w:r>
      <w:r>
        <w:rPr>
          <w:rFonts w:hint="eastAsia" w:ascii="仿宋" w:hAnsi="仿宋" w:eastAsia="仿宋" w:cs="仿宋"/>
          <w:b/>
          <w:bCs/>
          <w:color w:val="auto"/>
          <w:sz w:val="24"/>
          <w:szCs w:val="24"/>
          <w:highlight w:val="none"/>
          <w:u w:val="single"/>
        </w:rPr>
        <w:t xml:space="preserve">制造</w:t>
      </w:r>
      <w:r>
        <w:rPr>
          <w:rFonts w:hint="eastAsia" w:ascii="仿宋" w:hAnsi="仿宋" w:eastAsia="仿宋" w:cs="仿宋"/>
          <w:color w:val="auto"/>
          <w:sz w:val="24"/>
          <w:szCs w:val="24"/>
          <w:highlight w:val="none"/>
        </w:rPr>
        <w:t xml:space="preserve">。相关企业（含联合体中的中小企业、签订分包意向协议的中小企业）的具体情况如下：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1.</w:t>
      </w:r>
      <w:r>
        <w:rPr>
          <w:rFonts w:hint="eastAsia" w:ascii="仿宋" w:hAnsi="仿宋" w:eastAsia="仿宋" w:cs="仿宋"/>
          <w:color w:val="auto"/>
          <w:sz w:val="24"/>
          <w:highlight w:val="none"/>
          <w:u w:val="single"/>
          <w:lang w:bidi="zh-CN"/>
        </w:rPr>
        <w:t xml:space="preserve"> （标的名称）</w:t>
      </w:r>
      <w:r>
        <w:rPr>
          <w:rFonts w:hint="eastAsia" w:ascii="仿宋" w:hAnsi="仿宋" w:eastAsia="仿宋" w:cs="仿宋"/>
          <w:color w:val="auto"/>
          <w:sz w:val="24"/>
          <w:highlight w:val="none"/>
          <w:lang w:bidi="zh-CN"/>
        </w:rPr>
        <w:t xml:space="preserve"> ，属于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 （□中型企业 □小型企业 □微型企业）</w:t>
      </w:r>
      <w:r>
        <w:rPr>
          <w:rFonts w:hint="eastAsia" w:ascii="仿宋" w:hAnsi="仿宋" w:eastAsia="仿宋" w:cs="仿宋"/>
          <w:color w:val="auto"/>
          <w:sz w:val="24"/>
          <w:highlight w:val="none"/>
          <w:lang w:bidi="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2.</w:t>
      </w:r>
      <w:r>
        <w:rPr>
          <w:rFonts w:hint="eastAsia" w:ascii="仿宋" w:hAnsi="仿宋" w:eastAsia="仿宋" w:cs="仿宋"/>
          <w:i/>
          <w:color w:val="auto"/>
          <w:sz w:val="24"/>
          <w:highlight w:val="none"/>
          <w:u w:val="single"/>
          <w:lang w:bidi="zh-CN"/>
        </w:rPr>
        <w:t xml:space="preserve"> </w:t>
      </w:r>
      <w:r>
        <w:rPr>
          <w:rFonts w:hint="eastAsia" w:ascii="仿宋" w:hAnsi="仿宋" w:eastAsia="仿宋" w:cs="仿宋"/>
          <w:color w:val="auto"/>
          <w:sz w:val="24"/>
          <w:highlight w:val="none"/>
          <w:u w:val="single"/>
          <w:lang w:bidi="zh-CN"/>
        </w:rPr>
        <w:t xml:space="preserve">（标的名称） </w:t>
      </w:r>
      <w:r>
        <w:rPr>
          <w:rFonts w:hint="eastAsia" w:ascii="仿宋" w:hAnsi="仿宋" w:eastAsia="仿宋" w:cs="仿宋"/>
          <w:color w:val="auto"/>
          <w:sz w:val="24"/>
          <w:highlight w:val="none"/>
          <w:lang w:bidi="zh-CN"/>
        </w:rPr>
        <w:t xml:space="preserve">，属于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（□中型企业 □小型企业 □微型企业））</w:t>
      </w:r>
      <w:r>
        <w:rPr>
          <w:rFonts w:hint="eastAsia" w:ascii="仿宋" w:hAnsi="仿宋" w:eastAsia="仿宋" w:cs="仿宋"/>
          <w:color w:val="auto"/>
          <w:sz w:val="24"/>
          <w:highlight w:val="none"/>
          <w:lang w:bidi="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w:t>
      </w:r>
      <w:r/>
    </w:p>
    <w:p>
      <w:pPr>
        <w:ind w:firstLine="480"/>
        <w:spacing w:line="360" w:lineRule="auto"/>
        <w:rPr>
          <w:rFonts w:hint="eastAsia" w:ascii="仿宋" w:hAnsi="仿宋" w:eastAsia="仿宋" w:cs="仿宋"/>
          <w:color w:val="auto"/>
          <w:sz w:val="24"/>
          <w:highlight w:val="none"/>
          <w:lang w:bidi="zh-CN"/>
        </w:rPr>
      </w:pPr>
      <w:r>
        <w:rPr>
          <w:rFonts w:hint="eastAsia" w:ascii="仿宋" w:hAnsi="仿宋" w:eastAsia="仿宋" w:cs="仿宋"/>
          <w:color w:val="auto"/>
          <w:sz w:val="24"/>
          <w:highlight w:val="none"/>
          <w:lang w:bidi="zh-CN"/>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left="2040" w:firstLine="480"/>
        <w:tabs>
          <w:tab w:val="left" w:pos="2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1.从业人员、营业收入、资产总额填报上一年度数据，无上一年度数据的新成立企业可不填报。</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p>
    <w:p>
      <w:pPr>
        <w:ind w:firstLine="482"/>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3.供应商自行勾选承接企业的企业规模类型。</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3"/>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jc w:val="center"/>
        <w:spacing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12.残疾人福利性单位声明函</w:t>
      </w:r>
      <w:r/>
    </w:p>
    <w:p>
      <w:pPr>
        <w:ind w:firstLine="480"/>
        <w:spacing w:before="240"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w:t>
      </w:r>
      <w:bookmarkStart w:id="19" w:name="_GoBack"/>
      <w:r/>
      <w:bookmarkEnd w:id="19"/>
      <w:r>
        <w:rPr>
          <w:rFonts w:hint="eastAsia" w:ascii="仿宋" w:hAnsi="仿宋" w:eastAsia="仿宋" w:cs="仿宋"/>
          <w:color w:val="auto"/>
          <w:sz w:val="24"/>
          <w:szCs w:val="24"/>
          <w:highlight w:val="none"/>
        </w:rPr>
        <w:t xml:space="preserve">7〕141号）的规定，本单位为符合条件的残疾人福利性单位，且本单位参加</w:t>
      </w:r>
      <w:r>
        <w:rPr>
          <w:rFonts w:hint="eastAsia" w:ascii="仿宋" w:hAnsi="仿宋" w:eastAsia="仿宋" w:cs="仿宋"/>
          <w:color w:val="auto"/>
          <w:sz w:val="24"/>
          <w:szCs w:val="24"/>
          <w:highlight w:val="none"/>
          <w:u w:val="single"/>
        </w:rPr>
        <w:t xml:space="preserve">（采购人名称）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江苏航运职业技术学院安全技能实训中心（高压/低压/高处作业方向）公开招标采购项目</w:t>
      </w:r>
      <w:r>
        <w:rPr>
          <w:rFonts w:hint="eastAsia" w:ascii="仿宋" w:hAnsi="仿宋" w:eastAsia="仿宋" w:cs="仿宋"/>
          <w:color w:val="auto"/>
          <w:sz w:val="24"/>
          <w:szCs w:val="24"/>
          <w:highlight w:val="none"/>
          <w:u w:val="single"/>
        </w:rPr>
        <w:t xml:space="preserve">  （项目编号：  )</w:t>
      </w:r>
      <w:r>
        <w:rPr>
          <w:rFonts w:hint="eastAsia" w:ascii="仿宋" w:hAnsi="仿宋" w:eastAsia="仿宋" w:cs="仿宋"/>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供应商：（单位盖章）</w:t>
      </w:r>
      <w:r/>
    </w:p>
    <w:p>
      <w:pPr>
        <w:ind w:firstLine="48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w:t>
      </w:r>
      <w:r/>
    </w:p>
    <w:p>
      <w:pPr>
        <w:ind w:firstLine="480"/>
        <w:jc w:val="righ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ind w:firstLine="643"/>
        <w:jc w:val="lef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13.监狱和戒毒企业证明材料</w:t>
      </w:r>
      <w:r/>
    </w:p>
    <w:p>
      <w:pPr>
        <w:ind w:firstLine="522"/>
        <w:jc w:val="cente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（格式自拟）</w:t>
      </w:r>
      <w:r/>
    </w:p>
    <w:p>
      <w:pPr>
        <w:ind w:firstLine="480"/>
        <w:jc w:val="left"/>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552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年  月  </w:t>
      </w:r>
      <w:r>
        <w:rPr>
          <w:rFonts w:hint="eastAsia" w:ascii="仿宋" w:hAnsi="仿宋" w:eastAsia="仿宋" w:cs="仿宋"/>
          <w:bCs/>
          <w:color w:val="auto"/>
          <w:sz w:val="24"/>
          <w:szCs w:val="24"/>
          <w:highlight w:val="none"/>
          <w:lang w:val="en-US" w:eastAsia="zh-CN"/>
        </w:rPr>
        <w:t xml:space="preserve">日</w:t>
      </w:r>
      <w:r/>
    </w:p>
    <w:p>
      <w:pPr>
        <w:ind w:firstLine="552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ind w:firstLine="552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bCs/>
          <w:color w:val="auto"/>
          <w:sz w:val="28"/>
          <w:szCs w:val="28"/>
          <w:highlight w:val="none"/>
          <w:lang w:val="en-US" w:eastAsia="zh-CN"/>
        </w:rPr>
        <w:t xml:space="preserve">14</w:t>
      </w:r>
      <w:r>
        <w:rPr>
          <w:rFonts w:hint="eastAsia" w:ascii="仿宋" w:hAnsi="仿宋" w:eastAsia="仿宋" w:cs="仿宋"/>
          <w:b/>
          <w:bCs/>
          <w:color w:val="auto"/>
          <w:sz w:val="28"/>
          <w:szCs w:val="28"/>
          <w:highlight w:val="none"/>
        </w:rPr>
        <w:t xml:space="preserve">.投标响应函（格式不得变动）</w:t>
      </w:r>
      <w:r/>
    </w:p>
    <w:p>
      <w:pPr>
        <w:jc w:val="left"/>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（采购人）：</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依据贵单位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（招标项目名称）项目公开招标采购的邀请，我方授权</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（姓名）</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1.我方同意并接受本项目招标文件的各项要求，遵守招标文件中的各项规定，按招标文件的要求提供报价。</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3.我方愿意提供招标人在招标文件中要求的所有资料。</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4.我方承诺在本次招标响应中提供的一切文件，无论是原件还是</w:t>
      </w:r>
      <w:r>
        <w:rPr>
          <w:rFonts w:hint="eastAsia" w:ascii="仿宋" w:hAnsi="仿宋" w:eastAsia="仿宋" w:cs="仿宋"/>
          <w:color w:val="auto"/>
          <w:sz w:val="24"/>
          <w:szCs w:val="21"/>
          <w:highlight w:val="none"/>
          <w:lang w:eastAsia="zh-CN"/>
        </w:rPr>
        <w:t xml:space="preserve">原件扫描件</w:t>
      </w:r>
      <w:r>
        <w:rPr>
          <w:rFonts w:hint="eastAsia" w:ascii="仿宋" w:hAnsi="仿宋" w:eastAsia="仿宋" w:cs="仿宋"/>
          <w:color w:val="auto"/>
          <w:sz w:val="24"/>
          <w:szCs w:val="21"/>
          <w:highlight w:val="none"/>
        </w:rPr>
        <w:t xml:space="preserve">均真实有效，绝无任何虚假、伪造和夸大的成份。否则，愿承担相应的后果和法律责任。</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5.我方承诺按照本项目招标文件和相关技术标准的条件，提供货物及相关服务，并承担因货物质量或服务等引起的一切责任</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若我方实际提供的《</w:t>
      </w:r>
      <w:r>
        <w:rPr>
          <w:rFonts w:hint="eastAsia" w:ascii="仿宋" w:hAnsi="仿宋" w:eastAsia="仿宋" w:cs="仿宋"/>
          <w:bCs/>
          <w:color w:val="auto"/>
          <w:sz w:val="24"/>
          <w:szCs w:val="24"/>
          <w:highlight w:val="none"/>
          <w:lang w:val="en-US" w:eastAsia="zh-CN"/>
        </w:rPr>
        <w:t xml:space="preserve">技术</w:t>
      </w:r>
      <w:r>
        <w:rPr>
          <w:rFonts w:hint="eastAsia" w:ascii="仿宋" w:hAnsi="仿宋" w:eastAsia="仿宋" w:cs="仿宋"/>
          <w:bCs/>
          <w:color w:val="auto"/>
          <w:sz w:val="24"/>
          <w:szCs w:val="24"/>
          <w:highlight w:val="none"/>
        </w:rPr>
        <w:t xml:space="preserve">条款正负偏离表</w:t>
      </w:r>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bCs/>
          <w:color w:val="auto"/>
          <w:sz w:val="24"/>
          <w:szCs w:val="24"/>
          <w:highlight w:val="none"/>
          <w:lang w:val="en-US" w:eastAsia="zh-CN"/>
        </w:rPr>
        <w:t xml:space="preserve">的内容或提供的</w:t>
      </w:r>
      <w:r>
        <w:rPr>
          <w:rFonts w:hint="eastAsia" w:ascii="仿宋" w:hAnsi="仿宋" w:eastAsia="仿宋" w:cs="仿宋"/>
          <w:color w:val="auto"/>
          <w:sz w:val="24"/>
          <w:szCs w:val="21"/>
          <w:highlight w:val="none"/>
          <w:lang w:val="en-US" w:eastAsia="zh-CN"/>
        </w:rPr>
        <w:t xml:space="preserve">货物需求清单的内容不能响应本招标文件要求且与本承诺不一致的，我方愿意将我方投标文件作无效标处理，且无任何异议</w:t>
      </w:r>
      <w:r>
        <w:rPr>
          <w:rFonts w:hint="eastAsia" w:ascii="仿宋" w:hAnsi="仿宋" w:eastAsia="仿宋" w:cs="仿宋"/>
          <w:color w:val="auto"/>
          <w:sz w:val="24"/>
          <w:szCs w:val="21"/>
          <w:highlight w:val="none"/>
        </w:rPr>
        <w:t xml:space="preserve">。</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我方尊重评标小组所作的评定结果，同时也清楚理解到投标报价最低并非意味着必定获得中标资格。</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360" w:lineRule="auto"/>
        <w:rPr>
          <w:rFonts w:hint="eastAsia" w:ascii="仿宋" w:hAnsi="仿宋" w:eastAsia="仿宋" w:cs="仿宋"/>
          <w:bCs/>
          <w:color w:val="auto"/>
          <w:sz w:val="24"/>
          <w:highlight w:val="none"/>
        </w:rPr>
        <w:outlineLvl w:val="4"/>
      </w:pPr>
      <w:r>
        <w:rPr>
          <w:rFonts w:hint="eastAsia" w:ascii="仿宋" w:hAnsi="仿宋" w:eastAsia="仿宋" w:cs="仿宋"/>
          <w:bCs/>
          <w:color w:val="auto"/>
          <w:sz w:val="24"/>
          <w:highlight w:val="none"/>
        </w:rPr>
        <w:t xml:space="preserve">    投标人（加盖CA电子签章）： </w:t>
      </w:r>
      <w:r/>
    </w:p>
    <w:p>
      <w:pPr>
        <w:ind w:firstLine="566"/>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法定代表人或被授权人（签字或加盖CA电子签章）： </w:t>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bCs/>
          <w:color w:val="auto"/>
          <w:sz w:val="24"/>
          <w:highlight w:val="none"/>
          <w:lang w:val="zh-CN"/>
        </w:rPr>
        <w:t xml:space="preserve">时间：</w:t>
      </w:r>
      <w:r>
        <w:rPr>
          <w:rFonts w:hint="eastAsia" w:ascii="仿宋" w:hAnsi="仿宋" w:eastAsia="仿宋" w:cs="仿宋"/>
          <w:bCs/>
          <w:color w:val="auto"/>
          <w:sz w:val="24"/>
          <w:highlight w:val="none"/>
        </w:rPr>
        <w:t xml:space="preserve">2026年</w:t>
      </w:r>
      <w:r>
        <w:rPr>
          <w:rFonts w:hint="eastAsia" w:ascii="仿宋" w:hAnsi="仿宋" w:eastAsia="仿宋" w:cs="仿宋"/>
          <w:bCs/>
          <w:color w:val="auto"/>
          <w:sz w:val="24"/>
          <w:highlight w:val="none"/>
          <w:lang w:val="zh-CN"/>
        </w:rPr>
        <w:t xml:space="preserve">  月   日</w:t>
      </w:r>
      <w:r/>
    </w:p>
    <w:p>
      <w:pPr>
        <w:pStyle w:val="1034"/>
        <w:ind w:firstLine="723"/>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rPr>
        <w:t xml:space="preserve">.商务部分正负偏离表</w:t>
      </w:r>
      <w:r/>
    </w:p>
    <w:p>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（由响应投标单位据实填写，表格不够自行添加）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highlight w:val="none"/>
        </w:rPr>
        <w:t xml:space="preserve">项 目 编 号：</w:t>
      </w:r>
      <w:r/>
    </w:p>
    <w:tbl>
      <w:tblPr>
        <w:tblStyle w:val="100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258"/>
        <w:gridCol w:w="1972"/>
        <w:gridCol w:w="2544"/>
        <w:gridCol w:w="140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2"/>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12"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12"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12"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1.响应投标单位提交的响应文件中与招标文件“项目需求”中的商务部分的要求，应逐条填列在偏离表中。</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3.响应投标单位如果虚假响应，将被暂停参加采购人组织采购活动。</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4.投标单位若提供其他增值服务，可以在表中自行据实填写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color w:val="auto"/>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.技术部分正负偏离表</w:t>
      </w:r>
      <w:r/>
    </w:p>
    <w:p>
      <w:pPr>
        <w:ind w:firstLine="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（由投标单位据实填写，表格不够自行添加）</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名 称：</w:t>
      </w:r>
      <w:r/>
    </w:p>
    <w:p>
      <w:pPr>
        <w:ind w:firstLine="480"/>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 目 编 号：</w:t>
      </w:r>
      <w:r/>
    </w:p>
    <w:tbl>
      <w:tblPr>
        <w:tblStyle w:val="100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948"/>
        <w:gridCol w:w="2856"/>
        <w:gridCol w:w="2323"/>
        <w:gridCol w:w="1180"/>
      </w:tblGrid>
      <w:tr>
        <w:trPr>
          <w:trHeight w:val="994"/>
        </w:trPr>
        <w:tc>
          <w:tcPr>
            <w:tcBorders>
              <w:top w:val="single" w:color="auto" w:sz="12" w:space="0"/>
              <w:left w:val="single" w:color="auto" w:sz="12" w:space="0"/>
              <w:bottom w:val="single" w:color="auto" w:sz="8" w:space="0"/>
              <w:right w:val="single" w:color="auto" w:sz="8" w:space="0"/>
            </w:tcBorders>
            <w:tcW w:w="460"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8" w:space="0"/>
              <w:bottom w:val="single" w:color="auto" w:sz="8" w:space="0"/>
              <w:right w:val="single" w:color="auto" w:sz="8" w:space="0"/>
            </w:tcBorders>
            <w:tcW w:w="1254"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8" w:space="0"/>
              <w:bottom w:val="single" w:color="auto" w:sz="8" w:space="0"/>
              <w:right w:val="single" w:color="auto" w:sz="8" w:space="0"/>
            </w:tcBorders>
            <w:tcW w:w="1095"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招标文件要求的技术要求</w:t>
            </w:r>
            <w:r/>
          </w:p>
        </w:tc>
        <w:tc>
          <w:tcPr>
            <w:tcBorders>
              <w:top w:val="single" w:color="auto" w:sz="12" w:space="0"/>
              <w:left w:val="single" w:color="auto" w:sz="8" w:space="0"/>
              <w:bottom w:val="single" w:color="auto" w:sz="8" w:space="0"/>
              <w:right w:val="single" w:color="auto" w:sz="8" w:space="0"/>
            </w:tcBorders>
            <w:tcW w:w="1413" w:type="pct"/>
            <w:vAlign w:val="center"/>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8" w:space="0"/>
              <w:bottom w:val="single" w:color="auto" w:sz="8" w:space="0"/>
              <w:right w:val="single" w:color="auto" w:sz="12" w:space="0"/>
            </w:tcBorders>
            <w:tcW w:w="778" w:type="pct"/>
            <w:vAlign w:val="top"/>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8" w:space="0"/>
              <w:left w:val="single" w:color="auto" w:sz="12" w:space="0"/>
              <w:bottom w:val="single" w:color="auto" w:sz="8" w:space="0"/>
              <w:right w:val="single" w:color="auto" w:sz="8" w:space="0"/>
            </w:tcBorders>
            <w:tcW w:w="460" w:type="pct"/>
            <w:vAlign w:val="top"/>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vAlign w:val="top"/>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63"/>
        </w:trPr>
        <w:tc>
          <w:tcPr>
            <w:tcBorders>
              <w:top w:val="single" w:color="auto" w:sz="8" w:space="0"/>
              <w:left w:val="single" w:color="auto" w:sz="12" w:space="0"/>
              <w:bottom w:val="single" w:color="auto" w:sz="8" w:space="0"/>
              <w:right w:val="single" w:color="auto" w:sz="8" w:space="0"/>
            </w:tcBorders>
            <w:tcW w:w="460" w:type="pct"/>
            <w:vAlign w:val="top"/>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vAlign w:val="top"/>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8" w:space="0"/>
              <w:left w:val="single" w:color="auto" w:sz="12" w:space="0"/>
              <w:bottom w:val="single" w:color="auto" w:sz="8" w:space="0"/>
              <w:right w:val="single" w:color="auto" w:sz="8" w:space="0"/>
            </w:tcBorders>
            <w:tcW w:w="460" w:type="pct"/>
            <w:vAlign w:val="top"/>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8" w:space="0"/>
              <w:left w:val="single" w:color="auto" w:sz="8" w:space="0"/>
              <w:bottom w:val="single" w:color="auto" w:sz="8"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8" w:space="0"/>
              <w:right w:val="single" w:color="auto" w:sz="12" w:space="0"/>
            </w:tcBorders>
            <w:tcW w:w="778" w:type="pct"/>
            <w:vAlign w:val="top"/>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8" w:space="0"/>
              <w:left w:val="single" w:color="auto" w:sz="12" w:space="0"/>
              <w:bottom w:val="single" w:color="auto" w:sz="12" w:space="0"/>
              <w:right w:val="single" w:color="auto" w:sz="8" w:space="0"/>
            </w:tcBorders>
            <w:tcW w:w="460" w:type="pct"/>
            <w:vAlign w:val="top"/>
            <w:textDirection w:val="lrTb"/>
            <w:noWrap/>
          </w:tcPr>
          <w:p>
            <w:pPr>
              <w:jc w:val="center"/>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8" w:space="0"/>
              <w:left w:val="single" w:color="auto" w:sz="8" w:space="0"/>
              <w:bottom w:val="single" w:color="auto" w:sz="12" w:space="0"/>
              <w:right w:val="single" w:color="auto" w:sz="8" w:space="0"/>
            </w:tcBorders>
            <w:tcW w:w="1254"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095"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8" w:space="0"/>
            </w:tcBorders>
            <w:tcW w:w="1413" w:type="pct"/>
            <w:vAlign w:val="center"/>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8" w:space="0"/>
              <w:left w:val="single" w:color="auto" w:sz="8" w:space="0"/>
              <w:bottom w:val="single" w:color="auto" w:sz="12" w:space="0"/>
              <w:right w:val="single" w:color="auto" w:sz="12" w:space="0"/>
            </w:tcBorders>
            <w:tcW w:w="778" w:type="pct"/>
            <w:vAlign w:val="top"/>
            <w:textDirection w:val="lrTb"/>
            <w:noWrap/>
          </w:tcPr>
          <w:p>
            <w:pPr>
              <w:jc w:val="left"/>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jc w:val="right"/>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投标单位：（加盖公章）</w:t>
      </w:r>
      <w:r/>
    </w:p>
    <w:p>
      <w:pPr>
        <w:ind w:firstLine="480"/>
        <w:jc w:val="right"/>
        <w:spacing w:line="4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月     日</w:t>
      </w:r>
      <w:r/>
    </w:p>
    <w:p>
      <w:pPr>
        <w:contextualSpacing/>
        <w:ind w:firstLine="482"/>
        <w:spacing w:line="30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contextualSpacing/>
        <w:ind w:firstLine="480"/>
        <w:spacing w:line="30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1.投标单位提交的响应文件中与招标文件“项目需求”中的技术部分的要求，应逐条填列在偏离表中。</w:t>
      </w:r>
      <w:r>
        <w:rPr>
          <w:rFonts w:hint="eastAsia" w:ascii="仿宋" w:hAnsi="仿宋" w:eastAsia="仿宋" w:cs="仿宋"/>
          <w:b/>
          <w:bCs/>
          <w:color w:val="auto"/>
          <w:sz w:val="24"/>
          <w:highlight w:val="none"/>
        </w:rPr>
        <w:t xml:space="preserve">与招标文件项目需求中“</w:t>
      </w:r>
      <w:r>
        <w:rPr>
          <w:rFonts w:hint="eastAsia" w:ascii="仿宋" w:hAnsi="仿宋" w:eastAsia="仿宋" w:cs="仿宋"/>
          <w:b/>
          <w:bCs/>
          <w:color w:val="auto"/>
          <w:sz w:val="24"/>
          <w:highlight w:val="none"/>
        </w:rPr>
        <w:t xml:space="preserve">三、本项目需满足的质量、安全、技术规格、物理特性等要求</w:t>
      </w:r>
      <w:r>
        <w:rPr>
          <w:rFonts w:hint="eastAsia" w:ascii="仿宋" w:hAnsi="仿宋" w:eastAsia="仿宋" w:cs="仿宋"/>
          <w:b/>
          <w:bCs/>
          <w:color w:val="auto"/>
          <w:sz w:val="24"/>
          <w:highlight w:val="none"/>
        </w:rPr>
        <w:t xml:space="preserve">”一致</w:t>
      </w:r>
      <w:r>
        <w:rPr>
          <w:rFonts w:hint="eastAsia" w:ascii="仿宋" w:hAnsi="仿宋" w:eastAsia="仿宋" w:cs="仿宋"/>
          <w:b/>
          <w:bCs/>
          <w:color w:val="auto"/>
          <w:sz w:val="24"/>
          <w:highlight w:val="none"/>
          <w:lang w:val="en-US" w:eastAsia="zh-CN"/>
        </w:rPr>
        <w:t xml:space="preserve">的</w:t>
      </w:r>
      <w:r>
        <w:rPr>
          <w:rFonts w:hint="eastAsia" w:ascii="仿宋" w:hAnsi="仿宋" w:eastAsia="仿宋" w:cs="仿宋"/>
          <w:b/>
          <w:bCs/>
          <w:color w:val="auto"/>
          <w:sz w:val="24"/>
          <w:highlight w:val="none"/>
        </w:rPr>
        <w:t xml:space="preserve">，应在表中标明。</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3.投标单位如果虚假响应，将被暂停参加采购人组织采购活动。</w:t>
      </w:r>
      <w:r/>
    </w:p>
    <w:p>
      <w:pPr>
        <w:contextualSpacing/>
        <w:ind w:firstLine="480"/>
        <w:spacing w:line="300" w:lineRule="auto"/>
        <w:rPr>
          <w:rFonts w:hint="eastAsia" w:ascii="仿宋" w:hAnsi="仿宋" w:eastAsia="仿宋" w:cs="仿宋"/>
          <w:color w:val="auto"/>
          <w:sz w:val="30"/>
          <w:szCs w:val="30"/>
          <w:highlight w:val="none"/>
        </w:rPr>
      </w:pPr>
      <w:r>
        <w:rPr>
          <w:rFonts w:hint="eastAsia" w:ascii="仿宋" w:hAnsi="仿宋" w:eastAsia="仿宋" w:cs="仿宋"/>
          <w:bCs/>
          <w:color w:val="auto"/>
          <w:sz w:val="24"/>
          <w:highlight w:val="none"/>
        </w:rPr>
        <w:t xml:space="preserve">4.投标单位若提供其他增值服务，可以在表中自行据实填写。</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公开招标响应供应商可对提供的竞标产品涉及的技术参数进行对比参照，并具体提供以下材料：</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（1）指标排它性的证明材料；</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（2）产品调整对比表；</w:t>
      </w:r>
      <w:r/>
    </w:p>
    <w:p>
      <w:pPr>
        <w:contextualSpacing/>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（3）调整后产品的详细技术参数；</w:t>
      </w:r>
      <w:r/>
    </w:p>
    <w:p>
      <w:pPr>
        <w:ind w:firstLine="482"/>
        <w:jc w:val="left"/>
        <w:widowControl/>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r>
      <w:r/>
    </w:p>
    <w:p>
      <w:pPr>
        <w:ind w:firstLine="482"/>
        <w:jc w:val="left"/>
        <w:widowControl/>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br w:type="page" w:clear="all"/>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val="0"/>
          <w:bCs/>
          <w:color w:val="auto"/>
          <w:sz w:val="24"/>
          <w:szCs w:val="21"/>
          <w:highlight w:val="none"/>
          <w:lang w:val="zh-CN"/>
        </w:rPr>
        <w:t xml:space="preserve">★</w:t>
      </w: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.产品质量保证承诺书</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根据招标文件相关要求，我方对该项目做出如下产品质量承诺：</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1.产品都属于厂家正品产品：</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2.产品“三包”内容：</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3.质量问题的处理：</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4.质量投诉的处理：</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5.其它：</w:t>
      </w:r>
      <w:r/>
    </w:p>
    <w:p>
      <w:pPr>
        <w:ind w:firstLine="456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法定代表人签字：</w:t>
      </w:r>
      <w:r/>
    </w:p>
    <w:p>
      <w:pPr>
        <w:ind w:firstLine="480"/>
        <w:spacing w:before="24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jc w:val="center"/>
        <w:spacing w:line="360" w:lineRule="auto"/>
        <w:rPr>
          <w:rFonts w:hint="eastAsia"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clear="all"/>
      </w:r>
      <w:r/>
    </w:p>
    <w:p>
      <w:pPr>
        <w:jc w:val="left"/>
        <w:spacing w:line="380" w:lineRule="exact"/>
        <w:rPr>
          <w:rFonts w:hint="eastAsia" w:ascii="仿宋" w:hAnsi="仿宋" w:eastAsia="仿宋" w:cs="仿宋"/>
          <w:b/>
          <w:color w:val="auto"/>
          <w:sz w:val="21"/>
          <w:szCs w:val="22"/>
          <w:highlight w:val="none"/>
        </w:rPr>
      </w:pPr>
      <w:r>
        <w:rPr>
          <w:rFonts w:hint="eastAsia" w:ascii="仿宋" w:hAnsi="仿宋" w:eastAsia="仿宋" w:cs="仿宋"/>
          <w:color w:val="auto"/>
          <w:highlight w:val="none"/>
        </w:rPr>
        <w:t xml:space="preserve">附件：</w:t>
      </w:r>
      <w:r/>
    </w:p>
    <w:p>
      <w:pPr>
        <w:ind w:right="561"/>
        <w:jc w:val="center"/>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中小企业划型标准规定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各行业划型标准为：</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2"/>
      <w:headerReference w:type="first" r:id="rId13"/>
      <w:footerReference w:type="default" r:id="rId17"/>
      <w:footerReference w:type="first" r:id="rId18"/>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pPr>
      <w:pStyle w:val="10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43"/>
      </w:rPr>
      <w:framePr w:wrap="around" w:vAnchor="text" w:hAnchor="margin" w:xAlign="right" w:y="1"/>
    </w:pPr>
    <w:r>
      <w:fldChar w:fldCharType="begin"/>
    </w:r>
    <w:r>
      <w:rPr>
        <w:rStyle w:val="1043"/>
      </w:rPr>
      <w:instrText xml:space="preserve">PAGE  </w:instrText>
    </w:r>
    <w:r>
      <w:fldChar w:fldCharType="end"/>
    </w:r>
    <w:r/>
  </w:p>
  <w:p>
    <w:pPr>
      <w:pStyle w:val="104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34</w:t>
    </w:r>
    <w:r>
      <w:rPr>
        <w:b/>
        <w:sz w:val="24"/>
        <w:szCs w:val="24"/>
      </w:rPr>
      <w:fldChar w:fldCharType="end"/>
    </w:r>
    <w:r>
      <w:rPr>
        <w:rFonts w:hint="eastAsia"/>
        <w:b/>
        <w:sz w:val="24"/>
        <w:szCs w:val="24"/>
      </w:rPr>
      <w:t xml:space="preserve"> </w:t>
    </w:r>
    <w:r/>
  </w:p>
  <w:p>
    <w:pPr>
      <w:pStyle w:val="104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106</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1006"/>
      <w:isLgl w:val="false"/>
      <w:suff w:val="nothing"/>
      <w:lvlText w:val="%3．"/>
      <w:lvlJc w:val="left"/>
      <w:pPr>
        <w:ind w:left="0" w:firstLine="400"/>
      </w:pPr>
      <w:rPr>
        <w:rFonts w:hint="eastAsia"/>
      </w:rPr>
    </w:lvl>
    <w:lvl w:ilvl="3">
      <w:start w:val="1"/>
      <w:numFmt w:val="decimal"/>
      <w:pStyle w:val="1007"/>
      <w:isLgl w:val="false"/>
      <w:suff w:val="nothing"/>
      <w:lvlText w:val="（%4）"/>
      <w:lvlJc w:val="left"/>
      <w:pPr>
        <w:ind w:left="0" w:firstLine="402"/>
      </w:pPr>
      <w:rPr>
        <w:rFonts w:hint="eastAsia"/>
        <w:color w:val="auto"/>
      </w:rPr>
    </w:lvl>
    <w:lvl w:ilvl="4">
      <w:start w:val="1"/>
      <w:numFmt w:val="decimal"/>
      <w:isLgl w:val="false"/>
      <w:suff w:val="nothing"/>
      <w:lvlText w:val="%5）"/>
      <w:lvlJc w:val="left"/>
      <w:pPr>
        <w:ind w:left="0" w:firstLine="402"/>
      </w:pPr>
      <w:rPr>
        <w:rFonts w:hint="eastAsia"/>
      </w:rPr>
    </w:lvl>
    <w:lvl w:ilvl="5">
      <w:start w:val="1"/>
      <w:numFmt w:val="decimalEnclosedCircleChinese"/>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1008"/>
    <w:link w:val="1004"/>
    <w:uiPriority w:val="9"/>
    <w:rPr>
      <w:rFonts w:ascii="Arial" w:hAnsi="Arial" w:eastAsia="Arial" w:cs="Arial"/>
      <w:sz w:val="40"/>
      <w:szCs w:val="40"/>
    </w:rPr>
  </w:style>
  <w:style w:type="character" w:styleId="833">
    <w:name w:val="Heading 2 Char"/>
    <w:basedOn w:val="1008"/>
    <w:link w:val="1005"/>
    <w:uiPriority w:val="9"/>
    <w:rPr>
      <w:rFonts w:ascii="Arial" w:hAnsi="Arial" w:eastAsia="Arial" w:cs="Arial"/>
      <w:sz w:val="34"/>
    </w:rPr>
  </w:style>
  <w:style w:type="character" w:styleId="834">
    <w:name w:val="Heading 3 Char"/>
    <w:basedOn w:val="1008"/>
    <w:link w:val="1006"/>
    <w:uiPriority w:val="9"/>
    <w:rPr>
      <w:rFonts w:ascii="Arial" w:hAnsi="Arial" w:eastAsia="Arial" w:cs="Arial"/>
      <w:sz w:val="30"/>
      <w:szCs w:val="30"/>
    </w:rPr>
  </w:style>
  <w:style w:type="character" w:styleId="835">
    <w:name w:val="Heading 4 Char"/>
    <w:basedOn w:val="1008"/>
    <w:link w:val="1007"/>
    <w:uiPriority w:val="9"/>
    <w:rPr>
      <w:rFonts w:ascii="Arial" w:hAnsi="Arial" w:eastAsia="Arial" w:cs="Arial"/>
      <w:b/>
      <w:bCs/>
      <w:sz w:val="26"/>
      <w:szCs w:val="26"/>
    </w:rPr>
  </w:style>
  <w:style w:type="paragraph" w:styleId="836">
    <w:name w:val="Heading 5"/>
    <w:basedOn w:val="1003"/>
    <w:next w:val="1003"/>
    <w:link w:val="837"/>
    <w:uiPriority w:val="9"/>
    <w:unhideWhenUsed/>
    <w:qFormat/>
    <w:pPr>
      <w:keepLines/>
      <w:keepNext/>
      <w:spacing w:before="320" w:after="200"/>
      <w:outlineLvl w:val="4"/>
    </w:pPr>
    <w:rPr>
      <w:rFonts w:ascii="Arial" w:hAnsi="Arial" w:eastAsia="Arial" w:cs="Arial"/>
      <w:b/>
      <w:bCs/>
      <w:sz w:val="24"/>
      <w:szCs w:val="24"/>
    </w:rPr>
  </w:style>
  <w:style w:type="character" w:styleId="837">
    <w:name w:val="Heading 5 Char"/>
    <w:basedOn w:val="1008"/>
    <w:link w:val="836"/>
    <w:uiPriority w:val="9"/>
    <w:rPr>
      <w:rFonts w:ascii="Arial" w:hAnsi="Arial" w:eastAsia="Arial" w:cs="Arial"/>
      <w:b/>
      <w:bCs/>
      <w:sz w:val="24"/>
      <w:szCs w:val="24"/>
    </w:rPr>
  </w:style>
  <w:style w:type="paragraph" w:styleId="838">
    <w:name w:val="Heading 6"/>
    <w:basedOn w:val="1003"/>
    <w:next w:val="1003"/>
    <w:link w:val="839"/>
    <w:uiPriority w:val="9"/>
    <w:unhideWhenUsed/>
    <w:qFormat/>
    <w:pPr>
      <w:keepLines/>
      <w:keepNext/>
      <w:spacing w:before="320" w:after="200"/>
      <w:outlineLvl w:val="5"/>
    </w:pPr>
    <w:rPr>
      <w:rFonts w:ascii="Arial" w:hAnsi="Arial" w:eastAsia="Arial" w:cs="Arial"/>
      <w:b/>
      <w:bCs/>
      <w:sz w:val="22"/>
      <w:szCs w:val="22"/>
    </w:rPr>
  </w:style>
  <w:style w:type="character" w:styleId="839">
    <w:name w:val="Heading 6 Char"/>
    <w:basedOn w:val="1008"/>
    <w:link w:val="838"/>
    <w:uiPriority w:val="9"/>
    <w:rPr>
      <w:rFonts w:ascii="Arial" w:hAnsi="Arial" w:eastAsia="Arial" w:cs="Arial"/>
      <w:b/>
      <w:bCs/>
      <w:sz w:val="22"/>
      <w:szCs w:val="22"/>
    </w:rPr>
  </w:style>
  <w:style w:type="paragraph" w:styleId="840">
    <w:name w:val="Heading 7"/>
    <w:basedOn w:val="1003"/>
    <w:next w:val="1003"/>
    <w:link w:val="841"/>
    <w:uiPriority w:val="9"/>
    <w:unhideWhenUsed/>
    <w:qFormat/>
    <w:pPr>
      <w:keepLines/>
      <w:keepNext/>
      <w:spacing w:before="320" w:after="200"/>
      <w:outlineLvl w:val="6"/>
    </w:pPr>
    <w:rPr>
      <w:rFonts w:ascii="Arial" w:hAnsi="Arial" w:eastAsia="Arial" w:cs="Arial"/>
      <w:b/>
      <w:bCs/>
      <w:i/>
      <w:iCs/>
      <w:sz w:val="22"/>
      <w:szCs w:val="22"/>
    </w:rPr>
  </w:style>
  <w:style w:type="character" w:styleId="841">
    <w:name w:val="Heading 7 Char"/>
    <w:basedOn w:val="1008"/>
    <w:link w:val="840"/>
    <w:uiPriority w:val="9"/>
    <w:rPr>
      <w:rFonts w:ascii="Arial" w:hAnsi="Arial" w:eastAsia="Arial" w:cs="Arial"/>
      <w:b/>
      <w:bCs/>
      <w:i/>
      <w:iCs/>
      <w:sz w:val="22"/>
      <w:szCs w:val="22"/>
    </w:rPr>
  </w:style>
  <w:style w:type="paragraph" w:styleId="842">
    <w:name w:val="Heading 8"/>
    <w:basedOn w:val="1003"/>
    <w:next w:val="1003"/>
    <w:link w:val="843"/>
    <w:uiPriority w:val="9"/>
    <w:unhideWhenUsed/>
    <w:qFormat/>
    <w:pPr>
      <w:keepLines/>
      <w:keepNext/>
      <w:spacing w:before="320" w:after="200"/>
      <w:outlineLvl w:val="7"/>
    </w:pPr>
    <w:rPr>
      <w:rFonts w:ascii="Arial" w:hAnsi="Arial" w:eastAsia="Arial" w:cs="Arial"/>
      <w:i/>
      <w:iCs/>
      <w:sz w:val="22"/>
      <w:szCs w:val="22"/>
    </w:rPr>
  </w:style>
  <w:style w:type="character" w:styleId="843">
    <w:name w:val="Heading 8 Char"/>
    <w:basedOn w:val="1008"/>
    <w:link w:val="842"/>
    <w:uiPriority w:val="9"/>
    <w:rPr>
      <w:rFonts w:ascii="Arial" w:hAnsi="Arial" w:eastAsia="Arial" w:cs="Arial"/>
      <w:i/>
      <w:iCs/>
      <w:sz w:val="22"/>
      <w:szCs w:val="22"/>
    </w:rPr>
  </w:style>
  <w:style w:type="paragraph" w:styleId="844">
    <w:name w:val="Heading 9"/>
    <w:basedOn w:val="1003"/>
    <w:next w:val="1003"/>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basedOn w:val="1008"/>
    <w:link w:val="844"/>
    <w:uiPriority w:val="9"/>
    <w:rPr>
      <w:rFonts w:ascii="Arial" w:hAnsi="Arial" w:eastAsia="Arial" w:cs="Arial"/>
      <w:i/>
      <w:iCs/>
      <w:sz w:val="21"/>
      <w:szCs w:val="21"/>
    </w:rPr>
  </w:style>
  <w:style w:type="paragraph" w:styleId="846">
    <w:name w:val="No Spacing"/>
    <w:uiPriority w:val="1"/>
    <w:qFormat/>
    <w:pPr>
      <w:spacing w:before="0" w:after="0" w:line="240" w:lineRule="auto"/>
    </w:pPr>
  </w:style>
  <w:style w:type="paragraph" w:styleId="847">
    <w:name w:val="Title"/>
    <w:basedOn w:val="1003"/>
    <w:next w:val="1003"/>
    <w:link w:val="848"/>
    <w:uiPriority w:val="10"/>
    <w:qFormat/>
    <w:pPr>
      <w:contextualSpacing/>
      <w:spacing w:before="300" w:after="200"/>
    </w:pPr>
    <w:rPr>
      <w:sz w:val="48"/>
      <w:szCs w:val="48"/>
    </w:rPr>
  </w:style>
  <w:style w:type="character" w:styleId="848">
    <w:name w:val="Title Char"/>
    <w:basedOn w:val="1008"/>
    <w:link w:val="847"/>
    <w:uiPriority w:val="10"/>
    <w:rPr>
      <w:sz w:val="48"/>
      <w:szCs w:val="48"/>
    </w:rPr>
  </w:style>
  <w:style w:type="paragraph" w:styleId="849">
    <w:name w:val="Subtitle"/>
    <w:basedOn w:val="1003"/>
    <w:next w:val="1003"/>
    <w:link w:val="850"/>
    <w:uiPriority w:val="11"/>
    <w:qFormat/>
    <w:pPr>
      <w:spacing w:before="200" w:after="200"/>
    </w:pPr>
    <w:rPr>
      <w:sz w:val="24"/>
      <w:szCs w:val="24"/>
    </w:rPr>
  </w:style>
  <w:style w:type="character" w:styleId="850">
    <w:name w:val="Subtitle Char"/>
    <w:basedOn w:val="1008"/>
    <w:link w:val="849"/>
    <w:uiPriority w:val="11"/>
    <w:rPr>
      <w:sz w:val="24"/>
      <w:szCs w:val="24"/>
    </w:rPr>
  </w:style>
  <w:style w:type="paragraph" w:styleId="851">
    <w:name w:val="Quote"/>
    <w:basedOn w:val="1003"/>
    <w:next w:val="1003"/>
    <w:link w:val="852"/>
    <w:uiPriority w:val="29"/>
    <w:qFormat/>
    <w:pPr>
      <w:ind w:left="720" w:right="720"/>
    </w:pPr>
    <w:rPr>
      <w:i/>
    </w:rPr>
  </w:style>
  <w:style w:type="character" w:styleId="852">
    <w:name w:val="Quote Char"/>
    <w:link w:val="851"/>
    <w:uiPriority w:val="29"/>
    <w:rPr>
      <w:i/>
    </w:rPr>
  </w:style>
  <w:style w:type="paragraph" w:styleId="853">
    <w:name w:val="Intense Quote"/>
    <w:basedOn w:val="1003"/>
    <w:next w:val="1003"/>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3"/>
    <w:link w:val="856"/>
    <w:uiPriority w:val="99"/>
    <w:unhideWhenUsed/>
    <w:pPr>
      <w:spacing w:after="0" w:line="240" w:lineRule="auto"/>
      <w:tabs>
        <w:tab w:val="center" w:pos="7143" w:leader="none"/>
        <w:tab w:val="right" w:pos="14287" w:leader="none"/>
      </w:tabs>
    </w:pPr>
  </w:style>
  <w:style w:type="character" w:styleId="856">
    <w:name w:val="Header Char"/>
    <w:basedOn w:val="1008"/>
    <w:link w:val="855"/>
    <w:uiPriority w:val="99"/>
  </w:style>
  <w:style w:type="paragraph" w:styleId="857">
    <w:name w:val="Footer"/>
    <w:basedOn w:val="1003"/>
    <w:link w:val="860"/>
    <w:uiPriority w:val="99"/>
    <w:unhideWhenUsed/>
    <w:pPr>
      <w:spacing w:after="0" w:line="240" w:lineRule="auto"/>
      <w:tabs>
        <w:tab w:val="center" w:pos="7143" w:leader="none"/>
        <w:tab w:val="right" w:pos="14287" w:leader="none"/>
      </w:tabs>
    </w:pPr>
  </w:style>
  <w:style w:type="character" w:styleId="858">
    <w:name w:val="Footer Char"/>
    <w:basedOn w:val="1008"/>
    <w:link w:val="857"/>
    <w:uiPriority w:val="99"/>
  </w:style>
  <w:style w:type="paragraph" w:styleId="859">
    <w:name w:val="Caption"/>
    <w:basedOn w:val="1003"/>
    <w:next w:val="1003"/>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97">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98">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99">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0">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1">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2">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2">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3">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4">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5">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6">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37">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9">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0">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1">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2">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3">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4">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3">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4">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5">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6">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57">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58">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0">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1">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2">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3">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4">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5">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7">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8">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9">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0">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1">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2">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4">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5">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6">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7">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8">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9">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3"/>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basedOn w:val="1008"/>
    <w:uiPriority w:val="99"/>
    <w:unhideWhenUsed/>
    <w:rPr>
      <w:vertAlign w:val="superscript"/>
    </w:rPr>
  </w:style>
  <w:style w:type="paragraph" w:styleId="990">
    <w:name w:val="endnote text"/>
    <w:basedOn w:val="1003"/>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8"/>
    <w:uiPriority w:val="99"/>
    <w:semiHidden/>
    <w:unhideWhenUsed/>
    <w:rPr>
      <w:vertAlign w:val="superscript"/>
    </w:rPr>
  </w:style>
  <w:style w:type="paragraph" w:styleId="993">
    <w:name w:val="toc 2"/>
    <w:basedOn w:val="1003"/>
    <w:next w:val="1003"/>
    <w:uiPriority w:val="39"/>
    <w:unhideWhenUsed/>
    <w:pPr>
      <w:ind w:left="283" w:right="0" w:firstLine="0"/>
      <w:spacing w:after="57"/>
    </w:pPr>
  </w:style>
  <w:style w:type="paragraph" w:styleId="994">
    <w:name w:val="toc 3"/>
    <w:basedOn w:val="1003"/>
    <w:next w:val="1003"/>
    <w:uiPriority w:val="39"/>
    <w:unhideWhenUsed/>
    <w:pPr>
      <w:ind w:left="567" w:right="0" w:firstLine="0"/>
      <w:spacing w:after="57"/>
    </w:pPr>
  </w:style>
  <w:style w:type="paragraph" w:styleId="995">
    <w:name w:val="toc 4"/>
    <w:basedOn w:val="1003"/>
    <w:next w:val="1003"/>
    <w:uiPriority w:val="39"/>
    <w:unhideWhenUsed/>
    <w:pPr>
      <w:ind w:left="850" w:right="0" w:firstLine="0"/>
      <w:spacing w:after="57"/>
    </w:pPr>
  </w:style>
  <w:style w:type="paragraph" w:styleId="996">
    <w:name w:val="toc 5"/>
    <w:basedOn w:val="1003"/>
    <w:next w:val="1003"/>
    <w:uiPriority w:val="39"/>
    <w:unhideWhenUsed/>
    <w:pPr>
      <w:ind w:left="1134" w:right="0" w:firstLine="0"/>
      <w:spacing w:after="57"/>
    </w:pPr>
  </w:style>
  <w:style w:type="paragraph" w:styleId="997">
    <w:name w:val="toc 6"/>
    <w:basedOn w:val="1003"/>
    <w:next w:val="1003"/>
    <w:uiPriority w:val="39"/>
    <w:unhideWhenUsed/>
    <w:pPr>
      <w:ind w:left="1417" w:right="0" w:firstLine="0"/>
      <w:spacing w:after="57"/>
    </w:pPr>
  </w:style>
  <w:style w:type="paragraph" w:styleId="998">
    <w:name w:val="toc 7"/>
    <w:basedOn w:val="1003"/>
    <w:next w:val="1003"/>
    <w:uiPriority w:val="39"/>
    <w:unhideWhenUsed/>
    <w:pPr>
      <w:ind w:left="1701" w:right="0" w:firstLine="0"/>
      <w:spacing w:after="57"/>
    </w:pPr>
  </w:style>
  <w:style w:type="paragraph" w:styleId="999">
    <w:name w:val="toc 8"/>
    <w:basedOn w:val="1003"/>
    <w:next w:val="1003"/>
    <w:uiPriority w:val="39"/>
    <w:unhideWhenUsed/>
    <w:pPr>
      <w:ind w:left="1984" w:right="0" w:firstLine="0"/>
      <w:spacing w:after="57"/>
    </w:pPr>
  </w:style>
  <w:style w:type="paragraph" w:styleId="1000">
    <w:name w:val="toc 9"/>
    <w:basedOn w:val="1003"/>
    <w:next w:val="1003"/>
    <w:uiPriority w:val="39"/>
    <w:unhideWhenUsed/>
    <w:pPr>
      <w:ind w:left="2268" w:right="0" w:firstLine="0"/>
      <w:spacing w:after="57"/>
    </w:p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1004">
    <w:name w:val="Heading 1"/>
    <w:basedOn w:val="1003"/>
    <w:next w:val="1003"/>
    <w:uiPriority w:val="0"/>
    <w:qFormat/>
    <w:pPr>
      <w:jc w:val="left"/>
      <w:spacing w:before="100" w:beforeAutospacing="1" w:after="100" w:afterAutospacing="1"/>
      <w:widowControl/>
      <w:outlineLvl w:val="0"/>
    </w:pPr>
    <w:rPr>
      <w:rFonts w:ascii="宋体" w:hAnsi="宋体" w:cs="宋体"/>
      <w:b/>
      <w:bCs/>
      <w:sz w:val="48"/>
      <w:szCs w:val="48"/>
    </w:rPr>
  </w:style>
  <w:style w:type="paragraph" w:styleId="1005">
    <w:name w:val="Heading 2"/>
    <w:basedOn w:val="1003"/>
    <w:next w:val="1003"/>
    <w:uiPriority w:val="9"/>
    <w:unhideWhenUsed/>
    <w:qFormat/>
    <w:pPr>
      <w:keepLines/>
      <w:keepNext/>
      <w:spacing w:before="360" w:after="200"/>
      <w:outlineLvl w:val="1"/>
    </w:pPr>
    <w:rPr>
      <w:rFonts w:ascii="Arial" w:hAnsi="Arial" w:eastAsia="Arial" w:cs="Arial"/>
      <w:sz w:val="34"/>
    </w:rPr>
  </w:style>
  <w:style w:type="paragraph" w:styleId="1006">
    <w:name w:val="Heading 3"/>
    <w:basedOn w:val="1003"/>
    <w:next w:val="1003"/>
    <w:uiPriority w:val="9"/>
    <w:unhideWhenUsed/>
    <w:qFormat/>
    <w:pPr>
      <w:numPr>
        <w:ilvl w:val="2"/>
        <w:numId w:val="1"/>
      </w:numPr>
      <w:ind w:firstLine="560"/>
      <w:keepLines/>
      <w:keepNext/>
      <w:spacing w:line="413" w:lineRule="auto"/>
      <w:outlineLvl w:val="2"/>
    </w:pPr>
    <w:rPr>
      <w:rFonts w:eastAsiaTheme="majorEastAsia" w:cstheme="minorEastAsia"/>
      <w:b/>
    </w:rPr>
  </w:style>
  <w:style w:type="paragraph" w:styleId="1007">
    <w:name w:val="Heading 4"/>
    <w:basedOn w:val="1003"/>
    <w:next w:val="1003"/>
    <w:uiPriority w:val="9"/>
    <w:unhideWhenUsed/>
    <w:qFormat/>
    <w:pPr>
      <w:numPr>
        <w:ilvl w:val="3"/>
        <w:numId w:val="1"/>
      </w:numPr>
      <w:ind w:firstLine="560"/>
      <w:keepLines/>
      <w:keepNext/>
      <w:spacing w:line="372" w:lineRule="auto"/>
      <w:outlineLvl w:val="3"/>
    </w:pPr>
    <w:rPr>
      <w:rFonts w:asciiTheme="majorHAnsi" w:hAnsiTheme="majorHAnsi" w:eastAsiaTheme="majorEastAsia" w:cstheme="majorEastAsia"/>
      <w:b/>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name w:val="annotation text"/>
    <w:basedOn w:val="1003"/>
    <w:link w:val="1046"/>
    <w:uiPriority w:val="0"/>
    <w:qFormat/>
    <w:pPr>
      <w:jc w:val="left"/>
    </w:pPr>
  </w:style>
  <w:style w:type="paragraph" w:styleId="1011">
    <w:name w:val="Body Text"/>
    <w:basedOn w:val="1003"/>
    <w:next w:val="1003"/>
    <w:uiPriority w:val="99"/>
    <w:unhideWhenUsed/>
    <w:qFormat/>
    <w:pPr>
      <w:spacing w:line="315" w:lineRule="atLeast"/>
    </w:pPr>
    <w:rPr>
      <w:rFonts w:ascii="仿宋_GB2312" w:eastAsia="仿宋_GB2312"/>
    </w:rPr>
  </w:style>
  <w:style w:type="paragraph" w:styleId="1012">
    <w:name w:val="Body Text Indent"/>
    <w:basedOn w:val="1003"/>
    <w:next w:val="1013"/>
    <w:uiPriority w:val="0"/>
    <w:qFormat/>
    <w:pPr>
      <w:ind w:left="420"/>
      <w:spacing w:after="120"/>
    </w:pPr>
  </w:style>
  <w:style w:type="paragraph" w:styleId="1013">
    <w:name w:val="envelope return"/>
    <w:basedOn w:val="1003"/>
    <w:uiPriority w:val="99"/>
    <w:unhideWhenUsed/>
    <w:qFormat/>
    <w:rPr>
      <w:rFonts w:ascii="Arial" w:hAnsi="Arial"/>
    </w:rPr>
  </w:style>
  <w:style w:type="paragraph" w:styleId="1014">
    <w:name w:val="index 4"/>
    <w:basedOn w:val="1003"/>
    <w:next w:val="1003"/>
    <w:uiPriority w:val="99"/>
    <w:unhideWhenUsed/>
    <w:qFormat/>
    <w:pPr>
      <w:ind w:left="600"/>
    </w:pPr>
  </w:style>
  <w:style w:type="paragraph" w:styleId="1015">
    <w:name w:val="Plain Text"/>
    <w:basedOn w:val="1003"/>
    <w:uiPriority w:val="0"/>
    <w:qFormat/>
    <w:rPr>
      <w:rFonts w:hAnsi="Courier New"/>
      <w:sz w:val="20"/>
      <w:szCs w:val="21"/>
    </w:rPr>
  </w:style>
  <w:style w:type="paragraph" w:styleId="1016">
    <w:name w:val="Balloon Text"/>
    <w:basedOn w:val="1003"/>
    <w:link w:val="1045"/>
    <w:uiPriority w:val="0"/>
    <w:qFormat/>
    <w:rPr>
      <w:sz w:val="18"/>
      <w:szCs w:val="18"/>
    </w:rPr>
  </w:style>
  <w:style w:type="paragraph" w:styleId="1017">
    <w:name w:val="toc 1"/>
    <w:basedOn w:val="1003"/>
    <w:next w:val="1003"/>
    <w:uiPriority w:val="39"/>
    <w:unhideWhenUsed/>
    <w:qFormat/>
    <w:pPr>
      <w:spacing w:after="57"/>
    </w:pPr>
  </w:style>
  <w:style w:type="paragraph" w:styleId="1018">
    <w:name w:val="Body Text 2"/>
    <w:basedOn w:val="1003"/>
    <w:uiPriority w:val="0"/>
    <w:qFormat/>
    <w:rPr>
      <w:rFonts w:ascii="仿宋_GB2312" w:eastAsia="仿宋_GB2312"/>
      <w:b/>
      <w:sz w:val="24"/>
      <w:szCs w:val="20"/>
    </w:rPr>
  </w:style>
  <w:style w:type="paragraph" w:styleId="1019">
    <w:name w:val="Normal (Web)"/>
    <w:basedOn w:val="1003"/>
    <w:uiPriority w:val="99"/>
    <w:semiHidden/>
    <w:qFormat/>
    <w:pPr>
      <w:jc w:val="left"/>
      <w:spacing w:before="100" w:beforeAutospacing="1" w:after="100" w:afterAutospacing="1"/>
      <w:widowControl/>
    </w:pPr>
    <w:rPr>
      <w:rFonts w:ascii="宋体" w:hAnsi="宋体" w:cs="宋体"/>
      <w:sz w:val="24"/>
    </w:rPr>
  </w:style>
  <w:style w:type="paragraph" w:styleId="1020">
    <w:name w:val="annotation subject"/>
    <w:basedOn w:val="1010"/>
    <w:next w:val="1010"/>
    <w:link w:val="1047"/>
    <w:uiPriority w:val="0"/>
    <w:qFormat/>
    <w:rPr>
      <w:b/>
      <w:bCs/>
    </w:rPr>
  </w:style>
  <w:style w:type="paragraph" w:styleId="1021">
    <w:name w:val="Body Text First Indent 2"/>
    <w:basedOn w:val="1012"/>
    <w:next w:val="1003"/>
    <w:uiPriority w:val="99"/>
    <w:unhideWhenUsed/>
    <w:qFormat/>
    <w:pPr>
      <w:ind w:firstLine="200"/>
    </w:pPr>
  </w:style>
  <w:style w:type="table" w:styleId="10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3">
    <w:name w:val="Strong"/>
    <w:basedOn w:val="1008"/>
    <w:uiPriority w:val="0"/>
    <w:qFormat/>
    <w:rPr>
      <w:b/>
      <w:bCs/>
    </w:rPr>
  </w:style>
  <w:style w:type="character" w:styleId="1024">
    <w:name w:val="annotation reference"/>
    <w:basedOn w:val="1008"/>
    <w:uiPriority w:val="0"/>
    <w:qFormat/>
    <w:rPr>
      <w:sz w:val="21"/>
      <w:szCs w:val="21"/>
    </w:rPr>
  </w:style>
  <w:style w:type="paragraph" w:styleId="1025" w:customStyle="1">
    <w:name w:val="正文首行缩进1"/>
    <w:basedOn w:val="1026"/>
    <w:uiPriority w:val="0"/>
    <w:qFormat/>
    <w:pPr>
      <w:ind w:firstLine="420"/>
      <w:spacing w:after="120"/>
    </w:pPr>
    <w:rPr>
      <w:rFonts w:ascii="Times New Roman" w:eastAsia="宋体"/>
      <w:szCs w:val="24"/>
    </w:rPr>
  </w:style>
  <w:style w:type="paragraph" w:styleId="1026" w:customStyle="1">
    <w:name w:val="正文文本1"/>
    <w:basedOn w:val="1027"/>
    <w:next w:val="1003"/>
    <w:uiPriority w:val="0"/>
    <w:qFormat/>
    <w:pPr>
      <w:spacing w:line="400" w:lineRule="exact"/>
    </w:pPr>
    <w:rPr>
      <w:rFonts w:ascii="楷体_GB2312"/>
      <w:sz w:val="28"/>
    </w:rPr>
  </w:style>
  <w:style w:type="paragraph" w:styleId="1027" w:customStyle="1">
    <w:name w:val="正文11"/>
    <w:next w:val="1026"/>
    <w:uiPriority w:val="99"/>
    <w:qFormat/>
    <w:pPr>
      <w:jc w:val="both"/>
      <w:widowControl w:val="off"/>
    </w:pPr>
    <w:rPr>
      <w:rFonts w:ascii="Calibri" w:hAnsi="Calibri" w:eastAsia="宋体" w:cs="Times New Roman"/>
      <w:sz w:val="21"/>
      <w:szCs w:val="21"/>
      <w:lang w:val="en-US" w:eastAsia="zh-CN" w:bidi="ar-SA"/>
    </w:rPr>
  </w:style>
  <w:style w:type="paragraph" w:styleId="1028" w:customStyle="1">
    <w:name w:val="正文文本缩进1"/>
    <w:basedOn w:val="1003"/>
    <w:next w:val="1029"/>
    <w:uiPriority w:val="0"/>
    <w:qFormat/>
    <w:pPr>
      <w:ind w:left="420"/>
      <w:spacing w:after="120"/>
    </w:pPr>
  </w:style>
  <w:style w:type="paragraph" w:styleId="1029" w:customStyle="1">
    <w:name w:val="寄信人地址1"/>
    <w:basedOn w:val="1003"/>
    <w:next w:val="1030"/>
    <w:uiPriority w:val="99"/>
    <w:unhideWhenUsed/>
    <w:qFormat/>
    <w:rPr>
      <w:rFonts w:ascii="Arial" w:hAnsi="Arial"/>
    </w:rPr>
  </w:style>
  <w:style w:type="paragraph" w:styleId="1030" w:customStyle="1">
    <w:name w:val="目录 71"/>
    <w:basedOn w:val="1003"/>
    <w:next w:val="1003"/>
    <w:uiPriority w:val="39"/>
    <w:qFormat/>
    <w:pPr>
      <w:ind w:left="1260"/>
      <w:jc w:val="left"/>
    </w:pPr>
  </w:style>
  <w:style w:type="paragraph" w:styleId="1031" w:customStyle="1">
    <w:name w:val="正文首行缩进 211"/>
    <w:basedOn w:val="1032"/>
    <w:uiPriority w:val="0"/>
    <w:unhideWhenUsed/>
    <w:qFormat/>
    <w:pPr>
      <w:ind w:left="0"/>
      <w:jc w:val="center"/>
      <w:spacing w:line="360" w:lineRule="auto"/>
    </w:pPr>
    <w:rPr>
      <w:rFonts w:ascii="Times New Roman" w:eastAsia="宋体" w:cs="宋体"/>
      <w:b/>
      <w:color w:val="000000"/>
      <w:sz w:val="48"/>
      <w:szCs w:val="48"/>
    </w:rPr>
  </w:style>
  <w:style w:type="paragraph" w:styleId="1032" w:customStyle="1">
    <w:name w:val="正文文本缩进11"/>
    <w:basedOn w:val="1003"/>
    <w:next w:val="1033"/>
    <w:uiPriority w:val="0"/>
    <w:qFormat/>
    <w:pPr>
      <w:ind w:left="570"/>
      <w:spacing w:line="520" w:lineRule="exact"/>
    </w:pPr>
    <w:rPr>
      <w:rFonts w:hint="eastAsia" w:ascii="楷体_GB2312"/>
    </w:rPr>
  </w:style>
  <w:style w:type="paragraph" w:styleId="1033" w:customStyle="1">
    <w:name w:val="寄信人地址11"/>
    <w:basedOn w:val="1003"/>
    <w:uiPriority w:val="99"/>
    <w:unhideWhenUsed/>
    <w:qFormat/>
    <w:rPr>
      <w:rFonts w:ascii="Arial" w:hAnsi="Arial"/>
    </w:rPr>
  </w:style>
  <w:style w:type="paragraph" w:styleId="1034" w:customStyle="1">
    <w:name w:val="正文缩进1"/>
    <w:basedOn w:val="1003"/>
    <w:uiPriority w:val="0"/>
    <w:qFormat/>
    <w:pPr>
      <w:jc w:val="center"/>
      <w:spacing w:line="360" w:lineRule="auto"/>
    </w:pPr>
    <w:rPr>
      <w:rFonts w:ascii="宋体" w:hAnsi="宋体" w:eastAsia="宋体"/>
      <w:b/>
      <w:sz w:val="36"/>
    </w:rPr>
  </w:style>
  <w:style w:type="character" w:styleId="1035" w:customStyle="1">
    <w:name w:val="超链接1"/>
    <w:uiPriority w:val="99"/>
    <w:qFormat/>
    <w:rPr>
      <w:rFonts w:hint="default" w:ascii="Times New Roman" w:hAnsi="Times New Roman" w:eastAsia="楷体_GB2312" w:cs="Times New Roman"/>
      <w:sz w:val="26"/>
      <w:lang w:val="en-US" w:eastAsia="zh-CN" w:bidi="ar-SA"/>
    </w:rPr>
  </w:style>
  <w:style w:type="paragraph" w:styleId="1036" w:customStyle="1">
    <w:name w:val="标题 211"/>
    <w:basedOn w:val="1003"/>
    <w:next w:val="1003"/>
    <w:uiPriority w:val="0"/>
    <w:qFormat/>
    <w:pPr>
      <w:jc w:val="left"/>
      <w:keepLines/>
      <w:keepNext/>
      <w:outlineLvl w:val="1"/>
    </w:pPr>
    <w:rPr>
      <w:rFonts w:ascii="宋体" w:hAnsi="宋体"/>
      <w:b/>
    </w:rPr>
  </w:style>
  <w:style w:type="paragraph" w:styleId="10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8" w:customStyle="1">
    <w:name w:val="null3"/>
    <w:uiPriority w:val="0"/>
    <w:qFormat/>
    <w:rPr>
      <w:rFonts w:hint="eastAsia" w:ascii="Calibri" w:hAnsi="Calibri" w:eastAsia="宋体" w:cs="Times New Roman"/>
      <w:lang w:val="en-US" w:eastAsia="zh-Hans" w:bidi="ar-SA"/>
    </w:rPr>
  </w:style>
  <w:style w:type="paragraph" w:styleId="1039" w:customStyle="1">
    <w:name w:val="目录 11"/>
    <w:basedOn w:val="1003"/>
    <w:next w:val="1003"/>
    <w:uiPriority w:val="0"/>
    <w:qFormat/>
    <w:pPr>
      <w:jc w:val="left"/>
    </w:pPr>
    <w:rPr>
      <w:sz w:val="24"/>
    </w:rPr>
  </w:style>
  <w:style w:type="paragraph" w:styleId="1040"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041" w:customStyle="1">
    <w:name w:val="页眉11"/>
    <w:basedOn w:val="1003"/>
    <w:uiPriority w:val="99"/>
    <w:qFormat/>
    <w:pPr>
      <w:jc w:val="center"/>
      <w:tabs>
        <w:tab w:val="center" w:pos="4153" w:leader="none"/>
        <w:tab w:val="right" w:pos="8306" w:leader="none"/>
      </w:tabs>
      <w:pBdr>
        <w:bottom w:val="single" w:color="000000" w:sz="6" w:space="1"/>
      </w:pBdr>
    </w:pPr>
    <w:rPr>
      <w:sz w:val="18"/>
    </w:rPr>
  </w:style>
  <w:style w:type="paragraph" w:styleId="1042" w:customStyle="1">
    <w:name w:val="页脚11"/>
    <w:basedOn w:val="1003"/>
    <w:uiPriority w:val="99"/>
    <w:qFormat/>
    <w:pPr>
      <w:jc w:val="left"/>
      <w:tabs>
        <w:tab w:val="center" w:pos="4153" w:leader="none"/>
        <w:tab w:val="right" w:pos="8306" w:leader="none"/>
      </w:tabs>
    </w:pPr>
    <w:rPr>
      <w:sz w:val="18"/>
    </w:rPr>
  </w:style>
  <w:style w:type="character" w:styleId="1043" w:customStyle="1">
    <w:name w:val="页码1"/>
    <w:uiPriority w:val="0"/>
    <w:qFormat/>
  </w:style>
  <w:style w:type="paragraph" w:styleId="1044" w:customStyle="1">
    <w:name w:val="GW-正文"/>
    <w:basedOn w:val="1003"/>
    <w:uiPriority w:val="99"/>
    <w:qFormat/>
    <w:pPr>
      <w:ind w:firstLine="200"/>
      <w:spacing w:line="360" w:lineRule="auto"/>
    </w:pPr>
    <w:rPr>
      <w:rFonts w:eastAsia="仿宋_GB2312"/>
      <w:sz w:val="24"/>
      <w:szCs w:val="24"/>
    </w:rPr>
  </w:style>
  <w:style w:type="character" w:styleId="1045" w:customStyle="1">
    <w:name w:val="批注框文本 Char"/>
    <w:basedOn w:val="1008"/>
    <w:link w:val="1016"/>
    <w:uiPriority w:val="0"/>
    <w:qFormat/>
    <w:rPr>
      <w:rFonts w:ascii="Times New Roman" w:hAnsi="Times New Roman" w:eastAsia="楷体_GB2312" w:cs="Times New Roman"/>
      <w:sz w:val="18"/>
      <w:szCs w:val="18"/>
    </w:rPr>
  </w:style>
  <w:style w:type="character" w:styleId="1046" w:customStyle="1">
    <w:name w:val="批注文字 Char"/>
    <w:basedOn w:val="1008"/>
    <w:link w:val="1010"/>
    <w:uiPriority w:val="0"/>
    <w:qFormat/>
    <w:rPr>
      <w:rFonts w:ascii="Times New Roman" w:hAnsi="Times New Roman" w:eastAsia="楷体_GB2312" w:cs="Times New Roman"/>
      <w:sz w:val="26"/>
    </w:rPr>
  </w:style>
  <w:style w:type="character" w:styleId="1047" w:customStyle="1">
    <w:name w:val="批注主题 Char"/>
    <w:basedOn w:val="1046"/>
    <w:link w:val="1020"/>
    <w:uiPriority w:val="0"/>
    <w:qFormat/>
    <w:rPr>
      <w:rFonts w:ascii="Times New Roman" w:hAnsi="Times New Roman" w:eastAsia="楷体_GB2312" w:cs="Times New Roman"/>
      <w:b/>
      <w:bCs/>
      <w:sz w:val="26"/>
    </w:rPr>
  </w:style>
  <w:style w:type="paragraph" w:styleId="1048" w:customStyle="1">
    <w:name w:val="标准正文"/>
    <w:basedOn w:val="1003"/>
    <w:uiPriority w:val="0"/>
    <w:qFormat/>
    <w:pPr>
      <w:ind w:firstLine="480"/>
      <w:spacing w:before="156" w:after="156" w:line="360" w:lineRule="auto"/>
    </w:pPr>
    <w:rPr>
      <w:rFonts w:cs="宋体"/>
      <w:sz w:val="24"/>
      <w:szCs w:val="20"/>
    </w:rPr>
  </w:style>
  <w:style w:type="paragraph" w:styleId="1049" w:customStyle="1">
    <w:name w:val="技术要求刷新"/>
    <w:basedOn w:val="1003"/>
    <w:uiPriority w:val="0"/>
    <w:qFormat/>
    <w:pPr>
      <w:ind w:firstLine="400"/>
      <w:spacing w:line="400" w:lineRule="exact"/>
    </w:pPr>
    <w:rPr>
      <w:rFonts w:hint="eastAsia" w:ascii="宋体" w:hAnsi="宋体" w:eastAsia="宋体" w:cs="宋体"/>
      <w:sz w:val="20"/>
      <w:szCs w:val="20"/>
    </w:rPr>
  </w:style>
  <w:style w:type="paragraph" w:styleId="1050"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051">
    <w:name w:val="List Paragraph"/>
    <w:basedOn w:val="1003"/>
    <w:uiPriority w:val="34"/>
    <w:qFormat/>
    <w:pPr>
      <w:ind w:firstLine="420"/>
    </w:pPr>
    <w:rPr>
      <w:rFonts w:ascii="Calibri" w:hAnsi="Calibri" w:eastAsia="宋体" w:cs="Times New Roman"/>
      <w:szCs w:val="22"/>
    </w:rPr>
  </w:style>
  <w:style w:type="paragraph" w:styleId="1052" w:customStyle="1">
    <w:name w:val="m_正文段落"/>
    <w:basedOn w:val="1003"/>
    <w:uiPriority w:val="0"/>
    <w:qFormat/>
    <w:pPr>
      <w:ind w:firstLine="200"/>
      <w:spacing w:line="360" w:lineRule="auto"/>
    </w:pPr>
    <w:rPr>
      <w:rFonts w:ascii="Arial" w:hAnsi="Arial" w:eastAsia="宋体" w:cs="Times New Roman"/>
      <w:sz w:val="24"/>
    </w:rPr>
  </w:style>
  <w:style w:type="paragraph" w:styleId="1053" w:customStyle="1">
    <w:name w:val="msonormalcxspmiddle"/>
    <w:basedOn w:val="1003"/>
    <w:uiPriority w:val="0"/>
    <w:qFormat/>
    <w:pPr>
      <w:jc w:val="left"/>
      <w:spacing w:before="100" w:beforeAutospacing="1" w:after="100" w:afterAutospacing="1"/>
      <w:widowControl/>
    </w:pPr>
    <w:rPr>
      <w:rFonts w:hint="eastAsia" w:ascii="宋体" w:hAnsi="宋体"/>
      <w:sz w:val="24"/>
    </w:rPr>
  </w:style>
  <w:style w:type="paragraph" w:styleId="1054" w:customStyle="1">
    <w:name w:val="Default"/>
    <w:next w:val="1003"/>
    <w:uiPriority w:val="0"/>
    <w:qFormat/>
    <w:pPr>
      <w:widowControl w:val="off"/>
    </w:pPr>
    <w:rPr>
      <w:rFonts w:ascii="宋体" w:hAnsi="宋体" w:eastAsia="宋体" w:cs="宋体"/>
      <w:color w:val="000000"/>
      <w:sz w:val="24"/>
      <w:szCs w:val="24"/>
      <w:lang w:val="en-US" w:eastAsia="zh-CN" w:bidi="ar-SA"/>
    </w:rPr>
  </w:style>
  <w:style w:type="paragraph" w:styleId="1055" w:customStyle="1">
    <w:name w:val="段"/>
    <w:next w:val="100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56" w:customStyle="1">
    <w:name w:val="普通正文"/>
    <w:basedOn w:val="1003"/>
    <w:uiPriority w:val="0"/>
    <w:qFormat/>
    <w:pPr>
      <w:ind w:left="-2" w:right="120" w:firstLine="480"/>
      <w:jc w:val="center"/>
      <w:spacing w:before="120" w:after="120" w:line="360" w:lineRule="auto"/>
    </w:pPr>
    <w:rPr>
      <w:rFonts w:ascii="Arial" w:hAnsi="Arial"/>
      <w:sz w:val="24"/>
    </w:rPr>
  </w:style>
  <w:style w:type="paragraph" w:styleId="1057" w:customStyle="1">
    <w:name w:val="正文缩进2格"/>
    <w:basedOn w:val="1003"/>
    <w:uiPriority w:val="0"/>
    <w:qFormat/>
    <w:pPr>
      <w:ind w:firstLine="639"/>
      <w:spacing w:line="600" w:lineRule="exact"/>
    </w:pPr>
    <w:rPr>
      <w:rFonts w:ascii="仿宋_GB2312" w:hAnsi="宋体" w:eastAsia="仿宋_GB2312"/>
      <w:sz w:val="31"/>
      <w:szCs w:val="28"/>
    </w:rPr>
  </w:style>
  <w:style w:type="paragraph" w:styleId="1058" w:customStyle="1">
    <w:name w:val="Table Text"/>
    <w:basedOn w:val="1003"/>
    <w:uiPriority w:val="0"/>
    <w:qFormat/>
    <w:pPr>
      <w:jc w:val="left"/>
    </w:pPr>
    <w:rPr>
      <w:rFonts w:hint="eastAsia" w:ascii="宋体" w:hAnsi="宋体" w:cs="宋体"/>
      <w:color w:val="000000"/>
      <w:sz w:val="25"/>
      <w:szCs w:val="25"/>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7D65D7D-B3B7-43A3-8665-C7F1910E18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姜海燕</cp:lastModifiedBy>
  <cp:revision>8</cp:revision>
  <dcterms:created xsi:type="dcterms:W3CDTF">2025-11-04T03:59:00Z</dcterms:created>
  <dcterms:modified xsi:type="dcterms:W3CDTF">2026-06-12T00:38:45Z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eyJoZGlkIjoiZTdjMjQ4YWI1Mzg2MWVkNjgzNjk1NTJkY2FlMTMwMjQiLCJ1c2VySWQiOiIxODE4ODg0MiJ9</vt:lpwstr>
  </property>
  <property fmtid="{D5CDD505-2E9C-101B-9397-08002B2CF9AE}" pid="4" name="ICV">
    <vt:lpwstr>61355350B61F4F87853C536E93940829_13</vt:lpwstr>
  </property>
</Properties>
</file>