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5BB41">
      <w:pPr>
        <w:pStyle w:val="198"/>
        <w:ind w:firstLine="0"/>
        <w:rPr>
          <w:rFonts w:hint="eastAsia" w:asciiTheme="minorEastAsia" w:hAnsiTheme="minorEastAsia" w:eastAsiaTheme="minorEastAsia" w:cstheme="minorEastAsia"/>
          <w:b/>
          <w:bCs/>
          <w:sz w:val="84"/>
        </w:rPr>
      </w:pPr>
    </w:p>
    <w:p w14:paraId="29B0B48C">
      <w:pPr>
        <w:pStyle w:val="198"/>
        <w:keepNext w:val="0"/>
        <w:keepLines w:val="0"/>
        <w:pageBreakBefore w:val="0"/>
        <w:widowControl w:val="0"/>
        <w:kinsoku/>
        <w:wordWrap/>
        <w:overflowPunct/>
        <w:topLinePunct w:val="0"/>
        <w:autoSpaceDE/>
        <w:autoSpaceDN/>
        <w:bidi w:val="0"/>
        <w:adjustRightInd/>
        <w:snapToGrid/>
        <w:spacing w:before="0" w:after="0" w:line="1200" w:lineRule="exact"/>
        <w:ind w:firstLine="0"/>
        <w:jc w:val="center"/>
        <w:textAlignment w:val="auto"/>
        <w:rPr>
          <w:rFonts w:hint="eastAsia" w:asciiTheme="minorEastAsia" w:hAnsiTheme="minorEastAsia" w:eastAsiaTheme="minorEastAsia" w:cstheme="minorEastAsia"/>
          <w:bCs/>
          <w:sz w:val="84"/>
        </w:rPr>
      </w:pPr>
      <w:r>
        <w:rPr>
          <w:rFonts w:hint="eastAsia" w:asciiTheme="minorEastAsia" w:hAnsiTheme="minorEastAsia" w:eastAsiaTheme="minorEastAsia" w:cstheme="minorEastAsia"/>
          <w:bCs/>
          <w:sz w:val="84"/>
        </w:rPr>
        <w:t>封闭式框架协议采购</w:t>
      </w:r>
    </w:p>
    <w:p w14:paraId="3E3B3D15">
      <w:pPr>
        <w:pStyle w:val="198"/>
        <w:keepNext w:val="0"/>
        <w:keepLines w:val="0"/>
        <w:pageBreakBefore w:val="0"/>
        <w:widowControl w:val="0"/>
        <w:kinsoku/>
        <w:wordWrap/>
        <w:overflowPunct/>
        <w:topLinePunct w:val="0"/>
        <w:autoSpaceDE/>
        <w:autoSpaceDN/>
        <w:bidi w:val="0"/>
        <w:adjustRightInd/>
        <w:snapToGrid/>
        <w:spacing w:before="0" w:after="0" w:line="1200" w:lineRule="exact"/>
        <w:ind w:firstLine="0"/>
        <w:jc w:val="center"/>
        <w:textAlignment w:val="auto"/>
        <w:rPr>
          <w:rFonts w:hint="eastAsia" w:asciiTheme="minorEastAsia" w:hAnsiTheme="minorEastAsia" w:eastAsiaTheme="minorEastAsia" w:cstheme="minorEastAsia"/>
          <w:bCs/>
          <w:sz w:val="84"/>
        </w:rPr>
      </w:pPr>
      <w:r>
        <w:rPr>
          <w:rFonts w:hint="eastAsia" w:asciiTheme="minorEastAsia" w:hAnsiTheme="minorEastAsia" w:eastAsiaTheme="minorEastAsia" w:cstheme="minorEastAsia"/>
          <w:bCs/>
          <w:sz w:val="84"/>
        </w:rPr>
        <w:t>征集文件</w:t>
      </w:r>
    </w:p>
    <w:p w14:paraId="401227C1">
      <w:pPr>
        <w:pStyle w:val="198"/>
        <w:ind w:firstLine="479"/>
        <w:rPr>
          <w:rFonts w:hint="eastAsia" w:asciiTheme="minorEastAsia" w:hAnsiTheme="minorEastAsia" w:eastAsiaTheme="minorEastAsia" w:cstheme="minorEastAsia"/>
          <w:b/>
          <w:bCs/>
          <w:sz w:val="32"/>
        </w:rPr>
      </w:pPr>
    </w:p>
    <w:p w14:paraId="593389F7">
      <w:pPr>
        <w:pStyle w:val="198"/>
        <w:ind w:firstLine="479"/>
        <w:rPr>
          <w:rFonts w:hint="eastAsia" w:asciiTheme="minorEastAsia" w:hAnsiTheme="minorEastAsia" w:eastAsiaTheme="minorEastAsia" w:cstheme="minorEastAsia"/>
          <w:b/>
          <w:bCs/>
          <w:sz w:val="32"/>
        </w:rPr>
      </w:pPr>
    </w:p>
    <w:p w14:paraId="413C54F9">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rPr>
      </w:pPr>
    </w:p>
    <w:p w14:paraId="62B00FF0">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rPr>
      </w:pPr>
      <w:r>
        <w:rPr>
          <w:rFonts w:hint="eastAsia" w:asciiTheme="minorEastAsia" w:hAnsiTheme="minorEastAsia" w:eastAsiaTheme="minorEastAsia" w:cstheme="minorEastAsia"/>
          <w:b w:val="0"/>
          <w:bCs w:val="0"/>
          <w:sz w:val="32"/>
          <w:szCs w:val="32"/>
        </w:rPr>
        <w:t>项目名称：南通高新技术产业开发区管理委员会</w:t>
      </w:r>
    </w:p>
    <w:p w14:paraId="1A2513E2">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highlight w:val="none"/>
        </w:rPr>
      </w:pPr>
      <w:r>
        <w:rPr>
          <w:rFonts w:hint="eastAsia" w:asciiTheme="minorEastAsia" w:hAnsiTheme="minorEastAsia" w:eastAsiaTheme="minorEastAsia" w:cstheme="minorEastAsia"/>
          <w:b w:val="0"/>
          <w:bCs w:val="0"/>
          <w:sz w:val="32"/>
          <w:szCs w:val="32"/>
        </w:rPr>
        <w:t>2026年政府投资建设项目协审服务</w:t>
      </w:r>
      <w:r>
        <w:rPr>
          <w:rFonts w:hint="eastAsia" w:asciiTheme="minorEastAsia" w:hAnsiTheme="minorEastAsia" w:eastAsiaTheme="minorEastAsia" w:cstheme="minorEastAsia"/>
          <w:b w:val="0"/>
          <w:bCs w:val="0"/>
          <w:sz w:val="32"/>
          <w:szCs w:val="32"/>
          <w:highlight w:val="none"/>
        </w:rPr>
        <w:t>框架协议采购</w:t>
      </w:r>
    </w:p>
    <w:p w14:paraId="71AC8D93">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lang w:val="en-US" w:eastAsia="zh-CN"/>
        </w:rPr>
      </w:pPr>
      <w:r>
        <w:rPr>
          <w:rFonts w:hint="eastAsia" w:asciiTheme="minorEastAsia" w:hAnsiTheme="minorEastAsia" w:eastAsiaTheme="minorEastAsia" w:cstheme="minorEastAsia"/>
          <w:b w:val="0"/>
          <w:bCs w:val="0"/>
          <w:sz w:val="32"/>
          <w:szCs w:val="32"/>
        </w:rPr>
        <w:t>项目编号：JSZC-320612-TZTY-K202</w:t>
      </w:r>
      <w:r>
        <w:rPr>
          <w:rFonts w:hint="eastAsia" w:asciiTheme="minorEastAsia" w:hAnsiTheme="minorEastAsia" w:eastAsiaTheme="minorEastAsia" w:cstheme="minorEastAsia"/>
          <w:b w:val="0"/>
          <w:bCs w:val="0"/>
          <w:sz w:val="32"/>
          <w:szCs w:val="32"/>
          <w:lang w:val="en-US" w:eastAsia="zh-CN"/>
        </w:rPr>
        <w:t>6</w:t>
      </w:r>
      <w:r>
        <w:rPr>
          <w:rFonts w:hint="eastAsia" w:asciiTheme="minorEastAsia" w:hAnsiTheme="minorEastAsia" w:eastAsiaTheme="minorEastAsia" w:cstheme="minorEastAsia"/>
          <w:b w:val="0"/>
          <w:bCs w:val="0"/>
          <w:sz w:val="32"/>
          <w:szCs w:val="32"/>
        </w:rPr>
        <w:t>-</w:t>
      </w:r>
      <w:r>
        <w:rPr>
          <w:rFonts w:hint="eastAsia" w:asciiTheme="minorEastAsia" w:hAnsiTheme="minorEastAsia" w:eastAsiaTheme="minorEastAsia" w:cstheme="minorEastAsia"/>
          <w:b w:val="0"/>
          <w:bCs w:val="0"/>
          <w:sz w:val="32"/>
          <w:szCs w:val="32"/>
          <w:lang w:val="en-US" w:eastAsia="zh-CN"/>
        </w:rPr>
        <w:t xml:space="preserve">0005 </w:t>
      </w:r>
    </w:p>
    <w:p w14:paraId="3E2F04FF">
      <w:pPr>
        <w:pStyle w:val="198"/>
        <w:spacing w:before="0" w:after="0"/>
        <w:ind w:firstLine="0"/>
        <w:rPr>
          <w:rFonts w:hint="eastAsia" w:asciiTheme="minorEastAsia" w:hAnsiTheme="minorEastAsia" w:eastAsiaTheme="minorEastAsia" w:cstheme="minorEastAsia"/>
        </w:rPr>
      </w:pPr>
    </w:p>
    <w:p w14:paraId="41B3AFE3">
      <w:pPr>
        <w:pStyle w:val="198"/>
        <w:spacing w:before="0" w:after="0"/>
        <w:ind w:firstLine="0"/>
        <w:rPr>
          <w:rFonts w:hint="eastAsia" w:asciiTheme="minorEastAsia" w:hAnsiTheme="minorEastAsia" w:eastAsiaTheme="minorEastAsia" w:cstheme="minorEastAsia"/>
        </w:rPr>
      </w:pPr>
    </w:p>
    <w:p w14:paraId="716ED993">
      <w:pPr>
        <w:pStyle w:val="198"/>
        <w:spacing w:before="0" w:after="0"/>
        <w:ind w:firstLine="0"/>
        <w:rPr>
          <w:rFonts w:hint="eastAsia" w:asciiTheme="minorEastAsia" w:hAnsiTheme="minorEastAsia" w:eastAsiaTheme="minorEastAsia" w:cstheme="minorEastAsia"/>
        </w:rPr>
      </w:pPr>
    </w:p>
    <w:p w14:paraId="584AA33F">
      <w:pPr>
        <w:pStyle w:val="198"/>
        <w:spacing w:before="0" w:after="0"/>
        <w:ind w:firstLine="0"/>
        <w:rPr>
          <w:rFonts w:hint="eastAsia" w:asciiTheme="minorEastAsia" w:hAnsiTheme="minorEastAsia" w:eastAsiaTheme="minorEastAsia" w:cstheme="minorEastAsia"/>
        </w:rPr>
      </w:pPr>
    </w:p>
    <w:p w14:paraId="6D51DFA4">
      <w:pPr>
        <w:pStyle w:val="198"/>
        <w:spacing w:before="0" w:after="0"/>
        <w:ind w:firstLine="0"/>
        <w:rPr>
          <w:rFonts w:hint="eastAsia" w:asciiTheme="minorEastAsia" w:hAnsiTheme="minorEastAsia" w:eastAsiaTheme="minorEastAsia" w:cstheme="minorEastAsia"/>
        </w:rPr>
      </w:pPr>
    </w:p>
    <w:p w14:paraId="44BD491A">
      <w:pPr>
        <w:pStyle w:val="198"/>
        <w:keepNext w:val="0"/>
        <w:keepLines w:val="0"/>
        <w:pageBreakBefore w:val="0"/>
        <w:widowControl w:val="0"/>
        <w:kinsoku/>
        <w:wordWrap/>
        <w:overflowPunct/>
        <w:topLinePunct w:val="0"/>
        <w:autoSpaceDE/>
        <w:autoSpaceDN/>
        <w:bidi w:val="0"/>
        <w:adjustRightInd/>
        <w:snapToGrid/>
        <w:spacing w:before="0" w:after="0" w:line="600" w:lineRule="exact"/>
        <w:ind w:firstLine="0"/>
        <w:jc w:val="center"/>
        <w:textAlignment w:val="auto"/>
        <w:rPr>
          <w:rFonts w:hint="eastAsia" w:asciiTheme="minorEastAsia" w:hAnsiTheme="minorEastAsia" w:eastAsiaTheme="minorEastAsia" w:cstheme="minorEastAsia"/>
          <w:b w:val="0"/>
          <w:bCs w:val="0"/>
          <w:sz w:val="32"/>
        </w:rPr>
      </w:pPr>
    </w:p>
    <w:p w14:paraId="235E780F">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val="0"/>
          <w:sz w:val="32"/>
        </w:rPr>
      </w:pPr>
    </w:p>
    <w:p w14:paraId="78B8DFC9">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val="0"/>
          <w:sz w:val="32"/>
        </w:rPr>
      </w:pPr>
      <w:r>
        <w:rPr>
          <w:rFonts w:hint="eastAsia" w:asciiTheme="minorEastAsia" w:hAnsiTheme="minorEastAsia" w:eastAsiaTheme="minorEastAsia" w:cstheme="minorEastAsia"/>
          <w:b w:val="0"/>
          <w:bCs w:val="0"/>
          <w:sz w:val="32"/>
        </w:rPr>
        <w:t>南通高新技术产业开发区管理委员会</w:t>
      </w:r>
    </w:p>
    <w:p w14:paraId="2924479B">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val="0"/>
          <w:sz w:val="32"/>
        </w:rPr>
      </w:pPr>
      <w:r>
        <w:rPr>
          <w:rFonts w:hint="eastAsia" w:asciiTheme="minorEastAsia" w:hAnsiTheme="minorEastAsia" w:eastAsiaTheme="minorEastAsia" w:cstheme="minorEastAsia"/>
          <w:b w:val="0"/>
          <w:bCs w:val="0"/>
          <w:sz w:val="32"/>
        </w:rPr>
        <w:t>南通市通州天元建设监理咨询有限公司</w:t>
      </w:r>
    </w:p>
    <w:p w14:paraId="6E0FA0E8">
      <w:pPr>
        <w:keepNext w:val="0"/>
        <w:keepLines w:val="0"/>
        <w:pageBreakBefore w:val="0"/>
        <w:widowControl w:val="0"/>
        <w:kinsoku/>
        <w:wordWrap/>
        <w:overflowPunct/>
        <w:topLinePunct w:val="0"/>
        <w:autoSpaceDE/>
        <w:autoSpaceDN/>
        <w:bidi w:val="0"/>
        <w:adjustRightInd/>
        <w:snapToGrid/>
        <w:spacing w:line="360" w:lineRule="auto"/>
        <w:ind w:firstLine="641"/>
        <w:jc w:val="center"/>
        <w:textAlignment w:val="auto"/>
        <w:rPr>
          <w:rFonts w:ascii="宋体" w:hAnsi="宋体" w:cs="宋体"/>
          <w:kern w:val="0"/>
          <w:sz w:val="32"/>
          <w:szCs w:val="32"/>
        </w:rPr>
      </w:pPr>
      <w:r>
        <w:rPr>
          <w:rFonts w:hint="eastAsia" w:asciiTheme="minorEastAsia" w:hAnsiTheme="minorEastAsia" w:eastAsiaTheme="minorEastAsia" w:cstheme="minorEastAsia"/>
          <w:b w:val="0"/>
          <w:bCs w:val="0"/>
          <w:sz w:val="32"/>
        </w:rPr>
        <w:t>202</w:t>
      </w:r>
      <w:r>
        <w:rPr>
          <w:rFonts w:hint="eastAsia" w:asciiTheme="minorEastAsia" w:hAnsiTheme="minorEastAsia" w:eastAsiaTheme="minorEastAsia" w:cstheme="minorEastAsia"/>
          <w:b w:val="0"/>
          <w:bCs w:val="0"/>
          <w:sz w:val="32"/>
          <w:lang w:val="en-US" w:eastAsia="zh-CN"/>
        </w:rPr>
        <w:t>6</w:t>
      </w:r>
      <w:r>
        <w:rPr>
          <w:rFonts w:hint="eastAsia" w:asciiTheme="minorEastAsia" w:hAnsiTheme="minorEastAsia" w:eastAsiaTheme="minorEastAsia" w:cstheme="minorEastAsia"/>
          <w:b w:val="0"/>
          <w:bCs w:val="0"/>
          <w:sz w:val="32"/>
        </w:rPr>
        <w:t>年</w:t>
      </w:r>
      <w:r>
        <w:rPr>
          <w:rFonts w:hint="eastAsia" w:asciiTheme="minorEastAsia" w:hAnsiTheme="minorEastAsia" w:eastAsiaTheme="minorEastAsia" w:cstheme="minorEastAsia"/>
          <w:b w:val="0"/>
          <w:bCs w:val="0"/>
          <w:sz w:val="32"/>
          <w:lang w:val="en-US" w:eastAsia="zh-CN"/>
        </w:rPr>
        <w:t>6</w:t>
      </w:r>
      <w:r>
        <w:rPr>
          <w:rFonts w:hint="eastAsia" w:asciiTheme="minorEastAsia" w:hAnsiTheme="minorEastAsia" w:eastAsiaTheme="minorEastAsia" w:cstheme="minorEastAsia"/>
          <w:b w:val="0"/>
          <w:bCs w:val="0"/>
          <w:sz w:val="32"/>
        </w:rPr>
        <w:t>月</w:t>
      </w:r>
      <w:r>
        <w:rPr>
          <w:rFonts w:hint="eastAsia" w:asciiTheme="minorEastAsia" w:hAnsiTheme="minorEastAsia" w:eastAsiaTheme="minorEastAsia" w:cstheme="minorEastAsia"/>
          <w:b w:val="0"/>
          <w:bCs w:val="0"/>
          <w:sz w:val="32"/>
          <w:lang w:val="en-US" w:eastAsia="zh-CN"/>
        </w:rPr>
        <w:t>17</w:t>
      </w:r>
      <w:r>
        <w:rPr>
          <w:rFonts w:hint="eastAsia" w:asciiTheme="minorEastAsia" w:hAnsiTheme="minorEastAsia" w:eastAsiaTheme="minorEastAsia" w:cstheme="minorEastAsia"/>
          <w:b w:val="0"/>
          <w:bCs w:val="0"/>
          <w:sz w:val="32"/>
        </w:rPr>
        <w:t>日</w:t>
      </w:r>
      <w:r>
        <w:rPr>
          <w:rFonts w:hint="eastAsia" w:asciiTheme="minorEastAsia" w:hAnsiTheme="minorEastAsia" w:eastAsiaTheme="minorEastAsia" w:cstheme="minorEastAsia"/>
          <w:b w:val="0"/>
          <w:bCs w:val="0"/>
        </w:rPr>
        <w:br w:type="page" w:clear="all"/>
      </w:r>
      <w:bookmarkStart w:id="0" w:name="_Toc120614210"/>
      <w:bookmarkStart w:id="1" w:name="_Toc523127445"/>
      <w:bookmarkStart w:id="2" w:name="_Toc513029200"/>
      <w:bookmarkStart w:id="3" w:name="_Toc20823272"/>
      <w:bookmarkStart w:id="4" w:name="_Toc16938516"/>
      <w:bookmarkStart w:id="5" w:name="_Toc479757206"/>
      <w:r>
        <w:rPr>
          <w:rFonts w:hint="eastAsia" w:asciiTheme="majorEastAsia" w:hAnsiTheme="majorEastAsia" w:eastAsiaTheme="majorEastAsia"/>
          <w:color w:val="0D0D0D" w:themeColor="text1" w:themeTint="F2"/>
          <w:sz w:val="44"/>
          <w:szCs w:val="44"/>
          <w14:textFill>
            <w14:solidFill>
              <w14:schemeClr w14:val="tx1">
                <w14:lumMod w14:val="95000"/>
                <w14:lumOff w14:val="5000"/>
              </w14:schemeClr>
            </w14:solidFill>
          </w14:textFill>
        </w:rPr>
        <w:t>采购文件备案表</w:t>
      </w:r>
    </w:p>
    <w:tbl>
      <w:tblPr>
        <w:tblStyle w:val="44"/>
        <w:tblpPr w:leftFromText="180" w:rightFromText="180" w:vertAnchor="page" w:horzAnchor="page" w:tblpXSpec="center" w:tblpY="2619"/>
        <w:tblOverlap w:val="never"/>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8"/>
        <w:gridCol w:w="6040"/>
      </w:tblGrid>
      <w:tr w14:paraId="4B2B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51" w:hRule="atLeast"/>
          <w:jc w:val="center"/>
        </w:trPr>
        <w:tc>
          <w:tcPr>
            <w:tcW w:w="3018" w:type="dxa"/>
            <w:vAlign w:val="center"/>
          </w:tcPr>
          <w:p w14:paraId="137C3455">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采购代理</w:t>
            </w:r>
          </w:p>
        </w:tc>
        <w:tc>
          <w:tcPr>
            <w:tcW w:w="6040" w:type="dxa"/>
          </w:tcPr>
          <w:p w14:paraId="1B226494">
            <w:pPr>
              <w:rPr>
                <w:rFonts w:cs="仿宋" w:asciiTheme="minorEastAsia" w:hAnsiTheme="minorEastAsia" w:eastAsiaTheme="minorEastAsia"/>
                <w:sz w:val="32"/>
                <w:szCs w:val="32"/>
              </w:rPr>
            </w:pPr>
          </w:p>
          <w:p w14:paraId="5C6E8019">
            <w:pPr>
              <w:rPr>
                <w:rFonts w:cs="仿宋" w:asciiTheme="minorEastAsia" w:hAnsiTheme="minorEastAsia" w:eastAsiaTheme="minorEastAsia"/>
                <w:sz w:val="32"/>
                <w:szCs w:val="32"/>
              </w:rPr>
            </w:pPr>
          </w:p>
          <w:p w14:paraId="5E767E25">
            <w:pPr>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编制人：</w:t>
            </w:r>
          </w:p>
          <w:p w14:paraId="378E866F">
            <w:pPr>
              <w:pStyle w:val="3"/>
              <w:rPr>
                <w:rFonts w:hint="eastAsia" w:cs="仿宋" w:asciiTheme="minorEastAsia" w:hAnsiTheme="minorEastAsia" w:eastAsiaTheme="minorEastAsia"/>
                <w:sz w:val="30"/>
                <w:szCs w:val="30"/>
              </w:rPr>
            </w:pPr>
          </w:p>
          <w:p w14:paraId="34696870">
            <w:pPr>
              <w:pStyle w:val="3"/>
              <w:rPr>
                <w:rFonts w:hint="eastAsia" w:cs="仿宋" w:asciiTheme="minorEastAsia" w:hAnsiTheme="minorEastAsia" w:eastAsiaTheme="minorEastAsia"/>
                <w:sz w:val="30"/>
                <w:szCs w:val="30"/>
              </w:rPr>
            </w:pPr>
          </w:p>
          <w:p w14:paraId="7193558E">
            <w:pPr>
              <w:pStyle w:val="3"/>
              <w:rPr>
                <w:rFonts w:hint="eastAsia"/>
              </w:rPr>
            </w:pPr>
          </w:p>
          <w:p w14:paraId="3C328E41">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采购代理：  （公章）</w:t>
            </w:r>
          </w:p>
          <w:p w14:paraId="5D7D0266">
            <w:pPr>
              <w:rPr>
                <w:rFonts w:cs="仿宋" w:asciiTheme="minorEastAsia" w:hAnsiTheme="minorEastAsia" w:eastAsiaTheme="minorEastAsia"/>
                <w:sz w:val="30"/>
                <w:szCs w:val="30"/>
              </w:rPr>
            </w:pPr>
          </w:p>
          <w:p w14:paraId="4CCCB2A1">
            <w:pPr>
              <w:ind w:firstLine="3150" w:firstLineChars="105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年  月  日</w:t>
            </w:r>
          </w:p>
          <w:p w14:paraId="2EE12D21">
            <w:pPr>
              <w:pStyle w:val="2"/>
              <w:rPr>
                <w:rFonts w:hint="eastAsia" w:cs="仿宋" w:asciiTheme="minorEastAsia" w:hAnsiTheme="minorEastAsia" w:eastAsiaTheme="minorEastAsia"/>
                <w:sz w:val="30"/>
                <w:szCs w:val="30"/>
              </w:rPr>
            </w:pPr>
          </w:p>
          <w:p w14:paraId="4E3E8B6C">
            <w:pPr>
              <w:pStyle w:val="3"/>
              <w:rPr>
                <w:rFonts w:hint="eastAsia"/>
              </w:rPr>
            </w:pPr>
          </w:p>
          <w:p w14:paraId="541244C9">
            <w:pPr>
              <w:rPr>
                <w:rFonts w:cs="仿宋" w:asciiTheme="minorEastAsia" w:hAnsiTheme="minorEastAsia" w:eastAsiaTheme="minorEastAsia"/>
                <w:sz w:val="30"/>
                <w:szCs w:val="30"/>
              </w:rPr>
            </w:pPr>
          </w:p>
        </w:tc>
      </w:tr>
      <w:tr w14:paraId="3290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2" w:hRule="atLeast"/>
          <w:jc w:val="center"/>
        </w:trPr>
        <w:tc>
          <w:tcPr>
            <w:tcW w:w="3018" w:type="dxa"/>
            <w:vAlign w:val="center"/>
          </w:tcPr>
          <w:p w14:paraId="2B6CD865">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采购人</w:t>
            </w:r>
          </w:p>
          <w:p w14:paraId="71AE44E9">
            <w:pPr>
              <w:jc w:val="center"/>
              <w:rPr>
                <w:rFonts w:cs="仿宋" w:asciiTheme="minorEastAsia" w:hAnsiTheme="minorEastAsia" w:eastAsiaTheme="minorEastAsia"/>
                <w:szCs w:val="24"/>
              </w:rPr>
            </w:pPr>
          </w:p>
        </w:tc>
        <w:tc>
          <w:tcPr>
            <w:tcW w:w="6040" w:type="dxa"/>
          </w:tcPr>
          <w:p w14:paraId="5DE4701E">
            <w:pPr>
              <w:rPr>
                <w:rFonts w:cs="仿宋" w:asciiTheme="minorEastAsia" w:hAnsiTheme="minorEastAsia" w:eastAsiaTheme="minorEastAsia"/>
                <w:sz w:val="30"/>
                <w:szCs w:val="30"/>
              </w:rPr>
            </w:pPr>
          </w:p>
          <w:p w14:paraId="16E69B89">
            <w:pPr>
              <w:pStyle w:val="3"/>
              <w:ind w:left="0" w:leftChars="0" w:firstLine="0" w:firstLineChars="0"/>
              <w:rPr>
                <w:rFonts w:cs="仿宋" w:asciiTheme="minorEastAsia" w:hAnsiTheme="minorEastAsia" w:eastAsiaTheme="minorEastAsia"/>
                <w:sz w:val="30"/>
                <w:szCs w:val="30"/>
              </w:rPr>
            </w:pPr>
          </w:p>
          <w:p w14:paraId="7673091B">
            <w:pPr>
              <w:pStyle w:val="37"/>
            </w:pPr>
          </w:p>
          <w:p w14:paraId="6C990F76">
            <w:pPr>
              <w:pStyle w:val="19"/>
            </w:pPr>
          </w:p>
          <w:p w14:paraId="309AECBE">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审阅人：</w:t>
            </w:r>
          </w:p>
          <w:p w14:paraId="3204D17F">
            <w:pPr>
              <w:rPr>
                <w:rFonts w:cs="仿宋" w:asciiTheme="minorEastAsia" w:hAnsiTheme="minorEastAsia" w:eastAsiaTheme="minorEastAsia"/>
                <w:sz w:val="30"/>
                <w:szCs w:val="30"/>
              </w:rPr>
            </w:pPr>
          </w:p>
          <w:p w14:paraId="0F0F1A0C">
            <w:pPr>
              <w:pStyle w:val="3"/>
            </w:pPr>
          </w:p>
          <w:p w14:paraId="007D22EC">
            <w:pPr>
              <w:pStyle w:val="3"/>
            </w:pPr>
          </w:p>
          <w:p w14:paraId="0450418A">
            <w:pPr>
              <w:pStyle w:val="3"/>
            </w:pPr>
          </w:p>
          <w:p w14:paraId="766ABEE1">
            <w:pPr>
              <w:pStyle w:val="37"/>
              <w:ind w:left="0" w:leftChars="0" w:firstLine="0" w:firstLineChars="0"/>
            </w:pPr>
          </w:p>
          <w:p w14:paraId="6132CD84">
            <w:pPr>
              <w:rPr>
                <w:rFonts w:cs="仿宋" w:asciiTheme="minorEastAsia" w:hAnsiTheme="minorEastAsia" w:eastAsiaTheme="minorEastAsia"/>
                <w:sz w:val="30"/>
                <w:szCs w:val="30"/>
              </w:rPr>
            </w:pPr>
          </w:p>
          <w:p w14:paraId="1B2793B4">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采购人（盖章）：</w:t>
            </w:r>
          </w:p>
          <w:p w14:paraId="4EDC3EE5">
            <w:pPr>
              <w:rPr>
                <w:rFonts w:cs="仿宋" w:asciiTheme="minorEastAsia" w:hAnsiTheme="minorEastAsia" w:eastAsiaTheme="minorEastAsia"/>
                <w:szCs w:val="24"/>
              </w:rPr>
            </w:pPr>
          </w:p>
          <w:p w14:paraId="7C29994E">
            <w:pPr>
              <w:rPr>
                <w:rFonts w:cs="仿宋" w:asciiTheme="minorEastAsia" w:hAnsiTheme="minorEastAsia" w:eastAsiaTheme="minorEastAsia"/>
                <w:szCs w:val="24"/>
              </w:rPr>
            </w:pPr>
          </w:p>
          <w:p w14:paraId="331574D6">
            <w:pPr>
              <w:rPr>
                <w:rFonts w:cs="仿宋" w:asciiTheme="minorEastAsia" w:hAnsiTheme="minorEastAsia" w:eastAsiaTheme="minorEastAsia"/>
                <w:szCs w:val="24"/>
              </w:rPr>
            </w:pPr>
          </w:p>
          <w:p w14:paraId="4296A5B2">
            <w:pPr>
              <w:rPr>
                <w:rFonts w:cs="仿宋" w:asciiTheme="minorEastAsia" w:hAnsiTheme="minorEastAsia" w:eastAsiaTheme="minorEastAsia"/>
                <w:szCs w:val="24"/>
              </w:rPr>
            </w:pPr>
          </w:p>
          <w:p w14:paraId="252BDD67">
            <w:pPr>
              <w:rPr>
                <w:rFonts w:cs="仿宋" w:asciiTheme="minorEastAsia" w:hAnsiTheme="minorEastAsia" w:eastAsiaTheme="minorEastAsia"/>
                <w:szCs w:val="24"/>
              </w:rPr>
            </w:pPr>
          </w:p>
          <w:p w14:paraId="25403AE1">
            <w:pPr>
              <w:ind w:firstLine="3300" w:firstLineChars="110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年  月  日</w:t>
            </w:r>
          </w:p>
          <w:p w14:paraId="29053B91">
            <w:pPr>
              <w:pStyle w:val="2"/>
              <w:rPr>
                <w:rFonts w:hint="eastAsia" w:cs="仿宋" w:asciiTheme="minorEastAsia" w:hAnsiTheme="minorEastAsia" w:eastAsiaTheme="minorEastAsia"/>
                <w:sz w:val="30"/>
                <w:szCs w:val="30"/>
              </w:rPr>
            </w:pPr>
          </w:p>
          <w:p w14:paraId="615FAAF1">
            <w:pPr>
              <w:pStyle w:val="3"/>
              <w:rPr>
                <w:rFonts w:hint="eastAsia"/>
              </w:rPr>
            </w:pPr>
          </w:p>
          <w:p w14:paraId="090C275A">
            <w:pPr>
              <w:pStyle w:val="3"/>
            </w:pPr>
          </w:p>
        </w:tc>
      </w:tr>
    </w:tbl>
    <w:p w14:paraId="001F8945">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sz w:val="44"/>
        </w:rPr>
      </w:pPr>
    </w:p>
    <w:p w14:paraId="371FB56D">
      <w:pPr>
        <w:pStyle w:val="198"/>
        <w:keepNext w:val="0"/>
        <w:keepLines w:val="0"/>
        <w:pageBreakBefore w:val="0"/>
        <w:widowControl w:val="0"/>
        <w:kinsoku/>
        <w:wordWrap/>
        <w:overflowPunct/>
        <w:topLinePunct w:val="0"/>
        <w:autoSpaceDE/>
        <w:autoSpaceDN/>
        <w:bidi w:val="0"/>
        <w:adjustRightInd/>
        <w:snapToGrid/>
        <w:spacing w:before="0" w:after="0" w:line="700" w:lineRule="exact"/>
        <w:ind w:firstLine="0"/>
        <w:jc w:val="center"/>
        <w:textAlignment w:val="auto"/>
        <w:rPr>
          <w:rFonts w:hint="eastAsia" w:asciiTheme="minorEastAsia" w:hAnsiTheme="minorEastAsia" w:eastAsiaTheme="minorEastAsia" w:cstheme="minorEastAsia"/>
          <w:b w:val="0"/>
          <w:bCs/>
          <w:sz w:val="44"/>
          <w:lang w:val="en-US" w:eastAsia="zh-CN"/>
        </w:rPr>
      </w:pPr>
    </w:p>
    <w:p w14:paraId="50D5CC68">
      <w:pPr>
        <w:pStyle w:val="198"/>
        <w:keepNext w:val="0"/>
        <w:keepLines w:val="0"/>
        <w:pageBreakBefore w:val="0"/>
        <w:widowControl w:val="0"/>
        <w:kinsoku/>
        <w:wordWrap/>
        <w:overflowPunct/>
        <w:topLinePunct w:val="0"/>
        <w:autoSpaceDE/>
        <w:autoSpaceDN/>
        <w:bidi w:val="0"/>
        <w:adjustRightInd/>
        <w:snapToGrid/>
        <w:spacing w:before="0" w:after="0" w:line="700" w:lineRule="exact"/>
        <w:ind w:firstLine="0"/>
        <w:jc w:val="center"/>
        <w:textAlignment w:val="auto"/>
        <w:rPr>
          <w:rFonts w:hint="eastAsia" w:asciiTheme="minorEastAsia" w:hAnsiTheme="minorEastAsia" w:eastAsiaTheme="minorEastAsia" w:cstheme="minorEastAsia"/>
          <w:b w:val="0"/>
          <w:bCs/>
          <w:sz w:val="44"/>
          <w:lang w:val="en-US" w:eastAsia="zh-CN"/>
        </w:rPr>
      </w:pPr>
    </w:p>
    <w:p w14:paraId="7BDB6996">
      <w:pPr>
        <w:pStyle w:val="198"/>
        <w:keepNext w:val="0"/>
        <w:keepLines w:val="0"/>
        <w:pageBreakBefore w:val="0"/>
        <w:widowControl w:val="0"/>
        <w:kinsoku/>
        <w:wordWrap/>
        <w:overflowPunct/>
        <w:topLinePunct w:val="0"/>
        <w:autoSpaceDE/>
        <w:autoSpaceDN/>
        <w:bidi w:val="0"/>
        <w:adjustRightInd/>
        <w:snapToGrid/>
        <w:spacing w:before="0" w:after="0" w:line="700" w:lineRule="exact"/>
        <w:ind w:firstLine="0"/>
        <w:jc w:val="center"/>
        <w:textAlignment w:val="auto"/>
        <w:rPr>
          <w:rFonts w:hint="default" w:asciiTheme="minorEastAsia" w:hAnsiTheme="minorEastAsia" w:eastAsiaTheme="minorEastAsia" w:cstheme="minorEastAsia"/>
          <w:b w:val="0"/>
          <w:bCs/>
          <w:sz w:val="44"/>
          <w:lang w:val="en-US" w:eastAsia="zh-CN"/>
        </w:rPr>
      </w:pPr>
      <w:r>
        <w:rPr>
          <w:rFonts w:hint="eastAsia" w:asciiTheme="minorEastAsia" w:hAnsiTheme="minorEastAsia" w:eastAsiaTheme="minorEastAsia" w:cstheme="minorEastAsia"/>
          <w:b w:val="0"/>
          <w:bCs/>
          <w:sz w:val="44"/>
          <w:lang w:val="en-US" w:eastAsia="zh-CN"/>
        </w:rPr>
        <w:t>总 目 录</w:t>
      </w:r>
    </w:p>
    <w:p w14:paraId="54326212">
      <w:pPr>
        <w:numPr>
          <w:ilvl w:val="0"/>
          <w:numId w:val="2"/>
        </w:numPr>
        <w:spacing w:line="480" w:lineRule="auto"/>
        <w:outlineLvl w:val="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6"/>
        </w:rPr>
        <w:t>参加征集活动的邀请</w:t>
      </w:r>
    </w:p>
    <w:p w14:paraId="2070D35A">
      <w:pPr>
        <w:numPr>
          <w:ilvl w:val="0"/>
          <w:numId w:val="2"/>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bCs/>
          <w:sz w:val="36"/>
          <w:szCs w:val="36"/>
        </w:rPr>
        <w:t>供应商须</w:t>
      </w:r>
      <w:r>
        <w:rPr>
          <w:rFonts w:hint="eastAsia" w:asciiTheme="minorEastAsia" w:hAnsiTheme="minorEastAsia" w:eastAsiaTheme="minorEastAsia" w:cstheme="minorEastAsia"/>
          <w:bCs/>
          <w:sz w:val="36"/>
          <w:szCs w:val="36"/>
          <w:lang w:val="en-US" w:eastAsia="zh-CN"/>
        </w:rPr>
        <w:t>知</w:t>
      </w:r>
    </w:p>
    <w:p w14:paraId="26013E32">
      <w:pPr>
        <w:numPr>
          <w:ilvl w:val="0"/>
          <w:numId w:val="2"/>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框架协议文本</w:t>
      </w:r>
    </w:p>
    <w:p w14:paraId="233A8992">
      <w:pPr>
        <w:numPr>
          <w:ilvl w:val="0"/>
          <w:numId w:val="2"/>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采购需求</w:t>
      </w:r>
    </w:p>
    <w:p w14:paraId="332F5BCE">
      <w:pPr>
        <w:numPr>
          <w:ilvl w:val="0"/>
          <w:numId w:val="2"/>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bCs/>
          <w:sz w:val="36"/>
          <w:szCs w:val="36"/>
        </w:rPr>
        <w:t>确定入围及成交供应商</w:t>
      </w:r>
    </w:p>
    <w:p w14:paraId="64FEEF55">
      <w:pPr>
        <w:numPr>
          <w:ilvl w:val="0"/>
          <w:numId w:val="2"/>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响应文件格式</w:t>
      </w:r>
    </w:p>
    <w:p w14:paraId="61CD7728">
      <w:pPr>
        <w:rPr>
          <w:rFonts w:hint="eastAsia" w:asciiTheme="minorEastAsia" w:hAnsiTheme="minorEastAsia" w:eastAsiaTheme="minorEastAsia" w:cstheme="minorEastAsia"/>
        </w:rPr>
      </w:pPr>
    </w:p>
    <w:p w14:paraId="07EA6504">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p>
    <w:p w14:paraId="1888754F">
      <w:pPr>
        <w:pStyle w:val="5"/>
        <w:keepNext/>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sz w:val="44"/>
          <w:szCs w:val="44"/>
        </w:rPr>
        <w:t xml:space="preserve">第一章  </w:t>
      </w:r>
      <w:bookmarkEnd w:id="0"/>
      <w:r>
        <w:rPr>
          <w:rFonts w:hint="eastAsia" w:asciiTheme="minorEastAsia" w:hAnsiTheme="minorEastAsia" w:eastAsiaTheme="minorEastAsia" w:cstheme="minorEastAsia"/>
          <w:sz w:val="44"/>
          <w:szCs w:val="44"/>
        </w:rPr>
        <w:t>参加征集活动的邀请</w:t>
      </w:r>
    </w:p>
    <w:p w14:paraId="3E40CCBD">
      <w:pPr>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u w:val="single"/>
        </w:rPr>
        <w:t>南通市通州天元建设监理咨询有限公司</w:t>
      </w:r>
      <w:r>
        <w:rPr>
          <w:rFonts w:hint="eastAsia" w:asciiTheme="minorEastAsia" w:hAnsiTheme="minorEastAsia" w:eastAsiaTheme="minorEastAsia" w:cstheme="minorEastAsia"/>
          <w:bCs/>
          <w:sz w:val="21"/>
          <w:szCs w:val="21"/>
        </w:rPr>
        <w:t>（以下简称“代理机构”）受</w:t>
      </w:r>
      <w:r>
        <w:rPr>
          <w:rFonts w:hint="eastAsia" w:asciiTheme="minorEastAsia" w:hAnsiTheme="minorEastAsia" w:eastAsiaTheme="minorEastAsia" w:cstheme="minorEastAsia"/>
          <w:bCs/>
          <w:sz w:val="21"/>
          <w:szCs w:val="21"/>
          <w:u w:val="single"/>
        </w:rPr>
        <w:t>南通高新技术产业开发区管理委员会</w:t>
      </w:r>
      <w:r>
        <w:rPr>
          <w:rFonts w:hint="eastAsia" w:asciiTheme="minorEastAsia" w:hAnsiTheme="minorEastAsia" w:eastAsiaTheme="minorEastAsia" w:cstheme="minorEastAsia"/>
          <w:bCs/>
          <w:sz w:val="21"/>
          <w:szCs w:val="21"/>
        </w:rPr>
        <w:t>的委托，</w:t>
      </w:r>
      <w:r>
        <w:rPr>
          <w:rFonts w:hint="eastAsia" w:asciiTheme="minorEastAsia" w:hAnsiTheme="minorEastAsia" w:eastAsiaTheme="minorEastAsia" w:cstheme="minorEastAsia"/>
          <w:sz w:val="21"/>
          <w:szCs w:val="21"/>
        </w:rPr>
        <w:t>现就</w:t>
      </w:r>
      <w:r>
        <w:rPr>
          <w:rFonts w:hint="eastAsia" w:asciiTheme="minorEastAsia" w:hAnsiTheme="minorEastAsia" w:eastAsiaTheme="minorEastAsia" w:cstheme="minorEastAsia"/>
          <w:sz w:val="21"/>
          <w:szCs w:val="21"/>
          <w:u w:val="single"/>
          <w:lang w:val="en-US" w:eastAsia="zh-CN" w:bidi="ar-SA"/>
        </w:rPr>
        <w:t>南通高新技术产业开发区管理委员会2026年政府投资建设项目协审服务</w:t>
      </w:r>
      <w:r>
        <w:rPr>
          <w:rFonts w:hint="eastAsia" w:asciiTheme="minorEastAsia" w:hAnsiTheme="minorEastAsia" w:eastAsiaTheme="minorEastAsia" w:cstheme="minorEastAsia"/>
          <w:bCs/>
          <w:sz w:val="21"/>
          <w:szCs w:val="21"/>
          <w:u w:val="single"/>
        </w:rPr>
        <w:t>框架协议采购</w:t>
      </w:r>
      <w:r>
        <w:rPr>
          <w:rFonts w:hint="eastAsia" w:asciiTheme="minorEastAsia" w:hAnsiTheme="minorEastAsia" w:eastAsiaTheme="minorEastAsia" w:cstheme="minorEastAsia"/>
          <w:bCs/>
          <w:sz w:val="21"/>
          <w:szCs w:val="21"/>
        </w:rPr>
        <w:t>(项目编号：JSZC-320612-TZTY-K202</w:t>
      </w: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eastAsia="zh-CN"/>
        </w:rPr>
        <w:t>0005</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征集供应商，欢迎符合条件的供应商参加本次框架协议采购活动。</w:t>
      </w:r>
    </w:p>
    <w:p w14:paraId="252C5895">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项目概况</w:t>
      </w:r>
    </w:p>
    <w:p w14:paraId="0C8711B4">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lang w:val="en-US" w:eastAsia="zh-CN" w:bidi="ar-SA"/>
        </w:rPr>
        <w:t>南通高新技术产业开发区管理委员会2026年政府投资建设项目协审服务</w:t>
      </w:r>
      <w:r>
        <w:rPr>
          <w:rFonts w:hint="eastAsia" w:asciiTheme="minorEastAsia" w:hAnsiTheme="minorEastAsia" w:eastAsiaTheme="minorEastAsia" w:cstheme="minorEastAsia"/>
          <w:bCs/>
          <w:sz w:val="21"/>
          <w:szCs w:val="21"/>
        </w:rPr>
        <w:t>框架协议采购的潜在供应商可在“江苏政府采购网”自行免费下载征集文件，并于202</w:t>
      </w: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年</w:t>
      </w:r>
      <w:r>
        <w:rPr>
          <w:rFonts w:hint="eastAsia" w:asciiTheme="minorEastAsia" w:hAnsiTheme="minorEastAsia" w:eastAsiaTheme="minorEastAsia" w:cstheme="minorEastAsia"/>
          <w:bCs/>
          <w:sz w:val="21"/>
          <w:szCs w:val="21"/>
          <w:lang w:val="en-US" w:eastAsia="zh-CN"/>
        </w:rPr>
        <w:t>7</w:t>
      </w:r>
      <w:r>
        <w:rPr>
          <w:rFonts w:hint="eastAsia" w:asciiTheme="minorEastAsia" w:hAnsiTheme="minorEastAsia" w:eastAsiaTheme="minorEastAsia" w:cstheme="minorEastAsia"/>
          <w:bCs/>
          <w:sz w:val="21"/>
          <w:szCs w:val="21"/>
        </w:rPr>
        <w:t>月</w:t>
      </w:r>
      <w:r>
        <w:rPr>
          <w:rFonts w:hint="eastAsia" w:asciiTheme="minorEastAsia" w:hAnsiTheme="minorEastAsia" w:eastAsiaTheme="minorEastAsia" w:cstheme="minorEastAsia"/>
          <w:bCs/>
          <w:sz w:val="21"/>
          <w:szCs w:val="21"/>
          <w:u w:val="single"/>
          <w:lang w:val="en-US" w:eastAsia="zh-CN"/>
        </w:rPr>
        <w:t xml:space="preserve">15 </w:t>
      </w:r>
      <w:r>
        <w:rPr>
          <w:rFonts w:hint="eastAsia" w:asciiTheme="minorEastAsia" w:hAnsiTheme="minorEastAsia" w:eastAsiaTheme="minorEastAsia" w:cstheme="minorEastAsia"/>
          <w:bCs/>
          <w:sz w:val="21"/>
          <w:szCs w:val="21"/>
        </w:rPr>
        <w:t>日9</w:t>
      </w:r>
      <w:r>
        <w:rPr>
          <w:rFonts w:hint="eastAsia" w:asciiTheme="minorEastAsia" w:hAnsiTheme="minorEastAsia" w:eastAsiaTheme="minorEastAsia" w:cstheme="minorEastAsia"/>
          <w:bCs/>
          <w:sz w:val="21"/>
          <w:szCs w:val="21"/>
          <w:lang w:val="en-US" w:eastAsia="zh-CN"/>
        </w:rPr>
        <w:t>时0</w:t>
      </w:r>
      <w:r>
        <w:rPr>
          <w:rFonts w:hint="eastAsia" w:asciiTheme="minorEastAsia" w:hAnsiTheme="minorEastAsia" w:eastAsiaTheme="minorEastAsia" w:cstheme="minorEastAsia"/>
          <w:bCs/>
          <w:sz w:val="21"/>
          <w:szCs w:val="21"/>
        </w:rPr>
        <w:t>0分（北京时间）前提交响应文件。</w:t>
      </w:r>
    </w:p>
    <w:p w14:paraId="468C5E89">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6" w:name="_Toc35393790"/>
      <w:bookmarkStart w:id="7" w:name="_Toc35393621"/>
      <w:bookmarkStart w:id="8" w:name="_Toc28359079"/>
      <w:bookmarkStart w:id="9" w:name="_Toc28359002"/>
      <w:bookmarkStart w:id="10" w:name="_Toc38985263"/>
      <w:bookmarkStart w:id="11" w:name="_Hlk24379207"/>
      <w:r>
        <w:rPr>
          <w:rFonts w:hint="eastAsia" w:asciiTheme="minorEastAsia" w:hAnsiTheme="minorEastAsia" w:eastAsiaTheme="minorEastAsia" w:cstheme="minorEastAsia"/>
          <w:sz w:val="21"/>
          <w:szCs w:val="21"/>
        </w:rPr>
        <w:t>一、项目基本情况</w:t>
      </w:r>
      <w:bookmarkEnd w:id="6"/>
      <w:bookmarkEnd w:id="7"/>
      <w:bookmarkEnd w:id="8"/>
      <w:bookmarkEnd w:id="9"/>
      <w:bookmarkEnd w:id="10"/>
    </w:p>
    <w:bookmarkEnd w:id="11"/>
    <w:p w14:paraId="53B764BD">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bCs/>
          <w:sz w:val="21"/>
          <w:szCs w:val="21"/>
          <w:lang w:val="en-US" w:eastAsia="zh-CN"/>
        </w:rPr>
      </w:pPr>
      <w:bookmarkStart w:id="12" w:name="_Toc28359003"/>
      <w:bookmarkStart w:id="13" w:name="_Toc38985264"/>
      <w:bookmarkStart w:id="14" w:name="_Toc35393622"/>
      <w:bookmarkStart w:id="15" w:name="_Toc28359080"/>
      <w:bookmarkStart w:id="16" w:name="_Toc35393791"/>
      <w:r>
        <w:rPr>
          <w:rFonts w:hint="eastAsia" w:asciiTheme="minorEastAsia" w:hAnsiTheme="minorEastAsia" w:eastAsiaTheme="minorEastAsia" w:cstheme="minorEastAsia"/>
          <w:bCs/>
          <w:sz w:val="21"/>
          <w:szCs w:val="21"/>
        </w:rPr>
        <w:t>1.项目编号：JSZC-320612-TZTY-K202</w:t>
      </w: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eastAsia="zh-CN"/>
        </w:rPr>
        <w:t>0005</w:t>
      </w:r>
    </w:p>
    <w:p w14:paraId="195B3D8E">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2.项目名称：南通高新技术产业开发区管理委员会2026年政府投资建设项目协审服务框架协议采购</w:t>
      </w:r>
    </w:p>
    <w:p w14:paraId="6E1F0A0A">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3.项目类型：服务</w:t>
      </w:r>
    </w:p>
    <w:p w14:paraId="67158386">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4.所属行业：</w:t>
      </w:r>
      <w:r>
        <w:rPr>
          <w:rFonts w:hint="eastAsia" w:asciiTheme="minorEastAsia" w:hAnsiTheme="minorEastAsia" w:eastAsiaTheme="minorEastAsia" w:cstheme="minorEastAsia"/>
          <w:bCs/>
          <w:sz w:val="21"/>
          <w:szCs w:val="21"/>
          <w:lang w:val="en-US" w:eastAsia="zh-CN"/>
        </w:rPr>
        <w:t>其他未列明行</w:t>
      </w:r>
      <w:r>
        <w:rPr>
          <w:rFonts w:hint="eastAsia" w:asciiTheme="minorEastAsia" w:hAnsiTheme="minorEastAsia" w:eastAsiaTheme="minorEastAsia" w:cstheme="minorEastAsia"/>
          <w:bCs/>
          <w:sz w:val="21"/>
          <w:szCs w:val="21"/>
        </w:rPr>
        <w:t>业</w:t>
      </w:r>
    </w:p>
    <w:p w14:paraId="496531C0">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rPr>
        <w:t>5.</w:t>
      </w:r>
      <w:r>
        <w:rPr>
          <w:rFonts w:hint="eastAsia" w:asciiTheme="minorEastAsia" w:hAnsiTheme="minorEastAsia" w:eastAsiaTheme="minorEastAsia" w:cstheme="minorEastAsia"/>
          <w:bCs/>
          <w:sz w:val="21"/>
          <w:szCs w:val="21"/>
          <w:highlight w:val="none"/>
        </w:rPr>
        <w:t>预算金额：</w:t>
      </w:r>
      <w:r>
        <w:rPr>
          <w:rFonts w:hint="eastAsia" w:asciiTheme="minorEastAsia" w:hAnsiTheme="minorEastAsia" w:eastAsiaTheme="minorEastAsia" w:cstheme="minorEastAsia"/>
          <w:bCs/>
          <w:sz w:val="21"/>
          <w:szCs w:val="21"/>
          <w:highlight w:val="none"/>
          <w:lang w:val="en-US" w:eastAsia="zh-CN"/>
        </w:rPr>
        <w:t>350</w:t>
      </w:r>
      <w:r>
        <w:rPr>
          <w:rFonts w:hint="eastAsia" w:asciiTheme="minorEastAsia" w:hAnsiTheme="minorEastAsia" w:eastAsiaTheme="minorEastAsia" w:cstheme="minorEastAsia"/>
          <w:bCs/>
          <w:sz w:val="21"/>
          <w:szCs w:val="21"/>
          <w:highlight w:val="none"/>
        </w:rPr>
        <w:t>万元。</w:t>
      </w:r>
    </w:p>
    <w:p w14:paraId="5E54D762">
      <w:pPr>
        <w:pageBreakBefore w:val="0"/>
        <w:kinsoku/>
        <w:wordWrap/>
        <w:overflowPunct/>
        <w:topLinePunct w:val="0"/>
        <w:autoSpaceDE/>
        <w:autoSpaceDN/>
        <w:bidi w:val="0"/>
        <w:adjustRightInd/>
        <w:snapToGrid/>
        <w:spacing w:line="400" w:lineRule="exact"/>
        <w:ind w:firstLine="768" w:firstLineChars="366"/>
        <w:textAlignment w:val="auto"/>
        <w:rPr>
          <w:rFonts w:hint="default"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rPr>
        <w:t>最高限价</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本项目包含市政工程、房屋建筑工程、装修工程、园林绿化工程、供电供水工程等项目的造价审核和咨询服务，人民币</w:t>
      </w:r>
      <w:r>
        <w:rPr>
          <w:rFonts w:hint="eastAsia" w:asciiTheme="minorEastAsia" w:hAnsiTheme="minorEastAsia" w:eastAsiaTheme="minorEastAsia" w:cstheme="minorEastAsia"/>
          <w:bCs/>
          <w:sz w:val="21"/>
          <w:szCs w:val="21"/>
          <w:highlight w:val="none"/>
          <w:lang w:val="en-US" w:eastAsia="zh-CN"/>
        </w:rPr>
        <w:t>350</w:t>
      </w:r>
      <w:r>
        <w:rPr>
          <w:rFonts w:hint="eastAsia" w:asciiTheme="minorEastAsia" w:hAnsiTheme="minorEastAsia" w:eastAsiaTheme="minorEastAsia" w:cstheme="minorEastAsia"/>
          <w:bCs/>
          <w:sz w:val="21"/>
          <w:szCs w:val="21"/>
          <w:highlight w:val="none"/>
        </w:rPr>
        <w:t>万元</w:t>
      </w:r>
      <w:r>
        <w:rPr>
          <w:rFonts w:hint="eastAsia" w:asciiTheme="minorEastAsia" w:hAnsiTheme="minorEastAsia" w:eastAsiaTheme="minorEastAsia" w:cstheme="minorEastAsia"/>
          <w:bCs/>
          <w:sz w:val="21"/>
          <w:szCs w:val="21"/>
          <w:highlight w:val="none"/>
          <w:lang w:val="en-US" w:eastAsia="zh-CN"/>
        </w:rPr>
        <w:t>/年</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协审费用具体详见征集文件第三章。</w:t>
      </w:r>
    </w:p>
    <w:p w14:paraId="559E3144">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6.适用本次框架协议的采购人或服务对象范围：南通高新技术产业开发区管理委员会</w:t>
      </w:r>
      <w:r>
        <w:rPr>
          <w:rFonts w:hint="eastAsia" w:asciiTheme="minorEastAsia" w:hAnsiTheme="minorEastAsia" w:eastAsiaTheme="minorEastAsia" w:cstheme="minorEastAsia"/>
          <w:bCs/>
          <w:sz w:val="21"/>
          <w:szCs w:val="21"/>
          <w:highlight w:val="none"/>
          <w:lang w:eastAsia="zh-CN"/>
        </w:rPr>
        <w:t>。</w:t>
      </w:r>
    </w:p>
    <w:p w14:paraId="5F9AEB65">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7.采购需求：详见征集文件第四章。</w:t>
      </w:r>
    </w:p>
    <w:p w14:paraId="2CB9C365">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8.框架协议的期限：两年（自框架协议签订之日起两年）。</w:t>
      </w:r>
    </w:p>
    <w:p w14:paraId="0FE8AE3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9.本次征集活动不收取保证金。</w:t>
      </w:r>
    </w:p>
    <w:p w14:paraId="6A1C613E">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二、供应商的资格要求：</w:t>
      </w:r>
      <w:bookmarkEnd w:id="12"/>
      <w:bookmarkEnd w:id="13"/>
      <w:bookmarkEnd w:id="14"/>
      <w:bookmarkEnd w:id="15"/>
      <w:bookmarkEnd w:id="16"/>
    </w:p>
    <w:p w14:paraId="67FD732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7" w:name="_Toc35393792"/>
      <w:bookmarkStart w:id="18" w:name="_Toc35393623"/>
      <w:bookmarkStart w:id="19" w:name="_Toc28359081"/>
      <w:bookmarkStart w:id="20" w:name="_Toc38985265"/>
      <w:bookmarkStart w:id="21" w:name="_Toc28359004"/>
      <w:r>
        <w:rPr>
          <w:rFonts w:hint="eastAsia" w:asciiTheme="minorEastAsia" w:hAnsiTheme="minorEastAsia" w:eastAsiaTheme="minorEastAsia" w:cstheme="minorEastAsia"/>
          <w:sz w:val="21"/>
          <w:szCs w:val="21"/>
        </w:rPr>
        <w:t>（一）通用资格要求</w:t>
      </w:r>
    </w:p>
    <w:p w14:paraId="6D21006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1.满足《中华人民共和国政府采购法》第二十二条。</w:t>
      </w:r>
    </w:p>
    <w:p w14:paraId="0FCB09B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18493C6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3.落实政府采购政策需满足的资格要求：本项目属于专门面向中小企业采购的项目,供应商应为中小微企业、监狱企业或残疾人福利性单位，并按照</w:t>
      </w:r>
      <w:r>
        <w:rPr>
          <w:rFonts w:hint="eastAsia" w:asciiTheme="minorEastAsia" w:hAnsiTheme="minorEastAsia" w:eastAsiaTheme="minorEastAsia" w:cstheme="minorEastAsia"/>
          <w:sz w:val="21"/>
          <w:szCs w:val="21"/>
          <w:lang w:val="en-US" w:eastAsia="zh-CN"/>
        </w:rPr>
        <w:t>征集</w:t>
      </w:r>
      <w:r>
        <w:rPr>
          <w:rFonts w:hint="eastAsia" w:asciiTheme="minorEastAsia" w:hAnsiTheme="minorEastAsia" w:eastAsiaTheme="minorEastAsia" w:cstheme="minorEastAsia"/>
          <w:sz w:val="21"/>
          <w:szCs w:val="21"/>
        </w:rPr>
        <w:t>文件要求提供《中小企业声明函》</w:t>
      </w:r>
      <w:r>
        <w:rPr>
          <w:rFonts w:hint="eastAsia" w:asciiTheme="minorEastAsia" w:hAnsiTheme="minorEastAsia" w:eastAsiaTheme="minorEastAsia" w:cstheme="minorEastAsia"/>
          <w:sz w:val="21"/>
          <w:szCs w:val="21"/>
          <w:lang w:val="en-US" w:eastAsia="zh-CN"/>
        </w:rPr>
        <w:t>或</w:t>
      </w:r>
      <w:r>
        <w:rPr>
          <w:rFonts w:hint="eastAsia" w:asciiTheme="minorEastAsia" w:hAnsiTheme="minorEastAsia" w:eastAsiaTheme="minorEastAsia" w:cstheme="minorEastAsia"/>
          <w:sz w:val="21"/>
          <w:szCs w:val="21"/>
        </w:rPr>
        <w:t>《残疾人福利性单位声明函》或监狱和戒毒企业证明材料。</w:t>
      </w:r>
    </w:p>
    <w:p w14:paraId="0B6106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4.本项目不接受联合体投标。</w:t>
      </w:r>
    </w:p>
    <w:p w14:paraId="5E0378C7">
      <w:pPr>
        <w:pStyle w:val="43"/>
        <w:pageBreakBefore w:val="0"/>
        <w:widowControl w:val="0"/>
        <w:kinsoku/>
        <w:wordWrap/>
        <w:overflowPunct/>
        <w:topLinePunct w:val="0"/>
        <w:autoSpaceDE/>
        <w:autoSpaceDN/>
        <w:bidi w:val="0"/>
        <w:adjustRightInd/>
        <w:snapToGrid/>
        <w:spacing w:after="0"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（二）本项目的特定资格要求：</w:t>
      </w:r>
    </w:p>
    <w:p w14:paraId="02075FCD">
      <w:pPr>
        <w:pageBreakBefore w:val="0"/>
        <w:widowControl w:val="0"/>
        <w:kinsoku/>
        <w:wordWrap/>
        <w:overflowPunct/>
        <w:topLinePunct w:val="0"/>
        <w:autoSpaceDE/>
        <w:autoSpaceDN/>
        <w:bidi w:val="0"/>
        <w:adjustRightInd/>
        <w:snapToGrid/>
        <w:spacing w:line="400" w:lineRule="exact"/>
        <w:ind w:firstLine="7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bCs/>
          <w:sz w:val="21"/>
          <w:szCs w:val="21"/>
        </w:rPr>
        <w:t>拟派项目负责人</w:t>
      </w:r>
      <w:r>
        <w:rPr>
          <w:rFonts w:hint="eastAsia" w:asciiTheme="minorEastAsia" w:hAnsiTheme="minorEastAsia" w:eastAsiaTheme="minorEastAsia" w:cstheme="minorEastAsia"/>
          <w:sz w:val="21"/>
          <w:szCs w:val="21"/>
        </w:rPr>
        <w:t>为供应商正式人员，</w:t>
      </w:r>
      <w:r>
        <w:rPr>
          <w:rFonts w:hint="eastAsia" w:cs="Times New Roman" w:asciiTheme="minorEastAsia" w:hAnsiTheme="minorEastAsia" w:eastAsiaTheme="minorEastAsia"/>
          <w:sz w:val="21"/>
          <w:szCs w:val="21"/>
          <w:highlight w:val="none"/>
        </w:rPr>
        <w:t>具有一级注册造价工程师证书（或国家注册造价工程师证书）且同时具备高级工程师及以上职称</w:t>
      </w:r>
      <w:r>
        <w:rPr>
          <w:rFonts w:hint="eastAsia" w:asciiTheme="minorEastAsia" w:hAnsiTheme="minorEastAsia" w:eastAsiaTheme="minorEastAsia" w:cstheme="minorEastAsia"/>
          <w:sz w:val="21"/>
          <w:szCs w:val="21"/>
          <w:highlight w:val="none"/>
        </w:rPr>
        <w:t>。</w:t>
      </w:r>
    </w:p>
    <w:p w14:paraId="5F5DB8F3">
      <w:pPr>
        <w:pageBreakBefore w:val="0"/>
        <w:widowControl w:val="0"/>
        <w:kinsoku/>
        <w:wordWrap/>
        <w:overflowPunct/>
        <w:topLinePunct w:val="0"/>
        <w:autoSpaceDE/>
        <w:autoSpaceDN/>
        <w:bidi w:val="0"/>
        <w:adjustRightInd/>
        <w:snapToGrid/>
        <w:spacing w:line="400" w:lineRule="exact"/>
        <w:ind w:firstLine="7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b/>
          <w:bCs/>
          <w:sz w:val="21"/>
          <w:szCs w:val="21"/>
          <w:highlight w:val="none"/>
        </w:rPr>
        <w:t>拟派项目组组成人员</w:t>
      </w:r>
      <w:r>
        <w:rPr>
          <w:rFonts w:hint="eastAsia" w:asciiTheme="minorEastAsia" w:hAnsiTheme="minorEastAsia" w:eastAsiaTheme="minorEastAsia" w:cstheme="minorEastAsia"/>
          <w:sz w:val="21"/>
          <w:szCs w:val="21"/>
          <w:highlight w:val="none"/>
        </w:rPr>
        <w:t>为供应商正式人员，</w:t>
      </w:r>
      <w:r>
        <w:rPr>
          <w:rFonts w:hint="eastAsia" w:cs="Times New Roman" w:asciiTheme="minorEastAsia" w:hAnsiTheme="minorEastAsia" w:eastAsiaTheme="minorEastAsia"/>
          <w:sz w:val="21"/>
          <w:szCs w:val="21"/>
          <w:highlight w:val="none"/>
        </w:rPr>
        <w:t>不少于8人（含8人，不包括拟派项目负责人），</w:t>
      </w:r>
      <w:r>
        <w:rPr>
          <w:rFonts w:hint="eastAsia" w:cs="Times New Roman" w:asciiTheme="minorEastAsia" w:hAnsiTheme="minorEastAsia" w:eastAsiaTheme="minorEastAsia"/>
          <w:sz w:val="21"/>
          <w:szCs w:val="21"/>
          <w:highlight w:val="none"/>
          <w:lang w:val="en-US" w:eastAsia="zh-CN"/>
        </w:rPr>
        <w:t>其中</w:t>
      </w:r>
      <w:r>
        <w:rPr>
          <w:rFonts w:hint="eastAsia" w:cs="Times New Roman" w:asciiTheme="minorEastAsia" w:hAnsiTheme="minorEastAsia" w:eastAsiaTheme="minorEastAsia"/>
          <w:sz w:val="21"/>
          <w:szCs w:val="21"/>
          <w:highlight w:val="none"/>
          <w:lang w:eastAsia="zh-CN"/>
        </w:rPr>
        <w:t>具有</w:t>
      </w:r>
      <w:r>
        <w:rPr>
          <w:rFonts w:hint="eastAsia" w:cs="Times New Roman" w:asciiTheme="minorEastAsia" w:hAnsiTheme="minorEastAsia" w:eastAsiaTheme="minorEastAsia"/>
          <w:sz w:val="21"/>
          <w:szCs w:val="21"/>
          <w:highlight w:val="none"/>
        </w:rPr>
        <w:t>一级注册造价工程师（或国家注册造价工程师）不少于</w:t>
      </w:r>
      <w:r>
        <w:rPr>
          <w:rFonts w:hint="eastAsia" w:cs="Times New Roman" w:asciiTheme="minorEastAsia" w:hAnsiTheme="minorEastAsia" w:eastAsiaTheme="minorEastAsia"/>
          <w:sz w:val="21"/>
          <w:szCs w:val="21"/>
          <w:highlight w:val="none"/>
          <w:lang w:val="en-US" w:eastAsia="zh-CN"/>
        </w:rPr>
        <w:t>2</w:t>
      </w:r>
      <w:r>
        <w:rPr>
          <w:rFonts w:hint="eastAsia" w:cs="Times New Roman" w:asciiTheme="minorEastAsia" w:hAnsiTheme="minorEastAsia" w:eastAsiaTheme="minorEastAsia"/>
          <w:sz w:val="21"/>
          <w:szCs w:val="21"/>
          <w:highlight w:val="none"/>
        </w:rPr>
        <w:t>人（含</w:t>
      </w:r>
      <w:r>
        <w:rPr>
          <w:rFonts w:hint="eastAsia" w:cs="Times New Roman" w:asciiTheme="minorEastAsia" w:hAnsiTheme="minorEastAsia" w:eastAsiaTheme="minorEastAsia"/>
          <w:sz w:val="21"/>
          <w:szCs w:val="21"/>
          <w:highlight w:val="none"/>
          <w:lang w:val="en-US" w:eastAsia="zh-CN"/>
        </w:rPr>
        <w:t>2</w:t>
      </w:r>
      <w:r>
        <w:rPr>
          <w:rFonts w:hint="eastAsia" w:cs="Times New Roman" w:asciiTheme="minorEastAsia" w:hAnsiTheme="minorEastAsia" w:eastAsiaTheme="minorEastAsia"/>
          <w:sz w:val="21"/>
          <w:szCs w:val="21"/>
          <w:highlight w:val="none"/>
        </w:rPr>
        <w:t>人）</w:t>
      </w:r>
      <w:r>
        <w:rPr>
          <w:rFonts w:hint="eastAsia" w:asciiTheme="minorEastAsia" w:hAnsiTheme="minorEastAsia" w:eastAsiaTheme="minorEastAsia" w:cstheme="minorEastAsia"/>
          <w:sz w:val="21"/>
          <w:szCs w:val="21"/>
          <w:highlight w:val="none"/>
        </w:rPr>
        <w:t>。</w:t>
      </w:r>
    </w:p>
    <w:p w14:paraId="314611BD">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w:t>
      </w:r>
      <w:bookmarkEnd w:id="17"/>
      <w:bookmarkEnd w:id="18"/>
      <w:bookmarkEnd w:id="19"/>
      <w:bookmarkEnd w:id="20"/>
      <w:bookmarkEnd w:id="21"/>
      <w:r>
        <w:rPr>
          <w:rFonts w:hint="eastAsia" w:asciiTheme="minorEastAsia" w:hAnsiTheme="minorEastAsia" w:eastAsiaTheme="minorEastAsia" w:cstheme="minorEastAsia"/>
          <w:sz w:val="21"/>
          <w:szCs w:val="21"/>
        </w:rPr>
        <w:t>获取征集文件</w:t>
      </w:r>
    </w:p>
    <w:p w14:paraId="4B46254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22" w:name="_Toc28359005"/>
      <w:bookmarkStart w:id="23" w:name="_Toc38985266"/>
      <w:bookmarkStart w:id="24" w:name="_Toc28359082"/>
      <w:bookmarkStart w:id="25" w:name="_Toc35393624"/>
      <w:bookmarkStart w:id="26" w:name="_Toc35393793"/>
      <w:r>
        <w:rPr>
          <w:rFonts w:hint="eastAsia" w:asciiTheme="minorEastAsia" w:hAnsiTheme="minorEastAsia" w:eastAsiaTheme="minorEastAsia" w:cstheme="minorEastAsia"/>
          <w:sz w:val="21"/>
          <w:szCs w:val="21"/>
        </w:rPr>
        <w:t>1.时间：自征集公告发布之日起至</w:t>
      </w:r>
      <w:r>
        <w:rPr>
          <w:rFonts w:hint="eastAsia" w:asciiTheme="minorEastAsia" w:hAnsiTheme="minorEastAsia" w:eastAsiaTheme="minorEastAsia" w:cstheme="minorEastAsia"/>
          <w:b/>
          <w:bCs/>
          <w:sz w:val="21"/>
          <w:szCs w:val="21"/>
        </w:rPr>
        <w:t>202</w:t>
      </w:r>
      <w:r>
        <w:rPr>
          <w:rFonts w:hint="eastAsia" w:asciiTheme="minorEastAsia" w:hAnsiTheme="minorEastAsia" w:eastAsiaTheme="minorEastAsia" w:cstheme="minorEastAsia"/>
          <w:b/>
          <w:bCs/>
          <w:sz w:val="21"/>
          <w:szCs w:val="21"/>
          <w:lang w:val="en-US" w:eastAsia="zh-CN"/>
        </w:rPr>
        <w:t>6</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lang w:val="en-US" w:eastAsia="zh-CN"/>
        </w:rPr>
        <w:t>7</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lang w:val="en-US" w:eastAsia="zh-CN"/>
        </w:rPr>
        <w:t>15</w:t>
      </w:r>
      <w:r>
        <w:rPr>
          <w:rFonts w:hint="eastAsia" w:asciiTheme="minorEastAsia" w:hAnsiTheme="minorEastAsia" w:eastAsiaTheme="minorEastAsia" w:cstheme="minorEastAsia"/>
          <w:b/>
          <w:bCs/>
          <w:sz w:val="21"/>
          <w:szCs w:val="21"/>
        </w:rPr>
        <w:t>日9</w:t>
      </w:r>
      <w:r>
        <w:rPr>
          <w:rFonts w:hint="eastAsia" w:asciiTheme="minorEastAsia" w:hAnsiTheme="minorEastAsia" w:eastAsiaTheme="minorEastAsia" w:cstheme="minorEastAsia"/>
          <w:b/>
          <w:bCs/>
          <w:sz w:val="21"/>
          <w:szCs w:val="21"/>
          <w:lang w:val="en-US" w:eastAsia="zh-CN"/>
        </w:rPr>
        <w:t>时00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w:t>
      </w:r>
    </w:p>
    <w:p w14:paraId="4B6ECC4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2.方式：在“江苏政府采购网”自行免费下载征集文件。</w:t>
      </w:r>
    </w:p>
    <w:p w14:paraId="5E83447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2.1潜在供应商访问电子招标响应交易平台的网络地址和方法：</w:t>
      </w:r>
    </w:p>
    <w:p w14:paraId="1558A495">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5E3869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2.2潜在供应商访问“苏采云”系统的网络地址和方法：“苏采云”系统的网址：http://jszfcg.jsczt.cn/。</w:t>
      </w:r>
    </w:p>
    <w:p w14:paraId="6788314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2.3“CA数字证书”的获取：</w:t>
      </w:r>
    </w:p>
    <w:p w14:paraId="073DB748">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35131E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2.4采购文件（后缀名为“.kedt”）、供应商操作手册及政府采购客户端工具可通过“苏采云”系统--已报名项目--报名详情页面内相应链接进行下载。</w:t>
      </w:r>
    </w:p>
    <w:p w14:paraId="1874321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2.5代理机构将数据电文形式的采购文件加载至“苏采云”系统，供潜在供应商下载或者查阅。</w:t>
      </w:r>
    </w:p>
    <w:p w14:paraId="5C55630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2.6请潜在投标单位提前安装相应的控件（详见《江苏省政府采购管理交易系统（苏采云）供应商操作手册》）并使用谷歌浏览器登录“苏采云”系统参与不见面开评标。</w:t>
      </w:r>
    </w:p>
    <w:p w14:paraId="1BC8D086">
      <w:pPr>
        <w:pageBreakBefore w:val="0"/>
        <w:widowControl w:val="0"/>
        <w:kinsoku/>
        <w:wordWrap/>
        <w:overflowPunct/>
        <w:topLinePunct w:val="0"/>
        <w:autoSpaceDE/>
        <w:autoSpaceDN/>
        <w:bidi w:val="0"/>
        <w:adjustRightInd/>
        <w:snapToGrid/>
        <w:spacing w:line="400" w:lineRule="exact"/>
        <w:ind w:firstLine="562"/>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注：如潜在供应商未按上述要求操作，将自行承担所产生的风险。</w:t>
      </w:r>
    </w:p>
    <w:p w14:paraId="1C18C2BB">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w:t>
      </w:r>
      <w:bookmarkEnd w:id="22"/>
      <w:bookmarkEnd w:id="23"/>
      <w:bookmarkEnd w:id="24"/>
      <w:bookmarkEnd w:id="25"/>
      <w:bookmarkEnd w:id="26"/>
      <w:r>
        <w:rPr>
          <w:rFonts w:hint="eastAsia" w:asciiTheme="minorEastAsia" w:hAnsiTheme="minorEastAsia" w:eastAsiaTheme="minorEastAsia" w:cstheme="minorEastAsia"/>
          <w:sz w:val="21"/>
          <w:szCs w:val="21"/>
        </w:rPr>
        <w:t>响应文件的提交方式、截止时间和地点，开启方式、时间和地点</w:t>
      </w:r>
    </w:p>
    <w:p w14:paraId="3EFAD1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1.响应文件的提交截止时间及开启时间</w:t>
      </w:r>
      <w:r>
        <w:rPr>
          <w:rFonts w:hint="eastAsia" w:asciiTheme="minorEastAsia" w:hAnsiTheme="minorEastAsia" w:eastAsiaTheme="minorEastAsia" w:cstheme="minorEastAsia"/>
          <w:b/>
          <w:bCs/>
          <w:sz w:val="21"/>
          <w:szCs w:val="21"/>
        </w:rPr>
        <w:t>202</w:t>
      </w:r>
      <w:r>
        <w:rPr>
          <w:rFonts w:hint="eastAsia" w:asciiTheme="minorEastAsia" w:hAnsiTheme="minorEastAsia" w:eastAsiaTheme="minorEastAsia" w:cstheme="minorEastAsia"/>
          <w:b/>
          <w:bCs/>
          <w:sz w:val="21"/>
          <w:szCs w:val="21"/>
          <w:lang w:val="en-US" w:eastAsia="zh-CN"/>
        </w:rPr>
        <w:t>6</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lang w:val="en-US" w:eastAsia="zh-CN"/>
        </w:rPr>
        <w:t>7</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lang w:val="en-US" w:eastAsia="zh-CN"/>
        </w:rPr>
        <w:t>15</w:t>
      </w:r>
      <w:r>
        <w:rPr>
          <w:rFonts w:hint="eastAsia" w:asciiTheme="minorEastAsia" w:hAnsiTheme="minorEastAsia" w:eastAsiaTheme="minorEastAsia" w:cstheme="minorEastAsia"/>
          <w:b/>
          <w:bCs/>
          <w:sz w:val="21"/>
          <w:szCs w:val="21"/>
        </w:rPr>
        <w:t>日9</w:t>
      </w:r>
      <w:r>
        <w:rPr>
          <w:rFonts w:hint="eastAsia" w:asciiTheme="minorEastAsia" w:hAnsiTheme="minorEastAsia" w:eastAsiaTheme="minorEastAsia" w:cstheme="minorEastAsia"/>
          <w:b/>
          <w:bCs/>
          <w:sz w:val="21"/>
          <w:szCs w:val="21"/>
          <w:lang w:val="en-US" w:eastAsia="zh-CN"/>
        </w:rPr>
        <w:t>时00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（北京时间）。逾时，交易系统将拒绝接受上传响应文件电子文档。</w:t>
      </w:r>
    </w:p>
    <w:p w14:paraId="124868EB">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注：各供应商请关注开标大厅交流区，在开标结束后，请勿离开开标大厅。</w:t>
      </w:r>
    </w:p>
    <w:p w14:paraId="70B7DB27">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2.线上开标地点：“苏采云”系统（网址：http://jszfcg.jsczt.cn/）“开标大厅”。</w:t>
      </w:r>
    </w:p>
    <w:p w14:paraId="78B9D94C">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i/>
          <w:sz w:val="21"/>
          <w:szCs w:val="21"/>
        </w:rPr>
      </w:pPr>
      <w:r>
        <w:rPr>
          <w:rFonts w:hint="eastAsia" w:asciiTheme="minorEastAsia" w:hAnsiTheme="minorEastAsia" w:eastAsiaTheme="minorEastAsia" w:cstheme="minorEastAsia"/>
          <w:sz w:val="21"/>
          <w:szCs w:val="21"/>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 w:val="21"/>
          <w:szCs w:val="21"/>
        </w:rPr>
        <w:t>投标供应商解密限定在开标后30分钟之内完成</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Theme="minorEastAsia" w:hAnsiTheme="minorEastAsia" w:eastAsiaTheme="minorEastAsia" w:cstheme="minorEastAsia"/>
          <w:sz w:val="21"/>
          <w:szCs w:val="21"/>
        </w:rPr>
        <w:t>；因采购人原因或网上招投标平台发生故障，导致无法按时完成响应文件解密或开、评标工作无法进行的，可根据实际情况相应延迟解密时间或调整开、评标时间。</w:t>
      </w:r>
    </w:p>
    <w:p w14:paraId="7493FE37">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27" w:name="_Toc35393794"/>
      <w:bookmarkStart w:id="28" w:name="_Toc28359007"/>
      <w:bookmarkStart w:id="29" w:name="_Toc28359084"/>
      <w:bookmarkStart w:id="30" w:name="_Toc35393625"/>
      <w:bookmarkStart w:id="31" w:name="_Toc38985267"/>
      <w:r>
        <w:rPr>
          <w:rFonts w:hint="eastAsia" w:asciiTheme="minorEastAsia" w:hAnsiTheme="minorEastAsia" w:eastAsiaTheme="minorEastAsia" w:cstheme="minorEastAsia"/>
          <w:sz w:val="21"/>
          <w:szCs w:val="21"/>
        </w:rPr>
        <w:t>五、公告期限</w:t>
      </w:r>
      <w:bookmarkEnd w:id="27"/>
      <w:bookmarkEnd w:id="28"/>
      <w:bookmarkEnd w:id="29"/>
      <w:bookmarkEnd w:id="30"/>
      <w:bookmarkEnd w:id="31"/>
    </w:p>
    <w:p w14:paraId="6A7B21C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32" w:name="_Toc38985268"/>
      <w:bookmarkStart w:id="33" w:name="_Toc35393795"/>
      <w:bookmarkStart w:id="34" w:name="_Toc35393626"/>
      <w:r>
        <w:rPr>
          <w:rFonts w:hint="eastAsia" w:asciiTheme="minorEastAsia" w:hAnsiTheme="minorEastAsia" w:eastAsiaTheme="minorEastAsia" w:cstheme="minorEastAsia"/>
          <w:sz w:val="21"/>
          <w:szCs w:val="21"/>
        </w:rPr>
        <w:t>征集公告及征集文件公告期限为自本公告发布之日起5个工作日。</w:t>
      </w:r>
    </w:p>
    <w:p w14:paraId="12AB907D">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六、其他补充事宜</w:t>
      </w:r>
      <w:bookmarkEnd w:id="32"/>
      <w:bookmarkEnd w:id="33"/>
      <w:bookmarkEnd w:id="34"/>
    </w:p>
    <w:p w14:paraId="285F85C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无。</w:t>
      </w:r>
    </w:p>
    <w:p w14:paraId="223459EC">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35" w:name="_Toc35393627"/>
      <w:bookmarkStart w:id="36" w:name="_Toc35393796"/>
      <w:bookmarkStart w:id="37" w:name="_Toc28359085"/>
      <w:bookmarkStart w:id="38" w:name="_Toc28359008"/>
      <w:bookmarkStart w:id="39" w:name="_Toc38985269"/>
      <w:r>
        <w:rPr>
          <w:rFonts w:hint="eastAsia" w:asciiTheme="minorEastAsia" w:hAnsiTheme="minorEastAsia" w:eastAsiaTheme="minorEastAsia" w:cstheme="minorEastAsia"/>
          <w:sz w:val="21"/>
          <w:szCs w:val="21"/>
        </w:rPr>
        <w:t>七、</w:t>
      </w:r>
      <w:bookmarkEnd w:id="35"/>
      <w:bookmarkEnd w:id="36"/>
      <w:bookmarkEnd w:id="37"/>
      <w:bookmarkEnd w:id="38"/>
      <w:bookmarkEnd w:id="39"/>
      <w:r>
        <w:rPr>
          <w:rFonts w:hint="eastAsia" w:asciiTheme="minorEastAsia" w:hAnsiTheme="minorEastAsia" w:eastAsiaTheme="minorEastAsia" w:cstheme="minorEastAsia"/>
          <w:sz w:val="21"/>
          <w:szCs w:val="21"/>
        </w:rPr>
        <w:t>征集人及采购代理机构的相关信息</w:t>
      </w:r>
    </w:p>
    <w:p w14:paraId="1257AC9F">
      <w:pPr>
        <w:pageBreakBefore w:val="0"/>
        <w:widowControl w:val="0"/>
        <w:kinsoku/>
        <w:wordWrap/>
        <w:overflowPunct/>
        <w:topLinePunct w:val="0"/>
        <w:autoSpaceDE/>
        <w:autoSpaceDN/>
        <w:bidi w:val="0"/>
        <w:adjustRightInd/>
        <w:snapToGrid/>
        <w:spacing w:line="400" w:lineRule="exact"/>
        <w:ind w:firstLine="560"/>
        <w:jc w:val="left"/>
        <w:textAlignment w:val="auto"/>
        <w:rPr>
          <w:rFonts w:hint="eastAsia" w:asciiTheme="minorEastAsia" w:hAnsiTheme="minorEastAsia" w:eastAsiaTheme="minorEastAsia" w:cstheme="minorEastAsia"/>
          <w:sz w:val="21"/>
          <w:szCs w:val="21"/>
        </w:rPr>
      </w:pPr>
      <w:bookmarkStart w:id="40" w:name="_Toc28359010"/>
      <w:bookmarkStart w:id="41" w:name="_Toc28359087"/>
      <w:r>
        <w:rPr>
          <w:rFonts w:hint="eastAsia" w:asciiTheme="minorEastAsia" w:hAnsiTheme="minorEastAsia" w:eastAsiaTheme="minorEastAsia" w:cstheme="minorEastAsia"/>
          <w:sz w:val="21"/>
          <w:szCs w:val="21"/>
        </w:rPr>
        <w:t>1.征集人：</w:t>
      </w:r>
      <w:bookmarkEnd w:id="40"/>
      <w:bookmarkEnd w:id="41"/>
      <w:r>
        <w:rPr>
          <w:rFonts w:hint="eastAsia" w:asciiTheme="minorEastAsia" w:hAnsiTheme="minorEastAsia" w:eastAsiaTheme="minorEastAsia" w:cstheme="minorEastAsia"/>
          <w:sz w:val="21"/>
          <w:szCs w:val="21"/>
        </w:rPr>
        <w:t>南通高新技术产业开发区管理委员会</w:t>
      </w:r>
    </w:p>
    <w:p w14:paraId="18D9C52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r>
        <w:rPr>
          <w:rFonts w:hint="eastAsia" w:asciiTheme="minorEastAsia" w:hAnsiTheme="minorEastAsia" w:eastAsiaTheme="minorEastAsia" w:cstheme="minorEastAsia"/>
          <w:sz w:val="21"/>
          <w:szCs w:val="21"/>
          <w:lang w:val="en-US" w:eastAsia="zh-CN"/>
        </w:rPr>
        <w:t>南通市通州区</w:t>
      </w:r>
    </w:p>
    <w:p w14:paraId="7BC26B1B">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lang w:val="en-US" w:eastAsia="zh-CN"/>
        </w:rPr>
        <w:t>姚女士</w:t>
      </w:r>
    </w:p>
    <w:p w14:paraId="52B9313A">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联系方式：0513</w:t>
      </w:r>
      <w:r>
        <w:rPr>
          <w:rFonts w:hint="eastAsia" w:asciiTheme="minorEastAsia" w:hAnsiTheme="minorEastAsia" w:eastAsiaTheme="minorEastAsia" w:cstheme="minorEastAsia"/>
          <w:sz w:val="21"/>
          <w:szCs w:val="21"/>
          <w:lang w:val="en-US" w:eastAsia="zh-CN"/>
        </w:rPr>
        <w:t>-86028908</w:t>
      </w:r>
    </w:p>
    <w:p w14:paraId="20A447E3">
      <w:pPr>
        <w:pageBreakBefore w:val="0"/>
        <w:widowControl w:val="0"/>
        <w:kinsoku/>
        <w:wordWrap/>
        <w:overflowPunct/>
        <w:topLinePunct w:val="0"/>
        <w:autoSpaceDE/>
        <w:autoSpaceDN/>
        <w:bidi w:val="0"/>
        <w:adjustRightInd/>
        <w:snapToGrid/>
        <w:spacing w:line="400" w:lineRule="exact"/>
        <w:ind w:firstLine="56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2.采购代理机构：南通市通州天元建设监理咨询有限公司</w:t>
      </w:r>
    </w:p>
    <w:p w14:paraId="3B2D1732">
      <w:pPr>
        <w:pageBreakBefore w:val="0"/>
        <w:widowControl w:val="0"/>
        <w:kinsoku/>
        <w:wordWrap/>
        <w:overflowPunct/>
        <w:topLinePunct w:val="0"/>
        <w:autoSpaceDE/>
        <w:autoSpaceDN/>
        <w:bidi w:val="0"/>
        <w:adjustRightInd/>
        <w:snapToGrid/>
        <w:spacing w:line="400" w:lineRule="exact"/>
        <w:ind w:firstLine="56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地址：南通市通州区润和大厦8楼</w:t>
      </w:r>
    </w:p>
    <w:p w14:paraId="3E615A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联系人：俞先生</w:t>
      </w:r>
    </w:p>
    <w:p w14:paraId="79BE55B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联系方式：0513-86516066</w:t>
      </w:r>
    </w:p>
    <w:p w14:paraId="5A1BB4B3">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八、其他</w:t>
      </w:r>
    </w:p>
    <w:p w14:paraId="7B8D1A6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w:t>
      </w:r>
    </w:p>
    <w:p w14:paraId="3F250DB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如确定参加本次框架协议采购活动，可自行下载（下载地址：http://www.ccgp-jiangsu.gov.cn/jiangsu/zlxz/ee/ee3a4bc5a3454aa2b0d9312230633ce9.html)《苏采云系统框架协议供应商操作手册》（以下简称《操作手册》及相关资料，按照《操作手册》规定领取CA和办理电子签章（南通市公共资源交易中心4楼CA办理窗口办理）进行注册并按《操作手册》要求制作、上传电子投标文件。</w:t>
      </w:r>
    </w:p>
    <w:p w14:paraId="4B42479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3.有关本次招标的事项若存在变动或修改，敬请及时关注“江苏省政府采购网”发布的更正公告。</w:t>
      </w:r>
    </w:p>
    <w:p w14:paraId="3BFA1D8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4.本项目不收取投标保证金。</w:t>
      </w:r>
    </w:p>
    <w:p w14:paraId="0B600F59">
      <w:pPr>
        <w:pageBreakBefore w:val="0"/>
        <w:widowControl/>
        <w:shd w:val="clear" w:color="auto" w:fill="FFFFFF"/>
        <w:kinsoku/>
        <w:wordWrap/>
        <w:overflowPunct/>
        <w:topLinePunct w:val="0"/>
        <w:autoSpaceDE/>
        <w:autoSpaceDN/>
        <w:bidi w:val="0"/>
        <w:adjustRightInd/>
        <w:snapToGrid/>
        <w:spacing w:line="400" w:lineRule="exact"/>
        <w:ind w:firstLine="56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南通高新技术产业开发区管理委员会</w:t>
      </w:r>
    </w:p>
    <w:p w14:paraId="06210941">
      <w:pPr>
        <w:pageBreakBefore w:val="0"/>
        <w:widowControl/>
        <w:shd w:val="clear" w:color="auto" w:fill="FFFFFF"/>
        <w:kinsoku/>
        <w:wordWrap/>
        <w:overflowPunct/>
        <w:topLinePunct w:val="0"/>
        <w:autoSpaceDE/>
        <w:autoSpaceDN/>
        <w:bidi w:val="0"/>
        <w:adjustRightInd/>
        <w:snapToGrid/>
        <w:spacing w:line="400" w:lineRule="exact"/>
        <w:ind w:firstLine="56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南通市通州天元建设监理咨询有限公司</w:t>
      </w:r>
    </w:p>
    <w:p w14:paraId="68D47143">
      <w:pPr>
        <w:pageBreakBefore w:val="0"/>
        <w:kinsoku/>
        <w:wordWrap/>
        <w:overflowPunct/>
        <w:topLinePunct w:val="0"/>
        <w:autoSpaceDE/>
        <w:autoSpaceDN/>
        <w:bidi w:val="0"/>
        <w:adjustRightInd/>
        <w:snapToGrid/>
        <w:spacing w:line="400" w:lineRule="exact"/>
        <w:ind w:firstLine="56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22</w:t>
      </w:r>
      <w:r>
        <w:rPr>
          <w:rFonts w:hint="eastAsia" w:asciiTheme="minorEastAsia" w:hAnsiTheme="minorEastAsia" w:eastAsiaTheme="minorEastAsia" w:cstheme="minorEastAsia"/>
          <w:sz w:val="21"/>
          <w:szCs w:val="21"/>
        </w:rPr>
        <w:t>日</w:t>
      </w:r>
    </w:p>
    <w:p w14:paraId="79E673A3">
      <w:pPr>
        <w:widowControl/>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clear="all"/>
      </w:r>
      <w:bookmarkStart w:id="186" w:name="_GoBack"/>
      <w:bookmarkEnd w:id="186"/>
    </w:p>
    <w:p w14:paraId="4CE05D2A">
      <w:pPr>
        <w:pStyle w:val="5"/>
        <w:keepNext/>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44"/>
          <w:szCs w:val="44"/>
        </w:rPr>
      </w:pPr>
      <w:bookmarkStart w:id="42" w:name="_Toc120614211"/>
      <w:r>
        <w:rPr>
          <w:rFonts w:hint="eastAsia" w:asciiTheme="minorEastAsia" w:hAnsiTheme="minorEastAsia" w:eastAsiaTheme="minorEastAsia" w:cstheme="minorEastAsia"/>
          <w:sz w:val="44"/>
          <w:szCs w:val="44"/>
        </w:rPr>
        <w:t xml:space="preserve">第二章  </w:t>
      </w:r>
      <w:bookmarkEnd w:id="1"/>
      <w:bookmarkEnd w:id="2"/>
      <w:bookmarkEnd w:id="3"/>
      <w:bookmarkEnd w:id="4"/>
      <w:bookmarkEnd w:id="5"/>
      <w:bookmarkEnd w:id="42"/>
      <w:bookmarkStart w:id="43" w:name="_Toc513029202"/>
      <w:bookmarkStart w:id="44" w:name="_Toc20823274"/>
      <w:bookmarkStart w:id="45" w:name="_Toc120614213"/>
      <w:bookmarkStart w:id="46" w:name="_Toc16938518"/>
      <w:r>
        <w:rPr>
          <w:rFonts w:hint="eastAsia" w:asciiTheme="minorEastAsia" w:hAnsiTheme="minorEastAsia" w:eastAsiaTheme="minorEastAsia" w:cstheme="minorEastAsia"/>
          <w:sz w:val="44"/>
          <w:szCs w:val="44"/>
        </w:rPr>
        <w:t>供应商须知</w:t>
      </w:r>
      <w:bookmarkEnd w:id="43"/>
      <w:bookmarkEnd w:id="44"/>
      <w:bookmarkEnd w:id="45"/>
      <w:bookmarkEnd w:id="46"/>
    </w:p>
    <w:p w14:paraId="59B8EEF5">
      <w:pPr>
        <w:pStyle w:val="7"/>
        <w:keepNext/>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47" w:name="_Toc16938519"/>
      <w:bookmarkStart w:id="48" w:name="_Toc120614214"/>
      <w:bookmarkStart w:id="49" w:name="_Toc20823275"/>
      <w:bookmarkStart w:id="50" w:name="_Toc513029203"/>
      <w:r>
        <w:rPr>
          <w:rFonts w:hint="eastAsia" w:asciiTheme="minorEastAsia" w:hAnsiTheme="minorEastAsia" w:eastAsiaTheme="minorEastAsia" w:cstheme="minorEastAsia"/>
          <w:sz w:val="21"/>
          <w:szCs w:val="21"/>
        </w:rPr>
        <w:t>一、总则</w:t>
      </w:r>
      <w:bookmarkEnd w:id="47"/>
      <w:bookmarkEnd w:id="48"/>
      <w:bookmarkEnd w:id="49"/>
      <w:bookmarkEnd w:id="50"/>
    </w:p>
    <w:p w14:paraId="1AFBB78E">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1" w:name="_Hlt16619475"/>
      <w:bookmarkEnd w:id="51"/>
      <w:bookmarkStart w:id="52" w:name="_Toc458694821"/>
      <w:bookmarkStart w:id="53" w:name="_Toc20823276"/>
      <w:bookmarkStart w:id="54" w:name="_Toc513029204"/>
      <w:bookmarkStart w:id="55" w:name="_Toc16938520"/>
      <w:r>
        <w:rPr>
          <w:rFonts w:hint="eastAsia" w:asciiTheme="minorEastAsia" w:hAnsiTheme="minorEastAsia" w:eastAsiaTheme="minorEastAsia" w:cstheme="minorEastAsia"/>
          <w:b w:val="0"/>
          <w:bCs w:val="0"/>
          <w:sz w:val="21"/>
          <w:szCs w:val="21"/>
        </w:rPr>
        <w:t>1</w:t>
      </w:r>
      <w:bookmarkEnd w:id="52"/>
      <w:r>
        <w:rPr>
          <w:rFonts w:hint="eastAsia" w:asciiTheme="minorEastAsia" w:hAnsiTheme="minorEastAsia" w:eastAsiaTheme="minorEastAsia" w:cstheme="minorEastAsia"/>
          <w:b w:val="0"/>
          <w:bCs w:val="0"/>
          <w:sz w:val="21"/>
          <w:szCs w:val="21"/>
        </w:rPr>
        <w:t>．采购方式</w:t>
      </w:r>
      <w:bookmarkEnd w:id="53"/>
      <w:bookmarkEnd w:id="54"/>
      <w:bookmarkEnd w:id="55"/>
    </w:p>
    <w:p w14:paraId="0741960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 本次项目采用封闭式框架协议采购方式，本征集文件仅适用于征集公告中所述项目。</w:t>
      </w:r>
    </w:p>
    <w:p w14:paraId="53144598">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6" w:name="_Toc16938521"/>
      <w:bookmarkStart w:id="57" w:name="_Toc513029205"/>
      <w:bookmarkStart w:id="58" w:name="_Toc20823277"/>
      <w:r>
        <w:rPr>
          <w:rFonts w:hint="eastAsia" w:asciiTheme="minorEastAsia" w:hAnsiTheme="minorEastAsia" w:eastAsiaTheme="minorEastAsia" w:cstheme="minorEastAsia"/>
          <w:b w:val="0"/>
          <w:bCs w:val="0"/>
          <w:sz w:val="21"/>
          <w:szCs w:val="21"/>
        </w:rPr>
        <w:t>2．合格的</w:t>
      </w:r>
      <w:bookmarkEnd w:id="56"/>
      <w:bookmarkEnd w:id="57"/>
      <w:bookmarkEnd w:id="58"/>
      <w:r>
        <w:rPr>
          <w:rFonts w:hint="eastAsia" w:asciiTheme="minorEastAsia" w:hAnsiTheme="minorEastAsia" w:eastAsiaTheme="minorEastAsia" w:cstheme="minorEastAsia"/>
          <w:b w:val="0"/>
          <w:bCs w:val="0"/>
          <w:sz w:val="21"/>
          <w:szCs w:val="21"/>
        </w:rPr>
        <w:t>供应商</w:t>
      </w:r>
    </w:p>
    <w:p w14:paraId="7CCDA0E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2.1满足征集公告中供应商资格要求的规定。</w:t>
      </w:r>
    </w:p>
    <w:p w14:paraId="58B9723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 满足本征集文件实质性要求和条件的规定。</w:t>
      </w:r>
    </w:p>
    <w:p w14:paraId="452AFA52">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9" w:name="_Toc513029206"/>
      <w:bookmarkStart w:id="60" w:name="_Toc16938522"/>
      <w:bookmarkStart w:id="61" w:name="_Toc20823278"/>
      <w:r>
        <w:rPr>
          <w:rFonts w:hint="eastAsia" w:asciiTheme="minorEastAsia" w:hAnsiTheme="minorEastAsia" w:eastAsiaTheme="minorEastAsia" w:cstheme="minorEastAsia"/>
          <w:b w:val="0"/>
          <w:bCs w:val="0"/>
          <w:sz w:val="21"/>
          <w:szCs w:val="21"/>
        </w:rPr>
        <w:t>3．适用法律</w:t>
      </w:r>
      <w:bookmarkEnd w:id="59"/>
      <w:bookmarkEnd w:id="60"/>
      <w:bookmarkEnd w:id="61"/>
    </w:p>
    <w:p w14:paraId="224011B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 本次封闭式框架协议采购活动（以下简称采购活动）及由此产生的框架协议文本和采购合同文本受中华人民共和国有关的法律法规制约和保护。</w:t>
      </w:r>
    </w:p>
    <w:p w14:paraId="1D0DE8E2">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62" w:name="_Toc16938523"/>
      <w:bookmarkStart w:id="63" w:name="_Toc20823279"/>
      <w:bookmarkStart w:id="64" w:name="_Toc462564067"/>
      <w:bookmarkStart w:id="65" w:name="_Toc513029207"/>
      <w:r>
        <w:rPr>
          <w:rFonts w:hint="eastAsia" w:asciiTheme="minorEastAsia" w:hAnsiTheme="minorEastAsia" w:eastAsiaTheme="minorEastAsia" w:cstheme="minorEastAsia"/>
          <w:b w:val="0"/>
          <w:bCs w:val="0"/>
          <w:sz w:val="21"/>
          <w:szCs w:val="21"/>
        </w:rPr>
        <w:t>4．参加采购活动的费用</w:t>
      </w:r>
      <w:bookmarkEnd w:id="62"/>
      <w:bookmarkEnd w:id="63"/>
      <w:bookmarkEnd w:id="64"/>
      <w:bookmarkEnd w:id="65"/>
    </w:p>
    <w:p w14:paraId="2A0295C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 供应商应自行承担所有与参加采购活动有关的费用，无论采购活动过程中的做法和结果如何，采购人和招标代理机构在任何情况下均无义务和责任承担这些费用。</w:t>
      </w:r>
    </w:p>
    <w:p w14:paraId="20162B6E">
      <w:pPr>
        <w:pageBreakBefore w:val="0"/>
        <w:widowControl w:val="0"/>
        <w:kinsoku/>
        <w:wordWrap/>
        <w:overflowPunct/>
        <w:topLinePunct w:val="0"/>
        <w:autoSpaceDE/>
        <w:autoSpaceDN/>
        <w:bidi w:val="0"/>
        <w:adjustRightInd/>
        <w:snapToGrid/>
        <w:spacing w:line="400" w:lineRule="exact"/>
        <w:ind w:left="980" w:hanging="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 采购人不收取任何费用。本项目征集活动，入围供应商需支付</w:t>
      </w:r>
      <w:r>
        <w:rPr>
          <w:rFonts w:hint="eastAsia" w:asciiTheme="minorEastAsia" w:hAnsiTheme="minorEastAsia" w:eastAsiaTheme="minorEastAsia" w:cstheme="minorEastAsia"/>
          <w:sz w:val="21"/>
          <w:szCs w:val="21"/>
          <w:highlight w:val="none"/>
          <w:lang w:val="en-US" w:eastAsia="zh-CN"/>
        </w:rPr>
        <w:t>254</w:t>
      </w:r>
      <w:r>
        <w:rPr>
          <w:rFonts w:hint="eastAsia" w:asciiTheme="minorEastAsia" w:hAnsiTheme="minorEastAsia" w:eastAsiaTheme="minorEastAsia" w:cstheme="minorEastAsia"/>
          <w:sz w:val="21"/>
          <w:szCs w:val="21"/>
          <w:highlight w:val="none"/>
        </w:rPr>
        <w:t>元/家的入围服务费</w:t>
      </w:r>
      <w:r>
        <w:rPr>
          <w:rFonts w:hint="eastAsia" w:asciiTheme="minorEastAsia" w:hAnsiTheme="minorEastAsia" w:eastAsiaTheme="minorEastAsia" w:cstheme="minorEastAsia"/>
          <w:sz w:val="21"/>
          <w:szCs w:val="21"/>
        </w:rPr>
        <w:t>。</w:t>
      </w:r>
    </w:p>
    <w:p w14:paraId="4166665C">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5．征集文件的约束力</w:t>
      </w:r>
    </w:p>
    <w:p w14:paraId="14DB757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 供应商一旦参加本项目采购活动，即被认为接受了本征集文件的规定和约束。</w:t>
      </w:r>
    </w:p>
    <w:p w14:paraId="00A01CE0">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66" w:name="_Toc20823281"/>
      <w:bookmarkStart w:id="67" w:name="_Toc120614215"/>
      <w:bookmarkStart w:id="68" w:name="_Toc16938525"/>
      <w:bookmarkStart w:id="69" w:name="_Toc513029209"/>
      <w:r>
        <w:rPr>
          <w:rFonts w:hint="eastAsia" w:asciiTheme="minorEastAsia" w:hAnsiTheme="minorEastAsia" w:eastAsiaTheme="minorEastAsia" w:cstheme="minorEastAsia"/>
          <w:sz w:val="21"/>
          <w:szCs w:val="21"/>
        </w:rPr>
        <w:t>二、征集文件</w:t>
      </w:r>
      <w:bookmarkEnd w:id="66"/>
      <w:bookmarkEnd w:id="67"/>
      <w:bookmarkEnd w:id="68"/>
      <w:bookmarkEnd w:id="69"/>
    </w:p>
    <w:p w14:paraId="6D8B16DA">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0" w:name="_Toc16938526"/>
      <w:bookmarkStart w:id="71" w:name="_Toc513029210"/>
      <w:bookmarkStart w:id="72" w:name="_Toc20823282"/>
      <w:r>
        <w:rPr>
          <w:rFonts w:hint="eastAsia" w:asciiTheme="minorEastAsia" w:hAnsiTheme="minorEastAsia" w:eastAsiaTheme="minorEastAsia" w:cstheme="minorEastAsia"/>
          <w:b w:val="0"/>
          <w:bCs w:val="0"/>
          <w:sz w:val="21"/>
          <w:szCs w:val="21"/>
        </w:rPr>
        <w:t>6．征集文件构成</w:t>
      </w:r>
      <w:bookmarkEnd w:id="70"/>
      <w:bookmarkEnd w:id="71"/>
      <w:bookmarkEnd w:id="72"/>
    </w:p>
    <w:p w14:paraId="0DF147B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征集文件由以下部分组成：</w:t>
      </w:r>
    </w:p>
    <w:p w14:paraId="098B5F6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6.1.1参加征集活动的邀请</w:t>
      </w:r>
    </w:p>
    <w:p w14:paraId="33FAAAA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6.1.2供应商须知</w:t>
      </w:r>
    </w:p>
    <w:p w14:paraId="453793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6.1.3框架协议文本</w:t>
      </w:r>
    </w:p>
    <w:p w14:paraId="1675561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6.1.4采购需求</w:t>
      </w:r>
    </w:p>
    <w:p w14:paraId="085C28D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6.1.5确定入围及成交供应商</w:t>
      </w:r>
    </w:p>
    <w:p w14:paraId="6F713E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6.1.6响应文件格式</w:t>
      </w:r>
    </w:p>
    <w:p w14:paraId="23D3E46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请仔细检查征集文件是否齐全，如有缺漏请立即与采购代理机构联系解决。</w:t>
      </w:r>
    </w:p>
    <w:p w14:paraId="07ACADC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44D49ABE">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3" w:name="_Toc513029211"/>
      <w:bookmarkStart w:id="74" w:name="_Toc20823283"/>
      <w:bookmarkStart w:id="75" w:name="_Toc16938527"/>
      <w:bookmarkStart w:id="76" w:name="_Toc462564070"/>
      <w:r>
        <w:rPr>
          <w:rFonts w:hint="eastAsia" w:asciiTheme="minorEastAsia" w:hAnsiTheme="minorEastAsia" w:eastAsiaTheme="minorEastAsia" w:cstheme="minorEastAsia"/>
          <w:b w:val="0"/>
          <w:bCs w:val="0"/>
          <w:sz w:val="21"/>
          <w:szCs w:val="21"/>
        </w:rPr>
        <w:t>7．征集文件的澄清</w:t>
      </w:r>
      <w:bookmarkEnd w:id="73"/>
      <w:bookmarkEnd w:id="74"/>
      <w:bookmarkEnd w:id="75"/>
      <w:bookmarkEnd w:id="76"/>
    </w:p>
    <w:p w14:paraId="6D56F83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 任何要求对征集文件进行澄清的供应商，应在响应文件提交截止期</w:t>
      </w:r>
      <w:r>
        <w:rPr>
          <w:rFonts w:hint="eastAsia" w:asciiTheme="minorEastAsia" w:hAnsiTheme="minorEastAsia" w:eastAsiaTheme="minorEastAsia" w:cstheme="minorEastAsia"/>
          <w:b/>
          <w:bCs/>
          <w:sz w:val="21"/>
          <w:szCs w:val="21"/>
        </w:rPr>
        <w:t>十</w:t>
      </w: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sz w:val="21"/>
          <w:szCs w:val="21"/>
        </w:rPr>
        <w:t>前按征集公告中的通讯地址，以书面形式通知征集人。</w:t>
      </w:r>
    </w:p>
    <w:p w14:paraId="5B509D70">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7" w:name="_Toc20823284"/>
      <w:bookmarkStart w:id="78" w:name="_Toc462564071"/>
      <w:bookmarkStart w:id="79" w:name="_Toc16938528"/>
      <w:bookmarkStart w:id="80" w:name="_Toc513029212"/>
      <w:r>
        <w:rPr>
          <w:rFonts w:hint="eastAsia" w:asciiTheme="minorEastAsia" w:hAnsiTheme="minorEastAsia" w:eastAsiaTheme="minorEastAsia" w:cstheme="minorEastAsia"/>
          <w:b w:val="0"/>
          <w:bCs w:val="0"/>
          <w:sz w:val="21"/>
          <w:szCs w:val="21"/>
        </w:rPr>
        <w:t>8．征集文件的修改</w:t>
      </w:r>
      <w:bookmarkEnd w:id="77"/>
      <w:bookmarkEnd w:id="78"/>
      <w:bookmarkEnd w:id="79"/>
      <w:bookmarkEnd w:id="80"/>
    </w:p>
    <w:p w14:paraId="1D56378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 在响应文件提交截止时间前，采购代理机构可以对征集文件进行修改。</w:t>
      </w:r>
    </w:p>
    <w:p w14:paraId="67F14DC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采购代理机构有权按照法定的要求推迟响应文件提交截止日期和开启日期。</w:t>
      </w:r>
    </w:p>
    <w:p w14:paraId="21350A3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8.3 征集文件的修改将在“江苏政府采购网”公布，补充文件将作为征集文件的组成部分，并对供应商具有约束力。</w:t>
      </w:r>
    </w:p>
    <w:p w14:paraId="3477B3ED">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81" w:name="_Toc513029213"/>
      <w:bookmarkStart w:id="82" w:name="_Toc20823285"/>
      <w:bookmarkStart w:id="83" w:name="_Toc462564072"/>
      <w:bookmarkStart w:id="84" w:name="_Toc16938529"/>
      <w:bookmarkStart w:id="85" w:name="_Toc120614216"/>
      <w:r>
        <w:rPr>
          <w:rFonts w:hint="eastAsia" w:asciiTheme="minorEastAsia" w:hAnsiTheme="minorEastAsia" w:eastAsiaTheme="minorEastAsia" w:cstheme="minorEastAsia"/>
          <w:sz w:val="21"/>
          <w:szCs w:val="21"/>
        </w:rPr>
        <w:t>三、响应文件的编制</w:t>
      </w:r>
      <w:bookmarkEnd w:id="81"/>
      <w:bookmarkEnd w:id="82"/>
      <w:bookmarkEnd w:id="83"/>
      <w:bookmarkEnd w:id="84"/>
      <w:bookmarkEnd w:id="85"/>
    </w:p>
    <w:p w14:paraId="4F56663E">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86" w:name="_Toc16938530"/>
      <w:bookmarkStart w:id="87" w:name="_Toc513029214"/>
      <w:bookmarkStart w:id="88" w:name="_Toc462564073"/>
      <w:bookmarkStart w:id="89" w:name="_Toc20823286"/>
      <w:r>
        <w:rPr>
          <w:rFonts w:hint="eastAsia" w:asciiTheme="minorEastAsia" w:hAnsiTheme="minorEastAsia" w:eastAsiaTheme="minorEastAsia" w:cstheme="minorEastAsia"/>
          <w:b w:val="0"/>
          <w:bCs w:val="0"/>
          <w:sz w:val="21"/>
          <w:szCs w:val="21"/>
        </w:rPr>
        <w:t>9．响应文件的语言及度量衡单位</w:t>
      </w:r>
      <w:bookmarkEnd w:id="86"/>
      <w:bookmarkEnd w:id="87"/>
      <w:bookmarkEnd w:id="88"/>
      <w:bookmarkEnd w:id="89"/>
    </w:p>
    <w:p w14:paraId="375C68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供应商提交的响应文件以及供应商与采购代理机构及征集人就采购活动的所有来往通知、函件和文件均应使用</w:t>
      </w:r>
      <w:r>
        <w:rPr>
          <w:rFonts w:hint="eastAsia" w:asciiTheme="minorEastAsia" w:hAnsiTheme="minorEastAsia" w:eastAsiaTheme="minorEastAsia" w:cstheme="minorEastAsia"/>
          <w:b/>
          <w:bCs/>
          <w:sz w:val="21"/>
          <w:szCs w:val="21"/>
        </w:rPr>
        <w:t>简体中文</w:t>
      </w:r>
      <w:r>
        <w:rPr>
          <w:rFonts w:hint="eastAsia" w:asciiTheme="minorEastAsia" w:hAnsiTheme="minorEastAsia" w:eastAsiaTheme="minorEastAsia" w:cstheme="minorEastAsia"/>
          <w:sz w:val="21"/>
          <w:szCs w:val="21"/>
        </w:rPr>
        <w:t>。</w:t>
      </w:r>
    </w:p>
    <w:p w14:paraId="4617CAD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除技术性能另有规定外，响应文件所使用的度量衡单位，均须采用国家法定计量单位。</w:t>
      </w:r>
    </w:p>
    <w:p w14:paraId="6E10477C">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90" w:name="_Toc513029215"/>
      <w:bookmarkStart w:id="91" w:name="_Toc20823287"/>
      <w:bookmarkStart w:id="92" w:name="_Toc16938531"/>
      <w:bookmarkStart w:id="93" w:name="_Toc462564074"/>
      <w:r>
        <w:rPr>
          <w:rFonts w:hint="eastAsia" w:asciiTheme="minorEastAsia" w:hAnsiTheme="minorEastAsia" w:eastAsiaTheme="minorEastAsia" w:cstheme="minorEastAsia"/>
          <w:b w:val="0"/>
          <w:bCs w:val="0"/>
          <w:sz w:val="21"/>
          <w:szCs w:val="21"/>
        </w:rPr>
        <w:t>10．响应文件构成</w:t>
      </w:r>
      <w:bookmarkEnd w:id="90"/>
      <w:bookmarkEnd w:id="91"/>
      <w:bookmarkEnd w:id="92"/>
      <w:bookmarkEnd w:id="93"/>
    </w:p>
    <w:p w14:paraId="4E3F21E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 供应商编写的响应文件应包括资格证明文件、符合性证明文件、技术要求响应及偏离表、商务要求响应及偏离表、其他证明文件、响应函等部分。</w:t>
      </w:r>
    </w:p>
    <w:p w14:paraId="0D3DE8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 如标书制作工具中格式和内容与“江苏政府采购网”发布的征集文件不一致，请以“江苏政府采购网”发布的征集文件为准。</w:t>
      </w:r>
    </w:p>
    <w:p w14:paraId="35255E3A">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94" w:name="_Hlt26954731"/>
      <w:bookmarkEnd w:id="94"/>
      <w:bookmarkStart w:id="95" w:name="_Hlt26670482"/>
      <w:bookmarkEnd w:id="95"/>
      <w:bookmarkStart w:id="96" w:name="_Hlt26954838"/>
      <w:bookmarkEnd w:id="96"/>
      <w:bookmarkStart w:id="97" w:name="_Hlt26954848"/>
      <w:bookmarkEnd w:id="97"/>
      <w:bookmarkStart w:id="98" w:name="_Hlt26670486"/>
      <w:bookmarkEnd w:id="98"/>
      <w:bookmarkStart w:id="99" w:name="_Hlt26954846"/>
      <w:bookmarkEnd w:id="99"/>
      <w:bookmarkStart w:id="100" w:name="_Hlt26668975"/>
      <w:bookmarkEnd w:id="100"/>
      <w:bookmarkStart w:id="101" w:name="_Hlt26670360"/>
      <w:bookmarkEnd w:id="101"/>
      <w:r>
        <w:rPr>
          <w:rFonts w:hint="eastAsia" w:asciiTheme="minorEastAsia" w:hAnsiTheme="minorEastAsia" w:eastAsiaTheme="minorEastAsia" w:cstheme="minorEastAsia"/>
          <w:b w:val="0"/>
          <w:bCs w:val="0"/>
          <w:sz w:val="21"/>
          <w:szCs w:val="21"/>
        </w:rPr>
        <w:t>11．技术要求响应及偏离表、商务要求响应及偏离表</w:t>
      </w:r>
    </w:p>
    <w:p w14:paraId="50B20F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11.1供应商需对征集文件中的技术要求与商务要求逐项作出响应或偏离，并说明原因。</w:t>
      </w:r>
      <w:r>
        <w:rPr>
          <w:rFonts w:hint="eastAsia" w:asciiTheme="minorEastAsia" w:hAnsiTheme="minorEastAsia" w:eastAsiaTheme="minorEastAsia" w:cstheme="minorEastAsia"/>
          <w:b/>
          <w:bCs/>
          <w:sz w:val="21"/>
          <w:szCs w:val="21"/>
        </w:rPr>
        <w:t>供应商响应的技术、商务等条件不得低于采购需求。</w:t>
      </w:r>
    </w:p>
    <w:p w14:paraId="2CBBC8D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 供应商可在响应文件中提供认为需要的其他技术文件或说明。</w:t>
      </w:r>
    </w:p>
    <w:p w14:paraId="389DEF60">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12．服务承诺</w:t>
      </w:r>
    </w:p>
    <w:p w14:paraId="7D6C740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 供应商需根据征集文件要求提供有关售后服务的管理制度，售后服务机构的分布情况，售后服务人员的数量、素质、技术水平及售后服务的反应能力等。</w:t>
      </w:r>
    </w:p>
    <w:p w14:paraId="0675C10C">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02" w:name="_Toc49090510"/>
      <w:bookmarkStart w:id="103" w:name="_Toc14577359"/>
      <w:r>
        <w:rPr>
          <w:rFonts w:hint="eastAsia" w:asciiTheme="minorEastAsia" w:hAnsiTheme="minorEastAsia" w:eastAsiaTheme="minorEastAsia" w:cstheme="minorEastAsia"/>
          <w:b w:val="0"/>
          <w:bCs w:val="0"/>
          <w:sz w:val="21"/>
          <w:szCs w:val="21"/>
        </w:rPr>
        <w:t>13．响应函</w:t>
      </w:r>
    </w:p>
    <w:p w14:paraId="1DD071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 供应商应按照征集文件中提供的格式完整、正确填写响应函。</w:t>
      </w:r>
    </w:p>
    <w:bookmarkEnd w:id="102"/>
    <w:bookmarkEnd w:id="103"/>
    <w:p w14:paraId="2FC56F99">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04" w:name="_Toc49090511"/>
      <w:bookmarkStart w:id="105" w:name="_Toc14577360"/>
      <w:r>
        <w:rPr>
          <w:rFonts w:hint="eastAsia" w:asciiTheme="minorEastAsia" w:hAnsiTheme="minorEastAsia" w:eastAsiaTheme="minorEastAsia" w:cstheme="minorEastAsia"/>
          <w:b w:val="0"/>
          <w:bCs w:val="0"/>
          <w:sz w:val="21"/>
          <w:szCs w:val="21"/>
        </w:rPr>
        <w:t>14．响应文件有效期</w:t>
      </w:r>
      <w:bookmarkEnd w:id="104"/>
      <w:bookmarkEnd w:id="105"/>
    </w:p>
    <w:p w14:paraId="1D57A64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14.1响应文件有效期为采购代理机构规定的响应文件提交截止时间之日后</w:t>
      </w:r>
      <w:r>
        <w:rPr>
          <w:rFonts w:hint="eastAsia" w:asciiTheme="minorEastAsia" w:hAnsiTheme="minorEastAsia" w:eastAsiaTheme="minorEastAsia" w:cstheme="minorEastAsia"/>
          <w:b/>
          <w:bCs/>
          <w:sz w:val="21"/>
          <w:szCs w:val="21"/>
        </w:rPr>
        <w:t>九十（90）</w:t>
      </w:r>
      <w:r>
        <w:rPr>
          <w:rFonts w:hint="eastAsia" w:asciiTheme="minorEastAsia" w:hAnsiTheme="minorEastAsia" w:eastAsiaTheme="minorEastAsia" w:cstheme="minorEastAsia"/>
          <w:sz w:val="21"/>
          <w:szCs w:val="21"/>
        </w:rPr>
        <w:t>天。响应文件有效期比规定短的将被视为未实质性响应征集文件而予以拒绝。</w:t>
      </w:r>
    </w:p>
    <w:p w14:paraId="438BB3DB">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15．响应文件有效期的延长</w:t>
      </w:r>
    </w:p>
    <w:p w14:paraId="6A591BC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在特殊情况下，采购代理机构于原响应文件有效期满之前，可向供应商提出延长响应文件有效期的要求。这种要求与答复均应采用书面形式。供应商可以拒绝采购代理机构的这一要求而放弃参加采购活动，同意延长响应文件有效期的供应商既不能要求也不允许修改其响应文件。受响应文件有效期约束的所有权利与义务均延长至新的有效期。</w:t>
      </w:r>
    </w:p>
    <w:p w14:paraId="5E974ED8">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06" w:name="_Hlt26954852"/>
      <w:bookmarkEnd w:id="106"/>
      <w:bookmarkStart w:id="107" w:name="_Hlt26954739"/>
      <w:bookmarkEnd w:id="107"/>
      <w:bookmarkStart w:id="108" w:name="_Toc120614217"/>
      <w:bookmarkStart w:id="109" w:name="_Toc513029224"/>
      <w:bookmarkStart w:id="110" w:name="_Toc20823296"/>
      <w:bookmarkStart w:id="111" w:name="_Toc16938540"/>
      <w:r>
        <w:rPr>
          <w:rFonts w:hint="eastAsia" w:asciiTheme="minorEastAsia" w:hAnsiTheme="minorEastAsia" w:eastAsiaTheme="minorEastAsia" w:cstheme="minorEastAsia"/>
          <w:sz w:val="21"/>
          <w:szCs w:val="21"/>
        </w:rPr>
        <w:t>四、响应文件的递交</w:t>
      </w:r>
      <w:bookmarkEnd w:id="108"/>
      <w:bookmarkEnd w:id="109"/>
      <w:bookmarkEnd w:id="110"/>
      <w:bookmarkEnd w:id="111"/>
    </w:p>
    <w:p w14:paraId="6E67B244">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12" w:name="_Toc513029225"/>
      <w:bookmarkStart w:id="113" w:name="_Toc20823297"/>
      <w:bookmarkStart w:id="114" w:name="_Toc16938541"/>
      <w:bookmarkStart w:id="115" w:name="_Toc462564084"/>
      <w:r>
        <w:rPr>
          <w:rFonts w:hint="eastAsia" w:asciiTheme="minorEastAsia" w:hAnsiTheme="minorEastAsia" w:eastAsiaTheme="minorEastAsia" w:cstheme="minorEastAsia"/>
          <w:b w:val="0"/>
          <w:bCs w:val="0"/>
          <w:sz w:val="21"/>
          <w:szCs w:val="21"/>
        </w:rPr>
        <w:t>16．电子响应文件</w:t>
      </w:r>
      <w:bookmarkEnd w:id="112"/>
      <w:bookmarkEnd w:id="113"/>
      <w:bookmarkEnd w:id="114"/>
      <w:bookmarkEnd w:id="115"/>
      <w:r>
        <w:rPr>
          <w:rFonts w:hint="eastAsia" w:asciiTheme="minorEastAsia" w:hAnsiTheme="minorEastAsia" w:eastAsiaTheme="minorEastAsia" w:cstheme="minorEastAsia"/>
          <w:b w:val="0"/>
          <w:bCs w:val="0"/>
          <w:sz w:val="21"/>
          <w:szCs w:val="21"/>
        </w:rPr>
        <w:t>的递交</w:t>
      </w:r>
    </w:p>
    <w:p w14:paraId="3AD5A8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 供应商应当按照《操作手册》规定，在响应文件提交截止时间前制作并上传电子响应文件。</w:t>
      </w:r>
      <w:bookmarkStart w:id="116" w:name="_Toc16938542"/>
      <w:bookmarkStart w:id="117" w:name="_Toc513029226"/>
      <w:bookmarkStart w:id="118" w:name="_Toc20823298"/>
    </w:p>
    <w:p w14:paraId="076288CF">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17．</w:t>
      </w:r>
      <w:bookmarkEnd w:id="116"/>
      <w:bookmarkEnd w:id="117"/>
      <w:bookmarkEnd w:id="118"/>
      <w:r>
        <w:rPr>
          <w:rFonts w:hint="eastAsia" w:asciiTheme="minorEastAsia" w:hAnsiTheme="minorEastAsia" w:eastAsiaTheme="minorEastAsia" w:cstheme="minorEastAsia"/>
          <w:b w:val="0"/>
          <w:bCs w:val="0"/>
          <w:sz w:val="21"/>
          <w:szCs w:val="21"/>
        </w:rPr>
        <w:t>响应文件提交截止时间</w:t>
      </w:r>
    </w:p>
    <w:p w14:paraId="6D5312C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 </w:t>
      </w:r>
      <w:r>
        <w:rPr>
          <w:rFonts w:hint="eastAsia" w:asciiTheme="minorEastAsia" w:hAnsiTheme="minorEastAsia" w:eastAsiaTheme="minorEastAsia" w:cstheme="minorEastAsia"/>
          <w:b/>
          <w:bCs/>
          <w:sz w:val="21"/>
          <w:szCs w:val="21"/>
        </w:rPr>
        <w:t>供应商上传电子响应文件的时间不得迟于征集公告中规定的截止时间。</w:t>
      </w:r>
    </w:p>
    <w:p w14:paraId="02D5BD9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供应商应充分考虑到网络环境、网络带宽等风险因素，如因供应商自身原因造成的电子响应文件上传不成功的按照本征集文件第二章第26.1.2条规定做无效响应处理。</w:t>
      </w:r>
    </w:p>
    <w:p w14:paraId="55A3A84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17.2采购代理机构可以按照规定，通过修改征集文件酌情延长截止日期，在此情况下，供应商的所有权利和义务以及供应商受制的截止日期均应以延长后新的截止日期为准。</w:t>
      </w:r>
    </w:p>
    <w:p w14:paraId="6C461423">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19" w:name="_Toc20823299"/>
      <w:bookmarkStart w:id="120" w:name="_Toc16938543"/>
      <w:bookmarkStart w:id="121" w:name="_Toc513029227"/>
      <w:r>
        <w:rPr>
          <w:rFonts w:hint="eastAsia" w:asciiTheme="minorEastAsia" w:hAnsiTheme="minorEastAsia" w:eastAsiaTheme="minorEastAsia" w:cstheme="minorEastAsia"/>
          <w:b w:val="0"/>
          <w:bCs w:val="0"/>
          <w:sz w:val="21"/>
          <w:szCs w:val="21"/>
        </w:rPr>
        <w:t>1</w:t>
      </w:r>
      <w:bookmarkEnd w:id="119"/>
      <w:bookmarkEnd w:id="120"/>
      <w:bookmarkEnd w:id="121"/>
      <w:r>
        <w:rPr>
          <w:rFonts w:hint="eastAsia" w:asciiTheme="minorEastAsia" w:hAnsiTheme="minorEastAsia" w:eastAsiaTheme="minorEastAsia" w:cstheme="minorEastAsia"/>
          <w:b w:val="0"/>
          <w:bCs w:val="0"/>
          <w:sz w:val="21"/>
          <w:szCs w:val="21"/>
        </w:rPr>
        <w:t>8．响应文件的拒收</w:t>
      </w:r>
    </w:p>
    <w:p w14:paraId="0C707FB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 采购代理机构拒绝接收在其规定的响应文件提交截止时间后上传的任何响应文件。</w:t>
      </w:r>
    </w:p>
    <w:p w14:paraId="4022EE08">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22" w:name="_Toc20823300"/>
      <w:bookmarkStart w:id="123" w:name="_Toc16938544"/>
      <w:bookmarkStart w:id="124" w:name="_Toc513029228"/>
      <w:r>
        <w:rPr>
          <w:rFonts w:hint="eastAsia" w:asciiTheme="minorEastAsia" w:hAnsiTheme="minorEastAsia" w:eastAsiaTheme="minorEastAsia" w:cstheme="minorEastAsia"/>
          <w:b w:val="0"/>
          <w:bCs w:val="0"/>
          <w:sz w:val="21"/>
          <w:szCs w:val="21"/>
        </w:rPr>
        <w:t>19．响应文件的撤回和修改</w:t>
      </w:r>
      <w:bookmarkEnd w:id="122"/>
      <w:bookmarkEnd w:id="123"/>
      <w:bookmarkEnd w:id="124"/>
    </w:p>
    <w:p w14:paraId="1E7933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 响应文件的撤回</w:t>
      </w:r>
    </w:p>
    <w:p w14:paraId="1AA9A07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19.1.1 电子响应文件的撤回</w:t>
      </w:r>
    </w:p>
    <w:p w14:paraId="5D0749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供应商可在响应文件提交截止时间前，撤回其电子响应文件，具体操作方法见《操作手册》。</w:t>
      </w:r>
    </w:p>
    <w:p w14:paraId="672433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19.1.2 供应商撤回电子响应文件，则认为其不再参与本项采购活动。</w:t>
      </w:r>
    </w:p>
    <w:p w14:paraId="115001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 响应文件的修改</w:t>
      </w:r>
    </w:p>
    <w:p w14:paraId="5EF7916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供应商可在响应文件提交截止时间前，对其电子响应文件进行修改，具体操作方法见《操作手册》。</w:t>
      </w:r>
    </w:p>
    <w:p w14:paraId="7158CD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 在响应文件提交截止时间之后，供应商不得对其电子响应文件作任何修改。</w:t>
      </w:r>
    </w:p>
    <w:p w14:paraId="0392283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 在响应文件提交截止时间至征集文件中规定的响应文件有效期满之间的这段时间内，供应商不得撤回其电子响应文件。</w:t>
      </w:r>
    </w:p>
    <w:p w14:paraId="3F79679E">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25" w:name="_Toc120614218"/>
      <w:bookmarkStart w:id="126" w:name="_Toc20823301"/>
      <w:bookmarkStart w:id="127" w:name="_Toc513029229"/>
      <w:bookmarkStart w:id="128" w:name="_Toc16938545"/>
      <w:r>
        <w:rPr>
          <w:rFonts w:hint="eastAsia" w:asciiTheme="minorEastAsia" w:hAnsiTheme="minorEastAsia" w:eastAsiaTheme="minorEastAsia" w:cstheme="minorEastAsia"/>
          <w:sz w:val="21"/>
          <w:szCs w:val="21"/>
        </w:rPr>
        <w:t>五、响应文件的开启与</w:t>
      </w:r>
      <w:bookmarkEnd w:id="125"/>
      <w:bookmarkEnd w:id="126"/>
      <w:bookmarkEnd w:id="127"/>
      <w:bookmarkEnd w:id="128"/>
      <w:r>
        <w:rPr>
          <w:rFonts w:hint="eastAsia" w:asciiTheme="minorEastAsia" w:hAnsiTheme="minorEastAsia" w:eastAsiaTheme="minorEastAsia" w:cstheme="minorEastAsia"/>
          <w:sz w:val="21"/>
          <w:szCs w:val="21"/>
        </w:rPr>
        <w:t>评审</w:t>
      </w:r>
    </w:p>
    <w:p w14:paraId="5FA61837">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29" w:name="_Toc20823302"/>
      <w:bookmarkStart w:id="130" w:name="_Toc16938546"/>
      <w:bookmarkStart w:id="131" w:name="_Toc513029230"/>
      <w:r>
        <w:rPr>
          <w:rFonts w:hint="eastAsia" w:asciiTheme="minorEastAsia" w:hAnsiTheme="minorEastAsia" w:eastAsiaTheme="minorEastAsia" w:cstheme="minorEastAsia"/>
          <w:b w:val="0"/>
          <w:bCs w:val="0"/>
          <w:sz w:val="21"/>
          <w:szCs w:val="21"/>
        </w:rPr>
        <w:t>2</w:t>
      </w:r>
      <w:bookmarkEnd w:id="129"/>
      <w:bookmarkEnd w:id="130"/>
      <w:bookmarkEnd w:id="131"/>
      <w:r>
        <w:rPr>
          <w:rFonts w:hint="eastAsia" w:asciiTheme="minorEastAsia" w:hAnsiTheme="minorEastAsia" w:eastAsiaTheme="minorEastAsia" w:cstheme="minorEastAsia"/>
          <w:b w:val="0"/>
          <w:bCs w:val="0"/>
          <w:sz w:val="21"/>
          <w:szCs w:val="21"/>
        </w:rPr>
        <w:t>0．响应文件的开启</w:t>
      </w:r>
    </w:p>
    <w:p w14:paraId="4B31CB6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20.1 采购代理机构将在征集公告中规定的时间和地点组织开启响应文件。供应商应当按照《操作手册》规定，参加响应文件开启和在</w:t>
      </w:r>
      <w:r>
        <w:rPr>
          <w:rFonts w:hint="eastAsia" w:asciiTheme="minorEastAsia" w:hAnsiTheme="minorEastAsia" w:eastAsiaTheme="minorEastAsia" w:cstheme="minorEastAsia"/>
          <w:b/>
          <w:bCs/>
          <w:sz w:val="21"/>
          <w:szCs w:val="21"/>
        </w:rPr>
        <w:t>“苏采云”系统规定的时间（30分钟）内对电子响应文件进行解密。</w:t>
      </w:r>
    </w:p>
    <w:p w14:paraId="74C8D74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20.2响应文件开启仪式由采购代理机构组织, “苏采云”系统将自动公布各供应商的报价。</w:t>
      </w:r>
    </w:p>
    <w:p w14:paraId="4F0CBC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20.3供应商在响应文件开启过程中涉及到的响应文件解密、结果确认等工作，应按照《操作手册》规定执行。</w:t>
      </w:r>
    </w:p>
    <w:p w14:paraId="43CF691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20.4供应商如果对响应文件开启过程和开启记录有疑义，应当根据《操作手册》规定提出，如“苏采云”系统中《报价记录表》宣布后5分钟内未提出的，视同认可开启结果。</w:t>
      </w:r>
    </w:p>
    <w:p w14:paraId="37D68401">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32" w:name="_Toc20823303"/>
      <w:bookmarkStart w:id="133" w:name="_Toc513029231"/>
      <w:bookmarkStart w:id="134" w:name="_Toc16938547"/>
      <w:r>
        <w:rPr>
          <w:rFonts w:hint="eastAsia" w:asciiTheme="minorEastAsia" w:hAnsiTheme="minorEastAsia" w:eastAsiaTheme="minorEastAsia" w:cstheme="minorEastAsia"/>
          <w:b w:val="0"/>
          <w:bCs w:val="0"/>
          <w:sz w:val="21"/>
          <w:szCs w:val="21"/>
        </w:rPr>
        <w:t>21．评审小组</w:t>
      </w:r>
    </w:p>
    <w:p w14:paraId="026F91F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21.1响应文件开启后，采购代理机构将立即组织评审小组进行项目评审。</w:t>
      </w:r>
    </w:p>
    <w:p w14:paraId="5976329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 评审小组由技术、经济等方面的专家组成，且人员构成符合政府采购有关规定。</w:t>
      </w:r>
    </w:p>
    <w:p w14:paraId="4D0C65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21.3评审小组独立工作，负责评审所有响应文件并确定入围供应商。</w:t>
      </w:r>
    </w:p>
    <w:p w14:paraId="761474B6">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22．评审过程的保密与公正</w:t>
      </w:r>
      <w:bookmarkEnd w:id="132"/>
      <w:bookmarkEnd w:id="133"/>
      <w:bookmarkEnd w:id="134"/>
    </w:p>
    <w:p w14:paraId="2EA2705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22.1凡是与审查、澄清、评价和比较的有关资料以及授标建议等，评审小组成员、采购代理机构均不得向供应商或与评审工作无关的其他人员透露。</w:t>
      </w:r>
    </w:p>
    <w:p w14:paraId="6947521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22.2在评审过程中，供应商不得以任何行为影响评审过程，否则其响应文件将被作为无效响应文件。</w:t>
      </w:r>
    </w:p>
    <w:p w14:paraId="2EF1ADA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22.3在评审期间，采购代理机构将设专门人员与供应商联系。</w:t>
      </w:r>
    </w:p>
    <w:p w14:paraId="6713FA0A">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35" w:name="_Toc513029232"/>
      <w:bookmarkStart w:id="136" w:name="_Toc16938548"/>
      <w:bookmarkStart w:id="137" w:name="_Toc20823304"/>
      <w:r>
        <w:rPr>
          <w:rFonts w:hint="eastAsia" w:asciiTheme="minorEastAsia" w:hAnsiTheme="minorEastAsia" w:eastAsiaTheme="minorEastAsia" w:cstheme="minorEastAsia"/>
          <w:b w:val="0"/>
          <w:bCs w:val="0"/>
          <w:sz w:val="21"/>
          <w:szCs w:val="21"/>
        </w:rPr>
        <w:t>23．响应文件的澄清</w:t>
      </w:r>
      <w:bookmarkEnd w:id="135"/>
      <w:bookmarkEnd w:id="136"/>
      <w:bookmarkEnd w:id="137"/>
    </w:p>
    <w:p w14:paraId="73EBB84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38" w:name="_Toc20823305"/>
      <w:bookmarkStart w:id="139" w:name="_Toc16938549"/>
      <w:bookmarkStart w:id="140" w:name="_Toc513029233"/>
      <w:r>
        <w:rPr>
          <w:rFonts w:hint="eastAsia" w:asciiTheme="minorEastAsia" w:hAnsiTheme="minorEastAsia" w:eastAsiaTheme="minorEastAsia" w:cstheme="minorEastAsia"/>
          <w:sz w:val="21"/>
          <w:szCs w:val="21"/>
        </w:rPr>
        <w:t>23.1评审期间，对于响应文件中含义不明确、同类问题表述不一致或者有明显文字和计算错误的内容，评审小组将在“苏采云”系统中要求供应商作出必要的澄清、说明和补正。</w:t>
      </w:r>
    </w:p>
    <w:p w14:paraId="618C013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p>
    <w:p w14:paraId="08CBB4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23.3供应商如未按规定做出澄清、说明和补正，其风险由供应商自行承担。</w:t>
      </w:r>
    </w:p>
    <w:p w14:paraId="6F8C836A">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24．对响应文件的初审</w:t>
      </w:r>
      <w:bookmarkEnd w:id="138"/>
      <w:bookmarkEnd w:id="139"/>
      <w:bookmarkEnd w:id="140"/>
    </w:p>
    <w:p w14:paraId="1088E1F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24.1响应文件初审分为资格审查和符合性审查。</w:t>
      </w:r>
    </w:p>
    <w:p w14:paraId="6AC37C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24.1.1 资格审查：依据法律法规和征集文件规定的资格要求对供应商的资格证明文件进行审查。</w:t>
      </w:r>
    </w:p>
    <w:p w14:paraId="537CB1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在进行资格审查的同时，采购代理机构将在“信用中国”网站（www.creditchina.gov.cn）查询供应商的信用记录，以确定供应商是否具备参加本次采购活动的资格。查询结果将以网页打印的形式留存并归档。</w:t>
      </w:r>
    </w:p>
    <w:p w14:paraId="58F077B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24.1.2 符合性审查：依据征集活动的规定，由评审小组从响应文件的有效性、完整性和对征集文件的响应程度进行审查，以确定是否对征集文件的实质性要求作出响应。</w:t>
      </w:r>
    </w:p>
    <w:p w14:paraId="48593A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24.1.3 未通过资格审查或符合性审查的供应商，采购代理机构将在“苏采云”系统中告知未通过资格审查或符合性审查的原因，评审结束后，采购代理机构将不再告知未通过资格审查或符合性审查的原因。</w:t>
      </w:r>
    </w:p>
    <w:p w14:paraId="2D60953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24.2在详细评审之前，评审小组将首先审查每份响应文件是否实质性响应了征集文件的要求。实质性响应是与征集文件要求的全部条款、条件和规格相符，没有重大偏离或保留的响应。</w:t>
      </w:r>
    </w:p>
    <w:p w14:paraId="76D5636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5C72432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24.3如果响应文件实质上没有响应征集文件的要求，评审小组将予以拒绝，供应商不得通过修改或撤销不合要求的偏离或保留而使其响应文件成为实质性响应文件。</w:t>
      </w:r>
    </w:p>
    <w:p w14:paraId="1E09FEB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24.4评审小组将允许修正响应文件中不构成重大偏离的、微小的、非正规的、不一致的或不规则的地方，但这些修改不能影响任何供应商相应的名次排列。</w:t>
      </w:r>
    </w:p>
    <w:p w14:paraId="6E58D2A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41" w:name="_Toc513029234"/>
      <w:bookmarkStart w:id="142" w:name="_Toc16938550"/>
      <w:bookmarkStart w:id="143" w:name="_Toc20823306"/>
      <w:r>
        <w:rPr>
          <w:rFonts w:hint="eastAsia" w:asciiTheme="minorEastAsia" w:hAnsiTheme="minorEastAsia" w:eastAsiaTheme="minorEastAsia" w:cstheme="minorEastAsia"/>
          <w:sz w:val="21"/>
          <w:szCs w:val="21"/>
        </w:rPr>
        <w:t>24.5 供应商在响应文件开启及项目评审全过程中应保持通讯畅通，及时登录“苏采云”系统查阅、答复相关信息，并安排专人与采购代理机构及评审小组联系。</w:t>
      </w:r>
    </w:p>
    <w:p w14:paraId="7B684565">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w:t>
      </w:r>
      <w:bookmarkEnd w:id="141"/>
      <w:bookmarkEnd w:id="142"/>
      <w:bookmarkEnd w:id="143"/>
      <w:r>
        <w:rPr>
          <w:rFonts w:hint="eastAsia" w:asciiTheme="minorEastAsia" w:hAnsiTheme="minorEastAsia" w:eastAsiaTheme="minorEastAsia" w:cstheme="minorEastAsia"/>
          <w:b w:val="0"/>
          <w:bCs w:val="0"/>
          <w:sz w:val="21"/>
          <w:szCs w:val="21"/>
        </w:rPr>
        <w:t>5．无效响应条款和采购活动终止条款</w:t>
      </w:r>
    </w:p>
    <w:p w14:paraId="676D50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44" w:name="_Toc20823307"/>
      <w:bookmarkStart w:id="145" w:name="_Toc120614219"/>
      <w:bookmarkStart w:id="146" w:name="_Toc513029235"/>
      <w:bookmarkStart w:id="147" w:name="_Toc16938551"/>
      <w:r>
        <w:rPr>
          <w:rFonts w:hint="eastAsia" w:asciiTheme="minorEastAsia" w:hAnsiTheme="minorEastAsia" w:eastAsiaTheme="minorEastAsia" w:cstheme="minorEastAsia"/>
          <w:sz w:val="21"/>
          <w:szCs w:val="21"/>
        </w:rPr>
        <w:t>25.1无效响应条款</w:t>
      </w:r>
    </w:p>
    <w:p w14:paraId="289D1AB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25.1.1供应商在“苏采云”系统规定的时间内未成功解密电子响应文件的。</w:t>
      </w:r>
    </w:p>
    <w:p w14:paraId="3839661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25.1.2 供应商未按照征集文件要求上传电子响应文件的。</w:t>
      </w:r>
    </w:p>
    <w:p w14:paraId="4A6C6C8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25.1.3供应商不具备征集文件中规定资格要求的。</w:t>
      </w:r>
    </w:p>
    <w:p w14:paraId="3D80476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25.1.4供应商未通过符合性审查的。</w:t>
      </w:r>
    </w:p>
    <w:p w14:paraId="4752304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25.1.5不符合征集文件中规定的实质性要求和条件的。</w:t>
      </w:r>
    </w:p>
    <w:p w14:paraId="37957A8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837889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25.1.7 响应文件含有征集人不能接受的附加条件的。</w:t>
      </w:r>
    </w:p>
    <w:p w14:paraId="2E537D2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25.1.8 响应文件未按照征集文件要求加盖电子签章。</w:t>
      </w:r>
    </w:p>
    <w:p w14:paraId="142DE1B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25.1.9 其他法律、法规及本征集文件规定的属无效响应的情形。</w:t>
      </w:r>
    </w:p>
    <w:p w14:paraId="30C1F9C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25.2采购活动终止条款</w:t>
      </w:r>
    </w:p>
    <w:p w14:paraId="5818016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25.2.1出现影响采购公正的违法、违规行为。</w:t>
      </w:r>
    </w:p>
    <w:p w14:paraId="535AD57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25.2.2因重大变故，采购任务取消的。</w:t>
      </w:r>
    </w:p>
    <w:p w14:paraId="5D6ED7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25.2.3评审小组认定征集文件存在歧义、重大缺陷导致评审工作无法进行。</w:t>
      </w:r>
    </w:p>
    <w:p w14:paraId="3826CDC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25.2.4 因“苏采云”系统故障原因造成响应文件开启不成功的。</w:t>
      </w:r>
    </w:p>
    <w:p w14:paraId="4E3CAD0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25.2.5 提交响应文件和通过资格审查、符合性审查的供应商数量少于2家。</w:t>
      </w:r>
    </w:p>
    <w:p w14:paraId="1B906147">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w:t>
      </w:r>
      <w:bookmarkEnd w:id="144"/>
      <w:bookmarkEnd w:id="145"/>
      <w:bookmarkEnd w:id="146"/>
      <w:bookmarkEnd w:id="147"/>
      <w:r>
        <w:rPr>
          <w:rFonts w:hint="eastAsia" w:asciiTheme="minorEastAsia" w:hAnsiTheme="minorEastAsia" w:eastAsiaTheme="minorEastAsia" w:cstheme="minorEastAsia"/>
          <w:sz w:val="21"/>
          <w:szCs w:val="21"/>
        </w:rPr>
        <w:t>入围</w:t>
      </w:r>
    </w:p>
    <w:p w14:paraId="1F743AEF">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48" w:name="_Toc513029238"/>
      <w:bookmarkStart w:id="149" w:name="_Toc20823310"/>
      <w:bookmarkStart w:id="150" w:name="_Toc16938554"/>
      <w:r>
        <w:rPr>
          <w:rFonts w:hint="eastAsia" w:asciiTheme="minorEastAsia" w:hAnsiTheme="minorEastAsia" w:eastAsiaTheme="minorEastAsia" w:cstheme="minorEastAsia"/>
          <w:b w:val="0"/>
          <w:bCs w:val="0"/>
          <w:sz w:val="21"/>
          <w:szCs w:val="21"/>
        </w:rPr>
        <w:t>2</w:t>
      </w:r>
      <w:bookmarkEnd w:id="148"/>
      <w:r>
        <w:rPr>
          <w:rFonts w:hint="eastAsia" w:asciiTheme="minorEastAsia" w:hAnsiTheme="minorEastAsia" w:eastAsiaTheme="minorEastAsia" w:cstheme="minorEastAsia"/>
          <w:b w:val="0"/>
          <w:bCs w:val="0"/>
          <w:sz w:val="21"/>
          <w:szCs w:val="21"/>
        </w:rPr>
        <w:t>6．确定</w:t>
      </w:r>
      <w:bookmarkEnd w:id="149"/>
      <w:bookmarkEnd w:id="150"/>
      <w:r>
        <w:rPr>
          <w:rFonts w:hint="eastAsia" w:asciiTheme="minorEastAsia" w:hAnsiTheme="minorEastAsia" w:eastAsiaTheme="minorEastAsia" w:cstheme="minorEastAsia"/>
          <w:b w:val="0"/>
          <w:bCs w:val="0"/>
          <w:sz w:val="21"/>
          <w:szCs w:val="21"/>
        </w:rPr>
        <w:t>入围供应商</w:t>
      </w:r>
    </w:p>
    <w:p w14:paraId="1B4AE98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26.1入围供应商的选取原则和数量见征集文件第五章规定。</w:t>
      </w:r>
    </w:p>
    <w:p w14:paraId="1309B8C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26.2征集人将在“江苏政府采购网”发布“入围结果公告”，公告期限为1个工作日。</w:t>
      </w:r>
    </w:p>
    <w:p w14:paraId="6F79810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26.3入围供应商有下列情形之一，尚未签订框架协议的，取消其入围资格；已经签订框架协议的，解除与其签订的框架协议：</w:t>
      </w:r>
    </w:p>
    <w:p w14:paraId="7C3E4FB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26.3.1恶意串通谋取入围或者合同成交的。</w:t>
      </w:r>
    </w:p>
    <w:p w14:paraId="4F43168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26.3.2提供虚假材料谋取入围或者合同成交的。</w:t>
      </w:r>
    </w:p>
    <w:p w14:paraId="3B1451F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26.3.3无正当理由拒不接受合同授予的。</w:t>
      </w:r>
    </w:p>
    <w:p w14:paraId="6A52119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26.3.4不履行合同义务或者履行合同义务不符合约定，经采购人要求履行后仍不履行或者仍未按约定履行的。</w:t>
      </w:r>
    </w:p>
    <w:p w14:paraId="39635B5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26.3.5框架协议有效期内，因违法行为被禁止或限制参加政府采购活动的。</w:t>
      </w:r>
    </w:p>
    <w:p w14:paraId="14E6FD5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26.3.6 框架协议约定的其他情形。</w:t>
      </w:r>
    </w:p>
    <w:p w14:paraId="18F0A1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被取消入围资格或者被解除框架协议的供应商不得参加同一封闭式框架协议补充征集（本项目不涉及）。</w:t>
      </w:r>
    </w:p>
    <w:p w14:paraId="7A6CC5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26.4入围供应商在2年内应当以不高于其报价的价格向适用框架协议的采购人供应专用耗材（如果有）。</w:t>
      </w:r>
    </w:p>
    <w:p w14:paraId="5C2977B0">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51" w:name="_Toc200451960"/>
      <w:r>
        <w:rPr>
          <w:rFonts w:hint="eastAsia" w:asciiTheme="minorEastAsia" w:hAnsiTheme="minorEastAsia" w:eastAsiaTheme="minorEastAsia" w:cstheme="minorEastAsia"/>
          <w:b w:val="0"/>
          <w:bCs w:val="0"/>
          <w:sz w:val="21"/>
          <w:szCs w:val="21"/>
        </w:rPr>
        <w:t>27．质疑处理</w:t>
      </w:r>
      <w:bookmarkEnd w:id="151"/>
    </w:p>
    <w:p w14:paraId="63A1948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 提出质疑的供应商应当是参与所质疑封闭式框架协议采购项目采购活动的供应商。潜在供应商依法获取其可质疑的征集文件的，可以对征集文件提出质疑。</w:t>
      </w:r>
    </w:p>
    <w:p w14:paraId="67C73B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供应商认为征集文件、采购过程、入围结果使自己的权益受到损害的，可以在知道或应知其权益受到损害之日起七个工作日内，以书面形式向采购代理机构或征集人提出质疑。上述应知其权益受到损害之日，是指：</w:t>
      </w:r>
    </w:p>
    <w:p w14:paraId="71738CF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27.2.1对可以质疑的征集文件提出质疑的，为收到征集文件之日或者征集公告期限届满之日；</w:t>
      </w:r>
    </w:p>
    <w:p w14:paraId="5A7EDB9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27.2.2对采购过程提出质疑的，为各采购程序环节结束之日；</w:t>
      </w:r>
    </w:p>
    <w:p w14:paraId="71724B4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27.2.3对入围结果提出质疑的，为入围结果公告期限届满之日。</w:t>
      </w:r>
    </w:p>
    <w:p w14:paraId="5D55DCC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供应商应当在法定质疑期内一次性提出针对同一采购程序环节的质疑。供应商如在法定期限内对同一采购程序环节提出多次质疑的，采购代理机构或征集人只对供应商第一次质疑作出答复。</w:t>
      </w:r>
    </w:p>
    <w:p w14:paraId="21E2CFF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27.3质疑函必须按照本征集文件中《质疑函范本》要求的格式和内容进行填写，并按《质疑函范本》中要求签字、盖章、加盖公章。</w:t>
      </w:r>
    </w:p>
    <w:p w14:paraId="4B24DBC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27.4采购代理机构或征集人只接收以纸质原件形式送达的质疑。</w:t>
      </w:r>
    </w:p>
    <w:p w14:paraId="76D425F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 以下情形的质疑不予受理</w:t>
      </w:r>
    </w:p>
    <w:p w14:paraId="65D3532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27.5.1 内容不符合《政府采购质疑和投诉办法》第十二条规定的质疑。</w:t>
      </w:r>
    </w:p>
    <w:p w14:paraId="644AD81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27.5.2 超出政府采购法定期限的质疑。</w:t>
      </w:r>
    </w:p>
    <w:p w14:paraId="74CDEAF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27.5.3 以传真、电子邮件等方式递交的非原件形式的质疑。</w:t>
      </w:r>
    </w:p>
    <w:p w14:paraId="7357560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27.5.4 未参加采购活动的供应商或在采购活动中自身权益未受到损害的供应商所提出的质疑。</w:t>
      </w:r>
    </w:p>
    <w:p w14:paraId="7A1BE5E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0198702">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28．入围通知书</w:t>
      </w:r>
    </w:p>
    <w:p w14:paraId="031E5C9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28.1入围结果确定后，采购代理机构将向入围供应商发出入围通知书。</w:t>
      </w:r>
    </w:p>
    <w:p w14:paraId="13A90B3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28.2入围通知书将是框架协议的一个组成部分。对征集人和入围供应商均具有法律效力。入围通知书发出后，入围供应商无正当理由，不得主动放弃入围资格或者退出框架协议，否则应当依法承担法律责任。</w:t>
      </w:r>
    </w:p>
    <w:p w14:paraId="7A310D41">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52" w:name="_Toc120614220"/>
      <w:bookmarkStart w:id="153" w:name="_Toc513029236"/>
      <w:bookmarkStart w:id="154" w:name="_Toc20823308"/>
      <w:bookmarkStart w:id="155" w:name="_Toc16938552"/>
      <w:r>
        <w:rPr>
          <w:rFonts w:hint="eastAsia" w:asciiTheme="minorEastAsia" w:hAnsiTheme="minorEastAsia" w:eastAsiaTheme="minorEastAsia" w:cstheme="minorEastAsia"/>
          <w:sz w:val="21"/>
          <w:szCs w:val="21"/>
        </w:rPr>
        <w:t>七、</w:t>
      </w:r>
      <w:bookmarkEnd w:id="152"/>
      <w:r>
        <w:rPr>
          <w:rFonts w:hint="eastAsia" w:asciiTheme="minorEastAsia" w:hAnsiTheme="minorEastAsia" w:eastAsiaTheme="minorEastAsia" w:cstheme="minorEastAsia"/>
          <w:sz w:val="21"/>
          <w:szCs w:val="21"/>
        </w:rPr>
        <w:t>签订框架协议</w:t>
      </w:r>
    </w:p>
    <w:bookmarkEnd w:id="153"/>
    <w:bookmarkEnd w:id="154"/>
    <w:bookmarkEnd w:id="155"/>
    <w:p w14:paraId="5B7D21DC">
      <w:pPr>
        <w:pStyle w:val="9"/>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56" w:name="_Toc513029237"/>
      <w:bookmarkStart w:id="157" w:name="_Toc16938553"/>
      <w:bookmarkStart w:id="158" w:name="_Toc20823309"/>
      <w:r>
        <w:rPr>
          <w:rFonts w:hint="eastAsia" w:asciiTheme="minorEastAsia" w:hAnsiTheme="minorEastAsia" w:eastAsiaTheme="minorEastAsia" w:cstheme="minorEastAsia"/>
          <w:b w:val="0"/>
          <w:bCs w:val="0"/>
          <w:sz w:val="21"/>
          <w:szCs w:val="21"/>
        </w:rPr>
        <w:t>29．签订框架协议</w:t>
      </w:r>
    </w:p>
    <w:p w14:paraId="6EE245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29.l 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35F00158">
      <w:pPr>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29.2征集文件、入围供应商的响应文件及评审过程中有关澄清、承诺文件均应作为框架协议的附件。</w:t>
      </w:r>
    </w:p>
    <w:p w14:paraId="53B13F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29.3 签订框架协议后，</w:t>
      </w:r>
      <w:r>
        <w:rPr>
          <w:rFonts w:hint="eastAsia" w:asciiTheme="minorEastAsia" w:hAnsiTheme="minorEastAsia" w:eastAsiaTheme="minorEastAsia" w:cstheme="minorEastAsia"/>
          <w:b/>
          <w:bCs/>
          <w:sz w:val="21"/>
          <w:szCs w:val="21"/>
        </w:rPr>
        <w:t>入围供应商不得将服务（包含与服务相关的货物）进行转包</w:t>
      </w:r>
      <w:r>
        <w:rPr>
          <w:rFonts w:hint="eastAsia" w:asciiTheme="minorEastAsia" w:hAnsiTheme="minorEastAsia" w:eastAsiaTheme="minorEastAsia" w:cstheme="minorEastAsia"/>
          <w:sz w:val="21"/>
          <w:szCs w:val="21"/>
        </w:rPr>
        <w:t>。未经采购人同意，入围供应商也不得采用分包的形式履行合同，否则征集人有权终止框架协议，采购人有权终止采购合同。转包或分包造成征集人损失的，入围供应商应承担相应赔偿责任。</w:t>
      </w:r>
      <w:bookmarkEnd w:id="156"/>
      <w:bookmarkEnd w:id="157"/>
      <w:bookmarkEnd w:id="158"/>
      <w:bookmarkStart w:id="159" w:name="_Toc120614221"/>
      <w:bookmarkStart w:id="160" w:name="_Toc16938558"/>
      <w:bookmarkStart w:id="161" w:name="_Toc479757207"/>
      <w:bookmarkStart w:id="162" w:name="_Toc20823314"/>
      <w:bookmarkStart w:id="163" w:name="_Toc513029242"/>
    </w:p>
    <w:p w14:paraId="60C9A13A">
      <w:pPr>
        <w:pStyle w:val="7"/>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八、其他</w:t>
      </w:r>
    </w:p>
    <w:p w14:paraId="55E6295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30.1用户反馈和评价机制，接受采购人对入围供应商履行框架协议和采购合同情况的反馈与评价。采购人（用户）可在“苏采云”系统中对入围供应商的交易实施情况进行打星评价，同时也可直接将需反馈的信息发送至征集人。</w:t>
      </w:r>
    </w:p>
    <w:p w14:paraId="05F6D6D3">
      <w:pPr>
        <w:widowControl/>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clear="all"/>
      </w:r>
      <w:bookmarkEnd w:id="159"/>
      <w:bookmarkEnd w:id="160"/>
      <w:bookmarkEnd w:id="161"/>
      <w:bookmarkEnd w:id="162"/>
      <w:bookmarkEnd w:id="163"/>
      <w:bookmarkStart w:id="164" w:name="_Hlt16619350"/>
      <w:bookmarkStart w:id="165" w:name="_Toc20823346"/>
      <w:bookmarkStart w:id="166" w:name="_Toc120614244"/>
      <w:bookmarkStart w:id="167" w:name="_Toc16938590"/>
      <w:bookmarkStart w:id="168" w:name="_Toc479757211"/>
      <w:bookmarkStart w:id="169" w:name="_Toc462564139"/>
    </w:p>
    <w:p w14:paraId="6E1F8FC9">
      <w:pPr>
        <w:pStyle w:val="5"/>
        <w:spacing w:line="360" w:lineRule="auto"/>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第三章  框架协议文本</w:t>
      </w:r>
    </w:p>
    <w:p w14:paraId="14EF2473">
      <w:pPr>
        <w:pStyle w:val="25"/>
        <w:spacing w:line="360" w:lineRule="auto"/>
        <w:ind w:firstLine="562"/>
        <w:jc w:val="center"/>
        <w:rPr>
          <w:rFonts w:hint="eastAsia" w:asciiTheme="minorEastAsia" w:hAnsiTheme="minorEastAsia" w:eastAsiaTheme="minorEastAsia" w:cstheme="minorEastAsia"/>
          <w:b/>
          <w:bCs/>
          <w:sz w:val="28"/>
          <w:szCs w:val="28"/>
        </w:rPr>
      </w:pPr>
      <w:bookmarkStart w:id="170" w:name="_Toc119920256"/>
      <w:r>
        <w:rPr>
          <w:rFonts w:hint="eastAsia" w:asciiTheme="minorEastAsia" w:hAnsiTheme="minorEastAsia" w:eastAsiaTheme="minorEastAsia" w:cstheme="minorEastAsia"/>
          <w:b/>
          <w:bCs/>
          <w:sz w:val="28"/>
          <w:szCs w:val="28"/>
        </w:rPr>
        <w:t>南通市通州区框架协议文本（服务）（框架协议编号）</w:t>
      </w:r>
      <w:bookmarkEnd w:id="170"/>
    </w:p>
    <w:p w14:paraId="0A8A78EF">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w:t>
      </w:r>
    </w:p>
    <w:p w14:paraId="321BD5EE">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p w14:paraId="76ED3FE7">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甲方：（征集人）_________</w:t>
      </w:r>
    </w:p>
    <w:p w14:paraId="2DC555C1">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乙方：（入围供应商）_________</w:t>
      </w:r>
    </w:p>
    <w:p w14:paraId="7B35C945">
      <w:pPr>
        <w:pStyle w:val="25"/>
        <w:spacing w:line="360" w:lineRule="auto"/>
        <w:ind w:left="210" w:firstLine="28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甲、乙双方根据项目采购的结果，签署本文本。</w:t>
      </w:r>
    </w:p>
    <w:p w14:paraId="0DE99610">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一、项目基本情况</w:t>
      </w:r>
    </w:p>
    <w:p w14:paraId="09DD6BBF">
      <w:pPr>
        <w:pStyle w:val="25"/>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1.1 采购需求：</w:t>
      </w:r>
      <w:r>
        <w:rPr>
          <w:rFonts w:hint="eastAsia" w:asciiTheme="minorEastAsia" w:hAnsiTheme="minorEastAsia" w:eastAsiaTheme="minorEastAsia" w:cstheme="minorEastAsia"/>
          <w:sz w:val="21"/>
          <w:szCs w:val="21"/>
          <w:u w:val="single"/>
        </w:rPr>
        <w:t>见征集文件需求</w:t>
      </w:r>
    </w:p>
    <w:p w14:paraId="5358C606">
      <w:pPr>
        <w:pStyle w:val="25"/>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1.2 服务最高限制单价：</w:t>
      </w:r>
      <w:r>
        <w:rPr>
          <w:rFonts w:hint="eastAsia" w:asciiTheme="minorEastAsia" w:hAnsiTheme="minorEastAsia" w:eastAsiaTheme="minorEastAsia" w:cstheme="minorEastAsia"/>
          <w:sz w:val="21"/>
          <w:szCs w:val="21"/>
          <w:u w:val="single"/>
        </w:rPr>
        <w:t>见征集文件</w:t>
      </w:r>
    </w:p>
    <w:p w14:paraId="0CE4E14B">
      <w:pPr>
        <w:pStyle w:val="25"/>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1.3适用本次框架协议的采购人或服务对象范围：</w:t>
      </w:r>
      <w:r>
        <w:rPr>
          <w:rFonts w:hint="eastAsia" w:asciiTheme="minorEastAsia" w:hAnsiTheme="minorEastAsia" w:eastAsiaTheme="minorEastAsia" w:cstheme="minorEastAsia"/>
          <w:sz w:val="21"/>
          <w:szCs w:val="21"/>
          <w:u w:val="single"/>
        </w:rPr>
        <w:t>南通高新技术产业开发区管理委员会</w:t>
      </w:r>
    </w:p>
    <w:p w14:paraId="73F52DB6">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 履行合同的地域范围：</w:t>
      </w:r>
      <w:r>
        <w:rPr>
          <w:rFonts w:hint="eastAsia" w:asciiTheme="minorEastAsia" w:hAnsiTheme="minorEastAsia" w:eastAsiaTheme="minorEastAsia" w:cstheme="minorEastAsia"/>
          <w:sz w:val="21"/>
          <w:szCs w:val="21"/>
          <w:u w:val="single"/>
        </w:rPr>
        <w:t>由使用单位指定</w:t>
      </w:r>
    </w:p>
    <w:p w14:paraId="6108CDB6">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二、第一阶段入围服务的相关信息</w:t>
      </w:r>
    </w:p>
    <w:p w14:paraId="78AD2669">
      <w:pPr>
        <w:pStyle w:val="25"/>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2.1 入围服务详细技术规格：</w:t>
      </w:r>
      <w:r>
        <w:rPr>
          <w:rFonts w:hint="eastAsia" w:asciiTheme="minorEastAsia" w:hAnsiTheme="minorEastAsia" w:eastAsiaTheme="minorEastAsia" w:cstheme="minorEastAsia"/>
          <w:sz w:val="21"/>
          <w:szCs w:val="21"/>
          <w:u w:val="single"/>
        </w:rPr>
        <w:t>见响应文件</w:t>
      </w:r>
    </w:p>
    <w:p w14:paraId="0568D96D">
      <w:pPr>
        <w:pStyle w:val="25"/>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2.2 服务标准：</w:t>
      </w:r>
      <w:r>
        <w:rPr>
          <w:rFonts w:hint="eastAsia" w:asciiTheme="minorEastAsia" w:hAnsiTheme="minorEastAsia" w:eastAsiaTheme="minorEastAsia" w:cstheme="minorEastAsia"/>
          <w:sz w:val="21"/>
          <w:szCs w:val="21"/>
          <w:u w:val="single"/>
        </w:rPr>
        <w:t>见响应文件</w:t>
      </w:r>
    </w:p>
    <w:p w14:paraId="1B501508">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 服务协议价格：</w:t>
      </w:r>
      <w:r>
        <w:rPr>
          <w:rFonts w:hint="eastAsia" w:asciiTheme="minorEastAsia" w:hAnsiTheme="minorEastAsia" w:eastAsiaTheme="minorEastAsia" w:cstheme="minorEastAsia"/>
          <w:sz w:val="21"/>
          <w:szCs w:val="21"/>
          <w:u w:val="single"/>
        </w:rPr>
        <w:t>见征集文件</w:t>
      </w:r>
    </w:p>
    <w:p w14:paraId="4D5B9322">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三、入围服务</w:t>
      </w:r>
      <w:bookmarkStart w:id="171" w:name="_Hlk174368446"/>
      <w:r>
        <w:rPr>
          <w:rFonts w:hint="eastAsia" w:asciiTheme="minorEastAsia" w:hAnsiTheme="minorEastAsia" w:eastAsiaTheme="minorEastAsia" w:cstheme="minorEastAsia"/>
          <w:b/>
          <w:sz w:val="21"/>
          <w:szCs w:val="21"/>
        </w:rPr>
        <w:t>升级换代</w:t>
      </w:r>
      <w:bookmarkEnd w:id="171"/>
      <w:r>
        <w:rPr>
          <w:rFonts w:hint="eastAsia" w:asciiTheme="minorEastAsia" w:hAnsiTheme="minorEastAsia" w:eastAsiaTheme="minorEastAsia" w:cstheme="minorEastAsia"/>
          <w:b/>
          <w:sz w:val="21"/>
          <w:szCs w:val="21"/>
        </w:rPr>
        <w:t>规则</w:t>
      </w:r>
    </w:p>
    <w:p w14:paraId="6B190BCB">
      <w:pPr>
        <w:pStyle w:val="25"/>
        <w:spacing w:line="360" w:lineRule="auto"/>
        <w:ind w:firstLine="56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本项目框架协议期内，不对入围服务进行升级换代。</w:t>
      </w:r>
    </w:p>
    <w:p w14:paraId="3E3DF9BE">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四、确定第二阶段成交供应商的方式</w:t>
      </w:r>
    </w:p>
    <w:p w14:paraId="1CDEF386">
      <w:pPr>
        <w:pStyle w:val="25"/>
        <w:spacing w:line="360" w:lineRule="auto"/>
        <w:ind w:firstLine="560"/>
        <w:rPr>
          <w:rFonts w:hint="eastAsia" w:asciiTheme="minorEastAsia" w:hAnsiTheme="minorEastAsia" w:eastAsiaTheme="minorEastAsia" w:cstheme="minorEastAsia"/>
          <w:sz w:val="21"/>
          <w:szCs w:val="21"/>
        </w:rPr>
      </w:pPr>
      <w:bookmarkStart w:id="172" w:name="_Hlk174369328"/>
      <w:r>
        <w:rPr>
          <w:rFonts w:hint="eastAsia" w:asciiTheme="minorEastAsia" w:hAnsiTheme="minorEastAsia" w:eastAsiaTheme="minorEastAsia" w:cstheme="minorEastAsia"/>
          <w:sz w:val="21"/>
          <w:szCs w:val="21"/>
        </w:rPr>
        <w:t>采购人依据入围服务质量、经营活动中重大违法记录情况以及服务便利性、用户评价等因素</w:t>
      </w:r>
      <w:bookmarkEnd w:id="172"/>
      <w:r>
        <w:rPr>
          <w:rFonts w:hint="eastAsia" w:asciiTheme="minorEastAsia" w:hAnsiTheme="minorEastAsia" w:eastAsiaTheme="minorEastAsia" w:cstheme="minorEastAsia"/>
          <w:sz w:val="21"/>
          <w:szCs w:val="21"/>
        </w:rPr>
        <w:t>，从第一阶段入围供应商中</w:t>
      </w:r>
      <w:bookmarkStart w:id="173" w:name="OLE_LINK1"/>
      <w:r>
        <w:rPr>
          <w:rFonts w:hint="eastAsia" w:asciiTheme="minorEastAsia" w:hAnsiTheme="minorEastAsia" w:eastAsiaTheme="minorEastAsia" w:cstheme="minorEastAsia"/>
          <w:sz w:val="21"/>
          <w:szCs w:val="21"/>
        </w:rPr>
        <w:t>直接选定</w:t>
      </w:r>
      <w:bookmarkEnd w:id="173"/>
      <w:r>
        <w:rPr>
          <w:rFonts w:hint="eastAsia" w:asciiTheme="minorEastAsia" w:hAnsiTheme="minorEastAsia" w:eastAsiaTheme="minorEastAsia" w:cstheme="minorEastAsia"/>
          <w:sz w:val="21"/>
          <w:szCs w:val="21"/>
        </w:rPr>
        <w:t>。</w:t>
      </w:r>
    </w:p>
    <w:p w14:paraId="5F5926BB">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五、资金支付方式、时间和条件</w:t>
      </w:r>
    </w:p>
    <w:p w14:paraId="42D2DADC">
      <w:pPr>
        <w:pStyle w:val="25"/>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由采购人和入围供应商按照合同约定执行。</w:t>
      </w:r>
    </w:p>
    <w:p w14:paraId="045A2098">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六、框架协议期限</w:t>
      </w:r>
    </w:p>
    <w:p w14:paraId="20B4632E">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两年（自框架协议签订之日起两年）。</w:t>
      </w:r>
    </w:p>
    <w:p w14:paraId="771DA428">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七、入围供应商的清退和补充规则</w:t>
      </w:r>
    </w:p>
    <w:p w14:paraId="5B144CB7">
      <w:pPr>
        <w:pStyle w:val="25"/>
        <w:spacing w:line="360" w:lineRule="auto"/>
        <w:ind w:firstLine="56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7.1</w:t>
      </w:r>
      <w:r>
        <w:rPr>
          <w:rFonts w:hint="eastAsia" w:asciiTheme="minorEastAsia" w:hAnsiTheme="minorEastAsia" w:eastAsiaTheme="minorEastAsia" w:cstheme="minorEastAsia"/>
          <w:sz w:val="21"/>
          <w:szCs w:val="21"/>
          <w:highlight w:val="none"/>
        </w:rPr>
        <w:t xml:space="preserve"> 清退规则 </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入围供应商存在《政府采购框架协议采购方式管理暂行办法》第十九条规定情形的，尚未签订框架协议的，取消其入围资格；已经签订框架协议的，解除与其签订的框架协议。</w:t>
      </w:r>
    </w:p>
    <w:p w14:paraId="4AA04DA5">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7.2 补充规则 </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如出现剩余入围供应商不足入围供应商总数70%且影响框架协议执行的情形时，征集人报监管部门同意后，将进行补充征集供应商。补充征集的条件、程序</w:t>
      </w:r>
      <w:r>
        <w:rPr>
          <w:rFonts w:hint="eastAsia" w:asciiTheme="minorEastAsia" w:hAnsiTheme="minorEastAsia" w:eastAsiaTheme="minorEastAsia" w:cstheme="minorEastAsia"/>
          <w:sz w:val="21"/>
          <w:szCs w:val="21"/>
        </w:rPr>
        <w:t>、评审方法和淘汰比例与初次征集相同。补充征集遵守原框架协议的有效期。补充征集期间，原框架协议继续履行（本项目不涉及）。</w:t>
      </w:r>
    </w:p>
    <w:p w14:paraId="386D5729">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八、采购合同文本</w:t>
      </w:r>
    </w:p>
    <w:p w14:paraId="52D62AC7">
      <w:pPr>
        <w:pStyle w:val="25"/>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见“框架协议文本附件”（乙方在“苏采云”系统中与采购人签订电子采购合同）</w:t>
      </w:r>
    </w:p>
    <w:p w14:paraId="373DCBDA">
      <w:pPr>
        <w:pStyle w:val="25"/>
        <w:spacing w:line="360" w:lineRule="auto"/>
        <w:ind w:firstLine="5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九、甲乙双方的权利和义务</w:t>
      </w:r>
    </w:p>
    <w:p w14:paraId="4FCB0585">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甲方的权利</w:t>
      </w:r>
    </w:p>
    <w:p w14:paraId="3A15D86B">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（1）确定框架协议采购需求。</w:t>
      </w:r>
    </w:p>
    <w:p w14:paraId="7A6C3142">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（2）确定最高限制单价。</w:t>
      </w:r>
    </w:p>
    <w:p w14:paraId="4BCC9412">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（3）确定框架协议有限期。</w:t>
      </w:r>
    </w:p>
    <w:p w14:paraId="4DECB9BD">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（4）制定统一的采购合同文本供采购人、供应商使用，并明确要求采购人、供应商不得擅自改变框架协议约定的合同实质性条款。</w:t>
      </w:r>
    </w:p>
    <w:p w14:paraId="1D7412FC">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（5）乙方存在《政府采购框架协议采购方式管理暂行办法》第十九条第一款规定的情形时，取消入围供应商的入围资格，或解除与其签订的框架协议。</w:t>
      </w:r>
    </w:p>
    <w:p w14:paraId="721BDCE0">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（6）在框架协议期内，随时对乙方履约情况进行检查。</w:t>
      </w:r>
    </w:p>
    <w:p w14:paraId="51D0C4D3">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甲方的义务</w:t>
      </w:r>
    </w:p>
    <w:p w14:paraId="1CE6329D">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（1）为第二阶段合同授予提供工作便利。</w:t>
      </w:r>
    </w:p>
    <w:p w14:paraId="2E5FE41C">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（2）对第二阶段最高限价和需求标准执行情况进行管理。</w:t>
      </w:r>
    </w:p>
    <w:p w14:paraId="7B30554F">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（3）对第二阶段确定成交供应商情况进行管理。</w:t>
      </w:r>
    </w:p>
    <w:p w14:paraId="0BC7B5C7">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（4）根据框架协议约定，在质量不降低的前提下，对入围供应商因服务升级换代、用新服务替代原入围服务的情形进行审核。</w:t>
      </w:r>
    </w:p>
    <w:p w14:paraId="45C2C20A">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（5）建立用户反馈和评价机制，接受采购人对入围供应商履行框架协议和采购合同情况的反馈与评价，并将用户反馈和评价情况向采购人公开，作为第二阶段直接选定成交供应商的参考。</w:t>
      </w:r>
    </w:p>
    <w:p w14:paraId="42F1E292">
      <w:pPr>
        <w:pStyle w:val="205"/>
        <w:shd w:val="clear" w:color="auto" w:fill="FFFFFF"/>
        <w:tabs>
          <w:tab w:val="left" w:pos="1031"/>
        </w:tabs>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（6）公开封闭式框架协议的第二阶段成交结果。</w:t>
      </w:r>
    </w:p>
    <w:p w14:paraId="4F5F2FE9">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（7）办理入围供应商清退和补充相关事宜。</w:t>
      </w:r>
    </w:p>
    <w:p w14:paraId="01D1F971">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（8）建立真实完整的框架协议采购档案，妥善保存每项采购活动的采购文件资料。</w:t>
      </w:r>
    </w:p>
    <w:p w14:paraId="4F295646">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9.3 乙方的权利</w:t>
      </w:r>
    </w:p>
    <w:p w14:paraId="51155A44">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（1）乙方具有为采购人提供相关服务的资格。</w:t>
      </w:r>
    </w:p>
    <w:p w14:paraId="3FE9102F">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（2）乙方有权拒绝采购人提出的以本次框架协议采购名义购买非入围货物、服务、配件或满足采购人超出响应承诺以外的其他要求。</w:t>
      </w:r>
    </w:p>
    <w:p w14:paraId="277517DF">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（3）对采购人在购买入围服务过程中的不正当要求和违规行为进行投诉，并要求有关部门做出处理。</w:t>
      </w:r>
    </w:p>
    <w:p w14:paraId="220EB451">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（4）有权拒绝任何个人以采购人名义按照协议价格购买入围服务和进行现金交易。</w:t>
      </w:r>
    </w:p>
    <w:p w14:paraId="0D05CDE2">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9.4 乙方的义务</w:t>
      </w:r>
    </w:p>
    <w:p w14:paraId="1DD67E76">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（1）严格执行国家法律法规，严格按照响应文件承诺的价格和服务履约，遵守本合同条款。</w:t>
      </w:r>
    </w:p>
    <w:p w14:paraId="347BBCEA">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（2）乙方应当符合《中华人民共和国政府采购法》第二十二条第一款的规定。</w:t>
      </w:r>
    </w:p>
    <w:p w14:paraId="73566418">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（3）随时接受并配合甲方的监督检查，并配合财政部门对采购人和其他入围供应商对框架协议执行情况进行监督，发现违规违约情形的，及时向财政部门报告。</w:t>
      </w:r>
    </w:p>
    <w:p w14:paraId="736F1F15">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（4）在框架协议有效期内，按照不高于协议价格的价格，向采购人提供相关服务。</w:t>
      </w:r>
    </w:p>
    <w:p w14:paraId="00031E3E">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（5）乙方及其委托的聘用专家对本项目承担连带责任，乙方委托的聘用专家必须履行乙方在响应文件中承诺的责任和义务。</w:t>
      </w:r>
    </w:p>
    <w:p w14:paraId="27A338B1">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（6）框架协议期内，在质量不降低、价格不提高的前提下，乙方如出现因服务升级换代，需用新服务替代原入围服务情形时，必须在“苏采云”系统中向甲方提出申请。</w:t>
      </w:r>
    </w:p>
    <w:p w14:paraId="51A5FFB2">
      <w:pPr>
        <w:pStyle w:val="20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十、税费</w:t>
      </w:r>
    </w:p>
    <w:p w14:paraId="2D2E2BFC">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本框架协议执行中相关的一切税费均由乙方负担。</w:t>
      </w:r>
    </w:p>
    <w:p w14:paraId="1F2D4F3F">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十一、争议解决的办法</w:t>
      </w:r>
    </w:p>
    <w:p w14:paraId="490F3736">
      <w:pPr>
        <w:pStyle w:val="25"/>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因本框架协议的签订、履行而发生的争议，甲乙双方应通过友好协商解决，如协商不成由甲方住所地人民法院管辖。</w:t>
      </w:r>
    </w:p>
    <w:p w14:paraId="77B9E21D">
      <w:pPr>
        <w:pStyle w:val="25"/>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十二、框架协议文本的生效及其它</w:t>
      </w:r>
    </w:p>
    <w:p w14:paraId="62371D6B">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 本框架协议文本经甲乙双方法定代表人或授权委托代表人签字并加盖单位公章后生效。</w:t>
      </w:r>
    </w:p>
    <w:p w14:paraId="1E62EC02">
      <w:pPr>
        <w:pStyle w:val="25"/>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12.2本框架协议文本未尽事宜，遵照《中华人民共和国民法典》、《中华人民共和国政府采购法》有关条文执行。</w:t>
      </w:r>
    </w:p>
    <w:p w14:paraId="46ED76E7">
      <w:pPr>
        <w:pStyle w:val="25"/>
        <w:spacing w:line="360" w:lineRule="auto"/>
        <w:ind w:firstLine="56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rPr>
        <w:t>12.3 本框架协议文本正本一式两份，具有同等法律效力，甲方、乙方各执一份。</w:t>
      </w:r>
    </w:p>
    <w:p w14:paraId="01D8A689">
      <w:pPr>
        <w:tabs>
          <w:tab w:val="left" w:pos="1188"/>
        </w:tabs>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1B538BE3">
      <w:pPr>
        <w:tabs>
          <w:tab w:val="left" w:pos="1188"/>
        </w:tabs>
        <w:spacing w:line="360" w:lineRule="auto"/>
        <w:ind w:firstLine="420" w:firstLineChars="20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甲方：                             地址： </w:t>
      </w:r>
    </w:p>
    <w:p w14:paraId="5B93D68C">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法定代表人或授权代表：             联系电话：</w:t>
      </w:r>
    </w:p>
    <w:p w14:paraId="180710CC">
      <w:pPr>
        <w:spacing w:line="360" w:lineRule="auto"/>
        <w:ind w:firstLine="1190"/>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060B0BF3">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乙方：                             地址： </w:t>
      </w:r>
    </w:p>
    <w:p w14:paraId="4FC023BB">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法定代表人或授权代表：             联系电话：</w:t>
      </w:r>
    </w:p>
    <w:p w14:paraId="130ED36F">
      <w:pPr>
        <w:spacing w:line="360" w:lineRule="auto"/>
        <w:ind w:firstLine="287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签订日期：   年   月  日</w:t>
      </w:r>
    </w:p>
    <w:p w14:paraId="15761986">
      <w:pPr>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20F5C4C0">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41B9A2AB">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22FA46C3">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6BB4A3BF">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0173DD5D">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0CD84A56">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5184298B">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5F9F13F3">
      <w:pPr>
        <w:spacing w:line="360" w:lineRule="auto"/>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附件：</w:t>
      </w:r>
    </w:p>
    <w:p w14:paraId="18F3D0B0">
      <w:pPr>
        <w:keepNext w:val="0"/>
        <w:keepLines w:val="0"/>
        <w:pageBreakBefore w:val="0"/>
        <w:kinsoku/>
        <w:wordWrap/>
        <w:overflowPunct/>
        <w:topLinePunct w:val="0"/>
        <w:autoSpaceDE/>
        <w:autoSpaceDN/>
        <w:bidi w:val="0"/>
        <w:adjustRightInd/>
        <w:snapToGrid/>
        <w:spacing w:line="400" w:lineRule="exact"/>
        <w:ind w:firstLine="562"/>
        <w:jc w:val="center"/>
        <w:textAlignment w:val="auto"/>
        <w:rPr>
          <w:rFonts w:hint="eastAsia"/>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采购合同</w:t>
      </w:r>
    </w:p>
    <w:p w14:paraId="1D75E24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委托人（全称）：</w:t>
      </w:r>
      <w:r>
        <w:rPr>
          <w:rFonts w:hint="eastAsia" w:asciiTheme="minorEastAsia" w:hAnsiTheme="minorEastAsia" w:eastAsiaTheme="minorEastAsia" w:cstheme="minorEastAsia"/>
          <w:color w:val="auto"/>
          <w:sz w:val="21"/>
          <w:szCs w:val="21"/>
          <w:highlight w:val="none"/>
          <w:u w:val="single"/>
        </w:rPr>
        <w:t>南通高新技术产业开发区管理委员会</w:t>
      </w:r>
    </w:p>
    <w:p w14:paraId="154C88C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咨询人（全称）：</w:t>
      </w:r>
    </w:p>
    <w:p w14:paraId="30E045F6">
      <w:pPr>
        <w:keepNext w:val="0"/>
        <w:keepLines w:val="0"/>
        <w:pageBreakBefore w:val="0"/>
        <w:widowControl/>
        <w:kinsoku/>
        <w:wordWrap/>
        <w:overflowPunct/>
        <w:topLinePunct w:val="0"/>
        <w:autoSpaceDE/>
        <w:autoSpaceDN/>
        <w:bidi w:val="0"/>
        <w:adjustRightInd/>
        <w:snapToGrid/>
        <w:spacing w:line="400" w:lineRule="exact"/>
        <w:ind w:firstLine="504"/>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根据《中华人民共和国民法典》及其他有关法律、法规，遵循平等、自愿、公平和信用的原则，双方就</w:t>
      </w:r>
      <w:r>
        <w:rPr>
          <w:rFonts w:hint="eastAsia" w:asciiTheme="minorEastAsia" w:hAnsiTheme="minorEastAsia" w:eastAsiaTheme="minorEastAsia" w:cstheme="minorEastAsia"/>
          <w:b/>
          <w:bCs/>
          <w:color w:val="auto"/>
          <w:sz w:val="21"/>
          <w:szCs w:val="21"/>
          <w:highlight w:val="none"/>
          <w:lang w:val="en-US" w:eastAsia="zh-CN"/>
        </w:rPr>
        <w:t>南</w:t>
      </w:r>
      <w:r>
        <w:rPr>
          <w:rFonts w:hint="eastAsia" w:asciiTheme="minorEastAsia" w:hAnsiTheme="minorEastAsia" w:eastAsiaTheme="minorEastAsia" w:cstheme="minorEastAsia"/>
          <w:b/>
          <w:bCs/>
          <w:color w:val="auto"/>
          <w:sz w:val="21"/>
          <w:szCs w:val="21"/>
          <w:highlight w:val="none"/>
        </w:rPr>
        <w:t>通高新技术产业开发区管理委员会202</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年政府投资建设项目协审服务框架协议采购</w:t>
      </w:r>
      <w:r>
        <w:rPr>
          <w:rFonts w:hint="eastAsia" w:asciiTheme="minorEastAsia" w:hAnsiTheme="minorEastAsia" w:eastAsiaTheme="minorEastAsia" w:cstheme="minorEastAsia"/>
          <w:color w:val="auto"/>
          <w:sz w:val="21"/>
          <w:szCs w:val="21"/>
          <w:highlight w:val="none"/>
        </w:rPr>
        <w:t>事项协商一致，订立本合同。</w:t>
      </w:r>
    </w:p>
    <w:p w14:paraId="29E7A93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一、项目概况</w:t>
      </w:r>
    </w:p>
    <w:p w14:paraId="3D1DD51B">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1.项目名称：南通高新技术产业开发区管理委员会2026年政府投资建设项目协审服务框架协议采购</w:t>
      </w:r>
      <w:r>
        <w:rPr>
          <w:rFonts w:hint="eastAsia" w:asciiTheme="minorEastAsia" w:hAnsiTheme="minorEastAsia" w:eastAsiaTheme="minorEastAsia" w:cstheme="minorEastAsia"/>
          <w:color w:val="auto"/>
          <w:sz w:val="21"/>
          <w:szCs w:val="21"/>
          <w:highlight w:val="none"/>
          <w:lang w:eastAsia="zh-CN"/>
        </w:rPr>
        <w:t>。</w:t>
      </w:r>
    </w:p>
    <w:p w14:paraId="73E6928F">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2.项目规模：受南通高新技术产业开发区管理委员会委托的协审项目，金额以实际发生为准。</w:t>
      </w:r>
    </w:p>
    <w:p w14:paraId="04852C3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二、服务范围及工作内容：</w:t>
      </w:r>
    </w:p>
    <w:p w14:paraId="2A2AD4FC">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根据委托人要求参与政府投资建设项目工程的协审工作。</w:t>
      </w:r>
    </w:p>
    <w:p w14:paraId="700904A3">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1.协审范围：南通高新区政府投资建设项目的工程标底审核、结算审核、全过程跟踪审计、标底编制等造价咨询服务。</w:t>
      </w:r>
    </w:p>
    <w:p w14:paraId="7B1ACD4F">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2.协审内容：</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1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①</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对施工图预算（标底）的工程量进行审核，对清单特征、方案合理性、定额套用、费率标准、措施项目、材料价格、其它项目等进行审核，对施工图设计及施工组织设计的经济合理性提出优化建议；</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2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②</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工程结算审核，依据工程图纸、工程签证资料和工程量计算规则等，审查工程量的真实性、准确性等；</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3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③</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全过程跟踪审计，对项目</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"https://baike.so.com/doc/5376212-5612327.html" \t "_blank" </w:instrText>
      </w:r>
      <w:r>
        <w:rPr>
          <w:rFonts w:hint="eastAsia" w:asciiTheme="minorEastAsia" w:hAnsiTheme="minorEastAsia" w:eastAsiaTheme="minorEastAsia" w:cstheme="minorEastAsia"/>
          <w:color w:val="auto"/>
          <w:sz w:val="21"/>
          <w:szCs w:val="21"/>
          <w:highlight w:val="none"/>
        </w:rPr>
        <w:fldChar w:fldCharType="separate"/>
      </w:r>
      <w:r>
        <w:rPr>
          <w:rStyle w:val="50"/>
          <w:rFonts w:hint="eastAsia" w:asciiTheme="minorEastAsia" w:hAnsiTheme="minorEastAsia" w:eastAsiaTheme="minorEastAsia" w:cstheme="minorEastAsia"/>
          <w:color w:val="auto"/>
          <w:sz w:val="21"/>
          <w:szCs w:val="21"/>
          <w:highlight w:val="none"/>
        </w:rPr>
        <w:t>工程管理</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"https://baike.so.com/doc/7580081-7854175.html" \t "_blank" </w:instrText>
      </w:r>
      <w:r>
        <w:rPr>
          <w:rFonts w:hint="eastAsia" w:asciiTheme="minorEastAsia" w:hAnsiTheme="minorEastAsia" w:eastAsiaTheme="minorEastAsia" w:cstheme="minorEastAsia"/>
          <w:color w:val="auto"/>
          <w:sz w:val="21"/>
          <w:szCs w:val="21"/>
          <w:highlight w:val="none"/>
        </w:rPr>
        <w:fldChar w:fldCharType="separate"/>
      </w:r>
      <w:r>
        <w:rPr>
          <w:rStyle w:val="50"/>
          <w:rFonts w:hint="eastAsia" w:asciiTheme="minorEastAsia" w:hAnsiTheme="minorEastAsia" w:eastAsiaTheme="minorEastAsia" w:cstheme="minorEastAsia"/>
          <w:color w:val="auto"/>
          <w:sz w:val="21"/>
          <w:szCs w:val="21"/>
          <w:highlight w:val="none"/>
        </w:rPr>
        <w:t>施工进度</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、工程材料、变更签证等事项进行审计；</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4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④</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对年度重大项目的技术经济指标进行分析，配合委托人完成其他相关工作；⑤委托人要求审核的其它事项。</w:t>
      </w:r>
    </w:p>
    <w:p w14:paraId="0D970D9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三、服务期限：</w:t>
      </w:r>
    </w:p>
    <w:p w14:paraId="7EED1A08">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sz w:val="21"/>
          <w:szCs w:val="21"/>
          <w:highlight w:val="none"/>
        </w:rPr>
        <w:t>两年（自框架协议签订之日起两年）</w:t>
      </w:r>
      <w:r>
        <w:rPr>
          <w:rFonts w:hint="eastAsia" w:asciiTheme="minorEastAsia" w:hAnsiTheme="minorEastAsia" w:eastAsiaTheme="minorEastAsia" w:cstheme="minorEastAsia"/>
          <w:color w:val="auto"/>
          <w:sz w:val="21"/>
          <w:szCs w:val="21"/>
          <w:highlight w:val="none"/>
        </w:rPr>
        <w:t>。</w:t>
      </w:r>
    </w:p>
    <w:p w14:paraId="7D1B32B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四、质量标准</w:t>
      </w:r>
    </w:p>
    <w:p w14:paraId="0705FB74">
      <w:pPr>
        <w:keepNext w:val="0"/>
        <w:keepLines w:val="0"/>
        <w:pageBreakBefore w:val="0"/>
        <w:widowControl/>
        <w:kinsoku/>
        <w:wordWrap/>
        <w:overflowPunct/>
        <w:topLinePunct w:val="0"/>
        <w:autoSpaceDE/>
        <w:autoSpaceDN/>
        <w:bidi w:val="0"/>
        <w:adjustRightInd/>
        <w:snapToGrid/>
        <w:spacing w:line="400" w:lineRule="exact"/>
        <w:ind w:firstLine="490"/>
        <w:jc w:val="left"/>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工程造价咨询成果文件应符合：</w:t>
      </w:r>
      <w:r>
        <w:rPr>
          <w:rFonts w:hint="eastAsia" w:asciiTheme="minorEastAsia" w:hAnsiTheme="minorEastAsia" w:eastAsiaTheme="minorEastAsia" w:cstheme="minorEastAsia"/>
          <w:color w:val="auto"/>
          <w:sz w:val="21"/>
          <w:szCs w:val="21"/>
          <w:highlight w:val="none"/>
          <w:u w:val="single"/>
        </w:rPr>
        <w:t>合同专用条件第9条要求</w:t>
      </w:r>
    </w:p>
    <w:p w14:paraId="668C4638">
      <w:pPr>
        <w:keepNext w:val="0"/>
        <w:keepLines w:val="0"/>
        <w:pageBreakBefore w:val="0"/>
        <w:widowControl/>
        <w:numPr>
          <w:ilvl w:val="0"/>
          <w:numId w:val="3"/>
        </w:numPr>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酬金或计取方式:</w:t>
      </w:r>
    </w:p>
    <w:p w14:paraId="4140FCBC">
      <w:pPr>
        <w:pStyle w:val="3"/>
        <w:keepNext w:val="0"/>
        <w:keepLines w:val="0"/>
        <w:pageBreakBefore w:val="0"/>
        <w:kinsoku/>
        <w:wordWrap/>
        <w:overflowPunct/>
        <w:topLinePunct w:val="0"/>
        <w:autoSpaceDE/>
        <w:autoSpaceDN/>
        <w:bidi w:val="0"/>
        <w:adjustRightInd/>
        <w:snapToGrid/>
        <w:spacing w:line="400" w:lineRule="exact"/>
        <w:ind w:firstLine="843" w:firstLineChars="400"/>
        <w:textAlignment w:val="auto"/>
        <w:rPr>
          <w:rFonts w:hint="default"/>
          <w:b/>
          <w:bCs/>
          <w:sz w:val="21"/>
          <w:szCs w:val="21"/>
          <w:lang w:val="en-US" w:eastAsia="zh-CN"/>
        </w:rPr>
      </w:pPr>
      <w:r>
        <w:rPr>
          <w:rFonts w:hint="eastAsia"/>
          <w:b/>
          <w:bCs/>
          <w:sz w:val="21"/>
          <w:szCs w:val="21"/>
          <w:lang w:val="en-US" w:eastAsia="zh-CN"/>
        </w:rPr>
        <w:t>标底审计：</w:t>
      </w:r>
    </w:p>
    <w:p w14:paraId="2D072E9C">
      <w:pPr>
        <w:keepNext w:val="0"/>
        <w:keepLines w:val="0"/>
        <w:pageBreakBefore w:val="0"/>
        <w:numPr>
          <w:ilvl w:val="0"/>
          <w:numId w:val="4"/>
        </w:numPr>
        <w:kinsoku/>
        <w:wordWrap/>
        <w:overflowPunct/>
        <w:topLinePunct w:val="0"/>
        <w:autoSpaceDE/>
        <w:autoSpaceDN/>
        <w:bidi w:val="0"/>
        <w:adjustRightInd/>
        <w:snapToGrid/>
        <w:spacing w:line="400" w:lineRule="exact"/>
        <w:ind w:firstLine="420" w:firstLineChars="200"/>
        <w:textAlignment w:val="auto"/>
        <w:rPr>
          <w:rFonts w:hint="eastAsia" w:hAnsi="宋体" w:cs="Arial"/>
          <w:color w:val="auto"/>
          <w:sz w:val="21"/>
          <w:szCs w:val="21"/>
          <w:highlight w:val="none"/>
        </w:rPr>
      </w:pPr>
      <w:r>
        <w:rPr>
          <w:rFonts w:hint="eastAsia" w:hAnsi="宋体" w:cs="Arial"/>
          <w:color w:val="auto"/>
          <w:sz w:val="21"/>
          <w:szCs w:val="21"/>
          <w:highlight w:val="none"/>
        </w:rPr>
        <w:t>基本报酬标准。</w:t>
      </w:r>
    </w:p>
    <w:p w14:paraId="2FC1D3F6">
      <w:pPr>
        <w:keepNext w:val="0"/>
        <w:keepLines w:val="0"/>
        <w:pageBreakBefore w:val="0"/>
        <w:numPr>
          <w:ilvl w:val="0"/>
          <w:numId w:val="0"/>
        </w:numPr>
        <w:kinsoku/>
        <w:wordWrap/>
        <w:overflowPunct/>
        <w:topLinePunct w:val="0"/>
        <w:autoSpaceDE/>
        <w:autoSpaceDN/>
        <w:bidi w:val="0"/>
        <w:adjustRightInd/>
        <w:snapToGrid/>
        <w:spacing w:line="400" w:lineRule="exact"/>
        <w:ind w:firstLine="420" w:firstLineChars="200"/>
        <w:textAlignment w:val="auto"/>
        <w:rPr>
          <w:rFonts w:hAnsi="宋体" w:cs="Arial"/>
          <w:color w:val="auto"/>
          <w:sz w:val="21"/>
          <w:szCs w:val="21"/>
          <w:highlight w:val="none"/>
        </w:rPr>
      </w:pPr>
      <w:r>
        <w:rPr>
          <w:rFonts w:hint="eastAsia" w:hAnsi="宋体" w:cs="Arial"/>
          <w:color w:val="auto"/>
          <w:sz w:val="21"/>
          <w:szCs w:val="21"/>
          <w:highlight w:val="none"/>
        </w:rPr>
        <w:t>参</w:t>
      </w:r>
      <w:r>
        <w:rPr>
          <w:rFonts w:hint="eastAsia" w:hAnsi="宋体" w:cs="Arial"/>
          <w:color w:val="auto"/>
          <w:sz w:val="21"/>
          <w:szCs w:val="21"/>
          <w:highlight w:val="none"/>
          <w:lang w:val="en-US" w:eastAsia="zh-CN"/>
        </w:rPr>
        <w:t>考</w:t>
      </w:r>
      <w:r>
        <w:rPr>
          <w:rFonts w:hint="eastAsia" w:hAnsi="宋体" w:cs="Arial"/>
          <w:color w:val="auto"/>
          <w:sz w:val="21"/>
          <w:szCs w:val="21"/>
          <w:highlight w:val="none"/>
        </w:rPr>
        <w:t>《江苏省建设工程造价咨询服务收费管理办法》（苏价服[2014]383号文）中的审核工程设计概算、预算等标准，确定基本报酬比例（分档累进计算），且最低限额为1000元,最高限额</w:t>
      </w:r>
      <w:r>
        <w:rPr>
          <w:rFonts w:hint="eastAsia" w:hAnsi="宋体" w:cs="Arial"/>
          <w:color w:val="auto"/>
          <w:sz w:val="21"/>
          <w:szCs w:val="21"/>
          <w:highlight w:val="none"/>
          <w:lang w:val="en-US" w:eastAsia="zh-CN"/>
        </w:rPr>
        <w:t>为</w:t>
      </w:r>
      <w:r>
        <w:rPr>
          <w:rFonts w:hint="eastAsia" w:hAnsi="宋体" w:cs="Arial"/>
          <w:color w:val="auto"/>
          <w:sz w:val="21"/>
          <w:szCs w:val="21"/>
          <w:highlight w:val="none"/>
        </w:rPr>
        <w:t>30000元。具体为：100万元(含)以内以0.76‰计费，100－500万元(含)以0.7‰计费，500－1000万元(含)以0.56‰计费，100</w:t>
      </w:r>
      <w:r>
        <w:rPr>
          <w:rFonts w:hint="eastAsia" w:hAnsi="宋体" w:cs="Arial"/>
          <w:color w:val="auto"/>
          <w:sz w:val="21"/>
          <w:szCs w:val="21"/>
          <w:highlight w:val="none"/>
          <w:lang w:val="en-US" w:eastAsia="zh-CN"/>
        </w:rPr>
        <w:t>0</w:t>
      </w:r>
      <w:r>
        <w:rPr>
          <w:rFonts w:hint="eastAsia" w:hAnsi="宋体" w:cs="Arial"/>
          <w:color w:val="auto"/>
          <w:sz w:val="21"/>
          <w:szCs w:val="21"/>
          <w:highlight w:val="none"/>
        </w:rPr>
        <w:t>－5000万元(含)以0.49‰计费，500</w:t>
      </w:r>
      <w:r>
        <w:rPr>
          <w:rFonts w:hint="eastAsia" w:hAnsi="宋体" w:cs="Arial"/>
          <w:color w:val="auto"/>
          <w:sz w:val="21"/>
          <w:szCs w:val="21"/>
          <w:highlight w:val="none"/>
          <w:lang w:val="en-US" w:eastAsia="zh-CN"/>
        </w:rPr>
        <w:t>0</w:t>
      </w:r>
      <w:r>
        <w:rPr>
          <w:rFonts w:hint="eastAsia" w:hAnsi="宋体" w:cs="Arial"/>
          <w:color w:val="auto"/>
          <w:sz w:val="21"/>
          <w:szCs w:val="21"/>
          <w:highlight w:val="none"/>
        </w:rPr>
        <w:t>－1亿(含)以0.42‰计费，大于1亿以0.35‰计费。</w:t>
      </w:r>
    </w:p>
    <w:p w14:paraId="3DC8CE55">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Ansi="宋体" w:cs="Arial"/>
          <w:color w:val="auto"/>
          <w:sz w:val="21"/>
          <w:szCs w:val="21"/>
          <w:highlight w:val="none"/>
        </w:rPr>
      </w:pPr>
      <w:r>
        <w:rPr>
          <w:rFonts w:hint="eastAsia" w:hAnsi="宋体" w:cs="Arial"/>
          <w:color w:val="auto"/>
          <w:sz w:val="21"/>
          <w:szCs w:val="21"/>
          <w:highlight w:val="none"/>
        </w:rPr>
        <w:t>二、追加报酬标准。</w:t>
      </w:r>
    </w:p>
    <w:p w14:paraId="14C3D592">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hAnsi="宋体" w:cs="Arial"/>
          <w:color w:val="auto"/>
          <w:sz w:val="21"/>
          <w:szCs w:val="21"/>
          <w:highlight w:val="none"/>
          <w:lang w:eastAsia="zh-CN"/>
        </w:rPr>
      </w:pPr>
      <w:r>
        <w:rPr>
          <w:rFonts w:hint="eastAsia" w:hAnsi="宋体" w:cs="Arial"/>
          <w:color w:val="auto"/>
          <w:sz w:val="21"/>
          <w:szCs w:val="21"/>
          <w:highlight w:val="none"/>
        </w:rPr>
        <w:t>1、按送审概算单项子目核增核减造价分别计算。核增，按核增额的1‰计取；核减，按核减额的3</w:t>
      </w:r>
      <w:r>
        <w:rPr>
          <w:rFonts w:hint="eastAsia" w:hAnsi="宋体" w:cs="Arial"/>
          <w:b/>
          <w:color w:val="auto"/>
          <w:sz w:val="21"/>
          <w:szCs w:val="21"/>
          <w:highlight w:val="none"/>
        </w:rPr>
        <w:t>‰</w:t>
      </w:r>
      <w:r>
        <w:rPr>
          <w:rFonts w:hint="eastAsia" w:hAnsi="宋体" w:cs="Arial"/>
          <w:color w:val="auto"/>
          <w:sz w:val="21"/>
          <w:szCs w:val="21"/>
          <w:highlight w:val="none"/>
        </w:rPr>
        <w:t>计取</w:t>
      </w:r>
      <w:r>
        <w:rPr>
          <w:rFonts w:hint="eastAsia" w:hAnsi="宋体" w:cs="Arial"/>
          <w:color w:val="auto"/>
          <w:sz w:val="21"/>
          <w:szCs w:val="21"/>
          <w:highlight w:val="none"/>
          <w:lang w:eastAsia="zh-CN"/>
        </w:rPr>
        <w:t>；</w:t>
      </w:r>
    </w:p>
    <w:p w14:paraId="33E7769D">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hAnsi="宋体" w:eastAsia="宋体" w:cs="Arial"/>
          <w:color w:val="auto"/>
          <w:sz w:val="21"/>
          <w:szCs w:val="21"/>
          <w:highlight w:val="none"/>
          <w:lang w:eastAsia="zh-CN"/>
        </w:rPr>
      </w:pPr>
      <w:r>
        <w:rPr>
          <w:rFonts w:hint="eastAsia" w:hAnsi="宋体" w:cs="Arial"/>
          <w:color w:val="auto"/>
          <w:sz w:val="21"/>
          <w:szCs w:val="21"/>
          <w:highlight w:val="none"/>
          <w:lang w:val="en-US" w:eastAsia="zh-CN"/>
        </w:rPr>
        <w:t>2、</w:t>
      </w:r>
      <w:r>
        <w:rPr>
          <w:rFonts w:hint="eastAsia" w:hAnsi="宋体" w:cs="Arial"/>
          <w:color w:val="auto"/>
          <w:sz w:val="21"/>
          <w:szCs w:val="21"/>
          <w:highlight w:val="none"/>
        </w:rPr>
        <w:t>由于设计变更、材料价格调整等原因造成的工程二次审核，第一次审核按原以上收费标准计算酬劳，第二次审核分别按以下标准计算酬劳：按上述收费标准计算酬劳＜1万元的，5折计取；按上述收费标准计算酬劳≥1万元的，4折计取（不足5000元按5000元计取）。工程标底编制，按标底编制价*2‰计酬，单个项目总费用最高限额为2万元，最低限额为1500元。</w:t>
      </w:r>
    </w:p>
    <w:p w14:paraId="06FC60A6">
      <w:pPr>
        <w:pStyle w:val="3"/>
        <w:keepNext w:val="0"/>
        <w:keepLines w:val="0"/>
        <w:pageBreakBefore w:val="0"/>
        <w:kinsoku/>
        <w:wordWrap/>
        <w:overflowPunct/>
        <w:topLinePunct w:val="0"/>
        <w:autoSpaceDE/>
        <w:autoSpaceDN/>
        <w:bidi w:val="0"/>
        <w:adjustRightInd/>
        <w:snapToGrid/>
        <w:spacing w:line="400" w:lineRule="exact"/>
        <w:ind w:left="0" w:leftChars="0" w:firstLine="422" w:firstLineChars="200"/>
        <w:textAlignment w:val="auto"/>
        <w:rPr>
          <w:rFonts w:hint="default" w:ascii="Times New Roman" w:hAnsi="宋体" w:eastAsia="宋体" w:cs="Arial"/>
          <w:b/>
          <w:bCs/>
          <w:color w:val="auto"/>
          <w:kern w:val="2"/>
          <w:sz w:val="21"/>
          <w:szCs w:val="21"/>
          <w:highlight w:val="none"/>
          <w:lang w:val="en-US" w:eastAsia="zh-CN" w:bidi="ar-SA"/>
        </w:rPr>
      </w:pPr>
      <w:r>
        <w:rPr>
          <w:rFonts w:hint="eastAsia" w:ascii="Times New Roman" w:hAnsi="宋体" w:eastAsia="宋体" w:cs="Arial"/>
          <w:b/>
          <w:bCs/>
          <w:color w:val="auto"/>
          <w:kern w:val="2"/>
          <w:sz w:val="21"/>
          <w:szCs w:val="21"/>
          <w:highlight w:val="none"/>
          <w:lang w:val="en-US" w:eastAsia="zh-CN" w:bidi="ar-SA"/>
        </w:rPr>
        <w:t>结算审计：</w:t>
      </w:r>
    </w:p>
    <w:p w14:paraId="52DDA97D">
      <w:pPr>
        <w:pStyle w:val="3"/>
        <w:keepNext w:val="0"/>
        <w:keepLines w:val="0"/>
        <w:pageBreakBefore w:val="0"/>
        <w:kinsoku/>
        <w:wordWrap/>
        <w:overflowPunct/>
        <w:topLinePunct w:val="0"/>
        <w:autoSpaceDE/>
        <w:autoSpaceDN/>
        <w:bidi w:val="0"/>
        <w:adjustRightInd/>
        <w:snapToGrid/>
        <w:spacing w:line="400" w:lineRule="exact"/>
        <w:ind w:firstLine="840" w:firstLineChars="4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1.初审费率：对施工单位结算直接审核，即未经初审的项目，费率</w:t>
      </w:r>
      <w:bookmarkStart w:id="174" w:name="OLE_LINK9"/>
      <w:r>
        <w:rPr>
          <w:rFonts w:hint="eastAsia" w:ascii="Times New Roman" w:hAnsi="宋体" w:eastAsia="宋体" w:cs="Arial"/>
          <w:color w:val="auto"/>
          <w:kern w:val="2"/>
          <w:sz w:val="21"/>
          <w:szCs w:val="21"/>
          <w:highlight w:val="none"/>
          <w:lang w:val="en-US" w:eastAsia="zh-CN" w:bidi="ar-SA"/>
        </w:rPr>
        <w:t>为净核减额的</w:t>
      </w:r>
      <w:bookmarkEnd w:id="174"/>
      <w:r>
        <w:rPr>
          <w:rFonts w:hint="eastAsia" w:ascii="Times New Roman" w:hAnsi="宋体" w:eastAsia="宋体" w:cs="Arial"/>
          <w:color w:val="auto"/>
          <w:kern w:val="2"/>
          <w:sz w:val="21"/>
          <w:szCs w:val="21"/>
          <w:highlight w:val="none"/>
          <w:lang w:val="en-US" w:eastAsia="zh-CN" w:bidi="ar-SA"/>
        </w:rPr>
        <w:t>3.0%。</w:t>
      </w:r>
    </w:p>
    <w:p w14:paraId="6DFF5678">
      <w:pPr>
        <w:pStyle w:val="3"/>
        <w:keepNext w:val="0"/>
        <w:keepLines w:val="0"/>
        <w:pageBreakBefore w:val="0"/>
        <w:kinsoku/>
        <w:wordWrap/>
        <w:overflowPunct/>
        <w:topLinePunct w:val="0"/>
        <w:autoSpaceDE/>
        <w:autoSpaceDN/>
        <w:bidi w:val="0"/>
        <w:adjustRightInd/>
        <w:snapToGrid/>
        <w:spacing w:line="400" w:lineRule="exact"/>
        <w:ind w:firstLine="840" w:firstLineChars="4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2.复审费率：对经业主内审、监理初审或第三方初审后的项目进行复审的项目，费率为净核减额的4.0%。</w:t>
      </w:r>
    </w:p>
    <w:p w14:paraId="152A4E46">
      <w:pPr>
        <w:pStyle w:val="3"/>
        <w:keepNext w:val="0"/>
        <w:keepLines w:val="0"/>
        <w:pageBreakBefore w:val="0"/>
        <w:kinsoku/>
        <w:wordWrap/>
        <w:overflowPunct/>
        <w:topLinePunct w:val="0"/>
        <w:autoSpaceDE/>
        <w:autoSpaceDN/>
        <w:bidi w:val="0"/>
        <w:adjustRightInd/>
        <w:snapToGrid/>
        <w:spacing w:line="400" w:lineRule="exact"/>
        <w:ind w:firstLine="840" w:firstLineChars="4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3.保底费：500万元以下的工程（以一个单位工程施工合同送审金额计）以上述办法计算审核费用不足2000元的，按2000元计算；500万元以上的工程以上述办法计算审核费用不足2500元的，按2500元计算。</w:t>
      </w:r>
    </w:p>
    <w:p w14:paraId="553E5F5E">
      <w:pPr>
        <w:pStyle w:val="21"/>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结算审计项目若经通州区审计局复核，核减率（核减额/送审额之比）误差超过允许误差率进行费用扣减，误差率在2.5%（含2.5%）协审费用全额计算 ；误差率为2.5%-4%（含4%）的协审费用打7折；误差率在4%以上的不得支付协审费用，并对相应协审单位进行责任追究。对无正当理由未按甲方的时限要求完成审计任务，如有延误，按 100 元/天扣减审计费，并承担相应的损失，因自身原因超出合同天数 30%仍不能完成项目的，甲方有权收回项目重新分配，并暂停乙方服务 6 个月。</w:t>
      </w:r>
    </w:p>
    <w:p w14:paraId="0C66C08D">
      <w:pPr>
        <w:pStyle w:val="21"/>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其他全过程跟踪审计、预算编制等零星咨询项目根据具体项目情况参考区财政局、审计局或《江苏省建设工程造价咨询服务收费管理办法》（苏价服[2014]383号文）相关标准执行。</w:t>
      </w:r>
    </w:p>
    <w:p w14:paraId="03EB1593">
      <w:pPr>
        <w:pStyle w:val="21"/>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借用乙方专家或专业技术人员完成临时性的审核、复核、投资审计业务会等审计事项时，如不宜以核减额计取审计报酬时，可按标准400元/人/日计取报酬。</w:t>
      </w:r>
    </w:p>
    <w:p w14:paraId="587131F0">
      <w:pPr>
        <w:pStyle w:val="21"/>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imes New Roman" w:hAnsi="宋体" w:eastAsia="宋体" w:cs="Arial"/>
          <w:color w:val="auto"/>
          <w:kern w:val="2"/>
          <w:sz w:val="21"/>
          <w:szCs w:val="21"/>
          <w:highlight w:val="none"/>
          <w:lang w:val="en-US" w:eastAsia="zh-CN" w:bidi="ar-SA"/>
        </w:rPr>
      </w:pPr>
      <w:r>
        <w:rPr>
          <w:rFonts w:hint="eastAsia" w:ascii="Times New Roman" w:hAnsi="宋体" w:eastAsia="宋体" w:cs="Arial"/>
          <w:color w:val="auto"/>
          <w:kern w:val="2"/>
          <w:sz w:val="21"/>
          <w:szCs w:val="21"/>
          <w:highlight w:val="none"/>
          <w:lang w:val="en-US" w:eastAsia="zh-CN" w:bidi="ar-SA"/>
        </w:rPr>
        <w:t>上述报酬均含税，支付报酬时需提供完税发票，半年结算一次。</w:t>
      </w:r>
    </w:p>
    <w:p w14:paraId="4F966F2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六、合同文件的构成</w:t>
      </w:r>
    </w:p>
    <w:p w14:paraId="7419D31A">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本协议书与下列文件一起构成合同文件：</w:t>
      </w:r>
    </w:p>
    <w:p w14:paraId="5B9B5EEC">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1.中标通知书;</w:t>
      </w:r>
    </w:p>
    <w:p w14:paraId="3FE30CB4">
      <w:pPr>
        <w:keepNext w:val="0"/>
        <w:keepLines w:val="0"/>
        <w:pageBreakBefore w:val="0"/>
        <w:widowControl/>
        <w:kinsoku/>
        <w:wordWrap/>
        <w:overflowPunct/>
        <w:topLinePunct w:val="0"/>
        <w:autoSpaceDE/>
        <w:autoSpaceDN/>
        <w:bidi w:val="0"/>
        <w:adjustRightInd/>
        <w:snapToGrid/>
        <w:spacing w:line="400" w:lineRule="exact"/>
        <w:ind w:firstLine="525" w:firstLineChars="25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2.投标函及投标函附录；</w:t>
      </w:r>
    </w:p>
    <w:p w14:paraId="55C7ACA6">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3.专用条件及附录；</w:t>
      </w:r>
    </w:p>
    <w:p w14:paraId="4E45DFA7">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4.通用条件；</w:t>
      </w:r>
    </w:p>
    <w:p w14:paraId="614C6BAE">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5.其他合同文件。</w:t>
      </w:r>
    </w:p>
    <w:p w14:paraId="0DB2C8AD">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上述各项合同文件包括合同当事人就该项合同文件所作出的补充和修改，属于同一类内容的文件，应以最新签署的为准。</w:t>
      </w:r>
    </w:p>
    <w:p w14:paraId="15C57EF9">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在合同订阅及履行过程中形成的与合同有关的文件（包括补充协议）均构成合同文件的组成部分。</w:t>
      </w:r>
    </w:p>
    <w:p w14:paraId="4104DB6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七、词语定议</w:t>
      </w:r>
    </w:p>
    <w:p w14:paraId="3F25F04D">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协议书中相关词语的含义与通用条件中的定义与解释相同。</w:t>
      </w:r>
    </w:p>
    <w:p w14:paraId="2834AB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八、合同订立</w:t>
      </w:r>
    </w:p>
    <w:p w14:paraId="35AA3EAD">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1.订立时间：</w:t>
      </w:r>
      <w:r>
        <w:rPr>
          <w:rFonts w:hint="eastAsia" w:asciiTheme="minorEastAsia" w:hAnsiTheme="minorEastAsia" w:eastAsiaTheme="minorEastAsia" w:cstheme="minorEastAsia"/>
          <w:color w:val="auto"/>
          <w:sz w:val="21"/>
          <w:szCs w:val="21"/>
          <w:highlight w:val="none"/>
          <w:lang w:val="en-US" w:eastAsia="zh-CN"/>
        </w:rPr>
        <w:t>2026年   月    日</w:t>
      </w:r>
      <w:r>
        <w:rPr>
          <w:rFonts w:hint="eastAsia" w:asciiTheme="minorEastAsia" w:hAnsiTheme="minorEastAsia" w:eastAsiaTheme="minorEastAsia" w:cstheme="minorEastAsia"/>
          <w:color w:val="auto"/>
          <w:sz w:val="21"/>
          <w:szCs w:val="21"/>
          <w:highlight w:val="none"/>
        </w:rPr>
        <w:t>。</w:t>
      </w:r>
    </w:p>
    <w:p w14:paraId="7D41A998">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2.订立地点：</w:t>
      </w:r>
      <w:r>
        <w:rPr>
          <w:rFonts w:hint="eastAsia" w:asciiTheme="minorEastAsia" w:hAnsiTheme="minorEastAsia" w:eastAsiaTheme="minorEastAsia" w:cstheme="minorEastAsia"/>
          <w:color w:val="auto"/>
          <w:sz w:val="21"/>
          <w:szCs w:val="21"/>
          <w:highlight w:val="none"/>
          <w:u w:val="single"/>
        </w:rPr>
        <w:t>南通高新技术产业开发区管理委员会</w:t>
      </w:r>
    </w:p>
    <w:p w14:paraId="11900C1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九、合同生效</w:t>
      </w:r>
    </w:p>
    <w:p w14:paraId="232AD1AC">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本合同自签订</w:t>
      </w:r>
      <w:r>
        <w:rPr>
          <w:rFonts w:hint="eastAsia" w:asciiTheme="minorEastAsia" w:hAnsiTheme="minorEastAsia" w:eastAsiaTheme="minorEastAsia" w:cstheme="minorEastAsia"/>
          <w:color w:val="auto"/>
          <w:sz w:val="21"/>
          <w:szCs w:val="21"/>
          <w:highlight w:val="none"/>
          <w:lang w:val="en-US" w:eastAsia="zh-CN"/>
        </w:rPr>
        <w:t>之</w:t>
      </w:r>
      <w:r>
        <w:rPr>
          <w:rFonts w:hint="eastAsia" w:asciiTheme="minorEastAsia" w:hAnsiTheme="minorEastAsia" w:eastAsiaTheme="minorEastAsia" w:cstheme="minorEastAsia"/>
          <w:color w:val="auto"/>
          <w:sz w:val="21"/>
          <w:szCs w:val="21"/>
          <w:highlight w:val="none"/>
        </w:rPr>
        <w:t>日起生效。</w:t>
      </w:r>
    </w:p>
    <w:p w14:paraId="3C59953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十、合同份数</w:t>
      </w:r>
    </w:p>
    <w:p w14:paraId="2E0936C0">
      <w:pPr>
        <w:keepNext w:val="0"/>
        <w:keepLines w:val="0"/>
        <w:pageBreakBefore w:val="0"/>
        <w:widowControl/>
        <w:kinsoku/>
        <w:wordWrap/>
        <w:overflowPunct/>
        <w:topLinePunct w:val="0"/>
        <w:autoSpaceDE/>
        <w:autoSpaceDN/>
        <w:bidi w:val="0"/>
        <w:adjustRightInd/>
        <w:snapToGrid/>
        <w:spacing w:line="400" w:lineRule="exact"/>
        <w:ind w:firstLine="567"/>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本合同一式两份，具有同等法律效力，其中委托人执一份，咨询人执一份。</w:t>
      </w:r>
    </w:p>
    <w:p w14:paraId="55963345">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57A38C0F">
      <w:pPr>
        <w:pageBreakBefore w:val="0"/>
        <w:widowControl/>
        <w:tabs>
          <w:tab w:val="left" w:pos="382"/>
          <w:tab w:val="left" w:pos="764"/>
          <w:tab w:val="left" w:pos="5539"/>
          <w:tab w:val="left" w:pos="5921"/>
        </w:tabs>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委托人：（盖章）             咨询人：（盖章）</w:t>
      </w:r>
    </w:p>
    <w:p w14:paraId="6F649D44">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02595E28">
      <w:pPr>
        <w:pageBreakBefore w:val="0"/>
        <w:widowControl/>
        <w:tabs>
          <w:tab w:val="left" w:pos="382"/>
          <w:tab w:val="left" w:pos="573"/>
          <w:tab w:val="left" w:pos="764"/>
          <w:tab w:val="left" w:pos="5921"/>
          <w:tab w:val="left" w:pos="6303"/>
          <w:tab w:val="left" w:pos="6494"/>
        </w:tabs>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法定代表人：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法定代表人</w:t>
      </w:r>
    </w:p>
    <w:p w14:paraId="648AD0F3">
      <w:pPr>
        <w:pageBreakBefore w:val="0"/>
        <w:widowControl/>
        <w:tabs>
          <w:tab w:val="left" w:pos="382"/>
          <w:tab w:val="left" w:pos="573"/>
          <w:tab w:val="left" w:pos="764"/>
          <w:tab w:val="left" w:pos="5921"/>
          <w:tab w:val="left" w:pos="6303"/>
          <w:tab w:val="left" w:pos="6494"/>
        </w:tabs>
        <w:kinsoku/>
        <w:topLinePunct w:val="0"/>
        <w:bidi w:val="0"/>
        <w:spacing w:line="460" w:lineRule="exact"/>
        <w:ind w:firstLine="210" w:firstLineChars="1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或委托代理人：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或委托代理人：</w:t>
      </w:r>
    </w:p>
    <w:p w14:paraId="39253880">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r>
        <w:rPr>
          <w:rFonts w:hint="eastAsia" w:asciiTheme="minorEastAsia" w:hAnsiTheme="minorEastAsia" w:eastAsiaTheme="minorEastAsia" w:cstheme="minorEastAsia"/>
          <w:color w:val="auto"/>
          <w:sz w:val="21"/>
          <w:szCs w:val="21"/>
          <w:highlight w:val="none"/>
          <w:lang w:val="en-US" w:eastAsia="zh-CN"/>
        </w:rPr>
        <w:t>开户行：                                  开户行：</w:t>
      </w:r>
      <w:r>
        <w:rPr>
          <w:rFonts w:hint="eastAsia" w:asciiTheme="minorEastAsia" w:hAnsiTheme="minorEastAsia" w:eastAsiaTheme="minorEastAsia" w:cstheme="minorEastAsia"/>
          <w:color w:val="auto"/>
          <w:sz w:val="21"/>
          <w:szCs w:val="21"/>
          <w:highlight w:val="none"/>
        </w:rPr>
        <w:t>      </w:t>
      </w:r>
    </w:p>
    <w:p w14:paraId="0A2731F5">
      <w:pPr>
        <w:pageBreakBefore w:val="0"/>
        <w:widowControl/>
        <w:kinsoku/>
        <w:topLinePunct w:val="0"/>
        <w:bidi w:val="0"/>
        <w:spacing w:line="460" w:lineRule="exact"/>
        <w:ind w:firstLine="210" w:firstLineChars="1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账号：                                    账号：</w:t>
      </w:r>
    </w:p>
    <w:p w14:paraId="7BA958BD">
      <w:pPr>
        <w:pageBreakBefore w:val="0"/>
        <w:widowControl/>
        <w:tabs>
          <w:tab w:val="left" w:pos="382"/>
          <w:tab w:val="left" w:pos="5921"/>
        </w:tabs>
        <w:kinsoku/>
        <w:topLinePunct w:val="0"/>
        <w:bidi w:val="0"/>
        <w:spacing w:line="460" w:lineRule="exact"/>
        <w:ind w:left="480" w:hanging="420" w:hangingChars="200"/>
        <w:jc w:val="left"/>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w:t>
      </w:r>
      <w:r>
        <w:rPr>
          <w:rFonts w:hint="eastAsia" w:asciiTheme="minorEastAsia" w:hAnsiTheme="minorEastAsia" w:eastAsiaTheme="minorEastAsia" w:cstheme="minorEastAsia"/>
          <w:color w:val="auto"/>
          <w:sz w:val="21"/>
          <w:szCs w:val="21"/>
          <w:highlight w:val="none"/>
          <w:lang w:val="en-US" w:eastAsia="zh-CN"/>
        </w:rPr>
        <w:t>电话：                                    电话：</w:t>
      </w:r>
    </w:p>
    <w:p w14:paraId="264E9542">
      <w:pPr>
        <w:pageBreakBefore w:val="0"/>
        <w:widowControl/>
        <w:tabs>
          <w:tab w:val="left" w:pos="382"/>
          <w:tab w:val="left" w:pos="5921"/>
        </w:tabs>
        <w:kinsoku/>
        <w:topLinePunct w:val="0"/>
        <w:bidi w:val="0"/>
        <w:spacing w:line="460" w:lineRule="exact"/>
        <w:ind w:firstLine="210" w:firstLineChars="1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电子信箱：       </w:t>
      </w:r>
    </w:p>
    <w:p w14:paraId="79FDB753">
      <w:pPr>
        <w:pageBreakBefore w:val="0"/>
        <w:widowControl/>
        <w:kinsoku/>
        <w:topLinePunct w:val="0"/>
        <w:bidi w:val="0"/>
        <w:spacing w:line="460" w:lineRule="exact"/>
        <w:ind w:left="479" w:leftChars="228" w:firstLine="4200" w:firstLineChars="20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 xml:space="preserve">  日</w:t>
      </w:r>
      <w:r>
        <w:rPr>
          <w:rFonts w:hint="eastAsia" w:asciiTheme="minorEastAsia" w:hAnsiTheme="minorEastAsia" w:eastAsiaTheme="minorEastAsia" w:cstheme="minorEastAsia"/>
          <w:color w:val="auto"/>
          <w:sz w:val="21"/>
          <w:szCs w:val="21"/>
          <w:highlight w:val="none"/>
        </w:rPr>
        <w:t xml:space="preserve">     </w:t>
      </w:r>
    </w:p>
    <w:p w14:paraId="6D589254">
      <w:pPr>
        <w:pageBreakBefore w:val="0"/>
        <w:widowControl/>
        <w:kinsoku/>
        <w:topLinePunct w:val="0"/>
        <w:bidi w:val="0"/>
        <w:spacing w:line="46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w:t>
      </w:r>
      <w:r>
        <w:rPr>
          <w:rFonts w:hint="eastAsia" w:asciiTheme="minorEastAsia" w:hAnsiTheme="minorEastAsia" w:eastAsiaTheme="minorEastAsia" w:cstheme="minorEastAsia"/>
          <w:b/>
          <w:bCs/>
          <w:color w:val="auto"/>
          <w:sz w:val="21"/>
          <w:szCs w:val="21"/>
          <w:highlight w:val="none"/>
        </w:rPr>
        <w:t>第二部分  建设项目协审委托协议通用条件</w:t>
      </w:r>
    </w:p>
    <w:p w14:paraId="51778D09">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详见GF-2015-0212《建设工程造价咨询合同（示范文本）》第二部分“通用条件”。</w:t>
      </w:r>
    </w:p>
    <w:p w14:paraId="1F84E773">
      <w:pPr>
        <w:pageBreakBefore w:val="0"/>
        <w:widowControl/>
        <w:kinsoku/>
        <w:topLinePunct w:val="0"/>
        <w:bidi w:val="0"/>
        <w:spacing w:line="46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第三部分  建设项目协审委托协议专用条件</w:t>
      </w:r>
    </w:p>
    <w:p w14:paraId="59A55972">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1.词语定义、语言、解释顺序与适用法律</w:t>
      </w:r>
    </w:p>
    <w:p w14:paraId="5AAC83F8">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1.4适用法律</w:t>
      </w:r>
    </w:p>
    <w:p w14:paraId="0AEA2FCD">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本合同适用的其他规范性文件包括：</w:t>
      </w:r>
      <w:r>
        <w:rPr>
          <w:rFonts w:hint="eastAsia" w:asciiTheme="minorEastAsia" w:hAnsiTheme="minorEastAsia" w:eastAsiaTheme="minorEastAsia" w:cstheme="minorEastAsia"/>
          <w:b/>
          <w:bCs/>
          <w:color w:val="auto"/>
          <w:sz w:val="21"/>
          <w:szCs w:val="21"/>
          <w:highlight w:val="none"/>
          <w:u w:val="single"/>
        </w:rPr>
        <w:t>《中华人民共和国建筑法》、《建设工程造价咨询规范》、《工程造价咨询企业管理办法》、《江苏省建设工程造价管理办法》、《建设工程工程量清单计价规范》及相关的现行计价规范、规定、标准、定额等。</w:t>
      </w:r>
    </w:p>
    <w:p w14:paraId="47FB1D5C">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2.委托人的义务</w:t>
      </w:r>
    </w:p>
    <w:p w14:paraId="4EA3E2D4">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2.1提供资料</w:t>
      </w:r>
    </w:p>
    <w:p w14:paraId="641024DC">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委托人无偿向咨询人提供与本合同咨询业务有关资料的时间为：在订立协议后，委托人根据拟审项目性质及特征向咨询人发出通知，咨询人应在一个工作日内到达委托人处，双方就该项目造价文件（包括纸质与电子文档）及相关资料办理交接手续。</w:t>
      </w:r>
    </w:p>
    <w:p w14:paraId="3DEDEDDC">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咨询人应在收到资料后第一时间对协审材料的满足性作检查，补充、完善资料并不引起协审时间开始与结束时间节点的改变。</w:t>
      </w:r>
    </w:p>
    <w:p w14:paraId="1377F0AA">
      <w:pPr>
        <w:pageBreakBefore w:val="0"/>
        <w:widowControl/>
        <w:kinsoku/>
        <w:topLinePunct w:val="0"/>
        <w:bidi w:val="0"/>
        <w:spacing w:line="460" w:lineRule="exact"/>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2.4委托人代表为：</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，其权限范围：根据任务性质及特点，指派任务并负责咨询过程中的联系及疑问解答。</w:t>
      </w:r>
    </w:p>
    <w:p w14:paraId="3065B722">
      <w:pPr>
        <w:pageBreakBefore w:val="0"/>
        <w:widowControl/>
        <w:kinsoku/>
        <w:topLinePunct w:val="0"/>
        <w:bidi w:val="0"/>
        <w:spacing w:line="460" w:lineRule="exact"/>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2.5答复</w:t>
      </w:r>
    </w:p>
    <w:p w14:paraId="64FBD63A">
      <w:pPr>
        <w:pageBreakBefore w:val="0"/>
        <w:widowControl/>
        <w:kinsoku/>
        <w:topLinePunct w:val="0"/>
        <w:bidi w:val="0"/>
        <w:spacing w:line="460" w:lineRule="exact"/>
        <w:ind w:firstLine="567"/>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委托人同意在2日内，对咨询人书面提交并要求做出决定的事宜给予书面答复。逾期未答复的，协审结束时间将根据答复时间顺延。</w:t>
      </w:r>
    </w:p>
    <w:p w14:paraId="33C23674">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3.咨询人的义务</w:t>
      </w:r>
    </w:p>
    <w:p w14:paraId="029853E6">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3.1项目咨询团队及人员</w:t>
      </w:r>
    </w:p>
    <w:p w14:paraId="2ED8D682">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3.1.1项目咨询团队的主要人员应符合投标文件要求。</w:t>
      </w:r>
    </w:p>
    <w:p w14:paraId="0B6A58A9">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
          <w:bCs/>
          <w:color w:val="auto"/>
          <w:sz w:val="21"/>
          <w:szCs w:val="21"/>
          <w:highlight w:val="none"/>
        </w:rPr>
        <w:t>3.1.2项目负责人为：</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rPr>
        <w:t>，项目负责人为履行本合同的权限为：</w:t>
      </w:r>
      <w:r>
        <w:rPr>
          <w:rFonts w:hint="eastAsia" w:asciiTheme="minorEastAsia" w:hAnsiTheme="minorEastAsia" w:eastAsiaTheme="minorEastAsia" w:cstheme="minorEastAsia"/>
          <w:b/>
          <w:bCs/>
          <w:color w:val="auto"/>
          <w:sz w:val="21"/>
          <w:szCs w:val="21"/>
          <w:highlight w:val="none"/>
          <w:u w:val="single"/>
        </w:rPr>
        <w:t>负责本咨询项目的具体实施及与委托方的联系等事宜。</w:t>
      </w:r>
    </w:p>
    <w:p w14:paraId="28BB610D">
      <w:pPr>
        <w:pageBreakBefore w:val="0"/>
        <w:widowControl/>
        <w:kinsoku/>
        <w:topLinePunct w:val="0"/>
        <w:bidi w:val="0"/>
        <w:spacing w:line="460" w:lineRule="exact"/>
        <w:ind w:firstLine="567"/>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3.1.3咨询人更换项目咨询团队其他咨询人员的约定：</w:t>
      </w:r>
      <w:r>
        <w:rPr>
          <w:rFonts w:hint="eastAsia" w:asciiTheme="minorEastAsia" w:hAnsiTheme="minorEastAsia" w:eastAsiaTheme="minorEastAsia" w:cstheme="minorEastAsia"/>
          <w:b/>
          <w:bCs/>
          <w:color w:val="auto"/>
          <w:sz w:val="21"/>
          <w:szCs w:val="21"/>
          <w:highlight w:val="none"/>
        </w:rPr>
        <w:t>协审单位配备足够的专业技术力量，参审人员必须为投标文件中确定的人员，项目专业协审人员一经确定，未经委托方认可，不得随意变更。不得将承担的协审任务转包或分包给其它单位或个人，否则委托方有权中止与其委托任务，并做出相应的处罚，情节严重的，委托方有权与该协审单位中止合同。</w:t>
      </w:r>
    </w:p>
    <w:p w14:paraId="001E0960">
      <w:pPr>
        <w:pageBreakBefore w:val="0"/>
        <w:widowControl/>
        <w:kinsoku/>
        <w:topLinePunct w:val="0"/>
        <w:bidi w:val="0"/>
        <w:spacing w:line="460" w:lineRule="exact"/>
        <w:ind w:firstLine="523"/>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3.2咨询人的工作要求</w:t>
      </w:r>
    </w:p>
    <w:p w14:paraId="2A8A9996">
      <w:pPr>
        <w:pageBreakBefore w:val="0"/>
        <w:kinsoku/>
        <w:topLinePunct w:val="0"/>
        <w:bidi w:val="0"/>
        <w:spacing w:line="460" w:lineRule="exact"/>
        <w:ind w:firstLine="523"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3.2.1咨询人向委托人提供协审成果的时间：标底审核原则上7日历天内（以接收资料日期为准）完成，如进度上对协审项目有特殊要求的，应以采购人的要求为准。如果采购人要求的完成时间比规定的时间提前，根据考核标准，可作为优先安排协审任务的依据。因特殊情况需延长审核时间的，需报审计室批准。</w:t>
      </w:r>
    </w:p>
    <w:p w14:paraId="75022EDC">
      <w:pPr>
        <w:pageBreakBefore w:val="0"/>
        <w:kinsoku/>
        <w:topLinePunct w:val="0"/>
        <w:bidi w:val="0"/>
        <w:spacing w:line="460" w:lineRule="exact"/>
        <w:ind w:firstLine="52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结算审计项目，乙方应在接收完整的审计资料后，在下表规定的审计期间内（以接收资料日期为准）完成审计任务，并出具书面初审结果报告，未经甲方同意，无故拖延审计时间，甲方有权扣减审计费用或取消委托审计项目。对无正当理由未按甲方的时限要求完成审计任务，如有延误按100元/天扣减审计费用，并承担相应的损失，因自身原因超出合同天数30%仍不能完成项目的，甲方有权收回项目重新分配，并暂停乙方协审服务6个月。</w:t>
      </w:r>
    </w:p>
    <w:tbl>
      <w:tblPr>
        <w:tblStyle w:val="44"/>
        <w:tblW w:w="9201" w:type="dxa"/>
        <w:jc w:val="center"/>
        <w:tblLayout w:type="fixed"/>
        <w:tblCellMar>
          <w:top w:w="0" w:type="dxa"/>
          <w:left w:w="10" w:type="dxa"/>
          <w:bottom w:w="0" w:type="dxa"/>
          <w:right w:w="10" w:type="dxa"/>
        </w:tblCellMar>
      </w:tblPr>
      <w:tblGrid>
        <w:gridCol w:w="3744"/>
        <w:gridCol w:w="5457"/>
      </w:tblGrid>
      <w:tr w14:paraId="1603DC64">
        <w:tblPrEx>
          <w:tblCellMar>
            <w:top w:w="0" w:type="dxa"/>
            <w:left w:w="10" w:type="dxa"/>
            <w:bottom w:w="0" w:type="dxa"/>
            <w:right w:w="10" w:type="dxa"/>
          </w:tblCellMar>
        </w:tblPrEx>
        <w:trPr>
          <w:trHeight w:val="561" w:hRule="atLeast"/>
          <w:jc w:val="center"/>
        </w:trPr>
        <w:tc>
          <w:tcPr>
            <w:tcW w:w="37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B26410">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审计项目送审金额</w:t>
            </w:r>
          </w:p>
        </w:tc>
        <w:tc>
          <w:tcPr>
            <w:tcW w:w="54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951D6E">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审计期间</w:t>
            </w:r>
          </w:p>
        </w:tc>
      </w:tr>
      <w:tr w14:paraId="6FE4BD67">
        <w:tblPrEx>
          <w:tblCellMar>
            <w:top w:w="0" w:type="dxa"/>
            <w:left w:w="10" w:type="dxa"/>
            <w:bottom w:w="0" w:type="dxa"/>
            <w:right w:w="10" w:type="dxa"/>
          </w:tblCellMar>
        </w:tblPrEx>
        <w:trPr>
          <w:trHeight w:val="567" w:hRule="atLeast"/>
          <w:jc w:val="center"/>
        </w:trPr>
        <w:tc>
          <w:tcPr>
            <w:tcW w:w="37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EA8D1D">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500万元以下（含500万元）</w:t>
            </w:r>
          </w:p>
        </w:tc>
        <w:tc>
          <w:tcPr>
            <w:tcW w:w="54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E73DCE">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30天内</w:t>
            </w:r>
          </w:p>
        </w:tc>
      </w:tr>
      <w:tr w14:paraId="5821B73A">
        <w:tblPrEx>
          <w:tblCellMar>
            <w:top w:w="0" w:type="dxa"/>
            <w:left w:w="10" w:type="dxa"/>
            <w:bottom w:w="0" w:type="dxa"/>
            <w:right w:w="10" w:type="dxa"/>
          </w:tblCellMar>
        </w:tblPrEx>
        <w:trPr>
          <w:trHeight w:val="547" w:hRule="atLeast"/>
          <w:jc w:val="center"/>
        </w:trPr>
        <w:tc>
          <w:tcPr>
            <w:tcW w:w="37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6F879A">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500万元-2000万元（含</w:t>
            </w: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00万元）</w:t>
            </w:r>
          </w:p>
        </w:tc>
        <w:tc>
          <w:tcPr>
            <w:tcW w:w="54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66786D">
            <w:pPr>
              <w:keepNext w:val="0"/>
              <w:keepLines w:val="0"/>
              <w:pageBreakBefore w:val="0"/>
              <w:suppressLineNumbers w:val="0"/>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50天内</w:t>
            </w:r>
          </w:p>
        </w:tc>
      </w:tr>
      <w:tr w14:paraId="58C8DEF2">
        <w:tblPrEx>
          <w:tblCellMar>
            <w:top w:w="0" w:type="dxa"/>
            <w:left w:w="10" w:type="dxa"/>
            <w:bottom w:w="0" w:type="dxa"/>
            <w:right w:w="10" w:type="dxa"/>
          </w:tblCellMar>
        </w:tblPrEx>
        <w:trPr>
          <w:trHeight w:val="663" w:hRule="atLeast"/>
          <w:jc w:val="center"/>
        </w:trPr>
        <w:tc>
          <w:tcPr>
            <w:tcW w:w="37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C1EB2F">
            <w:pPr>
              <w:keepNext w:val="0"/>
              <w:keepLines w:val="0"/>
              <w:pageBreakBefore w:val="0"/>
              <w:suppressLineNumbers w:val="0"/>
              <w:shd w:val="clear" w:color="auto" w:fill="auto"/>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2000万元以上</w:t>
            </w:r>
          </w:p>
        </w:tc>
        <w:tc>
          <w:tcPr>
            <w:tcW w:w="54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6C8A1">
            <w:pPr>
              <w:keepNext w:val="0"/>
              <w:keepLines w:val="0"/>
              <w:pageBreakBefore w:val="0"/>
              <w:suppressLineNumbers w:val="0"/>
              <w:shd w:val="clear" w:color="auto" w:fill="auto"/>
              <w:kinsoku/>
              <w:topLinePunct w:val="0"/>
              <w:bidi w:val="0"/>
              <w:spacing w:before="0" w:beforeAutospacing="0" w:after="0" w:afterAutospacing="0" w:line="460" w:lineRule="exact"/>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80天内，最多6个月。</w:t>
            </w:r>
          </w:p>
        </w:tc>
      </w:tr>
    </w:tbl>
    <w:p w14:paraId="747D3D63">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如进度上对协审项目有特殊要求的，应以委托方的要求为准。如果委托方要求的完成时间比招标文件中规定的时间提前，根据考核标准，可作为优先安排协审任务的依据。</w:t>
      </w:r>
    </w:p>
    <w:p w14:paraId="1934336C">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3.2.2咨询人向委托人提供咨询成果文件：</w:t>
      </w:r>
      <w:r>
        <w:rPr>
          <w:rFonts w:hint="eastAsia" w:asciiTheme="minorEastAsia" w:hAnsiTheme="minorEastAsia" w:eastAsiaTheme="minorEastAsia" w:cstheme="minorEastAsia"/>
          <w:b/>
          <w:bCs/>
          <w:color w:val="auto"/>
          <w:sz w:val="21"/>
          <w:szCs w:val="21"/>
          <w:highlight w:val="none"/>
          <w:u w:val="single"/>
        </w:rPr>
        <w:t>审核报告书（</w:t>
      </w:r>
      <w:r>
        <w:rPr>
          <w:rFonts w:hint="eastAsia" w:asciiTheme="minorEastAsia" w:hAnsiTheme="minorEastAsia" w:eastAsiaTheme="minorEastAsia" w:cstheme="minorEastAsia"/>
          <w:b/>
          <w:bCs/>
          <w:color w:val="auto"/>
          <w:sz w:val="21"/>
          <w:szCs w:val="21"/>
          <w:highlight w:val="none"/>
          <w:u w:val="single"/>
          <w:lang w:val="en-US" w:eastAsia="zh-CN"/>
        </w:rPr>
        <w:t>3</w:t>
      </w:r>
      <w:r>
        <w:rPr>
          <w:rFonts w:hint="eastAsia" w:asciiTheme="minorEastAsia" w:hAnsiTheme="minorEastAsia" w:eastAsiaTheme="minorEastAsia" w:cstheme="minorEastAsia"/>
          <w:b/>
          <w:bCs/>
          <w:color w:val="auto"/>
          <w:sz w:val="21"/>
          <w:szCs w:val="21"/>
          <w:highlight w:val="none"/>
          <w:u w:val="single"/>
        </w:rPr>
        <w:t>份）、项目计价对比表（</w:t>
      </w:r>
      <w:r>
        <w:rPr>
          <w:rFonts w:hint="eastAsia" w:asciiTheme="minorEastAsia" w:hAnsiTheme="minorEastAsia" w:eastAsiaTheme="minorEastAsia" w:cstheme="minorEastAsia"/>
          <w:b/>
          <w:bCs/>
          <w:color w:val="auto"/>
          <w:sz w:val="21"/>
          <w:szCs w:val="21"/>
          <w:highlight w:val="none"/>
          <w:u w:val="single"/>
          <w:lang w:val="en-US" w:eastAsia="zh-CN"/>
        </w:rPr>
        <w:t>3</w:t>
      </w:r>
      <w:r>
        <w:rPr>
          <w:rFonts w:hint="eastAsia" w:asciiTheme="minorEastAsia" w:hAnsiTheme="minorEastAsia" w:eastAsiaTheme="minorEastAsia" w:cstheme="minorEastAsia"/>
          <w:b/>
          <w:bCs/>
          <w:color w:val="auto"/>
          <w:sz w:val="21"/>
          <w:szCs w:val="21"/>
          <w:highlight w:val="none"/>
          <w:u w:val="single"/>
        </w:rPr>
        <w:t>份）、结算审计及跟踪审计需提供现场核查记录，审核结果的电子文档（1份）；</w:t>
      </w:r>
    </w:p>
    <w:p w14:paraId="1EA8BD15">
      <w:pPr>
        <w:pageBreakBefore w:val="0"/>
        <w:widowControl/>
        <w:kinsoku/>
        <w:topLinePunct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3.2.4咨询人应在收到委托人以书面形式提出的建议或者质疑后</w:t>
      </w:r>
      <w:r>
        <w:rPr>
          <w:rFonts w:hint="eastAsia" w:asciiTheme="minorEastAsia" w:hAnsiTheme="minorEastAsia" w:eastAsiaTheme="minorEastAsia" w:cstheme="minorEastAsia"/>
          <w:color w:val="auto"/>
          <w:sz w:val="21"/>
          <w:szCs w:val="21"/>
          <w:highlight w:val="none"/>
          <w:u w:val="single"/>
        </w:rPr>
        <w:t>2</w:t>
      </w:r>
      <w:r>
        <w:rPr>
          <w:rFonts w:hint="eastAsia" w:asciiTheme="minorEastAsia" w:hAnsiTheme="minorEastAsia" w:eastAsiaTheme="minorEastAsia" w:cstheme="minorEastAsia"/>
          <w:color w:val="auto"/>
          <w:sz w:val="21"/>
          <w:szCs w:val="21"/>
          <w:highlight w:val="none"/>
          <w:u w:val="none"/>
        </w:rPr>
        <w:t>日内</w:t>
      </w:r>
      <w:r>
        <w:rPr>
          <w:rFonts w:hint="eastAsia" w:asciiTheme="minorEastAsia" w:hAnsiTheme="minorEastAsia" w:eastAsiaTheme="minorEastAsia" w:cstheme="minorEastAsia"/>
          <w:color w:val="auto"/>
          <w:sz w:val="21"/>
          <w:szCs w:val="21"/>
          <w:highlight w:val="none"/>
        </w:rPr>
        <w:t>给予书面答复。</w:t>
      </w:r>
    </w:p>
    <w:p w14:paraId="6C7C93FB">
      <w:pPr>
        <w:pageBreakBefore w:val="0"/>
        <w:widowControl/>
        <w:kinsoku/>
        <w:topLinePunct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3.3咨询人的工作依据</w:t>
      </w:r>
    </w:p>
    <w:p w14:paraId="785321F3">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经双方协商，本合同约定的造价咨询服务适用的技术标准、规范、定额等工作依据为：</w:t>
      </w:r>
      <w:r>
        <w:rPr>
          <w:rFonts w:hint="eastAsia" w:asciiTheme="minorEastAsia" w:hAnsiTheme="minorEastAsia" w:eastAsiaTheme="minorEastAsia" w:cstheme="minorEastAsia"/>
          <w:color w:val="auto"/>
          <w:sz w:val="21"/>
          <w:szCs w:val="21"/>
          <w:highlight w:val="none"/>
          <w:u w:val="single"/>
        </w:rPr>
        <w:t>现行各专业计价规范、定额、取费标准、造价信息、施工技术规范等</w:t>
      </w:r>
      <w:r>
        <w:rPr>
          <w:rFonts w:hint="eastAsia" w:asciiTheme="minorEastAsia" w:hAnsiTheme="minorEastAsia" w:eastAsiaTheme="minorEastAsia" w:cstheme="minorEastAsia"/>
          <w:color w:val="auto"/>
          <w:sz w:val="21"/>
          <w:szCs w:val="21"/>
          <w:highlight w:val="none"/>
        </w:rPr>
        <w:t>。</w:t>
      </w:r>
    </w:p>
    <w:p w14:paraId="01D10C53">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4.项目委托：根据实际情况由招标人进行分配。咨询人不得对任务分配提出任何质疑。</w:t>
      </w:r>
    </w:p>
    <w:p w14:paraId="0D3C795C">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5.支付</w:t>
      </w:r>
    </w:p>
    <w:p w14:paraId="2915AD71">
      <w:pPr>
        <w:pageBreakBefore w:val="0"/>
        <w:widowControl/>
        <w:kinsoku/>
        <w:topLinePunct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5.1支付货币</w:t>
      </w:r>
    </w:p>
    <w:p w14:paraId="2FDAFFFC">
      <w:pPr>
        <w:pageBreakBefore w:val="0"/>
        <w:widowControl/>
        <w:kinsoku/>
        <w:topLinePunct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币种为：人民币</w:t>
      </w:r>
    </w:p>
    <w:p w14:paraId="0B18DB40">
      <w:pPr>
        <w:pageBreakBefore w:val="0"/>
        <w:widowControl/>
        <w:kinsoku/>
        <w:topLinePunct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5.2支付酬金</w:t>
      </w:r>
    </w:p>
    <w:p w14:paraId="660ECD83">
      <w:pPr>
        <w:pageBreakBefore w:val="0"/>
        <w:widowControl/>
        <w:kinsoku/>
        <w:topLinePunct w:val="0"/>
        <w:bidi w:val="0"/>
        <w:spacing w:line="460" w:lineRule="exact"/>
        <w:ind w:firstLine="422" w:firstLineChars="20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正常工作酬金的支付：协审费用由协审机构在项目协审完成后，经委托方人员复核后每半年（凭协审单位的请款单及发票）支付一次。</w:t>
      </w:r>
    </w:p>
    <w:p w14:paraId="133B36F1">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6.合同变更、解除与终止</w:t>
      </w:r>
    </w:p>
    <w:p w14:paraId="0ED8D266">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6.1合同变更</w:t>
      </w:r>
    </w:p>
    <w:p w14:paraId="1D45CCDB">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6.1.2除不可抗力外，因非咨询人原因导致本合同履行期限延长、内容增加时，附加工作酬金按下列方法确定：</w:t>
      </w:r>
      <w:r>
        <w:rPr>
          <w:rFonts w:hint="eastAsia" w:asciiTheme="minorEastAsia" w:hAnsiTheme="minorEastAsia" w:eastAsiaTheme="minorEastAsia" w:cstheme="minorEastAsia"/>
          <w:color w:val="auto"/>
          <w:sz w:val="21"/>
          <w:szCs w:val="21"/>
          <w:highlight w:val="none"/>
          <w:u w:val="single"/>
        </w:rPr>
        <w:t>不计</w:t>
      </w:r>
      <w:r>
        <w:rPr>
          <w:rFonts w:hint="eastAsia" w:asciiTheme="minorEastAsia" w:hAnsiTheme="minorEastAsia" w:eastAsiaTheme="minorEastAsia" w:cstheme="minorEastAsia"/>
          <w:color w:val="auto"/>
          <w:sz w:val="21"/>
          <w:szCs w:val="21"/>
          <w:highlight w:val="none"/>
        </w:rPr>
        <w:t>。</w:t>
      </w:r>
    </w:p>
    <w:p w14:paraId="70000A7D">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6.2.2双方约定解除合同的条件还包括：</w:t>
      </w:r>
      <w:r>
        <w:rPr>
          <w:rFonts w:hint="eastAsia" w:asciiTheme="minorEastAsia" w:hAnsiTheme="minorEastAsia" w:eastAsiaTheme="minorEastAsia" w:cstheme="minorEastAsia"/>
          <w:color w:val="auto"/>
          <w:sz w:val="21"/>
          <w:szCs w:val="21"/>
          <w:highlight w:val="none"/>
          <w:u w:val="single"/>
        </w:rPr>
        <w:t>经委托人考核后，与咨询人中止合同。</w:t>
      </w:r>
    </w:p>
    <w:p w14:paraId="639C2ED2">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6.2.4因不可抗力导致的合同解除，双方约定损失的分担如下：</w:t>
      </w:r>
      <w:r>
        <w:rPr>
          <w:rFonts w:hint="eastAsia" w:asciiTheme="minorEastAsia" w:hAnsiTheme="minorEastAsia" w:eastAsiaTheme="minorEastAsia" w:cstheme="minorEastAsia"/>
          <w:color w:val="auto"/>
          <w:sz w:val="21"/>
          <w:szCs w:val="21"/>
          <w:highlight w:val="none"/>
          <w:u w:val="single"/>
        </w:rPr>
        <w:t>各自承担自身损失</w:t>
      </w:r>
      <w:r>
        <w:rPr>
          <w:rFonts w:hint="eastAsia" w:asciiTheme="minorEastAsia" w:hAnsiTheme="minorEastAsia" w:eastAsiaTheme="minorEastAsia" w:cstheme="minorEastAsia"/>
          <w:color w:val="auto"/>
          <w:sz w:val="21"/>
          <w:szCs w:val="21"/>
          <w:highlight w:val="none"/>
        </w:rPr>
        <w:t>；</w:t>
      </w:r>
    </w:p>
    <w:p w14:paraId="3DB5935E">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7.争议解决</w:t>
      </w:r>
    </w:p>
    <w:p w14:paraId="6A62CF88">
      <w:pPr>
        <w:pageBreakBefore w:val="0"/>
        <w:widowControl/>
        <w:kinsoku/>
        <w:topLinePunct w:val="0"/>
        <w:bidi w:val="0"/>
        <w:spacing w:line="460" w:lineRule="exact"/>
        <w:ind w:firstLine="567"/>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7.3仲裁或诉讼</w:t>
      </w:r>
    </w:p>
    <w:p w14:paraId="08727023">
      <w:pPr>
        <w:pageBreakBefore w:val="0"/>
        <w:widowControl/>
        <w:kinsoku/>
        <w:topLinePunct w:val="0"/>
        <w:bidi w:val="0"/>
        <w:spacing w:line="460" w:lineRule="exact"/>
        <w:ind w:firstLine="567"/>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合同争议的最终解决方式为下列第</w:t>
      </w:r>
      <w:r>
        <w:rPr>
          <w:rFonts w:hint="eastAsia" w:asciiTheme="minorEastAsia" w:hAnsiTheme="minorEastAsia" w:eastAsiaTheme="minorEastAsia" w:cstheme="minorEastAsia"/>
          <w:bCs/>
          <w:color w:val="auto"/>
          <w:sz w:val="21"/>
          <w:szCs w:val="21"/>
          <w:highlight w:val="none"/>
          <w:u w:val="single"/>
        </w:rPr>
        <w:t xml:space="preserve"> 2 </w:t>
      </w:r>
      <w:r>
        <w:rPr>
          <w:rFonts w:hint="eastAsia" w:asciiTheme="minorEastAsia" w:hAnsiTheme="minorEastAsia" w:eastAsiaTheme="minorEastAsia" w:cstheme="minorEastAsia"/>
          <w:bCs/>
          <w:color w:val="auto"/>
          <w:sz w:val="21"/>
          <w:szCs w:val="21"/>
          <w:highlight w:val="none"/>
        </w:rPr>
        <w:t>种方式：</w:t>
      </w:r>
    </w:p>
    <w:p w14:paraId="3F0EBE94">
      <w:pPr>
        <w:pageBreakBefore w:val="0"/>
        <w:widowControl/>
        <w:kinsoku/>
        <w:topLinePunct w:val="0"/>
        <w:bidi w:val="0"/>
        <w:spacing w:line="460" w:lineRule="exact"/>
        <w:ind w:firstLine="567"/>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（1）提请仲裁委员会进行仲裁；</w:t>
      </w:r>
    </w:p>
    <w:p w14:paraId="11E2F45A">
      <w:pPr>
        <w:pageBreakBefore w:val="0"/>
        <w:widowControl/>
        <w:kinsoku/>
        <w:topLinePunct w:val="0"/>
        <w:bidi w:val="0"/>
        <w:spacing w:line="460" w:lineRule="exact"/>
        <w:ind w:firstLine="567"/>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（2）向南通市通州区人民法院提起诉讼。</w:t>
      </w:r>
    </w:p>
    <w:p w14:paraId="1B4B7969">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8.其他</w:t>
      </w:r>
    </w:p>
    <w:p w14:paraId="2B26362B">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8.3保密</w:t>
      </w:r>
    </w:p>
    <w:p w14:paraId="356C58BE">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委托人申明的保密事项和期限：</w:t>
      </w:r>
      <w:r>
        <w:rPr>
          <w:rFonts w:hint="eastAsia" w:asciiTheme="minorEastAsia" w:hAnsiTheme="minorEastAsia" w:eastAsiaTheme="minorEastAsia" w:cstheme="minorEastAsia"/>
          <w:color w:val="auto"/>
          <w:sz w:val="21"/>
          <w:szCs w:val="21"/>
          <w:highlight w:val="none"/>
          <w:u w:val="single"/>
        </w:rPr>
        <w:t>未经委托人许可，咨询人不得将委托人移交的资料等信息用任何形式向第三人提供。</w:t>
      </w:r>
    </w:p>
    <w:p w14:paraId="4FF5D078">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8.4联络</w:t>
      </w:r>
    </w:p>
    <w:p w14:paraId="34263E71">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8.4.1任何一方与合同有关的通知、指示、要求、决定等，均应在</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日内送达对方指定的接收人和送达地点。</w:t>
      </w:r>
    </w:p>
    <w:p w14:paraId="2653159B">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8.4.2委托人指定的送达接收人：送达地点：</w:t>
      </w:r>
      <w:r>
        <w:rPr>
          <w:rFonts w:hint="eastAsia" w:asciiTheme="minorEastAsia" w:hAnsiTheme="minorEastAsia" w:eastAsiaTheme="minorEastAsia" w:cstheme="minorEastAsia"/>
          <w:color w:val="auto"/>
          <w:sz w:val="21"/>
          <w:szCs w:val="21"/>
          <w:highlight w:val="none"/>
          <w:u w:val="single"/>
        </w:rPr>
        <w:t>南通高新区管委会</w:t>
      </w:r>
    </w:p>
    <w:p w14:paraId="6C66ECB1">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电子邮箱：</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"mailto:56746155@qq.com"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w:t>
      </w:r>
    </w:p>
    <w:p w14:paraId="745D2E0B">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咨询人指定的送达接收人：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送达地点：</w:t>
      </w:r>
    </w:p>
    <w:p w14:paraId="22C1B193">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电子邮箱：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联系电话：</w:t>
      </w:r>
    </w:p>
    <w:p w14:paraId="1B08E76D">
      <w:pPr>
        <w:pageBreakBefore w:val="0"/>
        <w:kinsoku/>
        <w:topLinePunct w:val="0"/>
        <w:autoSpaceDE w:val="0"/>
        <w:autoSpaceDN w:val="0"/>
        <w:bidi w:val="0"/>
        <w:spacing w:line="46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8.5 知识产权</w:t>
      </w:r>
    </w:p>
    <w:p w14:paraId="55599D91">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委托人提供给咨询人的图纸、委托人为实施工程自行编制或委托编制的技术规范以及反映委托人要求的或其他类似性质文件的著作权属于</w:t>
      </w:r>
      <w:r>
        <w:rPr>
          <w:rFonts w:hint="eastAsia" w:asciiTheme="minorEastAsia" w:hAnsiTheme="minorEastAsia" w:eastAsiaTheme="minorEastAsia" w:cstheme="minorEastAsia"/>
          <w:color w:val="auto"/>
          <w:sz w:val="21"/>
          <w:szCs w:val="21"/>
          <w:highlight w:val="none"/>
          <w:u w:val="single"/>
        </w:rPr>
        <w:t>委托人</w:t>
      </w:r>
      <w:r>
        <w:rPr>
          <w:rFonts w:hint="eastAsia" w:asciiTheme="minorEastAsia" w:hAnsiTheme="minorEastAsia" w:eastAsiaTheme="minorEastAsia" w:cstheme="minorEastAsia"/>
          <w:color w:val="auto"/>
          <w:sz w:val="21"/>
          <w:szCs w:val="21"/>
          <w:highlight w:val="none"/>
        </w:rPr>
        <w:t>。</w:t>
      </w:r>
    </w:p>
    <w:p w14:paraId="2CA5B3A3">
      <w:pPr>
        <w:pageBreakBefore w:val="0"/>
        <w:widowControl/>
        <w:kinsoku/>
        <w:topLinePunct w:val="0"/>
        <w:bidi w:val="0"/>
        <w:spacing w:line="460" w:lineRule="exact"/>
        <w:ind w:firstLine="567"/>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咨询人为履行本合同约定而编制的成果文件，其著作权属于</w:t>
      </w:r>
      <w:r>
        <w:rPr>
          <w:rFonts w:hint="eastAsia" w:asciiTheme="minorEastAsia" w:hAnsiTheme="minorEastAsia" w:eastAsiaTheme="minorEastAsia" w:cstheme="minorEastAsia"/>
          <w:color w:val="auto"/>
          <w:sz w:val="21"/>
          <w:szCs w:val="21"/>
          <w:highlight w:val="none"/>
          <w:u w:val="single"/>
        </w:rPr>
        <w:t>咨询人</w:t>
      </w:r>
      <w:r>
        <w:rPr>
          <w:rFonts w:hint="eastAsia" w:asciiTheme="minorEastAsia" w:hAnsiTheme="minorEastAsia" w:eastAsiaTheme="minorEastAsia" w:cstheme="minorEastAsia"/>
          <w:color w:val="auto"/>
          <w:sz w:val="21"/>
          <w:szCs w:val="21"/>
          <w:highlight w:val="none"/>
        </w:rPr>
        <w:t>。</w:t>
      </w:r>
    </w:p>
    <w:p w14:paraId="69C28B3F">
      <w:pPr>
        <w:pageBreakBefore w:val="0"/>
        <w:widowControl/>
        <w:kinsoku/>
        <w:topLinePunct w:val="0"/>
        <w:bidi w:val="0"/>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9.补充条款</w:t>
      </w:r>
    </w:p>
    <w:p w14:paraId="5235C521">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9.1质量要求：严格执行国家有关法律法规及审核标准。</w:t>
      </w:r>
    </w:p>
    <w:p w14:paraId="764B5DA3">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9.1.1受委托的协审单位对协审项目应进行复核后才可以向委托方出具协审结果。协审单位对出具的审核结果的真实性、合法性、合理性长期负责，并按委托方的要求编写相关的审核文书、移交相关审核资料。</w:t>
      </w:r>
    </w:p>
    <w:p w14:paraId="08674193">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9.1.2 委托方对项目审核质量进行检查复核。若发现差异较大的，除扣减相应的协审费用外，有权视情节严重将该协审单位清退出备选库，对有重大违纪、违法行为的，追究相应的法律责任。</w:t>
      </w:r>
    </w:p>
    <w:p w14:paraId="7417AB7D">
      <w:pPr>
        <w:pageBreakBefore w:val="0"/>
        <w:kinsoku/>
        <w:topLinePunct w:val="0"/>
        <w:bidi w:val="0"/>
        <w:spacing w:line="460" w:lineRule="exact"/>
        <w:ind w:firstLine="422"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9.1.3其它参照南通高新区纪工委审计监督室相关考核办法和制度要求执行。</w:t>
      </w:r>
    </w:p>
    <w:p w14:paraId="7C6883D4">
      <w:pPr>
        <w:pageBreakBefore w:val="0"/>
        <w:kinsoku/>
        <w:topLinePunct w:val="0"/>
        <w:bidi w:val="0"/>
        <w:spacing w:line="460" w:lineRule="exact"/>
        <w:ind w:firstLine="411" w:firstLineChars="19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9.2纪律及廉政要求：</w:t>
      </w:r>
    </w:p>
    <w:p w14:paraId="7DD2DDB4">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9.2.1协审单位应在高新区审计监督室的委托下进行协审工作，不得私下与该协审项目的其它有关单位沟通，对重大或有争议事项及工作进度情况等应及时与委托方沟通，由委托方组织相关单位和人员讨论协商解决。</w:t>
      </w:r>
    </w:p>
    <w:p w14:paraId="55DC1265">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9.2.2协审单位在项目审计过程中，应严守职业道德和廉洁纪律，构建内部严格有效的质量控制体系，接受委托方的指导和监督。</w:t>
      </w:r>
    </w:p>
    <w:p w14:paraId="1A02B1E0">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9.2.3协审单位或协审人员遇有应当回避的情况时，应当主动提出回避，否则委托方有权取消该项协审业务约定，情节严重的，委托方有权将该协审单位清退出库。</w:t>
      </w:r>
    </w:p>
    <w:p w14:paraId="60C9B207">
      <w:pPr>
        <w:pageBreakBefore w:val="0"/>
        <w:kinsoku/>
        <w:topLinePunct w:val="0"/>
        <w:bidi w:val="0"/>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9.3协审单位接受委托方的协审任务安排，不得对任务安排提出质疑，并无条件接受委托方的考核及根据考核结果进行的处理。</w:t>
      </w:r>
    </w:p>
    <w:p w14:paraId="2ACA5C43">
      <w:pPr>
        <w:pStyle w:val="2"/>
        <w:rPr>
          <w:rFonts w:hint="eastAsia" w:asciiTheme="minorEastAsia" w:hAnsiTheme="minorEastAsia" w:eastAsiaTheme="minorEastAsia" w:cstheme="minorEastAsia"/>
          <w:sz w:val="21"/>
          <w:szCs w:val="21"/>
        </w:rPr>
      </w:pPr>
    </w:p>
    <w:p w14:paraId="6CB27742">
      <w:pP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br w:type="page" w:clear="all"/>
      </w:r>
    </w:p>
    <w:p w14:paraId="08EA09FC">
      <w:pPr>
        <w:spacing w:line="360" w:lineRule="auto"/>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附件1：</w:t>
      </w:r>
    </w:p>
    <w:p w14:paraId="6321B46E">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36"/>
          <w:szCs w:val="36"/>
          <w:highlight w:val="none"/>
        </w:rPr>
      </w:pPr>
    </w:p>
    <w:p w14:paraId="5F35EC16">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36"/>
          <w:szCs w:val="36"/>
          <w:highlight w:val="none"/>
        </w:rPr>
      </w:pPr>
    </w:p>
    <w:p w14:paraId="27D54F6A">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36"/>
          <w:szCs w:val="36"/>
          <w:highlight w:val="none"/>
        </w:rPr>
      </w:pPr>
      <w:r>
        <w:rPr>
          <w:rFonts w:hint="eastAsia" w:asciiTheme="minorEastAsia" w:hAnsiTheme="minorEastAsia" w:eastAsiaTheme="minorEastAsia" w:cstheme="minorEastAsia"/>
          <w:b w:val="0"/>
          <w:bCs w:val="0"/>
          <w:color w:val="auto"/>
          <w:sz w:val="36"/>
          <w:szCs w:val="36"/>
          <w:highlight w:val="none"/>
        </w:rPr>
        <w:t>南通高新区政府投资建设工程协审服务（限额标准以下）</w:t>
      </w:r>
    </w:p>
    <w:p w14:paraId="39019486">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36"/>
          <w:szCs w:val="36"/>
          <w:highlight w:val="none"/>
        </w:rPr>
      </w:pPr>
      <w:r>
        <w:rPr>
          <w:rFonts w:hint="eastAsia" w:asciiTheme="minorEastAsia" w:hAnsiTheme="minorEastAsia" w:eastAsiaTheme="minorEastAsia" w:cstheme="minorEastAsia"/>
          <w:b w:val="0"/>
          <w:bCs w:val="0"/>
          <w:color w:val="auto"/>
          <w:sz w:val="36"/>
          <w:szCs w:val="36"/>
          <w:highlight w:val="none"/>
        </w:rPr>
        <w:t>委托协议</w:t>
      </w:r>
    </w:p>
    <w:p w14:paraId="676A9292">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36"/>
          <w:szCs w:val="36"/>
          <w:highlight w:val="none"/>
        </w:rPr>
      </w:pPr>
      <w:r>
        <w:rPr>
          <w:rFonts w:hint="eastAsia" w:asciiTheme="minorEastAsia" w:hAnsiTheme="minorEastAsia" w:eastAsiaTheme="minorEastAsia" w:cstheme="minorEastAsia"/>
          <w:b w:val="0"/>
          <w:bCs w:val="0"/>
          <w:color w:val="auto"/>
          <w:sz w:val="36"/>
          <w:szCs w:val="36"/>
          <w:highlight w:val="none"/>
        </w:rPr>
        <w:t>[202</w:t>
      </w:r>
      <w:r>
        <w:rPr>
          <w:rFonts w:hint="eastAsia" w:asciiTheme="minorEastAsia" w:hAnsiTheme="minorEastAsia" w:eastAsiaTheme="minorEastAsia" w:cstheme="minorEastAsia"/>
          <w:b w:val="0"/>
          <w:bCs w:val="0"/>
          <w:color w:val="auto"/>
          <w:sz w:val="36"/>
          <w:szCs w:val="36"/>
          <w:highlight w:val="none"/>
          <w:lang w:val="en-US" w:eastAsia="zh-CN"/>
        </w:rPr>
        <w:t>6</w:t>
      </w:r>
      <w:r>
        <w:rPr>
          <w:rFonts w:hint="eastAsia" w:asciiTheme="minorEastAsia" w:hAnsiTheme="minorEastAsia" w:eastAsiaTheme="minorEastAsia" w:cstheme="minorEastAsia"/>
          <w:b w:val="0"/>
          <w:bCs w:val="0"/>
          <w:color w:val="auto"/>
          <w:sz w:val="36"/>
          <w:szCs w:val="36"/>
          <w:highlight w:val="none"/>
        </w:rPr>
        <w:t>]年第</w:t>
      </w:r>
      <w:r>
        <w:rPr>
          <w:rFonts w:hint="eastAsia" w:asciiTheme="minorEastAsia" w:hAnsiTheme="minorEastAsia" w:eastAsiaTheme="minorEastAsia" w:cstheme="minorEastAsia"/>
          <w:b w:val="0"/>
          <w:bCs w:val="0"/>
          <w:color w:val="auto"/>
          <w:sz w:val="36"/>
          <w:szCs w:val="36"/>
          <w:highlight w:val="none"/>
          <w:lang w:val="en-US" w:eastAsia="zh-CN"/>
        </w:rPr>
        <w:t xml:space="preserve">   </w:t>
      </w:r>
      <w:r>
        <w:rPr>
          <w:rFonts w:hint="eastAsia" w:asciiTheme="minorEastAsia" w:hAnsiTheme="minorEastAsia" w:eastAsiaTheme="minorEastAsia" w:cstheme="minorEastAsia"/>
          <w:b w:val="0"/>
          <w:bCs w:val="0"/>
          <w:color w:val="auto"/>
          <w:sz w:val="36"/>
          <w:szCs w:val="36"/>
          <w:highlight w:val="none"/>
        </w:rPr>
        <w:t>号</w:t>
      </w:r>
    </w:p>
    <w:p w14:paraId="3F053D6C">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56"/>
          <w:szCs w:val="56"/>
          <w:highlight w:val="none"/>
        </w:rPr>
      </w:pPr>
    </w:p>
    <w:p w14:paraId="6E8A675C">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p>
    <w:p w14:paraId="475D04D9">
      <w:pPr>
        <w:pStyle w:val="3"/>
        <w:rPr>
          <w:rFonts w:hint="eastAsia" w:asciiTheme="minorEastAsia" w:hAnsiTheme="minorEastAsia" w:eastAsiaTheme="minorEastAsia" w:cstheme="minorEastAsia"/>
          <w:b w:val="0"/>
          <w:bCs w:val="0"/>
        </w:rPr>
      </w:pPr>
    </w:p>
    <w:p w14:paraId="3EDF121E">
      <w:pPr>
        <w:pStyle w:val="3"/>
        <w:rPr>
          <w:rFonts w:hint="eastAsia" w:asciiTheme="minorEastAsia" w:hAnsiTheme="minorEastAsia" w:eastAsiaTheme="minorEastAsia" w:cstheme="minorEastAsia"/>
          <w:b w:val="0"/>
          <w:bCs w:val="0"/>
          <w:color w:val="auto"/>
          <w:highlight w:val="none"/>
        </w:rPr>
      </w:pPr>
    </w:p>
    <w:p w14:paraId="4F1F68F6">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r>
        <w:rPr>
          <w:rFonts w:hint="eastAsia" w:asciiTheme="minorEastAsia" w:hAnsiTheme="minorEastAsia" w:eastAsiaTheme="minorEastAsia" w:cstheme="minorEastAsia"/>
          <w:b w:val="0"/>
          <w:bCs w:val="0"/>
          <w:color w:val="auto"/>
          <w:sz w:val="48"/>
          <w:szCs w:val="48"/>
          <w:highlight w:val="none"/>
        </w:rPr>
        <w:t>廉</w:t>
      </w:r>
    </w:p>
    <w:p w14:paraId="49D8A093">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p>
    <w:p w14:paraId="4A5CDE14">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r>
        <w:rPr>
          <w:rFonts w:hint="eastAsia" w:asciiTheme="minorEastAsia" w:hAnsiTheme="minorEastAsia" w:eastAsiaTheme="minorEastAsia" w:cstheme="minorEastAsia"/>
          <w:b w:val="0"/>
          <w:bCs w:val="0"/>
          <w:color w:val="auto"/>
          <w:sz w:val="48"/>
          <w:szCs w:val="48"/>
          <w:highlight w:val="none"/>
        </w:rPr>
        <w:t>政</w:t>
      </w:r>
    </w:p>
    <w:p w14:paraId="4A965397">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p>
    <w:p w14:paraId="54DB2F22">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r>
        <w:rPr>
          <w:rFonts w:hint="eastAsia" w:asciiTheme="minorEastAsia" w:hAnsiTheme="minorEastAsia" w:eastAsiaTheme="minorEastAsia" w:cstheme="minorEastAsia"/>
          <w:b w:val="0"/>
          <w:bCs w:val="0"/>
          <w:color w:val="auto"/>
          <w:sz w:val="48"/>
          <w:szCs w:val="48"/>
          <w:highlight w:val="none"/>
        </w:rPr>
        <w:t>协</w:t>
      </w:r>
    </w:p>
    <w:p w14:paraId="0B9A6700">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p>
    <w:p w14:paraId="66B43678">
      <w:pPr>
        <w:pageBreakBefore w:val="0"/>
        <w:widowControl/>
        <w:kinsoku/>
        <w:topLinePunct w:val="0"/>
        <w:bidi w:val="0"/>
        <w:spacing w:line="460" w:lineRule="exact"/>
        <w:jc w:val="center"/>
        <w:rPr>
          <w:rFonts w:hint="eastAsia" w:asciiTheme="minorEastAsia" w:hAnsiTheme="minorEastAsia" w:eastAsiaTheme="minorEastAsia" w:cstheme="minorEastAsia"/>
          <w:b w:val="0"/>
          <w:bCs w:val="0"/>
          <w:color w:val="auto"/>
          <w:sz w:val="48"/>
          <w:szCs w:val="48"/>
          <w:highlight w:val="none"/>
        </w:rPr>
      </w:pPr>
      <w:r>
        <w:rPr>
          <w:rFonts w:hint="eastAsia" w:asciiTheme="minorEastAsia" w:hAnsiTheme="minorEastAsia" w:eastAsiaTheme="minorEastAsia" w:cstheme="minorEastAsia"/>
          <w:b w:val="0"/>
          <w:bCs w:val="0"/>
          <w:color w:val="auto"/>
          <w:sz w:val="48"/>
          <w:szCs w:val="48"/>
          <w:highlight w:val="none"/>
        </w:rPr>
        <w:t>议</w:t>
      </w:r>
    </w:p>
    <w:p w14:paraId="0A5366FC">
      <w:pPr>
        <w:pageBreakBefore w:val="0"/>
        <w:kinsoku/>
        <w:topLinePunct w:val="0"/>
        <w:bidi w:val="0"/>
        <w:spacing w:line="460" w:lineRule="exact"/>
        <w:rPr>
          <w:rFonts w:hint="eastAsia" w:asciiTheme="minorEastAsia" w:hAnsiTheme="minorEastAsia" w:eastAsiaTheme="minorEastAsia" w:cstheme="minorEastAsia"/>
          <w:color w:val="auto"/>
          <w:highlight w:val="none"/>
        </w:rPr>
      </w:pPr>
    </w:p>
    <w:p w14:paraId="14985AE4">
      <w:pPr>
        <w:rPr>
          <w:rFonts w:hint="eastAsia" w:asciiTheme="minorEastAsia" w:hAnsiTheme="minorEastAsia" w:eastAsiaTheme="minorEastAsia" w:cstheme="minorEastAsia"/>
          <w:color w:val="auto"/>
          <w:sz w:val="40"/>
          <w:szCs w:val="40"/>
          <w:highlight w:val="none"/>
        </w:rPr>
      </w:pPr>
    </w:p>
    <w:p w14:paraId="0ADB0831">
      <w:pPr>
        <w:pStyle w:val="3"/>
        <w:rPr>
          <w:rFonts w:hint="eastAsia" w:asciiTheme="minorEastAsia" w:hAnsiTheme="minorEastAsia" w:eastAsiaTheme="minorEastAsia" w:cstheme="minorEastAsia"/>
          <w:color w:val="auto"/>
          <w:sz w:val="40"/>
          <w:szCs w:val="40"/>
          <w:highlight w:val="none"/>
        </w:rPr>
      </w:pPr>
    </w:p>
    <w:p w14:paraId="7754ECAA">
      <w:pPr>
        <w:pStyle w:val="37"/>
        <w:rPr>
          <w:rFonts w:hint="eastAsia" w:asciiTheme="minorEastAsia" w:hAnsiTheme="minorEastAsia" w:eastAsiaTheme="minorEastAsia" w:cstheme="minorEastAsia"/>
          <w:color w:val="auto"/>
          <w:highlight w:val="none"/>
        </w:rPr>
      </w:pPr>
    </w:p>
    <w:p w14:paraId="1CD1988E">
      <w:pPr>
        <w:rPr>
          <w:rFonts w:hint="eastAsia" w:asciiTheme="minorEastAsia" w:hAnsiTheme="minorEastAsia" w:eastAsiaTheme="minorEastAsia" w:cstheme="minorEastAsia"/>
          <w:color w:val="auto"/>
          <w:highlight w:val="none"/>
        </w:rPr>
      </w:pPr>
    </w:p>
    <w:p w14:paraId="332E3592">
      <w:pPr>
        <w:pStyle w:val="3"/>
        <w:rPr>
          <w:rFonts w:hint="eastAsia" w:asciiTheme="minorEastAsia" w:hAnsiTheme="minorEastAsia" w:eastAsiaTheme="minorEastAsia" w:cstheme="minorEastAsia"/>
        </w:rPr>
      </w:pPr>
    </w:p>
    <w:p w14:paraId="73E0FF33">
      <w:pPr>
        <w:pageBreakBefore w:val="0"/>
        <w:kinsoku/>
        <w:topLinePunct w:val="0"/>
        <w:bidi w:val="0"/>
        <w:spacing w:line="460" w:lineRule="exact"/>
        <w:rPr>
          <w:rFonts w:hint="eastAsia" w:asciiTheme="minorEastAsia" w:hAnsiTheme="minorEastAsia" w:eastAsiaTheme="minorEastAsia" w:cstheme="minorEastAsia"/>
          <w:color w:val="auto"/>
          <w:highlight w:val="none"/>
        </w:rPr>
      </w:pPr>
    </w:p>
    <w:p w14:paraId="38DCDAC5">
      <w:pPr>
        <w:pStyle w:val="6"/>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rPr>
        <w:t>采购人：</w:t>
      </w:r>
      <w:r>
        <w:rPr>
          <w:rFonts w:hint="eastAsia" w:asciiTheme="minorEastAsia" w:hAnsiTheme="minorEastAsia" w:eastAsiaTheme="minorEastAsia" w:cstheme="minorEastAsia"/>
          <w:b w:val="0"/>
          <w:bCs/>
          <w:color w:val="auto"/>
          <w:sz w:val="28"/>
          <w:szCs w:val="28"/>
          <w:highlight w:val="none"/>
          <w:u w:val="none"/>
        </w:rPr>
        <w:t>南通高新技术产业开发区管理委员会</w:t>
      </w:r>
    </w:p>
    <w:p w14:paraId="513FAD27">
      <w:pPr>
        <w:pageBreakBefore w:val="0"/>
        <w:widowControl w:val="0"/>
        <w:kinsoku/>
        <w:wordWrap/>
        <w:overflowPunct/>
        <w:topLinePunct w:val="0"/>
        <w:autoSpaceDE/>
        <w:autoSpaceDN/>
        <w:bidi w:val="0"/>
        <w:adjustRightInd/>
        <w:snapToGrid/>
        <w:spacing w:line="600" w:lineRule="exact"/>
        <w:ind w:firstLine="1960" w:firstLineChars="700"/>
        <w:jc w:val="both"/>
        <w:textAlignment w:val="auto"/>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lang w:val="en-US" w:eastAsia="zh-CN"/>
        </w:rPr>
        <w:t>入围</w:t>
      </w:r>
      <w:r>
        <w:rPr>
          <w:rFonts w:hint="eastAsia" w:asciiTheme="minorEastAsia" w:hAnsiTheme="minorEastAsia" w:eastAsiaTheme="minorEastAsia" w:cstheme="minorEastAsia"/>
          <w:b w:val="0"/>
          <w:bCs/>
          <w:color w:val="auto"/>
          <w:sz w:val="28"/>
          <w:szCs w:val="28"/>
          <w:highlight w:val="none"/>
        </w:rPr>
        <w:t>单位：</w:t>
      </w:r>
    </w:p>
    <w:p w14:paraId="6F9B6CBD">
      <w:pPr>
        <w:pageBreakBefore w:val="0"/>
        <w:kinsoku/>
        <w:wordWrap/>
        <w:overflowPunct/>
        <w:topLinePunct w:val="0"/>
        <w:autoSpaceDE/>
        <w:autoSpaceDN/>
        <w:bidi w:val="0"/>
        <w:adjustRightInd/>
        <w:snapToGrid/>
        <w:textAlignment w:val="auto"/>
        <w:rPr>
          <w:rFonts w:hint="eastAsia" w:asciiTheme="minorEastAsia" w:hAnsiTheme="minorEastAsia" w:eastAsiaTheme="minorEastAsia" w:cstheme="minorEastAsia"/>
        </w:rPr>
      </w:pPr>
    </w:p>
    <w:p w14:paraId="625EFEA0">
      <w:pPr>
        <w:pageBreakBefore w:val="0"/>
        <w:widowControl/>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b w:val="0"/>
          <w:bCs/>
          <w:color w:val="auto"/>
          <w:sz w:val="28"/>
          <w:szCs w:val="28"/>
          <w:highlight w:val="none"/>
          <w:u w:val="none"/>
        </w:rPr>
      </w:pPr>
      <w:r>
        <w:rPr>
          <w:rFonts w:hint="eastAsia" w:asciiTheme="minorEastAsia" w:hAnsiTheme="minorEastAsia" w:eastAsiaTheme="minorEastAsia" w:cstheme="minorEastAsia"/>
          <w:b w:val="0"/>
          <w:bCs/>
          <w:color w:val="auto"/>
          <w:sz w:val="28"/>
          <w:szCs w:val="28"/>
          <w:highlight w:val="none"/>
          <w:u w:val="none"/>
          <w:lang w:val="en-US" w:eastAsia="zh-CN"/>
        </w:rPr>
        <w:t>2026</w:t>
      </w:r>
      <w:r>
        <w:rPr>
          <w:rFonts w:hint="eastAsia" w:asciiTheme="minorEastAsia" w:hAnsiTheme="minorEastAsia" w:eastAsiaTheme="minorEastAsia" w:cstheme="minorEastAsia"/>
          <w:b w:val="0"/>
          <w:bCs/>
          <w:color w:val="auto"/>
          <w:sz w:val="28"/>
          <w:szCs w:val="28"/>
          <w:highlight w:val="none"/>
          <w:u w:val="none"/>
        </w:rPr>
        <w:t>年</w:t>
      </w:r>
      <w:r>
        <w:rPr>
          <w:rFonts w:hint="eastAsia" w:asciiTheme="minorEastAsia" w:hAnsiTheme="minorEastAsia" w:eastAsiaTheme="minorEastAsia" w:cstheme="minorEastAsia"/>
          <w:b w:val="0"/>
          <w:bCs/>
          <w:color w:val="auto"/>
          <w:sz w:val="28"/>
          <w:szCs w:val="28"/>
          <w:highlight w:val="none"/>
          <w:u w:val="none"/>
          <w:lang w:val="en-US" w:eastAsia="zh-CN"/>
        </w:rPr>
        <w:t xml:space="preserve">  </w:t>
      </w:r>
      <w:r>
        <w:rPr>
          <w:rFonts w:hint="eastAsia" w:asciiTheme="minorEastAsia" w:hAnsiTheme="minorEastAsia" w:eastAsiaTheme="minorEastAsia" w:cstheme="minorEastAsia"/>
          <w:b w:val="0"/>
          <w:bCs/>
          <w:color w:val="auto"/>
          <w:sz w:val="28"/>
          <w:szCs w:val="28"/>
          <w:highlight w:val="none"/>
          <w:u w:val="none"/>
        </w:rPr>
        <w:t>月</w:t>
      </w:r>
      <w:r>
        <w:rPr>
          <w:rFonts w:hint="eastAsia" w:asciiTheme="minorEastAsia" w:hAnsiTheme="minorEastAsia" w:eastAsiaTheme="minorEastAsia" w:cstheme="minorEastAsia"/>
          <w:b w:val="0"/>
          <w:bCs/>
          <w:color w:val="auto"/>
          <w:sz w:val="28"/>
          <w:szCs w:val="28"/>
          <w:highlight w:val="none"/>
          <w:u w:val="none"/>
          <w:lang w:val="en-US" w:eastAsia="zh-CN"/>
        </w:rPr>
        <w:t xml:space="preserve">  </w:t>
      </w:r>
      <w:r>
        <w:rPr>
          <w:rFonts w:hint="eastAsia" w:asciiTheme="minorEastAsia" w:hAnsiTheme="minorEastAsia" w:eastAsiaTheme="minorEastAsia" w:cstheme="minorEastAsia"/>
          <w:b w:val="0"/>
          <w:bCs/>
          <w:color w:val="auto"/>
          <w:sz w:val="28"/>
          <w:szCs w:val="28"/>
          <w:highlight w:val="none"/>
          <w:u w:val="none"/>
        </w:rPr>
        <w:t>日</w:t>
      </w:r>
    </w:p>
    <w:p w14:paraId="358A3A23">
      <w:pPr>
        <w:pStyle w:val="3"/>
        <w:rPr>
          <w:rFonts w:hint="eastAsia" w:asciiTheme="minorEastAsia" w:hAnsiTheme="minorEastAsia" w:eastAsiaTheme="minorEastAsia" w:cstheme="minorEastAsia"/>
          <w:b w:val="0"/>
          <w:bCs/>
          <w:color w:val="auto"/>
          <w:sz w:val="28"/>
          <w:szCs w:val="28"/>
          <w:highlight w:val="none"/>
          <w:u w:val="none"/>
        </w:rPr>
      </w:pPr>
    </w:p>
    <w:p w14:paraId="7F9F78E8">
      <w:pPr>
        <w:pStyle w:val="37"/>
        <w:rPr>
          <w:rFonts w:hint="eastAsia" w:asciiTheme="minorEastAsia" w:hAnsiTheme="minorEastAsia" w:eastAsiaTheme="minorEastAsia" w:cstheme="minorEastAsia"/>
        </w:rPr>
      </w:pPr>
    </w:p>
    <w:p w14:paraId="687DBE1B">
      <w:pPr>
        <w:pStyle w:val="5"/>
        <w:pageBreakBefore w:val="0"/>
        <w:kinsoku/>
        <w:wordWrap/>
        <w:overflowPunct/>
        <w:topLinePunct w:val="0"/>
        <w:autoSpaceDE/>
        <w:autoSpaceDN/>
        <w:bidi w:val="0"/>
        <w:adjustRightInd/>
        <w:snapToGrid/>
        <w:spacing w:before="0" w:after="0" w:line="4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32"/>
          <w:szCs w:val="32"/>
          <w:highlight w:val="none"/>
        </w:rPr>
        <w:t>廉　政　协　议</w:t>
      </w:r>
    </w:p>
    <w:p w14:paraId="0666DE0B">
      <w:pPr>
        <w:pageBreakBefore w:val="0"/>
        <w:widowControl/>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甲方：南通高新技术产业开发区管理委员会（以下简称甲方）</w:t>
      </w:r>
    </w:p>
    <w:p w14:paraId="4BBA86DB">
      <w:pPr>
        <w:pageBreakBefore w:val="0"/>
        <w:widowControl/>
        <w:kinsoku/>
        <w:wordWrap/>
        <w:topLinePunct w:val="0"/>
        <w:autoSpaceDE/>
        <w:autoSpaceDN/>
        <w:bidi w:val="0"/>
        <w:snapToGrid/>
        <w:spacing w:line="460" w:lineRule="exact"/>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乙方：（以下简称乙方）</w:t>
      </w:r>
    </w:p>
    <w:p w14:paraId="237E6C47">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为加强组织审计的廉洁从业纪律，防止各种不正当行为的发生，根据国家、省、市有关廉政建设的各项规定，特订立本协议如下：</w:t>
      </w:r>
    </w:p>
    <w:p w14:paraId="696292D1">
      <w:pPr>
        <w:pStyle w:val="6"/>
        <w:pageBreakBefore w:val="0"/>
        <w:numPr>
          <w:ilvl w:val="0"/>
          <w:numId w:val="5"/>
        </w:numPr>
        <w:kinsoku/>
        <w:wordWrap/>
        <w:overflowPunct w:val="0"/>
        <w:topLinePunct w:val="0"/>
        <w:autoSpaceDE/>
        <w:autoSpaceDN/>
        <w:bidi w:val="0"/>
        <w:adjustRightInd w:val="0"/>
        <w:snapToGrid/>
        <w:spacing w:before="0" w:after="0" w:line="460" w:lineRule="exact"/>
        <w:ind w:firstLine="420" w:firstLineChars="200"/>
        <w:jc w:val="left"/>
        <w:textAlignment w:val="baseline"/>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甲、乙双方及其工作人员应当自觉遵守国家、省、市关于廉洁从业的各项法律、法规和规定。</w:t>
      </w:r>
    </w:p>
    <w:p w14:paraId="7330C4F7">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乙方应当通过正常途径开展相关业务工作，不得以任何形式向甲方工作人员（或向被审计单位、个人索要和收受）提供回扣或好处费，不得向甲方工作人员提供礼金、有价证券和贵重物品，或者报销甲方工作人员任何应当由个人支付的费用。</w:t>
      </w:r>
    </w:p>
    <w:p w14:paraId="23CA7BFA">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三、乙方不得邀请甲方工作人员参加可能对甲方履行责任、义务有影响的宴请、外出旅游或娱乐活动等。</w:t>
      </w:r>
    </w:p>
    <w:p w14:paraId="40FFC75B">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四、乙方从审人员遇有应当回避的情况时，应当主动提出回避。</w:t>
      </w:r>
    </w:p>
    <w:p w14:paraId="62DA21F8">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五、乙方不得为甲方单位和个人（或接受被审计单位、个人）购置或者提供通讯工具、交通工具、家电、高档办公用品等物品。</w:t>
      </w:r>
    </w:p>
    <w:p w14:paraId="1A559E39">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六、乙方如发现甲方工作人员有违反上述协议者，应向甲方主要领导或者上级审计部门举报，甲方工作人员不得找任何借口对乙方进行报复。</w:t>
      </w:r>
    </w:p>
    <w:p w14:paraId="4C3DAA47">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七、甲方发现乙方有违反本协议、采用不正当手段行贿甲方工作人员或收受被审计单位贿赂的，甲方将取消其继续从事组织审计业务的资格，扣除项目所有的审计费用，情节严重的将依法依纪追究其相关责任。由此给甲方单位造成的损失均由乙方承担，同时乙方用不正当手段获取的非法所得将予以追缴。</w:t>
      </w:r>
    </w:p>
    <w:p w14:paraId="4DD70BF0">
      <w:pPr>
        <w:pageBreakBefore w:val="0"/>
        <w:kinsoku/>
        <w:wordWrap/>
        <w:topLinePunct w:val="0"/>
        <w:autoSpaceDE/>
        <w:autoSpaceDN/>
        <w:bidi w:val="0"/>
        <w:snapToGrid/>
        <w:spacing w:line="46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八、本廉洁从审协议作为组织审计业务协议书的附件，与工程组织审计业务协议书具有同等法律效力。经协议双方签署后立即生效。</w:t>
      </w:r>
    </w:p>
    <w:p w14:paraId="2E25D521">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p>
    <w:p w14:paraId="03009563">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p>
    <w:p w14:paraId="371EC964">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甲方：（盖章）　　　　　　　　　　　　　　　　　乙方：（盖章）</w:t>
      </w:r>
    </w:p>
    <w:p w14:paraId="443A98AE">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　　　　　　　　　　　　　　　　　　法定代表人：</w:t>
      </w:r>
    </w:p>
    <w:p w14:paraId="20FF1666">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　　　　　　　　　　　　　　　　　　　　　地址：</w:t>
      </w:r>
    </w:p>
    <w:p w14:paraId="5F4F496E">
      <w:pPr>
        <w:pageBreakBefore w:val="0"/>
        <w:kinsoku/>
        <w:wordWrap/>
        <w:topLinePunct w:val="0"/>
        <w:autoSpaceDE/>
        <w:autoSpaceDN/>
        <w:bidi w:val="0"/>
        <w:snapToGrid/>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　　　　　　　　　　　　　　　　　　　　　电话：</w:t>
      </w:r>
    </w:p>
    <w:p w14:paraId="737CDC5F">
      <w:pPr>
        <w:pageBreakBefore w:val="0"/>
        <w:kinsoku/>
        <w:wordWrap/>
        <w:topLinePunct w:val="0"/>
        <w:autoSpaceDE/>
        <w:autoSpaceDN/>
        <w:bidi w:val="0"/>
        <w:snapToGrid/>
        <w:spacing w:line="460" w:lineRule="exact"/>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签约日期：年月日　　　　　　　　　　　　　　　　签约日期：年月日</w:t>
      </w:r>
    </w:p>
    <w:p w14:paraId="7D05BBA7">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br w:type="page" w:clear="all"/>
      </w:r>
    </w:p>
    <w:p w14:paraId="252D512F">
      <w:pPr>
        <w:pStyle w:val="5"/>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第</w:t>
      </w:r>
      <w:bookmarkEnd w:id="164"/>
      <w:r>
        <w:rPr>
          <w:rFonts w:hint="eastAsia" w:asciiTheme="minorEastAsia" w:hAnsiTheme="minorEastAsia" w:eastAsiaTheme="minorEastAsia" w:cstheme="minorEastAsia"/>
          <w:sz w:val="44"/>
          <w:szCs w:val="44"/>
        </w:rPr>
        <w:t>四章 采购需求</w:t>
      </w:r>
      <w:bookmarkEnd w:id="165"/>
      <w:bookmarkEnd w:id="166"/>
      <w:bookmarkEnd w:id="167"/>
    </w:p>
    <w:p w14:paraId="7A26A03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color w:val="auto"/>
          <w:kern w:val="2"/>
          <w:sz w:val="21"/>
          <w:szCs w:val="21"/>
          <w:highlight w:val="none"/>
        </w:rPr>
      </w:pPr>
      <w:bookmarkStart w:id="175" w:name="_Toc26554093"/>
      <w:bookmarkStart w:id="176" w:name="_Toc49090575"/>
      <w:r>
        <w:rPr>
          <w:rFonts w:hint="eastAsia" w:asciiTheme="minorEastAsia" w:hAnsiTheme="minorEastAsia" w:eastAsiaTheme="minorEastAsia" w:cstheme="minorEastAsia"/>
          <w:b/>
          <w:color w:val="auto"/>
          <w:kern w:val="2"/>
          <w:sz w:val="21"/>
          <w:szCs w:val="21"/>
          <w:highlight w:val="none"/>
        </w:rPr>
        <w:t>项目具体需求说明</w:t>
      </w:r>
    </w:p>
    <w:p w14:paraId="2F188B82">
      <w:pPr>
        <w:spacing w:line="360" w:lineRule="auto"/>
        <w:ind w:firstLine="422"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一、内容要求：</w:t>
      </w:r>
      <w:r>
        <w:rPr>
          <w:rFonts w:hint="eastAsia"/>
          <w:color w:val="0D0D0D" w:themeColor="text1" w:themeTint="F2"/>
          <w:kern w:val="0"/>
          <w:sz w:val="21"/>
          <w:szCs w:val="21"/>
          <w14:textFill>
            <w14:solidFill>
              <w14:schemeClr w14:val="tx1">
                <w14:lumMod w14:val="95000"/>
                <w14:lumOff w14:val="5000"/>
              </w14:schemeClr>
            </w14:solidFill>
          </w14:textFill>
        </w:rPr>
        <w:t>接受南通高新技术产业开发区管理委员会纪工委审计监督室委托，对委托项目独立自主地开展协审工作。协审人员应对协审内容的正确性、合理性、合法性进行审核，内容主要包括：</w:t>
      </w:r>
    </w:p>
    <w:p w14:paraId="7F5F1FA2">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1.投资预算、标底审核</w:t>
      </w:r>
    </w:p>
    <w:p w14:paraId="2E72FB57">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1.1对投资预算项目规模的合法性、使用功能的合理性、预算费用的正确性进行审核，审核设计方案和施工方案，并提供优化设计和提高资金使用率的合理化建议；</w:t>
      </w:r>
    </w:p>
    <w:p w14:paraId="315598E3">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1.2对工程量清单（含编码、单位、特征描述、清单数量等）、施工图预算（标底）的工程量进行审核；</w:t>
      </w:r>
    </w:p>
    <w:p w14:paraId="4A882AD0">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1.3对施工图预算（标底）的工程量进行审核，对清单特征、方案合理性、定额套用、费率标准、措施项目、材料价格、其它项目等进行审核，对施工图设计及施工组织设计的经济合理性提出优化建议；</w:t>
      </w:r>
    </w:p>
    <w:p w14:paraId="59EB930D">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1.4 重大项目的技术经济指标分析；</w:t>
      </w:r>
    </w:p>
    <w:p w14:paraId="4229F339">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2.工程结算审计</w:t>
      </w:r>
    </w:p>
    <w:p w14:paraId="524FD9FF">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2.1审查竣工图纸及相关资料的真实性，核查竣工资料与实物是否一致。依据工程图纸、工程签证资料和工程量计算规则等，审查工程量的真实性。</w:t>
      </w:r>
    </w:p>
    <w:p w14:paraId="284C6AB3">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2.2审查设计变更手续是否完备，变更是否必要、真实，签证资料是否真实、准确。</w:t>
      </w:r>
    </w:p>
    <w:p w14:paraId="3449EA12">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2.3审查工程结算是否依据招标文件、投标承诺、施工合同及有关工程定额、取费标准等编制，工程结算是否准确。</w:t>
      </w:r>
    </w:p>
    <w:p w14:paraId="1588B731">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2.4审查建设项目设备、材料是否按规定进行采购，采购价格是否真实、合理。</w:t>
      </w:r>
    </w:p>
    <w:p w14:paraId="5EEAD57B">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2.5审查甲供材料、水电费等结算是否真实、准确。</w:t>
      </w:r>
    </w:p>
    <w:p w14:paraId="0506CB17">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2.6法律、法规、规章要求审计的其它事项。</w:t>
      </w:r>
    </w:p>
    <w:p w14:paraId="3FEEC301">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3.其他标底编制、跟踪审计等造价咨询事项。</w:t>
      </w:r>
    </w:p>
    <w:p w14:paraId="0351A325">
      <w:pPr>
        <w:spacing w:line="360" w:lineRule="auto"/>
        <w:ind w:firstLine="422"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二、质量要求：</w:t>
      </w:r>
      <w:r>
        <w:rPr>
          <w:rFonts w:hint="eastAsia"/>
          <w:color w:val="0D0D0D" w:themeColor="text1" w:themeTint="F2"/>
          <w:kern w:val="0"/>
          <w:sz w:val="21"/>
          <w:szCs w:val="21"/>
          <w14:textFill>
            <w14:solidFill>
              <w14:schemeClr w14:val="tx1">
                <w14:lumMod w14:val="95000"/>
                <w14:lumOff w14:val="5000"/>
              </w14:schemeClr>
            </w14:solidFill>
          </w14:textFill>
        </w:rPr>
        <w:t>严格执行国家有关法律法规及审核标准。</w:t>
      </w:r>
    </w:p>
    <w:p w14:paraId="780C5DF1">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1.受委托的协审单位对协审项目应进行复核后才可以向委托方出具协审结果。协审单位对出具的审核结果的真实性、合法性、合理性长期负责，并按委托方的要求编写相关的审核文书、移交相关审核资料。</w:t>
      </w:r>
    </w:p>
    <w:p w14:paraId="52E62D28">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2.委托方对项目审核质量进行检查复核。若发现差异较大的，除按协议扣减相应的协审费用外，有权视情节严重将该协审单位清退出库，对有重大违纪、违法行为的，追究相应的法律责任。</w:t>
      </w:r>
    </w:p>
    <w:p w14:paraId="54B484DC">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3.其它参照《南通高新区纪工委审计监督室协审单位考核管理办法（试行）》。</w:t>
      </w:r>
    </w:p>
    <w:p w14:paraId="0396E510">
      <w:pPr>
        <w:spacing w:line="360" w:lineRule="auto"/>
        <w:ind w:firstLine="422" w:firstLineChars="200"/>
        <w:rPr>
          <w:rFonts w:hint="eastAsia"/>
          <w:b/>
          <w:bCs/>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三、进度要求：</w:t>
      </w:r>
    </w:p>
    <w:p w14:paraId="77A54F76">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标底审核原则上7日历天内（以接收资料日期为准）完成，如进度上对协审项目有特殊要求的，应以采购人的要求为准。如果采购人要求的完成时间比规定的时间提前，根据考核标准，可作为优先安排协审任务的依据。因特殊情况需延长审核时间的，需报审计室批准。</w:t>
      </w:r>
    </w:p>
    <w:p w14:paraId="6F0F789F">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结算审计项目，乙方应在接收完整的审计资料后，在下表规定的审计期间内（以接收资料日期为准）完成审计任务，并出具书面初审结果报告，未经甲方同意，无故拖延审计时间，甲方有权扣减审计费用或取消委托审计项目。对无正当理由未按甲方的时限要求完成审计任务，如有延误按100元/天扣减审计费用，并承担相应的损失，因自身原因超出合同天数30%仍不能完成项目的，甲方有权收回项目重新分配，并暂停乙方协审服务6个月。</w:t>
      </w:r>
    </w:p>
    <w:p w14:paraId="4404F26C">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审计项目送审金额</w:t>
      </w:r>
      <w:r>
        <w:rPr>
          <w:rFonts w:hint="eastAsia"/>
          <w:color w:val="0D0D0D" w:themeColor="text1" w:themeTint="F2"/>
          <w:kern w:val="0"/>
          <w:sz w:val="21"/>
          <w:szCs w:val="21"/>
          <w14:textFill>
            <w14:solidFill>
              <w14:schemeClr w14:val="tx1">
                <w14:lumMod w14:val="95000"/>
                <w14:lumOff w14:val="5000"/>
              </w14:schemeClr>
            </w14:solidFill>
          </w14:textFill>
        </w:rPr>
        <w:tab/>
      </w:r>
      <w:r>
        <w:rPr>
          <w:rFonts w:hint="eastAsia"/>
          <w:color w:val="0D0D0D" w:themeColor="text1" w:themeTint="F2"/>
          <w:kern w:val="0"/>
          <w:sz w:val="21"/>
          <w:szCs w:val="21"/>
          <w:lang w:val="en-US" w:eastAsia="zh-CN"/>
          <w14:textFill>
            <w14:solidFill>
              <w14:schemeClr w14:val="tx1">
                <w14:lumMod w14:val="95000"/>
                <w14:lumOff w14:val="5000"/>
              </w14:schemeClr>
            </w14:solidFill>
          </w14:textFill>
        </w:rPr>
        <w:t xml:space="preserve">                  </w:t>
      </w:r>
      <w:r>
        <w:rPr>
          <w:rFonts w:hint="eastAsia"/>
          <w:color w:val="0D0D0D" w:themeColor="text1" w:themeTint="F2"/>
          <w:kern w:val="0"/>
          <w:sz w:val="21"/>
          <w:szCs w:val="21"/>
          <w14:textFill>
            <w14:solidFill>
              <w14:schemeClr w14:val="tx1">
                <w14:lumMod w14:val="95000"/>
                <w14:lumOff w14:val="5000"/>
              </w14:schemeClr>
            </w14:solidFill>
          </w14:textFill>
        </w:rPr>
        <w:t>审计期间</w:t>
      </w:r>
    </w:p>
    <w:p w14:paraId="609253DB">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500万元以下（含500万元）</w:t>
      </w:r>
      <w:r>
        <w:rPr>
          <w:rFonts w:hint="eastAsia"/>
          <w:color w:val="0D0D0D" w:themeColor="text1" w:themeTint="F2"/>
          <w:kern w:val="0"/>
          <w:sz w:val="21"/>
          <w:szCs w:val="21"/>
          <w14:textFill>
            <w14:solidFill>
              <w14:schemeClr w14:val="tx1">
                <w14:lumMod w14:val="95000"/>
                <w14:lumOff w14:val="5000"/>
              </w14:schemeClr>
            </w14:solidFill>
          </w14:textFill>
        </w:rPr>
        <w:tab/>
      </w:r>
      <w:r>
        <w:rPr>
          <w:rFonts w:hint="eastAsia"/>
          <w:color w:val="0D0D0D" w:themeColor="text1" w:themeTint="F2"/>
          <w:kern w:val="0"/>
          <w:sz w:val="21"/>
          <w:szCs w:val="21"/>
          <w:lang w:val="en-US" w:eastAsia="zh-CN"/>
          <w14:textFill>
            <w14:solidFill>
              <w14:schemeClr w14:val="tx1">
                <w14:lumMod w14:val="95000"/>
                <w14:lumOff w14:val="5000"/>
              </w14:schemeClr>
            </w14:solidFill>
          </w14:textFill>
        </w:rPr>
        <w:t xml:space="preserve">          </w:t>
      </w:r>
      <w:r>
        <w:rPr>
          <w:rFonts w:hint="eastAsia"/>
          <w:color w:val="0D0D0D" w:themeColor="text1" w:themeTint="F2"/>
          <w:kern w:val="0"/>
          <w:sz w:val="21"/>
          <w:szCs w:val="21"/>
          <w14:textFill>
            <w14:solidFill>
              <w14:schemeClr w14:val="tx1">
                <w14:lumMod w14:val="95000"/>
                <w14:lumOff w14:val="5000"/>
              </w14:schemeClr>
            </w14:solidFill>
          </w14:textFill>
        </w:rPr>
        <w:t>30天内</w:t>
      </w:r>
    </w:p>
    <w:p w14:paraId="08E623BA">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500万元-2000万元（含2000万元）</w:t>
      </w:r>
      <w:r>
        <w:rPr>
          <w:rFonts w:hint="eastAsia"/>
          <w:color w:val="0D0D0D" w:themeColor="text1" w:themeTint="F2"/>
          <w:kern w:val="0"/>
          <w:sz w:val="21"/>
          <w:szCs w:val="21"/>
          <w:lang w:val="en-US" w:eastAsia="zh-CN"/>
          <w14:textFill>
            <w14:solidFill>
              <w14:schemeClr w14:val="tx1">
                <w14:lumMod w14:val="95000"/>
                <w14:lumOff w14:val="5000"/>
              </w14:schemeClr>
            </w14:solidFill>
          </w14:textFill>
        </w:rPr>
        <w:t xml:space="preserve">      </w:t>
      </w:r>
      <w:r>
        <w:rPr>
          <w:rFonts w:hint="eastAsia"/>
          <w:color w:val="0D0D0D" w:themeColor="text1" w:themeTint="F2"/>
          <w:kern w:val="0"/>
          <w:sz w:val="21"/>
          <w:szCs w:val="21"/>
          <w14:textFill>
            <w14:solidFill>
              <w14:schemeClr w14:val="tx1">
                <w14:lumMod w14:val="95000"/>
                <w14:lumOff w14:val="5000"/>
              </w14:schemeClr>
            </w14:solidFill>
          </w14:textFill>
        </w:rPr>
        <w:t>50天内</w:t>
      </w:r>
    </w:p>
    <w:p w14:paraId="12AC4036">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2000万元以上</w:t>
      </w:r>
      <w:r>
        <w:rPr>
          <w:rFonts w:hint="eastAsia"/>
          <w:color w:val="0D0D0D" w:themeColor="text1" w:themeTint="F2"/>
          <w:kern w:val="0"/>
          <w:sz w:val="21"/>
          <w:szCs w:val="21"/>
          <w14:textFill>
            <w14:solidFill>
              <w14:schemeClr w14:val="tx1">
                <w14:lumMod w14:val="95000"/>
                <w14:lumOff w14:val="5000"/>
              </w14:schemeClr>
            </w14:solidFill>
          </w14:textFill>
        </w:rPr>
        <w:tab/>
      </w:r>
      <w:r>
        <w:rPr>
          <w:rFonts w:hint="eastAsia"/>
          <w:color w:val="0D0D0D" w:themeColor="text1" w:themeTint="F2"/>
          <w:kern w:val="0"/>
          <w:sz w:val="21"/>
          <w:szCs w:val="21"/>
          <w:lang w:val="en-US" w:eastAsia="zh-CN"/>
          <w14:textFill>
            <w14:solidFill>
              <w14:schemeClr w14:val="tx1">
                <w14:lumMod w14:val="95000"/>
                <w14:lumOff w14:val="5000"/>
              </w14:schemeClr>
            </w14:solidFill>
          </w14:textFill>
        </w:rPr>
        <w:t xml:space="preserve">                      </w:t>
      </w:r>
      <w:r>
        <w:rPr>
          <w:rFonts w:hint="eastAsia"/>
          <w:color w:val="0D0D0D" w:themeColor="text1" w:themeTint="F2"/>
          <w:kern w:val="0"/>
          <w:sz w:val="21"/>
          <w:szCs w:val="21"/>
          <w14:textFill>
            <w14:solidFill>
              <w14:schemeClr w14:val="tx1">
                <w14:lumMod w14:val="95000"/>
                <w14:lumOff w14:val="5000"/>
              </w14:schemeClr>
            </w14:solidFill>
          </w14:textFill>
        </w:rPr>
        <w:t>80天内，最长不超过6个月</w:t>
      </w:r>
    </w:p>
    <w:p w14:paraId="0059873C">
      <w:pPr>
        <w:spacing w:line="360" w:lineRule="auto"/>
        <w:ind w:firstLine="422"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四、人员要求：</w:t>
      </w:r>
      <w:r>
        <w:rPr>
          <w:rFonts w:hint="eastAsia"/>
          <w:color w:val="0D0D0D" w:themeColor="text1" w:themeTint="F2"/>
          <w:kern w:val="0"/>
          <w:sz w:val="21"/>
          <w:szCs w:val="21"/>
          <w14:textFill>
            <w14:solidFill>
              <w14:schemeClr w14:val="tx1">
                <w14:lumMod w14:val="95000"/>
                <w14:lumOff w14:val="5000"/>
              </w14:schemeClr>
            </w14:solidFill>
          </w14:textFill>
        </w:rPr>
        <w:t>协审单位配备足够的专业技术力量，参审人员必须为投标文件中确定的人员，项目专业协审人员一旦确定，未经采购人认可，不得随意变更。不得将承担的协审任务转包或分包给其它单位或个人，否则委托方有权中止与其委托任务，并做出相应的处罚，情节严重的，采购人有权将该协审单位清退出库。</w:t>
      </w:r>
    </w:p>
    <w:p w14:paraId="6CE6B4C0">
      <w:pPr>
        <w:spacing w:line="360" w:lineRule="auto"/>
        <w:ind w:firstLine="422"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五、纪律及廉政要求：</w:t>
      </w:r>
    </w:p>
    <w:p w14:paraId="5587E5E8">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1.协审单位应在采购人的委托下进行协审工作，不得私下与项目的其它有关单位沟通，对重大或有争议事项及工作进度情况等应及时与委托方沟通，由采购人组织相关单位和人员讨论协商解决。</w:t>
      </w:r>
    </w:p>
    <w:p w14:paraId="634C22BA">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2.协审单位在项目协审过程中，应严守职业道德和廉洁纪律，构建内部严格有效的质量控制体系，接受委托方的指导和监督。</w:t>
      </w:r>
    </w:p>
    <w:p w14:paraId="6630CCEF">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3.协审单位或协审人员遇有应当回避的情况时，应当主动提出回避，否则采购人有权取消该项协审业务约定，情节严重的，采购人有权将该协审单位清退出库。</w:t>
      </w:r>
    </w:p>
    <w:p w14:paraId="10F77C64">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4.资料要求：</w:t>
      </w:r>
    </w:p>
    <w:p w14:paraId="063AF783">
      <w:pPr>
        <w:spacing w:line="360" w:lineRule="auto"/>
        <w:ind w:firstLine="420" w:firstLineChars="200"/>
        <w:rPr>
          <w:rFonts w:hint="eastAsia"/>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中介机构不得遗失、损坏、篡改各类资料。同时也不得私自接受送审单位补充提供的任何审核资料，亦不得将受托项目的审核资料交于他人。如发生此类情况，中介机构应承担相应责任。同时甲方有权中止与其签订的协审协议，并做出相应的处罚。</w:t>
      </w:r>
    </w:p>
    <w:p w14:paraId="71498EBC">
      <w:pPr>
        <w:spacing w:line="360" w:lineRule="auto"/>
        <w:ind w:firstLine="422" w:firstLineChars="200"/>
        <w:rPr>
          <w:rFonts w:hint="eastAsia"/>
          <w:b/>
          <w:bCs/>
          <w:color w:val="0D0D0D" w:themeColor="text1" w:themeTint="F2"/>
          <w:kern w:val="0"/>
          <w:sz w:val="21"/>
          <w:szCs w:val="21"/>
          <w14:textFill>
            <w14:solidFill>
              <w14:schemeClr w14:val="tx1">
                <w14:lumMod w14:val="95000"/>
                <w14:lumOff w14:val="5000"/>
              </w14:schemeClr>
            </w14:solidFill>
          </w14:textFill>
        </w:rPr>
      </w:pPr>
      <w:r>
        <w:rPr>
          <w:rFonts w:hint="eastAsia"/>
          <w:b/>
          <w:bCs/>
          <w:color w:val="0D0D0D" w:themeColor="text1" w:themeTint="F2"/>
          <w:kern w:val="0"/>
          <w:sz w:val="21"/>
          <w:szCs w:val="21"/>
          <w14:textFill>
            <w14:solidFill>
              <w14:schemeClr w14:val="tx1">
                <w14:lumMod w14:val="95000"/>
                <w14:lumOff w14:val="5000"/>
              </w14:schemeClr>
            </w14:solidFill>
          </w14:textFill>
        </w:rPr>
        <w:t>六、付款方式</w:t>
      </w:r>
    </w:p>
    <w:p w14:paraId="330B1744">
      <w:pPr>
        <w:spacing w:line="360" w:lineRule="auto"/>
        <w:ind w:firstLine="420" w:firstLineChars="200"/>
        <w:rPr>
          <w:color w:val="0D0D0D" w:themeColor="text1" w:themeTint="F2"/>
          <w:kern w:val="0"/>
          <w:sz w:val="21"/>
          <w:szCs w:val="21"/>
          <w14:textFill>
            <w14:solidFill>
              <w14:schemeClr w14:val="tx1">
                <w14:lumMod w14:val="95000"/>
                <w14:lumOff w14:val="5000"/>
              </w14:schemeClr>
            </w14:solidFill>
          </w14:textFill>
        </w:rPr>
      </w:pPr>
      <w:r>
        <w:rPr>
          <w:rFonts w:hint="eastAsia"/>
          <w:color w:val="0D0D0D" w:themeColor="text1" w:themeTint="F2"/>
          <w:kern w:val="0"/>
          <w:sz w:val="21"/>
          <w:szCs w:val="21"/>
          <w14:textFill>
            <w14:solidFill>
              <w14:schemeClr w14:val="tx1">
                <w14:lumMod w14:val="95000"/>
                <w14:lumOff w14:val="5000"/>
              </w14:schemeClr>
            </w14:solidFill>
          </w14:textFill>
        </w:rPr>
        <w:t>【特别提醒】付款方式不接受负偏离及任何意图改变付款方式的意图表达，否则作无效响应处理。</w:t>
      </w:r>
    </w:p>
    <w:p w14:paraId="670058DA">
      <w:pPr>
        <w:spacing w:line="360" w:lineRule="auto"/>
        <w:ind w:firstLine="562"/>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color w:val="auto"/>
          <w:kern w:val="2"/>
          <w:sz w:val="21"/>
          <w:szCs w:val="21"/>
          <w:highlight w:val="none"/>
          <w:lang w:val="zh-CN"/>
        </w:rPr>
        <w:t>入围服务要求</w:t>
      </w:r>
    </w:p>
    <w:p w14:paraId="1B9CAC5E">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1.供应商响应的服务的技术、商务等条件不得低于采购需求。</w:t>
      </w:r>
    </w:p>
    <w:p w14:paraId="47AD49BE">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2.入围供应商在框架协议采购系统填报服务信息，执行框架协议，所填报服务信息应与响应文件服务信息一致。</w:t>
      </w:r>
    </w:p>
    <w:p w14:paraId="536522AB">
      <w:pPr>
        <w:spacing w:line="360" w:lineRule="auto"/>
        <w:ind w:firstLine="562"/>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框架协议期间的价格确定</w:t>
      </w:r>
    </w:p>
    <w:p w14:paraId="0F117E3E">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1.在框架协议期间，入围服务价格为合同授予阶段最高限价，不得上调。</w:t>
      </w:r>
    </w:p>
    <w:p w14:paraId="1DCC541A">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2.框架协议采购应当订立固定价格合同，在履约期间不得变更单价。</w:t>
      </w:r>
    </w:p>
    <w:p w14:paraId="0445D036">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3.在其他优惠条件方面，入围供应商不得对采购人实行差别待遇。零售客户等享受的优惠条件，采购人必须同等享受。</w:t>
      </w:r>
    </w:p>
    <w:p w14:paraId="52F76D27">
      <w:pPr>
        <w:spacing w:line="360" w:lineRule="auto"/>
        <w:ind w:firstLine="560"/>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4.供应商应按照技术参数响应表要求填报有关信息，在技术响应偏离表及商务响应偏离表填报。</w:t>
      </w:r>
    </w:p>
    <w:p w14:paraId="00AA0238">
      <w:pPr>
        <w:spacing w:line="360" w:lineRule="auto"/>
        <w:ind w:firstLine="562"/>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入围供应商商务要求</w:t>
      </w:r>
    </w:p>
    <w:p w14:paraId="36EEE64D">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1.保证本次框架协议服务入围价是真实的，可考量的，接受采购人的监督、检查。</w:t>
      </w:r>
    </w:p>
    <w:p w14:paraId="67C85EF9">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2.保证所提供的服务符合国家有关质量技术标准及相关法律、法规规定的要求。</w:t>
      </w:r>
    </w:p>
    <w:p w14:paraId="1C9D885A">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3.保证本项目采购人优先享受各项服务。</w:t>
      </w:r>
    </w:p>
    <w:p w14:paraId="4DEA015D">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4.针对本项目成立服务小组，指派专人负责日常管理及联络工作。</w:t>
      </w:r>
    </w:p>
    <w:p w14:paraId="4D499ED8">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5.建立采购人投诉及处理台帐，记录投诉内容及协调处理方法，有效督促严格履约。</w:t>
      </w:r>
    </w:p>
    <w:p w14:paraId="1630E387">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6.提供技术服务热线（7*24小时），负责解答采购人遇到的问题。</w:t>
      </w:r>
    </w:p>
    <w:p w14:paraId="14B0DE9D">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7.服从采购人管理要求，通过江苏省框架协议采购系统执行本次框架协议采购合同。</w:t>
      </w:r>
    </w:p>
    <w:p w14:paraId="76ACBBBE">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8.协助有关部门做好廉政工作，防止腐败现象的出现。</w:t>
      </w:r>
    </w:p>
    <w:p w14:paraId="06F1315B">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9.供应商提供的其他服务承诺。</w:t>
      </w:r>
    </w:p>
    <w:p w14:paraId="149BDEB9">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10.入围供应商应按照框架协议管理相关规定，主动配合采购人和各级财政部门的管理，按照相关的要求实施框架协议采购，并应做好信息维护、履约管理等工作。</w:t>
      </w:r>
    </w:p>
    <w:p w14:paraId="58EFB321">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11.服务时间地点：根据采购人与供应商合同约定完成。</w:t>
      </w:r>
    </w:p>
    <w:p w14:paraId="27FF7918">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12.验收：采购人组织验收，符合征集文件和响应文件要求和承诺书承诺方可验收。</w:t>
      </w:r>
    </w:p>
    <w:p w14:paraId="5D7AC562">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13.付款要求：由采购人和供应商按合同约定执行。</w:t>
      </w:r>
    </w:p>
    <w:p w14:paraId="0A5D69FE">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14.框架协议期限：两年（自框架协议签订之日起两年）。</w:t>
      </w:r>
    </w:p>
    <w:p w14:paraId="7E32320F">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15.入围供应商在“苏采云”系统框架协议采购管理模块（http://jszfcg.jsczt.cn/jszc/login）填报信息，执行框架协议，所填报信息应与响应文件信息一致。</w:t>
      </w:r>
    </w:p>
    <w:p w14:paraId="65C3519F">
      <w:pPr>
        <w:tabs>
          <w:tab w:val="left" w:pos="851"/>
        </w:tabs>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16.报价要求：</w:t>
      </w:r>
      <w:bookmarkStart w:id="177" w:name="_Hlk178323074"/>
      <w:r>
        <w:rPr>
          <w:rFonts w:hint="eastAsia" w:asciiTheme="minorEastAsia" w:hAnsiTheme="minorEastAsia" w:eastAsiaTheme="minorEastAsia" w:cstheme="minorEastAsia"/>
          <w:sz w:val="21"/>
          <w:szCs w:val="21"/>
        </w:rPr>
        <w:t>按照本征集文件协审费用的结算及支付要求执行，本项目无需报价</w:t>
      </w:r>
      <w:bookmarkEnd w:id="177"/>
      <w:r>
        <w:rPr>
          <w:rFonts w:hint="eastAsia" w:asciiTheme="minorEastAsia" w:hAnsiTheme="minorEastAsia" w:eastAsiaTheme="minorEastAsia" w:cstheme="minorEastAsia"/>
          <w:sz w:val="21"/>
          <w:szCs w:val="21"/>
        </w:rPr>
        <w:t>。</w:t>
      </w:r>
    </w:p>
    <w:p w14:paraId="3BC6DD21">
      <w:pPr>
        <w:spacing w:line="360" w:lineRule="auto"/>
        <w:ind w:firstLine="562"/>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框架协议合同授予</w:t>
      </w:r>
    </w:p>
    <w:p w14:paraId="0F343C09">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1.确定第二阶段成交供应商应当由采购人依据入围服务质量、经营活动中重大违法记录情况以及服务便利性、用户评价等因素，从第一阶段入围供应商中直接选定。</w:t>
      </w:r>
    </w:p>
    <w:p w14:paraId="25560ABD">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2.采购人原则上不得采购框架协议采购范围以外的服务。如框架协议范围内产品确实无法满足采购人的工作需要，应由当地财政部门及政府集中采购机构履行核实及确认手续后组织采购。</w:t>
      </w:r>
    </w:p>
    <w:p w14:paraId="12B5FDDA">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发布单笔成交结果公告。</w:t>
      </w:r>
    </w:p>
    <w:p w14:paraId="05FDEA73">
      <w:pPr>
        <w:pStyle w:val="204"/>
        <w:spacing w:line="360" w:lineRule="auto"/>
        <w:ind w:firstLine="560"/>
        <w:rPr>
          <w:rFonts w:hint="eastAsia" w:asciiTheme="minorEastAsia" w:hAnsiTheme="minorEastAsia" w:eastAsiaTheme="minorEastAsia" w:cstheme="minorEastAsia"/>
          <w:b/>
          <w:color w:val="auto"/>
          <w:kern w:val="2"/>
          <w:sz w:val="21"/>
          <w:szCs w:val="21"/>
          <w:highlight w:val="none"/>
          <w:lang w:val="zh-CN" w:eastAsia="zh-CN" w:bidi="ar-SA"/>
        </w:rPr>
      </w:pPr>
      <w:r>
        <w:rPr>
          <w:rFonts w:hint="eastAsia" w:asciiTheme="minorEastAsia" w:hAnsiTheme="minorEastAsia" w:eastAsiaTheme="minorEastAsia" w:cstheme="minorEastAsia"/>
          <w:b/>
          <w:color w:val="auto"/>
          <w:kern w:val="2"/>
          <w:sz w:val="21"/>
          <w:szCs w:val="21"/>
          <w:highlight w:val="none"/>
          <w:lang w:val="zh-CN" w:eastAsia="zh-CN" w:bidi="ar-SA"/>
        </w:rPr>
        <w:t>履约管理要求</w:t>
      </w:r>
    </w:p>
    <w:p w14:paraId="1CC5E48A">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1.管理形式</w:t>
      </w:r>
    </w:p>
    <w:p w14:paraId="3CFB5A48">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征集人通过满意度调查、随机抽查、投诉举报处理等方式，对框架协议入围供应商开展履约及售后服务监督，检查和处理结果将在框架协议系统公布。</w:t>
      </w:r>
    </w:p>
    <w:p w14:paraId="419EDDE2">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2.管理标准</w:t>
      </w:r>
    </w:p>
    <w:p w14:paraId="1FB4A8EF">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在监管检查中，如发现以下情形，视为不合格行为。征集人在核实情况后将对相关责任供应商予以处理：</w:t>
      </w:r>
    </w:p>
    <w:p w14:paraId="605E48CA">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（1）入围服务不符合国家有关规定、响应承诺和框架协议规定。</w:t>
      </w:r>
    </w:p>
    <w:p w14:paraId="2207085C">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（2）无正当理由不按照承诺服务或提供售后服务。</w:t>
      </w:r>
    </w:p>
    <w:p w14:paraId="2FFFBB6C">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（3）具体项目成交价高于其入围价格或服务承诺。</w:t>
      </w:r>
    </w:p>
    <w:p w14:paraId="67620BA5">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（4）使用不正当竞争手段，影响采购单位正常采购活动。</w:t>
      </w:r>
    </w:p>
    <w:p w14:paraId="36950874">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（5）满意度调查中采购人反馈不满意，经核实确系供应商责任。</w:t>
      </w:r>
    </w:p>
    <w:p w14:paraId="70464CDE">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（6）无正当理由放弃入围资格或退出框架协议。</w:t>
      </w:r>
    </w:p>
    <w:p w14:paraId="53DFD811">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（7）其他违法违规行为。</w:t>
      </w:r>
    </w:p>
    <w:p w14:paraId="2EE9B454">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3.管理措施</w:t>
      </w:r>
    </w:p>
    <w:p w14:paraId="23989B0D">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对履约监管中发现的不合格行为，按以下措施处理：</w:t>
      </w:r>
    </w:p>
    <w:p w14:paraId="00D1FC41">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（1）整改</w:t>
      </w:r>
    </w:p>
    <w:p w14:paraId="53E7503F">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入围供应商在框架协议系统中存在不合格行为，征集人出具《责令整改通知书》，限定时间完成整改。被开具《责令整改通知书》的供应商，视作差评，记录在案。</w:t>
      </w:r>
    </w:p>
    <w:p w14:paraId="515C5315">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（2）暂停交易资格</w:t>
      </w:r>
    </w:p>
    <w:p w14:paraId="3BB882D5">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对拒不接受征集人约谈，或者规定时间未按《责令整改通知书》完成整改的供应商，暂停其框架协议交易资格三个月，并在框架协议系统公示。</w:t>
      </w:r>
    </w:p>
    <w:p w14:paraId="5A1720B2">
      <w:pPr>
        <w:pStyle w:val="204"/>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（3）终止交易资格</w:t>
      </w:r>
    </w:p>
    <w:p w14:paraId="0026786E">
      <w:pPr>
        <w:pStyle w:val="204"/>
        <w:spacing w:line="360" w:lineRule="auto"/>
        <w:ind w:firstLine="4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1"/>
          <w:szCs w:val="21"/>
        </w:rPr>
        <w:t>供应商在被发现存在恶意违规，造成严重后果，或在框架协议有效期内两次被开具《责令整改通知单》，解除当期框架协议，同时报请财政部门，列入供应商诚信档案。</w:t>
      </w:r>
      <w:r>
        <w:rPr>
          <w:rFonts w:hint="eastAsia" w:asciiTheme="minorEastAsia" w:hAnsiTheme="minorEastAsia" w:eastAsiaTheme="minorEastAsia" w:cstheme="minorEastAsia"/>
          <w:sz w:val="28"/>
          <w:szCs w:val="28"/>
        </w:rPr>
        <w:br w:type="page" w:clear="all"/>
      </w:r>
    </w:p>
    <w:p w14:paraId="5E28A03E">
      <w:pPr>
        <w:pStyle w:val="5"/>
        <w:spacing w:line="360" w:lineRule="auto"/>
        <w:rPr>
          <w:rFonts w:hint="eastAsia" w:asciiTheme="minorEastAsia" w:hAnsiTheme="minorEastAsia" w:eastAsiaTheme="minorEastAsia" w:cstheme="minorEastAsia"/>
          <w:sz w:val="44"/>
          <w:szCs w:val="44"/>
        </w:rPr>
      </w:pPr>
      <w:bookmarkStart w:id="178" w:name="_Toc120614281"/>
      <w:r>
        <w:rPr>
          <w:rFonts w:hint="eastAsia" w:asciiTheme="minorEastAsia" w:hAnsiTheme="minorEastAsia" w:eastAsiaTheme="minorEastAsia" w:cstheme="minorEastAsia"/>
          <w:sz w:val="44"/>
          <w:szCs w:val="44"/>
        </w:rPr>
        <w:t>第五章  确定入围及成交供应商</w:t>
      </w:r>
    </w:p>
    <w:p w14:paraId="5390F4D7">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一、确定第一阶段入围供应商的评审方法</w:t>
      </w:r>
    </w:p>
    <w:p w14:paraId="371F4A0E">
      <w:pPr>
        <w:pStyle w:val="198"/>
        <w:spacing w:before="0" w:after="0"/>
        <w:ind w:firstLine="560"/>
        <w:rPr>
          <w:rFonts w:hint="default" w:asciiTheme="minorEastAsia" w:hAnsiTheme="minorEastAsia" w:eastAsiaTheme="minorEastAsia" w:cstheme="minorEastAsia"/>
          <w:sz w:val="21"/>
          <w:szCs w:val="21"/>
          <w:highlight w:val="none"/>
          <w:lang w:val="en-US" w:eastAsia="zh-CN"/>
        </w:rPr>
      </w:pPr>
      <w:bookmarkStart w:id="179" w:name="_Hlk157266202"/>
      <w:r>
        <w:rPr>
          <w:rFonts w:hint="eastAsia" w:asciiTheme="minorEastAsia" w:hAnsiTheme="minorEastAsia" w:eastAsiaTheme="minorEastAsia" w:cstheme="minorEastAsia"/>
          <w:sz w:val="21"/>
          <w:szCs w:val="21"/>
        </w:rPr>
        <w:t>1.确定第一阶段入围供应商的评审方法为</w:t>
      </w:r>
      <w:r>
        <w:rPr>
          <w:rFonts w:hint="eastAsia" w:asciiTheme="minorEastAsia" w:hAnsiTheme="minorEastAsia" w:eastAsiaTheme="minorEastAsia" w:cstheme="minorEastAsia"/>
          <w:b/>
          <w:bCs/>
          <w:sz w:val="21"/>
          <w:szCs w:val="21"/>
        </w:rPr>
        <w:t>质量优先法。</w:t>
      </w:r>
      <w:r>
        <w:rPr>
          <w:rFonts w:hint="eastAsia" w:asciiTheme="minorEastAsia" w:hAnsiTheme="minorEastAsia" w:eastAsiaTheme="minorEastAsia" w:cstheme="minorEastAsia"/>
          <w:sz w:val="21"/>
          <w:szCs w:val="21"/>
        </w:rPr>
        <w:t>质量优先法是指对满足采购需求且响应报价不超过最高限制单价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Theme="minorEastAsia" w:hAnsiTheme="minorEastAsia" w:eastAsiaTheme="minorEastAsia" w:cstheme="minorEastAsia"/>
          <w:sz w:val="21"/>
          <w:szCs w:val="21"/>
          <w:highlight w:val="none"/>
        </w:rPr>
        <w:t>若得分相同，按项目人员配置得分由高到低排列；若项目人员配置得分相同的，按</w:t>
      </w:r>
      <w:r>
        <w:rPr>
          <w:rFonts w:hint="eastAsia" w:asciiTheme="minorEastAsia" w:hAnsiTheme="minorEastAsia" w:eastAsiaTheme="minorEastAsia" w:cstheme="minorEastAsia"/>
          <w:sz w:val="21"/>
          <w:szCs w:val="21"/>
          <w:highlight w:val="none"/>
          <w:lang w:val="en-US" w:eastAsia="zh-CN"/>
        </w:rPr>
        <w:t>项目负责人及项目组组成人员编审业绩</w:t>
      </w:r>
      <w:r>
        <w:rPr>
          <w:rFonts w:hint="eastAsia" w:asciiTheme="minorEastAsia" w:hAnsiTheme="minorEastAsia" w:eastAsiaTheme="minorEastAsia" w:cstheme="minorEastAsia"/>
          <w:sz w:val="21"/>
          <w:szCs w:val="21"/>
          <w:highlight w:val="none"/>
        </w:rPr>
        <w:t>得分由高到低排列；若项目人员配置得分、</w:t>
      </w:r>
      <w:r>
        <w:rPr>
          <w:rFonts w:hint="eastAsia" w:asciiTheme="minorEastAsia" w:hAnsiTheme="minorEastAsia" w:eastAsiaTheme="minorEastAsia" w:cstheme="minorEastAsia"/>
          <w:sz w:val="21"/>
          <w:szCs w:val="21"/>
          <w:highlight w:val="none"/>
          <w:lang w:val="en-US" w:eastAsia="zh-CN"/>
        </w:rPr>
        <w:t>项目负责人及项目组组成人员编审业绩</w:t>
      </w:r>
      <w:r>
        <w:rPr>
          <w:rFonts w:hint="eastAsia" w:asciiTheme="minorEastAsia" w:hAnsiTheme="minorEastAsia" w:eastAsiaTheme="minorEastAsia" w:cstheme="minorEastAsia"/>
          <w:sz w:val="21"/>
          <w:szCs w:val="21"/>
          <w:highlight w:val="none"/>
        </w:rPr>
        <w:t>得分均相同的，按</w:t>
      </w:r>
      <w:r>
        <w:rPr>
          <w:rFonts w:hint="eastAsia" w:asciiTheme="minorEastAsia" w:hAnsiTheme="minorEastAsia" w:eastAsiaTheme="minorEastAsia" w:cstheme="minorEastAsia"/>
          <w:sz w:val="21"/>
          <w:szCs w:val="21"/>
          <w:highlight w:val="none"/>
          <w:lang w:val="en-US" w:eastAsia="zh-CN"/>
        </w:rPr>
        <w:t>协审方案</w:t>
      </w:r>
      <w:r>
        <w:rPr>
          <w:rFonts w:hint="eastAsia" w:asciiTheme="minorEastAsia" w:hAnsiTheme="minorEastAsia" w:eastAsiaTheme="minorEastAsia" w:cstheme="minorEastAsia"/>
          <w:sz w:val="21"/>
          <w:szCs w:val="21"/>
          <w:highlight w:val="none"/>
        </w:rPr>
        <w:t>得分由高到低排列；若项目人员配置得分、</w:t>
      </w:r>
      <w:r>
        <w:rPr>
          <w:rFonts w:hint="eastAsia" w:asciiTheme="minorEastAsia" w:hAnsiTheme="minorEastAsia" w:eastAsiaTheme="minorEastAsia" w:cstheme="minorEastAsia"/>
          <w:sz w:val="21"/>
          <w:szCs w:val="21"/>
          <w:highlight w:val="none"/>
          <w:lang w:val="en-US" w:eastAsia="zh-CN"/>
        </w:rPr>
        <w:t>项目负责人及项目组组成人员业绩</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协审方案</w:t>
      </w:r>
      <w:r>
        <w:rPr>
          <w:rFonts w:hint="eastAsia" w:asciiTheme="minorEastAsia" w:hAnsiTheme="minorEastAsia" w:eastAsiaTheme="minorEastAsia" w:cstheme="minorEastAsia"/>
          <w:sz w:val="21"/>
          <w:szCs w:val="21"/>
          <w:highlight w:val="none"/>
        </w:rPr>
        <w:t>得分均相同的，按</w:t>
      </w:r>
      <w:r>
        <w:rPr>
          <w:rFonts w:hint="eastAsia" w:asciiTheme="minorEastAsia" w:hAnsiTheme="minorEastAsia" w:eastAsiaTheme="minorEastAsia" w:cstheme="minorEastAsia"/>
          <w:sz w:val="21"/>
          <w:szCs w:val="21"/>
          <w:highlight w:val="none"/>
          <w:lang w:val="en-US" w:eastAsia="zh-CN"/>
        </w:rPr>
        <w:t>协审成果</w:t>
      </w:r>
      <w:r>
        <w:rPr>
          <w:rFonts w:hint="eastAsia" w:asciiTheme="minorEastAsia" w:hAnsiTheme="minorEastAsia" w:eastAsiaTheme="minorEastAsia" w:cstheme="minorEastAsia"/>
          <w:sz w:val="21"/>
          <w:szCs w:val="21"/>
          <w:highlight w:val="none"/>
        </w:rPr>
        <w:t>得分由高到低排列</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若项目人员配置得分、</w:t>
      </w:r>
      <w:r>
        <w:rPr>
          <w:rFonts w:hint="eastAsia" w:asciiTheme="minorEastAsia" w:hAnsiTheme="minorEastAsia" w:eastAsiaTheme="minorEastAsia" w:cstheme="minorEastAsia"/>
          <w:sz w:val="21"/>
          <w:szCs w:val="21"/>
          <w:highlight w:val="none"/>
          <w:lang w:val="en-US" w:eastAsia="zh-CN"/>
        </w:rPr>
        <w:t>项目负责人及项目组组成人员业绩</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协审方案、协审成果</w:t>
      </w:r>
      <w:r>
        <w:rPr>
          <w:rFonts w:hint="eastAsia" w:asciiTheme="minorEastAsia" w:hAnsiTheme="minorEastAsia" w:eastAsiaTheme="minorEastAsia" w:cstheme="minorEastAsia"/>
          <w:sz w:val="21"/>
          <w:szCs w:val="21"/>
          <w:highlight w:val="none"/>
        </w:rPr>
        <w:t>得分均相同的</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按响应服务保障得分由高到低排列。</w:t>
      </w:r>
    </w:p>
    <w:p w14:paraId="395A09C9">
      <w:pPr>
        <w:pStyle w:val="198"/>
        <w:spacing w:before="0" w:after="0"/>
        <w:ind w:firstLine="56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2.入围供应商数量</w:t>
      </w:r>
    </w:p>
    <w:p w14:paraId="3A0826A8">
      <w:pPr>
        <w:pStyle w:val="198"/>
        <w:spacing w:before="0" w:after="0"/>
        <w:ind w:firstLine="560"/>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sz w:val="21"/>
          <w:szCs w:val="21"/>
          <w:highlight w:val="none"/>
        </w:rPr>
        <w:t>入围供应商的数量最多为</w:t>
      </w:r>
      <w:r>
        <w:rPr>
          <w:rFonts w:hint="eastAsia"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rPr>
        <w:t>家，同时需满足：“入围供应商的淘汰比例不低于20%，且至少淘汰一家供应商”（按照得分由高到低排序，如最后一名入围单位有并列的情况，则并列的单位全部入围）</w:t>
      </w:r>
      <w:r>
        <w:rPr>
          <w:rFonts w:hint="eastAsia" w:asciiTheme="minorEastAsia" w:hAnsiTheme="minorEastAsia" w:eastAsiaTheme="minorEastAsia" w:cstheme="minorEastAsia"/>
          <w:sz w:val="21"/>
          <w:szCs w:val="21"/>
          <w:highlight w:val="none"/>
          <w:lang w:eastAsia="zh-CN"/>
        </w:rPr>
        <w:t>。</w:t>
      </w:r>
    </w:p>
    <w:p w14:paraId="1C53CFD2">
      <w:pPr>
        <w:pStyle w:val="198"/>
        <w:spacing w:before="0" w:after="0"/>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提交响应文件和符合资格条件、实质性要求的供应商少于2家时，采购活动终止。</w:t>
      </w:r>
      <w:bookmarkEnd w:id="179"/>
    </w:p>
    <w:p w14:paraId="6CF6DD25">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二、确定第二阶段成交供应商的方式</w:t>
      </w:r>
    </w:p>
    <w:p w14:paraId="0CDFFD7A">
      <w:pPr>
        <w:pBdr>
          <w:top w:val="none" w:color="000000" w:sz="0" w:space="0"/>
          <w:left w:val="none" w:color="000000" w:sz="0" w:space="0"/>
          <w:bottom w:val="none" w:color="000000" w:sz="0" w:space="0"/>
          <w:right w:val="none" w:color="000000" w:sz="0" w:space="0"/>
        </w:pBdr>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第二阶段成交供应商的方式为直接选定。由采购人依据入围服务质量、经营活动中重大违法记录情况以及服务便利性、用户评价等因素，从第一阶段入围供应商中直接选定。第一阶段入围供应商的协议价格是采购人确定第二阶段成交供应商的最高限价。</w:t>
      </w:r>
    </w:p>
    <w:p w14:paraId="45042F34">
      <w:pPr>
        <w:pBdr>
          <w:top w:val="none" w:color="000000" w:sz="0" w:space="0"/>
          <w:left w:val="none" w:color="000000" w:sz="0" w:space="0"/>
          <w:bottom w:val="none" w:color="000000" w:sz="0" w:space="0"/>
          <w:right w:val="none" w:color="000000" w:sz="0" w:space="0"/>
        </w:pBdr>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2.采购人在确定成交供应商后，双方应当按照框架协议中规定的“采购合同文本”格式签订电子采购合同，不得擅自改变框架协议约定的合同实质性条款。</w:t>
      </w:r>
    </w:p>
    <w:p w14:paraId="7AD1500E">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三、评分标准</w:t>
      </w:r>
    </w:p>
    <w:p w14:paraId="097AA759">
      <w:pPr>
        <w:widowControl/>
        <w:pBdr>
          <w:top w:val="none" w:color="000000" w:sz="0" w:space="0"/>
          <w:left w:val="none" w:color="000000" w:sz="0" w:space="0"/>
          <w:bottom w:val="none" w:color="000000" w:sz="0" w:space="0"/>
          <w:right w:val="none" w:color="000000" w:sz="0" w:space="0"/>
        </w:pBdr>
        <w:spacing w:line="360" w:lineRule="auto"/>
        <w:ind w:firstLine="56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商务技术分</w:t>
      </w:r>
      <w:r>
        <w:rPr>
          <w:rFonts w:hint="eastAsia" w:asciiTheme="minorEastAsia" w:hAnsiTheme="minorEastAsia" w:eastAsiaTheme="minorEastAsia" w:cstheme="minorEastAsia"/>
          <w:sz w:val="21"/>
          <w:szCs w:val="21"/>
        </w:rPr>
        <w:t>100</w:t>
      </w:r>
      <w:r>
        <w:rPr>
          <w:rFonts w:hint="eastAsia" w:asciiTheme="minorEastAsia" w:hAnsiTheme="minorEastAsia" w:eastAsiaTheme="minorEastAsia" w:cstheme="minorEastAsia"/>
          <w:sz w:val="21"/>
          <w:szCs w:val="21"/>
          <w:lang w:val="zh-CN"/>
        </w:rPr>
        <w:t>分</w:t>
      </w:r>
    </w:p>
    <w:p w14:paraId="076A49E3">
      <w:pPr>
        <w:widowControl/>
        <w:pBdr>
          <w:top w:val="none" w:color="000000" w:sz="0" w:space="0"/>
          <w:left w:val="none" w:color="000000" w:sz="0" w:space="0"/>
          <w:bottom w:val="none" w:color="000000" w:sz="0" w:space="0"/>
          <w:right w:val="none" w:color="000000" w:sz="0" w:space="0"/>
        </w:pBdr>
        <w:spacing w:line="360" w:lineRule="auto"/>
        <w:ind w:firstLine="56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各供应商得分为评委会成员评分的算术平均分，分值保留小数点后两位。</w:t>
      </w:r>
    </w:p>
    <w:tbl>
      <w:tblPr>
        <w:tblStyle w:val="44"/>
        <w:tblW w:w="4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42" w:type="dxa"/>
          <w:bottom w:w="57" w:type="dxa"/>
          <w:right w:w="312" w:type="dxa"/>
        </w:tblCellMar>
      </w:tblPr>
      <w:tblGrid>
        <w:gridCol w:w="919"/>
        <w:gridCol w:w="1363"/>
        <w:gridCol w:w="6224"/>
        <w:gridCol w:w="900"/>
      </w:tblGrid>
      <w:tr w14:paraId="5096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776" w:hRule="exact"/>
          <w:jc w:val="center"/>
        </w:trPr>
        <w:tc>
          <w:tcPr>
            <w:tcW w:w="488" w:type="pct"/>
            <w:noWrap w:val="0"/>
            <w:vAlign w:val="center"/>
          </w:tcPr>
          <w:p w14:paraId="5C7083DB">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724" w:type="pct"/>
            <w:noWrap w:val="0"/>
            <w:vAlign w:val="center"/>
          </w:tcPr>
          <w:p w14:paraId="3DA46AD9">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评分内容</w:t>
            </w:r>
          </w:p>
        </w:tc>
        <w:tc>
          <w:tcPr>
            <w:tcW w:w="3308" w:type="pct"/>
            <w:noWrap w:val="0"/>
            <w:vAlign w:val="center"/>
          </w:tcPr>
          <w:p w14:paraId="6DB9B2CF">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评审因素</w:t>
            </w:r>
          </w:p>
        </w:tc>
        <w:tc>
          <w:tcPr>
            <w:tcW w:w="478" w:type="pct"/>
            <w:noWrap w:val="0"/>
            <w:vAlign w:val="center"/>
          </w:tcPr>
          <w:p w14:paraId="2A11D5DC">
            <w:pPr>
              <w:pageBreakBefore w:val="0"/>
              <w:widowControl w:val="0"/>
              <w:kinsoku/>
              <w:wordWrap/>
              <w:topLinePunct w:val="0"/>
              <w:autoSpaceDE/>
              <w:autoSpaceDN/>
              <w:bidi w:val="0"/>
              <w:adjustRightInd/>
              <w:snapToGrid/>
              <w:spacing w:line="360" w:lineRule="exact"/>
              <w:ind w:left="0" w:leftChars="0" w:right="0" w:rightChars="0"/>
              <w:jc w:val="both"/>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分值</w:t>
            </w:r>
          </w:p>
        </w:tc>
      </w:tr>
      <w:tr w14:paraId="18B0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650" w:hRule="atLeast"/>
          <w:jc w:val="center"/>
        </w:trPr>
        <w:tc>
          <w:tcPr>
            <w:tcW w:w="488" w:type="pct"/>
            <w:noWrap w:val="0"/>
            <w:vAlign w:val="center"/>
          </w:tcPr>
          <w:p w14:paraId="1176475C">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724" w:type="pct"/>
            <w:noWrap w:val="0"/>
            <w:vAlign w:val="center"/>
          </w:tcPr>
          <w:p w14:paraId="555B81FF">
            <w:pPr>
              <w:keepNext/>
              <w:keepLines/>
              <w:pageBreakBefore w:val="0"/>
              <w:widowControl w:val="0"/>
              <w:kinsoku/>
              <w:wordWrap/>
              <w:overflowPunct w:val="0"/>
              <w:topLinePunct w:val="0"/>
              <w:autoSpaceDE/>
              <w:autoSpaceDN/>
              <w:bidi w:val="0"/>
              <w:adjustRightInd/>
              <w:snapToGrid/>
              <w:spacing w:line="360" w:lineRule="exact"/>
              <w:ind w:left="0" w:leftChars="0" w:right="0" w:rightChars="0"/>
              <w:jc w:val="center"/>
              <w:textAlignment w:val="auto"/>
              <w:outlineLvl w:val="9"/>
              <w:rPr>
                <w:rFonts w:hint="eastAsia" w:ascii="宋体" w:hAnsi="宋体" w:eastAsia="宋体" w:cs="宋体"/>
                <w:b/>
                <w:color w:val="auto"/>
                <w:kern w:val="2"/>
                <w:sz w:val="21"/>
                <w:szCs w:val="21"/>
                <w:highlight w:val="none"/>
                <w:lang w:val="en-US" w:eastAsia="zh-CN"/>
              </w:rPr>
            </w:pPr>
            <w:r>
              <w:rPr>
                <w:rFonts w:hint="eastAsia" w:ascii="宋体" w:hAnsi="宋体" w:eastAsia="宋体" w:cs="宋体"/>
                <w:b w:val="0"/>
                <w:bCs/>
                <w:color w:val="auto"/>
                <w:spacing w:val="6"/>
                <w:kern w:val="2"/>
                <w:sz w:val="21"/>
                <w:szCs w:val="21"/>
                <w:highlight w:val="none"/>
                <w:lang w:val="en-US" w:eastAsia="zh-CN"/>
              </w:rPr>
              <w:t>人员配置</w:t>
            </w:r>
          </w:p>
        </w:tc>
        <w:tc>
          <w:tcPr>
            <w:tcW w:w="3308" w:type="pct"/>
            <w:noWrap w:val="0"/>
            <w:vAlign w:val="center"/>
          </w:tcPr>
          <w:p w14:paraId="22DBB544">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b w:val="0"/>
                <w:bCs/>
                <w:color w:val="auto"/>
                <w:kern w:val="2"/>
                <w:sz w:val="21"/>
                <w:szCs w:val="21"/>
                <w:highlight w:val="none"/>
                <w:lang w:val="zh-CN"/>
              </w:rPr>
            </w:pPr>
            <w:r>
              <w:rPr>
                <w:rFonts w:hint="eastAsia" w:ascii="宋体" w:hAnsi="宋体" w:eastAsia="宋体" w:cs="宋体"/>
                <w:b w:val="0"/>
                <w:bCs/>
                <w:color w:val="auto"/>
                <w:kern w:val="2"/>
                <w:sz w:val="21"/>
                <w:szCs w:val="21"/>
                <w:highlight w:val="none"/>
                <w:lang w:val="zh-CN"/>
              </w:rPr>
              <w:t>1.在满足采购需求的基础上，本项目拟派项目组成员中（项目负责人除外）具有一级注册造价工程师</w:t>
            </w:r>
            <w:r>
              <w:rPr>
                <w:rFonts w:hint="eastAsia" w:ascii="宋体" w:hAnsi="宋体" w:eastAsia="宋体" w:cs="宋体"/>
                <w:b w:val="0"/>
                <w:bCs/>
                <w:color w:val="auto"/>
                <w:kern w:val="2"/>
                <w:sz w:val="21"/>
                <w:szCs w:val="21"/>
                <w:highlight w:val="none"/>
                <w:lang w:val="en-US" w:eastAsia="zh-CN"/>
              </w:rPr>
              <w:t>或国家注册造价工程师</w:t>
            </w:r>
            <w:r>
              <w:rPr>
                <w:rFonts w:hint="eastAsia" w:ascii="宋体" w:hAnsi="宋体" w:eastAsia="宋体" w:cs="宋体"/>
                <w:b w:val="0"/>
                <w:bCs/>
                <w:color w:val="auto"/>
                <w:kern w:val="2"/>
                <w:sz w:val="21"/>
                <w:szCs w:val="21"/>
                <w:highlight w:val="none"/>
                <w:lang w:val="zh-CN"/>
              </w:rPr>
              <w:t>的，有1人得</w:t>
            </w:r>
            <w:r>
              <w:rPr>
                <w:rFonts w:hint="eastAsia" w:ascii="宋体" w:hAnsi="宋体" w:eastAsia="宋体" w:cs="宋体"/>
                <w:b w:val="0"/>
                <w:bCs/>
                <w:color w:val="auto"/>
                <w:kern w:val="2"/>
                <w:sz w:val="21"/>
                <w:szCs w:val="21"/>
                <w:highlight w:val="none"/>
                <w:lang w:val="en-US" w:eastAsia="zh-CN"/>
              </w:rPr>
              <w:t>2</w:t>
            </w:r>
            <w:r>
              <w:rPr>
                <w:rFonts w:hint="eastAsia" w:ascii="宋体" w:hAnsi="宋体" w:eastAsia="宋体" w:cs="宋体"/>
                <w:b w:val="0"/>
                <w:bCs/>
                <w:color w:val="auto"/>
                <w:kern w:val="2"/>
                <w:sz w:val="21"/>
                <w:szCs w:val="21"/>
                <w:highlight w:val="none"/>
                <w:lang w:val="zh-CN"/>
              </w:rPr>
              <w:t>分，最高得</w:t>
            </w:r>
            <w:r>
              <w:rPr>
                <w:rFonts w:hint="eastAsia" w:ascii="宋体" w:hAnsi="宋体" w:eastAsia="宋体" w:cs="宋体"/>
                <w:b w:val="0"/>
                <w:bCs/>
                <w:color w:val="auto"/>
                <w:kern w:val="2"/>
                <w:sz w:val="21"/>
                <w:szCs w:val="21"/>
                <w:highlight w:val="none"/>
                <w:lang w:val="en-US" w:eastAsia="zh-CN"/>
              </w:rPr>
              <w:t>10</w:t>
            </w:r>
            <w:r>
              <w:rPr>
                <w:rFonts w:hint="eastAsia" w:ascii="宋体" w:hAnsi="宋体" w:eastAsia="宋体" w:cs="宋体"/>
                <w:b w:val="0"/>
                <w:bCs/>
                <w:color w:val="auto"/>
                <w:kern w:val="2"/>
                <w:sz w:val="21"/>
                <w:szCs w:val="21"/>
                <w:highlight w:val="none"/>
                <w:lang w:val="zh-CN"/>
              </w:rPr>
              <w:t>分。</w:t>
            </w:r>
          </w:p>
          <w:p w14:paraId="1C014612">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b w:val="0"/>
                <w:bCs/>
                <w:color w:val="auto"/>
                <w:kern w:val="2"/>
                <w:sz w:val="21"/>
                <w:szCs w:val="21"/>
                <w:highlight w:val="none"/>
                <w:lang w:val="zh-CN"/>
              </w:rPr>
            </w:pPr>
            <w:r>
              <w:rPr>
                <w:rFonts w:hint="eastAsia" w:ascii="宋体" w:hAnsi="宋体" w:eastAsia="宋体" w:cs="宋体"/>
                <w:b w:val="0"/>
                <w:bCs/>
                <w:color w:val="auto"/>
                <w:kern w:val="2"/>
                <w:sz w:val="21"/>
                <w:szCs w:val="21"/>
                <w:highlight w:val="none"/>
                <w:lang w:val="zh-CN"/>
              </w:rPr>
              <w:t>2.本项目拟派项目组成员中（项目负责人除外）具有工程类高级工程师或以上职称的，有1人得</w:t>
            </w:r>
            <w:r>
              <w:rPr>
                <w:rFonts w:hint="eastAsia" w:ascii="宋体" w:hAnsi="宋体" w:eastAsia="宋体" w:cs="宋体"/>
                <w:b w:val="0"/>
                <w:bCs/>
                <w:color w:val="auto"/>
                <w:kern w:val="2"/>
                <w:sz w:val="21"/>
                <w:szCs w:val="21"/>
                <w:highlight w:val="none"/>
                <w:lang w:val="en-US" w:eastAsia="zh-CN"/>
              </w:rPr>
              <w:t>2</w:t>
            </w:r>
            <w:r>
              <w:rPr>
                <w:rFonts w:hint="eastAsia" w:ascii="宋体" w:hAnsi="宋体" w:eastAsia="宋体" w:cs="宋体"/>
                <w:b w:val="0"/>
                <w:bCs/>
                <w:color w:val="auto"/>
                <w:kern w:val="2"/>
                <w:sz w:val="21"/>
                <w:szCs w:val="21"/>
                <w:highlight w:val="none"/>
                <w:lang w:val="zh-CN"/>
              </w:rPr>
              <w:t>分，最高得</w:t>
            </w:r>
            <w:r>
              <w:rPr>
                <w:rFonts w:hint="eastAsia" w:ascii="宋体" w:hAnsi="宋体" w:eastAsia="宋体" w:cs="宋体"/>
                <w:b w:val="0"/>
                <w:bCs/>
                <w:color w:val="auto"/>
                <w:kern w:val="2"/>
                <w:sz w:val="21"/>
                <w:szCs w:val="21"/>
                <w:highlight w:val="none"/>
                <w:lang w:val="en-US" w:eastAsia="zh-CN"/>
              </w:rPr>
              <w:t>10</w:t>
            </w:r>
            <w:r>
              <w:rPr>
                <w:rFonts w:hint="eastAsia" w:ascii="宋体" w:hAnsi="宋体" w:eastAsia="宋体" w:cs="宋体"/>
                <w:b w:val="0"/>
                <w:bCs/>
                <w:color w:val="auto"/>
                <w:kern w:val="2"/>
                <w:sz w:val="21"/>
                <w:szCs w:val="21"/>
                <w:highlight w:val="none"/>
                <w:lang w:val="zh-CN"/>
              </w:rPr>
              <w:t>分。</w:t>
            </w:r>
          </w:p>
          <w:p w14:paraId="1474721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宋体" w:hAnsi="宋体" w:eastAsia="宋体" w:cs="宋体"/>
                <w:b/>
                <w:color w:val="auto"/>
                <w:kern w:val="2"/>
                <w:sz w:val="21"/>
                <w:szCs w:val="21"/>
                <w:highlight w:val="none"/>
                <w:lang w:val="zh-CN"/>
              </w:rPr>
            </w:pPr>
            <w:r>
              <w:rPr>
                <w:rFonts w:hint="eastAsia" w:ascii="宋体" w:hAnsi="宋体" w:eastAsia="宋体" w:cs="宋体"/>
                <w:b/>
                <w:color w:val="auto"/>
                <w:kern w:val="2"/>
                <w:sz w:val="21"/>
                <w:szCs w:val="21"/>
                <w:highlight w:val="none"/>
                <w:lang w:val="zh-CN"/>
              </w:rPr>
              <w:t>注：</w:t>
            </w:r>
          </w:p>
          <w:p w14:paraId="309321F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right="0" w:rightChars="0"/>
              <w:textAlignment w:val="auto"/>
              <w:rPr>
                <w:rFonts w:hint="eastAsia" w:ascii="宋体" w:hAnsi="宋体" w:eastAsia="宋体" w:cs="宋体"/>
                <w:b/>
                <w:color w:val="auto"/>
                <w:kern w:val="2"/>
                <w:sz w:val="21"/>
                <w:szCs w:val="21"/>
                <w:highlight w:val="none"/>
                <w:lang w:val="zh-CN"/>
              </w:rPr>
            </w:pPr>
            <w:r>
              <w:rPr>
                <w:rFonts w:hint="eastAsia" w:ascii="宋体" w:hAnsi="宋体" w:eastAsia="宋体" w:cs="宋体"/>
                <w:b/>
                <w:color w:val="auto"/>
                <w:kern w:val="2"/>
                <w:sz w:val="21"/>
                <w:szCs w:val="21"/>
                <w:highlight w:val="none"/>
                <w:lang w:val="zh-CN"/>
              </w:rPr>
              <w:t>（</w:t>
            </w:r>
            <w:r>
              <w:rPr>
                <w:rFonts w:hint="eastAsia" w:ascii="宋体" w:hAnsi="宋体" w:eastAsia="宋体" w:cs="宋体"/>
                <w:b/>
                <w:color w:val="auto"/>
                <w:kern w:val="2"/>
                <w:sz w:val="21"/>
                <w:szCs w:val="21"/>
                <w:highlight w:val="none"/>
                <w:lang w:val="en-US" w:eastAsia="zh-CN"/>
              </w:rPr>
              <w:t>1）提供注册证书、职称证书</w:t>
            </w:r>
            <w:r>
              <w:rPr>
                <w:rFonts w:hint="eastAsia" w:ascii="宋体" w:hAnsi="宋体" w:eastAsia="宋体" w:cs="宋体"/>
                <w:b/>
                <w:color w:val="auto"/>
                <w:kern w:val="2"/>
                <w:sz w:val="21"/>
                <w:szCs w:val="21"/>
                <w:highlight w:val="none"/>
                <w:lang w:val="zh-CN"/>
              </w:rPr>
              <w:t>；</w:t>
            </w:r>
          </w:p>
          <w:p w14:paraId="7721182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right="0" w:rightChars="0"/>
              <w:textAlignment w:val="auto"/>
              <w:rPr>
                <w:rFonts w:hint="eastAsia" w:ascii="宋体" w:hAnsi="宋体" w:eastAsia="宋体" w:cs="宋体"/>
                <w:b/>
                <w:color w:val="auto"/>
                <w:kern w:val="2"/>
                <w:sz w:val="21"/>
                <w:szCs w:val="21"/>
                <w:highlight w:val="none"/>
                <w:lang w:val="zh-CN"/>
              </w:rPr>
            </w:pPr>
            <w:r>
              <w:rPr>
                <w:rFonts w:hint="eastAsia" w:ascii="宋体" w:hAnsi="宋体" w:eastAsia="宋体" w:cs="宋体"/>
                <w:b/>
                <w:color w:val="auto"/>
                <w:kern w:val="2"/>
                <w:sz w:val="21"/>
                <w:szCs w:val="21"/>
                <w:highlight w:val="none"/>
                <w:lang w:val="zh-CN"/>
              </w:rPr>
              <w:t>（</w:t>
            </w:r>
            <w:r>
              <w:rPr>
                <w:rFonts w:hint="eastAsia" w:ascii="宋体" w:hAnsi="宋体" w:eastAsia="宋体" w:cs="宋体"/>
                <w:b/>
                <w:color w:val="auto"/>
                <w:kern w:val="2"/>
                <w:sz w:val="21"/>
                <w:szCs w:val="21"/>
                <w:highlight w:val="none"/>
                <w:lang w:val="en-US" w:eastAsia="zh-CN"/>
              </w:rPr>
              <w:t>2）</w:t>
            </w:r>
            <w:r>
              <w:rPr>
                <w:rFonts w:hint="default" w:asciiTheme="minorEastAsia" w:hAnsiTheme="minorEastAsia" w:eastAsiaTheme="minorEastAsia" w:cstheme="minorEastAsia"/>
                <w:b/>
                <w:color w:val="auto"/>
                <w:kern w:val="2"/>
                <w:sz w:val="21"/>
                <w:szCs w:val="21"/>
                <w:highlight w:val="none"/>
                <w:lang w:val="en-US" w:eastAsia="zh-CN"/>
              </w:rPr>
              <w:t>上述</w:t>
            </w:r>
            <w:r>
              <w:rPr>
                <w:rFonts w:hint="eastAsia" w:asciiTheme="minorEastAsia" w:hAnsiTheme="minorEastAsia" w:eastAsiaTheme="minorEastAsia" w:cstheme="minorEastAsia"/>
                <w:b/>
                <w:color w:val="auto"/>
                <w:kern w:val="2"/>
                <w:sz w:val="21"/>
                <w:szCs w:val="21"/>
                <w:highlight w:val="none"/>
                <w:lang w:val="zh-CN" w:eastAsia="zh-CN"/>
              </w:rPr>
              <w:t>拟派项目组成员（项目负责人除外）</w:t>
            </w:r>
            <w:r>
              <w:rPr>
                <w:rFonts w:hint="eastAsia" w:asciiTheme="minorEastAsia" w:hAnsiTheme="minorEastAsia" w:eastAsiaTheme="minorEastAsia" w:cstheme="minorEastAsia"/>
                <w:b/>
                <w:color w:val="auto"/>
                <w:kern w:val="2"/>
                <w:sz w:val="21"/>
                <w:szCs w:val="21"/>
                <w:highlight w:val="none"/>
                <w:lang w:val="en-US" w:eastAsia="zh-CN"/>
              </w:rPr>
              <w:t>打</w:t>
            </w:r>
            <w:r>
              <w:rPr>
                <w:rFonts w:hint="default" w:asciiTheme="minorEastAsia" w:hAnsiTheme="minorEastAsia" w:eastAsiaTheme="minorEastAsia" w:cstheme="minorEastAsia"/>
                <w:b/>
                <w:color w:val="auto"/>
                <w:kern w:val="2"/>
                <w:sz w:val="21"/>
                <w:szCs w:val="21"/>
                <w:highlight w:val="none"/>
                <w:lang w:val="en-US" w:eastAsia="zh-CN"/>
              </w:rPr>
              <w:t>分</w:t>
            </w:r>
            <w:r>
              <w:rPr>
                <w:rFonts w:hint="eastAsia" w:asciiTheme="minorEastAsia" w:hAnsiTheme="minorEastAsia" w:eastAsiaTheme="minorEastAsia" w:cstheme="minorEastAsia"/>
                <w:b/>
                <w:color w:val="auto"/>
                <w:kern w:val="2"/>
                <w:sz w:val="21"/>
                <w:szCs w:val="21"/>
                <w:highlight w:val="none"/>
                <w:lang w:val="en-US" w:eastAsia="zh-CN"/>
              </w:rPr>
              <w:t>项</w:t>
            </w:r>
            <w:r>
              <w:rPr>
                <w:rFonts w:hint="default" w:asciiTheme="minorEastAsia" w:hAnsiTheme="minorEastAsia" w:eastAsiaTheme="minorEastAsia" w:cstheme="minorEastAsia"/>
                <w:b/>
                <w:color w:val="auto"/>
                <w:kern w:val="2"/>
                <w:sz w:val="21"/>
                <w:szCs w:val="21"/>
                <w:highlight w:val="none"/>
                <w:lang w:val="en-US" w:eastAsia="zh-CN"/>
              </w:rPr>
              <w:t>仅</w:t>
            </w:r>
            <w:r>
              <w:rPr>
                <w:rFonts w:hint="eastAsia" w:asciiTheme="minorEastAsia" w:hAnsiTheme="minorEastAsia" w:eastAsiaTheme="minorEastAsia" w:cstheme="minorEastAsia"/>
                <w:b/>
                <w:color w:val="auto"/>
                <w:kern w:val="2"/>
                <w:sz w:val="21"/>
                <w:szCs w:val="21"/>
                <w:highlight w:val="none"/>
                <w:lang w:val="en-US" w:eastAsia="zh-CN"/>
              </w:rPr>
              <w:t>针对</w:t>
            </w:r>
            <w:r>
              <w:rPr>
                <w:rFonts w:hint="default" w:asciiTheme="minorEastAsia" w:hAnsiTheme="minorEastAsia" w:eastAsiaTheme="minorEastAsia" w:cstheme="minorEastAsia"/>
                <w:b/>
                <w:color w:val="auto"/>
                <w:kern w:val="2"/>
                <w:sz w:val="21"/>
                <w:szCs w:val="21"/>
                <w:highlight w:val="none"/>
                <w:lang w:val="en-US" w:eastAsia="zh-CN"/>
              </w:rPr>
              <w:t>资格审查所拟派的</w:t>
            </w:r>
            <w:r>
              <w:rPr>
                <w:rFonts w:hint="eastAsia" w:asciiTheme="minorEastAsia" w:hAnsiTheme="minorEastAsia" w:eastAsiaTheme="minorEastAsia" w:cstheme="minorEastAsia"/>
                <w:b/>
                <w:color w:val="auto"/>
                <w:kern w:val="2"/>
                <w:sz w:val="21"/>
                <w:szCs w:val="21"/>
                <w:highlight w:val="none"/>
                <w:lang w:val="en-US" w:eastAsia="zh-CN"/>
              </w:rPr>
              <w:t>项目组组成人员</w:t>
            </w:r>
            <w:r>
              <w:rPr>
                <w:rFonts w:hint="eastAsia" w:asciiTheme="minorEastAsia" w:hAnsiTheme="minorEastAsia" w:eastAsiaTheme="minorEastAsia" w:cstheme="minorEastAsia"/>
                <w:b/>
                <w:color w:val="auto"/>
                <w:kern w:val="2"/>
                <w:sz w:val="21"/>
                <w:szCs w:val="21"/>
                <w:highlight w:val="none"/>
                <w:lang w:val="zh-CN" w:eastAsia="zh-CN"/>
              </w:rPr>
              <w:t>。</w:t>
            </w:r>
          </w:p>
        </w:tc>
        <w:tc>
          <w:tcPr>
            <w:tcW w:w="478" w:type="pct"/>
            <w:noWrap w:val="0"/>
            <w:vAlign w:val="center"/>
          </w:tcPr>
          <w:p w14:paraId="0C4FE3CE">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default" w:ascii="宋体" w:hAnsi="宋体" w:eastAsia="宋体" w:cs="宋体"/>
                <w:b/>
                <w:color w:val="auto"/>
                <w:kern w:val="2"/>
                <w:sz w:val="21"/>
                <w:szCs w:val="21"/>
                <w:highlight w:val="none"/>
                <w:lang w:val="en-US" w:eastAsia="zh-CN"/>
              </w:rPr>
            </w:pPr>
            <w:r>
              <w:rPr>
                <w:rFonts w:hint="eastAsia" w:ascii="宋体" w:hAnsi="宋体" w:eastAsia="宋体" w:cs="宋体"/>
                <w:b/>
                <w:color w:val="auto"/>
                <w:kern w:val="2"/>
                <w:sz w:val="21"/>
                <w:szCs w:val="21"/>
                <w:highlight w:val="none"/>
                <w:lang w:val="en-US" w:eastAsia="zh-CN"/>
              </w:rPr>
              <w:t>20</w:t>
            </w:r>
          </w:p>
        </w:tc>
      </w:tr>
      <w:tr w14:paraId="16ED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636" w:hRule="atLeast"/>
          <w:jc w:val="center"/>
        </w:trPr>
        <w:tc>
          <w:tcPr>
            <w:tcW w:w="488" w:type="pct"/>
            <w:noWrap w:val="0"/>
            <w:vAlign w:val="center"/>
          </w:tcPr>
          <w:p w14:paraId="47090CAC">
            <w:pPr>
              <w:pageBreakBefore w:val="0"/>
              <w:widowControl w:val="0"/>
              <w:kinsoku/>
              <w:wordWrap/>
              <w:topLinePunct w:val="0"/>
              <w:autoSpaceDE/>
              <w:autoSpaceDN/>
              <w:bidi w:val="0"/>
              <w:adjustRightInd/>
              <w:snapToGrid/>
              <w:spacing w:line="360" w:lineRule="exact"/>
              <w:ind w:left="0" w:leftChars="0" w:right="0" w:rightChars="0" w:firstLine="105" w:firstLineChars="5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724" w:type="pct"/>
            <w:tcBorders>
              <w:bottom w:val="single" w:color="auto" w:sz="4" w:space="0"/>
            </w:tcBorders>
            <w:noWrap w:val="0"/>
            <w:vAlign w:val="center"/>
          </w:tcPr>
          <w:p w14:paraId="11E979A5">
            <w:pPr>
              <w:pageBreakBefore w:val="0"/>
              <w:widowControl w:val="0"/>
              <w:kinsoku/>
              <w:wordWrap/>
              <w:topLinePunct w:val="0"/>
              <w:autoSpaceDE/>
              <w:autoSpaceDN/>
              <w:bidi w:val="0"/>
              <w:adjustRightInd/>
              <w:snapToGrid/>
              <w:spacing w:line="360" w:lineRule="exact"/>
              <w:ind w:left="0" w:leftChars="0" w:right="0" w:rightChars="0"/>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项目负责人及项目组成员编审业绩</w:t>
            </w:r>
          </w:p>
        </w:tc>
        <w:tc>
          <w:tcPr>
            <w:tcW w:w="3308" w:type="pct"/>
            <w:tcBorders>
              <w:bottom w:val="single" w:color="auto" w:sz="4" w:space="0"/>
            </w:tcBorders>
            <w:noWrap w:val="0"/>
            <w:vAlign w:val="center"/>
          </w:tcPr>
          <w:p w14:paraId="2A620D8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提供</w:t>
            </w:r>
            <w:r>
              <w:rPr>
                <w:rFonts w:hint="eastAsia" w:ascii="宋体" w:hAnsi="宋体" w:eastAsia="宋体" w:cs="宋体"/>
                <w:b/>
                <w:color w:val="auto"/>
                <w:sz w:val="21"/>
                <w:szCs w:val="21"/>
                <w:highlight w:val="none"/>
                <w:lang w:val="en-US" w:eastAsia="zh-CN"/>
              </w:rPr>
              <w:t>拟派参审人员</w:t>
            </w:r>
            <w:r>
              <w:rPr>
                <w:rFonts w:hint="eastAsia" w:ascii="宋体" w:hAnsi="宋体" w:eastAsia="宋体" w:cs="宋体"/>
                <w:b/>
                <w:color w:val="auto"/>
                <w:sz w:val="21"/>
                <w:szCs w:val="21"/>
                <w:highlight w:val="none"/>
              </w:rPr>
              <w:t>202</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lang w:val="zh-CN"/>
              </w:rPr>
              <w:t>年1月1日以来的业绩(需同时为投标单位业绩)</w:t>
            </w:r>
          </w:p>
          <w:p w14:paraId="789EAB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eastAsia="宋体" w:cs="宋体"/>
                <w:b w:val="0"/>
                <w:bCs w:val="0"/>
                <w:color w:val="auto"/>
                <w:kern w:val="2"/>
                <w:sz w:val="21"/>
                <w:szCs w:val="21"/>
                <w:highlight w:val="none"/>
                <w:lang w:val="zh-CN" w:eastAsia="zh-CN" w:bidi="ar-SA"/>
              </w:rPr>
              <w:t>提供的业绩中，凡有政府</w:t>
            </w:r>
            <w:r>
              <w:rPr>
                <w:rFonts w:hint="eastAsia" w:ascii="宋体" w:hAnsi="宋体" w:eastAsia="宋体" w:cs="宋体"/>
                <w:b w:val="0"/>
                <w:bCs w:val="0"/>
                <w:color w:val="auto"/>
                <w:kern w:val="2"/>
                <w:sz w:val="21"/>
                <w:szCs w:val="21"/>
                <w:highlight w:val="none"/>
                <w:lang w:val="en-US" w:eastAsia="zh-CN" w:bidi="ar-SA"/>
              </w:rPr>
              <w:t>委托</w:t>
            </w:r>
            <w:r>
              <w:rPr>
                <w:rFonts w:hint="eastAsia" w:ascii="宋体" w:hAnsi="宋体" w:eastAsia="宋体" w:cs="宋体"/>
                <w:b w:val="0"/>
                <w:bCs w:val="0"/>
                <w:color w:val="auto"/>
                <w:kern w:val="2"/>
                <w:sz w:val="21"/>
                <w:szCs w:val="21"/>
                <w:highlight w:val="none"/>
                <w:lang w:val="zh-CN" w:eastAsia="zh-CN" w:bidi="ar-SA"/>
              </w:rPr>
              <w:t>的1亿元以上土建工程</w:t>
            </w:r>
            <w:r>
              <w:rPr>
                <w:rFonts w:hint="eastAsia" w:ascii="宋体" w:hAnsi="宋体" w:eastAsia="宋体" w:cs="宋体"/>
                <w:b w:val="0"/>
                <w:bCs w:val="0"/>
                <w:color w:val="auto"/>
                <w:kern w:val="2"/>
                <w:sz w:val="21"/>
                <w:szCs w:val="21"/>
                <w:highlight w:val="none"/>
                <w:lang w:val="en-US" w:eastAsia="zh-CN" w:bidi="ar-SA"/>
              </w:rPr>
              <w:t>或</w:t>
            </w:r>
            <w:r>
              <w:rPr>
                <w:rFonts w:hint="eastAsia" w:ascii="宋体" w:hAnsi="宋体" w:eastAsia="宋体" w:cs="宋体"/>
                <w:b w:val="0"/>
                <w:bCs w:val="0"/>
                <w:color w:val="auto"/>
                <w:kern w:val="2"/>
                <w:sz w:val="21"/>
                <w:szCs w:val="21"/>
                <w:highlight w:val="none"/>
                <w:lang w:val="zh-CN" w:eastAsia="zh-CN" w:bidi="ar-SA"/>
              </w:rPr>
              <w:t>2000万元以上的安装</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装饰</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市政</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供电</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园林绿化工程</w:t>
            </w:r>
            <w:r>
              <w:rPr>
                <w:rFonts w:hint="eastAsia" w:ascii="宋体" w:hAnsi="宋体" w:eastAsia="宋体" w:cs="宋体"/>
                <w:b/>
                <w:bCs/>
                <w:color w:val="auto"/>
                <w:kern w:val="2"/>
                <w:sz w:val="21"/>
                <w:szCs w:val="21"/>
                <w:highlight w:val="none"/>
                <w:u w:val="single"/>
                <w:lang w:val="en-US" w:eastAsia="zh-CN" w:bidi="ar-SA"/>
              </w:rPr>
              <w:t>其中一类</w:t>
            </w:r>
            <w:r>
              <w:rPr>
                <w:rFonts w:hint="eastAsia" w:ascii="宋体" w:hAnsi="宋体" w:eastAsia="宋体" w:cs="宋体"/>
                <w:b w:val="0"/>
                <w:bCs w:val="0"/>
                <w:color w:val="auto"/>
                <w:kern w:val="2"/>
                <w:sz w:val="21"/>
                <w:szCs w:val="21"/>
                <w:highlight w:val="none"/>
                <w:lang w:val="en-US" w:eastAsia="zh-CN" w:bidi="ar-SA"/>
              </w:rPr>
              <w:t>的</w:t>
            </w:r>
            <w:r>
              <w:rPr>
                <w:rFonts w:hint="eastAsia" w:ascii="宋体" w:hAnsi="宋体" w:eastAsia="宋体" w:cs="宋体"/>
                <w:b w:val="0"/>
                <w:bCs w:val="0"/>
                <w:color w:val="auto"/>
                <w:kern w:val="2"/>
                <w:sz w:val="21"/>
                <w:szCs w:val="21"/>
                <w:highlight w:val="none"/>
                <w:lang w:val="zh-CN" w:eastAsia="zh-CN" w:bidi="ar-SA"/>
              </w:rPr>
              <w:t>标底审计业绩，有一个得1分，本小项最多得</w:t>
            </w: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zh-CN" w:eastAsia="zh-CN" w:bidi="ar-SA"/>
              </w:rPr>
              <w:t>分。</w:t>
            </w:r>
          </w:p>
          <w:p w14:paraId="1CE9B9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zh-CN" w:eastAsia="zh-CN" w:bidi="ar-SA"/>
              </w:rPr>
              <w:t>提供的业绩中，凡有政府</w:t>
            </w:r>
            <w:r>
              <w:rPr>
                <w:rFonts w:hint="eastAsia" w:ascii="宋体" w:hAnsi="宋体" w:eastAsia="宋体" w:cs="宋体"/>
                <w:b w:val="0"/>
                <w:bCs w:val="0"/>
                <w:color w:val="auto"/>
                <w:kern w:val="2"/>
                <w:sz w:val="21"/>
                <w:szCs w:val="21"/>
                <w:highlight w:val="none"/>
                <w:lang w:val="en-US" w:eastAsia="zh-CN" w:bidi="ar-SA"/>
              </w:rPr>
              <w:t>委托</w:t>
            </w:r>
            <w:r>
              <w:rPr>
                <w:rFonts w:hint="eastAsia" w:ascii="宋体" w:hAnsi="宋体" w:eastAsia="宋体" w:cs="宋体"/>
                <w:b w:val="0"/>
                <w:bCs w:val="0"/>
                <w:color w:val="auto"/>
                <w:kern w:val="2"/>
                <w:sz w:val="21"/>
                <w:szCs w:val="21"/>
                <w:highlight w:val="none"/>
                <w:lang w:val="zh-CN" w:eastAsia="zh-CN" w:bidi="ar-SA"/>
              </w:rPr>
              <w:t>的1亿以上土建工程</w:t>
            </w:r>
            <w:r>
              <w:rPr>
                <w:rFonts w:hint="eastAsia" w:ascii="宋体" w:hAnsi="宋体" w:eastAsia="宋体" w:cs="宋体"/>
                <w:b w:val="0"/>
                <w:bCs w:val="0"/>
                <w:color w:val="auto"/>
                <w:kern w:val="2"/>
                <w:sz w:val="21"/>
                <w:szCs w:val="21"/>
                <w:highlight w:val="none"/>
                <w:lang w:val="en-US" w:eastAsia="zh-CN" w:bidi="ar-SA"/>
              </w:rPr>
              <w:t>或</w:t>
            </w:r>
            <w:r>
              <w:rPr>
                <w:rFonts w:hint="eastAsia" w:ascii="宋体" w:hAnsi="宋体" w:eastAsia="宋体" w:cs="宋体"/>
                <w:b w:val="0"/>
                <w:bCs w:val="0"/>
                <w:color w:val="auto"/>
                <w:kern w:val="2"/>
                <w:sz w:val="21"/>
                <w:szCs w:val="21"/>
                <w:highlight w:val="none"/>
                <w:lang w:val="zh-CN" w:eastAsia="zh-CN" w:bidi="ar-SA"/>
              </w:rPr>
              <w:t>2000万元以上的安装</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装饰</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市政</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供电</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园林绿化工程</w:t>
            </w:r>
            <w:r>
              <w:rPr>
                <w:rFonts w:hint="eastAsia" w:ascii="宋体" w:hAnsi="宋体" w:eastAsia="宋体" w:cs="宋体"/>
                <w:b/>
                <w:bCs/>
                <w:color w:val="auto"/>
                <w:kern w:val="2"/>
                <w:sz w:val="21"/>
                <w:szCs w:val="21"/>
                <w:highlight w:val="none"/>
                <w:u w:val="single"/>
                <w:lang w:val="en-US" w:eastAsia="zh-CN" w:bidi="ar-SA"/>
              </w:rPr>
              <w:t>其中一类</w:t>
            </w:r>
            <w:r>
              <w:rPr>
                <w:rFonts w:hint="eastAsia" w:ascii="宋体" w:hAnsi="宋体" w:eastAsia="宋体" w:cs="宋体"/>
                <w:b w:val="0"/>
                <w:bCs w:val="0"/>
                <w:color w:val="auto"/>
                <w:kern w:val="2"/>
                <w:sz w:val="21"/>
                <w:szCs w:val="21"/>
                <w:highlight w:val="none"/>
                <w:lang w:val="en-US" w:eastAsia="zh-CN" w:bidi="ar-SA"/>
              </w:rPr>
              <w:t>的</w:t>
            </w:r>
            <w:r>
              <w:rPr>
                <w:rFonts w:hint="eastAsia" w:ascii="宋体" w:hAnsi="宋体" w:eastAsia="宋体" w:cs="宋体"/>
                <w:b w:val="0"/>
                <w:bCs w:val="0"/>
                <w:color w:val="auto"/>
                <w:kern w:val="2"/>
                <w:sz w:val="21"/>
                <w:szCs w:val="21"/>
                <w:highlight w:val="none"/>
                <w:lang w:val="zh-CN" w:eastAsia="zh-CN" w:bidi="ar-SA"/>
              </w:rPr>
              <w:t>结算审计业绩，有一个得1分，本小项最多得1</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zh-CN" w:eastAsia="zh-CN" w:bidi="ar-SA"/>
              </w:rPr>
              <w:t>分。</w:t>
            </w:r>
          </w:p>
          <w:p w14:paraId="768CEDA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zh-CN" w:eastAsia="zh-CN" w:bidi="ar-SA"/>
              </w:rPr>
              <w:t>提供的业绩中，凡有政府</w:t>
            </w:r>
            <w:r>
              <w:rPr>
                <w:rFonts w:hint="eastAsia" w:ascii="宋体" w:hAnsi="宋体" w:eastAsia="宋体" w:cs="宋体"/>
                <w:b w:val="0"/>
                <w:bCs w:val="0"/>
                <w:color w:val="auto"/>
                <w:kern w:val="2"/>
                <w:sz w:val="21"/>
                <w:szCs w:val="21"/>
                <w:highlight w:val="none"/>
                <w:lang w:val="en-US" w:eastAsia="zh-CN" w:bidi="ar-SA"/>
              </w:rPr>
              <w:t>委托</w:t>
            </w:r>
            <w:r>
              <w:rPr>
                <w:rFonts w:hint="eastAsia" w:ascii="宋体" w:hAnsi="宋体" w:eastAsia="宋体" w:cs="宋体"/>
                <w:b w:val="0"/>
                <w:bCs w:val="0"/>
                <w:color w:val="auto"/>
                <w:kern w:val="2"/>
                <w:sz w:val="21"/>
                <w:szCs w:val="21"/>
                <w:highlight w:val="none"/>
                <w:lang w:val="zh-CN" w:eastAsia="zh-CN" w:bidi="ar-SA"/>
              </w:rPr>
              <w:t>的</w:t>
            </w:r>
            <w:r>
              <w:rPr>
                <w:rFonts w:hint="eastAsia" w:ascii="宋体" w:hAnsi="宋体" w:eastAsia="宋体" w:cs="宋体"/>
                <w:b w:val="0"/>
                <w:bCs w:val="0"/>
                <w:color w:val="auto"/>
                <w:kern w:val="2"/>
                <w:sz w:val="21"/>
                <w:szCs w:val="21"/>
                <w:highlight w:val="none"/>
                <w:lang w:val="en-US" w:eastAsia="zh-CN" w:bidi="ar-SA"/>
              </w:rPr>
              <w:t>5000</w:t>
            </w:r>
            <w:r>
              <w:rPr>
                <w:rFonts w:hint="eastAsia" w:ascii="宋体" w:hAnsi="宋体" w:eastAsia="宋体" w:cs="宋体"/>
                <w:b w:val="0"/>
                <w:bCs w:val="0"/>
                <w:color w:val="auto"/>
                <w:kern w:val="2"/>
                <w:sz w:val="21"/>
                <w:szCs w:val="21"/>
                <w:highlight w:val="none"/>
                <w:lang w:val="zh-CN" w:eastAsia="zh-CN" w:bidi="ar-SA"/>
              </w:rPr>
              <w:t>万元以上土建</w:t>
            </w:r>
            <w:r>
              <w:rPr>
                <w:rFonts w:hint="eastAsia" w:ascii="宋体" w:hAnsi="宋体" w:eastAsia="宋体" w:cs="宋体"/>
                <w:b w:val="0"/>
                <w:bCs w:val="0"/>
                <w:color w:val="auto"/>
                <w:kern w:val="2"/>
                <w:sz w:val="21"/>
                <w:szCs w:val="21"/>
                <w:highlight w:val="none"/>
                <w:lang w:val="en-US" w:eastAsia="zh-CN" w:bidi="ar-SA"/>
              </w:rPr>
              <w:t>工程或1000万元以上</w:t>
            </w:r>
            <w:r>
              <w:rPr>
                <w:rFonts w:hint="eastAsia" w:ascii="宋体" w:hAnsi="宋体" w:eastAsia="宋体" w:cs="宋体"/>
                <w:b w:val="0"/>
                <w:bCs w:val="0"/>
                <w:color w:val="auto"/>
                <w:kern w:val="2"/>
                <w:sz w:val="21"/>
                <w:szCs w:val="21"/>
                <w:highlight w:val="none"/>
                <w:lang w:val="zh-CN" w:eastAsia="zh-CN" w:bidi="ar-SA"/>
              </w:rPr>
              <w:t>安装</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装饰</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市政</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供电</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zh-CN" w:eastAsia="zh-CN" w:bidi="ar-SA"/>
              </w:rPr>
              <w:t>园林绿化工程</w:t>
            </w:r>
            <w:r>
              <w:rPr>
                <w:rFonts w:hint="eastAsia" w:ascii="宋体" w:hAnsi="宋体" w:eastAsia="宋体" w:cs="宋体"/>
                <w:b/>
                <w:bCs/>
                <w:color w:val="auto"/>
                <w:kern w:val="2"/>
                <w:sz w:val="21"/>
                <w:szCs w:val="21"/>
                <w:highlight w:val="none"/>
                <w:u w:val="single"/>
                <w:lang w:val="en-US" w:eastAsia="zh-CN" w:bidi="ar-SA"/>
              </w:rPr>
              <w:t>其中一类</w:t>
            </w:r>
            <w:r>
              <w:rPr>
                <w:rFonts w:hint="eastAsia" w:ascii="宋体" w:hAnsi="宋体" w:eastAsia="宋体" w:cs="宋体"/>
                <w:b w:val="0"/>
                <w:bCs w:val="0"/>
                <w:color w:val="auto"/>
                <w:kern w:val="2"/>
                <w:sz w:val="21"/>
                <w:szCs w:val="21"/>
                <w:highlight w:val="none"/>
                <w:lang w:val="zh-CN" w:eastAsia="zh-CN" w:bidi="ar-SA"/>
              </w:rPr>
              <w:t>的跟踪审计业绩，有一个得</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zh-CN" w:eastAsia="zh-CN" w:bidi="ar-SA"/>
              </w:rPr>
              <w:t>分，本小项最多得</w:t>
            </w: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zh-CN" w:eastAsia="zh-CN" w:bidi="ar-SA"/>
              </w:rPr>
              <w:t>分。</w:t>
            </w:r>
          </w:p>
          <w:p w14:paraId="60A7DCCC">
            <w:pPr>
              <w:pStyle w:val="2"/>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zh-CN" w:eastAsia="zh-CN" w:bidi="ar-SA"/>
              </w:rPr>
              <w:t>（</w:t>
            </w:r>
            <w:r>
              <w:rPr>
                <w:rFonts w:hint="eastAsia" w:ascii="宋体" w:hAnsi="宋体" w:eastAsia="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zh-CN" w:eastAsia="zh-CN" w:bidi="ar-SA"/>
              </w:rPr>
              <w:t>）</w:t>
            </w:r>
            <w:r>
              <w:rPr>
                <w:rFonts w:hint="eastAsia" w:ascii="宋体" w:hAnsi="宋体" w:eastAsia="宋体" w:cs="宋体"/>
                <w:b w:val="0"/>
                <w:bCs w:val="0"/>
                <w:color w:val="auto"/>
                <w:kern w:val="2"/>
                <w:sz w:val="21"/>
                <w:szCs w:val="21"/>
                <w:highlight w:val="none"/>
                <w:lang w:val="en-US" w:eastAsia="zh-CN" w:bidi="ar-SA"/>
              </w:rPr>
              <w:t>提供的业绩中，凡有政府委托的公共建筑或厂房，1亿元以上土建项目或2000万元以上装饰或安装工程的标底审计或结算审计业绩，有一个得</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分，本小项最多得</w:t>
            </w: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分。</w:t>
            </w:r>
          </w:p>
          <w:p w14:paraId="3563F9C2">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default" w:ascii="宋体" w:hAnsi="宋体" w:eastAsia="宋体" w:cs="宋体"/>
                <w:b/>
                <w:color w:val="auto"/>
                <w:kern w:val="2"/>
                <w:sz w:val="21"/>
                <w:szCs w:val="21"/>
                <w:highlight w:val="none"/>
                <w:lang w:val="en-US" w:eastAsia="zh-CN"/>
              </w:rPr>
            </w:pPr>
            <w:r>
              <w:rPr>
                <w:rFonts w:hint="eastAsia" w:ascii="宋体" w:hAnsi="宋体" w:eastAsia="宋体" w:cs="宋体"/>
                <w:b/>
                <w:color w:val="auto"/>
                <w:kern w:val="2"/>
                <w:sz w:val="21"/>
                <w:szCs w:val="21"/>
                <w:highlight w:val="none"/>
                <w:lang w:val="en-US" w:eastAsia="zh-CN"/>
              </w:rPr>
              <w:t>备注：</w:t>
            </w:r>
          </w:p>
          <w:p w14:paraId="70EBA7B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（1）标底：指招标控制价或施工图预算。</w:t>
            </w:r>
          </w:p>
          <w:p w14:paraId="0FC2986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（2）项目业绩以结果报告出具时间列入统计，须同时提供咨询合同、咨询成果报告（符合执业规范）及经委托方盖章的业绩证明（能够反映项目规模、委托单位和委托时间）。</w:t>
            </w:r>
          </w:p>
          <w:p w14:paraId="770AB71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b w:val="0"/>
                <w:bCs w:val="0"/>
                <w:color w:val="auto"/>
                <w:kern w:val="2"/>
                <w:sz w:val="21"/>
                <w:szCs w:val="21"/>
                <w:highlight w:val="none"/>
                <w:lang w:val="zh-CN" w:eastAsia="zh-CN" w:bidi="ar-SA"/>
              </w:rPr>
              <w:t>（</w:t>
            </w: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zh-CN" w:eastAsia="zh-CN" w:bidi="ar-SA"/>
              </w:rPr>
              <w:t>如同一个项目具备土建、安装、装饰等多专业的，可按专业进行划分，业绩金额为对应专业金额，分割后的业绩需得到原业主认可并提供相关证明材料。</w:t>
            </w:r>
          </w:p>
          <w:p w14:paraId="0973EE3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r>
              <w:rPr>
                <w:rFonts w:hint="default" w:ascii="宋体" w:hAnsi="宋体" w:eastAsia="宋体" w:cs="宋体"/>
                <w:b/>
                <w:bCs/>
                <w:color w:val="auto"/>
                <w:kern w:val="2"/>
                <w:sz w:val="21"/>
                <w:szCs w:val="21"/>
                <w:highlight w:val="none"/>
                <w:lang w:val="en-US" w:eastAsia="zh-CN" w:bidi="ar-SA"/>
              </w:rPr>
              <w:t>上述</w:t>
            </w:r>
            <w:r>
              <w:rPr>
                <w:rFonts w:hint="eastAsia" w:ascii="宋体" w:hAnsi="宋体" w:eastAsia="宋体" w:cs="宋体"/>
                <w:b/>
                <w:bCs/>
                <w:color w:val="auto"/>
                <w:kern w:val="2"/>
                <w:sz w:val="21"/>
                <w:szCs w:val="21"/>
                <w:highlight w:val="none"/>
                <w:lang w:val="en-US" w:eastAsia="zh-CN" w:bidi="ar-SA"/>
              </w:rPr>
              <w:t>业绩打</w:t>
            </w:r>
            <w:r>
              <w:rPr>
                <w:rFonts w:hint="default" w:ascii="宋体" w:hAnsi="宋体" w:eastAsia="宋体" w:cs="宋体"/>
                <w:b/>
                <w:bCs/>
                <w:color w:val="auto"/>
                <w:kern w:val="2"/>
                <w:sz w:val="21"/>
                <w:szCs w:val="21"/>
                <w:highlight w:val="none"/>
                <w:lang w:val="en-US" w:eastAsia="zh-CN" w:bidi="ar-SA"/>
              </w:rPr>
              <w:t>分</w:t>
            </w:r>
            <w:r>
              <w:rPr>
                <w:rFonts w:hint="eastAsia" w:ascii="宋体" w:hAnsi="宋体" w:eastAsia="宋体" w:cs="宋体"/>
                <w:b/>
                <w:bCs/>
                <w:color w:val="auto"/>
                <w:kern w:val="2"/>
                <w:sz w:val="21"/>
                <w:szCs w:val="21"/>
                <w:highlight w:val="none"/>
                <w:lang w:val="en-US" w:eastAsia="zh-CN" w:bidi="ar-SA"/>
              </w:rPr>
              <w:t>项</w:t>
            </w:r>
            <w:r>
              <w:rPr>
                <w:rFonts w:hint="default" w:ascii="宋体" w:hAnsi="宋体" w:eastAsia="宋体" w:cs="宋体"/>
                <w:b/>
                <w:bCs/>
                <w:color w:val="auto"/>
                <w:kern w:val="2"/>
                <w:sz w:val="21"/>
                <w:szCs w:val="21"/>
                <w:highlight w:val="none"/>
                <w:lang w:val="en-US" w:eastAsia="zh-CN" w:bidi="ar-SA"/>
              </w:rPr>
              <w:t>仅</w:t>
            </w:r>
            <w:r>
              <w:rPr>
                <w:rFonts w:hint="eastAsia" w:ascii="宋体" w:hAnsi="宋体" w:eastAsia="宋体" w:cs="宋体"/>
                <w:b/>
                <w:bCs/>
                <w:color w:val="auto"/>
                <w:kern w:val="2"/>
                <w:sz w:val="21"/>
                <w:szCs w:val="21"/>
                <w:highlight w:val="none"/>
                <w:lang w:val="en-US" w:eastAsia="zh-CN" w:bidi="ar-SA"/>
              </w:rPr>
              <w:t>针对</w:t>
            </w:r>
            <w:r>
              <w:rPr>
                <w:rFonts w:hint="default" w:ascii="宋体" w:hAnsi="宋体" w:eastAsia="宋体" w:cs="宋体"/>
                <w:b/>
                <w:bCs/>
                <w:color w:val="auto"/>
                <w:kern w:val="2"/>
                <w:sz w:val="21"/>
                <w:szCs w:val="21"/>
                <w:highlight w:val="none"/>
                <w:lang w:val="en-US" w:eastAsia="zh-CN" w:bidi="ar-SA"/>
              </w:rPr>
              <w:t>资格审查所拟派的</w:t>
            </w:r>
            <w:r>
              <w:rPr>
                <w:rFonts w:hint="eastAsia" w:ascii="宋体" w:hAnsi="宋体" w:eastAsia="宋体" w:cs="宋体"/>
                <w:b/>
                <w:bCs/>
                <w:color w:val="auto"/>
                <w:kern w:val="2"/>
                <w:sz w:val="21"/>
                <w:szCs w:val="21"/>
                <w:highlight w:val="none"/>
                <w:lang w:val="en-US" w:eastAsia="zh-CN" w:bidi="ar-SA"/>
              </w:rPr>
              <w:t>项目负责人及项目组组成人员。</w:t>
            </w:r>
          </w:p>
          <w:p w14:paraId="1B53DED3">
            <w:pPr>
              <w:pStyle w:val="3"/>
              <w:keepNext w:val="0"/>
              <w:keepLines w:val="0"/>
              <w:pageBreakBefore w:val="0"/>
              <w:widowControl w:val="0"/>
              <w:kinsoku/>
              <w:wordWrap/>
              <w:overflowPunct/>
              <w:topLinePunct w:val="0"/>
              <w:autoSpaceDE/>
              <w:autoSpaceDN/>
              <w:bidi w:val="0"/>
              <w:adjustRightInd/>
              <w:snapToGrid/>
              <w:spacing w:line="360" w:lineRule="exact"/>
              <w:ind w:firstLine="840" w:firstLineChars="400"/>
              <w:textAlignment w:val="auto"/>
              <w:rPr>
                <w:rFonts w:hint="default"/>
                <w:lang w:val="en-US" w:eastAsia="zh-CN"/>
              </w:rPr>
            </w:pPr>
            <w:r>
              <w:rPr>
                <w:rFonts w:hint="eastAsia" w:cs="宋体"/>
                <w:b w:val="0"/>
                <w:bCs w:val="0"/>
                <w:color w:val="auto"/>
                <w:kern w:val="2"/>
                <w:sz w:val="21"/>
                <w:szCs w:val="21"/>
                <w:highlight w:val="none"/>
                <w:lang w:val="en-US" w:eastAsia="zh-CN" w:bidi="ar-SA"/>
              </w:rPr>
              <w:t>（5）上述业绩不得重复得分。</w:t>
            </w:r>
          </w:p>
        </w:tc>
        <w:tc>
          <w:tcPr>
            <w:tcW w:w="478" w:type="pct"/>
            <w:tcBorders>
              <w:bottom w:val="single" w:color="auto" w:sz="4" w:space="0"/>
            </w:tcBorders>
            <w:noWrap w:val="0"/>
            <w:vAlign w:val="center"/>
          </w:tcPr>
          <w:p w14:paraId="40434765">
            <w:pPr>
              <w:pageBreakBefore w:val="0"/>
              <w:widowControl w:val="0"/>
              <w:kinsoku/>
              <w:wordWrap/>
              <w:topLinePunct w:val="0"/>
              <w:autoSpaceDE/>
              <w:autoSpaceDN/>
              <w:bidi w:val="0"/>
              <w:adjustRightInd/>
              <w:snapToGrid/>
              <w:spacing w:line="360" w:lineRule="exact"/>
              <w:ind w:right="0" w:rightChars="0"/>
              <w:jc w:val="center"/>
              <w:textAlignment w:val="auto"/>
              <w:rPr>
                <w:rFonts w:hint="default" w:ascii="宋体" w:hAnsi="宋体" w:eastAsia="宋体" w:cs="宋体"/>
                <w:b/>
                <w:color w:val="auto"/>
                <w:kern w:val="2"/>
                <w:sz w:val="21"/>
                <w:szCs w:val="21"/>
                <w:highlight w:val="none"/>
                <w:lang w:val="en-US" w:eastAsia="zh-CN"/>
              </w:rPr>
            </w:pPr>
            <w:r>
              <w:rPr>
                <w:rFonts w:hint="eastAsia" w:ascii="宋体" w:hAnsi="宋体" w:eastAsia="宋体" w:cs="宋体"/>
                <w:b/>
                <w:color w:val="auto"/>
                <w:kern w:val="2"/>
                <w:sz w:val="21"/>
                <w:szCs w:val="21"/>
                <w:highlight w:val="none"/>
                <w:lang w:val="en-US" w:eastAsia="zh-CN"/>
              </w:rPr>
              <w:t>3</w:t>
            </w:r>
            <w:r>
              <w:rPr>
                <w:rFonts w:hint="eastAsia" w:ascii="宋体" w:hAnsi="宋体" w:cs="宋体"/>
                <w:b/>
                <w:color w:val="auto"/>
                <w:kern w:val="2"/>
                <w:sz w:val="21"/>
                <w:szCs w:val="21"/>
                <w:highlight w:val="none"/>
                <w:lang w:val="en-US" w:eastAsia="zh-CN"/>
              </w:rPr>
              <w:t>6</w:t>
            </w:r>
          </w:p>
        </w:tc>
      </w:tr>
      <w:tr w14:paraId="147E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4636" w:hRule="atLeast"/>
          <w:jc w:val="center"/>
        </w:trPr>
        <w:tc>
          <w:tcPr>
            <w:tcW w:w="488" w:type="pct"/>
            <w:noWrap w:val="0"/>
            <w:vAlign w:val="center"/>
          </w:tcPr>
          <w:p w14:paraId="5C748E30">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3</w:t>
            </w:r>
          </w:p>
        </w:tc>
        <w:tc>
          <w:tcPr>
            <w:tcW w:w="724" w:type="pct"/>
            <w:noWrap w:val="0"/>
            <w:vAlign w:val="center"/>
          </w:tcPr>
          <w:p w14:paraId="540D82BE">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投标人协审方案</w:t>
            </w:r>
          </w:p>
        </w:tc>
        <w:tc>
          <w:tcPr>
            <w:tcW w:w="3308" w:type="pct"/>
            <w:noWrap w:val="0"/>
            <w:vAlign w:val="center"/>
          </w:tcPr>
          <w:p w14:paraId="16980D5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协审方案须包含以下内容，方案内容需全面合理，满足采购人需求。</w:t>
            </w:r>
          </w:p>
          <w:p w14:paraId="4D8636CE">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zh-CN"/>
              </w:rPr>
              <w:t>人员管理：对投标人提供协审人员的配备、人员管理的相关制度、措施进行评定（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分）。</w:t>
            </w:r>
          </w:p>
          <w:p w14:paraId="19C344B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val="zh-CN"/>
              </w:rPr>
              <w:t>流程管理：对投标人提供的协审工作流程相关制度、措施进行评定（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分）。</w:t>
            </w:r>
          </w:p>
          <w:p w14:paraId="60CC3670">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val="zh-CN"/>
              </w:rPr>
              <w:t>质量管控：对投标人提供的审核报告质量控制相关制度、措施进行评定（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 xml:space="preserve">分）。  </w:t>
            </w:r>
          </w:p>
          <w:p w14:paraId="571DC49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进度控制：对投标人提供的协审服务效率控制的相关制度、措施进行评定（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分）。</w:t>
            </w:r>
          </w:p>
          <w:p w14:paraId="2DAA467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lang w:val="zh-CN"/>
              </w:rPr>
              <w:t>廉政风险防控管理：对投标人关于廉政风险防控、日常监督管理相关制度、措施进行评定（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分）。</w:t>
            </w:r>
          </w:p>
          <w:p w14:paraId="29BC317E">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val="zh-CN"/>
              </w:rPr>
              <w:t>档案资料归集：对投标人提供的协审报告档案整理的相关制度、措施进行评定（</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zh-CN"/>
              </w:rPr>
              <w:t>分）。</w:t>
            </w:r>
          </w:p>
          <w:p w14:paraId="750DBAD6">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en-US" w:eastAsia="zh-CN"/>
              </w:rPr>
            </w:pPr>
          </w:p>
        </w:tc>
        <w:tc>
          <w:tcPr>
            <w:tcW w:w="478" w:type="pct"/>
            <w:noWrap w:val="0"/>
            <w:vAlign w:val="center"/>
          </w:tcPr>
          <w:p w14:paraId="462631F5">
            <w:pPr>
              <w:pageBreakBefore w:val="0"/>
              <w:widowControl w:val="0"/>
              <w:kinsoku/>
              <w:wordWrap/>
              <w:topLinePunct w:val="0"/>
              <w:autoSpaceDE/>
              <w:autoSpaceDN/>
              <w:bidi w:val="0"/>
              <w:adjustRightInd/>
              <w:snapToGrid/>
              <w:spacing w:line="360" w:lineRule="exact"/>
              <w:ind w:right="0" w:rightChars="0"/>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24</w:t>
            </w:r>
          </w:p>
        </w:tc>
      </w:tr>
      <w:tr w14:paraId="4B13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979" w:hRule="atLeast"/>
          <w:jc w:val="center"/>
        </w:trPr>
        <w:tc>
          <w:tcPr>
            <w:tcW w:w="488" w:type="pct"/>
            <w:noWrap w:val="0"/>
            <w:vAlign w:val="center"/>
          </w:tcPr>
          <w:p w14:paraId="7C36C444">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w:t>
            </w:r>
          </w:p>
        </w:tc>
        <w:tc>
          <w:tcPr>
            <w:tcW w:w="724" w:type="pct"/>
            <w:noWrap w:val="0"/>
            <w:vAlign w:val="center"/>
          </w:tcPr>
          <w:p w14:paraId="061E7D1A">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协审成果</w:t>
            </w:r>
          </w:p>
        </w:tc>
        <w:tc>
          <w:tcPr>
            <w:tcW w:w="3308" w:type="pct"/>
            <w:noWrap w:val="0"/>
            <w:vAlign w:val="center"/>
          </w:tcPr>
          <w:p w14:paraId="105D6CCF">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提供一例</w:t>
            </w:r>
            <w:r>
              <w:rPr>
                <w:rFonts w:hint="eastAsia" w:ascii="宋体" w:hAnsi="宋体" w:eastAsia="宋体" w:cs="宋体"/>
                <w:color w:val="auto"/>
                <w:kern w:val="2"/>
                <w:sz w:val="21"/>
                <w:szCs w:val="21"/>
                <w:highlight w:val="none"/>
                <w:lang w:val="zh-CN"/>
              </w:rPr>
              <w:t>政府投资</w:t>
            </w:r>
            <w:r>
              <w:rPr>
                <w:rFonts w:hint="eastAsia" w:ascii="宋体" w:hAnsi="宋体" w:eastAsia="宋体" w:cs="宋体"/>
                <w:color w:val="auto"/>
                <w:kern w:val="2"/>
                <w:sz w:val="21"/>
                <w:szCs w:val="21"/>
                <w:highlight w:val="none"/>
                <w:lang w:val="en-US" w:eastAsia="zh-CN"/>
              </w:rPr>
              <w:t>或委托的</w:t>
            </w:r>
            <w:r>
              <w:rPr>
                <w:rFonts w:hint="eastAsia" w:ascii="宋体" w:hAnsi="宋体" w:eastAsia="宋体" w:cs="宋体"/>
                <w:color w:val="auto"/>
                <w:kern w:val="2"/>
                <w:sz w:val="21"/>
                <w:szCs w:val="21"/>
                <w:highlight w:val="none"/>
                <w:lang w:val="zh-CN"/>
              </w:rPr>
              <w:t>项目协审成果转化</w:t>
            </w:r>
            <w:r>
              <w:rPr>
                <w:rFonts w:hint="eastAsia" w:ascii="宋体" w:hAnsi="宋体" w:cs="宋体"/>
                <w:color w:val="auto"/>
                <w:kern w:val="2"/>
                <w:sz w:val="21"/>
                <w:szCs w:val="21"/>
                <w:highlight w:val="none"/>
                <w:lang w:val="en-US" w:eastAsia="zh-CN"/>
              </w:rPr>
              <w:t>运用</w:t>
            </w:r>
            <w:r>
              <w:rPr>
                <w:rFonts w:hint="eastAsia" w:ascii="宋体" w:hAnsi="宋体" w:eastAsia="宋体" w:cs="宋体"/>
                <w:color w:val="auto"/>
                <w:kern w:val="2"/>
                <w:sz w:val="21"/>
                <w:szCs w:val="21"/>
                <w:highlight w:val="none"/>
                <w:lang w:val="zh-CN"/>
              </w:rPr>
              <w:t>的方案</w:t>
            </w:r>
            <w:r>
              <w:rPr>
                <w:rFonts w:hint="eastAsia" w:ascii="宋体" w:hAnsi="宋体" w:eastAsia="宋体" w:cs="宋体"/>
                <w:color w:val="auto"/>
                <w:kern w:val="2"/>
                <w:sz w:val="21"/>
                <w:szCs w:val="21"/>
                <w:highlight w:val="none"/>
                <w:lang w:val="en-US" w:eastAsia="zh-CN"/>
              </w:rPr>
              <w:t>案例</w:t>
            </w:r>
            <w:r>
              <w:rPr>
                <w:rFonts w:hint="eastAsia" w:ascii="宋体" w:hAnsi="宋体" w:cs="宋体"/>
                <w:color w:val="auto"/>
                <w:kern w:val="2"/>
                <w:sz w:val="21"/>
                <w:szCs w:val="21"/>
                <w:highlight w:val="none"/>
                <w:lang w:val="en-US" w:eastAsia="zh-CN"/>
              </w:rPr>
              <w:t>，包括</w:t>
            </w:r>
            <w:r>
              <w:rPr>
                <w:rFonts w:hint="eastAsia" w:ascii="宋体" w:hAnsi="宋体" w:eastAsia="宋体" w:cs="宋体"/>
                <w:color w:val="auto"/>
                <w:kern w:val="2"/>
                <w:sz w:val="21"/>
                <w:szCs w:val="21"/>
                <w:highlight w:val="none"/>
                <w:lang w:val="zh-CN"/>
              </w:rPr>
              <w:t>审核过程中或结束后，对工程节约投资、优化管理、指标控制等方面存在的共性问题进行总结提炼，形成相关经验成果，包括但不限于重要控制指标、重点</w:t>
            </w:r>
            <w:r>
              <w:rPr>
                <w:rFonts w:hint="eastAsia" w:ascii="宋体" w:hAnsi="宋体" w:cs="宋体"/>
                <w:color w:val="auto"/>
                <w:kern w:val="2"/>
                <w:sz w:val="21"/>
                <w:szCs w:val="21"/>
                <w:highlight w:val="none"/>
                <w:lang w:val="en-US" w:eastAsia="zh-CN"/>
              </w:rPr>
              <w:t>节点</w:t>
            </w:r>
            <w:r>
              <w:rPr>
                <w:rFonts w:hint="eastAsia" w:ascii="宋体" w:hAnsi="宋体" w:eastAsia="宋体" w:cs="宋体"/>
                <w:color w:val="auto"/>
                <w:kern w:val="2"/>
                <w:sz w:val="21"/>
                <w:szCs w:val="21"/>
                <w:highlight w:val="none"/>
                <w:lang w:val="zh-CN"/>
              </w:rPr>
              <w:t>审核、问题发现途径、</w:t>
            </w:r>
            <w:r>
              <w:rPr>
                <w:rFonts w:hint="eastAsia" w:ascii="宋体" w:hAnsi="宋体" w:eastAsia="宋体" w:cs="宋体"/>
                <w:color w:val="auto"/>
                <w:kern w:val="2"/>
                <w:sz w:val="21"/>
                <w:szCs w:val="21"/>
                <w:highlight w:val="none"/>
                <w:lang w:val="en-US" w:eastAsia="zh-CN"/>
              </w:rPr>
              <w:t>难点解决化解</w:t>
            </w:r>
            <w:r>
              <w:rPr>
                <w:rFonts w:hint="eastAsia" w:ascii="宋体" w:hAnsi="宋体" w:eastAsia="宋体" w:cs="宋体"/>
                <w:color w:val="auto"/>
                <w:kern w:val="2"/>
                <w:sz w:val="21"/>
                <w:szCs w:val="21"/>
                <w:highlight w:val="none"/>
                <w:lang w:val="zh-CN"/>
              </w:rPr>
              <w:t>、</w:t>
            </w:r>
            <w:r>
              <w:rPr>
                <w:rFonts w:hint="eastAsia" w:ascii="宋体" w:hAnsi="宋体" w:eastAsia="宋体" w:cs="宋体"/>
                <w:color w:val="auto"/>
                <w:kern w:val="2"/>
                <w:sz w:val="21"/>
                <w:szCs w:val="21"/>
                <w:highlight w:val="none"/>
                <w:lang w:val="en-US" w:eastAsia="zh-CN"/>
              </w:rPr>
              <w:t>专业能力突破</w:t>
            </w:r>
            <w:r>
              <w:rPr>
                <w:rFonts w:hint="eastAsia" w:ascii="宋体" w:hAnsi="宋体" w:eastAsia="宋体" w:cs="宋体"/>
                <w:color w:val="auto"/>
                <w:kern w:val="2"/>
                <w:sz w:val="21"/>
                <w:szCs w:val="21"/>
                <w:highlight w:val="none"/>
                <w:lang w:val="zh-CN"/>
              </w:rPr>
              <w:t>等</w:t>
            </w:r>
            <w:r>
              <w:rPr>
                <w:rFonts w:hint="eastAsia" w:ascii="宋体" w:hAnsi="宋体" w:eastAsia="宋体" w:cs="宋体"/>
                <w:color w:val="auto"/>
                <w:kern w:val="2"/>
                <w:sz w:val="21"/>
                <w:szCs w:val="21"/>
                <w:highlight w:val="none"/>
                <w:lang w:val="en-US" w:eastAsia="zh-CN"/>
              </w:rPr>
              <w:t>。</w:t>
            </w:r>
          </w:p>
          <w:p w14:paraId="674C4AE4">
            <w:pPr>
              <w:pStyle w:val="3"/>
              <w:keepNext w:val="0"/>
              <w:keepLines w:val="0"/>
              <w:pageBreakBefore w:val="0"/>
              <w:widowControl w:val="0"/>
              <w:kinsoku/>
              <w:wordWrap/>
              <w:overflowPunct/>
              <w:topLinePunct w:val="0"/>
              <w:autoSpaceDE/>
              <w:autoSpaceDN/>
              <w:bidi w:val="0"/>
              <w:adjustRightInd/>
              <w:snapToGrid/>
              <w:spacing w:line="360" w:lineRule="exact"/>
              <w:ind w:firstLine="630" w:firstLineChars="300"/>
              <w:textAlignment w:val="auto"/>
              <w:rPr>
                <w:rFonts w:hint="default"/>
                <w:lang w:val="en-US"/>
              </w:rPr>
            </w:pPr>
            <w:r>
              <w:rPr>
                <w:rFonts w:hint="eastAsia" w:cs="宋体"/>
                <w:color w:val="auto"/>
                <w:kern w:val="2"/>
                <w:sz w:val="21"/>
                <w:szCs w:val="21"/>
                <w:highlight w:val="none"/>
                <w:lang w:val="en-US" w:eastAsia="zh-CN"/>
              </w:rPr>
              <w:t>备注：</w:t>
            </w:r>
            <w:r>
              <w:rPr>
                <w:rFonts w:hint="eastAsia" w:cs="宋体"/>
                <w:b/>
                <w:bCs/>
                <w:color w:val="auto"/>
                <w:kern w:val="2"/>
                <w:sz w:val="21"/>
                <w:szCs w:val="21"/>
                <w:highlight w:val="none"/>
                <w:lang w:val="en-US" w:eastAsia="zh-CN"/>
              </w:rPr>
              <w:t>为确保案例的真实性，案例需为提供的业绩之一。</w:t>
            </w:r>
          </w:p>
        </w:tc>
        <w:tc>
          <w:tcPr>
            <w:tcW w:w="478" w:type="pct"/>
            <w:noWrap w:val="0"/>
            <w:vAlign w:val="center"/>
          </w:tcPr>
          <w:p w14:paraId="51CB57CD">
            <w:pPr>
              <w:pageBreakBefore w:val="0"/>
              <w:widowControl w:val="0"/>
              <w:kinsoku/>
              <w:wordWrap/>
              <w:topLinePunct w:val="0"/>
              <w:autoSpaceDE/>
              <w:autoSpaceDN/>
              <w:bidi w:val="0"/>
              <w:adjustRightInd/>
              <w:snapToGrid/>
              <w:spacing w:line="360" w:lineRule="exact"/>
              <w:ind w:right="0" w:rightChars="0"/>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10</w:t>
            </w:r>
          </w:p>
        </w:tc>
      </w:tr>
      <w:tr w14:paraId="490C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377" w:hRule="atLeast"/>
          <w:jc w:val="center"/>
        </w:trPr>
        <w:tc>
          <w:tcPr>
            <w:tcW w:w="488" w:type="pct"/>
            <w:noWrap w:val="0"/>
            <w:vAlign w:val="center"/>
          </w:tcPr>
          <w:p w14:paraId="0A8AC62A">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eastAsia="zh-CN"/>
              </w:rPr>
            </w:pPr>
            <w:r>
              <w:rPr>
                <w:rFonts w:hint="eastAsia" w:ascii="宋体" w:hAnsi="宋体" w:cs="宋体"/>
                <w:color w:val="auto"/>
                <w:kern w:val="2"/>
                <w:sz w:val="21"/>
                <w:szCs w:val="21"/>
                <w:highlight w:val="none"/>
                <w:lang w:val="en-US" w:eastAsia="zh-CN"/>
              </w:rPr>
              <w:t>5</w:t>
            </w:r>
          </w:p>
        </w:tc>
        <w:tc>
          <w:tcPr>
            <w:tcW w:w="724" w:type="pct"/>
            <w:noWrap w:val="0"/>
            <w:vAlign w:val="center"/>
          </w:tcPr>
          <w:p w14:paraId="39CA4AA4">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响应服务保障</w:t>
            </w:r>
          </w:p>
        </w:tc>
        <w:tc>
          <w:tcPr>
            <w:tcW w:w="3308" w:type="pct"/>
            <w:noWrap w:val="0"/>
            <w:vAlign w:val="center"/>
          </w:tcPr>
          <w:p w14:paraId="524EE890">
            <w:pPr>
              <w:keepNext w:val="0"/>
              <w:keepLines w:val="0"/>
              <w:pageBreakBefore w:val="0"/>
              <w:widowControl w:val="0"/>
              <w:kinsoku/>
              <w:wordWrap/>
              <w:overflowPunct/>
              <w:topLinePunct w:val="0"/>
              <w:autoSpaceDE/>
              <w:autoSpaceDN/>
              <w:bidi w:val="0"/>
              <w:adjustRightInd/>
              <w:snapToGrid/>
              <w:spacing w:line="360" w:lineRule="exact"/>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、人员保障。投标人中途不得随意变更项目负责人和工作组成员，若必须更换，需得到招标人的认可,同时配备具有相应专业技术等级人员。</w:t>
            </w:r>
            <w:r>
              <w:rPr>
                <w:rFonts w:hint="eastAsia" w:asciiTheme="minorEastAsia" w:hAnsiTheme="minorEastAsia" w:eastAsiaTheme="minorEastAsia" w:cstheme="minorEastAsia"/>
                <w:color w:val="auto"/>
                <w:sz w:val="21"/>
                <w:szCs w:val="21"/>
                <w:highlight w:val="none"/>
                <w:lang w:eastAsia="zh-CN"/>
              </w:rPr>
              <w:t>投标人须指派项目组成员中一人或多人为指定联系人员，</w:t>
            </w:r>
            <w:r>
              <w:rPr>
                <w:rFonts w:hint="eastAsia" w:asciiTheme="minorEastAsia" w:hAnsiTheme="minorEastAsia" w:eastAsiaTheme="minorEastAsia" w:cstheme="minorEastAsia"/>
                <w:color w:val="auto"/>
                <w:sz w:val="21"/>
                <w:szCs w:val="21"/>
                <w:highlight w:val="none"/>
              </w:rPr>
              <w:t>投标人中途不得随意变更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若必须更换，需得到招标人的认可</w:t>
            </w:r>
            <w:r>
              <w:rPr>
                <w:rFonts w:hint="eastAsia" w:asciiTheme="minorEastAsia" w:hAnsiTheme="minorEastAsia" w:eastAsiaTheme="minorEastAsia" w:cstheme="minorEastAsia"/>
                <w:color w:val="auto"/>
                <w:sz w:val="21"/>
                <w:szCs w:val="21"/>
                <w:highlight w:val="none"/>
                <w:lang w:eastAsia="zh-CN"/>
              </w:rPr>
              <w:t>，且同时为项目组成员。</w:t>
            </w:r>
            <w:r>
              <w:rPr>
                <w:rFonts w:hint="eastAsia" w:asciiTheme="minorEastAsia" w:hAnsiTheme="minorEastAsia" w:eastAsiaTheme="minorEastAsia" w:cstheme="minorEastAsia"/>
                <w:color w:val="auto"/>
                <w:sz w:val="21"/>
                <w:szCs w:val="21"/>
                <w:highlight w:val="none"/>
              </w:rPr>
              <w:t>上述需提供相应承诺，若承诺履行不到位，视为虚假承诺，将纳入黑名单。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0-5分。</w:t>
            </w:r>
          </w:p>
          <w:p w14:paraId="7445860E">
            <w:pPr>
              <w:keepNext w:val="0"/>
              <w:keepLines w:val="0"/>
              <w:pageBreakBefore w:val="0"/>
              <w:widowControl w:val="0"/>
              <w:kinsoku/>
              <w:wordWrap/>
              <w:overflowPunct/>
              <w:topLinePunct w:val="0"/>
              <w:autoSpaceDE/>
              <w:autoSpaceDN/>
              <w:bidi w:val="0"/>
              <w:adjustRightInd/>
              <w:snapToGrid/>
              <w:spacing w:line="360" w:lineRule="exact"/>
              <w:ind w:left="0" w:right="0"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2、现场服务保障。投标人须根据</w:t>
            </w:r>
            <w:r>
              <w:rPr>
                <w:rFonts w:hint="eastAsia" w:asciiTheme="minorEastAsia" w:hAnsiTheme="minorEastAsia" w:eastAsiaTheme="minorEastAsia" w:cstheme="minorEastAsia"/>
                <w:color w:val="auto"/>
                <w:sz w:val="21"/>
                <w:szCs w:val="21"/>
                <w:highlight w:val="none"/>
                <w:lang w:eastAsia="zh-CN"/>
              </w:rPr>
              <w:t>招标人</w:t>
            </w:r>
            <w:r>
              <w:rPr>
                <w:rFonts w:hint="eastAsia" w:asciiTheme="minorEastAsia" w:hAnsiTheme="minorEastAsia" w:eastAsiaTheme="minorEastAsia" w:cstheme="minorEastAsia"/>
                <w:color w:val="auto"/>
                <w:sz w:val="21"/>
                <w:szCs w:val="21"/>
                <w:highlight w:val="none"/>
              </w:rPr>
              <w:t>要求在规定时间内提供现场咨询和踏勘服务，其中：现场咨询服务需项目负责人和相应项目组成员同时到场，踏勘需项目组成员到场。上述需投标人提供相应承诺，</w:t>
            </w:r>
            <w:r>
              <w:rPr>
                <w:rFonts w:hint="eastAsia" w:asciiTheme="minorEastAsia" w:hAnsiTheme="minorEastAsia" w:eastAsiaTheme="minorEastAsia" w:cstheme="minorEastAsia"/>
                <w:color w:val="auto"/>
                <w:sz w:val="21"/>
                <w:szCs w:val="21"/>
                <w:highlight w:val="none"/>
                <w:lang w:eastAsia="zh-CN"/>
              </w:rPr>
              <w:t>承诺</w:t>
            </w:r>
            <w:r>
              <w:rPr>
                <w:rFonts w:hint="eastAsia" w:asciiTheme="minorEastAsia" w:hAnsiTheme="minorEastAsia" w:eastAsiaTheme="minorEastAsia" w:cstheme="minorEastAsia"/>
                <w:color w:val="auto"/>
                <w:sz w:val="21"/>
                <w:szCs w:val="21"/>
                <w:highlight w:val="none"/>
              </w:rPr>
              <w:t>包括但不限于专门联络人</w:t>
            </w:r>
            <w:r>
              <w:rPr>
                <w:rFonts w:hint="eastAsia" w:asciiTheme="minorEastAsia" w:hAnsiTheme="minorEastAsia" w:eastAsiaTheme="minorEastAsia" w:cstheme="minorEastAsia"/>
                <w:color w:val="auto"/>
                <w:sz w:val="21"/>
                <w:szCs w:val="21"/>
                <w:highlight w:val="none"/>
                <w:lang w:eastAsia="zh-CN"/>
              </w:rPr>
              <w:t>（须为项目组成员）</w:t>
            </w:r>
            <w:r>
              <w:rPr>
                <w:rFonts w:hint="eastAsia" w:asciiTheme="minorEastAsia" w:hAnsiTheme="minorEastAsia" w:eastAsiaTheme="minorEastAsia" w:cstheme="minorEastAsia"/>
                <w:color w:val="auto"/>
                <w:sz w:val="21"/>
                <w:szCs w:val="21"/>
                <w:highlight w:val="none"/>
              </w:rPr>
              <w:t>，联络电话，响应时间等，若承诺履行不到位，视为虚假承诺，将纳入黑名单。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0-5分。</w:t>
            </w:r>
          </w:p>
        </w:tc>
        <w:tc>
          <w:tcPr>
            <w:tcW w:w="478" w:type="pct"/>
            <w:noWrap w:val="0"/>
            <w:vAlign w:val="center"/>
          </w:tcPr>
          <w:p w14:paraId="47BC6154">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10</w:t>
            </w:r>
          </w:p>
        </w:tc>
      </w:tr>
    </w:tbl>
    <w:p w14:paraId="0971D39D">
      <w:pPr>
        <w:widowControl/>
        <w:shd w:val="clear" w:color="auto" w:fill="FFFFFF"/>
        <w:spacing w:line="360" w:lineRule="auto"/>
        <w:ind w:firstLine="560"/>
        <w:jc w:val="left"/>
        <w:rPr>
          <w:rFonts w:hint="eastAsia" w:asciiTheme="minorEastAsia" w:hAnsiTheme="minorEastAsia" w:eastAsiaTheme="minorEastAsia" w:cstheme="minorEastAsia"/>
          <w:sz w:val="21"/>
          <w:szCs w:val="21"/>
          <w:lang w:val="zh-CN"/>
        </w:rPr>
      </w:pPr>
    </w:p>
    <w:p w14:paraId="0E9C6771">
      <w:pPr>
        <w:widowControl/>
        <w:shd w:val="clear" w:color="auto" w:fill="FFFFFF"/>
        <w:spacing w:line="360" w:lineRule="auto"/>
        <w:ind w:firstLine="56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备注：如</w:t>
      </w:r>
      <w:r>
        <w:rPr>
          <w:rFonts w:hint="eastAsia" w:asciiTheme="minorEastAsia" w:hAnsiTheme="minorEastAsia" w:eastAsiaTheme="minorEastAsia" w:cstheme="minorEastAsia"/>
          <w:sz w:val="21"/>
          <w:szCs w:val="21"/>
          <w:lang w:val="en-US" w:eastAsia="zh-CN"/>
        </w:rPr>
        <w:t>征集</w:t>
      </w:r>
      <w:r>
        <w:rPr>
          <w:rFonts w:hint="eastAsia" w:asciiTheme="minorEastAsia" w:hAnsiTheme="minorEastAsia" w:eastAsiaTheme="minorEastAsia" w:cstheme="minorEastAsia"/>
          <w:sz w:val="21"/>
          <w:szCs w:val="21"/>
          <w:lang w:val="zh-CN"/>
        </w:rPr>
        <w:t>文件内容顺序混乱，导致评委无法查看，后果自负。</w:t>
      </w:r>
    </w:p>
    <w:p w14:paraId="1C331882">
      <w:pPr>
        <w:pStyle w:val="2"/>
        <w:rPr>
          <w:rFonts w:hint="eastAsia" w:asciiTheme="minorEastAsia" w:hAnsiTheme="minorEastAsia" w:eastAsiaTheme="minorEastAsia" w:cstheme="minorEastAsia"/>
        </w:rPr>
      </w:pPr>
    </w:p>
    <w:p w14:paraId="564C7950">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p>
    <w:p w14:paraId="2850EF2F">
      <w:pPr>
        <w:pStyle w:val="5"/>
        <w:rPr>
          <w:rFonts w:hint="eastAsia" w:asciiTheme="minorEastAsia" w:hAnsiTheme="minorEastAsia" w:eastAsiaTheme="minorEastAsia" w:cstheme="minorEastAsia"/>
          <w:bCs/>
          <w:sz w:val="44"/>
        </w:rPr>
      </w:pPr>
    </w:p>
    <w:p w14:paraId="5B0781DD">
      <w:pPr>
        <w:pStyle w:val="5"/>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w:t>
      </w:r>
      <w:bookmarkEnd w:id="175"/>
      <w:bookmarkEnd w:id="176"/>
      <w:bookmarkEnd w:id="178"/>
      <w:r>
        <w:rPr>
          <w:rFonts w:hint="eastAsia" w:asciiTheme="minorEastAsia" w:hAnsiTheme="minorEastAsia" w:eastAsiaTheme="minorEastAsia" w:cstheme="minorEastAsia"/>
          <w:bCs/>
          <w:sz w:val="44"/>
        </w:rPr>
        <w:t xml:space="preserve">响应文件格式 </w:t>
      </w:r>
    </w:p>
    <w:p w14:paraId="606F53BE">
      <w:pPr>
        <w:jc w:val="both"/>
        <w:rPr>
          <w:rFonts w:hint="eastAsia" w:asciiTheme="minorEastAsia" w:hAnsiTheme="minorEastAsia" w:eastAsiaTheme="minorEastAsia" w:cstheme="minorEastAsia"/>
          <w:b/>
          <w:sz w:val="72"/>
        </w:rPr>
      </w:pPr>
      <w:bookmarkStart w:id="180" w:name="_Hlt26671244"/>
      <w:bookmarkEnd w:id="180"/>
      <w:bookmarkStart w:id="181" w:name="_Hlt26955039"/>
      <w:bookmarkEnd w:id="181"/>
      <w:bookmarkStart w:id="182" w:name="_Toc49090576"/>
      <w:bookmarkStart w:id="183" w:name="_Toc120614282"/>
      <w:bookmarkStart w:id="184" w:name="_Toc26554094"/>
    </w:p>
    <w:p w14:paraId="00718E61">
      <w:pPr>
        <w:jc w:val="center"/>
        <w:rPr>
          <w:rFonts w:hint="eastAsia" w:asciiTheme="minorEastAsia" w:hAnsiTheme="minorEastAsia" w:eastAsiaTheme="minorEastAsia" w:cstheme="minorEastAsia"/>
          <w:b/>
          <w:sz w:val="72"/>
        </w:rPr>
      </w:pPr>
    </w:p>
    <w:p w14:paraId="31E4245A">
      <w:pPr>
        <w:jc w:val="center"/>
        <w:rPr>
          <w:rFonts w:hint="eastAsia" w:asciiTheme="minorEastAsia" w:hAnsiTheme="minorEastAsia" w:eastAsiaTheme="minorEastAsia" w:cstheme="minorEastAsia"/>
          <w:b/>
          <w:sz w:val="72"/>
        </w:rPr>
      </w:pPr>
    </w:p>
    <w:p w14:paraId="515621AC">
      <w:pPr>
        <w:jc w:val="center"/>
        <w:rPr>
          <w:rFonts w:hint="eastAsia" w:asciiTheme="minorEastAsia" w:hAnsiTheme="minorEastAsia" w:eastAsiaTheme="minorEastAsia" w:cstheme="minorEastAsia"/>
          <w:b w:val="0"/>
          <w:bCs/>
          <w:sz w:val="72"/>
        </w:rPr>
      </w:pPr>
      <w:r>
        <w:rPr>
          <w:rFonts w:hint="eastAsia" w:asciiTheme="minorEastAsia" w:hAnsiTheme="minorEastAsia" w:eastAsiaTheme="minorEastAsia" w:cstheme="minorEastAsia"/>
          <w:b w:val="0"/>
          <w:bCs/>
          <w:sz w:val="72"/>
        </w:rPr>
        <w:t>响  应  文  件</w:t>
      </w:r>
    </w:p>
    <w:p w14:paraId="2FDF63A0">
      <w:pPr>
        <w:jc w:val="center"/>
        <w:rPr>
          <w:rFonts w:hint="eastAsia" w:asciiTheme="minorEastAsia" w:hAnsiTheme="minorEastAsia" w:eastAsiaTheme="minorEastAsia" w:cstheme="minorEastAsia"/>
          <w:b/>
          <w:sz w:val="72"/>
        </w:rPr>
      </w:pPr>
    </w:p>
    <w:p w14:paraId="3CF80049">
      <w:pPr>
        <w:jc w:val="center"/>
        <w:rPr>
          <w:rFonts w:hint="eastAsia" w:asciiTheme="minorEastAsia" w:hAnsiTheme="minorEastAsia" w:eastAsiaTheme="minorEastAsia" w:cstheme="minorEastAsia"/>
          <w:b/>
          <w:sz w:val="72"/>
        </w:rPr>
      </w:pPr>
    </w:p>
    <w:p w14:paraId="695A46EA">
      <w:pPr>
        <w:pStyle w:val="2"/>
        <w:rPr>
          <w:rFonts w:hint="eastAsia" w:asciiTheme="minorEastAsia" w:hAnsiTheme="minorEastAsia" w:eastAsiaTheme="minorEastAsia" w:cstheme="minorEastAsia"/>
          <w:b/>
          <w:sz w:val="36"/>
        </w:rPr>
      </w:pPr>
    </w:p>
    <w:p w14:paraId="00A346CD">
      <w:pPr>
        <w:pStyle w:val="3"/>
        <w:rPr>
          <w:rFonts w:hint="eastAsia" w:asciiTheme="minorEastAsia" w:hAnsiTheme="minorEastAsia" w:eastAsiaTheme="minorEastAsia" w:cstheme="minorEastAsia"/>
          <w:b/>
          <w:sz w:val="36"/>
        </w:rPr>
      </w:pPr>
    </w:p>
    <w:p w14:paraId="2BFF5EE0">
      <w:pPr>
        <w:pStyle w:val="3"/>
        <w:rPr>
          <w:rFonts w:hint="eastAsia" w:asciiTheme="minorEastAsia" w:hAnsiTheme="minorEastAsia" w:eastAsiaTheme="minorEastAsia" w:cstheme="minorEastAsia"/>
          <w:b/>
          <w:sz w:val="36"/>
        </w:rPr>
      </w:pPr>
    </w:p>
    <w:p w14:paraId="47CE45ED">
      <w:pPr>
        <w:jc w:val="center"/>
        <w:rPr>
          <w:rFonts w:hint="eastAsia" w:asciiTheme="minorEastAsia" w:hAnsiTheme="minorEastAsia" w:eastAsiaTheme="minorEastAsia" w:cstheme="minorEastAsia"/>
          <w:b/>
          <w:sz w:val="36"/>
        </w:rPr>
      </w:pPr>
    </w:p>
    <w:p w14:paraId="397CD3BD">
      <w:pPr>
        <w:keepNext w:val="0"/>
        <w:keepLines w:val="0"/>
        <w:pageBreakBefore w:val="0"/>
        <w:widowControl w:val="0"/>
        <w:kinsoku/>
        <w:wordWrap/>
        <w:overflowPunct/>
        <w:topLinePunct w:val="0"/>
        <w:autoSpaceDE/>
        <w:autoSpaceDN/>
        <w:bidi w:val="0"/>
        <w:adjustRightInd/>
        <w:snapToGrid/>
        <w:spacing w:line="360" w:lineRule="auto"/>
        <w:ind w:firstLine="1084"/>
        <w:textAlignment w:val="auto"/>
        <w:rPr>
          <w:rFonts w:hint="eastAsia" w:asciiTheme="minorEastAsia" w:hAnsiTheme="minorEastAsia" w:eastAsiaTheme="minorEastAsia" w:cstheme="minorEastAsia"/>
          <w:b w:val="0"/>
          <w:bCs/>
          <w:sz w:val="36"/>
        </w:rPr>
      </w:pPr>
      <w:r>
        <w:rPr>
          <w:rFonts w:hint="eastAsia" w:asciiTheme="minorEastAsia" w:hAnsiTheme="minorEastAsia" w:eastAsiaTheme="minorEastAsia" w:cstheme="minorEastAsia"/>
          <w:b w:val="0"/>
          <w:bCs/>
          <w:sz w:val="36"/>
        </w:rPr>
        <w:t>项 目 名 称：</w:t>
      </w:r>
    </w:p>
    <w:p w14:paraId="531671AD">
      <w:pPr>
        <w:keepNext w:val="0"/>
        <w:keepLines w:val="0"/>
        <w:pageBreakBefore w:val="0"/>
        <w:widowControl w:val="0"/>
        <w:kinsoku/>
        <w:wordWrap/>
        <w:overflowPunct/>
        <w:topLinePunct w:val="0"/>
        <w:autoSpaceDE/>
        <w:autoSpaceDN/>
        <w:bidi w:val="0"/>
        <w:adjustRightInd/>
        <w:snapToGrid/>
        <w:spacing w:line="360" w:lineRule="auto"/>
        <w:ind w:firstLine="1084"/>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项 目 编 号：</w:t>
      </w:r>
    </w:p>
    <w:p w14:paraId="577B78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 xml:space="preserve">      供应商名称 ：</w:t>
      </w:r>
    </w:p>
    <w:p w14:paraId="32B625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 xml:space="preserve">      日      期 ：</w:t>
      </w:r>
    </w:p>
    <w:p w14:paraId="6FAE11FC">
      <w:pPr>
        <w:spacing w:line="440" w:lineRule="exact"/>
        <w:jc w:val="center"/>
        <w:rPr>
          <w:rFonts w:hint="eastAsia" w:asciiTheme="minorEastAsia" w:hAnsiTheme="minorEastAsia" w:eastAsiaTheme="minorEastAsia" w:cstheme="minorEastAsia"/>
          <w:b/>
          <w:bCs/>
          <w:sz w:val="32"/>
          <w:szCs w:val="32"/>
        </w:rPr>
      </w:pPr>
    </w:p>
    <w:p w14:paraId="08693704">
      <w:pPr>
        <w:spacing w:line="440" w:lineRule="exact"/>
        <w:rPr>
          <w:rFonts w:hint="eastAsia" w:asciiTheme="minorEastAsia" w:hAnsiTheme="minorEastAsia" w:eastAsiaTheme="minorEastAsia" w:cstheme="minorEastAsia"/>
        </w:rPr>
      </w:pPr>
    </w:p>
    <w:p w14:paraId="77147DE3">
      <w:pPr>
        <w:pBdr>
          <w:top w:val="none" w:color="000000" w:sz="0" w:space="0"/>
          <w:left w:val="none" w:color="000000" w:sz="0" w:space="0"/>
          <w:bottom w:val="none" w:color="000000" w:sz="0" w:space="0"/>
          <w:right w:val="none" w:color="000000" w:sz="0" w:space="0"/>
        </w:pBdr>
        <w:spacing w:line="439" w:lineRule="atLeast"/>
        <w:jc w:val="center"/>
        <w:rPr>
          <w:rFonts w:hint="eastAsia" w:asciiTheme="minorEastAsia" w:hAnsiTheme="minorEastAsia" w:eastAsiaTheme="minorEastAsia" w:cstheme="minorEastAsia"/>
          <w:b/>
          <w:sz w:val="32"/>
        </w:rPr>
      </w:pPr>
    </w:p>
    <w:p w14:paraId="0F206077">
      <w:pPr>
        <w:pBdr>
          <w:top w:val="none" w:color="000000" w:sz="0" w:space="0"/>
          <w:left w:val="none" w:color="000000" w:sz="0" w:space="0"/>
          <w:bottom w:val="none" w:color="000000" w:sz="0" w:space="0"/>
          <w:right w:val="none" w:color="000000" w:sz="0" w:space="0"/>
        </w:pBdr>
        <w:spacing w:line="439" w:lineRule="atLeas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32"/>
        </w:rPr>
        <w:t>响应文件目录</w:t>
      </w:r>
    </w:p>
    <w:p w14:paraId="23F9C0CD">
      <w:pPr>
        <w:pBdr>
          <w:top w:val="none" w:color="000000" w:sz="0" w:space="0"/>
          <w:left w:val="none" w:color="000000" w:sz="0" w:space="0"/>
          <w:bottom w:val="none" w:color="000000" w:sz="0" w:space="0"/>
          <w:right w:val="none" w:color="000000" w:sz="0" w:space="0"/>
        </w:pBdr>
        <w:spacing w:line="360" w:lineRule="auto"/>
        <w:ind w:firstLine="482"/>
        <w:rPr>
          <w:rFonts w:hint="default" w:asciiTheme="minorEastAsia" w:hAnsiTheme="minorEastAsia" w:eastAsia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一、资格审查：</w:t>
      </w:r>
    </w:p>
    <w:p w14:paraId="23927C40">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bookmarkStart w:id="185" w:name="OLE_LINK11"/>
      <w:r>
        <w:rPr>
          <w:rFonts w:hint="eastAsia" w:asciiTheme="minorEastAsia" w:hAnsiTheme="minorEastAsia" w:eastAsiaTheme="minorEastAsia" w:cstheme="minorEastAsia"/>
          <w:iCs/>
          <w:sz w:val="21"/>
          <w:szCs w:val="21"/>
          <w:lang w:val="en-US" w:eastAsia="zh-CN"/>
        </w:rPr>
        <w:t>1、</w:t>
      </w:r>
      <w:r>
        <w:rPr>
          <w:rFonts w:hint="eastAsia" w:ascii="宋体" w:hAnsi="宋体" w:cs="宋体"/>
          <w:bCs/>
          <w:sz w:val="21"/>
          <w:szCs w:val="21"/>
        </w:rPr>
        <w:t>法定代表人身份证明书</w:t>
      </w:r>
      <w:bookmarkEnd w:id="185"/>
      <w:r>
        <w:rPr>
          <w:rFonts w:hint="eastAsia" w:ascii="宋体" w:hAnsi="宋体" w:cs="宋体"/>
          <w:bCs/>
          <w:sz w:val="21"/>
          <w:szCs w:val="21"/>
        </w:rPr>
        <w:t>、授权委托书（如有）</w:t>
      </w:r>
      <w:r>
        <w:rPr>
          <w:rFonts w:hint="eastAsia" w:ascii="宋体" w:hAnsi="宋体" w:cs="宋体"/>
          <w:bCs/>
          <w:sz w:val="21"/>
          <w:szCs w:val="21"/>
          <w:lang w:val="en-US" w:eastAsia="zh-CN"/>
        </w:rPr>
        <w:t>；</w:t>
      </w:r>
    </w:p>
    <w:p w14:paraId="1261E2AE">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2、</w:t>
      </w:r>
      <w:r>
        <w:rPr>
          <w:rFonts w:hint="eastAsia" w:ascii="宋体" w:hAnsi="宋体" w:cs="宋体"/>
          <w:bCs/>
          <w:sz w:val="21"/>
          <w:szCs w:val="21"/>
        </w:rPr>
        <w:t>有效</w:t>
      </w:r>
      <w:r>
        <w:rPr>
          <w:rFonts w:hint="eastAsia" w:ascii="宋体" w:hAnsi="宋体" w:cs="宋体"/>
          <w:bCs/>
          <w:sz w:val="21"/>
          <w:szCs w:val="21"/>
          <w:lang w:val="en-US" w:eastAsia="zh-CN"/>
        </w:rPr>
        <w:t>的</w:t>
      </w:r>
      <w:r>
        <w:rPr>
          <w:rFonts w:hint="eastAsia" w:ascii="宋体" w:hAnsi="宋体" w:cs="宋体"/>
          <w:bCs/>
          <w:sz w:val="21"/>
          <w:szCs w:val="21"/>
        </w:rPr>
        <w:t>企业法人营业执照</w:t>
      </w:r>
      <w:r>
        <w:rPr>
          <w:rFonts w:hint="eastAsia" w:ascii="宋体" w:hAnsi="宋体" w:cs="宋体"/>
          <w:bCs/>
          <w:sz w:val="21"/>
          <w:szCs w:val="21"/>
          <w:lang w:val="en-US" w:eastAsia="zh-CN"/>
        </w:rPr>
        <w:t>；</w:t>
      </w:r>
    </w:p>
    <w:p w14:paraId="0105D453">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3、</w:t>
      </w:r>
      <w:r>
        <w:rPr>
          <w:rFonts w:hint="eastAsia" w:ascii="宋体" w:hAnsi="宋体" w:cs="宋体"/>
          <w:bCs/>
          <w:sz w:val="21"/>
          <w:szCs w:val="21"/>
          <w:lang w:val="en-US" w:eastAsia="zh-CN"/>
        </w:rPr>
        <w:t>拟派</w:t>
      </w:r>
      <w:r>
        <w:rPr>
          <w:rFonts w:hint="eastAsia" w:ascii="宋体" w:hAnsi="宋体" w:cs="宋体"/>
          <w:bCs/>
          <w:sz w:val="21"/>
          <w:szCs w:val="21"/>
        </w:rPr>
        <w:t>项目负责人资格</w:t>
      </w:r>
      <w:r>
        <w:rPr>
          <w:rFonts w:hint="eastAsia" w:ascii="宋体" w:hAnsi="宋体" w:cs="宋体"/>
          <w:bCs/>
          <w:sz w:val="21"/>
          <w:szCs w:val="21"/>
          <w:lang w:val="en-US" w:eastAsia="zh-CN"/>
        </w:rPr>
        <w:t>；</w:t>
      </w:r>
    </w:p>
    <w:p w14:paraId="3681523B">
      <w:pPr>
        <w:pBdr>
          <w:top w:val="none" w:color="000000" w:sz="0" w:space="0"/>
          <w:left w:val="none" w:color="000000" w:sz="0" w:space="0"/>
          <w:bottom w:val="none" w:color="000000" w:sz="0" w:space="0"/>
          <w:right w:val="none" w:color="000000" w:sz="0" w:space="0"/>
        </w:pBdr>
        <w:spacing w:line="360" w:lineRule="auto"/>
        <w:ind w:firstLine="482"/>
        <w:rPr>
          <w:rFonts w:hint="default" w:asciiTheme="minorEastAsia" w:hAnsiTheme="minorEastAsia" w:eastAsiaTheme="minorEastAsia" w:cstheme="minorEastAsia"/>
          <w:iCs/>
          <w:sz w:val="21"/>
          <w:szCs w:val="21"/>
          <w:lang w:val="en-US"/>
        </w:rPr>
      </w:pPr>
      <w:r>
        <w:rPr>
          <w:rFonts w:hint="eastAsia" w:asciiTheme="minorEastAsia" w:hAnsiTheme="minorEastAsia" w:eastAsiaTheme="minorEastAsia" w:cstheme="minorEastAsia"/>
          <w:iCs/>
          <w:sz w:val="21"/>
          <w:szCs w:val="21"/>
          <w:lang w:val="en-US" w:eastAsia="zh-CN"/>
        </w:rPr>
        <w:t>4、</w:t>
      </w:r>
      <w:r>
        <w:rPr>
          <w:rFonts w:hint="eastAsia" w:ascii="宋体" w:hAnsi="宋体" w:cs="宋体"/>
          <w:bCs/>
          <w:sz w:val="21"/>
          <w:szCs w:val="21"/>
          <w:lang w:val="en-US" w:eastAsia="zh-CN"/>
        </w:rPr>
        <w:t>拟派项目组组成人员资格；</w:t>
      </w:r>
    </w:p>
    <w:p w14:paraId="4257801F">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5、</w:t>
      </w:r>
      <w:r>
        <w:rPr>
          <w:rFonts w:hint="eastAsia" w:ascii="宋体" w:hAnsi="宋体" w:cs="宋体"/>
          <w:color w:val="0D0D0D"/>
          <w:sz w:val="21"/>
          <w:szCs w:val="21"/>
        </w:rPr>
        <w:t>投标人符合《政府采购法》第二十二条规定条件的声明函</w:t>
      </w:r>
      <w:r>
        <w:rPr>
          <w:rFonts w:hint="eastAsia" w:ascii="宋体" w:hAnsi="宋体" w:cs="宋体"/>
          <w:color w:val="0D0D0D"/>
          <w:sz w:val="21"/>
          <w:szCs w:val="21"/>
          <w:lang w:val="en-US" w:eastAsia="zh-CN"/>
        </w:rPr>
        <w:t>；</w:t>
      </w:r>
    </w:p>
    <w:p w14:paraId="7CA04BEE">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color w:val="0D0D0D"/>
          <w:sz w:val="21"/>
          <w:szCs w:val="21"/>
          <w:shd w:val="clear" w:color="auto" w:fill="FFFFFF"/>
          <w:lang w:eastAsia="zh-CN"/>
        </w:rPr>
      </w:pPr>
      <w:r>
        <w:rPr>
          <w:rFonts w:hint="eastAsia" w:asciiTheme="minorEastAsia" w:hAnsiTheme="minorEastAsia" w:eastAsiaTheme="minorEastAsia" w:cstheme="minorEastAsia"/>
          <w:iCs/>
          <w:sz w:val="21"/>
          <w:szCs w:val="21"/>
          <w:lang w:val="en-US" w:eastAsia="zh-CN"/>
        </w:rPr>
        <w:t>6、</w:t>
      </w:r>
      <w:r>
        <w:rPr>
          <w:rFonts w:hint="eastAsia" w:ascii="宋体" w:hAnsi="宋体" w:cs="宋体"/>
          <w:color w:val="0D0D0D"/>
          <w:sz w:val="21"/>
          <w:szCs w:val="21"/>
          <w:shd w:val="clear" w:color="auto" w:fill="FFFFFF"/>
        </w:rPr>
        <w:t>中小企业声明函</w:t>
      </w:r>
      <w:r>
        <w:rPr>
          <w:rFonts w:hint="eastAsia" w:ascii="宋体" w:hAnsi="宋体" w:cs="宋体"/>
          <w:color w:val="0D0D0D"/>
          <w:sz w:val="21"/>
          <w:szCs w:val="21"/>
          <w:shd w:val="clear" w:color="auto" w:fill="FFFFFF"/>
          <w:lang w:eastAsia="zh-CN"/>
        </w:rPr>
        <w:t>。</w:t>
      </w:r>
    </w:p>
    <w:p w14:paraId="13EF07E4">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en-US" w:eastAsia="zh-CN"/>
        </w:rPr>
        <w:t>二、</w:t>
      </w:r>
      <w:r>
        <w:rPr>
          <w:rFonts w:hint="eastAsia" w:asciiTheme="minorEastAsia" w:hAnsiTheme="minorEastAsia" w:eastAsiaTheme="minorEastAsia" w:cstheme="minorEastAsia"/>
          <w:iCs/>
          <w:sz w:val="21"/>
          <w:szCs w:val="21"/>
          <w:lang w:val="zh-CN" w:eastAsia="zh-CN"/>
        </w:rPr>
        <w:t xml:space="preserve">商务技术文件 </w:t>
      </w:r>
    </w:p>
    <w:p w14:paraId="42A4F651">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zh-CN" w:eastAsia="zh-CN"/>
        </w:rPr>
        <w:t>具体提供材料详见第</w:t>
      </w:r>
      <w:r>
        <w:rPr>
          <w:rFonts w:hint="eastAsia" w:asciiTheme="minorEastAsia" w:hAnsiTheme="minorEastAsia" w:eastAsiaTheme="minorEastAsia" w:cstheme="minorEastAsia"/>
          <w:iCs/>
          <w:sz w:val="21"/>
          <w:szCs w:val="21"/>
          <w:lang w:val="en-US" w:eastAsia="zh-CN"/>
        </w:rPr>
        <w:t>五</w:t>
      </w:r>
      <w:r>
        <w:rPr>
          <w:rFonts w:hint="eastAsia" w:asciiTheme="minorEastAsia" w:hAnsiTheme="minorEastAsia" w:eastAsiaTheme="minorEastAsia" w:cstheme="minorEastAsia"/>
          <w:iCs/>
          <w:sz w:val="21"/>
          <w:szCs w:val="21"/>
          <w:lang w:val="zh-CN" w:eastAsia="zh-CN"/>
        </w:rPr>
        <w:t>章《</w:t>
      </w:r>
      <w:r>
        <w:rPr>
          <w:rFonts w:hint="eastAsia" w:asciiTheme="minorEastAsia" w:hAnsiTheme="minorEastAsia" w:eastAsiaTheme="minorEastAsia" w:cstheme="minorEastAsia"/>
          <w:iCs/>
          <w:sz w:val="21"/>
          <w:szCs w:val="21"/>
          <w:lang w:val="en-US" w:eastAsia="zh-CN"/>
        </w:rPr>
        <w:t>评分标</w:t>
      </w:r>
      <w:r>
        <w:rPr>
          <w:rFonts w:hint="eastAsia" w:asciiTheme="minorEastAsia" w:hAnsiTheme="minorEastAsia" w:eastAsiaTheme="minorEastAsia" w:cstheme="minorEastAsia"/>
          <w:iCs/>
          <w:sz w:val="21"/>
          <w:szCs w:val="21"/>
          <w:lang w:val="zh-CN" w:eastAsia="zh-CN"/>
        </w:rPr>
        <w:t xml:space="preserve">准》。 </w:t>
      </w:r>
    </w:p>
    <w:p w14:paraId="633827C1">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en-US" w:eastAsia="zh-CN"/>
        </w:rPr>
        <w:t>三、</w:t>
      </w:r>
      <w:r>
        <w:rPr>
          <w:rFonts w:hint="eastAsia" w:asciiTheme="minorEastAsia" w:hAnsiTheme="minorEastAsia" w:eastAsiaTheme="minorEastAsia" w:cstheme="minorEastAsia"/>
          <w:iCs/>
          <w:sz w:val="21"/>
          <w:szCs w:val="21"/>
          <w:lang w:val="zh-CN" w:eastAsia="zh-CN"/>
        </w:rPr>
        <w:t>价格文件</w:t>
      </w:r>
    </w:p>
    <w:p w14:paraId="59492DDC">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1、开标一览表；</w:t>
      </w:r>
    </w:p>
    <w:p w14:paraId="2B094791">
      <w:pPr>
        <w:pBdr>
          <w:top w:val="none" w:color="000000" w:sz="0" w:space="0"/>
          <w:left w:val="none" w:color="000000" w:sz="0" w:space="0"/>
          <w:bottom w:val="none" w:color="000000" w:sz="0" w:space="0"/>
          <w:right w:val="none" w:color="000000" w:sz="0" w:space="0"/>
        </w:pBdr>
        <w:spacing w:line="360" w:lineRule="auto"/>
        <w:ind w:firstLine="482"/>
        <w:rPr>
          <w:rFonts w:hint="default" w:asciiTheme="minorEastAsia" w:hAnsiTheme="minorEastAsia" w:eastAsia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2、承诺书。</w:t>
      </w:r>
    </w:p>
    <w:p w14:paraId="6948715A">
      <w:pPr>
        <w:pStyle w:val="2"/>
        <w:rPr>
          <w:rFonts w:hint="eastAsia" w:eastAsia="宋体"/>
          <w:lang w:val="en-US" w:eastAsia="zh-CN"/>
        </w:rPr>
      </w:pPr>
    </w:p>
    <w:p w14:paraId="4DAADA2B">
      <w:pPr>
        <w:pStyle w:val="2"/>
        <w:rPr>
          <w:rFonts w:hint="default" w:eastAsia="宋体"/>
          <w:lang w:val="en-US" w:eastAsia="zh-CN"/>
        </w:rPr>
      </w:pPr>
      <w:r>
        <w:rPr>
          <w:rFonts w:hint="eastAsia" w:ascii="宋体" w:hAnsi="宋体" w:cs="宋体"/>
          <w:color w:val="0D0D0D"/>
          <w:sz w:val="21"/>
          <w:szCs w:val="21"/>
          <w:shd w:val="clear" w:color="auto" w:fill="FFFFFF"/>
          <w:lang w:val="en-US" w:eastAsia="zh-CN"/>
        </w:rPr>
        <w:t xml:space="preserve">     </w:t>
      </w:r>
    </w:p>
    <w:p w14:paraId="67FB87F9">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32"/>
        </w:rPr>
      </w:pPr>
      <w:r>
        <w:rPr>
          <w:rFonts w:hint="eastAsia" w:asciiTheme="minorEastAsia" w:hAnsiTheme="minorEastAsia" w:eastAsiaTheme="minorEastAsia" w:cstheme="minorEastAsia"/>
          <w:iCs/>
          <w:sz w:val="32"/>
        </w:rPr>
        <w:br w:type="page" w:clear="all"/>
      </w:r>
    </w:p>
    <w:p w14:paraId="44B7A592">
      <w:pPr>
        <w:spacing w:line="360" w:lineRule="auto"/>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法定代表人</w:t>
      </w:r>
      <w:r>
        <w:rPr>
          <w:rFonts w:hint="eastAsia" w:asciiTheme="minorEastAsia" w:hAnsiTheme="minorEastAsia" w:eastAsiaTheme="minorEastAsia" w:cstheme="minorEastAsia"/>
          <w:b/>
          <w:sz w:val="32"/>
          <w:szCs w:val="32"/>
          <w:lang w:val="en-US" w:eastAsia="zh-CN"/>
        </w:rPr>
        <w:t>身份</w:t>
      </w:r>
      <w:r>
        <w:rPr>
          <w:rFonts w:hint="eastAsia" w:asciiTheme="minorEastAsia" w:hAnsiTheme="minorEastAsia" w:eastAsiaTheme="minorEastAsia" w:cstheme="minorEastAsia"/>
          <w:b/>
          <w:sz w:val="32"/>
          <w:szCs w:val="32"/>
        </w:rPr>
        <w:t>证明书</w:t>
      </w:r>
    </w:p>
    <w:p w14:paraId="3551C8FE">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w:t>
      </w:r>
    </w:p>
    <w:p w14:paraId="5DEF4085">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p>
    <w:p w14:paraId="22D364A8">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姓名:        性别:         年龄:         职务:</w:t>
      </w:r>
    </w:p>
    <w:p w14:paraId="68A9340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w:t>
      </w:r>
      <w:r>
        <w:rPr>
          <w:rFonts w:hint="eastAsia" w:asciiTheme="minorEastAsia" w:hAnsiTheme="minorEastAsia" w:eastAsiaTheme="minorEastAsia" w:cstheme="minorEastAsia"/>
          <w:sz w:val="21"/>
          <w:szCs w:val="21"/>
          <w:u w:val="single"/>
        </w:rPr>
        <w:t>（响应单位名称）</w:t>
      </w:r>
      <w:r>
        <w:rPr>
          <w:rFonts w:hint="eastAsia" w:asciiTheme="minorEastAsia" w:hAnsiTheme="minorEastAsia" w:eastAsiaTheme="minorEastAsia" w:cstheme="minorEastAsia"/>
          <w:sz w:val="21"/>
          <w:szCs w:val="21"/>
        </w:rPr>
        <w:t>的法定代表人。为参与</w:t>
      </w:r>
      <w:r>
        <w:rPr>
          <w:rFonts w:hint="eastAsia" w:asciiTheme="minorEastAsia" w:hAnsiTheme="minorEastAsia" w:eastAsiaTheme="minorEastAsia" w:cstheme="minorEastAsia"/>
          <w:sz w:val="21"/>
          <w:szCs w:val="21"/>
          <w:u w:val="single"/>
        </w:rPr>
        <w:t>（项目名称）</w:t>
      </w:r>
      <w:r>
        <w:rPr>
          <w:rFonts w:hint="eastAsia" w:asciiTheme="minorEastAsia" w:hAnsiTheme="minorEastAsia" w:eastAsiaTheme="minorEastAsia" w:cstheme="minorEastAsia"/>
          <w:sz w:val="21"/>
          <w:szCs w:val="21"/>
        </w:rPr>
        <w:t>的政府采购活动，签署、澄清确认、递交、撤回、修改上述项目的响应文件、进行框架协议谈判、签署框架协议和处理与之有关的一切事务。</w:t>
      </w:r>
    </w:p>
    <w:p w14:paraId="030BE34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特此证明。</w:t>
      </w:r>
    </w:p>
    <w:p w14:paraId="2EC73746">
      <w:pPr>
        <w:pStyle w:val="21"/>
        <w:spacing w:line="360" w:lineRule="auto"/>
        <w:ind w:right="-46"/>
        <w:rPr>
          <w:rFonts w:hint="eastAsia"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z w:val="21"/>
          <w:szCs w:val="21"/>
        </w:rPr>
        <w:t>附：</w:t>
      </w:r>
      <w:r>
        <w:rPr>
          <w:rFonts w:hint="eastAsia" w:asciiTheme="minorEastAsia" w:hAnsiTheme="minorEastAsia" w:eastAsiaTheme="minorEastAsia" w:cstheme="minorEastAsia"/>
          <w:spacing w:val="-3"/>
          <w:sz w:val="21"/>
          <w:szCs w:val="21"/>
        </w:rPr>
        <w:t>法</w:t>
      </w:r>
      <w:r>
        <w:rPr>
          <w:rFonts w:hint="eastAsia" w:asciiTheme="minorEastAsia" w:hAnsiTheme="minorEastAsia" w:eastAsiaTheme="minorEastAsia" w:cstheme="minorEastAsia"/>
          <w:sz w:val="21"/>
          <w:szCs w:val="21"/>
        </w:rPr>
        <w:t>定</w:t>
      </w:r>
      <w:r>
        <w:rPr>
          <w:rFonts w:hint="eastAsia" w:asciiTheme="minorEastAsia" w:hAnsiTheme="minorEastAsia" w:eastAsiaTheme="minorEastAsia" w:cstheme="minorEastAsia"/>
          <w:spacing w:val="-3"/>
          <w:sz w:val="21"/>
          <w:szCs w:val="21"/>
        </w:rPr>
        <w:t>代</w:t>
      </w:r>
      <w:r>
        <w:rPr>
          <w:rFonts w:hint="eastAsia" w:asciiTheme="minorEastAsia" w:hAnsiTheme="minorEastAsia" w:eastAsiaTheme="minorEastAsia" w:cstheme="minorEastAsia"/>
          <w:sz w:val="21"/>
          <w:szCs w:val="21"/>
        </w:rPr>
        <w:t>表</w:t>
      </w:r>
      <w:r>
        <w:rPr>
          <w:rFonts w:hint="eastAsia" w:asciiTheme="minorEastAsia" w:hAnsiTheme="minorEastAsia" w:eastAsiaTheme="minorEastAsia" w:cstheme="minorEastAsia"/>
          <w:spacing w:val="-3"/>
          <w:sz w:val="21"/>
          <w:szCs w:val="21"/>
        </w:rPr>
        <w:t>人有效期内的身份证正反面电子件。</w:t>
      </w:r>
    </w:p>
    <w:tbl>
      <w:tblPr>
        <w:tblStyle w:val="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2E88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8" w:hRule="atLeast"/>
          <w:jc w:val="center"/>
        </w:trPr>
        <w:tc>
          <w:tcPr>
            <w:tcW w:w="4673" w:type="dxa"/>
            <w:noWrap/>
          </w:tcPr>
          <w:p w14:paraId="4331E805">
            <w:pPr>
              <w:tabs>
                <w:tab w:val="left" w:pos="5580"/>
              </w:tabs>
              <w:spacing w:line="360" w:lineRule="auto"/>
              <w:rPr>
                <w:rFonts w:hint="eastAsia" w:asciiTheme="minorEastAsia" w:hAnsiTheme="minorEastAsia" w:eastAsiaTheme="minorEastAsia" w:cstheme="minorEastAsia"/>
                <w:sz w:val="21"/>
                <w:szCs w:val="21"/>
              </w:rPr>
            </w:pPr>
          </w:p>
          <w:p w14:paraId="560B4C1B">
            <w:pPr>
              <w:tabs>
                <w:tab w:val="left" w:pos="5580"/>
              </w:tabs>
              <w:spacing w:line="360" w:lineRule="auto"/>
              <w:rPr>
                <w:rFonts w:hint="eastAsia" w:asciiTheme="minorEastAsia" w:hAnsiTheme="minorEastAsia" w:eastAsiaTheme="minorEastAsia" w:cstheme="minorEastAsia"/>
                <w:sz w:val="21"/>
                <w:szCs w:val="21"/>
              </w:rPr>
            </w:pPr>
          </w:p>
          <w:p w14:paraId="25E6DBEE">
            <w:pPr>
              <w:tabs>
                <w:tab w:val="left" w:pos="5580"/>
              </w:tabs>
              <w:spacing w:line="360" w:lineRule="auto"/>
              <w:rPr>
                <w:rFonts w:hint="eastAsia" w:asciiTheme="minorEastAsia" w:hAnsiTheme="minorEastAsia" w:eastAsiaTheme="minorEastAsia" w:cstheme="minorEastAsia"/>
                <w:sz w:val="21"/>
                <w:szCs w:val="21"/>
              </w:rPr>
            </w:pPr>
          </w:p>
        </w:tc>
        <w:tc>
          <w:tcPr>
            <w:tcW w:w="4536" w:type="dxa"/>
            <w:noWrap/>
          </w:tcPr>
          <w:p w14:paraId="10910805">
            <w:pPr>
              <w:tabs>
                <w:tab w:val="left" w:pos="5580"/>
              </w:tabs>
              <w:spacing w:line="360" w:lineRule="auto"/>
              <w:rPr>
                <w:rFonts w:hint="eastAsia" w:asciiTheme="minorEastAsia" w:hAnsiTheme="minorEastAsia" w:eastAsiaTheme="minorEastAsia" w:cstheme="minorEastAsia"/>
                <w:sz w:val="21"/>
                <w:szCs w:val="21"/>
              </w:rPr>
            </w:pPr>
          </w:p>
          <w:p w14:paraId="056D4EF1">
            <w:pPr>
              <w:tabs>
                <w:tab w:val="left" w:pos="5580"/>
              </w:tabs>
              <w:spacing w:line="360" w:lineRule="auto"/>
              <w:rPr>
                <w:rFonts w:hint="eastAsia" w:asciiTheme="minorEastAsia" w:hAnsiTheme="minorEastAsia" w:eastAsiaTheme="minorEastAsia" w:cstheme="minorEastAsia"/>
                <w:sz w:val="21"/>
                <w:szCs w:val="21"/>
              </w:rPr>
            </w:pPr>
          </w:p>
          <w:p w14:paraId="4F1A6646">
            <w:pPr>
              <w:tabs>
                <w:tab w:val="left" w:pos="5580"/>
              </w:tabs>
              <w:spacing w:line="360" w:lineRule="auto"/>
              <w:rPr>
                <w:rFonts w:hint="eastAsia" w:asciiTheme="minorEastAsia" w:hAnsiTheme="minorEastAsia" w:eastAsiaTheme="minorEastAsia" w:cstheme="minorEastAsia"/>
                <w:sz w:val="21"/>
                <w:szCs w:val="21"/>
              </w:rPr>
            </w:pPr>
          </w:p>
        </w:tc>
      </w:tr>
    </w:tbl>
    <w:p w14:paraId="592F7185">
      <w:pPr>
        <w:tabs>
          <w:tab w:val="left" w:pos="5580"/>
        </w:tabs>
        <w:spacing w:line="360" w:lineRule="auto"/>
        <w:ind w:left="420"/>
        <w:rPr>
          <w:rFonts w:hint="eastAsia" w:asciiTheme="minorEastAsia" w:hAnsiTheme="minorEastAsia" w:eastAsiaTheme="minorEastAsia" w:cstheme="minorEastAsia"/>
          <w:sz w:val="21"/>
          <w:szCs w:val="21"/>
        </w:rPr>
      </w:pPr>
    </w:p>
    <w:p w14:paraId="77BA93B7">
      <w:pPr>
        <w:tabs>
          <w:tab w:val="left" w:pos="5580"/>
        </w:tabs>
        <w:spacing w:line="360" w:lineRule="auto"/>
        <w:ind w:left="420" w:firstLine="38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供应商：（加盖电子公章）</w:t>
      </w:r>
    </w:p>
    <w:p w14:paraId="3547C74C">
      <w:pPr>
        <w:spacing w:line="360" w:lineRule="auto"/>
        <w:ind w:firstLine="4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法定代表人签字或盖电子章：</w:t>
      </w:r>
    </w:p>
    <w:p w14:paraId="3793AA40">
      <w:pPr>
        <w:spacing w:line="360" w:lineRule="auto"/>
        <w:ind w:firstLine="4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        年        月         日</w:t>
      </w:r>
    </w:p>
    <w:p w14:paraId="168D9D4D">
      <w:pPr>
        <w:rPr>
          <w:rFonts w:hint="eastAsia" w:asciiTheme="minorEastAsia" w:hAnsiTheme="minorEastAsia" w:eastAsiaTheme="minorEastAsia" w:cstheme="minorEastAsia"/>
          <w:sz w:val="24"/>
        </w:rPr>
      </w:pPr>
    </w:p>
    <w:p w14:paraId="7D98D11B">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sz w:val="30"/>
          <w:szCs w:val="30"/>
        </w:rPr>
      </w:pPr>
    </w:p>
    <w:p w14:paraId="39B10172">
      <w:pPr>
        <w:spacing w:line="360" w:lineRule="auto"/>
        <w:jc w:val="center"/>
        <w:rPr>
          <w:rFonts w:hint="eastAsia" w:asciiTheme="minorEastAsia" w:hAnsiTheme="minorEastAsia" w:eastAsiaTheme="minorEastAsia" w:cstheme="minorEastAsia"/>
          <w:b/>
          <w:sz w:val="32"/>
          <w:szCs w:val="32"/>
        </w:rPr>
      </w:pPr>
    </w:p>
    <w:p w14:paraId="15F491A5">
      <w:pPr>
        <w:spacing w:line="360" w:lineRule="auto"/>
        <w:jc w:val="center"/>
        <w:rPr>
          <w:rFonts w:hint="eastAsia" w:asciiTheme="minorEastAsia" w:hAnsiTheme="minorEastAsia" w:eastAsiaTheme="minorEastAsia" w:cstheme="minorEastAsia"/>
          <w:b/>
          <w:sz w:val="32"/>
          <w:szCs w:val="32"/>
        </w:rPr>
      </w:pPr>
    </w:p>
    <w:p w14:paraId="6AE2B784">
      <w:pPr>
        <w:spacing w:line="360" w:lineRule="auto"/>
        <w:jc w:val="center"/>
        <w:rPr>
          <w:rFonts w:hint="eastAsia" w:asciiTheme="minorEastAsia" w:hAnsiTheme="minorEastAsia" w:eastAsiaTheme="minorEastAsia" w:cstheme="minorEastAsia"/>
          <w:b/>
          <w:sz w:val="32"/>
          <w:szCs w:val="32"/>
        </w:rPr>
      </w:pPr>
    </w:p>
    <w:p w14:paraId="4B811EE2">
      <w:pPr>
        <w:spacing w:line="360" w:lineRule="auto"/>
        <w:jc w:val="center"/>
        <w:rPr>
          <w:rFonts w:hint="eastAsia" w:asciiTheme="minorEastAsia" w:hAnsiTheme="minorEastAsia" w:eastAsiaTheme="minorEastAsia" w:cstheme="minorEastAsia"/>
          <w:b/>
          <w:sz w:val="32"/>
          <w:szCs w:val="32"/>
        </w:rPr>
      </w:pPr>
    </w:p>
    <w:p w14:paraId="171827EC">
      <w:pPr>
        <w:spacing w:line="360" w:lineRule="auto"/>
        <w:jc w:val="center"/>
        <w:rPr>
          <w:rFonts w:hint="eastAsia" w:asciiTheme="minorEastAsia" w:hAnsiTheme="minorEastAsia" w:eastAsiaTheme="minorEastAsia" w:cstheme="minorEastAsia"/>
          <w:b/>
          <w:sz w:val="32"/>
          <w:szCs w:val="32"/>
        </w:rPr>
      </w:pPr>
    </w:p>
    <w:p w14:paraId="11332BF8">
      <w:pPr>
        <w:spacing w:line="360" w:lineRule="auto"/>
        <w:jc w:val="center"/>
        <w:rPr>
          <w:rFonts w:hint="eastAsia" w:asciiTheme="minorEastAsia" w:hAnsiTheme="minorEastAsia" w:eastAsiaTheme="minorEastAsia" w:cstheme="minorEastAsia"/>
          <w:b/>
          <w:sz w:val="32"/>
          <w:szCs w:val="32"/>
        </w:rPr>
      </w:pPr>
    </w:p>
    <w:p w14:paraId="55848288">
      <w:pPr>
        <w:spacing w:line="360" w:lineRule="auto"/>
        <w:jc w:val="center"/>
        <w:rPr>
          <w:rFonts w:hint="eastAsia" w:asciiTheme="minorEastAsia" w:hAnsiTheme="minorEastAsia" w:eastAsiaTheme="minorEastAsia" w:cstheme="minorEastAsia"/>
          <w:b/>
          <w:sz w:val="32"/>
          <w:szCs w:val="32"/>
        </w:rPr>
      </w:pPr>
    </w:p>
    <w:p w14:paraId="34CA27DC">
      <w:pPr>
        <w:spacing w:line="360" w:lineRule="auto"/>
        <w:jc w:val="center"/>
        <w:rPr>
          <w:rFonts w:hint="eastAsia" w:asciiTheme="minorEastAsia" w:hAnsiTheme="minorEastAsia" w:eastAsiaTheme="minorEastAsia" w:cstheme="minorEastAsia"/>
          <w:b/>
          <w:sz w:val="32"/>
          <w:szCs w:val="32"/>
        </w:rPr>
      </w:pPr>
    </w:p>
    <w:p w14:paraId="332AC495">
      <w:pPr>
        <w:spacing w:line="360" w:lineRule="auto"/>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t>法人授权</w:t>
      </w:r>
      <w:r>
        <w:rPr>
          <w:rFonts w:hint="eastAsia" w:asciiTheme="minorEastAsia" w:hAnsiTheme="minorEastAsia" w:eastAsiaTheme="minorEastAsia" w:cstheme="minorEastAsia"/>
          <w:b/>
          <w:sz w:val="32"/>
          <w:szCs w:val="32"/>
          <w:lang w:val="en-US" w:eastAsia="zh-CN"/>
        </w:rPr>
        <w:t>委托</w:t>
      </w:r>
      <w:r>
        <w:rPr>
          <w:rFonts w:hint="eastAsia" w:asciiTheme="minorEastAsia" w:hAnsiTheme="minorEastAsia" w:eastAsiaTheme="minorEastAsia" w:cstheme="minorEastAsia"/>
          <w:b/>
          <w:sz w:val="32"/>
          <w:szCs w:val="32"/>
        </w:rPr>
        <w:t>书</w:t>
      </w:r>
    </w:p>
    <w:p w14:paraId="7B836F3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本授权书声明：____________（供应商名称）授权________________（被授权人的姓名）为我方就</w:t>
      </w:r>
      <w:r>
        <w:rPr>
          <w:rFonts w:hint="eastAsia" w:asciiTheme="minorEastAsia" w:hAnsiTheme="minorEastAsia" w:eastAsiaTheme="minorEastAsia" w:cstheme="minorEastAsia"/>
          <w:sz w:val="21"/>
          <w:szCs w:val="21"/>
          <w:u w:val="single"/>
        </w:rPr>
        <w:t xml:space="preserve">   （项目编号）     </w:t>
      </w:r>
      <w:r>
        <w:rPr>
          <w:rFonts w:hint="eastAsia" w:asciiTheme="minorEastAsia" w:hAnsiTheme="minorEastAsia" w:eastAsiaTheme="minorEastAsia" w:cstheme="minorEastAsia"/>
          <w:sz w:val="21"/>
          <w:szCs w:val="21"/>
        </w:rPr>
        <w:t>项目框架协议采购活动的合法代理人，以本单位名义全权处理一切与该项目采购有关的事务。</w:t>
      </w:r>
    </w:p>
    <w:p w14:paraId="25A44D6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本授权书于______年____月____日起生效，特此声明。</w:t>
      </w:r>
    </w:p>
    <w:p w14:paraId="0DBD4CC7">
      <w:pPr>
        <w:pStyle w:val="200"/>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被授权人身份证号码：</w:t>
      </w:r>
    </w:p>
    <w:p w14:paraId="76A73B0B">
      <w:pPr>
        <w:pStyle w:val="200"/>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被授权人联系电话：（手机）</w:t>
      </w:r>
    </w:p>
    <w:p w14:paraId="24B9156E">
      <w:pPr>
        <w:pStyle w:val="200"/>
        <w:spacing w:line="360" w:lineRule="auto"/>
        <w:ind w:firstLine="619" w:firstLineChars="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授权单位名称：</w:t>
      </w:r>
      <w:r>
        <w:rPr>
          <w:rFonts w:hint="eastAsia" w:asciiTheme="minorEastAsia" w:hAnsiTheme="minorEastAsia" w:eastAsiaTheme="minorEastAsia" w:cstheme="minorEastAsia"/>
          <w:sz w:val="21"/>
          <w:szCs w:val="21"/>
          <w:u w:val="single"/>
        </w:rPr>
        <w:t>（加盖CA电子公章）</w:t>
      </w:r>
    </w:p>
    <w:p w14:paraId="6F97087F">
      <w:pPr>
        <w:pStyle w:val="200"/>
        <w:spacing w:line="360" w:lineRule="auto"/>
        <w:ind w:firstLine="619" w:firstLineChars="295"/>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单位地址：</w:t>
      </w:r>
    </w:p>
    <w:p w14:paraId="12517FB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日期：</w:t>
      </w:r>
    </w:p>
    <w:p w14:paraId="4462E0B6">
      <w:pPr>
        <w:pStyle w:val="21"/>
        <w:spacing w:line="360" w:lineRule="auto"/>
        <w:ind w:right="-46"/>
        <w:rPr>
          <w:rFonts w:hint="eastAsia"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z w:val="21"/>
          <w:szCs w:val="21"/>
        </w:rPr>
        <w:t>附：</w:t>
      </w:r>
      <w:r>
        <w:rPr>
          <w:rFonts w:hint="eastAsia" w:asciiTheme="minorEastAsia" w:hAnsiTheme="minorEastAsia" w:eastAsiaTheme="minorEastAsia" w:cstheme="minorEastAsia"/>
          <w:spacing w:val="-3"/>
          <w:sz w:val="21"/>
          <w:szCs w:val="21"/>
        </w:rPr>
        <w:t>被授权人有效期内的身份证正反面电子件。</w:t>
      </w:r>
    </w:p>
    <w:tbl>
      <w:tblPr>
        <w:tblStyle w:val="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EF0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8" w:hRule="atLeast"/>
          <w:jc w:val="center"/>
        </w:trPr>
        <w:tc>
          <w:tcPr>
            <w:tcW w:w="4673" w:type="dxa"/>
            <w:noWrap/>
          </w:tcPr>
          <w:p w14:paraId="202150C7">
            <w:pPr>
              <w:tabs>
                <w:tab w:val="left" w:pos="5580"/>
              </w:tabs>
              <w:spacing w:line="360" w:lineRule="auto"/>
              <w:rPr>
                <w:rFonts w:hint="eastAsia" w:asciiTheme="minorEastAsia" w:hAnsiTheme="minorEastAsia" w:eastAsiaTheme="minorEastAsia" w:cstheme="minorEastAsia"/>
                <w:sz w:val="21"/>
                <w:szCs w:val="21"/>
              </w:rPr>
            </w:pPr>
          </w:p>
          <w:p w14:paraId="07D4981D">
            <w:pPr>
              <w:tabs>
                <w:tab w:val="left" w:pos="5580"/>
              </w:tabs>
              <w:spacing w:line="360" w:lineRule="auto"/>
              <w:rPr>
                <w:rFonts w:hint="eastAsia" w:asciiTheme="minorEastAsia" w:hAnsiTheme="minorEastAsia" w:eastAsiaTheme="minorEastAsia" w:cstheme="minorEastAsia"/>
                <w:sz w:val="21"/>
                <w:szCs w:val="21"/>
              </w:rPr>
            </w:pPr>
          </w:p>
          <w:p w14:paraId="29FE2817">
            <w:pPr>
              <w:tabs>
                <w:tab w:val="left" w:pos="5580"/>
              </w:tabs>
              <w:spacing w:line="360" w:lineRule="auto"/>
              <w:rPr>
                <w:rFonts w:hint="eastAsia" w:asciiTheme="minorEastAsia" w:hAnsiTheme="minorEastAsia" w:eastAsiaTheme="minorEastAsia" w:cstheme="minorEastAsia"/>
                <w:sz w:val="21"/>
                <w:szCs w:val="21"/>
              </w:rPr>
            </w:pPr>
          </w:p>
        </w:tc>
        <w:tc>
          <w:tcPr>
            <w:tcW w:w="4536" w:type="dxa"/>
            <w:noWrap/>
          </w:tcPr>
          <w:p w14:paraId="303AC110">
            <w:pPr>
              <w:tabs>
                <w:tab w:val="left" w:pos="5580"/>
              </w:tabs>
              <w:spacing w:line="360" w:lineRule="auto"/>
              <w:rPr>
                <w:rFonts w:hint="eastAsia" w:asciiTheme="minorEastAsia" w:hAnsiTheme="minorEastAsia" w:eastAsiaTheme="minorEastAsia" w:cstheme="minorEastAsia"/>
                <w:sz w:val="21"/>
                <w:szCs w:val="21"/>
              </w:rPr>
            </w:pPr>
          </w:p>
          <w:p w14:paraId="1452FDB8">
            <w:pPr>
              <w:tabs>
                <w:tab w:val="left" w:pos="5580"/>
              </w:tabs>
              <w:spacing w:line="360" w:lineRule="auto"/>
              <w:rPr>
                <w:rFonts w:hint="eastAsia" w:asciiTheme="minorEastAsia" w:hAnsiTheme="minorEastAsia" w:eastAsiaTheme="minorEastAsia" w:cstheme="minorEastAsia"/>
                <w:sz w:val="21"/>
                <w:szCs w:val="21"/>
              </w:rPr>
            </w:pPr>
          </w:p>
          <w:p w14:paraId="6DF1CF57">
            <w:pPr>
              <w:tabs>
                <w:tab w:val="left" w:pos="5580"/>
              </w:tabs>
              <w:spacing w:line="360" w:lineRule="auto"/>
              <w:rPr>
                <w:rFonts w:hint="eastAsia" w:asciiTheme="minorEastAsia" w:hAnsiTheme="minorEastAsia" w:eastAsiaTheme="minorEastAsia" w:cstheme="minorEastAsia"/>
                <w:sz w:val="21"/>
                <w:szCs w:val="21"/>
              </w:rPr>
            </w:pPr>
          </w:p>
        </w:tc>
      </w:tr>
    </w:tbl>
    <w:p w14:paraId="66C3669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46B56FE2">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573632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3AC4C3AF">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5A23AED9">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7BE06AE">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C8F178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6F09AB69">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CD7C08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4B5005B2">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5ED54FF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009502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拟派项目负责人资格</w:t>
      </w:r>
    </w:p>
    <w:p w14:paraId="68799E2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lang w:eastAsia="zh-CN"/>
        </w:rPr>
      </w:pPr>
      <w:r>
        <w:rPr>
          <w:rFonts w:hint="eastAsia" w:ascii="宋体" w:hAnsi="宋体" w:cs="宋体"/>
          <w:bCs/>
          <w:lang w:val="en-US" w:eastAsia="zh-CN"/>
        </w:rPr>
        <w:t>供应商正式员工，</w:t>
      </w:r>
      <w:r>
        <w:rPr>
          <w:rFonts w:hint="eastAsia" w:ascii="宋体" w:hAnsi="宋体" w:cs="宋体"/>
          <w:bCs/>
        </w:rPr>
        <w:t>具有一级注册造价工程师证书（或国家注册造价工程师证书）且同时具备高级工程师及以上职称</w:t>
      </w:r>
      <w:r>
        <w:rPr>
          <w:rFonts w:hint="eastAsia" w:ascii="宋体" w:hAnsi="宋体" w:cs="宋体"/>
          <w:bCs/>
          <w:lang w:eastAsia="zh-CN"/>
        </w:rPr>
        <w:t>。</w:t>
      </w:r>
    </w:p>
    <w:p w14:paraId="6AAEC6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firstLineChars="200"/>
        <w:textAlignment w:val="auto"/>
        <w:rPr>
          <w:rFonts w:hint="default" w:asciiTheme="minorEastAsia" w:hAnsiTheme="minorEastAsia" w:eastAsiaTheme="minorEastAsia" w:cstheme="minorEastAsia"/>
          <w:b/>
          <w:bCs/>
          <w:iCs/>
          <w:sz w:val="30"/>
          <w:szCs w:val="30"/>
          <w:lang w:val="en-US" w:eastAsia="zh-CN"/>
        </w:rPr>
      </w:pPr>
      <w:r>
        <w:rPr>
          <w:rFonts w:hint="eastAsia" w:ascii="宋体" w:hAnsi="宋体" w:cs="宋体"/>
          <w:b/>
          <w:bCs w:val="0"/>
          <w:lang w:val="en-US" w:eastAsia="zh-CN"/>
        </w:rPr>
        <w:t>提供</w:t>
      </w:r>
      <w:r>
        <w:rPr>
          <w:rFonts w:hint="default" w:ascii="Calibri" w:hAnsi="Calibri" w:cs="Calibri"/>
          <w:b/>
          <w:bCs w:val="0"/>
          <w:lang w:val="en-US" w:eastAsia="zh-CN"/>
        </w:rPr>
        <w:t>①</w:t>
      </w:r>
      <w:r>
        <w:rPr>
          <w:rFonts w:hint="eastAsia" w:ascii="宋体" w:hAnsi="宋体" w:cs="宋体"/>
          <w:b/>
          <w:bCs w:val="0"/>
          <w:lang w:val="en-US" w:eastAsia="zh-CN"/>
        </w:rPr>
        <w:t>注册证书</w:t>
      </w:r>
      <w:r>
        <w:rPr>
          <w:rFonts w:hint="default" w:ascii="Calibri" w:hAnsi="Calibri" w:cs="Calibri"/>
          <w:b/>
          <w:bCs w:val="0"/>
          <w:lang w:val="en-US" w:eastAsia="zh-CN"/>
        </w:rPr>
        <w:t>②</w:t>
      </w:r>
      <w:r>
        <w:rPr>
          <w:rFonts w:hint="eastAsia" w:ascii="宋体" w:hAnsi="宋体" w:cs="宋体"/>
          <w:b/>
          <w:bCs w:val="0"/>
          <w:lang w:val="en-US" w:eastAsia="zh-CN"/>
        </w:rPr>
        <w:t>职称证书</w:t>
      </w:r>
      <w:r>
        <w:rPr>
          <w:rFonts w:hint="default" w:ascii="Calibri" w:hAnsi="Calibri" w:cs="Calibri"/>
          <w:b/>
          <w:bCs w:val="0"/>
          <w:lang w:val="en-US" w:eastAsia="zh-CN"/>
        </w:rPr>
        <w:t>③</w:t>
      </w:r>
      <w:r>
        <w:rPr>
          <w:rFonts w:hint="eastAsia" w:ascii="宋体" w:hAnsi="宋体" w:cs="宋体"/>
          <w:b/>
          <w:bCs w:val="0"/>
          <w:lang w:val="en-US" w:eastAsia="zh-CN"/>
        </w:rPr>
        <w:t>供应商为</w:t>
      </w:r>
      <w:r>
        <w:rPr>
          <w:rFonts w:hint="eastAsia" w:ascii="宋体" w:hAnsi="宋体" w:cs="宋体"/>
          <w:b/>
          <w:bCs w:val="0"/>
          <w:lang w:val="zh-CN" w:eastAsia="zh-CN"/>
        </w:rPr>
        <w:t>其缴纳的投标截止时间前三个月（不含投标截止时间当月）中任意一个月社</w:t>
      </w:r>
      <w:r>
        <w:rPr>
          <w:rFonts w:hint="eastAsia" w:ascii="宋体" w:hAnsi="宋体" w:cs="宋体"/>
          <w:b/>
          <w:bCs w:val="0"/>
          <w:lang w:val="en-US" w:eastAsia="zh-CN"/>
        </w:rPr>
        <w:t>保</w:t>
      </w:r>
      <w:r>
        <w:rPr>
          <w:rFonts w:hint="eastAsia" w:ascii="宋体" w:hAnsi="宋体" w:cs="宋体"/>
          <w:b/>
          <w:bCs w:val="0"/>
          <w:lang w:val="zh-CN" w:eastAsia="zh-CN"/>
        </w:rPr>
        <w:t>缴费证明（可以以退休证代替社保证明,且不满65周岁</w:t>
      </w:r>
      <w:r>
        <w:rPr>
          <w:rFonts w:hint="eastAsia" w:ascii="宋体" w:hAnsi="宋体" w:cs="宋体"/>
          <w:b/>
          <w:bCs w:val="0"/>
          <w:highlight w:val="none"/>
          <w:lang w:val="zh-CN" w:eastAsia="zh-CN"/>
        </w:rPr>
        <w:t>,</w:t>
      </w:r>
      <w:r>
        <w:rPr>
          <w:rFonts w:hint="eastAsia" w:ascii="宋体" w:hAnsi="宋体" w:cs="宋体"/>
          <w:b/>
          <w:bCs w:val="0"/>
          <w:highlight w:val="none"/>
          <w:lang w:val="en-US" w:eastAsia="zh-CN"/>
        </w:rPr>
        <w:t>提供退体证及</w:t>
      </w:r>
      <w:r>
        <w:rPr>
          <w:rFonts w:hint="eastAsia" w:ascii="宋体" w:hAnsi="宋体" w:cs="宋体"/>
          <w:b/>
          <w:bCs w:val="0"/>
          <w:highlight w:val="none"/>
          <w:lang w:val="zh-CN" w:eastAsia="zh-CN"/>
        </w:rPr>
        <w:t>本</w:t>
      </w:r>
      <w:r>
        <w:rPr>
          <w:rFonts w:hint="eastAsia" w:ascii="宋体" w:hAnsi="宋体" w:cs="宋体"/>
          <w:b/>
          <w:bCs w:val="0"/>
          <w:lang w:val="zh-CN" w:eastAsia="zh-CN"/>
        </w:rPr>
        <w:t>年度任意三个月在</w:t>
      </w:r>
      <w:r>
        <w:rPr>
          <w:rFonts w:hint="eastAsia" w:ascii="宋体" w:hAnsi="宋体" w:cs="宋体"/>
          <w:b/>
          <w:bCs w:val="0"/>
          <w:lang w:val="en-US" w:eastAsia="zh-CN"/>
        </w:rPr>
        <w:t>供应商单位</w:t>
      </w:r>
      <w:r>
        <w:rPr>
          <w:rFonts w:hint="eastAsia" w:ascii="宋体" w:hAnsi="宋体" w:cs="宋体"/>
          <w:b/>
          <w:bCs w:val="0"/>
          <w:lang w:val="zh-CN" w:eastAsia="zh-CN"/>
        </w:rPr>
        <w:t>的工资流水）。</w:t>
      </w:r>
    </w:p>
    <w:p w14:paraId="593B7F05">
      <w:pPr>
        <w:pBdr>
          <w:top w:val="none" w:color="000000" w:sz="0" w:space="0"/>
          <w:left w:val="none" w:color="000000" w:sz="0" w:space="0"/>
          <w:bottom w:val="none" w:color="000000" w:sz="0" w:space="0"/>
          <w:right w:val="none" w:color="000000" w:sz="0" w:space="0"/>
        </w:pBdr>
        <w:spacing w:line="360" w:lineRule="auto"/>
        <w:jc w:val="both"/>
        <w:rPr>
          <w:rFonts w:hint="eastAsia" w:asciiTheme="minorEastAsia" w:hAnsiTheme="minorEastAsia" w:eastAsiaTheme="minorEastAsia" w:cstheme="minorEastAsia"/>
          <w:b/>
          <w:bCs/>
          <w:iCs/>
          <w:sz w:val="30"/>
          <w:szCs w:val="30"/>
          <w:lang w:val="en-US" w:eastAsia="zh-CN"/>
        </w:rPr>
      </w:pPr>
    </w:p>
    <w:p w14:paraId="3EAA7062">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BCFF88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3A35BE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8D9041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B66BE3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274501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713CCDC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137F461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183932E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61C2A3D5">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0B3588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04661B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D2E7D8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BD03BF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0AE7D68">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6348D616">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73274AC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54A24CF">
      <w:pPr>
        <w:pBdr>
          <w:top w:val="none" w:color="000000" w:sz="0" w:space="0"/>
          <w:left w:val="none" w:color="000000" w:sz="0" w:space="0"/>
          <w:bottom w:val="none" w:color="000000" w:sz="0" w:space="0"/>
          <w:right w:val="none" w:color="000000" w:sz="0" w:space="0"/>
        </w:pBdr>
        <w:spacing w:line="360" w:lineRule="auto"/>
        <w:jc w:val="both"/>
        <w:rPr>
          <w:rFonts w:hint="eastAsia" w:asciiTheme="minorEastAsia" w:hAnsiTheme="minorEastAsia" w:eastAsiaTheme="minorEastAsia" w:cstheme="minorEastAsia"/>
          <w:b/>
          <w:bCs/>
          <w:iCs/>
          <w:sz w:val="30"/>
          <w:szCs w:val="30"/>
          <w:lang w:val="en-US" w:eastAsia="zh-CN"/>
        </w:rPr>
      </w:pPr>
    </w:p>
    <w:p w14:paraId="6CA4B106">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051B2F2">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拟派项目组组成人员资格</w:t>
      </w:r>
    </w:p>
    <w:tbl>
      <w:tblPr>
        <w:tblStyle w:val="44"/>
        <w:tblW w:w="93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1350"/>
        <w:gridCol w:w="1165"/>
        <w:gridCol w:w="1278"/>
        <w:gridCol w:w="2552"/>
        <w:gridCol w:w="2078"/>
      </w:tblGrid>
      <w:tr w14:paraId="1814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2" w:hRule="atLeast"/>
        </w:trPr>
        <w:tc>
          <w:tcPr>
            <w:tcW w:w="912" w:type="dxa"/>
            <w:noWrap w:val="0"/>
            <w:vAlign w:val="center"/>
          </w:tcPr>
          <w:p w14:paraId="387E2FA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序号</w:t>
            </w:r>
          </w:p>
        </w:tc>
        <w:tc>
          <w:tcPr>
            <w:tcW w:w="1350" w:type="dxa"/>
            <w:noWrap w:val="0"/>
            <w:vAlign w:val="center"/>
          </w:tcPr>
          <w:p w14:paraId="47B462B0">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姓名</w:t>
            </w:r>
          </w:p>
        </w:tc>
        <w:tc>
          <w:tcPr>
            <w:tcW w:w="1165" w:type="dxa"/>
            <w:noWrap w:val="0"/>
            <w:vAlign w:val="center"/>
          </w:tcPr>
          <w:p w14:paraId="0D78E91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性别</w:t>
            </w:r>
          </w:p>
        </w:tc>
        <w:tc>
          <w:tcPr>
            <w:tcW w:w="1278" w:type="dxa"/>
            <w:noWrap w:val="0"/>
            <w:vAlign w:val="center"/>
          </w:tcPr>
          <w:p w14:paraId="7D82E76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年龄</w:t>
            </w:r>
          </w:p>
        </w:tc>
        <w:tc>
          <w:tcPr>
            <w:tcW w:w="2552" w:type="dxa"/>
            <w:noWrap w:val="0"/>
            <w:vAlign w:val="center"/>
          </w:tcPr>
          <w:p w14:paraId="1AF1486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获得认证资格证书</w:t>
            </w:r>
          </w:p>
        </w:tc>
        <w:tc>
          <w:tcPr>
            <w:tcW w:w="2078" w:type="dxa"/>
            <w:noWrap w:val="0"/>
            <w:vAlign w:val="center"/>
          </w:tcPr>
          <w:p w14:paraId="02362D1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资格证书的专业类别</w:t>
            </w:r>
          </w:p>
        </w:tc>
      </w:tr>
      <w:tr w14:paraId="56D05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5949789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w:t>
            </w:r>
          </w:p>
        </w:tc>
        <w:tc>
          <w:tcPr>
            <w:tcW w:w="1350" w:type="dxa"/>
            <w:noWrap w:val="0"/>
            <w:vAlign w:val="center"/>
          </w:tcPr>
          <w:p w14:paraId="5683429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48CF1C27">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E0AB9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287210B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AD6B5B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10BB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0EC8F44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w:t>
            </w:r>
          </w:p>
        </w:tc>
        <w:tc>
          <w:tcPr>
            <w:tcW w:w="1350" w:type="dxa"/>
            <w:noWrap w:val="0"/>
            <w:vAlign w:val="center"/>
          </w:tcPr>
          <w:p w14:paraId="25E5226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25C92E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34297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3A3EAA9A">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FDCB5B7">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67E7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3A0425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w:t>
            </w:r>
          </w:p>
        </w:tc>
        <w:tc>
          <w:tcPr>
            <w:tcW w:w="1350" w:type="dxa"/>
            <w:noWrap w:val="0"/>
            <w:vAlign w:val="center"/>
          </w:tcPr>
          <w:p w14:paraId="6EBD5A1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3C3EFED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474DDC6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3F5230E0">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DDBA4C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3A2E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3CF53CD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p>
        </w:tc>
        <w:tc>
          <w:tcPr>
            <w:tcW w:w="1350" w:type="dxa"/>
            <w:noWrap w:val="0"/>
            <w:vAlign w:val="center"/>
          </w:tcPr>
          <w:p w14:paraId="6CB5945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0E349FF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D9D133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6F2479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0B79A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4CDD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22D7154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5</w:t>
            </w:r>
          </w:p>
        </w:tc>
        <w:tc>
          <w:tcPr>
            <w:tcW w:w="1350" w:type="dxa"/>
            <w:noWrap w:val="0"/>
            <w:vAlign w:val="center"/>
          </w:tcPr>
          <w:p w14:paraId="5EA0470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AA4422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0696058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12991781">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4E1DE9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5B93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1F3F94B4">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6</w:t>
            </w:r>
          </w:p>
        </w:tc>
        <w:tc>
          <w:tcPr>
            <w:tcW w:w="1350" w:type="dxa"/>
            <w:noWrap w:val="0"/>
            <w:vAlign w:val="center"/>
          </w:tcPr>
          <w:p w14:paraId="03DDB1D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23BFA6B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DDF35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5AADCFD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66AF416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3755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5157C3F9">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w:t>
            </w:r>
          </w:p>
        </w:tc>
        <w:tc>
          <w:tcPr>
            <w:tcW w:w="1350" w:type="dxa"/>
            <w:noWrap w:val="0"/>
            <w:vAlign w:val="center"/>
          </w:tcPr>
          <w:p w14:paraId="24B04AF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873A9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2F6888E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821B8E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2281AAE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5258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4175C531">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8</w:t>
            </w:r>
          </w:p>
        </w:tc>
        <w:tc>
          <w:tcPr>
            <w:tcW w:w="1350" w:type="dxa"/>
            <w:noWrap w:val="0"/>
            <w:vAlign w:val="center"/>
          </w:tcPr>
          <w:p w14:paraId="53AADDF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1DCE359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508FA71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B69284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A61A24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bl>
    <w:p w14:paraId="2130499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 注：1、本表可在不改变格式的情况下根据具体需要自行增减。</w:t>
      </w:r>
    </w:p>
    <w:p w14:paraId="45DFA671">
      <w:pPr>
        <w:keepNext w:val="0"/>
        <w:keepLines w:val="0"/>
        <w:pageBreakBefore w:val="0"/>
        <w:widowControl/>
        <w:kinsoku/>
        <w:wordWrap/>
        <w:overflowPunct/>
        <w:topLinePunct w:val="0"/>
        <w:autoSpaceDE/>
        <w:autoSpaceDN/>
        <w:bidi w:val="0"/>
        <w:adjustRightInd/>
        <w:snapToGrid/>
        <w:spacing w:line="360" w:lineRule="auto"/>
        <w:ind w:firstLine="840" w:firstLineChars="400"/>
        <w:textAlignment w:val="auto"/>
        <w:rPr>
          <w:rFonts w:hint="default" w:ascii="宋体" w:hAnsi="宋体" w:cs="宋体"/>
          <w:b/>
          <w:bCs w:val="0"/>
          <w:sz w:val="21"/>
          <w:szCs w:val="21"/>
          <w:lang w:val="en-US" w:eastAsia="zh-CN"/>
        </w:rPr>
      </w:pPr>
      <w:r>
        <w:rPr>
          <w:rFonts w:hint="eastAsia" w:asciiTheme="minorEastAsia" w:hAnsiTheme="minorEastAsia" w:eastAsiaTheme="minorEastAsia" w:cstheme="minorEastAsia"/>
          <w:color w:val="auto"/>
          <w:kern w:val="2"/>
          <w:sz w:val="21"/>
          <w:szCs w:val="21"/>
          <w:highlight w:val="none"/>
        </w:rPr>
        <w:t>2、</w:t>
      </w:r>
      <w:r>
        <w:rPr>
          <w:rFonts w:hint="eastAsia" w:ascii="宋体" w:hAnsi="宋体" w:cs="宋体"/>
          <w:bCs/>
          <w:sz w:val="21"/>
          <w:szCs w:val="21"/>
        </w:rPr>
        <w:t>不少于8人（含8人，不包括拟派项目负责人），具有注册造价工程师</w:t>
      </w:r>
      <w:r>
        <w:rPr>
          <w:rFonts w:hint="eastAsia" w:ascii="宋体" w:hAnsi="宋体" w:cs="宋体"/>
          <w:bCs/>
          <w:sz w:val="21"/>
          <w:szCs w:val="21"/>
          <w:lang w:val="en-US" w:eastAsia="zh-CN"/>
        </w:rPr>
        <w:t>证书</w:t>
      </w:r>
      <w:r>
        <w:rPr>
          <w:rFonts w:hint="eastAsia" w:ascii="宋体" w:hAnsi="宋体" w:cs="宋体"/>
          <w:bCs/>
          <w:sz w:val="21"/>
          <w:szCs w:val="21"/>
          <w:lang w:eastAsia="zh-CN"/>
        </w:rPr>
        <w:t>。</w:t>
      </w:r>
      <w:r>
        <w:rPr>
          <w:rFonts w:hint="eastAsia" w:ascii="宋体" w:hAnsi="宋体" w:cs="宋体"/>
          <w:b/>
          <w:bCs w:val="0"/>
          <w:sz w:val="21"/>
          <w:szCs w:val="21"/>
          <w:lang w:val="en-US" w:eastAsia="zh-CN"/>
        </w:rPr>
        <w:t>其中2人及以上（含2人）须具有一级注册造价工程师（或国家注册造价工程师）证书；其余人员须具有二级注册造价工程师证书。</w:t>
      </w:r>
    </w:p>
    <w:p w14:paraId="15CB648B">
      <w:pPr>
        <w:keepNext w:val="0"/>
        <w:keepLines w:val="0"/>
        <w:pageBreakBefore w:val="0"/>
        <w:kinsoku/>
        <w:wordWrap/>
        <w:overflowPunct/>
        <w:topLinePunct w:val="0"/>
        <w:autoSpaceDE/>
        <w:autoSpaceDN/>
        <w:bidi w:val="0"/>
        <w:adjustRightInd/>
        <w:snapToGrid/>
        <w:spacing w:line="360" w:lineRule="auto"/>
        <w:ind w:firstLine="843" w:firstLineChars="400"/>
        <w:textAlignment w:val="auto"/>
        <w:rPr>
          <w:rFonts w:hint="eastAsia" w:asciiTheme="minorEastAsia" w:hAnsiTheme="minorEastAsia" w:eastAsiaTheme="minorEastAsia" w:cstheme="minorEastAsia"/>
          <w:color w:val="auto"/>
          <w:kern w:val="2"/>
          <w:sz w:val="24"/>
          <w:szCs w:val="24"/>
          <w:highlight w:val="none"/>
        </w:rPr>
      </w:pPr>
      <w:r>
        <w:rPr>
          <w:rFonts w:hint="eastAsia" w:ascii="宋体" w:hAnsi="宋体" w:cs="宋体"/>
          <w:b/>
          <w:bCs w:val="0"/>
          <w:sz w:val="21"/>
          <w:szCs w:val="21"/>
          <w:lang w:val="en-US" w:eastAsia="zh-CN"/>
        </w:rPr>
        <w:t>3、本表附</w:t>
      </w:r>
      <w:r>
        <w:rPr>
          <w:rFonts w:hint="default" w:ascii="Calibri" w:hAnsi="Calibri" w:cs="Calibri"/>
          <w:b/>
          <w:bCs w:val="0"/>
          <w:sz w:val="21"/>
          <w:szCs w:val="21"/>
          <w:lang w:val="en-US" w:eastAsia="zh-CN"/>
        </w:rPr>
        <w:t>①</w:t>
      </w:r>
      <w:r>
        <w:rPr>
          <w:rFonts w:hint="eastAsia" w:ascii="宋体" w:hAnsi="宋体" w:cs="宋体"/>
          <w:b/>
          <w:bCs w:val="0"/>
          <w:sz w:val="21"/>
          <w:szCs w:val="21"/>
          <w:lang w:val="en-US" w:eastAsia="zh-CN"/>
        </w:rPr>
        <w:t>注册证书</w:t>
      </w:r>
      <w:r>
        <w:rPr>
          <w:rFonts w:hint="default" w:ascii="Calibri" w:hAnsi="Calibri" w:cs="Calibri"/>
          <w:b/>
          <w:bCs w:val="0"/>
          <w:sz w:val="21"/>
          <w:szCs w:val="21"/>
          <w:lang w:val="en-US" w:eastAsia="zh-CN"/>
        </w:rPr>
        <w:t>②</w:t>
      </w:r>
      <w:r>
        <w:rPr>
          <w:rFonts w:hint="eastAsia" w:ascii="宋体" w:hAnsi="宋体" w:cs="宋体"/>
          <w:b/>
          <w:bCs w:val="0"/>
          <w:sz w:val="21"/>
          <w:szCs w:val="21"/>
          <w:lang w:val="en-US" w:eastAsia="zh-CN"/>
        </w:rPr>
        <w:t>供应商为</w:t>
      </w:r>
      <w:r>
        <w:rPr>
          <w:rFonts w:hint="eastAsia" w:ascii="宋体" w:hAnsi="宋体" w:cs="宋体"/>
          <w:b/>
          <w:bCs w:val="0"/>
          <w:sz w:val="21"/>
          <w:szCs w:val="21"/>
          <w:lang w:val="zh-CN" w:eastAsia="zh-CN"/>
        </w:rPr>
        <w:t>其缴纳的投标截止时间前三个月（不含投标截止时间当月）中任意一个月社</w:t>
      </w:r>
      <w:r>
        <w:rPr>
          <w:rFonts w:hint="eastAsia" w:ascii="宋体" w:hAnsi="宋体" w:cs="宋体"/>
          <w:b/>
          <w:bCs w:val="0"/>
          <w:sz w:val="21"/>
          <w:szCs w:val="21"/>
          <w:lang w:val="en-US" w:eastAsia="zh-CN"/>
        </w:rPr>
        <w:t>保</w:t>
      </w:r>
      <w:r>
        <w:rPr>
          <w:rFonts w:hint="eastAsia" w:ascii="宋体" w:hAnsi="宋体" w:cs="宋体"/>
          <w:b/>
          <w:bCs w:val="0"/>
          <w:sz w:val="21"/>
          <w:szCs w:val="21"/>
          <w:lang w:val="zh-CN" w:eastAsia="zh-CN"/>
        </w:rPr>
        <w:t>缴费证明（</w:t>
      </w:r>
      <w:r>
        <w:rPr>
          <w:rFonts w:hint="eastAsia" w:ascii="宋体" w:hAnsi="宋体" w:cs="宋体"/>
          <w:b/>
          <w:bCs w:val="0"/>
          <w:sz w:val="21"/>
          <w:szCs w:val="21"/>
          <w:lang w:val="en-US" w:eastAsia="zh-CN"/>
        </w:rPr>
        <w:t>拟派项目组组成人员中仅一级注册造价师或国家注册造价工程师</w:t>
      </w:r>
      <w:r>
        <w:rPr>
          <w:rFonts w:hint="eastAsia" w:ascii="宋体" w:hAnsi="宋体" w:cs="宋体"/>
          <w:b/>
          <w:bCs w:val="0"/>
          <w:sz w:val="21"/>
          <w:szCs w:val="21"/>
          <w:lang w:val="zh-CN" w:eastAsia="zh-CN"/>
        </w:rPr>
        <w:t>可以以退休证代替社保证明,且不满65周岁,</w:t>
      </w:r>
      <w:r>
        <w:rPr>
          <w:rFonts w:hint="eastAsia" w:ascii="宋体" w:hAnsi="宋体" w:cs="宋体"/>
          <w:b/>
          <w:bCs w:val="0"/>
          <w:sz w:val="21"/>
          <w:szCs w:val="21"/>
          <w:highlight w:val="none"/>
          <w:lang w:val="en-US" w:eastAsia="zh-CN"/>
        </w:rPr>
        <w:t>提供退体证及</w:t>
      </w:r>
      <w:r>
        <w:rPr>
          <w:rFonts w:hint="eastAsia" w:ascii="宋体" w:hAnsi="宋体" w:cs="宋体"/>
          <w:b/>
          <w:bCs w:val="0"/>
          <w:sz w:val="21"/>
          <w:szCs w:val="21"/>
          <w:highlight w:val="none"/>
          <w:lang w:val="zh-CN" w:eastAsia="zh-CN"/>
        </w:rPr>
        <w:t>本年</w:t>
      </w:r>
      <w:r>
        <w:rPr>
          <w:rFonts w:hint="eastAsia" w:ascii="宋体" w:hAnsi="宋体" w:cs="宋体"/>
          <w:b/>
          <w:bCs w:val="0"/>
          <w:sz w:val="21"/>
          <w:szCs w:val="21"/>
          <w:lang w:val="zh-CN" w:eastAsia="zh-CN"/>
        </w:rPr>
        <w:t>度任意三个月在</w:t>
      </w:r>
      <w:r>
        <w:rPr>
          <w:rFonts w:hint="eastAsia" w:ascii="宋体" w:hAnsi="宋体" w:cs="宋体"/>
          <w:b/>
          <w:bCs w:val="0"/>
          <w:sz w:val="21"/>
          <w:szCs w:val="21"/>
          <w:lang w:val="en-US" w:eastAsia="zh-CN"/>
        </w:rPr>
        <w:t>供应商单位</w:t>
      </w:r>
      <w:r>
        <w:rPr>
          <w:rFonts w:hint="eastAsia" w:ascii="宋体" w:hAnsi="宋体" w:cs="宋体"/>
          <w:b/>
          <w:bCs w:val="0"/>
          <w:sz w:val="21"/>
          <w:szCs w:val="21"/>
          <w:lang w:val="zh-CN" w:eastAsia="zh-CN"/>
        </w:rPr>
        <w:t>的工资流水）。</w:t>
      </w:r>
    </w:p>
    <w:p w14:paraId="5BC22638">
      <w:pPr>
        <w:keepNext w:val="0"/>
        <w:keepLines w:val="0"/>
        <w:pageBreakBefore w:val="0"/>
        <w:widowControl w:val="0"/>
        <w:kinsoku/>
        <w:wordWrap/>
        <w:overflowPunct/>
        <w:topLinePunct w:val="0"/>
        <w:autoSpaceDE/>
        <w:autoSpaceDN/>
        <w:bidi w:val="0"/>
        <w:adjustRightInd/>
        <w:snapToGrid/>
        <w:spacing w:line="360" w:lineRule="auto"/>
        <w:ind w:right="-11" w:firstLine="240" w:firstLineChars="100"/>
        <w:jc w:val="both"/>
        <w:textAlignment w:val="auto"/>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 xml:space="preserve">                                                 </w:t>
      </w:r>
    </w:p>
    <w:p w14:paraId="09EEB924">
      <w:pPr>
        <w:keepNext w:val="0"/>
        <w:keepLines w:val="0"/>
        <w:pageBreakBefore w:val="0"/>
        <w:widowControl w:val="0"/>
        <w:kinsoku/>
        <w:wordWrap/>
        <w:overflowPunct/>
        <w:topLinePunct w:val="0"/>
        <w:autoSpaceDE/>
        <w:autoSpaceDN/>
        <w:bidi w:val="0"/>
        <w:adjustRightInd/>
        <w:snapToGrid/>
        <w:spacing w:line="360" w:lineRule="auto"/>
        <w:ind w:right="-11" w:firstLine="6000" w:firstLineChars="25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4"/>
          <w:szCs w:val="24"/>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投标人全称（加盖CA电子</w:t>
      </w:r>
      <w:r>
        <w:rPr>
          <w:rFonts w:hint="eastAsia" w:asciiTheme="minorEastAsia" w:hAnsiTheme="minorEastAsia" w:eastAsiaTheme="minorEastAsia" w:cstheme="minorEastAsia"/>
          <w:color w:val="auto"/>
          <w:kern w:val="2"/>
          <w:sz w:val="21"/>
          <w:szCs w:val="21"/>
          <w:highlight w:val="none"/>
          <w:lang w:val="en-US" w:eastAsia="zh-CN"/>
        </w:rPr>
        <w:t>公</w:t>
      </w:r>
      <w:r>
        <w:rPr>
          <w:rFonts w:hint="eastAsia" w:asciiTheme="minorEastAsia" w:hAnsiTheme="minorEastAsia" w:eastAsiaTheme="minorEastAsia" w:cstheme="minorEastAsia"/>
          <w:color w:val="auto"/>
          <w:kern w:val="2"/>
          <w:sz w:val="21"/>
          <w:szCs w:val="21"/>
          <w:highlight w:val="none"/>
        </w:rPr>
        <w:t>章）：</w:t>
      </w:r>
    </w:p>
    <w:p w14:paraId="3D50E186">
      <w:pPr>
        <w:keepNext w:val="0"/>
        <w:keepLines w:val="0"/>
        <w:pageBreakBefore w:val="0"/>
        <w:widowControl w:val="0"/>
        <w:kinsoku/>
        <w:wordWrap/>
        <w:overflowPunct/>
        <w:topLinePunct w:val="0"/>
        <w:autoSpaceDE/>
        <w:autoSpaceDN/>
        <w:bidi w:val="0"/>
        <w:adjustRightInd/>
        <w:snapToGrid/>
        <w:spacing w:line="360" w:lineRule="auto"/>
        <w:ind w:right="-11" w:firstLine="210" w:firstLineChars="10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sz w:val="21"/>
          <w:szCs w:val="21"/>
        </w:rPr>
        <w:t>法定代表人签字或盖电子章</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sz w:val="21"/>
          <w:szCs w:val="21"/>
        </w:rPr>
        <w:t>日期： 年   月   日</w:t>
      </w:r>
    </w:p>
    <w:p w14:paraId="2505342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29836574">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03EDBB8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34F27004">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投标人符合《政府采购法》第二十二条规定条件的声明函</w:t>
      </w:r>
    </w:p>
    <w:p w14:paraId="4787400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b/>
          <w:kern w:val="0"/>
          <w:sz w:val="21"/>
          <w:szCs w:val="21"/>
        </w:rPr>
      </w:pPr>
      <w:r>
        <w:rPr>
          <w:rFonts w:hint="eastAsia" w:ascii="宋体" w:hAnsi="宋体" w:cs="宋体"/>
          <w:kern w:val="0"/>
          <w:sz w:val="21"/>
          <w:szCs w:val="21"/>
        </w:rPr>
        <w:t>我单位参加（项目名称），（项目编号）投标活动。针对《中华人民共和国政府采购法》第二十二条规定做出如下声明：</w:t>
      </w:r>
    </w:p>
    <w:p w14:paraId="5AB11E9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1.我单位具有独立承担民事责任的能力；</w:t>
      </w:r>
    </w:p>
    <w:p w14:paraId="5821FA7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2.我单位具有良好的商业信誉和健全的财务会计制度；</w:t>
      </w:r>
    </w:p>
    <w:p w14:paraId="5BA266F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3.我单位具有履行合同所必需的设备和专业技术能力；</w:t>
      </w:r>
    </w:p>
    <w:p w14:paraId="27DE18D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4.我单位有依法缴纳税收和社会保障资金的良好记录；</w:t>
      </w:r>
    </w:p>
    <w:p w14:paraId="72B6756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CF5D0F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6.我单位满足法律、行政法规规定的其他条件。</w:t>
      </w:r>
    </w:p>
    <w:p w14:paraId="511E03B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kern w:val="0"/>
          <w:sz w:val="21"/>
          <w:szCs w:val="21"/>
        </w:rPr>
      </w:pPr>
    </w:p>
    <w:p w14:paraId="665975B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p>
    <w:p w14:paraId="44A675E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 xml:space="preserve">                       </w:t>
      </w:r>
      <w:r>
        <w:rPr>
          <w:rFonts w:hint="eastAsia" w:ascii="宋体" w:hAnsi="宋体" w:cs="宋体"/>
          <w:kern w:val="0"/>
          <w:sz w:val="21"/>
          <w:szCs w:val="21"/>
          <w:lang w:val="en-US" w:eastAsia="zh-CN"/>
        </w:rPr>
        <w:t xml:space="preserve">    </w:t>
      </w:r>
      <w:r>
        <w:rPr>
          <w:rFonts w:hint="eastAsia" w:ascii="宋体" w:hAnsi="宋体" w:cs="宋体"/>
          <w:kern w:val="0"/>
          <w:sz w:val="21"/>
          <w:szCs w:val="21"/>
        </w:rPr>
        <w:t>承诺人名称（加盖CA电子签章）：</w:t>
      </w:r>
    </w:p>
    <w:p w14:paraId="644424B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 xml:space="preserve">                                 日期：</w:t>
      </w:r>
      <w:r>
        <w:rPr>
          <w:rFonts w:hint="eastAsia" w:ascii="宋体" w:hAnsi="宋体" w:cs="宋体"/>
          <w:kern w:val="0"/>
          <w:sz w:val="21"/>
          <w:szCs w:val="21"/>
          <w:lang w:val="en-US" w:eastAsia="zh-CN"/>
        </w:rPr>
        <w:t xml:space="preserve">  </w:t>
      </w:r>
      <w:r>
        <w:rPr>
          <w:rFonts w:hint="eastAsia" w:ascii="宋体" w:hAnsi="宋体" w:cs="宋体"/>
          <w:kern w:val="0"/>
          <w:sz w:val="21"/>
          <w:szCs w:val="21"/>
        </w:rPr>
        <w:t>年</w:t>
      </w:r>
      <w:r>
        <w:rPr>
          <w:rFonts w:hint="eastAsia" w:ascii="宋体" w:hAnsi="宋体" w:cs="宋体"/>
          <w:kern w:val="0"/>
          <w:sz w:val="21"/>
          <w:szCs w:val="21"/>
          <w:lang w:val="en-US" w:eastAsia="zh-CN"/>
        </w:rPr>
        <w:t xml:space="preserve">  </w:t>
      </w:r>
      <w:r>
        <w:rPr>
          <w:rFonts w:hint="eastAsia" w:ascii="宋体" w:hAnsi="宋体" w:cs="宋体"/>
          <w:kern w:val="0"/>
          <w:sz w:val="21"/>
          <w:szCs w:val="21"/>
        </w:rPr>
        <w:t>月</w:t>
      </w:r>
      <w:r>
        <w:rPr>
          <w:rFonts w:hint="eastAsia" w:ascii="宋体" w:hAnsi="宋体" w:cs="宋体"/>
          <w:kern w:val="0"/>
          <w:sz w:val="21"/>
          <w:szCs w:val="21"/>
          <w:lang w:val="en-US" w:eastAsia="zh-CN"/>
        </w:rPr>
        <w:t xml:space="preserve">  </w:t>
      </w:r>
      <w:r>
        <w:rPr>
          <w:rFonts w:hint="eastAsia" w:ascii="宋体" w:hAnsi="宋体" w:cs="宋体"/>
          <w:kern w:val="0"/>
          <w:sz w:val="21"/>
          <w:szCs w:val="21"/>
        </w:rPr>
        <w:t>日</w:t>
      </w:r>
    </w:p>
    <w:p w14:paraId="079FE826">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141D541">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9CDB7C4">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B0A3549">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5C812B36">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2C5B53E3">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12620D28">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1D5D6FFB">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A651F2E">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B2225A4">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7421F910">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5631275D">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4129C4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line="360" w:lineRule="auto"/>
        <w:jc w:val="center"/>
        <w:textAlignment w:val="auto"/>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中小企业声明函（服务）</w:t>
      </w:r>
    </w:p>
    <w:p w14:paraId="1FB5834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本公司郑重声明，根据《政府采购促进中小企业发展管理办法》（财库﹝2020﹞46 号）的规定，本公司参加</w:t>
      </w:r>
      <w:r>
        <w:rPr>
          <w:rFonts w:hint="eastAsia" w:asciiTheme="minorEastAsia" w:hAnsiTheme="minorEastAsia" w:eastAsiaTheme="minorEastAsia" w:cstheme="minorEastAsia"/>
          <w:color w:val="auto"/>
          <w:sz w:val="21"/>
          <w:szCs w:val="21"/>
          <w:highlight w:val="none"/>
          <w:u w:val="single"/>
          <w:lang w:bidi="zh-CN"/>
        </w:rPr>
        <w:t>（单位名称）</w:t>
      </w:r>
      <w:r>
        <w:rPr>
          <w:rFonts w:hint="eastAsia" w:asciiTheme="minorEastAsia" w:hAnsiTheme="minorEastAsia" w:eastAsiaTheme="minorEastAsia" w:cstheme="minorEastAsia"/>
          <w:color w:val="auto"/>
          <w:sz w:val="21"/>
          <w:szCs w:val="21"/>
          <w:highlight w:val="none"/>
          <w:lang w:bidi="zh-CN"/>
        </w:rPr>
        <w:t>的</w:t>
      </w:r>
      <w:r>
        <w:rPr>
          <w:rFonts w:hint="eastAsia" w:asciiTheme="minorEastAsia" w:hAnsiTheme="minorEastAsia" w:eastAsiaTheme="minorEastAsia" w:cstheme="minorEastAsia"/>
          <w:color w:val="auto"/>
          <w:sz w:val="21"/>
          <w:szCs w:val="21"/>
          <w:highlight w:val="none"/>
          <w:u w:val="single"/>
          <w:lang w:bidi="zh-CN"/>
        </w:rPr>
        <w:t>（项目名称）</w:t>
      </w:r>
      <w:r>
        <w:rPr>
          <w:rFonts w:hint="eastAsia" w:asciiTheme="minorEastAsia" w:hAnsiTheme="minorEastAsia" w:eastAsiaTheme="minorEastAsia" w:cstheme="minorEastAsia"/>
          <w:color w:val="auto"/>
          <w:sz w:val="21"/>
          <w:szCs w:val="21"/>
          <w:highlight w:val="none"/>
          <w:lang w:bidi="zh-CN"/>
        </w:rPr>
        <w:t>采购活动，服务全部由符合政策要求的中小企业承接。具体情况如下：</w:t>
      </w:r>
    </w:p>
    <w:p w14:paraId="15686F8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1.</w:t>
      </w:r>
      <w:r>
        <w:rPr>
          <w:rFonts w:hint="eastAsia" w:asciiTheme="minorEastAsia" w:hAnsiTheme="minorEastAsia" w:eastAsiaTheme="minorEastAsia" w:cstheme="minorEastAsia"/>
          <w:color w:val="auto"/>
          <w:sz w:val="21"/>
          <w:szCs w:val="21"/>
          <w:highlight w:val="none"/>
          <w:u w:val="single"/>
          <w:lang w:bidi="zh-CN"/>
        </w:rPr>
        <w:t>（标的名称）</w:t>
      </w:r>
      <w:r>
        <w:rPr>
          <w:rFonts w:hint="eastAsia" w:asciiTheme="minorEastAsia" w:hAnsiTheme="minorEastAsia" w:eastAsiaTheme="minorEastAsia" w:cstheme="minorEastAsia"/>
          <w:color w:val="auto"/>
          <w:sz w:val="21"/>
          <w:szCs w:val="21"/>
          <w:highlight w:val="none"/>
          <w:lang w:bidi="zh-CN"/>
        </w:rPr>
        <w:t>，属于</w:t>
      </w:r>
      <w:r>
        <w:rPr>
          <w:rFonts w:hint="eastAsia" w:asciiTheme="minorEastAsia" w:hAnsiTheme="minorEastAsia" w:eastAsiaTheme="minorEastAsia" w:cstheme="minorEastAsia"/>
          <w:color w:val="auto"/>
          <w:sz w:val="21"/>
          <w:szCs w:val="21"/>
          <w:highlight w:val="none"/>
          <w:u w:val="single"/>
          <w:lang w:bidi="zh-CN"/>
        </w:rPr>
        <w:t>其他未列明行业</w:t>
      </w:r>
      <w:r>
        <w:rPr>
          <w:rFonts w:hint="eastAsia" w:asciiTheme="minorEastAsia" w:hAnsiTheme="minorEastAsia" w:eastAsiaTheme="minorEastAsia" w:cstheme="minorEastAsia"/>
          <w:color w:val="auto"/>
          <w:sz w:val="21"/>
          <w:szCs w:val="21"/>
          <w:highlight w:val="none"/>
          <w:lang w:bidi="zh-CN"/>
        </w:rPr>
        <w:t>；承建（承接）企业为</w:t>
      </w:r>
      <w:r>
        <w:rPr>
          <w:rFonts w:hint="eastAsia" w:asciiTheme="minorEastAsia" w:hAnsiTheme="minorEastAsia" w:eastAsiaTheme="minorEastAsia" w:cstheme="minorEastAsia"/>
          <w:color w:val="auto"/>
          <w:sz w:val="21"/>
          <w:szCs w:val="21"/>
          <w:highlight w:val="none"/>
          <w:u w:val="single"/>
          <w:lang w:bidi="zh-CN"/>
        </w:rPr>
        <w:t>（企业名称）</w:t>
      </w:r>
      <w:r>
        <w:rPr>
          <w:rFonts w:hint="eastAsia" w:asciiTheme="minorEastAsia" w:hAnsiTheme="minorEastAsia" w:eastAsiaTheme="minorEastAsia" w:cstheme="minorEastAsia"/>
          <w:color w:val="auto"/>
          <w:sz w:val="21"/>
          <w:szCs w:val="21"/>
          <w:highlight w:val="none"/>
          <w:lang w:bidi="zh-CN"/>
        </w:rPr>
        <w:t>，从业人员</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人，营业收入为</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万元，资产总额为</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万元，属于</w:t>
      </w:r>
      <w:r>
        <w:rPr>
          <w:rFonts w:hint="eastAsia" w:asciiTheme="minorEastAsia" w:hAnsiTheme="minorEastAsia" w:eastAsiaTheme="minorEastAsia" w:cstheme="minorEastAsia"/>
          <w:color w:val="auto"/>
          <w:sz w:val="21"/>
          <w:szCs w:val="21"/>
          <w:highlight w:val="none"/>
          <w:u w:val="single"/>
          <w:lang w:bidi="zh-CN"/>
        </w:rPr>
        <w:t>（中型企业、小型企业、微型企业）</w:t>
      </w:r>
      <w:r>
        <w:rPr>
          <w:rFonts w:hint="eastAsia" w:asciiTheme="minorEastAsia" w:hAnsiTheme="minorEastAsia" w:eastAsiaTheme="minorEastAsia" w:cstheme="minorEastAsia"/>
          <w:color w:val="auto"/>
          <w:sz w:val="21"/>
          <w:szCs w:val="21"/>
          <w:highlight w:val="none"/>
          <w:lang w:bidi="zh-CN"/>
        </w:rPr>
        <w:t>；</w:t>
      </w:r>
    </w:p>
    <w:p w14:paraId="743BBDBA">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6FAA4B7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以上企业，不属于大企业的分支机构，不存在控股股东为大企业的情形，也不存在与大企业的负责人为同一人的情形。</w:t>
      </w:r>
    </w:p>
    <w:p w14:paraId="0E87DBC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本企业对上述声明内容的真实性负责。如有虚假，将依法承担相应责任。</w:t>
      </w:r>
    </w:p>
    <w:p w14:paraId="1C8FB011">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7AAC883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62AFE2AA">
      <w:pPr>
        <w:keepNext w:val="0"/>
        <w:keepLines w:val="0"/>
        <w:pageBreakBefore w:val="0"/>
        <w:widowControl w:val="0"/>
        <w:kinsoku/>
        <w:wordWrap/>
        <w:overflowPunct/>
        <w:topLinePunct w:val="0"/>
        <w:autoSpaceDE/>
        <w:autoSpaceDN/>
        <w:bidi w:val="0"/>
        <w:adjustRightInd/>
        <w:snapToGrid w:val="0"/>
        <w:spacing w:line="360" w:lineRule="auto"/>
        <w:ind w:firstLine="3675" w:firstLineChars="175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企业名称（</w:t>
      </w:r>
      <w:r>
        <w:rPr>
          <w:rFonts w:hint="eastAsia" w:ascii="宋体" w:hAnsi="宋体" w:cs="宋体"/>
          <w:kern w:val="0"/>
          <w:sz w:val="21"/>
          <w:szCs w:val="21"/>
        </w:rPr>
        <w:t>加盖CA电子</w:t>
      </w:r>
      <w:r>
        <w:rPr>
          <w:rFonts w:hint="eastAsia" w:ascii="宋体" w:hAnsi="宋体" w:cs="宋体"/>
          <w:kern w:val="0"/>
          <w:sz w:val="21"/>
          <w:szCs w:val="21"/>
          <w:lang w:val="en-US" w:eastAsia="zh-CN"/>
        </w:rPr>
        <w:t>公</w:t>
      </w:r>
      <w:r>
        <w:rPr>
          <w:rFonts w:hint="eastAsia" w:ascii="宋体" w:hAnsi="宋体" w:cs="宋体"/>
          <w:kern w:val="0"/>
          <w:sz w:val="21"/>
          <w:szCs w:val="21"/>
        </w:rPr>
        <w:t>章</w:t>
      </w:r>
      <w:r>
        <w:rPr>
          <w:rFonts w:hint="eastAsia" w:asciiTheme="minorEastAsia" w:hAnsiTheme="minorEastAsia" w:eastAsiaTheme="minorEastAsia" w:cstheme="minorEastAsia"/>
          <w:color w:val="auto"/>
          <w:sz w:val="21"/>
          <w:szCs w:val="21"/>
          <w:highlight w:val="none"/>
          <w:lang w:bidi="zh-CN"/>
        </w:rPr>
        <w:t>）：</w:t>
      </w:r>
    </w:p>
    <w:p w14:paraId="1360D281">
      <w:pPr>
        <w:keepNext w:val="0"/>
        <w:keepLines w:val="0"/>
        <w:pageBreakBefore w:val="0"/>
        <w:widowControl w:val="0"/>
        <w:kinsoku/>
        <w:wordWrap/>
        <w:overflowPunct/>
        <w:topLinePunct w:val="0"/>
        <w:autoSpaceDE/>
        <w:autoSpaceDN/>
        <w:bidi w:val="0"/>
        <w:adjustRightInd/>
        <w:snapToGrid w:val="0"/>
        <w:spacing w:line="360" w:lineRule="auto"/>
        <w:ind w:firstLine="3675" w:firstLineChars="175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日期：</w:t>
      </w:r>
    </w:p>
    <w:p w14:paraId="537ECB32">
      <w:pPr>
        <w:keepNext w:val="0"/>
        <w:keepLines w:val="0"/>
        <w:pageBreakBefore w:val="0"/>
        <w:widowControl w:val="0"/>
        <w:kinsoku/>
        <w:wordWrap/>
        <w:overflowPunct/>
        <w:topLinePunct w:val="0"/>
        <w:autoSpaceDE/>
        <w:autoSpaceDN/>
        <w:bidi w:val="0"/>
        <w:adjustRightInd/>
        <w:spacing w:line="360" w:lineRule="auto"/>
        <w:ind w:firstLine="420"/>
        <w:textAlignment w:val="auto"/>
        <w:outlineLvl w:val="0"/>
        <w:rPr>
          <w:rFonts w:hint="eastAsia" w:asciiTheme="minorEastAsia" w:hAnsiTheme="minorEastAsia" w:eastAsiaTheme="minorEastAsia" w:cstheme="minorEastAsia"/>
          <w:b/>
          <w:kern w:val="0"/>
          <w:sz w:val="21"/>
          <w:szCs w:val="21"/>
        </w:rPr>
        <w:sectPr>
          <w:footerReference r:id="rId5" w:type="first"/>
          <w:headerReference r:id="rId3" w:type="default"/>
          <w:footerReference r:id="rId4" w:type="default"/>
          <w:pgSz w:w="11906" w:h="16838"/>
          <w:pgMar w:top="1015" w:right="1196" w:bottom="868" w:left="1259" w:header="851" w:footer="907" w:gutter="0"/>
          <w:pgNumType w:fmt="decimal" w:start="1"/>
          <w:cols w:space="720" w:num="1"/>
          <w:docGrid w:type="lines" w:linePitch="286" w:charSpace="0"/>
        </w:sectPr>
      </w:pPr>
    </w:p>
    <w:p w14:paraId="5C24B6CF">
      <w:pPr>
        <w:spacing w:line="460" w:lineRule="exact"/>
        <w:ind w:firstLine="420"/>
        <w:jc w:val="center"/>
        <w:rPr>
          <w:rFonts w:ascii="宋体" w:hAnsi="宋体"/>
          <w:b/>
          <w:kern w:val="0"/>
          <w:sz w:val="32"/>
          <w:szCs w:val="32"/>
        </w:rPr>
      </w:pPr>
      <w:r>
        <w:rPr>
          <w:rFonts w:hint="eastAsia" w:ascii="宋体" w:hAnsi="宋体"/>
          <w:b/>
          <w:kern w:val="0"/>
          <w:sz w:val="32"/>
          <w:szCs w:val="32"/>
        </w:rPr>
        <w:t>残疾人福利性单位声明函</w:t>
      </w:r>
    </w:p>
    <w:p w14:paraId="6B2B8003">
      <w:pPr>
        <w:spacing w:line="588" w:lineRule="exact"/>
        <w:ind w:firstLine="420" w:firstLineChars="200"/>
        <w:rPr>
          <w:rFonts w:ascii="宋体" w:hAnsi="宋体"/>
          <w:kern w:val="0"/>
          <w:sz w:val="21"/>
          <w:szCs w:val="21"/>
        </w:rPr>
      </w:pPr>
      <w:r>
        <w:rPr>
          <w:rFonts w:hint="eastAsia" w:ascii="宋体" w:hAnsi="宋体"/>
          <w:kern w:val="0"/>
          <w:sz w:val="21"/>
          <w:szCs w:val="21"/>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037A1EAF">
      <w:pPr>
        <w:spacing w:line="588" w:lineRule="exact"/>
        <w:ind w:firstLine="420" w:firstLineChars="200"/>
        <w:rPr>
          <w:rFonts w:ascii="宋体" w:hAnsi="宋体"/>
          <w:kern w:val="0"/>
          <w:sz w:val="21"/>
          <w:szCs w:val="21"/>
        </w:rPr>
      </w:pPr>
      <w:r>
        <w:rPr>
          <w:rFonts w:hint="eastAsia" w:ascii="宋体" w:hAnsi="宋体"/>
          <w:kern w:val="0"/>
          <w:sz w:val="21"/>
          <w:szCs w:val="21"/>
        </w:rPr>
        <w:t>本单位对上述声明的真实性负责。如有虚假，将依法承担相应责任。</w:t>
      </w:r>
    </w:p>
    <w:p w14:paraId="22B30A88">
      <w:pPr>
        <w:spacing w:line="588" w:lineRule="exact"/>
        <w:ind w:firstLine="420" w:firstLineChars="200"/>
        <w:rPr>
          <w:rFonts w:ascii="宋体" w:hAnsi="宋体"/>
          <w:kern w:val="0"/>
          <w:sz w:val="21"/>
          <w:szCs w:val="21"/>
        </w:rPr>
      </w:pPr>
      <w:r>
        <w:rPr>
          <w:rFonts w:hint="eastAsia" w:ascii="宋体" w:hAnsi="宋体"/>
          <w:kern w:val="0"/>
          <w:sz w:val="21"/>
          <w:szCs w:val="21"/>
        </w:rPr>
        <w:t>（备注：1、供应商如不提供此声明函，价格将不做相应扣除。2、中标供应商为残疾人福利单位的，此声明函将随中标结果同时公告，接受社会监督）</w:t>
      </w:r>
    </w:p>
    <w:p w14:paraId="06191502">
      <w:pPr>
        <w:spacing w:line="588" w:lineRule="exact"/>
        <w:ind w:firstLine="444" w:firstLineChars="200"/>
        <w:rPr>
          <w:rFonts w:ascii="仿宋_GB2312" w:eastAsia="仿宋_GB2312"/>
          <w:spacing w:val="6"/>
          <w:kern w:val="0"/>
          <w:sz w:val="21"/>
          <w:szCs w:val="21"/>
        </w:rPr>
      </w:pPr>
    </w:p>
    <w:p w14:paraId="245FCC69">
      <w:pPr>
        <w:tabs>
          <w:tab w:val="left" w:pos="4860"/>
        </w:tabs>
        <w:spacing w:line="588" w:lineRule="exact"/>
        <w:ind w:right="1560" w:firstLine="420" w:firstLineChars="200"/>
        <w:jc w:val="center"/>
        <w:rPr>
          <w:rFonts w:ascii="宋体" w:hAnsi="宋体"/>
          <w:kern w:val="0"/>
          <w:sz w:val="21"/>
          <w:szCs w:val="21"/>
        </w:rPr>
      </w:pPr>
      <w:r>
        <w:rPr>
          <w:rFonts w:hint="eastAsia" w:ascii="宋体" w:hAnsi="宋体"/>
          <w:kern w:val="0"/>
          <w:sz w:val="21"/>
          <w:szCs w:val="21"/>
        </w:rPr>
        <w:t xml:space="preserve">                         投标供应商：</w:t>
      </w:r>
      <w:r>
        <w:rPr>
          <w:rFonts w:hint="eastAsia" w:ascii="宋体" w:hAnsi="宋体" w:cs="宋体"/>
          <w:kern w:val="0"/>
          <w:sz w:val="21"/>
          <w:szCs w:val="21"/>
        </w:rPr>
        <w:t>（加盖CA电子公章）</w:t>
      </w:r>
    </w:p>
    <w:p w14:paraId="0202896F">
      <w:pPr>
        <w:tabs>
          <w:tab w:val="left" w:pos="4860"/>
        </w:tabs>
        <w:spacing w:line="588" w:lineRule="exact"/>
        <w:ind w:right="1560" w:firstLine="420" w:firstLineChars="200"/>
        <w:jc w:val="center"/>
        <w:rPr>
          <w:rFonts w:ascii="宋体" w:hAnsi="宋体"/>
          <w:kern w:val="0"/>
          <w:sz w:val="21"/>
          <w:szCs w:val="21"/>
        </w:rPr>
      </w:pPr>
      <w:r>
        <w:rPr>
          <w:rFonts w:hint="eastAsia" w:ascii="宋体" w:hAnsi="宋体"/>
          <w:kern w:val="0"/>
          <w:sz w:val="21"/>
          <w:szCs w:val="21"/>
        </w:rPr>
        <w:t xml:space="preserve">         日  期：</w:t>
      </w:r>
    </w:p>
    <w:p w14:paraId="2ED6A082">
      <w:pPr>
        <w:snapToGrid w:val="0"/>
        <w:spacing w:line="420" w:lineRule="exact"/>
        <w:jc w:val="center"/>
        <w:outlineLvl w:val="3"/>
        <w:rPr>
          <w:rFonts w:hint="eastAsia" w:ascii="Calibri" w:hAnsi="Calibri"/>
          <w:b/>
          <w:bCs/>
          <w:kern w:val="0"/>
          <w:sz w:val="32"/>
          <w:szCs w:val="32"/>
        </w:rPr>
      </w:pPr>
    </w:p>
    <w:p w14:paraId="72C7935C">
      <w:pPr>
        <w:snapToGrid w:val="0"/>
        <w:spacing w:line="420" w:lineRule="exact"/>
        <w:jc w:val="center"/>
        <w:outlineLvl w:val="3"/>
        <w:rPr>
          <w:rFonts w:hint="eastAsia" w:ascii="Calibri" w:hAnsi="Calibri"/>
          <w:b/>
          <w:bCs/>
          <w:kern w:val="0"/>
          <w:sz w:val="32"/>
          <w:szCs w:val="32"/>
        </w:rPr>
      </w:pPr>
    </w:p>
    <w:p w14:paraId="60A47561">
      <w:pPr>
        <w:snapToGrid w:val="0"/>
        <w:spacing w:line="420" w:lineRule="exact"/>
        <w:jc w:val="center"/>
        <w:outlineLvl w:val="3"/>
        <w:rPr>
          <w:rFonts w:ascii="Calibri" w:hAnsi="Calibri"/>
          <w:b/>
          <w:bCs/>
          <w:kern w:val="0"/>
          <w:sz w:val="32"/>
          <w:szCs w:val="32"/>
        </w:rPr>
      </w:pPr>
      <w:r>
        <w:rPr>
          <w:rFonts w:hint="eastAsia" w:ascii="Calibri" w:hAnsi="Calibri"/>
          <w:b/>
          <w:bCs/>
          <w:kern w:val="0"/>
          <w:sz w:val="32"/>
          <w:szCs w:val="32"/>
        </w:rPr>
        <w:t>监狱和戒毒企业证明材料</w:t>
      </w:r>
    </w:p>
    <w:p w14:paraId="028B6650">
      <w:pPr>
        <w:snapToGrid w:val="0"/>
        <w:spacing w:line="420" w:lineRule="exact"/>
        <w:ind w:firstLine="426" w:firstLineChars="177"/>
        <w:rPr>
          <w:rFonts w:ascii="宋体" w:hAnsi="宋体" w:cs="宋体"/>
          <w:b/>
          <w:kern w:val="0"/>
          <w:sz w:val="24"/>
          <w:szCs w:val="22"/>
        </w:rPr>
      </w:pPr>
      <w:r>
        <w:rPr>
          <w:rFonts w:hint="eastAsia" w:ascii="宋体" w:hAnsi="宋体" w:cs="宋体"/>
          <w:b/>
          <w:kern w:val="0"/>
          <w:sz w:val="24"/>
          <w:szCs w:val="22"/>
        </w:rPr>
        <w:t>（格式自拟）</w:t>
      </w:r>
    </w:p>
    <w:p w14:paraId="2AF6397E">
      <w:pPr>
        <w:snapToGrid w:val="0"/>
        <w:spacing w:line="420" w:lineRule="exact"/>
        <w:ind w:firstLine="424" w:firstLineChars="177"/>
        <w:rPr>
          <w:rFonts w:ascii="宋体" w:hAnsi="宋体" w:cs="宋体"/>
          <w:kern w:val="0"/>
          <w:sz w:val="24"/>
          <w:szCs w:val="22"/>
        </w:rPr>
      </w:pPr>
    </w:p>
    <w:p w14:paraId="139102F9">
      <w:pPr>
        <w:keepNext w:val="0"/>
        <w:keepLines w:val="0"/>
        <w:pageBreakBefore w:val="0"/>
        <w:widowControl w:val="0"/>
        <w:kinsoku/>
        <w:wordWrap/>
        <w:overflowPunct/>
        <w:topLinePunct w:val="0"/>
        <w:autoSpaceDE/>
        <w:autoSpaceDN/>
        <w:bidi w:val="0"/>
        <w:adjustRightInd/>
        <w:snapToGrid w:val="0"/>
        <w:spacing w:line="360" w:lineRule="auto"/>
        <w:ind w:firstLine="495" w:firstLineChars="236"/>
        <w:textAlignment w:val="auto"/>
        <w:rPr>
          <w:rFonts w:ascii="宋体" w:hAnsi="宋体" w:cs="宋体"/>
          <w:kern w:val="0"/>
          <w:sz w:val="21"/>
          <w:szCs w:val="21"/>
        </w:rPr>
      </w:pPr>
      <w:r>
        <w:rPr>
          <w:rFonts w:hint="eastAsia" w:ascii="宋体" w:hAnsi="宋体" w:cs="宋体"/>
          <w:kern w:val="0"/>
          <w:sz w:val="21"/>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4917172">
      <w:pPr>
        <w:adjustRightInd w:val="0"/>
        <w:snapToGrid w:val="0"/>
        <w:spacing w:line="360" w:lineRule="auto"/>
        <w:ind w:right="840" w:firstLine="4776" w:firstLineChars="1990"/>
        <w:rPr>
          <w:rFonts w:asciiTheme="majorEastAsia" w:hAnsiTheme="majorEastAsia" w:eastAsiaTheme="majorEastAsia"/>
          <w:color w:val="0D0D0D" w:themeColor="text1" w:themeTint="F2"/>
          <w:sz w:val="24"/>
          <w14:textFill>
            <w14:solidFill>
              <w14:schemeClr w14:val="tx1">
                <w14:lumMod w14:val="95000"/>
                <w14:lumOff w14:val="5000"/>
              </w14:schemeClr>
            </w14:solidFill>
          </w14:textFill>
        </w:rPr>
      </w:pPr>
    </w:p>
    <w:p w14:paraId="799DACDE">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6A379443">
      <w:pPr>
        <w:rPr>
          <w:rFonts w:hint="eastAsia" w:asciiTheme="minorEastAsia" w:hAnsiTheme="minorEastAsia" w:eastAsiaTheme="minorEastAsia" w:cstheme="minorEastAsia"/>
          <w:iCs/>
          <w:sz w:val="32"/>
        </w:rPr>
      </w:pPr>
      <w:r>
        <w:rPr>
          <w:rFonts w:hint="eastAsia" w:asciiTheme="minorEastAsia" w:hAnsiTheme="minorEastAsia" w:eastAsiaTheme="minorEastAsia" w:cstheme="minorEastAsia"/>
          <w:iCs/>
          <w:sz w:val="32"/>
        </w:rPr>
        <w:br w:type="page" w:clear="all"/>
      </w:r>
    </w:p>
    <w:p w14:paraId="48862A30">
      <w:pPr>
        <w:snapToGrid w:val="0"/>
        <w:spacing w:line="420" w:lineRule="exact"/>
        <w:jc w:val="center"/>
        <w:outlineLvl w:val="3"/>
        <w:rPr>
          <w:rFonts w:hint="eastAsia" w:ascii="Calibri" w:hAnsi="Calibri" w:eastAsia="宋体" w:cs="Times New Roman"/>
          <w:b/>
          <w:bCs/>
          <w:kern w:val="0"/>
          <w:sz w:val="32"/>
          <w:szCs w:val="32"/>
        </w:rPr>
      </w:pPr>
      <w:r>
        <w:rPr>
          <w:rFonts w:hint="eastAsia" w:ascii="Calibri" w:hAnsi="Calibri" w:eastAsia="宋体" w:cs="Times New Roman"/>
          <w:b/>
          <w:bCs/>
          <w:kern w:val="0"/>
          <w:sz w:val="32"/>
          <w:szCs w:val="32"/>
        </w:rPr>
        <w:t>承诺书</w:t>
      </w:r>
    </w:p>
    <w:p w14:paraId="7B884D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（供应商名称）在此承诺：</w:t>
      </w:r>
    </w:p>
    <w:p w14:paraId="3388D1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1.本公司（单位）对本项目（）所提供的服务、质量均符合征集文件要求。</w:t>
      </w:r>
    </w:p>
    <w:p w14:paraId="532B226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2.本公司（单位）完全响应本项目报价要求和协审费用的结算及支付。</w:t>
      </w:r>
    </w:p>
    <w:p w14:paraId="71CA82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3.本公司（单位）在响应文件中提供的所有材料均为真实有效。</w:t>
      </w:r>
    </w:p>
    <w:p w14:paraId="1583F9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4.本公司（单位）项目专业审核人员一旦确定，未经采购人认可，不随意变更。</w:t>
      </w:r>
    </w:p>
    <w:p w14:paraId="1521A5D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5.……（供应商的其他承诺，如有可自行补充）</w:t>
      </w:r>
    </w:p>
    <w:p w14:paraId="1CD36D5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如违背上述承诺，我公司（单位）愿意承担因“提供虚假材料谋取入围或者合同成交的”的一切法律后果。</w:t>
      </w:r>
    </w:p>
    <w:p w14:paraId="4A7730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bCs/>
          <w:sz w:val="21"/>
          <w:szCs w:val="21"/>
        </w:rPr>
      </w:pPr>
    </w:p>
    <w:p w14:paraId="695E6677">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供应商全称（加盖CA电子公章）：</w:t>
      </w:r>
    </w:p>
    <w:p w14:paraId="665F40D0">
      <w:pPr>
        <w:keepNext w:val="0"/>
        <w:keepLines w:val="0"/>
        <w:pageBreakBefore w:val="0"/>
        <w:widowControl w:val="0"/>
        <w:kinsoku/>
        <w:wordWrap/>
        <w:overflowPunct/>
        <w:topLinePunct w:val="0"/>
        <w:autoSpaceDE/>
        <w:autoSpaceDN/>
        <w:bidi w:val="0"/>
        <w:adjustRightInd/>
        <w:snapToGrid/>
        <w:spacing w:line="360" w:lineRule="auto"/>
        <w:ind w:firstLine="5880" w:firstLineChars="2800"/>
        <w:textAlignment w:val="auto"/>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t>日期：</w:t>
      </w:r>
    </w:p>
    <w:p w14:paraId="3014A23F">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32"/>
          <w:szCs w:val="32"/>
        </w:rPr>
        <w:br w:type="page" w:clear="all"/>
      </w:r>
      <w:bookmarkEnd w:id="168"/>
      <w:bookmarkEnd w:id="169"/>
      <w:bookmarkEnd w:id="182"/>
      <w:bookmarkEnd w:id="183"/>
      <w:bookmarkEnd w:id="184"/>
    </w:p>
    <w:p w14:paraId="1897F002">
      <w:pPr>
        <w:widowControl/>
        <w:jc w:val="center"/>
        <w:rPr>
          <w:rFonts w:hint="eastAsia" w:asciiTheme="minorEastAsia" w:hAnsiTheme="minorEastAsia" w:eastAsiaTheme="minorEastAsia" w:cstheme="minorEastAsia"/>
          <w:b/>
          <w:bCs/>
          <w:iCs/>
          <w:sz w:val="30"/>
          <w:szCs w:val="30"/>
        </w:rPr>
      </w:pPr>
      <w:r>
        <w:rPr>
          <w:rFonts w:hint="eastAsia" w:asciiTheme="minorEastAsia" w:hAnsiTheme="minorEastAsia" w:eastAsiaTheme="minorEastAsia" w:cstheme="minorEastAsia"/>
          <w:b/>
          <w:bCs/>
          <w:iCs/>
          <w:sz w:val="30"/>
          <w:szCs w:val="30"/>
        </w:rPr>
        <w:t>开标一览表（以系统格式为准）</w:t>
      </w:r>
    </w:p>
    <w:p w14:paraId="6A8E3659">
      <w:pPr>
        <w:jc w:val="left"/>
        <w:rPr>
          <w:rFonts w:hint="eastAsia" w:asciiTheme="minorEastAsia" w:hAnsiTheme="minorEastAsia" w:eastAsiaTheme="minorEastAsia" w:cstheme="minorEastAsia"/>
          <w:sz w:val="24"/>
          <w:szCs w:val="24"/>
        </w:rPr>
      </w:pPr>
    </w:p>
    <w:p w14:paraId="3B1D51D7">
      <w:pPr>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供应商全称（加盖CA电子公章）：</w:t>
      </w:r>
    </w:p>
    <w:p w14:paraId="1BF86660">
      <w:pPr>
        <w:ind w:firstLine="480"/>
        <w:jc w:val="left"/>
        <w:rPr>
          <w:rFonts w:hint="eastAsia" w:asciiTheme="minorEastAsia" w:hAnsiTheme="minorEastAsia" w:eastAsiaTheme="minorEastAsia" w:cstheme="minorEastAsia"/>
          <w:sz w:val="24"/>
          <w:szCs w:val="24"/>
        </w:rPr>
      </w:pPr>
    </w:p>
    <w:tbl>
      <w:tblPr>
        <w:tblStyle w:val="4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403"/>
      </w:tblGrid>
      <w:tr w14:paraId="2192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atLeast"/>
          <w:jc w:val="center"/>
        </w:trPr>
        <w:tc>
          <w:tcPr>
            <w:tcW w:w="1953" w:type="dxa"/>
            <w:noWrap/>
            <w:vAlign w:val="center"/>
          </w:tcPr>
          <w:p w14:paraId="34977E87">
            <w:pPr>
              <w:widowControl/>
              <w:spacing w:line="4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项目编号</w:t>
            </w:r>
          </w:p>
        </w:tc>
        <w:tc>
          <w:tcPr>
            <w:tcW w:w="7403" w:type="dxa"/>
            <w:noWrap/>
            <w:vAlign w:val="center"/>
          </w:tcPr>
          <w:p w14:paraId="583D356F">
            <w:pPr>
              <w:widowControl/>
              <w:spacing w:line="400" w:lineRule="exact"/>
              <w:jc w:val="center"/>
              <w:rPr>
                <w:rFonts w:hint="eastAsia" w:asciiTheme="minorEastAsia" w:hAnsiTheme="minorEastAsia" w:eastAsiaTheme="minorEastAsia" w:cstheme="minorEastAsia"/>
                <w:sz w:val="28"/>
                <w:szCs w:val="28"/>
              </w:rPr>
            </w:pPr>
          </w:p>
        </w:tc>
      </w:tr>
      <w:tr w14:paraId="41F1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3" w:hRule="atLeast"/>
          <w:jc w:val="center"/>
        </w:trPr>
        <w:tc>
          <w:tcPr>
            <w:tcW w:w="1953" w:type="dxa"/>
            <w:noWrap/>
            <w:vAlign w:val="center"/>
          </w:tcPr>
          <w:p w14:paraId="1B5047C8">
            <w:pPr>
              <w:spacing w:line="300" w:lineRule="auto"/>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项目名称</w:t>
            </w:r>
          </w:p>
        </w:tc>
        <w:tc>
          <w:tcPr>
            <w:tcW w:w="7403" w:type="dxa"/>
            <w:noWrap/>
            <w:vAlign w:val="center"/>
          </w:tcPr>
          <w:p w14:paraId="0697307B">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南通高新技术产业开发区管理委员会</w:t>
            </w:r>
          </w:p>
          <w:p w14:paraId="68B3EBAF">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 w:val="0"/>
                <w:bCs w:val="0"/>
                <w:sz w:val="28"/>
                <w:szCs w:val="28"/>
              </w:rPr>
              <w:t>2026年政府投资建设项目协审服务</w:t>
            </w:r>
            <w:r>
              <w:rPr>
                <w:rFonts w:hint="eastAsia" w:asciiTheme="minorEastAsia" w:hAnsiTheme="minorEastAsia" w:eastAsiaTheme="minorEastAsia" w:cstheme="minorEastAsia"/>
                <w:b w:val="0"/>
                <w:bCs w:val="0"/>
                <w:sz w:val="28"/>
                <w:szCs w:val="28"/>
                <w:highlight w:val="none"/>
              </w:rPr>
              <w:t>框架协议采购</w:t>
            </w:r>
          </w:p>
        </w:tc>
      </w:tr>
      <w:tr w14:paraId="5C20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9" w:hRule="atLeast"/>
          <w:jc w:val="center"/>
        </w:trPr>
        <w:tc>
          <w:tcPr>
            <w:tcW w:w="1953" w:type="dxa"/>
            <w:noWrap/>
            <w:vAlign w:val="center"/>
          </w:tcPr>
          <w:p w14:paraId="77853F6E">
            <w:pPr>
              <w:widowControl/>
              <w:spacing w:line="44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项目报价</w:t>
            </w:r>
          </w:p>
        </w:tc>
        <w:tc>
          <w:tcPr>
            <w:tcW w:w="7403" w:type="dxa"/>
            <w:noWrap/>
            <w:vAlign w:val="center"/>
          </w:tcPr>
          <w:p w14:paraId="26F885CA">
            <w:pPr>
              <w:widowControl/>
              <w:spacing w:line="44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按</w:t>
            </w:r>
            <w:r>
              <w:rPr>
                <w:rFonts w:hint="eastAsia" w:asciiTheme="minorEastAsia" w:hAnsiTheme="minorEastAsia" w:eastAsiaTheme="minorEastAsia" w:cstheme="minorEastAsia"/>
                <w:sz w:val="28"/>
                <w:szCs w:val="28"/>
              </w:rPr>
              <w:t>征集文件</w:t>
            </w:r>
          </w:p>
        </w:tc>
      </w:tr>
    </w:tbl>
    <w:p w14:paraId="30FA0A3A">
      <w:pPr>
        <w:pStyle w:val="2"/>
        <w:rPr>
          <w:rFonts w:hint="eastAsia" w:asciiTheme="minorEastAsia" w:hAnsiTheme="minorEastAsia" w:eastAsiaTheme="minorEastAsia" w:cstheme="minorEastAsia"/>
        </w:rPr>
      </w:pPr>
    </w:p>
    <w:p w14:paraId="14EB4BB2">
      <w:pPr>
        <w:spacing w:line="360" w:lineRule="auto"/>
        <w:ind w:firstLine="56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sz w:val="28"/>
          <w:szCs w:val="28"/>
        </w:rPr>
        <w:t>注：</w:t>
      </w:r>
      <w:r>
        <w:rPr>
          <w:rFonts w:hint="eastAsia" w:asciiTheme="minorEastAsia" w:hAnsiTheme="minorEastAsia" w:eastAsiaTheme="minorEastAsia" w:cstheme="minorEastAsia"/>
          <w:color w:val="000000"/>
          <w:sz w:val="28"/>
          <w:szCs w:val="28"/>
        </w:rPr>
        <w:t>本项目无需报价，按照本征集文件协审费用的结算及支付要求执行，如参加响应视为接受本项目报价要求（响应供应商如果在制作标书或响应系统里面需要填写报价，一律按报价0元填写）</w:t>
      </w:r>
    </w:p>
    <w:p w14:paraId="78B7B466">
      <w:pPr>
        <w:rPr>
          <w:rFonts w:hint="eastAsia" w:asciiTheme="minorEastAsia" w:hAnsiTheme="minorEastAsia" w:eastAsiaTheme="minorEastAsia" w:cstheme="minorEastAsia"/>
          <w:sz w:val="24"/>
          <w:szCs w:val="24"/>
        </w:rPr>
      </w:pPr>
    </w:p>
    <w:p w14:paraId="10788CFB">
      <w:pPr>
        <w:ind w:firstLine="48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  年</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日</w:t>
      </w:r>
    </w:p>
    <w:p w14:paraId="02ED8C3C">
      <w:pPr>
        <w:widowControl/>
        <w:jc w:val="left"/>
        <w:rPr>
          <w:rFonts w:hint="eastAsia" w:asciiTheme="minorEastAsia" w:hAnsiTheme="minorEastAsia" w:eastAsiaTheme="minorEastAsia" w:cstheme="minorEastAsia"/>
          <w:b/>
          <w:bCs/>
          <w:iCs/>
          <w:sz w:val="30"/>
          <w:szCs w:val="30"/>
        </w:rPr>
      </w:pPr>
    </w:p>
    <w:p w14:paraId="6DB54140">
      <w:pPr>
        <w:widowControl/>
        <w:jc w:val="left"/>
        <w:rPr>
          <w:rFonts w:hint="eastAsia" w:asciiTheme="minorEastAsia" w:hAnsiTheme="minorEastAsia" w:eastAsiaTheme="minorEastAsia" w:cstheme="minorEastAsia"/>
          <w:b/>
          <w:bCs/>
          <w:iCs/>
          <w:sz w:val="30"/>
          <w:szCs w:val="30"/>
        </w:rPr>
      </w:pPr>
      <w:r>
        <w:rPr>
          <w:rFonts w:hint="eastAsia" w:asciiTheme="minorEastAsia" w:hAnsiTheme="minorEastAsia" w:eastAsiaTheme="minorEastAsia" w:cstheme="minorEastAsia"/>
          <w:b/>
          <w:bCs/>
          <w:iCs/>
          <w:sz w:val="30"/>
          <w:szCs w:val="30"/>
        </w:rPr>
        <w:br w:type="page" w:clear="all"/>
      </w:r>
    </w:p>
    <w:p w14:paraId="4764C77E">
      <w:pPr>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质疑函范本</w:t>
      </w:r>
    </w:p>
    <w:p w14:paraId="1BFFFDFF">
      <w:pPr>
        <w:spacing w:before="290"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一、质疑供应商基本信息</w:t>
      </w:r>
    </w:p>
    <w:p w14:paraId="3185AABC">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质疑供应商：</w:t>
      </w:r>
    </w:p>
    <w:p w14:paraId="3941D84F">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地址：邮编：</w:t>
      </w:r>
    </w:p>
    <w:p w14:paraId="1CE6E4F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联系人：联系电话：</w:t>
      </w:r>
    </w:p>
    <w:p w14:paraId="40B71E19">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授权代表：</w:t>
      </w:r>
    </w:p>
    <w:p w14:paraId="1A81D0D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p w14:paraId="02036429">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地址：邮编：</w:t>
      </w:r>
    </w:p>
    <w:p w14:paraId="2E7A638C">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二、质疑项目基本情况</w:t>
      </w:r>
    </w:p>
    <w:p w14:paraId="09E7E466">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质疑项目的名称：</w:t>
      </w:r>
    </w:p>
    <w:p w14:paraId="78D7B02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质疑项目的编号：包号：</w:t>
      </w:r>
    </w:p>
    <w:p w14:paraId="0791EF12">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采购人名称：</w:t>
      </w:r>
    </w:p>
    <w:p w14:paraId="4D623305">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采购文件获取日期：</w:t>
      </w:r>
    </w:p>
    <w:p w14:paraId="43A08CAC">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三、质疑事项具体内容</w:t>
      </w:r>
    </w:p>
    <w:p w14:paraId="67432618">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质疑事项1：</w:t>
      </w:r>
    </w:p>
    <w:p w14:paraId="5177AD3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事实依据：</w:t>
      </w:r>
    </w:p>
    <w:p w14:paraId="2E6A28D1">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法律依据：</w:t>
      </w:r>
    </w:p>
    <w:p w14:paraId="6877533B">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质疑事项2</w:t>
      </w:r>
    </w:p>
    <w:p w14:paraId="4AD229C8">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14:paraId="73D292DF">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四、与质疑事项相关的质疑请求</w:t>
      </w:r>
    </w:p>
    <w:p w14:paraId="0442C7A5">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请求：</w:t>
      </w:r>
    </w:p>
    <w:p w14:paraId="5A18A4F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签字(签章)：                   公章：                      </w:t>
      </w:r>
    </w:p>
    <w:p w14:paraId="6B81F48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p>
    <w:p w14:paraId="729C2A75">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质疑函制作说明：</w:t>
      </w:r>
    </w:p>
    <w:p w14:paraId="182A29A0">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1.供应商提出质疑时，应提交质疑函和必要的证明材料。</w:t>
      </w:r>
    </w:p>
    <w:p w14:paraId="00472505">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467865D">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3.质疑供应商若对项目的某一分包进行质疑，质疑函中应列明具体分包号。</w:t>
      </w:r>
    </w:p>
    <w:p w14:paraId="537506E1">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4.质疑函的质疑事项应具体、明确，并有必要的事实依据和法律依据。</w:t>
      </w:r>
    </w:p>
    <w:p w14:paraId="3ABFE16F">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5.质疑函的质疑请求应与质疑事项相关。</w:t>
      </w:r>
    </w:p>
    <w:p w14:paraId="2A1E6A86">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6.质疑供应商为自然人的，质疑函应由本人签字；质疑供应商为法人或者其他组织的，质疑函应由法定代表人、主要负责人，或者其授权代表签字或者盖章，并加盖公章。</w:t>
      </w:r>
    </w:p>
    <w:sectPr>
      <w:footerReference r:id="rId8" w:type="first"/>
      <w:headerReference r:id="rId6" w:type="default"/>
      <w:footerReference r:id="rId7" w:type="default"/>
      <w:pgSz w:w="11906" w:h="16838"/>
      <w:pgMar w:top="1418" w:right="1588" w:bottom="1418" w:left="1365" w:header="851" w:footer="907" w:gutter="0"/>
      <w:pgNumType w:fmt="decimal" w:start="39"/>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14ECF">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C25D87">
                          <w:pPr>
                            <w:pStyle w:val="30"/>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2C25D87">
                    <w:pPr>
                      <w:pStyle w:val="30"/>
                    </w:pPr>
                    <w:r>
                      <w:fldChar w:fldCharType="begin"/>
                    </w:r>
                    <w:r>
                      <w:instrText xml:space="preserve"> PAGE  \* MERGEFORMAT </w:instrText>
                    </w:r>
                    <w:r>
                      <w:fldChar w:fldCharType="separate"/>
                    </w:r>
                    <w:r>
                      <w:t>22</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CDC4FA">
                          <w:pPr>
                            <w:pStyle w:val="3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seos0BAACnAwAADgAAAAAAAAABACAAAAAeAQAAZHJzL2Uy&#10;b0RvYy54bWxQSwUGAAAAAAYABgBZAQAAXQUAAAAA&#10;">
              <v:fill on="f" focussize="0,0"/>
              <v:stroke on="f"/>
              <v:imagedata o:title=""/>
              <o:lock v:ext="edit" aspectratio="f"/>
              <v:textbox inset="0mm,0mm,0mm,0mm" style="mso-fit-shape-to-text:t;">
                <w:txbxContent>
                  <w:p w14:paraId="5CCDC4FA">
                    <w:pPr>
                      <w:pStyle w:val="3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254A6">
    <w:pPr>
      <w:pStyle w:val="30"/>
      <w:tabs>
        <w:tab w:val="center" w:pos="4725"/>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AD1E8B">
                          <w:pPr>
                            <w:pStyle w:val="30"/>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9AD1E8B">
                    <w:pPr>
                      <w:pStyle w:val="30"/>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86D861">
                          <w:pPr>
                            <w:pStyle w:val="30"/>
                          </w:pPr>
                          <w:r>
                            <w:rPr>
                              <w:rFonts w:hint="eastAsia"/>
                            </w:rPr>
                            <w:t>42</w:t>
                          </w:r>
                        </w:p>
                      </w:txbxContent>
                    </wps:txbx>
                    <wps:bodyPr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SVju0AAA&#10;AAUBAAAPAAAAAAAAAAEAIAAAACIAAABkcnMvZG93bnJldi54bWxQSwECFAAUAAAACACHTuJAEjTI&#10;GO0BAADVAwAADgAAAAAAAAABACAAAAAfAQAAZHJzL2Uyb0RvYy54bWxQSwUGAAAAAAYABgBZAQAA&#10;fgUAAAAA&#10;">
              <v:fill on="f" focussize="0,0"/>
              <v:stroke on="f" weight="0.5pt"/>
              <v:imagedata o:title=""/>
              <o:lock v:ext="edit" aspectratio="f"/>
              <v:textbox inset="0mm,0mm,0mm,0mm" style="mso-fit-shape-to-text:t;">
                <w:txbxContent>
                  <w:p w14:paraId="1486D861">
                    <w:pPr>
                      <w:pStyle w:val="30"/>
                    </w:pPr>
                    <w:r>
                      <w:rPr>
                        <w:rFonts w:hint="eastAsia"/>
                      </w:rPr>
                      <w:t>42</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1C978">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65518">
                          <w:pPr>
                            <w:pStyle w:val="30"/>
                          </w:pPr>
                          <w:r>
                            <w:fldChar w:fldCharType="begin"/>
                          </w:r>
                          <w:r>
                            <w:rPr>
                              <w:rStyle w:val="49"/>
                              <w:rFonts w:ascii="宋体" w:hAnsi="宋体"/>
                            </w:rPr>
                            <w:instrText xml:space="preserve">PAGE  </w:instrText>
                          </w:r>
                          <w:r>
                            <w:fldChar w:fldCharType="separate"/>
                          </w:r>
                          <w:r>
                            <w:rPr>
                              <w:rStyle w:val="49"/>
                              <w:rFonts w:ascii="宋体" w:hAnsi="宋体"/>
                            </w:rP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E65518">
                    <w:pPr>
                      <w:pStyle w:val="30"/>
                    </w:pPr>
                    <w:r>
                      <w:fldChar w:fldCharType="begin"/>
                    </w:r>
                    <w:r>
                      <w:rPr>
                        <w:rStyle w:val="49"/>
                        <w:rFonts w:ascii="宋体" w:hAnsi="宋体"/>
                      </w:rPr>
                      <w:instrText xml:space="preserve">PAGE  </w:instrText>
                    </w:r>
                    <w:r>
                      <w:fldChar w:fldCharType="separate"/>
                    </w:r>
                    <w:r>
                      <w:rPr>
                        <w:rStyle w:val="49"/>
                        <w:rFonts w:ascii="宋体" w:hAnsi="宋体"/>
                      </w:rP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530CC">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9531D">
                          <w:pPr>
                            <w:pStyle w:val="3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69531D">
                    <w:pPr>
                      <w:pStyle w:val="3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EC7DD">
    <w:pPr>
      <w:pStyle w:val="32"/>
      <w:pBdr>
        <w:bottom w:val="none" w:color="auto" w:sz="0" w:space="12"/>
      </w:pBdr>
      <w:tabs>
        <w:tab w:val="left" w:pos="3565"/>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91150">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84EAAB"/>
    <w:multiLevelType w:val="singleLevel"/>
    <w:tmpl w:val="C384EAAB"/>
    <w:lvl w:ilvl="0" w:tentative="0">
      <w:start w:val="1"/>
      <w:numFmt w:val="chineseCounting"/>
      <w:suff w:val="nothing"/>
      <w:lvlText w:val="%1、"/>
      <w:lvlJc w:val="left"/>
      <w:rPr>
        <w:rFonts w:hint="eastAsia" w:cs="Times New Roman"/>
      </w:rPr>
    </w:lvl>
  </w:abstractNum>
  <w:abstractNum w:abstractNumId="1">
    <w:nsid w:val="CF092B84"/>
    <w:multiLevelType w:val="multilevel"/>
    <w:tmpl w:val="CF092B84"/>
    <w:lvl w:ilvl="0" w:tentative="0">
      <w:start w:val="1"/>
      <w:numFmt w:val="japaneseCounting"/>
      <w:lvlText w:val="第%1章"/>
      <w:lvlJc w:val="left"/>
      <w:pPr>
        <w:tabs>
          <w:tab w:val="left" w:pos="1440"/>
        </w:tabs>
        <w:ind w:left="1440" w:hanging="1440"/>
      </w:pPr>
      <w:rPr>
        <w:rFonts w:hint="eastAsia" w:asciiTheme="minorEastAsia" w:hAnsiTheme="minorEastAsia" w:eastAsiaTheme="minorEastAsia" w:cstheme="minorEastAsia"/>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A403855"/>
    <w:multiLevelType w:val="singleLevel"/>
    <w:tmpl w:val="FA403855"/>
    <w:lvl w:ilvl="0" w:tentative="0">
      <w:start w:val="5"/>
      <w:numFmt w:val="chineseCounting"/>
      <w:suff w:val="nothing"/>
      <w:lvlText w:val="%1、"/>
      <w:lvlJc w:val="left"/>
      <w:rPr>
        <w:rFonts w:hint="eastAsia"/>
      </w:rPr>
    </w:lvl>
  </w:abstractNum>
  <w:abstractNum w:abstractNumId="3">
    <w:nsid w:val="0053208E"/>
    <w:multiLevelType w:val="multilevel"/>
    <w:tmpl w:val="0053208E"/>
    <w:lvl w:ilvl="0" w:tentative="0">
      <w:start w:val="1"/>
      <w:numFmt w:val="bullet"/>
      <w:pStyle w:val="16"/>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3C5F099"/>
    <w:multiLevelType w:val="singleLevel"/>
    <w:tmpl w:val="23C5F099"/>
    <w:lvl w:ilvl="0" w:tentative="0">
      <w:start w:val="1"/>
      <w:numFmt w:val="chineseCounting"/>
      <w:suff w:val="nothing"/>
      <w:lvlText w:val="%1、"/>
      <w:lvlJc w:val="left"/>
      <w:rPr>
        <w:rFonts w:hint="eastAsia"/>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iYzY2N2I0MTQ4MWJjNzMwZjkzY2ZlZTQ5NTRiNmEifQ=="/>
  </w:docVars>
  <w:rsids>
    <w:rsidRoot w:val="00B5622D"/>
    <w:rsid w:val="00000EE0"/>
    <w:rsid w:val="000244CA"/>
    <w:rsid w:val="0006251E"/>
    <w:rsid w:val="0008016D"/>
    <w:rsid w:val="001171B2"/>
    <w:rsid w:val="001C61F4"/>
    <w:rsid w:val="001F5CBC"/>
    <w:rsid w:val="00260FE9"/>
    <w:rsid w:val="002A1B6F"/>
    <w:rsid w:val="002C76B0"/>
    <w:rsid w:val="002F118D"/>
    <w:rsid w:val="002F3ADC"/>
    <w:rsid w:val="003111E9"/>
    <w:rsid w:val="00320B6C"/>
    <w:rsid w:val="00334E20"/>
    <w:rsid w:val="00353088"/>
    <w:rsid w:val="003874B3"/>
    <w:rsid w:val="00395FFD"/>
    <w:rsid w:val="003F384D"/>
    <w:rsid w:val="004515B9"/>
    <w:rsid w:val="00464742"/>
    <w:rsid w:val="004A7DC7"/>
    <w:rsid w:val="004D6780"/>
    <w:rsid w:val="005412A4"/>
    <w:rsid w:val="0058606A"/>
    <w:rsid w:val="005A2545"/>
    <w:rsid w:val="00642F3E"/>
    <w:rsid w:val="00656C61"/>
    <w:rsid w:val="00685BB2"/>
    <w:rsid w:val="006D573C"/>
    <w:rsid w:val="00735AC1"/>
    <w:rsid w:val="0079396D"/>
    <w:rsid w:val="00796F24"/>
    <w:rsid w:val="007B2D5F"/>
    <w:rsid w:val="007F516E"/>
    <w:rsid w:val="00814295"/>
    <w:rsid w:val="008415FD"/>
    <w:rsid w:val="00872227"/>
    <w:rsid w:val="008928E3"/>
    <w:rsid w:val="008D477A"/>
    <w:rsid w:val="008E5071"/>
    <w:rsid w:val="00911699"/>
    <w:rsid w:val="00915561"/>
    <w:rsid w:val="0095637C"/>
    <w:rsid w:val="009A4B89"/>
    <w:rsid w:val="009E2C31"/>
    <w:rsid w:val="009E3904"/>
    <w:rsid w:val="00A00065"/>
    <w:rsid w:val="00A10746"/>
    <w:rsid w:val="00A44A50"/>
    <w:rsid w:val="00A751E7"/>
    <w:rsid w:val="00A84061"/>
    <w:rsid w:val="00AB175A"/>
    <w:rsid w:val="00AB26D6"/>
    <w:rsid w:val="00B01681"/>
    <w:rsid w:val="00B21167"/>
    <w:rsid w:val="00B5622D"/>
    <w:rsid w:val="00B82582"/>
    <w:rsid w:val="00BA6A5A"/>
    <w:rsid w:val="00BE0E7A"/>
    <w:rsid w:val="00C02041"/>
    <w:rsid w:val="00C16F17"/>
    <w:rsid w:val="00C36AF6"/>
    <w:rsid w:val="00C6522D"/>
    <w:rsid w:val="00CA5932"/>
    <w:rsid w:val="00CA6331"/>
    <w:rsid w:val="00CA69F6"/>
    <w:rsid w:val="00CE053B"/>
    <w:rsid w:val="00CE0F14"/>
    <w:rsid w:val="00D17079"/>
    <w:rsid w:val="00D21774"/>
    <w:rsid w:val="00D275EF"/>
    <w:rsid w:val="00D67641"/>
    <w:rsid w:val="00D763FB"/>
    <w:rsid w:val="00DA7FA5"/>
    <w:rsid w:val="00DD1CFD"/>
    <w:rsid w:val="00DD568C"/>
    <w:rsid w:val="00DE5292"/>
    <w:rsid w:val="00E95664"/>
    <w:rsid w:val="00EB2434"/>
    <w:rsid w:val="00EF3551"/>
    <w:rsid w:val="00F53149"/>
    <w:rsid w:val="00F74573"/>
    <w:rsid w:val="00FA0FEC"/>
    <w:rsid w:val="00FC6667"/>
    <w:rsid w:val="01066A48"/>
    <w:rsid w:val="016519C1"/>
    <w:rsid w:val="0179546C"/>
    <w:rsid w:val="017E6F26"/>
    <w:rsid w:val="02922C03"/>
    <w:rsid w:val="02931E56"/>
    <w:rsid w:val="02F572D4"/>
    <w:rsid w:val="040925D5"/>
    <w:rsid w:val="049E05A3"/>
    <w:rsid w:val="058C3E4F"/>
    <w:rsid w:val="06233BF8"/>
    <w:rsid w:val="06724A54"/>
    <w:rsid w:val="06AB60C8"/>
    <w:rsid w:val="06C63916"/>
    <w:rsid w:val="071715BF"/>
    <w:rsid w:val="0732576E"/>
    <w:rsid w:val="09070C2B"/>
    <w:rsid w:val="09151F1E"/>
    <w:rsid w:val="09322AD0"/>
    <w:rsid w:val="09A66C11"/>
    <w:rsid w:val="0A073D6E"/>
    <w:rsid w:val="0A083831"/>
    <w:rsid w:val="0A434869"/>
    <w:rsid w:val="0A9F4195"/>
    <w:rsid w:val="0AB66519"/>
    <w:rsid w:val="0B71346E"/>
    <w:rsid w:val="0BDC4F75"/>
    <w:rsid w:val="0BE44893"/>
    <w:rsid w:val="0C216E2C"/>
    <w:rsid w:val="0C48085D"/>
    <w:rsid w:val="0D731909"/>
    <w:rsid w:val="0E5F5558"/>
    <w:rsid w:val="0F2607A8"/>
    <w:rsid w:val="0F4D054E"/>
    <w:rsid w:val="0FAE09D7"/>
    <w:rsid w:val="0FDE316E"/>
    <w:rsid w:val="0FF7412C"/>
    <w:rsid w:val="10087D69"/>
    <w:rsid w:val="107005D3"/>
    <w:rsid w:val="108A0980"/>
    <w:rsid w:val="113413B0"/>
    <w:rsid w:val="1163363A"/>
    <w:rsid w:val="11700B2A"/>
    <w:rsid w:val="117F087D"/>
    <w:rsid w:val="119D51A7"/>
    <w:rsid w:val="125F420A"/>
    <w:rsid w:val="12655CC4"/>
    <w:rsid w:val="13180F89"/>
    <w:rsid w:val="13973E82"/>
    <w:rsid w:val="139F6FB4"/>
    <w:rsid w:val="13D7394D"/>
    <w:rsid w:val="13E64BE3"/>
    <w:rsid w:val="141C6857"/>
    <w:rsid w:val="142270B4"/>
    <w:rsid w:val="142474B9"/>
    <w:rsid w:val="14D62EA9"/>
    <w:rsid w:val="152C2AC9"/>
    <w:rsid w:val="15565D98"/>
    <w:rsid w:val="155C1C50"/>
    <w:rsid w:val="15795B75"/>
    <w:rsid w:val="158B3902"/>
    <w:rsid w:val="1629525B"/>
    <w:rsid w:val="1631102D"/>
    <w:rsid w:val="16581811"/>
    <w:rsid w:val="16AC72CA"/>
    <w:rsid w:val="16DB47A7"/>
    <w:rsid w:val="1705386D"/>
    <w:rsid w:val="180A4C18"/>
    <w:rsid w:val="180F353C"/>
    <w:rsid w:val="19621BDB"/>
    <w:rsid w:val="19A23353"/>
    <w:rsid w:val="19AA66B3"/>
    <w:rsid w:val="19B117EF"/>
    <w:rsid w:val="19C220D1"/>
    <w:rsid w:val="1B2C6201"/>
    <w:rsid w:val="1C2C33AF"/>
    <w:rsid w:val="1C313F65"/>
    <w:rsid w:val="1C6E7E6B"/>
    <w:rsid w:val="1CCD7468"/>
    <w:rsid w:val="1CDC4F2B"/>
    <w:rsid w:val="1D04257E"/>
    <w:rsid w:val="1D4E55A7"/>
    <w:rsid w:val="1DC046F7"/>
    <w:rsid w:val="1DD65CC8"/>
    <w:rsid w:val="1DE859FC"/>
    <w:rsid w:val="1E2B6468"/>
    <w:rsid w:val="1ECF3C95"/>
    <w:rsid w:val="1F430B80"/>
    <w:rsid w:val="1F6B41EE"/>
    <w:rsid w:val="1FF964C6"/>
    <w:rsid w:val="202A32D9"/>
    <w:rsid w:val="20BA42D4"/>
    <w:rsid w:val="20E527FA"/>
    <w:rsid w:val="21CF315A"/>
    <w:rsid w:val="21D01108"/>
    <w:rsid w:val="228C2DF9"/>
    <w:rsid w:val="23227BD9"/>
    <w:rsid w:val="2428729B"/>
    <w:rsid w:val="247752DF"/>
    <w:rsid w:val="250F386E"/>
    <w:rsid w:val="26434D40"/>
    <w:rsid w:val="26523E26"/>
    <w:rsid w:val="26670CCA"/>
    <w:rsid w:val="267328FB"/>
    <w:rsid w:val="26FE58D1"/>
    <w:rsid w:val="27105115"/>
    <w:rsid w:val="27BC27E0"/>
    <w:rsid w:val="27E40FE2"/>
    <w:rsid w:val="28177609"/>
    <w:rsid w:val="284B1061"/>
    <w:rsid w:val="288602EB"/>
    <w:rsid w:val="29385FFC"/>
    <w:rsid w:val="293D6BFB"/>
    <w:rsid w:val="297B7724"/>
    <w:rsid w:val="2A6665E2"/>
    <w:rsid w:val="2AA35184"/>
    <w:rsid w:val="2BA70CA4"/>
    <w:rsid w:val="2BB1742D"/>
    <w:rsid w:val="2BFE5BDA"/>
    <w:rsid w:val="2C0F23A5"/>
    <w:rsid w:val="2C424529"/>
    <w:rsid w:val="2D177764"/>
    <w:rsid w:val="2D4D5D3B"/>
    <w:rsid w:val="2D7834AC"/>
    <w:rsid w:val="2D7C1CBC"/>
    <w:rsid w:val="2D8F1DD6"/>
    <w:rsid w:val="2DD667CB"/>
    <w:rsid w:val="2E0423DE"/>
    <w:rsid w:val="2E0A72C8"/>
    <w:rsid w:val="2E432AA5"/>
    <w:rsid w:val="2E860C58"/>
    <w:rsid w:val="2F6D3A87"/>
    <w:rsid w:val="2F7964B4"/>
    <w:rsid w:val="3049232A"/>
    <w:rsid w:val="304A7E50"/>
    <w:rsid w:val="30696528"/>
    <w:rsid w:val="309D08C8"/>
    <w:rsid w:val="30E97669"/>
    <w:rsid w:val="31556AAC"/>
    <w:rsid w:val="31E247E4"/>
    <w:rsid w:val="31F34735"/>
    <w:rsid w:val="332D5A3F"/>
    <w:rsid w:val="33467961"/>
    <w:rsid w:val="3362577B"/>
    <w:rsid w:val="34481D4A"/>
    <w:rsid w:val="345C0A9A"/>
    <w:rsid w:val="346E06DB"/>
    <w:rsid w:val="349F2923"/>
    <w:rsid w:val="34B63D06"/>
    <w:rsid w:val="34C44675"/>
    <w:rsid w:val="34CC3529"/>
    <w:rsid w:val="34E404B6"/>
    <w:rsid w:val="357E2A76"/>
    <w:rsid w:val="35AB313F"/>
    <w:rsid w:val="35E86141"/>
    <w:rsid w:val="35FB2318"/>
    <w:rsid w:val="36712C55"/>
    <w:rsid w:val="377759CE"/>
    <w:rsid w:val="38797524"/>
    <w:rsid w:val="387B329C"/>
    <w:rsid w:val="38C36DAB"/>
    <w:rsid w:val="3AA50AA5"/>
    <w:rsid w:val="3B246A26"/>
    <w:rsid w:val="3BFA623B"/>
    <w:rsid w:val="3C484C1E"/>
    <w:rsid w:val="3C4B1DF2"/>
    <w:rsid w:val="3D0221DE"/>
    <w:rsid w:val="3D0C0967"/>
    <w:rsid w:val="3D0D16DB"/>
    <w:rsid w:val="3D141AAB"/>
    <w:rsid w:val="3D202664"/>
    <w:rsid w:val="3D4A76E1"/>
    <w:rsid w:val="3DF231F5"/>
    <w:rsid w:val="3DFC4E7F"/>
    <w:rsid w:val="3E00727D"/>
    <w:rsid w:val="3E990920"/>
    <w:rsid w:val="3EE576C2"/>
    <w:rsid w:val="3EEB52E2"/>
    <w:rsid w:val="3EF26D09"/>
    <w:rsid w:val="3F7A1BE3"/>
    <w:rsid w:val="400210C8"/>
    <w:rsid w:val="40ED51FF"/>
    <w:rsid w:val="41046C8C"/>
    <w:rsid w:val="41543983"/>
    <w:rsid w:val="41766CF7"/>
    <w:rsid w:val="41856F3A"/>
    <w:rsid w:val="41C31810"/>
    <w:rsid w:val="41DA54D8"/>
    <w:rsid w:val="421309EA"/>
    <w:rsid w:val="42446DF5"/>
    <w:rsid w:val="426923B8"/>
    <w:rsid w:val="42AF01B5"/>
    <w:rsid w:val="42B37AD7"/>
    <w:rsid w:val="42B51AA1"/>
    <w:rsid w:val="42D20D4A"/>
    <w:rsid w:val="42E45748"/>
    <w:rsid w:val="43AF477D"/>
    <w:rsid w:val="445D5919"/>
    <w:rsid w:val="448418FC"/>
    <w:rsid w:val="448D4A83"/>
    <w:rsid w:val="457B2BF7"/>
    <w:rsid w:val="462A6302"/>
    <w:rsid w:val="46D06EA9"/>
    <w:rsid w:val="476D64A6"/>
    <w:rsid w:val="478C2F7C"/>
    <w:rsid w:val="47E80223"/>
    <w:rsid w:val="48180B08"/>
    <w:rsid w:val="482253D2"/>
    <w:rsid w:val="48CE31F7"/>
    <w:rsid w:val="48E52629"/>
    <w:rsid w:val="49CA7BE0"/>
    <w:rsid w:val="4A7D2EA4"/>
    <w:rsid w:val="4A8A3813"/>
    <w:rsid w:val="4AE253FD"/>
    <w:rsid w:val="4B9506C1"/>
    <w:rsid w:val="4BD765E4"/>
    <w:rsid w:val="4C9170DB"/>
    <w:rsid w:val="4C983FC5"/>
    <w:rsid w:val="4CE4545C"/>
    <w:rsid w:val="4CEC60BF"/>
    <w:rsid w:val="4D7B3643"/>
    <w:rsid w:val="4DB7491F"/>
    <w:rsid w:val="4DCB2178"/>
    <w:rsid w:val="4EA22473"/>
    <w:rsid w:val="4EAA3021"/>
    <w:rsid w:val="4F6603AB"/>
    <w:rsid w:val="4F8B6B10"/>
    <w:rsid w:val="4F8E7D1A"/>
    <w:rsid w:val="4F9D7B44"/>
    <w:rsid w:val="4FAC6AD9"/>
    <w:rsid w:val="4FC058AB"/>
    <w:rsid w:val="50281B04"/>
    <w:rsid w:val="509C7DFC"/>
    <w:rsid w:val="50AB003F"/>
    <w:rsid w:val="515017EA"/>
    <w:rsid w:val="516F1015"/>
    <w:rsid w:val="5176064D"/>
    <w:rsid w:val="51C8534D"/>
    <w:rsid w:val="51C969CF"/>
    <w:rsid w:val="522602C5"/>
    <w:rsid w:val="52A35472"/>
    <w:rsid w:val="52C168DA"/>
    <w:rsid w:val="533B19FC"/>
    <w:rsid w:val="533B56AA"/>
    <w:rsid w:val="534D0939"/>
    <w:rsid w:val="5358625C"/>
    <w:rsid w:val="538E6122"/>
    <w:rsid w:val="54246747"/>
    <w:rsid w:val="5425597D"/>
    <w:rsid w:val="54871C46"/>
    <w:rsid w:val="55246C25"/>
    <w:rsid w:val="553E76D4"/>
    <w:rsid w:val="555962BC"/>
    <w:rsid w:val="55986733"/>
    <w:rsid w:val="55A7171D"/>
    <w:rsid w:val="55B16F5E"/>
    <w:rsid w:val="55BF03EB"/>
    <w:rsid w:val="55C0633B"/>
    <w:rsid w:val="55D33AFC"/>
    <w:rsid w:val="561202E1"/>
    <w:rsid w:val="56B23ED5"/>
    <w:rsid w:val="573762F5"/>
    <w:rsid w:val="57CE37BC"/>
    <w:rsid w:val="57DC724B"/>
    <w:rsid w:val="57FB4121"/>
    <w:rsid w:val="58CB127E"/>
    <w:rsid w:val="594E082D"/>
    <w:rsid w:val="5966544B"/>
    <w:rsid w:val="596A6869"/>
    <w:rsid w:val="59D93E6F"/>
    <w:rsid w:val="5A9A35FE"/>
    <w:rsid w:val="5AA27737"/>
    <w:rsid w:val="5AC86513"/>
    <w:rsid w:val="5AE825BC"/>
    <w:rsid w:val="5B151DE3"/>
    <w:rsid w:val="5B413F35"/>
    <w:rsid w:val="5C05719D"/>
    <w:rsid w:val="5CB448BD"/>
    <w:rsid w:val="5CC22998"/>
    <w:rsid w:val="5D4D023D"/>
    <w:rsid w:val="5DB91FED"/>
    <w:rsid w:val="5DCF7A63"/>
    <w:rsid w:val="5DE80B25"/>
    <w:rsid w:val="5E6A56D2"/>
    <w:rsid w:val="5E8343A9"/>
    <w:rsid w:val="5F8B1AC7"/>
    <w:rsid w:val="603A5183"/>
    <w:rsid w:val="603B13E0"/>
    <w:rsid w:val="60CC2038"/>
    <w:rsid w:val="61B551C2"/>
    <w:rsid w:val="61F01D56"/>
    <w:rsid w:val="626A7D5A"/>
    <w:rsid w:val="62C05BCC"/>
    <w:rsid w:val="630F26B0"/>
    <w:rsid w:val="632779F9"/>
    <w:rsid w:val="63C41723"/>
    <w:rsid w:val="63D77671"/>
    <w:rsid w:val="63DF78FE"/>
    <w:rsid w:val="642A7FD2"/>
    <w:rsid w:val="644C3BBB"/>
    <w:rsid w:val="6468651B"/>
    <w:rsid w:val="647D6ECA"/>
    <w:rsid w:val="64AD68B8"/>
    <w:rsid w:val="64EC2CA8"/>
    <w:rsid w:val="65091AAC"/>
    <w:rsid w:val="65112DDE"/>
    <w:rsid w:val="653D72C9"/>
    <w:rsid w:val="65510D5D"/>
    <w:rsid w:val="656960A7"/>
    <w:rsid w:val="65DA51F7"/>
    <w:rsid w:val="6695111E"/>
    <w:rsid w:val="66A80E51"/>
    <w:rsid w:val="66CC0FE3"/>
    <w:rsid w:val="67AC65EE"/>
    <w:rsid w:val="67B87403"/>
    <w:rsid w:val="67DF6AF4"/>
    <w:rsid w:val="67ED7463"/>
    <w:rsid w:val="680B1697"/>
    <w:rsid w:val="68170135"/>
    <w:rsid w:val="683B4D08"/>
    <w:rsid w:val="686E384F"/>
    <w:rsid w:val="689C5D54"/>
    <w:rsid w:val="68B25FB7"/>
    <w:rsid w:val="68C47A98"/>
    <w:rsid w:val="6A083F8E"/>
    <w:rsid w:val="6A18009C"/>
    <w:rsid w:val="6A3824EC"/>
    <w:rsid w:val="6A88187F"/>
    <w:rsid w:val="6A902328"/>
    <w:rsid w:val="6AE14931"/>
    <w:rsid w:val="6B1747F7"/>
    <w:rsid w:val="6B1765A5"/>
    <w:rsid w:val="6B621F16"/>
    <w:rsid w:val="6B800D4E"/>
    <w:rsid w:val="6BD16BCB"/>
    <w:rsid w:val="6BF6605B"/>
    <w:rsid w:val="6C9A56E0"/>
    <w:rsid w:val="6D0F4A00"/>
    <w:rsid w:val="6D2B6338"/>
    <w:rsid w:val="6E166FE8"/>
    <w:rsid w:val="6E7D7067"/>
    <w:rsid w:val="6E8D30EF"/>
    <w:rsid w:val="6EA40C64"/>
    <w:rsid w:val="6EEB2223"/>
    <w:rsid w:val="6F32346A"/>
    <w:rsid w:val="6F6E74EB"/>
    <w:rsid w:val="6FCF4290"/>
    <w:rsid w:val="70AB1C6A"/>
    <w:rsid w:val="71413AA9"/>
    <w:rsid w:val="71A878F5"/>
    <w:rsid w:val="71B63658"/>
    <w:rsid w:val="724265FE"/>
    <w:rsid w:val="727147ED"/>
    <w:rsid w:val="728221C1"/>
    <w:rsid w:val="728E539F"/>
    <w:rsid w:val="73830C7C"/>
    <w:rsid w:val="739500E1"/>
    <w:rsid w:val="73CB1CB0"/>
    <w:rsid w:val="73DB0276"/>
    <w:rsid w:val="73DB0BEF"/>
    <w:rsid w:val="741E0EF5"/>
    <w:rsid w:val="758807CB"/>
    <w:rsid w:val="765C45EC"/>
    <w:rsid w:val="76C00241"/>
    <w:rsid w:val="76DF0F8B"/>
    <w:rsid w:val="775E5C88"/>
    <w:rsid w:val="779C67B0"/>
    <w:rsid w:val="792C3B64"/>
    <w:rsid w:val="7967694A"/>
    <w:rsid w:val="79B641C2"/>
    <w:rsid w:val="7AD63D87"/>
    <w:rsid w:val="7BB06B1C"/>
    <w:rsid w:val="7BD55DED"/>
    <w:rsid w:val="7C4B2553"/>
    <w:rsid w:val="7D781125"/>
    <w:rsid w:val="7DBB6EEC"/>
    <w:rsid w:val="7DED4EF9"/>
    <w:rsid w:val="7E34555D"/>
    <w:rsid w:val="7E461224"/>
    <w:rsid w:val="7F1C287F"/>
    <w:rsid w:val="7F840255"/>
    <w:rsid w:val="7F954211"/>
    <w:rsid w:val="7FB96DD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5">
    <w:name w:val="heading 1"/>
    <w:basedOn w:val="1"/>
    <w:next w:val="1"/>
    <w:qFormat/>
    <w:uiPriority w:val="0"/>
    <w:pPr>
      <w:keepNext/>
      <w:jc w:val="center"/>
      <w:outlineLvl w:val="0"/>
    </w:pPr>
    <w:rPr>
      <w:rFonts w:ascii="楷体_GB2312" w:eastAsia="楷体_GB2312"/>
      <w:sz w:val="28"/>
      <w:szCs w:val="28"/>
    </w:rPr>
  </w:style>
  <w:style w:type="paragraph" w:styleId="6">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8"/>
    <w:qFormat/>
    <w:uiPriority w:val="0"/>
    <w:pPr>
      <w:keepNext/>
      <w:keepLines/>
      <w:spacing w:before="260" w:after="260" w:line="416" w:lineRule="auto"/>
      <w:outlineLvl w:val="2"/>
    </w:pPr>
    <w:rPr>
      <w:b/>
      <w:bCs/>
      <w:sz w:val="32"/>
      <w:szCs w:val="32"/>
    </w:rPr>
  </w:style>
  <w:style w:type="paragraph" w:styleId="9">
    <w:name w:val="heading 4"/>
    <w:basedOn w:val="1"/>
    <w:next w:val="8"/>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60"/>
    <w:unhideWhenUsed/>
    <w:qFormat/>
    <w:uiPriority w:val="9"/>
    <w:pPr>
      <w:keepNext/>
      <w:keepLines/>
      <w:spacing w:before="320" w:after="200"/>
      <w:outlineLvl w:val="8"/>
    </w:pPr>
    <w:rPr>
      <w:rFonts w:ascii="Arial" w:hAnsi="Arial" w:eastAsia="Arial" w:cs="Arial"/>
      <w:i/>
      <w:iCs/>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jc w:val="left"/>
    </w:pPr>
    <w:rPr>
      <w:sz w:val="18"/>
      <w:szCs w:val="18"/>
    </w:rPr>
  </w:style>
  <w:style w:type="paragraph" w:styleId="3">
    <w:name w:val="Body Text First Indent 2"/>
    <w:basedOn w:val="4"/>
    <w:qFormat/>
    <w:uiPriority w:val="0"/>
    <w:pPr>
      <w:ind w:firstLine="420"/>
    </w:pPr>
  </w:style>
  <w:style w:type="paragraph" w:styleId="4">
    <w:name w:val="Body Text Indent"/>
    <w:basedOn w:val="1"/>
    <w:qFormat/>
    <w:uiPriority w:val="0"/>
    <w:pPr>
      <w:ind w:left="-397" w:firstLine="817"/>
    </w:pPr>
    <w:rPr>
      <w:szCs w:val="20"/>
    </w:rPr>
  </w:style>
  <w:style w:type="paragraph" w:styleId="8">
    <w:name w:val="Normal Indent"/>
    <w:basedOn w:val="1"/>
    <w:link w:val="207"/>
    <w:qFormat/>
    <w:uiPriority w:val="0"/>
    <w:pPr>
      <w:ind w:firstLine="420"/>
    </w:pPr>
  </w:style>
  <w:style w:type="paragraph" w:styleId="15">
    <w:name w:val="toc 7"/>
    <w:basedOn w:val="1"/>
    <w:next w:val="1"/>
    <w:unhideWhenUsed/>
    <w:qFormat/>
    <w:uiPriority w:val="39"/>
    <w:pPr>
      <w:spacing w:after="57"/>
      <w:ind w:left="1701"/>
    </w:pPr>
  </w:style>
  <w:style w:type="paragraph" w:styleId="16">
    <w:name w:val="List Bullet 4"/>
    <w:basedOn w:val="1"/>
    <w:qFormat/>
    <w:uiPriority w:val="0"/>
    <w:pPr>
      <w:numPr>
        <w:ilvl w:val="0"/>
        <w:numId w:val="1"/>
      </w:numPr>
    </w:pPr>
  </w:style>
  <w:style w:type="paragraph" w:styleId="17">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8">
    <w:name w:val="Document Map"/>
    <w:basedOn w:val="1"/>
    <w:semiHidden/>
    <w:qFormat/>
    <w:uiPriority w:val="0"/>
    <w:pPr>
      <w:shd w:val="clear" w:color="auto" w:fill="000080"/>
    </w:pPr>
  </w:style>
  <w:style w:type="paragraph" w:styleId="19">
    <w:name w:val="toa heading"/>
    <w:basedOn w:val="1"/>
    <w:next w:val="1"/>
    <w:qFormat/>
    <w:uiPriority w:val="0"/>
    <w:pPr>
      <w:adjustRightInd w:val="0"/>
      <w:spacing w:before="120" w:line="312" w:lineRule="atLeast"/>
      <w:textAlignment w:val="baseline"/>
    </w:pPr>
    <w:rPr>
      <w:rFonts w:ascii="Arial" w:hAnsi="Arial"/>
      <w:b/>
      <w:kern w:val="0"/>
      <w:sz w:val="24"/>
      <w:szCs w:val="24"/>
    </w:rPr>
  </w:style>
  <w:style w:type="paragraph" w:styleId="20">
    <w:name w:val="annotation text"/>
    <w:basedOn w:val="1"/>
    <w:unhideWhenUsed/>
    <w:qFormat/>
    <w:uiPriority w:val="99"/>
    <w:pPr>
      <w:jc w:val="left"/>
    </w:pPr>
  </w:style>
  <w:style w:type="paragraph" w:styleId="21">
    <w:name w:val="Body Text"/>
    <w:basedOn w:val="1"/>
    <w:link w:val="206"/>
    <w:qFormat/>
    <w:uiPriority w:val="0"/>
    <w:pPr>
      <w:widowControl/>
      <w:jc w:val="left"/>
    </w:pPr>
    <w:rPr>
      <w:rFonts w:ascii="楷体_GB2312" w:hAnsi="Arial" w:eastAsia="楷体_GB2312"/>
      <w:sz w:val="28"/>
      <w:szCs w:val="28"/>
    </w:rPr>
  </w:style>
  <w:style w:type="paragraph" w:styleId="22">
    <w:name w:val="Block Text"/>
    <w:basedOn w:val="1"/>
    <w:qFormat/>
    <w:uiPriority w:val="0"/>
    <w:pPr>
      <w:spacing w:line="400" w:lineRule="exact"/>
    </w:pPr>
    <w:rPr>
      <w:sz w:val="24"/>
      <w:szCs w:val="24"/>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203"/>
    <w:qFormat/>
    <w:uiPriority w:val="0"/>
    <w:rPr>
      <w:rFonts w:ascii="宋体" w:hAnsi="Courier New" w:cs="Courier New"/>
    </w:rPr>
  </w:style>
  <w:style w:type="paragraph" w:styleId="26">
    <w:name w:val="toc 8"/>
    <w:basedOn w:val="1"/>
    <w:next w:val="1"/>
    <w:unhideWhenUsed/>
    <w:qFormat/>
    <w:uiPriority w:val="39"/>
    <w:pPr>
      <w:spacing w:after="57"/>
      <w:ind w:left="1984"/>
    </w:pPr>
  </w:style>
  <w:style w:type="paragraph" w:styleId="27">
    <w:name w:val="Body Text Indent 2"/>
    <w:basedOn w:val="1"/>
    <w:qFormat/>
    <w:uiPriority w:val="0"/>
    <w:pPr>
      <w:ind w:left="-197"/>
    </w:pPr>
  </w:style>
  <w:style w:type="paragraph" w:styleId="28">
    <w:name w:val="endnote text"/>
    <w:basedOn w:val="1"/>
    <w:link w:val="196"/>
    <w:semiHidden/>
    <w:unhideWhenUsed/>
    <w:qFormat/>
    <w:uiPriority w:val="99"/>
    <w:rPr>
      <w:sz w:val="20"/>
    </w:rPr>
  </w:style>
  <w:style w:type="paragraph" w:styleId="29">
    <w:name w:val="Balloon Text"/>
    <w:basedOn w:val="1"/>
    <w:link w:val="222"/>
    <w:semiHidden/>
    <w:unhideWhenUsed/>
    <w:qFormat/>
    <w:uiPriority w:val="99"/>
    <w:rPr>
      <w:sz w:val="18"/>
      <w:szCs w:val="18"/>
    </w:rPr>
  </w:style>
  <w:style w:type="paragraph" w:styleId="30">
    <w:name w:val="footer"/>
    <w:basedOn w:val="1"/>
    <w:link w:val="221"/>
    <w:qFormat/>
    <w:uiPriority w:val="0"/>
    <w:pPr>
      <w:tabs>
        <w:tab w:val="center" w:pos="4153"/>
        <w:tab w:val="right" w:pos="8306"/>
      </w:tabs>
      <w:jc w:val="center"/>
    </w:pPr>
    <w:rPr>
      <w:sz w:val="18"/>
      <w:szCs w:val="18"/>
    </w:rPr>
  </w:style>
  <w:style w:type="paragraph" w:styleId="31">
    <w:name w:val="envelope return"/>
    <w:basedOn w:val="1"/>
    <w:unhideWhenUsed/>
    <w:qFormat/>
    <w:uiPriority w:val="99"/>
    <w:pPr>
      <w:snapToGrid w:val="0"/>
    </w:pPr>
    <w:rPr>
      <w:rFonts w:ascii="Arial" w:hAnsi="Arial"/>
    </w:rPr>
  </w:style>
  <w:style w:type="paragraph" w:styleId="32">
    <w:name w:val="header"/>
    <w:basedOn w:val="1"/>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99"/>
    <w:pPr>
      <w:spacing w:line="640" w:lineRule="exact"/>
      <w:ind w:firstLine="705"/>
    </w:pPr>
    <w:rPr>
      <w:rFonts w:ascii="仿宋_GB2312" w:eastAsia="仿宋_GB2312"/>
      <w:color w:val="000000"/>
      <w:sz w:val="36"/>
      <w:szCs w:val="36"/>
    </w:rPr>
  </w:style>
  <w:style w:type="paragraph" w:styleId="34">
    <w:name w:val="toc 4"/>
    <w:basedOn w:val="1"/>
    <w:next w:val="1"/>
    <w:unhideWhenUsed/>
    <w:qFormat/>
    <w:uiPriority w:val="39"/>
    <w:pPr>
      <w:spacing w:after="57"/>
      <w:ind w:left="850"/>
    </w:pPr>
  </w:style>
  <w:style w:type="paragraph" w:styleId="35">
    <w:name w:val="Subtitle"/>
    <w:basedOn w:val="1"/>
    <w:next w:val="1"/>
    <w:link w:val="62"/>
    <w:qFormat/>
    <w:uiPriority w:val="11"/>
    <w:pPr>
      <w:spacing w:before="200" w:after="200"/>
    </w:pPr>
    <w:rPr>
      <w:sz w:val="24"/>
      <w:szCs w:val="24"/>
    </w:rPr>
  </w:style>
  <w:style w:type="paragraph" w:styleId="36">
    <w:name w:val="toc 6"/>
    <w:basedOn w:val="1"/>
    <w:next w:val="1"/>
    <w:unhideWhenUsed/>
    <w:qFormat/>
    <w:uiPriority w:val="39"/>
    <w:pPr>
      <w:spacing w:after="57"/>
      <w:ind w:left="1417"/>
    </w:pPr>
  </w:style>
  <w:style w:type="paragraph" w:styleId="37">
    <w:name w:val="Body Text Indent 3"/>
    <w:basedOn w:val="1"/>
    <w:next w:val="19"/>
    <w:qFormat/>
    <w:uiPriority w:val="0"/>
    <w:pPr>
      <w:ind w:left="645" w:firstLine="645"/>
    </w:pPr>
    <w:rPr>
      <w:rFonts w:ascii="Arial" w:hAnsi="Arial" w:eastAsia="仿宋_GB2312" w:cs="Arial"/>
      <w:color w:val="FFFF00"/>
      <w:sz w:val="32"/>
      <w:szCs w:val="32"/>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61"/>
    <w:qFormat/>
    <w:uiPriority w:val="10"/>
    <w:pPr>
      <w:spacing w:before="300" w:after="200"/>
      <w:contextualSpacing/>
    </w:pPr>
    <w:rPr>
      <w:sz w:val="48"/>
      <w:szCs w:val="48"/>
    </w:rPr>
  </w:style>
  <w:style w:type="paragraph" w:styleId="43">
    <w:name w:val="Body Text First Indent"/>
    <w:basedOn w:val="21"/>
    <w:link w:val="212"/>
    <w:qFormat/>
    <w:uiPriority w:val="0"/>
    <w:pPr>
      <w:widowControl w:val="0"/>
      <w:spacing w:after="120"/>
      <w:ind w:firstLine="420"/>
      <w:jc w:val="both"/>
    </w:pPr>
    <w:rPr>
      <w:rFonts w:ascii="Times New Roman" w:hAnsi="Times New Roman" w:eastAsia="宋体"/>
      <w:sz w:val="21"/>
      <w:szCs w:val="21"/>
    </w:rPr>
  </w:style>
  <w:style w:type="table" w:styleId="45">
    <w:name w:val="Table Grid"/>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22"/>
    <w:rPr>
      <w:rFonts w:cs="Times New Roman"/>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Hyperlink"/>
    <w:basedOn w:val="46"/>
    <w:unhideWhenUsed/>
    <w:qFormat/>
    <w:uiPriority w:val="99"/>
    <w:rPr>
      <w:color w:val="0563C1" w:themeColor="hyperlink"/>
      <w:u w:val="single"/>
      <w14:textFill>
        <w14:solidFill>
          <w14:schemeClr w14:val="hlink"/>
        </w14:solidFill>
      </w14:textFill>
    </w:rPr>
  </w:style>
  <w:style w:type="character" w:styleId="51">
    <w:name w:val="footnote reference"/>
    <w:basedOn w:val="46"/>
    <w:unhideWhenUsed/>
    <w:qFormat/>
    <w:uiPriority w:val="99"/>
    <w:rPr>
      <w:vertAlign w:val="superscript"/>
    </w:rPr>
  </w:style>
  <w:style w:type="character" w:customStyle="1" w:styleId="52">
    <w:name w:val="Heading 1 Char"/>
    <w:basedOn w:val="46"/>
    <w:qFormat/>
    <w:uiPriority w:val="9"/>
    <w:rPr>
      <w:rFonts w:ascii="Arial" w:hAnsi="Arial" w:eastAsia="Arial" w:cs="Arial"/>
      <w:sz w:val="40"/>
      <w:szCs w:val="40"/>
    </w:rPr>
  </w:style>
  <w:style w:type="character" w:customStyle="1" w:styleId="53">
    <w:name w:val="Heading 2 Char"/>
    <w:basedOn w:val="46"/>
    <w:qFormat/>
    <w:uiPriority w:val="9"/>
    <w:rPr>
      <w:rFonts w:ascii="Arial" w:hAnsi="Arial" w:eastAsia="Arial" w:cs="Arial"/>
      <w:sz w:val="34"/>
    </w:rPr>
  </w:style>
  <w:style w:type="character" w:customStyle="1" w:styleId="54">
    <w:name w:val="Heading 3 Char"/>
    <w:basedOn w:val="46"/>
    <w:qFormat/>
    <w:uiPriority w:val="9"/>
    <w:rPr>
      <w:rFonts w:ascii="Arial" w:hAnsi="Arial" w:eastAsia="Arial" w:cs="Arial"/>
      <w:sz w:val="30"/>
      <w:szCs w:val="30"/>
    </w:rPr>
  </w:style>
  <w:style w:type="character" w:customStyle="1" w:styleId="55">
    <w:name w:val="Heading 4 Char"/>
    <w:basedOn w:val="46"/>
    <w:qFormat/>
    <w:uiPriority w:val="9"/>
    <w:rPr>
      <w:rFonts w:ascii="Arial" w:hAnsi="Arial" w:eastAsia="Arial" w:cs="Arial"/>
      <w:b/>
      <w:bCs/>
      <w:sz w:val="26"/>
      <w:szCs w:val="26"/>
    </w:rPr>
  </w:style>
  <w:style w:type="character" w:customStyle="1" w:styleId="56">
    <w:name w:val="标题 5 Char"/>
    <w:basedOn w:val="46"/>
    <w:link w:val="10"/>
    <w:qFormat/>
    <w:uiPriority w:val="9"/>
    <w:rPr>
      <w:rFonts w:ascii="Arial" w:hAnsi="Arial" w:eastAsia="Arial" w:cs="Arial"/>
      <w:b/>
      <w:bCs/>
      <w:sz w:val="24"/>
      <w:szCs w:val="24"/>
    </w:rPr>
  </w:style>
  <w:style w:type="character" w:customStyle="1" w:styleId="57">
    <w:name w:val="标题 6 Char"/>
    <w:basedOn w:val="46"/>
    <w:link w:val="11"/>
    <w:qFormat/>
    <w:uiPriority w:val="9"/>
    <w:rPr>
      <w:rFonts w:ascii="Arial" w:hAnsi="Arial" w:eastAsia="Arial" w:cs="Arial"/>
      <w:b/>
      <w:bCs/>
      <w:sz w:val="22"/>
      <w:szCs w:val="22"/>
    </w:rPr>
  </w:style>
  <w:style w:type="character" w:customStyle="1" w:styleId="58">
    <w:name w:val="标题 7 Char"/>
    <w:basedOn w:val="46"/>
    <w:link w:val="12"/>
    <w:qFormat/>
    <w:uiPriority w:val="9"/>
    <w:rPr>
      <w:rFonts w:ascii="Arial" w:hAnsi="Arial" w:eastAsia="Arial" w:cs="Arial"/>
      <w:b/>
      <w:bCs/>
      <w:i/>
      <w:iCs/>
      <w:sz w:val="22"/>
      <w:szCs w:val="22"/>
    </w:rPr>
  </w:style>
  <w:style w:type="character" w:customStyle="1" w:styleId="59">
    <w:name w:val="标题 8 Char"/>
    <w:basedOn w:val="46"/>
    <w:link w:val="13"/>
    <w:qFormat/>
    <w:uiPriority w:val="9"/>
    <w:rPr>
      <w:rFonts w:ascii="Arial" w:hAnsi="Arial" w:eastAsia="Arial" w:cs="Arial"/>
      <w:i/>
      <w:iCs/>
      <w:sz w:val="22"/>
      <w:szCs w:val="22"/>
    </w:rPr>
  </w:style>
  <w:style w:type="character" w:customStyle="1" w:styleId="60">
    <w:name w:val="标题 9 Char"/>
    <w:basedOn w:val="46"/>
    <w:link w:val="14"/>
    <w:qFormat/>
    <w:uiPriority w:val="9"/>
    <w:rPr>
      <w:rFonts w:ascii="Arial" w:hAnsi="Arial" w:eastAsia="Arial" w:cs="Arial"/>
      <w:i/>
      <w:iCs/>
      <w:sz w:val="21"/>
      <w:szCs w:val="21"/>
    </w:rPr>
  </w:style>
  <w:style w:type="character" w:customStyle="1" w:styleId="61">
    <w:name w:val="标题 Char"/>
    <w:basedOn w:val="46"/>
    <w:link w:val="42"/>
    <w:qFormat/>
    <w:uiPriority w:val="10"/>
    <w:rPr>
      <w:sz w:val="48"/>
      <w:szCs w:val="48"/>
    </w:rPr>
  </w:style>
  <w:style w:type="character" w:customStyle="1" w:styleId="62">
    <w:name w:val="副标题 Char"/>
    <w:basedOn w:val="46"/>
    <w:link w:val="35"/>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Header Char"/>
    <w:basedOn w:val="46"/>
    <w:qFormat/>
    <w:uiPriority w:val="99"/>
  </w:style>
  <w:style w:type="character" w:customStyle="1" w:styleId="68">
    <w:name w:val="Footer Char"/>
    <w:basedOn w:val="46"/>
    <w:qFormat/>
    <w:uiPriority w:val="99"/>
  </w:style>
  <w:style w:type="character" w:customStyle="1" w:styleId="69">
    <w:name w:val="Caption Char"/>
    <w:qFormat/>
    <w:uiPriority w:val="99"/>
  </w:style>
  <w:style w:type="table" w:customStyle="1" w:styleId="70">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4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4"/>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4"/>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4"/>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4"/>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4"/>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4"/>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4"/>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4"/>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4"/>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4"/>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4"/>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4"/>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qFormat/>
    <w:uiPriority w:val="99"/>
    <w:rPr>
      <w:sz w:val="18"/>
    </w:rPr>
  </w:style>
  <w:style w:type="character" w:customStyle="1" w:styleId="196">
    <w:name w:val="尾注文本 Char"/>
    <w:link w:val="28"/>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普通正文"/>
    <w:basedOn w:val="1"/>
    <w:qFormat/>
    <w:uiPriority w:val="0"/>
    <w:pPr>
      <w:spacing w:before="120" w:after="120" w:line="360" w:lineRule="auto"/>
      <w:ind w:firstLine="480"/>
      <w:jc w:val="left"/>
    </w:pPr>
    <w:rPr>
      <w:rFonts w:ascii="Arial" w:hAnsi="Arial"/>
      <w:sz w:val="24"/>
      <w:szCs w:val="24"/>
    </w:rPr>
  </w:style>
  <w:style w:type="paragraph" w:styleId="199">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00">
    <w:name w:val="Char"/>
    <w:basedOn w:val="1"/>
    <w:qFormat/>
    <w:uiPriority w:val="0"/>
    <w:pPr>
      <w:tabs>
        <w:tab w:val="left" w:pos="360"/>
      </w:tabs>
      <w:ind w:firstLine="200"/>
    </w:pPr>
    <w:rPr>
      <w:sz w:val="28"/>
      <w:szCs w:val="30"/>
    </w:rPr>
  </w:style>
  <w:style w:type="paragraph" w:styleId="201">
    <w:name w:val="List Paragraph"/>
    <w:basedOn w:val="1"/>
    <w:qFormat/>
    <w:uiPriority w:val="99"/>
    <w:pPr>
      <w:ind w:firstLine="420"/>
    </w:pPr>
    <w:rPr>
      <w:szCs w:val="20"/>
    </w:rPr>
  </w:style>
  <w:style w:type="paragraph" w:customStyle="1" w:styleId="202">
    <w:name w:val="纯文本1"/>
    <w:basedOn w:val="1"/>
    <w:qFormat/>
    <w:uiPriority w:val="0"/>
    <w:rPr>
      <w:rFonts w:ascii="宋体" w:hAnsi="Courier New" w:eastAsia="楷体_GB2312"/>
      <w:sz w:val="28"/>
      <w:szCs w:val="20"/>
    </w:rPr>
  </w:style>
  <w:style w:type="character" w:customStyle="1" w:styleId="203">
    <w:name w:val="纯文本 Char"/>
    <w:link w:val="25"/>
    <w:qFormat/>
    <w:uiPriority w:val="0"/>
    <w:rPr>
      <w:rFonts w:ascii="宋体" w:hAnsi="Courier New" w:eastAsia="宋体" w:cs="Courier New"/>
      <w:sz w:val="21"/>
      <w:szCs w:val="21"/>
    </w:rPr>
  </w:style>
  <w:style w:type="paragraph" w:customStyle="1" w:styleId="204">
    <w:name w:val="正文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05">
    <w:name w:val="普通(网站)1"/>
    <w:basedOn w:val="204"/>
    <w:qFormat/>
    <w:uiPriority w:val="0"/>
    <w:pPr>
      <w:widowControl/>
      <w:spacing w:before="100" w:beforeAutospacing="1" w:after="100" w:afterAutospacing="1"/>
      <w:jc w:val="left"/>
    </w:pPr>
    <w:rPr>
      <w:rFonts w:ascii="宋体" w:hAnsi="宋体"/>
      <w:sz w:val="24"/>
      <w:szCs w:val="24"/>
    </w:rPr>
  </w:style>
  <w:style w:type="character" w:customStyle="1" w:styleId="206">
    <w:name w:val="正文文本 Char"/>
    <w:basedOn w:val="46"/>
    <w:link w:val="21"/>
    <w:qFormat/>
    <w:uiPriority w:val="0"/>
    <w:rPr>
      <w:rFonts w:ascii="楷体_GB2312" w:hAnsi="Arial" w:eastAsia="楷体_GB2312" w:cs="Times New Roman"/>
      <w:sz w:val="28"/>
      <w:szCs w:val="28"/>
    </w:rPr>
  </w:style>
  <w:style w:type="character" w:customStyle="1" w:styleId="207">
    <w:name w:val="正文缩进 Char"/>
    <w:link w:val="8"/>
    <w:qFormat/>
    <w:uiPriority w:val="0"/>
    <w:rPr>
      <w:rFonts w:ascii="Times New Roman" w:hAnsi="Times New Roman" w:eastAsia="宋体" w:cs="Times New Roman"/>
      <w:sz w:val="21"/>
      <w:szCs w:val="21"/>
    </w:rPr>
  </w:style>
  <w:style w:type="paragraph" w:customStyle="1" w:styleId="208">
    <w:name w:val="成文日期"/>
    <w:basedOn w:val="1"/>
    <w:link w:val="209"/>
    <w:qFormat/>
    <w:uiPriority w:val="0"/>
    <w:pPr>
      <w:spacing w:line="570" w:lineRule="exact"/>
      <w:ind w:right="400" w:firstLine="200"/>
      <w:jc w:val="right"/>
    </w:pPr>
    <w:rPr>
      <w:rFonts w:ascii="仿宋_GB2312" w:eastAsia="仿宋_GB2312"/>
      <w:sz w:val="32"/>
      <w:szCs w:val="20"/>
    </w:rPr>
  </w:style>
  <w:style w:type="character" w:customStyle="1" w:styleId="209">
    <w:name w:val="成文日期 Char"/>
    <w:link w:val="208"/>
    <w:qFormat/>
    <w:uiPriority w:val="0"/>
    <w:rPr>
      <w:rFonts w:ascii="仿宋_GB2312" w:hAnsi="Times New Roman" w:eastAsia="仿宋_GB2312" w:cs="Times New Roman"/>
      <w:sz w:val="32"/>
    </w:rPr>
  </w:style>
  <w:style w:type="paragraph" w:customStyle="1" w:styleId="210">
    <w:name w:val="正文缩进1"/>
    <w:basedOn w:val="204"/>
    <w:qFormat/>
    <w:uiPriority w:val="0"/>
    <w:pPr>
      <w:ind w:firstLine="420"/>
    </w:pPr>
    <w:rPr>
      <w:lang w:eastAsia="en-US"/>
    </w:rPr>
  </w:style>
  <w:style w:type="paragraph" w:customStyle="1" w:styleId="211">
    <w:name w:val="标题 21"/>
    <w:basedOn w:val="204"/>
    <w:next w:val="210"/>
    <w:qFormat/>
    <w:uiPriority w:val="0"/>
    <w:pPr>
      <w:keepNext/>
      <w:keepLines/>
      <w:spacing w:before="260" w:after="260" w:line="416" w:lineRule="auto"/>
      <w:jc w:val="center"/>
      <w:outlineLvl w:val="1"/>
    </w:pPr>
    <w:rPr>
      <w:rFonts w:ascii="Arial" w:hAnsi="Arial" w:eastAsia="幼圆"/>
      <w:b/>
      <w:bCs/>
      <w:sz w:val="44"/>
      <w:szCs w:val="44"/>
    </w:rPr>
  </w:style>
  <w:style w:type="character" w:customStyle="1" w:styleId="212">
    <w:name w:val="正文首行缩进 Char"/>
    <w:basedOn w:val="206"/>
    <w:link w:val="43"/>
    <w:qFormat/>
    <w:uiPriority w:val="0"/>
    <w:rPr>
      <w:rFonts w:ascii="Times New Roman" w:hAnsi="Times New Roman" w:eastAsia="宋体" w:cs="Times New Roman"/>
      <w:sz w:val="21"/>
      <w:szCs w:val="21"/>
    </w:rPr>
  </w:style>
  <w:style w:type="paragraph" w:customStyle="1" w:styleId="213">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214">
    <w:name w:val="cf01"/>
    <w:basedOn w:val="46"/>
    <w:qFormat/>
    <w:uiPriority w:val="0"/>
    <w:rPr>
      <w:rFonts w:hint="eastAsia" w:ascii="Microsoft YaHei UI" w:hAnsi="Microsoft YaHei UI" w:eastAsia="Microsoft YaHei UI"/>
      <w:sz w:val="18"/>
      <w:szCs w:val="18"/>
    </w:rPr>
  </w:style>
  <w:style w:type="character" w:customStyle="1" w:styleId="215">
    <w:name w:val="cf21"/>
    <w:basedOn w:val="46"/>
    <w:qFormat/>
    <w:uiPriority w:val="0"/>
    <w:rPr>
      <w:rFonts w:hint="eastAsia" w:ascii="Microsoft YaHei UI" w:hAnsi="Microsoft YaHei UI" w:eastAsia="Microsoft YaHei UI"/>
      <w:sz w:val="18"/>
      <w:szCs w:val="18"/>
    </w:rPr>
  </w:style>
  <w:style w:type="character" w:customStyle="1" w:styleId="216">
    <w:name w:val="cf31"/>
    <w:basedOn w:val="46"/>
    <w:qFormat/>
    <w:uiPriority w:val="0"/>
    <w:rPr>
      <w:rFonts w:hint="eastAsia" w:ascii="Microsoft YaHei UI" w:hAnsi="Microsoft YaHei UI" w:eastAsia="Microsoft YaHei UI"/>
      <w:sz w:val="18"/>
      <w:szCs w:val="18"/>
    </w:rPr>
  </w:style>
  <w:style w:type="paragraph" w:customStyle="1" w:styleId="217">
    <w:name w:val="标题 41"/>
    <w:basedOn w:val="1"/>
    <w:next w:val="1"/>
    <w:qFormat/>
    <w:uiPriority w:val="0"/>
    <w:pPr>
      <w:keepNext/>
      <w:jc w:val="center"/>
      <w:outlineLvl w:val="3"/>
    </w:pPr>
    <w:rPr>
      <w:rFonts w:eastAsia="新宋体"/>
      <w:sz w:val="30"/>
    </w:rPr>
  </w:style>
  <w:style w:type="paragraph" w:customStyle="1" w:styleId="218">
    <w:name w:val="Char1"/>
    <w:basedOn w:val="18"/>
    <w:semiHidden/>
    <w:qFormat/>
    <w:uiPriority w:val="0"/>
    <w:rPr>
      <w:rFonts w:ascii="Tahoma" w:hAnsi="Tahoma"/>
      <w:sz w:val="24"/>
      <w:szCs w:val="24"/>
    </w:rPr>
  </w:style>
  <w:style w:type="paragraph" w:customStyle="1" w:styleId="219">
    <w:name w:val="列出段落1"/>
    <w:basedOn w:val="1"/>
    <w:qFormat/>
    <w:uiPriority w:val="0"/>
    <w:pPr>
      <w:ind w:firstLine="420"/>
    </w:pPr>
    <w:rPr>
      <w:rFonts w:ascii="Calibri" w:hAnsi="Calibri"/>
      <w:szCs w:val="22"/>
    </w:rPr>
  </w:style>
  <w:style w:type="table" w:customStyle="1" w:styleId="220">
    <w:name w:val="网格型1"/>
    <w:basedOn w:val="44"/>
    <w:qFormat/>
    <w:uiPriority w:val="0"/>
    <w:pPr>
      <w:widowControl w:val="0"/>
      <w:jc w:val="both"/>
    </w:pPr>
    <w:tblPr>
      <w:tblCellMar>
        <w:top w:w="0" w:type="dxa"/>
        <w:left w:w="108" w:type="dxa"/>
        <w:bottom w:w="0" w:type="dxa"/>
        <w:right w:w="108" w:type="dxa"/>
      </w:tblCellMar>
    </w:tblPr>
  </w:style>
  <w:style w:type="character" w:customStyle="1" w:styleId="221">
    <w:name w:val="页脚 Char"/>
    <w:basedOn w:val="46"/>
    <w:link w:val="30"/>
    <w:qFormat/>
    <w:uiPriority w:val="0"/>
    <w:rPr>
      <w:sz w:val="18"/>
      <w:szCs w:val="18"/>
    </w:rPr>
  </w:style>
  <w:style w:type="character" w:customStyle="1" w:styleId="222">
    <w:name w:val="批注框文本 Char"/>
    <w:basedOn w:val="46"/>
    <w:link w:val="29"/>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10786</Words>
  <Characters>11650</Characters>
  <Lines>243</Lines>
  <Paragraphs>68</Paragraphs>
  <TotalTime>1</TotalTime>
  <ScaleCrop>false</ScaleCrop>
  <LinksUpToDate>false</LinksUpToDate>
  <CharactersWithSpaces>11907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2024-09-30T06:34:00Z</dcterms:created>
  <dc:creator>user</dc:creator>
  <cp:lastModifiedBy>海豚芭比</cp:lastModifiedBy>
  <cp:lastPrinted>2025-02-14T01:27:00Z</cp:lastPrinted>
  <dcterms:modified xsi:type="dcterms:W3CDTF">2026-06-22T01:40:02Z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712EC80BFC0D49E7B4E4DEA495FE8E60_13</vt:lpwstr>
  </property>
  <property fmtid="{D5CDD505-2E9C-101B-9397-08002B2CF9AE}" pid="4" name="KSOTemplateDocerSaveRecord">
    <vt:lpwstr>eyJoZGlkIjoiNWU3ODU1ODM2MWQyNDQzNThhNGY4NjNiY2JmMmM4NDkiLCJ1c2VySWQiOiI4MDE5MDY4MjgifQ==</vt:lpwstr>
  </property>
</Properties>
</file>