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34ADE" w14:textId="77777777" w:rsidR="00C95221" w:rsidRPr="00DE70BE" w:rsidRDefault="00DE70BE">
      <w:pPr>
        <w:overflowPunct w:val="0"/>
        <w:spacing w:line="0" w:lineRule="atLeast"/>
        <w:jc w:val="center"/>
        <w:rPr>
          <w:rFonts w:ascii="Times New Roman" w:eastAsia="方正小标宋_GBK" w:hAnsi="Times New Roman" w:cs="宋体"/>
          <w:kern w:val="0"/>
          <w:sz w:val="32"/>
          <w:szCs w:val="32"/>
        </w:rPr>
      </w:pPr>
      <w:r w:rsidRPr="00DE70BE">
        <w:rPr>
          <w:rFonts w:ascii="Times New Roman" w:eastAsia="方正小标宋_GBK" w:hAnsi="Times New Roman" w:cs="宋体" w:hint="eastAsia"/>
          <w:kern w:val="0"/>
          <w:sz w:val="32"/>
          <w:szCs w:val="32"/>
        </w:rPr>
        <w:t>江阴市居家养老援助服务“银龄卡”项目</w:t>
      </w:r>
    </w:p>
    <w:p w14:paraId="17D83EC6" w14:textId="77777777" w:rsidR="00C95221" w:rsidRPr="00DE70BE" w:rsidRDefault="00DE70BE">
      <w:pPr>
        <w:overflowPunct w:val="0"/>
        <w:spacing w:line="0" w:lineRule="atLeast"/>
        <w:jc w:val="center"/>
        <w:rPr>
          <w:rFonts w:ascii="Times New Roman" w:eastAsia="方正小标宋_GBK" w:hAnsi="Times New Roman" w:cs="宋体"/>
          <w:kern w:val="0"/>
          <w:sz w:val="32"/>
          <w:szCs w:val="32"/>
        </w:rPr>
      </w:pPr>
      <w:r w:rsidRPr="00DE70BE">
        <w:rPr>
          <w:rFonts w:ascii="Times New Roman" w:eastAsia="方正小标宋_GBK" w:hAnsi="Times New Roman" w:cs="宋体" w:hint="eastAsia"/>
          <w:kern w:val="0"/>
          <w:sz w:val="32"/>
          <w:szCs w:val="32"/>
        </w:rPr>
        <w:t>质量考评办法（试行）</w:t>
      </w:r>
    </w:p>
    <w:p w14:paraId="2A75E9D4" w14:textId="77777777" w:rsidR="00C95221" w:rsidRPr="00DE70BE" w:rsidRDefault="00DE70BE">
      <w:pPr>
        <w:overflowPunct w:val="0"/>
        <w:spacing w:beforeLines="50" w:before="120" w:afterLines="50" w:after="120"/>
        <w:jc w:val="center"/>
        <w:rPr>
          <w:rFonts w:ascii="Times New Roman" w:eastAsia="方正黑体_GBK" w:hAnsi="Times New Roman" w:cs="宋体"/>
          <w:kern w:val="0"/>
          <w:szCs w:val="32"/>
        </w:rPr>
      </w:pPr>
      <w:r w:rsidRPr="00DE70BE">
        <w:rPr>
          <w:rFonts w:ascii="Times New Roman" w:eastAsia="方正黑体_GBK" w:hAnsi="Times New Roman" w:cs="宋体" w:hint="eastAsia"/>
          <w:kern w:val="0"/>
          <w:szCs w:val="32"/>
        </w:rPr>
        <w:t>第一章</w:t>
      </w:r>
      <w:r w:rsidRPr="00DE70BE">
        <w:rPr>
          <w:rFonts w:ascii="Times New Roman" w:eastAsia="方正黑体_GBK" w:hAnsi="Times New Roman" w:cs="宋体" w:hint="eastAsia"/>
          <w:kern w:val="0"/>
          <w:szCs w:val="32"/>
        </w:rPr>
        <w:t xml:space="preserve">  </w:t>
      </w:r>
      <w:r w:rsidRPr="00DE70BE">
        <w:rPr>
          <w:rFonts w:ascii="Times New Roman" w:eastAsia="方正黑体_GBK" w:hAnsi="Times New Roman" w:cs="宋体" w:hint="eastAsia"/>
          <w:kern w:val="0"/>
          <w:szCs w:val="32"/>
        </w:rPr>
        <w:t>总</w:t>
      </w:r>
      <w:r w:rsidRPr="00DE70BE">
        <w:rPr>
          <w:rFonts w:ascii="Times New Roman" w:eastAsia="方正黑体_GBK" w:hAnsi="Times New Roman" w:cs="宋体" w:hint="eastAsia"/>
          <w:kern w:val="0"/>
          <w:szCs w:val="32"/>
        </w:rPr>
        <w:t xml:space="preserve">  </w:t>
      </w:r>
      <w:r w:rsidRPr="00DE70BE">
        <w:rPr>
          <w:rFonts w:ascii="Times New Roman" w:eastAsia="方正黑体_GBK" w:hAnsi="Times New Roman" w:cs="宋体" w:hint="eastAsia"/>
          <w:kern w:val="0"/>
          <w:szCs w:val="32"/>
        </w:rPr>
        <w:t>则</w:t>
      </w:r>
    </w:p>
    <w:p w14:paraId="0FFC22C2" w14:textId="77777777" w:rsidR="00C95221" w:rsidRPr="00DE70BE" w:rsidRDefault="00DE70BE">
      <w:pPr>
        <w:overflowPunct w:val="0"/>
        <w:ind w:firstLineChars="200" w:firstLine="480"/>
        <w:rPr>
          <w:rFonts w:ascii="Times New Roman" w:eastAsia="方正仿宋_GBK" w:hAnsi="Times New Roman" w:cs="宋体"/>
          <w:kern w:val="0"/>
          <w:sz w:val="24"/>
          <w:szCs w:val="24"/>
        </w:rPr>
      </w:pPr>
      <w:r w:rsidRPr="00DE70BE">
        <w:rPr>
          <w:rFonts w:ascii="Times New Roman" w:eastAsia="方正楷体_GBK" w:hAnsi="Times New Roman" w:cs="宋体" w:hint="eastAsia"/>
          <w:kern w:val="0"/>
          <w:sz w:val="24"/>
          <w:szCs w:val="24"/>
        </w:rPr>
        <w:t>第一条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为规范我市居家养老援助服务“银龄卡”项目，评估居家养老服务绩效，提高服务质量，推动居家养老服务深入开展，根据省</w:t>
      </w:r>
      <w:bookmarkStart w:id="0" w:name="_GoBack"/>
      <w:bookmarkEnd w:id="0"/>
      <w:r w:rsidRPr="00DE70BE">
        <w:rPr>
          <w:rFonts w:ascii="Times New Roman" w:hAnsi="Times New Roman" w:cs="宋体" w:hint="eastAsia"/>
          <w:kern w:val="0"/>
          <w:sz w:val="24"/>
          <w:szCs w:val="24"/>
        </w:rPr>
        <w:t>、市居家养老服务有关政策规定，制定本办法</w:t>
      </w:r>
      <w:r w:rsidRPr="00DE70BE">
        <w:rPr>
          <w:rFonts w:ascii="Times New Roman" w:hAnsi="Times New Roman" w:cs="宋体" w:hint="eastAsia"/>
          <w:kern w:val="0"/>
          <w:sz w:val="24"/>
          <w:szCs w:val="24"/>
        </w:rPr>
        <w:t>。以下简称“银龄卡”项目。</w:t>
      </w:r>
    </w:p>
    <w:p w14:paraId="1C833F04"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第二条</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本办法所称“银龄卡”服务机构是指经市民政局通过政府采购，承担全市居家养老援助服务工作，为老年人提供生活照料、康复护理、精神慰藉等上门服务的社会服务机构。</w:t>
      </w:r>
    </w:p>
    <w:p w14:paraId="1AD1D1A8"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第三条</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“银龄卡”项目质量考评工作应当遵循公开、公平、公正的原则。考评结果作为项目服务经费结算及行业评优、招标比选的依据。</w:t>
      </w:r>
    </w:p>
    <w:p w14:paraId="18B32B49"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第四条</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市民政局主管全市“银龄卡”项目服务质量考评工作。考评小组由市民政局、各镇（街）民</w:t>
      </w:r>
      <w:r w:rsidRPr="00DE70BE">
        <w:rPr>
          <w:rFonts w:ascii="Times New Roman" w:hAnsi="Times New Roman" w:cs="宋体" w:hint="eastAsia"/>
          <w:kern w:val="0"/>
          <w:sz w:val="24"/>
          <w:szCs w:val="24"/>
        </w:rPr>
        <w:t>政部门</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专业评估机构</w:t>
      </w:r>
      <w:r w:rsidRPr="00DE70BE">
        <w:rPr>
          <w:rFonts w:ascii="Times New Roman" w:hAnsi="Times New Roman" w:cs="宋体" w:hint="eastAsia"/>
          <w:kern w:val="0"/>
          <w:sz w:val="24"/>
          <w:szCs w:val="24"/>
        </w:rPr>
        <w:t>组成。</w:t>
      </w:r>
    </w:p>
    <w:p w14:paraId="1A6C2902" w14:textId="77777777" w:rsidR="00C95221" w:rsidRPr="00DE70BE" w:rsidRDefault="00DE70BE">
      <w:pPr>
        <w:overflowPunct w:val="0"/>
        <w:ind w:firstLineChars="200" w:firstLine="492"/>
        <w:rPr>
          <w:rFonts w:ascii="Times New Roman" w:hAnsi="Times New Roman" w:cs="宋体"/>
          <w:spacing w:val="3"/>
          <w:kern w:val="0"/>
          <w:sz w:val="24"/>
          <w:szCs w:val="24"/>
        </w:rPr>
      </w:pPr>
      <w:r w:rsidRPr="00DE70BE">
        <w:rPr>
          <w:rFonts w:ascii="Times New Roman" w:hAnsi="Times New Roman" w:cs="宋体" w:hint="eastAsia"/>
          <w:spacing w:val="3"/>
          <w:kern w:val="0"/>
          <w:sz w:val="24"/>
          <w:szCs w:val="24"/>
        </w:rPr>
        <w:t>考评小组定期对</w:t>
      </w:r>
      <w:r w:rsidRPr="00DE70BE">
        <w:rPr>
          <w:rFonts w:ascii="Times New Roman" w:hAnsi="Times New Roman" w:cs="宋体" w:hint="eastAsia"/>
          <w:kern w:val="0"/>
          <w:sz w:val="24"/>
          <w:szCs w:val="24"/>
        </w:rPr>
        <w:t>“银龄卡”项目</w:t>
      </w:r>
      <w:r w:rsidRPr="00DE70BE">
        <w:rPr>
          <w:rFonts w:ascii="Times New Roman" w:hAnsi="Times New Roman" w:cs="宋体" w:hint="eastAsia"/>
          <w:spacing w:val="3"/>
          <w:kern w:val="0"/>
          <w:sz w:val="24"/>
          <w:szCs w:val="24"/>
        </w:rPr>
        <w:t>服务质量进行评估，每季度出具的评估报告作为政府结算资金的主要依据。</w:t>
      </w:r>
    </w:p>
    <w:p w14:paraId="199E68BF"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各镇（街）民政部门负责本辖区“银龄卡”项目服务工作的日常监管，积极开展考评工作。</w:t>
      </w:r>
    </w:p>
    <w:p w14:paraId="67756146" w14:textId="77777777" w:rsidR="00C95221" w:rsidRPr="00DE70BE" w:rsidRDefault="00DE70BE">
      <w:pPr>
        <w:overflowPunct w:val="0"/>
        <w:spacing w:beforeLines="50" w:before="120" w:afterLines="50" w:after="120"/>
        <w:jc w:val="center"/>
        <w:rPr>
          <w:rFonts w:ascii="Times New Roman" w:eastAsia="方正黑体_GBK" w:hAnsi="Times New Roman" w:cs="宋体"/>
          <w:kern w:val="0"/>
          <w:sz w:val="24"/>
          <w:szCs w:val="24"/>
        </w:rPr>
      </w:pPr>
      <w:r w:rsidRPr="00DE70BE">
        <w:rPr>
          <w:rFonts w:ascii="Times New Roman" w:eastAsia="方正黑体_GBK" w:hAnsi="Times New Roman" w:cs="宋体" w:hint="eastAsia"/>
          <w:kern w:val="0"/>
          <w:sz w:val="24"/>
          <w:szCs w:val="24"/>
        </w:rPr>
        <w:t>第二章</w:t>
      </w:r>
      <w:r w:rsidRPr="00DE70BE">
        <w:rPr>
          <w:rFonts w:ascii="Times New Roman" w:eastAsia="方正黑体_GBK" w:hAnsi="Times New Roman" w:cs="宋体" w:hint="eastAsia"/>
          <w:kern w:val="0"/>
          <w:sz w:val="24"/>
          <w:szCs w:val="24"/>
        </w:rPr>
        <w:t xml:space="preserve">  </w:t>
      </w:r>
      <w:r w:rsidRPr="00DE70BE">
        <w:rPr>
          <w:rFonts w:ascii="Times New Roman" w:eastAsia="方正黑体_GBK" w:hAnsi="Times New Roman" w:cs="宋体" w:hint="eastAsia"/>
          <w:kern w:val="0"/>
          <w:sz w:val="24"/>
          <w:szCs w:val="24"/>
        </w:rPr>
        <w:t>考评标准和方法</w:t>
      </w:r>
    </w:p>
    <w:p w14:paraId="416C1406"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第五条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“银龄卡”项目质量考评主要包括对服务机构实地查看、系统核验</w:t>
      </w:r>
      <w:r w:rsidRPr="00DE70BE">
        <w:rPr>
          <w:rFonts w:ascii="Times New Roman" w:hAnsi="Times New Roman" w:cs="宋体" w:hint="eastAsia"/>
          <w:kern w:val="0"/>
          <w:sz w:val="24"/>
          <w:szCs w:val="24"/>
        </w:rPr>
        <w:t>、入户及</w:t>
      </w:r>
      <w:r w:rsidRPr="00DE70BE">
        <w:rPr>
          <w:rFonts w:ascii="Times New Roman" w:hAnsi="Times New Roman" w:cs="宋体" w:hint="eastAsia"/>
          <w:kern w:val="0"/>
          <w:sz w:val="24"/>
          <w:szCs w:val="24"/>
        </w:rPr>
        <w:t>电话核查、社会满意度评价等方式进行综合评价。</w:t>
      </w:r>
    </w:p>
    <w:p w14:paraId="7C8ED293"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第六条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“银龄卡”项目质量考评标准（包括但不限于）：</w:t>
      </w:r>
    </w:p>
    <w:p w14:paraId="7AAD37BE"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（一）实地查看：办公地点设置，档案规范存放，财务制度规范，消毒物资管理。</w:t>
      </w:r>
    </w:p>
    <w:p w14:paraId="512C0B51"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（二）系统核验：规章制度建设，应急预案制定，服务投诉渠道和处理程序的设立，工作人员配比，工作人员岗前培训及持证情况，接单、派单响应，服务工单流程规范。</w:t>
      </w:r>
    </w:p>
    <w:p w14:paraId="337E5FEA"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（三）入户、电话核查：服务流程规范，满意度调查。</w:t>
      </w:r>
    </w:p>
    <w:p w14:paraId="77FFBB91"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（四）社会评价：社会满意度及投诉情况。</w:t>
      </w:r>
    </w:p>
    <w:p w14:paraId="68592DE8"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第七条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“银龄卡”项目质量考评实行计分制。具体考评计分标准见《江阴市居家养老援助服务</w:t>
      </w:r>
      <w:r w:rsidRPr="00DE70BE">
        <w:rPr>
          <w:rFonts w:ascii="Times New Roman" w:hAnsi="Times New Roman" w:cs="宋体" w:hint="eastAsia"/>
          <w:kern w:val="0"/>
          <w:sz w:val="24"/>
          <w:szCs w:val="24"/>
        </w:rPr>
        <w:t>“银龄卡”项目质量考评评分表》（见附件</w:t>
      </w:r>
      <w:r w:rsidRPr="00DE70BE">
        <w:rPr>
          <w:rFonts w:ascii="Times New Roman" w:hAnsi="Times New Roman" w:cs="宋体" w:hint="eastAsia"/>
          <w:kern w:val="0"/>
          <w:sz w:val="24"/>
          <w:szCs w:val="24"/>
        </w:rPr>
        <w:t>1</w:t>
      </w:r>
      <w:r w:rsidRPr="00DE70BE">
        <w:rPr>
          <w:rFonts w:ascii="Times New Roman" w:hAnsi="Times New Roman" w:cs="宋体" w:hint="eastAsia"/>
          <w:kern w:val="0"/>
          <w:sz w:val="24"/>
          <w:szCs w:val="24"/>
        </w:rPr>
        <w:t>）。</w:t>
      </w:r>
    </w:p>
    <w:p w14:paraId="0EF0663E"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第八条</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考评小组通过实地调研、电话调查、问卷调查、座谈研</w:t>
      </w:r>
      <w:r w:rsidRPr="00DE70BE">
        <w:rPr>
          <w:rFonts w:ascii="Times New Roman" w:hAnsi="Times New Roman" w:cs="宋体" w:hint="eastAsia"/>
          <w:spacing w:val="-6"/>
          <w:kern w:val="0"/>
          <w:sz w:val="24"/>
          <w:szCs w:val="24"/>
        </w:rPr>
        <w:t>讨、投诉处理调查等多种方式开展“银龄卡”项目质量考评工作。</w:t>
      </w:r>
    </w:p>
    <w:p w14:paraId="73BDD02B"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一）实地调研：抽取老年人家庭进行实地走访，了解机构上门服务情况，听取老年人及家属意见建议；走访相关社区（村），了解辖区居家养老服务开展情况以及工作中的困难和问题；实地查看服务机构运营管理情况。</w:t>
      </w:r>
    </w:p>
    <w:p w14:paraId="251E8689"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（二）电话调查：通过电话对老年人家庭进行问询，了解其接受服务过程中的感受、问题及意见建议。</w:t>
      </w:r>
    </w:p>
    <w:p w14:paraId="08AAA705"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（三）问卷调查：设计调查表格，通过抽样问卷等方式，由老年人及家</w:t>
      </w:r>
      <w:r w:rsidRPr="00DE70BE">
        <w:rPr>
          <w:rFonts w:ascii="Times New Roman" w:hAnsi="Times New Roman" w:cs="宋体" w:hint="eastAsia"/>
          <w:kern w:val="0"/>
          <w:sz w:val="24"/>
          <w:szCs w:val="24"/>
        </w:rPr>
        <w:t>属对机构服务情况进行评价、打分。</w:t>
      </w:r>
    </w:p>
    <w:p w14:paraId="3910CB8F"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（四）座谈研讨：召开老年人及家属座谈会，了解对“银龄卡”项目的评价，听取意见和建议。会同服务机构研究调查中发现的问题，分析原因，提出解决办法。</w:t>
      </w:r>
    </w:p>
    <w:p w14:paraId="005D01A6"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（五）投诉处理调查：从投诉记录中抽取若干样本，进行案例分析，跟踪投诉处理及改进情况。</w:t>
      </w:r>
    </w:p>
    <w:p w14:paraId="3C024101" w14:textId="77777777" w:rsidR="00C95221" w:rsidRPr="00DE70BE" w:rsidRDefault="00DE70BE">
      <w:pPr>
        <w:overflowPunct w:val="0"/>
        <w:spacing w:beforeLines="50" w:before="120" w:afterLines="50" w:after="120"/>
        <w:jc w:val="center"/>
        <w:rPr>
          <w:rFonts w:ascii="Times New Roman" w:eastAsia="方正黑体_GBK" w:hAnsi="Times New Roman" w:cs="宋体"/>
          <w:kern w:val="0"/>
          <w:sz w:val="24"/>
          <w:szCs w:val="24"/>
        </w:rPr>
      </w:pPr>
      <w:r w:rsidRPr="00DE70BE">
        <w:rPr>
          <w:rFonts w:ascii="Times New Roman" w:eastAsia="方正黑体_GBK" w:hAnsi="Times New Roman" w:cs="宋体" w:hint="eastAsia"/>
          <w:kern w:val="0"/>
          <w:sz w:val="24"/>
          <w:szCs w:val="24"/>
        </w:rPr>
        <w:t>第三章</w:t>
      </w:r>
      <w:r w:rsidRPr="00DE70BE">
        <w:rPr>
          <w:rFonts w:ascii="Times New Roman" w:eastAsia="方正黑体_GBK" w:hAnsi="Times New Roman" w:cs="宋体" w:hint="eastAsia"/>
          <w:kern w:val="0"/>
          <w:sz w:val="24"/>
          <w:szCs w:val="24"/>
        </w:rPr>
        <w:t xml:space="preserve">  </w:t>
      </w:r>
      <w:r w:rsidRPr="00DE70BE">
        <w:rPr>
          <w:rFonts w:ascii="Times New Roman" w:eastAsia="方正黑体_GBK" w:hAnsi="Times New Roman" w:cs="宋体" w:hint="eastAsia"/>
          <w:kern w:val="0"/>
          <w:sz w:val="24"/>
          <w:szCs w:val="24"/>
        </w:rPr>
        <w:t>考评程序</w:t>
      </w:r>
    </w:p>
    <w:p w14:paraId="11F9B41F"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lastRenderedPageBreak/>
        <w:t>第九条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每季度根据考评计划开展考评工作。</w:t>
      </w:r>
    </w:p>
    <w:p w14:paraId="7F033308" w14:textId="77777777" w:rsidR="00C95221" w:rsidRPr="00DE70BE" w:rsidRDefault="00DE70BE">
      <w:pPr>
        <w:overflowPunct w:val="0"/>
        <w:ind w:firstLineChars="200" w:firstLine="480"/>
        <w:rPr>
          <w:rFonts w:ascii="Times New Roman" w:eastAsia="方正仿宋_GBK" w:hAnsi="Times New Roman" w:cs="宋体"/>
          <w:kern w:val="0"/>
          <w:sz w:val="24"/>
          <w:szCs w:val="24"/>
        </w:rPr>
      </w:pPr>
      <w:r w:rsidRPr="00DE70BE">
        <w:rPr>
          <w:rFonts w:ascii="Times New Roman" w:eastAsia="方正楷体_GBK" w:hAnsi="Times New Roman" w:cs="宋体" w:hint="eastAsia"/>
          <w:kern w:val="0"/>
          <w:sz w:val="24"/>
          <w:szCs w:val="24"/>
        </w:rPr>
        <w:t>第十条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季度考评由考评小组根据《江阴市居家养老援助服务“银龄卡”项目质量考评评分表》对服务机构进行考评，市民政局根据考评结果召开复评工作会议。</w:t>
      </w:r>
    </w:p>
    <w:p w14:paraId="6208292A"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eastAsia="方正楷体_GBK" w:hAnsi="Times New Roman" w:cs="宋体" w:hint="eastAsia"/>
          <w:kern w:val="0"/>
          <w:sz w:val="24"/>
          <w:szCs w:val="24"/>
        </w:rPr>
        <w:t>第十一条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kern w:val="0"/>
          <w:sz w:val="24"/>
          <w:szCs w:val="24"/>
        </w:rPr>
        <w:t xml:space="preserve"> </w:t>
      </w:r>
      <w:r w:rsidRPr="00DE70BE">
        <w:rPr>
          <w:rFonts w:ascii="Times New Roman" w:hAnsi="Times New Roman" w:cs="宋体" w:hint="eastAsia"/>
          <w:kern w:val="0"/>
          <w:sz w:val="24"/>
          <w:szCs w:val="24"/>
        </w:rPr>
        <w:t>考评结束后，考评等级在市民政局门户网站上进行公告。</w:t>
      </w:r>
    </w:p>
    <w:p w14:paraId="7B64C6E7" w14:textId="77777777" w:rsidR="00C95221" w:rsidRPr="00DE70BE" w:rsidRDefault="00DE70BE">
      <w:pPr>
        <w:overflowPunct w:val="0"/>
        <w:spacing w:beforeLines="50" w:before="120" w:afterLines="50" w:after="120"/>
        <w:jc w:val="center"/>
        <w:rPr>
          <w:rFonts w:ascii="Times New Roman" w:eastAsia="方正黑体_GBK" w:hAnsi="Times New Roman" w:cs="宋体"/>
          <w:kern w:val="0"/>
          <w:sz w:val="24"/>
          <w:szCs w:val="24"/>
        </w:rPr>
      </w:pPr>
      <w:r w:rsidRPr="00DE70BE">
        <w:rPr>
          <w:rFonts w:ascii="Times New Roman" w:eastAsia="方正黑体_GBK" w:hAnsi="Times New Roman" w:cs="宋体" w:hint="eastAsia"/>
          <w:kern w:val="0"/>
          <w:sz w:val="24"/>
          <w:szCs w:val="24"/>
        </w:rPr>
        <w:t>第四章</w:t>
      </w:r>
      <w:r w:rsidRPr="00DE70BE">
        <w:rPr>
          <w:rFonts w:ascii="Times New Roman" w:eastAsia="方正黑体_GBK" w:hAnsi="Times New Roman" w:cs="宋体" w:hint="eastAsia"/>
          <w:kern w:val="0"/>
          <w:sz w:val="24"/>
          <w:szCs w:val="24"/>
        </w:rPr>
        <w:t xml:space="preserve">  </w:t>
      </w:r>
      <w:r w:rsidRPr="00DE70BE">
        <w:rPr>
          <w:rFonts w:ascii="Times New Roman" w:eastAsia="方正黑体_GBK" w:hAnsi="Times New Roman" w:cs="宋体" w:hint="eastAsia"/>
          <w:kern w:val="0"/>
          <w:sz w:val="24"/>
          <w:szCs w:val="24"/>
        </w:rPr>
        <w:t>考评结果</w:t>
      </w:r>
    </w:p>
    <w:p w14:paraId="6EE5F8BD" w14:textId="77777777" w:rsidR="00C95221" w:rsidRPr="00DE70BE" w:rsidRDefault="00DE70BE">
      <w:pPr>
        <w:overflowPunct w:val="0"/>
        <w:ind w:firstLineChars="200" w:firstLine="480"/>
        <w:rPr>
          <w:rFonts w:ascii="Times New Roman" w:hAnsi="Times New Roman" w:cs="宋体"/>
          <w:spacing w:val="-4"/>
          <w:kern w:val="0"/>
          <w:sz w:val="24"/>
          <w:szCs w:val="24"/>
        </w:rPr>
      </w:pPr>
      <w:r w:rsidRPr="00DE70BE">
        <w:rPr>
          <w:rFonts w:ascii="Times New Roman" w:eastAsia="方正楷体_GBK" w:hAnsi="Times New Roman" w:cs="宋体" w:hint="eastAsia"/>
          <w:kern w:val="0"/>
          <w:sz w:val="24"/>
          <w:szCs w:val="24"/>
        </w:rPr>
        <w:t>第十二条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spacing w:val="-4"/>
          <w:kern w:val="0"/>
          <w:sz w:val="24"/>
          <w:szCs w:val="24"/>
        </w:rPr>
        <w:t xml:space="preserve"> </w:t>
      </w:r>
      <w:r w:rsidRPr="00DE70BE">
        <w:rPr>
          <w:rFonts w:ascii="Times New Roman" w:hAnsi="Times New Roman" w:cs="宋体" w:hint="eastAsia"/>
          <w:spacing w:val="-4"/>
          <w:kern w:val="0"/>
          <w:sz w:val="24"/>
          <w:szCs w:val="24"/>
        </w:rPr>
        <w:t>考评分值计算方式：市民政局占比</w:t>
      </w:r>
      <w:r w:rsidRPr="00DE70BE">
        <w:rPr>
          <w:rFonts w:ascii="Times New Roman" w:hAnsi="Times New Roman" w:cs="宋体" w:hint="eastAsia"/>
          <w:spacing w:val="-4"/>
          <w:kern w:val="0"/>
          <w:sz w:val="24"/>
          <w:szCs w:val="24"/>
        </w:rPr>
        <w:t>80%</w:t>
      </w:r>
      <w:r w:rsidRPr="00DE70BE">
        <w:rPr>
          <w:rFonts w:ascii="Times New Roman" w:hAnsi="Times New Roman" w:cs="宋体" w:hint="eastAsia"/>
          <w:spacing w:val="-4"/>
          <w:kern w:val="0"/>
          <w:sz w:val="24"/>
          <w:szCs w:val="24"/>
        </w:rPr>
        <w:t>，镇（街）占比</w:t>
      </w:r>
      <w:r w:rsidRPr="00DE70BE">
        <w:rPr>
          <w:rFonts w:ascii="Times New Roman" w:hAnsi="Times New Roman" w:cs="宋体" w:hint="eastAsia"/>
          <w:spacing w:val="-4"/>
          <w:kern w:val="0"/>
          <w:sz w:val="24"/>
          <w:szCs w:val="24"/>
        </w:rPr>
        <w:t>20%</w:t>
      </w:r>
      <w:r w:rsidRPr="00DE70BE">
        <w:rPr>
          <w:rFonts w:ascii="Times New Roman" w:hAnsi="Times New Roman" w:cs="宋体" w:hint="eastAsia"/>
          <w:spacing w:val="-4"/>
          <w:kern w:val="0"/>
          <w:sz w:val="24"/>
          <w:szCs w:val="24"/>
        </w:rPr>
        <w:t>。</w:t>
      </w:r>
    </w:p>
    <w:p w14:paraId="33F7FD37" w14:textId="77777777" w:rsidR="00C95221" w:rsidRPr="00DE70BE" w:rsidRDefault="00DE70BE">
      <w:pPr>
        <w:overflowPunct w:val="0"/>
        <w:ind w:firstLineChars="200" w:firstLine="480"/>
        <w:rPr>
          <w:rFonts w:ascii="Times New Roman" w:eastAsia="方正仿宋_GBK" w:hAnsi="Times New Roman" w:cs="宋体"/>
          <w:kern w:val="0"/>
          <w:sz w:val="24"/>
          <w:szCs w:val="24"/>
        </w:rPr>
      </w:pPr>
      <w:r w:rsidRPr="00DE70BE">
        <w:rPr>
          <w:rFonts w:ascii="Times New Roman" w:eastAsia="方正楷体_GBK" w:hAnsi="Times New Roman" w:cs="宋体" w:hint="eastAsia"/>
          <w:kern w:val="0"/>
          <w:sz w:val="24"/>
          <w:szCs w:val="24"/>
        </w:rPr>
        <w:t>第十三条</w:t>
      </w:r>
      <w:r w:rsidRPr="00DE70BE">
        <w:rPr>
          <w:rFonts w:ascii="Times New Roman" w:eastAsia="方正楷体_GBK" w:hAnsi="Times New Roman" w:cs="宋体" w:hint="eastAsia"/>
          <w:kern w:val="0"/>
          <w:sz w:val="24"/>
          <w:szCs w:val="24"/>
        </w:rPr>
        <w:t xml:space="preserve"> </w:t>
      </w:r>
      <w:r w:rsidRPr="00DE70BE">
        <w:rPr>
          <w:rFonts w:ascii="Times New Roman" w:hAnsi="Times New Roman" w:cs="宋体" w:hint="eastAsia"/>
          <w:spacing w:val="-4"/>
          <w:kern w:val="0"/>
          <w:sz w:val="24"/>
          <w:szCs w:val="24"/>
        </w:rPr>
        <w:t xml:space="preserve"> </w:t>
      </w:r>
      <w:r w:rsidRPr="00DE70BE">
        <w:rPr>
          <w:rFonts w:ascii="Times New Roman" w:hAnsi="Times New Roman" w:cs="宋体" w:hint="eastAsia"/>
          <w:kern w:val="0"/>
          <w:sz w:val="24"/>
          <w:szCs w:val="24"/>
        </w:rPr>
        <w:t>“银龄卡”项目</w:t>
      </w:r>
      <w:r w:rsidRPr="00DE70BE">
        <w:rPr>
          <w:rFonts w:ascii="Times New Roman" w:hAnsi="Times New Roman" w:cs="宋体" w:hint="eastAsia"/>
          <w:spacing w:val="-4"/>
          <w:kern w:val="0"/>
          <w:sz w:val="24"/>
          <w:szCs w:val="24"/>
        </w:rPr>
        <w:t>服务机构季度考评分为</w:t>
      </w:r>
      <w:r w:rsidRPr="00DE70BE">
        <w:rPr>
          <w:rFonts w:ascii="Times New Roman" w:hAnsi="Times New Roman" w:cs="宋体" w:hint="eastAsia"/>
          <w:spacing w:val="-4"/>
          <w:kern w:val="0"/>
          <w:sz w:val="24"/>
          <w:szCs w:val="24"/>
        </w:rPr>
        <w:t>A</w:t>
      </w:r>
      <w:r w:rsidRPr="00DE70BE">
        <w:rPr>
          <w:rFonts w:ascii="Times New Roman" w:hAnsi="Times New Roman" w:cs="宋体" w:hint="eastAsia"/>
          <w:spacing w:val="-4"/>
          <w:kern w:val="0"/>
          <w:sz w:val="24"/>
          <w:szCs w:val="24"/>
        </w:rPr>
        <w:t>、</w:t>
      </w:r>
      <w:r w:rsidRPr="00DE70BE">
        <w:rPr>
          <w:rFonts w:ascii="Times New Roman" w:hAnsi="Times New Roman" w:cs="宋体" w:hint="eastAsia"/>
          <w:spacing w:val="-4"/>
          <w:kern w:val="0"/>
          <w:sz w:val="24"/>
          <w:szCs w:val="24"/>
        </w:rPr>
        <w:t>B</w:t>
      </w:r>
      <w:r w:rsidRPr="00DE70BE">
        <w:rPr>
          <w:rFonts w:ascii="Times New Roman" w:hAnsi="Times New Roman" w:cs="宋体" w:hint="eastAsia"/>
          <w:spacing w:val="-4"/>
          <w:kern w:val="0"/>
          <w:sz w:val="24"/>
          <w:szCs w:val="24"/>
        </w:rPr>
        <w:t>、</w:t>
      </w:r>
      <w:r w:rsidRPr="00DE70BE">
        <w:rPr>
          <w:rFonts w:ascii="Times New Roman" w:hAnsi="Times New Roman" w:cs="宋体" w:hint="eastAsia"/>
          <w:spacing w:val="-4"/>
          <w:kern w:val="0"/>
          <w:sz w:val="24"/>
          <w:szCs w:val="24"/>
        </w:rPr>
        <w:t>C</w:t>
      </w:r>
      <w:r w:rsidRPr="00DE70BE">
        <w:rPr>
          <w:rFonts w:ascii="Times New Roman" w:hAnsi="Times New Roman" w:cs="宋体" w:hint="eastAsia"/>
          <w:spacing w:val="-4"/>
          <w:kern w:val="0"/>
          <w:sz w:val="24"/>
          <w:szCs w:val="24"/>
        </w:rPr>
        <w:t>三个等级。考评基本分为</w:t>
      </w:r>
      <w:r w:rsidRPr="00DE70BE">
        <w:rPr>
          <w:rFonts w:ascii="Times New Roman" w:hAnsi="Times New Roman" w:cs="宋体" w:hint="eastAsia"/>
          <w:spacing w:val="-4"/>
          <w:kern w:val="0"/>
          <w:sz w:val="24"/>
          <w:szCs w:val="24"/>
        </w:rPr>
        <w:t>100</w:t>
      </w:r>
      <w:r w:rsidRPr="00DE70BE">
        <w:rPr>
          <w:rFonts w:ascii="Times New Roman" w:hAnsi="Times New Roman" w:cs="宋体" w:hint="eastAsia"/>
          <w:spacing w:val="-4"/>
          <w:kern w:val="0"/>
          <w:sz w:val="24"/>
          <w:szCs w:val="24"/>
        </w:rPr>
        <w:t>分，附加</w:t>
      </w:r>
      <w:r w:rsidRPr="00DE70BE">
        <w:rPr>
          <w:rFonts w:ascii="Times New Roman" w:hAnsi="Times New Roman" w:cs="宋体" w:hint="eastAsia"/>
          <w:spacing w:val="-4"/>
          <w:kern w:val="0"/>
          <w:sz w:val="24"/>
          <w:szCs w:val="24"/>
        </w:rPr>
        <w:t>5</w:t>
      </w:r>
      <w:r w:rsidRPr="00DE70BE">
        <w:rPr>
          <w:rFonts w:ascii="Times New Roman" w:hAnsi="Times New Roman" w:cs="宋体" w:hint="eastAsia"/>
          <w:spacing w:val="-4"/>
          <w:kern w:val="0"/>
          <w:sz w:val="24"/>
          <w:szCs w:val="24"/>
        </w:rPr>
        <w:t>分，实行加减分制。考评分值在</w:t>
      </w:r>
      <w:r w:rsidRPr="00DE70BE">
        <w:rPr>
          <w:rFonts w:ascii="Times New Roman" w:hAnsi="Times New Roman" w:cs="宋体" w:hint="eastAsia"/>
          <w:spacing w:val="-4"/>
          <w:kern w:val="0"/>
          <w:sz w:val="24"/>
          <w:szCs w:val="24"/>
        </w:rPr>
        <w:t>86</w:t>
      </w:r>
      <w:r w:rsidRPr="00DE70BE">
        <w:rPr>
          <w:rFonts w:ascii="Times New Roman" w:hAnsi="Times New Roman" w:cs="宋体" w:hint="eastAsia"/>
          <w:spacing w:val="-4"/>
          <w:kern w:val="0"/>
          <w:sz w:val="24"/>
          <w:szCs w:val="24"/>
        </w:rPr>
        <w:t>分及以上的为</w:t>
      </w:r>
      <w:r w:rsidRPr="00DE70BE">
        <w:rPr>
          <w:rFonts w:ascii="Times New Roman" w:hAnsi="Times New Roman" w:cs="宋体" w:hint="eastAsia"/>
          <w:spacing w:val="-4"/>
          <w:kern w:val="0"/>
          <w:sz w:val="24"/>
          <w:szCs w:val="24"/>
        </w:rPr>
        <w:t>A</w:t>
      </w:r>
      <w:r w:rsidRPr="00DE70BE">
        <w:rPr>
          <w:rFonts w:ascii="Times New Roman" w:hAnsi="Times New Roman" w:cs="宋体" w:hint="eastAsia"/>
          <w:spacing w:val="-4"/>
          <w:kern w:val="0"/>
          <w:sz w:val="24"/>
          <w:szCs w:val="24"/>
        </w:rPr>
        <w:t>级、</w:t>
      </w:r>
      <w:r w:rsidRPr="00DE70BE">
        <w:rPr>
          <w:rFonts w:ascii="Times New Roman" w:hAnsi="Times New Roman" w:cs="宋体" w:hint="eastAsia"/>
          <w:spacing w:val="-4"/>
          <w:kern w:val="0"/>
          <w:sz w:val="24"/>
          <w:szCs w:val="24"/>
        </w:rPr>
        <w:t>61</w:t>
      </w:r>
      <w:r w:rsidRPr="00DE70BE">
        <w:rPr>
          <w:rFonts w:ascii="Times New Roman" w:hAnsi="Times New Roman" w:cs="宋体" w:hint="eastAsia"/>
          <w:spacing w:val="-4"/>
          <w:kern w:val="0"/>
          <w:sz w:val="24"/>
          <w:szCs w:val="24"/>
        </w:rPr>
        <w:t>—</w:t>
      </w:r>
      <w:r w:rsidRPr="00DE70BE">
        <w:rPr>
          <w:rFonts w:ascii="Times New Roman" w:hAnsi="Times New Roman" w:cs="宋体" w:hint="eastAsia"/>
          <w:spacing w:val="-4"/>
          <w:kern w:val="0"/>
          <w:sz w:val="24"/>
          <w:szCs w:val="24"/>
        </w:rPr>
        <w:t>85</w:t>
      </w:r>
      <w:r w:rsidRPr="00DE70BE">
        <w:rPr>
          <w:rFonts w:ascii="Times New Roman" w:hAnsi="Times New Roman" w:cs="宋体" w:hint="eastAsia"/>
          <w:spacing w:val="-4"/>
          <w:kern w:val="0"/>
          <w:sz w:val="24"/>
          <w:szCs w:val="24"/>
        </w:rPr>
        <w:t>分的为</w:t>
      </w:r>
      <w:r w:rsidRPr="00DE70BE">
        <w:rPr>
          <w:rFonts w:ascii="Times New Roman" w:hAnsi="Times New Roman" w:cs="宋体" w:hint="eastAsia"/>
          <w:spacing w:val="-4"/>
          <w:kern w:val="0"/>
          <w:sz w:val="24"/>
          <w:szCs w:val="24"/>
        </w:rPr>
        <w:t>B</w:t>
      </w:r>
      <w:r w:rsidRPr="00DE70BE">
        <w:rPr>
          <w:rFonts w:ascii="Times New Roman" w:hAnsi="Times New Roman" w:cs="宋体" w:hint="eastAsia"/>
          <w:spacing w:val="-4"/>
          <w:kern w:val="0"/>
          <w:sz w:val="24"/>
          <w:szCs w:val="24"/>
        </w:rPr>
        <w:t>级、</w:t>
      </w:r>
      <w:r w:rsidRPr="00DE70BE">
        <w:rPr>
          <w:rFonts w:ascii="Times New Roman" w:hAnsi="Times New Roman" w:cs="宋体" w:hint="eastAsia"/>
          <w:spacing w:val="-4"/>
          <w:kern w:val="0"/>
          <w:sz w:val="24"/>
          <w:szCs w:val="24"/>
        </w:rPr>
        <w:t>60</w:t>
      </w:r>
      <w:r w:rsidRPr="00DE70BE">
        <w:rPr>
          <w:rFonts w:ascii="Times New Roman" w:hAnsi="Times New Roman" w:cs="宋体" w:hint="eastAsia"/>
          <w:spacing w:val="-4"/>
          <w:kern w:val="0"/>
          <w:sz w:val="24"/>
          <w:szCs w:val="24"/>
        </w:rPr>
        <w:t>分及以下的为</w:t>
      </w:r>
      <w:r w:rsidRPr="00DE70BE">
        <w:rPr>
          <w:rFonts w:ascii="Times New Roman" w:hAnsi="Times New Roman" w:cs="宋体" w:hint="eastAsia"/>
          <w:spacing w:val="-4"/>
          <w:kern w:val="0"/>
          <w:sz w:val="24"/>
          <w:szCs w:val="24"/>
        </w:rPr>
        <w:t>C</w:t>
      </w:r>
      <w:r w:rsidRPr="00DE70BE">
        <w:rPr>
          <w:rFonts w:ascii="Times New Roman" w:hAnsi="Times New Roman" w:cs="宋体" w:hint="eastAsia"/>
          <w:spacing w:val="-4"/>
          <w:kern w:val="0"/>
          <w:sz w:val="24"/>
          <w:szCs w:val="24"/>
        </w:rPr>
        <w:t>级，考核总分不保留小数，采取四舍五入进位制。</w:t>
      </w:r>
    </w:p>
    <w:p w14:paraId="4210B188"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（一）服务机构季度考评等级为</w:t>
      </w:r>
      <w:r w:rsidRPr="00DE70BE">
        <w:rPr>
          <w:rFonts w:ascii="Times New Roman" w:hAnsi="Times New Roman" w:cs="宋体" w:hint="eastAsia"/>
          <w:kern w:val="0"/>
          <w:sz w:val="24"/>
          <w:szCs w:val="24"/>
        </w:rPr>
        <w:t>A</w:t>
      </w:r>
      <w:r w:rsidRPr="00DE70BE">
        <w:rPr>
          <w:rFonts w:ascii="Times New Roman" w:hAnsi="Times New Roman" w:cs="宋体" w:hint="eastAsia"/>
          <w:kern w:val="0"/>
          <w:sz w:val="24"/>
          <w:szCs w:val="24"/>
        </w:rPr>
        <w:t>级的，全额拨付考核资金；</w:t>
      </w:r>
    </w:p>
    <w:p w14:paraId="2AC12ECE" w14:textId="77777777" w:rsidR="00C95221" w:rsidRPr="00DE70BE" w:rsidRDefault="00DE70BE">
      <w:pPr>
        <w:overflowPunct w:val="0"/>
        <w:ind w:firstLineChars="200" w:firstLine="480"/>
        <w:rPr>
          <w:rFonts w:ascii="Times New Roman" w:hAnsi="Times New Roman" w:cs="宋体"/>
          <w:kern w:val="0"/>
          <w:sz w:val="24"/>
          <w:szCs w:val="24"/>
        </w:rPr>
      </w:pPr>
      <w:r w:rsidRPr="00DE70BE">
        <w:rPr>
          <w:rFonts w:ascii="Times New Roman" w:hAnsi="Times New Roman" w:cs="宋体" w:hint="eastAsia"/>
          <w:kern w:val="0"/>
          <w:sz w:val="24"/>
          <w:szCs w:val="24"/>
        </w:rPr>
        <w:t>（二）服务机构季度考评等级为</w:t>
      </w:r>
      <w:r w:rsidRPr="00DE70BE">
        <w:rPr>
          <w:rFonts w:ascii="Times New Roman" w:hAnsi="Times New Roman" w:cs="宋体" w:hint="eastAsia"/>
          <w:kern w:val="0"/>
          <w:sz w:val="24"/>
          <w:szCs w:val="24"/>
        </w:rPr>
        <w:t>B</w:t>
      </w:r>
      <w:r w:rsidRPr="00DE70BE">
        <w:rPr>
          <w:rFonts w:ascii="Times New Roman" w:hAnsi="Times New Roman" w:cs="宋体" w:hint="eastAsia"/>
          <w:kern w:val="0"/>
          <w:sz w:val="24"/>
          <w:szCs w:val="24"/>
        </w:rPr>
        <w:t>级的，给予警告，扣减当季相应服务经费，并要求机构限</w:t>
      </w:r>
      <w:r w:rsidRPr="00DE70BE">
        <w:rPr>
          <w:rFonts w:ascii="Times New Roman" w:hAnsi="Times New Roman" w:cs="宋体" w:hint="eastAsia"/>
          <w:kern w:val="0"/>
          <w:sz w:val="24"/>
          <w:szCs w:val="24"/>
        </w:rPr>
        <w:t>期整改。具体核减标准为：</w:t>
      </w:r>
      <w:r w:rsidRPr="00DE70BE">
        <w:rPr>
          <w:rFonts w:ascii="Times New Roman" w:hAnsi="Times New Roman" w:cs="宋体" w:hint="eastAsia"/>
          <w:kern w:val="0"/>
          <w:sz w:val="24"/>
          <w:szCs w:val="24"/>
        </w:rPr>
        <w:t>61</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70</w:t>
      </w:r>
      <w:r w:rsidRPr="00DE70BE">
        <w:rPr>
          <w:rFonts w:ascii="Times New Roman" w:hAnsi="Times New Roman" w:cs="宋体" w:hint="eastAsia"/>
          <w:kern w:val="0"/>
          <w:sz w:val="24"/>
          <w:szCs w:val="24"/>
        </w:rPr>
        <w:t>分核减</w:t>
      </w:r>
      <w:r w:rsidRPr="00DE70BE">
        <w:rPr>
          <w:rFonts w:ascii="Times New Roman" w:hAnsi="Times New Roman" w:cs="宋体" w:hint="eastAsia"/>
          <w:kern w:val="0"/>
          <w:sz w:val="24"/>
          <w:szCs w:val="24"/>
        </w:rPr>
        <w:t>15%</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71</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80</w:t>
      </w:r>
      <w:r w:rsidRPr="00DE70BE">
        <w:rPr>
          <w:rFonts w:ascii="Times New Roman" w:hAnsi="Times New Roman" w:cs="宋体" w:hint="eastAsia"/>
          <w:kern w:val="0"/>
          <w:sz w:val="24"/>
          <w:szCs w:val="24"/>
        </w:rPr>
        <w:t>分核减</w:t>
      </w:r>
      <w:r w:rsidRPr="00DE70BE">
        <w:rPr>
          <w:rFonts w:ascii="Times New Roman" w:hAnsi="Times New Roman" w:cs="宋体" w:hint="eastAsia"/>
          <w:kern w:val="0"/>
          <w:sz w:val="24"/>
          <w:szCs w:val="24"/>
        </w:rPr>
        <w:t>10%</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81</w:t>
      </w:r>
      <w:r w:rsidRPr="00DE70BE">
        <w:rPr>
          <w:rFonts w:ascii="Times New Roman" w:hAnsi="Times New Roman" w:cs="宋体" w:hint="eastAsia"/>
          <w:kern w:val="0"/>
          <w:sz w:val="24"/>
          <w:szCs w:val="24"/>
        </w:rPr>
        <w:t>—</w:t>
      </w:r>
      <w:r w:rsidRPr="00DE70BE">
        <w:rPr>
          <w:rFonts w:ascii="Times New Roman" w:hAnsi="Times New Roman" w:cs="宋体" w:hint="eastAsia"/>
          <w:kern w:val="0"/>
          <w:sz w:val="24"/>
          <w:szCs w:val="24"/>
        </w:rPr>
        <w:t>85</w:t>
      </w:r>
      <w:r w:rsidRPr="00DE70BE">
        <w:rPr>
          <w:rFonts w:ascii="Times New Roman" w:hAnsi="Times New Roman" w:cs="宋体" w:hint="eastAsia"/>
          <w:kern w:val="0"/>
          <w:sz w:val="24"/>
          <w:szCs w:val="24"/>
        </w:rPr>
        <w:t>分核减</w:t>
      </w:r>
      <w:r w:rsidRPr="00DE70BE">
        <w:rPr>
          <w:rFonts w:ascii="Times New Roman" w:hAnsi="Times New Roman" w:cs="宋体" w:hint="eastAsia"/>
          <w:kern w:val="0"/>
          <w:sz w:val="24"/>
          <w:szCs w:val="24"/>
        </w:rPr>
        <w:t>5%</w:t>
      </w:r>
      <w:r w:rsidRPr="00DE70BE">
        <w:rPr>
          <w:rFonts w:ascii="Times New Roman" w:hAnsi="Times New Roman" w:cs="宋体" w:hint="eastAsia"/>
          <w:kern w:val="0"/>
          <w:sz w:val="24"/>
          <w:szCs w:val="24"/>
        </w:rPr>
        <w:t>。</w:t>
      </w:r>
    </w:p>
    <w:p w14:paraId="219B6567" w14:textId="77777777" w:rsidR="00C95221" w:rsidRPr="00DE70BE" w:rsidRDefault="00DE70BE">
      <w:pPr>
        <w:overflowPunct w:val="0"/>
        <w:ind w:firstLineChars="200" w:firstLine="480"/>
        <w:rPr>
          <w:rFonts w:ascii="Times New Roman" w:hAnsi="Times New Roman" w:cs="宋体"/>
          <w:spacing w:val="-4"/>
          <w:kern w:val="0"/>
          <w:sz w:val="24"/>
          <w:szCs w:val="24"/>
        </w:rPr>
      </w:pPr>
      <w:r w:rsidRPr="00DE70BE">
        <w:rPr>
          <w:rFonts w:ascii="Times New Roman" w:hAnsi="Times New Roman" w:cs="宋体" w:hint="eastAsia"/>
          <w:kern w:val="0"/>
          <w:sz w:val="24"/>
          <w:szCs w:val="24"/>
        </w:rPr>
        <w:t>（三）服务机构季度考评等级为</w:t>
      </w:r>
      <w:r w:rsidRPr="00DE70BE">
        <w:rPr>
          <w:rFonts w:ascii="Times New Roman" w:hAnsi="Times New Roman" w:cs="宋体" w:hint="eastAsia"/>
          <w:kern w:val="0"/>
          <w:sz w:val="24"/>
          <w:szCs w:val="24"/>
        </w:rPr>
        <w:t>C</w:t>
      </w:r>
      <w:r w:rsidRPr="00DE70BE">
        <w:rPr>
          <w:rFonts w:ascii="Times New Roman" w:hAnsi="Times New Roman" w:cs="宋体" w:hint="eastAsia"/>
          <w:kern w:val="0"/>
          <w:sz w:val="24"/>
          <w:szCs w:val="24"/>
        </w:rPr>
        <w:t>级的，</w:t>
      </w:r>
      <w:r w:rsidRPr="00DE70BE">
        <w:rPr>
          <w:rFonts w:ascii="Times New Roman" w:hAnsi="Times New Roman" w:cs="宋体" w:hint="eastAsia"/>
          <w:kern w:val="0"/>
          <w:sz w:val="24"/>
          <w:szCs w:val="24"/>
        </w:rPr>
        <w:t>核减</w:t>
      </w:r>
      <w:r w:rsidRPr="00DE70BE">
        <w:rPr>
          <w:rFonts w:ascii="Times New Roman" w:hAnsi="Times New Roman" w:cs="宋体" w:hint="eastAsia"/>
          <w:kern w:val="0"/>
          <w:sz w:val="24"/>
          <w:szCs w:val="24"/>
        </w:rPr>
        <w:t>当季服务经费的</w:t>
      </w:r>
      <w:r w:rsidRPr="00DE70BE">
        <w:rPr>
          <w:rFonts w:ascii="Times New Roman" w:hAnsi="Times New Roman" w:cs="宋体" w:hint="eastAsia"/>
          <w:kern w:val="0"/>
          <w:sz w:val="24"/>
          <w:szCs w:val="24"/>
        </w:rPr>
        <w:t>20%</w:t>
      </w:r>
      <w:r w:rsidRPr="00DE70BE">
        <w:rPr>
          <w:rFonts w:ascii="Times New Roman" w:hAnsi="Times New Roman" w:cs="宋体" w:hint="eastAsia"/>
          <w:spacing w:val="-4"/>
          <w:kern w:val="0"/>
          <w:sz w:val="24"/>
          <w:szCs w:val="24"/>
        </w:rPr>
        <w:t>。</w:t>
      </w:r>
    </w:p>
    <w:p w14:paraId="52CB5654"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（四）服务机构有下列情形之一的，一经核实，退出框架协议，终止服务：</w:t>
      </w:r>
    </w:p>
    <w:p w14:paraId="2E499AF0"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1</w:t>
      </w:r>
      <w:r w:rsidRPr="00DE70BE">
        <w:rPr>
          <w:rFonts w:ascii="Times New Roman" w:hAnsi="Times New Roman" w:cs="宋体" w:hint="eastAsia"/>
          <w:spacing w:val="-4"/>
          <w:kern w:val="0"/>
          <w:sz w:val="24"/>
          <w:szCs w:val="24"/>
        </w:rPr>
        <w:t>、违反法律法规规定；</w:t>
      </w:r>
    </w:p>
    <w:p w14:paraId="45C5E450"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2</w:t>
      </w:r>
      <w:r w:rsidRPr="00DE70BE">
        <w:rPr>
          <w:rFonts w:ascii="Times New Roman" w:hAnsi="Times New Roman" w:cs="宋体" w:hint="eastAsia"/>
          <w:spacing w:val="-4"/>
          <w:kern w:val="0"/>
          <w:sz w:val="24"/>
          <w:szCs w:val="24"/>
        </w:rPr>
        <w:t>、发生安全责任事故；</w:t>
      </w:r>
    </w:p>
    <w:p w14:paraId="72EC8E9A"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3</w:t>
      </w:r>
      <w:r w:rsidRPr="00DE70BE">
        <w:rPr>
          <w:rFonts w:ascii="Times New Roman" w:hAnsi="Times New Roman" w:cs="宋体" w:hint="eastAsia"/>
          <w:spacing w:val="-4"/>
          <w:kern w:val="0"/>
          <w:sz w:val="24"/>
          <w:szCs w:val="24"/>
        </w:rPr>
        <w:t>、存在欺老、虐老行为；</w:t>
      </w:r>
    </w:p>
    <w:p w14:paraId="13AEF727"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4</w:t>
      </w:r>
      <w:r w:rsidRPr="00DE70BE">
        <w:rPr>
          <w:rFonts w:ascii="Times New Roman" w:hAnsi="Times New Roman" w:cs="宋体" w:hint="eastAsia"/>
          <w:spacing w:val="-4"/>
          <w:kern w:val="0"/>
          <w:sz w:val="24"/>
          <w:szCs w:val="24"/>
        </w:rPr>
        <w:t>、向老年人推销保健品；</w:t>
      </w:r>
    </w:p>
    <w:p w14:paraId="3115097D"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5</w:t>
      </w:r>
      <w:r w:rsidRPr="00DE70BE">
        <w:rPr>
          <w:rFonts w:ascii="Times New Roman" w:hAnsi="Times New Roman" w:cs="宋体" w:hint="eastAsia"/>
          <w:spacing w:val="-4"/>
          <w:kern w:val="0"/>
          <w:sz w:val="24"/>
          <w:szCs w:val="24"/>
        </w:rPr>
        <w:t>、涉嫌向老年人开展非法集资；</w:t>
      </w:r>
    </w:p>
    <w:p w14:paraId="61EF6862"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6</w:t>
      </w:r>
      <w:r w:rsidRPr="00DE70BE">
        <w:rPr>
          <w:rFonts w:ascii="Times New Roman" w:hAnsi="Times New Roman" w:cs="宋体" w:hint="eastAsia"/>
          <w:spacing w:val="-4"/>
          <w:kern w:val="0"/>
          <w:sz w:val="24"/>
          <w:szCs w:val="24"/>
        </w:rPr>
        <w:t>、泄露老年人隐私信息；</w:t>
      </w:r>
    </w:p>
    <w:p w14:paraId="197EED05"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7</w:t>
      </w:r>
      <w:r w:rsidRPr="00DE70BE">
        <w:rPr>
          <w:rFonts w:ascii="Times New Roman" w:hAnsi="Times New Roman" w:cs="宋体" w:hint="eastAsia"/>
          <w:spacing w:val="-4"/>
          <w:kern w:val="0"/>
          <w:sz w:val="24"/>
          <w:szCs w:val="24"/>
        </w:rPr>
        <w:t>、服务质量综合考评</w:t>
      </w:r>
      <w:r w:rsidRPr="00DE70BE">
        <w:rPr>
          <w:rFonts w:ascii="Times New Roman" w:hAnsi="Times New Roman" w:cs="宋体" w:hint="eastAsia"/>
          <w:spacing w:val="-4"/>
          <w:kern w:val="0"/>
          <w:sz w:val="24"/>
          <w:szCs w:val="24"/>
        </w:rPr>
        <w:t>C</w:t>
      </w:r>
      <w:r w:rsidRPr="00DE70BE">
        <w:rPr>
          <w:rFonts w:ascii="Times New Roman" w:hAnsi="Times New Roman" w:cs="宋体" w:hint="eastAsia"/>
          <w:spacing w:val="-4"/>
          <w:kern w:val="0"/>
          <w:sz w:val="24"/>
          <w:szCs w:val="24"/>
        </w:rPr>
        <w:t>级；</w:t>
      </w:r>
    </w:p>
    <w:p w14:paraId="073DAAC6"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8</w:t>
      </w:r>
      <w:r w:rsidRPr="00DE70BE">
        <w:rPr>
          <w:rFonts w:ascii="Times New Roman" w:hAnsi="Times New Roman" w:cs="宋体" w:hint="eastAsia"/>
          <w:spacing w:val="-4"/>
          <w:kern w:val="0"/>
          <w:sz w:val="24"/>
          <w:szCs w:val="24"/>
        </w:rPr>
        <w:t>、恶意竞争，扰乱市场；</w:t>
      </w:r>
    </w:p>
    <w:p w14:paraId="3BBD53C4" w14:textId="77777777" w:rsidR="00C95221" w:rsidRPr="00DE70BE" w:rsidRDefault="00DE70BE">
      <w:pPr>
        <w:overflowPunct w:val="0"/>
        <w:ind w:firstLineChars="200" w:firstLine="464"/>
        <w:rPr>
          <w:rFonts w:ascii="Times New Roman" w:hAnsi="Times New Roman" w:cs="宋体"/>
          <w:spacing w:val="-4"/>
          <w:kern w:val="0"/>
          <w:sz w:val="24"/>
          <w:szCs w:val="24"/>
        </w:rPr>
      </w:pPr>
      <w:r w:rsidRPr="00DE70BE">
        <w:rPr>
          <w:rFonts w:ascii="Times New Roman" w:hAnsi="Times New Roman" w:cs="宋体" w:hint="eastAsia"/>
          <w:spacing w:val="-4"/>
          <w:kern w:val="0"/>
          <w:sz w:val="24"/>
          <w:szCs w:val="24"/>
        </w:rPr>
        <w:t>9</w:t>
      </w:r>
      <w:r w:rsidRPr="00DE70BE">
        <w:rPr>
          <w:rFonts w:ascii="Times New Roman" w:hAnsi="Times New Roman" w:cs="宋体" w:hint="eastAsia"/>
          <w:spacing w:val="-4"/>
          <w:kern w:val="0"/>
          <w:sz w:val="24"/>
          <w:szCs w:val="24"/>
        </w:rPr>
        <w:t>、其他严重损害老年人权益或严重违反本协议约定的行为。</w:t>
      </w:r>
    </w:p>
    <w:p w14:paraId="01F27DB6" w14:textId="77777777" w:rsidR="00C95221" w:rsidRPr="00DE70BE" w:rsidRDefault="00DE70BE">
      <w:pPr>
        <w:overflowPunct w:val="0"/>
        <w:spacing w:beforeLines="50" w:before="120" w:afterLines="50" w:after="120"/>
        <w:jc w:val="center"/>
        <w:rPr>
          <w:rFonts w:ascii="Times New Roman" w:eastAsia="方正黑体_GBK" w:hAnsi="Times New Roman" w:cs="宋体"/>
          <w:kern w:val="0"/>
          <w:szCs w:val="32"/>
        </w:rPr>
      </w:pPr>
      <w:r w:rsidRPr="00DE70BE">
        <w:rPr>
          <w:rFonts w:ascii="Times New Roman" w:eastAsia="方正黑体_GBK" w:hAnsi="Times New Roman" w:cs="宋体" w:hint="eastAsia"/>
          <w:kern w:val="0"/>
          <w:szCs w:val="32"/>
        </w:rPr>
        <w:t>第五章</w:t>
      </w:r>
      <w:r w:rsidRPr="00DE70BE">
        <w:rPr>
          <w:rFonts w:ascii="Times New Roman" w:eastAsia="方正黑体_GBK" w:hAnsi="Times New Roman" w:cs="宋体" w:hint="eastAsia"/>
          <w:kern w:val="0"/>
          <w:szCs w:val="32"/>
        </w:rPr>
        <w:t xml:space="preserve">  </w:t>
      </w:r>
      <w:r w:rsidRPr="00DE70BE">
        <w:rPr>
          <w:rFonts w:ascii="Times New Roman" w:eastAsia="方正黑体_GBK" w:hAnsi="Times New Roman" w:cs="宋体" w:hint="eastAsia"/>
          <w:kern w:val="0"/>
          <w:szCs w:val="32"/>
        </w:rPr>
        <w:t>附</w:t>
      </w:r>
      <w:r w:rsidRPr="00DE70BE">
        <w:rPr>
          <w:rFonts w:ascii="Times New Roman" w:eastAsia="方正黑体_GBK" w:hAnsi="Times New Roman" w:cs="宋体" w:hint="eastAsia"/>
          <w:kern w:val="0"/>
          <w:szCs w:val="32"/>
        </w:rPr>
        <w:t xml:space="preserve">  </w:t>
      </w:r>
      <w:r w:rsidRPr="00DE70BE">
        <w:rPr>
          <w:rFonts w:ascii="Times New Roman" w:eastAsia="方正黑体_GBK" w:hAnsi="Times New Roman" w:cs="宋体" w:hint="eastAsia"/>
          <w:kern w:val="0"/>
          <w:szCs w:val="32"/>
        </w:rPr>
        <w:t>则</w:t>
      </w:r>
    </w:p>
    <w:p w14:paraId="71AA6DB0" w14:textId="77777777" w:rsidR="00C95221" w:rsidRPr="00DE70BE" w:rsidRDefault="00DE70BE">
      <w:pPr>
        <w:overflowPunct w:val="0"/>
        <w:ind w:firstLineChars="200" w:firstLine="420"/>
        <w:rPr>
          <w:rFonts w:ascii="Times New Roman" w:hAnsi="Times New Roman" w:cs="宋体"/>
          <w:kern w:val="0"/>
          <w:szCs w:val="32"/>
        </w:rPr>
      </w:pPr>
      <w:r w:rsidRPr="00DE70BE">
        <w:rPr>
          <w:rFonts w:ascii="Times New Roman" w:eastAsia="方正楷体_GBK" w:hAnsi="Times New Roman" w:cs="宋体" w:hint="eastAsia"/>
          <w:kern w:val="0"/>
          <w:szCs w:val="32"/>
        </w:rPr>
        <w:t>第十四条</w:t>
      </w:r>
      <w:r w:rsidRPr="00DE70BE">
        <w:rPr>
          <w:rFonts w:ascii="Times New Roman" w:eastAsia="方正楷体_GBK" w:hAnsi="Times New Roman" w:cs="宋体" w:hint="eastAsia"/>
          <w:kern w:val="0"/>
          <w:szCs w:val="32"/>
        </w:rPr>
        <w:t xml:space="preserve"> </w:t>
      </w:r>
      <w:r w:rsidRPr="00DE70BE">
        <w:rPr>
          <w:rFonts w:ascii="Times New Roman" w:hAnsi="Times New Roman" w:cs="宋体" w:hint="eastAsia"/>
          <w:kern w:val="0"/>
          <w:szCs w:val="32"/>
        </w:rPr>
        <w:t xml:space="preserve"> </w:t>
      </w:r>
      <w:r w:rsidRPr="00DE70BE">
        <w:rPr>
          <w:rFonts w:ascii="Times New Roman" w:hAnsi="Times New Roman" w:cs="宋体" w:hint="eastAsia"/>
          <w:kern w:val="0"/>
          <w:szCs w:val="32"/>
        </w:rPr>
        <w:t>本办法由市民政局负责解释。</w:t>
      </w:r>
    </w:p>
    <w:p w14:paraId="085E5BAC" w14:textId="77777777" w:rsidR="00C95221" w:rsidRPr="00DE70BE" w:rsidRDefault="00DE70BE">
      <w:pPr>
        <w:overflowPunct w:val="0"/>
        <w:ind w:firstLineChars="200" w:firstLine="420"/>
        <w:rPr>
          <w:rFonts w:ascii="Times New Roman" w:hAnsi="Times New Roman" w:cs="宋体"/>
          <w:kern w:val="0"/>
          <w:szCs w:val="32"/>
        </w:rPr>
      </w:pPr>
      <w:r w:rsidRPr="00DE70BE">
        <w:rPr>
          <w:rFonts w:ascii="Times New Roman" w:eastAsia="方正楷体_GBK" w:hAnsi="Times New Roman" w:cs="宋体" w:hint="eastAsia"/>
          <w:kern w:val="0"/>
          <w:szCs w:val="32"/>
        </w:rPr>
        <w:t>第十五条</w:t>
      </w:r>
      <w:r w:rsidRPr="00DE70BE">
        <w:rPr>
          <w:rFonts w:ascii="Times New Roman" w:eastAsia="方正楷体_GBK" w:hAnsi="Times New Roman" w:cs="宋体" w:hint="eastAsia"/>
          <w:kern w:val="0"/>
          <w:szCs w:val="32"/>
        </w:rPr>
        <w:t xml:space="preserve">  </w:t>
      </w:r>
      <w:r w:rsidRPr="00DE70BE">
        <w:rPr>
          <w:rFonts w:ascii="Times New Roman" w:hAnsi="Times New Roman" w:cs="宋体" w:hint="eastAsia"/>
          <w:kern w:val="0"/>
          <w:szCs w:val="32"/>
        </w:rPr>
        <w:t>本办法自</w:t>
      </w:r>
      <w:r w:rsidRPr="00DE70BE">
        <w:rPr>
          <w:rFonts w:ascii="Times New Roman" w:hAnsi="Times New Roman" w:cs="宋体" w:hint="eastAsia"/>
          <w:kern w:val="0"/>
          <w:szCs w:val="32"/>
        </w:rPr>
        <w:t>2026</w:t>
      </w:r>
      <w:r w:rsidRPr="00DE70BE">
        <w:rPr>
          <w:rFonts w:ascii="Times New Roman" w:hAnsi="Times New Roman" w:cs="宋体" w:hint="eastAsia"/>
          <w:kern w:val="0"/>
          <w:szCs w:val="32"/>
        </w:rPr>
        <w:t>年</w:t>
      </w:r>
      <w:r w:rsidRPr="00DE70BE">
        <w:rPr>
          <w:rFonts w:ascii="Times New Roman" w:hAnsi="Times New Roman" w:cs="宋体" w:hint="eastAsia"/>
          <w:kern w:val="0"/>
          <w:szCs w:val="32"/>
        </w:rPr>
        <w:t>8</w:t>
      </w:r>
      <w:r w:rsidRPr="00DE70BE">
        <w:rPr>
          <w:rFonts w:ascii="Times New Roman" w:hAnsi="Times New Roman" w:cs="宋体" w:hint="eastAsia"/>
          <w:kern w:val="0"/>
          <w:szCs w:val="32"/>
        </w:rPr>
        <w:t>月</w:t>
      </w:r>
      <w:r w:rsidRPr="00DE70BE">
        <w:rPr>
          <w:rFonts w:ascii="Times New Roman" w:hAnsi="Times New Roman" w:cs="宋体" w:hint="eastAsia"/>
          <w:kern w:val="0"/>
          <w:szCs w:val="32"/>
        </w:rPr>
        <w:t>1</w:t>
      </w:r>
      <w:r w:rsidRPr="00DE70BE">
        <w:rPr>
          <w:rFonts w:ascii="Times New Roman" w:hAnsi="Times New Roman" w:cs="宋体" w:hint="eastAsia"/>
          <w:kern w:val="0"/>
          <w:szCs w:val="32"/>
        </w:rPr>
        <w:t>日起生效施行。</w:t>
      </w:r>
    </w:p>
    <w:p w14:paraId="78E19106" w14:textId="77777777" w:rsidR="00C95221" w:rsidRPr="00DE70BE" w:rsidRDefault="00C95221">
      <w:pPr>
        <w:overflowPunct w:val="0"/>
        <w:ind w:firstLineChars="200" w:firstLine="420"/>
        <w:rPr>
          <w:rFonts w:ascii="Times New Roman" w:hAnsi="Times New Roman" w:cs="宋体"/>
          <w:kern w:val="0"/>
          <w:szCs w:val="32"/>
        </w:rPr>
      </w:pPr>
    </w:p>
    <w:p w14:paraId="2CF7990D" w14:textId="77777777" w:rsidR="00C95221" w:rsidRPr="00DE70BE" w:rsidRDefault="00DE70BE">
      <w:pPr>
        <w:overflowPunct w:val="0"/>
        <w:ind w:firstLineChars="200" w:firstLine="420"/>
        <w:rPr>
          <w:rFonts w:ascii="Times New Roman" w:hAnsi="Times New Roman" w:cs="宋体"/>
          <w:kern w:val="0"/>
          <w:szCs w:val="32"/>
        </w:rPr>
      </w:pPr>
      <w:r w:rsidRPr="00DE70BE">
        <w:rPr>
          <w:rFonts w:ascii="Times New Roman" w:hAnsi="Times New Roman" w:cs="宋体" w:hint="eastAsia"/>
          <w:kern w:val="0"/>
          <w:szCs w:val="32"/>
        </w:rPr>
        <w:t>附：《江阴市居家养老援助服务“银龄卡”项目质量考评评分表》</w:t>
      </w:r>
    </w:p>
    <w:p w14:paraId="035F5BAA" w14:textId="77777777" w:rsidR="00C95221" w:rsidRPr="00DE70BE" w:rsidRDefault="00C95221">
      <w:pPr>
        <w:overflowPunct w:val="0"/>
        <w:ind w:firstLineChars="200" w:firstLine="420"/>
        <w:rPr>
          <w:rFonts w:ascii="Times New Roman" w:hAnsi="Times New Roman" w:cs="宋体"/>
          <w:kern w:val="0"/>
          <w:szCs w:val="32"/>
        </w:rPr>
      </w:pPr>
    </w:p>
    <w:p w14:paraId="36EE7769" w14:textId="77777777" w:rsidR="00C95221" w:rsidRPr="00DE70BE" w:rsidRDefault="00C95221">
      <w:pPr>
        <w:overflowPunct w:val="0"/>
        <w:ind w:firstLineChars="200" w:firstLine="420"/>
        <w:rPr>
          <w:rFonts w:ascii="Times New Roman" w:hAnsi="Times New Roman" w:cs="宋体"/>
          <w:kern w:val="0"/>
          <w:szCs w:val="32"/>
        </w:rPr>
      </w:pPr>
    </w:p>
    <w:p w14:paraId="2A8FEE48" w14:textId="77777777" w:rsidR="00C95221" w:rsidRPr="00DE70BE" w:rsidRDefault="00C95221">
      <w:pPr>
        <w:overflowPunct w:val="0"/>
        <w:ind w:firstLineChars="200" w:firstLine="420"/>
        <w:rPr>
          <w:rFonts w:ascii="Times New Roman" w:hAnsi="Times New Roman" w:cs="宋体"/>
          <w:kern w:val="0"/>
          <w:szCs w:val="32"/>
        </w:rPr>
      </w:pPr>
    </w:p>
    <w:p w14:paraId="13CE4855" w14:textId="77777777" w:rsidR="00C95221" w:rsidRPr="00DE70BE" w:rsidRDefault="00C95221">
      <w:pPr>
        <w:overflowPunct w:val="0"/>
        <w:ind w:firstLineChars="200" w:firstLine="420"/>
        <w:rPr>
          <w:rFonts w:ascii="Times New Roman" w:hAnsi="Times New Roman" w:cs="宋体"/>
          <w:kern w:val="0"/>
          <w:szCs w:val="32"/>
        </w:rPr>
      </w:pPr>
    </w:p>
    <w:p w14:paraId="66E4EF1A" w14:textId="77777777" w:rsidR="00C95221" w:rsidRPr="00DE70BE" w:rsidRDefault="00C95221">
      <w:pPr>
        <w:overflowPunct w:val="0"/>
        <w:ind w:firstLineChars="200" w:firstLine="420"/>
        <w:rPr>
          <w:rFonts w:ascii="Times New Roman" w:hAnsi="Times New Roman" w:cs="宋体"/>
          <w:kern w:val="0"/>
          <w:szCs w:val="32"/>
        </w:rPr>
      </w:pPr>
    </w:p>
    <w:p w14:paraId="737482B6" w14:textId="77777777" w:rsidR="00C95221" w:rsidRPr="00DE70BE" w:rsidRDefault="00C95221">
      <w:pPr>
        <w:overflowPunct w:val="0"/>
        <w:ind w:firstLineChars="200" w:firstLine="420"/>
        <w:rPr>
          <w:rFonts w:ascii="Times New Roman" w:hAnsi="Times New Roman" w:cs="宋体"/>
          <w:kern w:val="0"/>
          <w:szCs w:val="32"/>
        </w:rPr>
      </w:pPr>
    </w:p>
    <w:p w14:paraId="06F053EA" w14:textId="77777777" w:rsidR="00C95221" w:rsidRPr="00DE70BE" w:rsidRDefault="00DE70BE">
      <w:pPr>
        <w:pStyle w:val="a3"/>
        <w:overflowPunct w:val="0"/>
        <w:spacing w:line="0" w:lineRule="atLeast"/>
        <w:jc w:val="left"/>
        <w:rPr>
          <w:rFonts w:ascii="Times New Roman" w:eastAsia="方正黑体_GBK" w:hAnsi="Times New Roman" w:cs="方正黑体_GBK"/>
          <w:sz w:val="32"/>
          <w:szCs w:val="32"/>
        </w:rPr>
      </w:pPr>
      <w:r w:rsidRPr="00DE70BE">
        <w:rPr>
          <w:rFonts w:ascii="Times New Roman" w:eastAsia="方正仿宋_GBK" w:hAnsi="Times New Roman" w:cs="方正仿宋_GBK" w:hint="eastAsia"/>
          <w:sz w:val="32"/>
          <w:szCs w:val="32"/>
        </w:rPr>
        <w:br w:type="page"/>
      </w:r>
      <w:r w:rsidRPr="00DE70BE">
        <w:rPr>
          <w:rFonts w:ascii="Times New Roman" w:eastAsia="方正黑体_GBK" w:hAnsi="Times New Roman" w:cs="方正黑体_GBK" w:hint="eastAsia"/>
          <w:sz w:val="32"/>
          <w:szCs w:val="32"/>
        </w:rPr>
        <w:lastRenderedPageBreak/>
        <w:t>附件</w:t>
      </w:r>
    </w:p>
    <w:p w14:paraId="676F3DDF" w14:textId="77777777" w:rsidR="00C95221" w:rsidRPr="00DE70BE" w:rsidRDefault="00DE70BE">
      <w:pPr>
        <w:pStyle w:val="a3"/>
        <w:overflowPunct w:val="0"/>
        <w:spacing w:line="0" w:lineRule="atLeast"/>
        <w:jc w:val="center"/>
        <w:rPr>
          <w:rFonts w:ascii="Times New Roman" w:eastAsia="方正小标宋_GBK" w:hAnsi="Times New Roman"/>
          <w:sz w:val="30"/>
          <w:szCs w:val="30"/>
        </w:rPr>
      </w:pPr>
      <w:r w:rsidRPr="00DE70BE">
        <w:rPr>
          <w:rFonts w:ascii="Times New Roman" w:eastAsia="方正小标宋_GBK" w:hAnsi="Times New Roman" w:hint="eastAsia"/>
          <w:sz w:val="30"/>
          <w:szCs w:val="30"/>
        </w:rPr>
        <w:t>江阴市居家养老援助服务“银龄卡”项目质量</w:t>
      </w:r>
    </w:p>
    <w:p w14:paraId="522AACFA" w14:textId="77777777" w:rsidR="00C95221" w:rsidRPr="00DE70BE" w:rsidRDefault="00DE70BE">
      <w:pPr>
        <w:pStyle w:val="a3"/>
        <w:overflowPunct w:val="0"/>
        <w:spacing w:line="0" w:lineRule="atLeast"/>
        <w:jc w:val="center"/>
        <w:rPr>
          <w:rFonts w:ascii="Times New Roman" w:eastAsia="方正小标宋_GBK" w:hAnsi="Times New Roman"/>
          <w:sz w:val="30"/>
          <w:szCs w:val="30"/>
        </w:rPr>
      </w:pPr>
      <w:r w:rsidRPr="00DE70BE">
        <w:rPr>
          <w:rFonts w:ascii="Times New Roman" w:eastAsia="方正小标宋_GBK" w:hAnsi="Times New Roman" w:hint="eastAsia"/>
          <w:sz w:val="30"/>
          <w:szCs w:val="30"/>
        </w:rPr>
        <w:t>考评评分表</w:t>
      </w:r>
    </w:p>
    <w:tbl>
      <w:tblPr>
        <w:tblW w:w="523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805"/>
        <w:gridCol w:w="2425"/>
        <w:gridCol w:w="613"/>
        <w:gridCol w:w="85"/>
        <w:gridCol w:w="756"/>
        <w:gridCol w:w="1357"/>
        <w:gridCol w:w="1355"/>
        <w:gridCol w:w="915"/>
        <w:gridCol w:w="820"/>
      </w:tblGrid>
      <w:tr w:rsidR="00DE70BE" w:rsidRPr="00DE70BE" w14:paraId="61B13AA7" w14:textId="77777777">
        <w:trPr>
          <w:trHeight w:val="567"/>
          <w:jc w:val="center"/>
        </w:trPr>
        <w:tc>
          <w:tcPr>
            <w:tcW w:w="869" w:type="pct"/>
            <w:gridSpan w:val="2"/>
            <w:vAlign w:val="center"/>
          </w:tcPr>
          <w:p w14:paraId="7FE0DF1A"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机构名称</w:t>
            </w:r>
          </w:p>
        </w:tc>
        <w:tc>
          <w:tcPr>
            <w:tcW w:w="1203" w:type="pct"/>
            <w:vAlign w:val="center"/>
          </w:tcPr>
          <w:p w14:paraId="00A8BA07"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721" w:type="pct"/>
            <w:gridSpan w:val="3"/>
            <w:vAlign w:val="center"/>
          </w:tcPr>
          <w:p w14:paraId="67E96404"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组织机构代码</w:t>
            </w:r>
          </w:p>
        </w:tc>
        <w:tc>
          <w:tcPr>
            <w:tcW w:w="1345" w:type="pct"/>
            <w:gridSpan w:val="2"/>
            <w:vAlign w:val="center"/>
          </w:tcPr>
          <w:p w14:paraId="07071902"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54" w:type="pct"/>
            <w:vAlign w:val="center"/>
          </w:tcPr>
          <w:p w14:paraId="37E4F07F"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法人</w:t>
            </w:r>
          </w:p>
        </w:tc>
        <w:tc>
          <w:tcPr>
            <w:tcW w:w="405" w:type="pct"/>
            <w:vAlign w:val="center"/>
          </w:tcPr>
          <w:p w14:paraId="2C5CFF7E"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r>
      <w:tr w:rsidR="00DE70BE" w:rsidRPr="00DE70BE" w14:paraId="0C67F2BC" w14:textId="77777777">
        <w:trPr>
          <w:trHeight w:val="567"/>
          <w:jc w:val="center"/>
        </w:trPr>
        <w:tc>
          <w:tcPr>
            <w:tcW w:w="869" w:type="pct"/>
            <w:gridSpan w:val="2"/>
            <w:vAlign w:val="center"/>
          </w:tcPr>
          <w:p w14:paraId="5112FD4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联系人</w:t>
            </w:r>
          </w:p>
        </w:tc>
        <w:tc>
          <w:tcPr>
            <w:tcW w:w="1203" w:type="pct"/>
            <w:vAlign w:val="center"/>
          </w:tcPr>
          <w:p w14:paraId="74E4EB32"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721" w:type="pct"/>
            <w:gridSpan w:val="3"/>
            <w:vMerge w:val="restart"/>
            <w:vAlign w:val="center"/>
          </w:tcPr>
          <w:p w14:paraId="11A74D4B"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服务团队人数</w:t>
            </w:r>
          </w:p>
        </w:tc>
        <w:tc>
          <w:tcPr>
            <w:tcW w:w="1345" w:type="pct"/>
            <w:gridSpan w:val="2"/>
            <w:vMerge w:val="restart"/>
            <w:vAlign w:val="center"/>
          </w:tcPr>
          <w:p w14:paraId="2D42EE86"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54" w:type="pct"/>
            <w:vMerge w:val="restart"/>
            <w:vAlign w:val="center"/>
          </w:tcPr>
          <w:p w14:paraId="1720D7A6"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持证</w:t>
            </w:r>
          </w:p>
          <w:p w14:paraId="76A9EFAD"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人数</w:t>
            </w:r>
          </w:p>
        </w:tc>
        <w:tc>
          <w:tcPr>
            <w:tcW w:w="405" w:type="pct"/>
            <w:vMerge w:val="restart"/>
            <w:vAlign w:val="center"/>
          </w:tcPr>
          <w:p w14:paraId="08D4E887"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r>
      <w:tr w:rsidR="00DE70BE" w:rsidRPr="00DE70BE" w14:paraId="3A50804B" w14:textId="77777777">
        <w:trPr>
          <w:trHeight w:val="567"/>
          <w:jc w:val="center"/>
        </w:trPr>
        <w:tc>
          <w:tcPr>
            <w:tcW w:w="869" w:type="pct"/>
            <w:gridSpan w:val="2"/>
            <w:vAlign w:val="center"/>
          </w:tcPr>
          <w:p w14:paraId="086A62D5"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电话</w:t>
            </w:r>
          </w:p>
        </w:tc>
        <w:tc>
          <w:tcPr>
            <w:tcW w:w="1203" w:type="pct"/>
            <w:vAlign w:val="center"/>
          </w:tcPr>
          <w:p w14:paraId="24F80D8F"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721" w:type="pct"/>
            <w:gridSpan w:val="3"/>
            <w:vMerge/>
            <w:vAlign w:val="center"/>
          </w:tcPr>
          <w:p w14:paraId="27488C77"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1345" w:type="pct"/>
            <w:gridSpan w:val="2"/>
            <w:vMerge/>
            <w:vAlign w:val="center"/>
          </w:tcPr>
          <w:p w14:paraId="52C4C55A"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54" w:type="pct"/>
            <w:vMerge/>
            <w:vAlign w:val="center"/>
          </w:tcPr>
          <w:p w14:paraId="65592057"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05" w:type="pct"/>
            <w:vMerge/>
            <w:vAlign w:val="center"/>
          </w:tcPr>
          <w:p w14:paraId="52FD4916"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r>
      <w:tr w:rsidR="00DE70BE" w:rsidRPr="00DE70BE" w14:paraId="0CF6BEB8" w14:textId="77777777">
        <w:trPr>
          <w:trHeight w:val="567"/>
          <w:jc w:val="center"/>
        </w:trPr>
        <w:tc>
          <w:tcPr>
            <w:tcW w:w="869" w:type="pct"/>
            <w:gridSpan w:val="2"/>
            <w:vAlign w:val="center"/>
          </w:tcPr>
          <w:p w14:paraId="4AD391A1"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服务街道</w:t>
            </w:r>
            <w:r w:rsidRPr="00DE70BE">
              <w:rPr>
                <w:rFonts w:ascii="Times New Roman" w:eastAsia="方正楷体_GBK" w:hAnsi="Times New Roman" w:cs="宋体" w:hint="eastAsia"/>
                <w:kern w:val="0"/>
                <w:sz w:val="20"/>
                <w:szCs w:val="20"/>
              </w:rPr>
              <w:t>/</w:t>
            </w:r>
            <w:r w:rsidRPr="00DE70BE">
              <w:rPr>
                <w:rFonts w:ascii="Times New Roman" w:eastAsia="方正楷体_GBK" w:hAnsi="Times New Roman" w:cs="宋体" w:hint="eastAsia"/>
                <w:kern w:val="0"/>
                <w:sz w:val="20"/>
                <w:szCs w:val="20"/>
              </w:rPr>
              <w:t>社区</w:t>
            </w:r>
          </w:p>
        </w:tc>
        <w:tc>
          <w:tcPr>
            <w:tcW w:w="1203" w:type="pct"/>
            <w:vAlign w:val="center"/>
          </w:tcPr>
          <w:p w14:paraId="23395ED8"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721" w:type="pct"/>
            <w:gridSpan w:val="3"/>
            <w:vAlign w:val="center"/>
          </w:tcPr>
          <w:p w14:paraId="6B340420"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服务总单量</w:t>
            </w:r>
          </w:p>
        </w:tc>
        <w:tc>
          <w:tcPr>
            <w:tcW w:w="1345" w:type="pct"/>
            <w:gridSpan w:val="2"/>
            <w:vAlign w:val="center"/>
          </w:tcPr>
          <w:p w14:paraId="1998439B"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54" w:type="pct"/>
            <w:vAlign w:val="center"/>
          </w:tcPr>
          <w:p w14:paraId="17A0FEF2"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评估</w:t>
            </w:r>
          </w:p>
          <w:p w14:paraId="5FF95CCC"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周期</w:t>
            </w:r>
          </w:p>
        </w:tc>
        <w:tc>
          <w:tcPr>
            <w:tcW w:w="405" w:type="pct"/>
            <w:vAlign w:val="center"/>
          </w:tcPr>
          <w:p w14:paraId="6EC121B2"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r>
      <w:tr w:rsidR="00DE70BE" w:rsidRPr="00DE70BE" w14:paraId="2525F930" w14:textId="77777777">
        <w:trPr>
          <w:trHeight w:val="23"/>
          <w:jc w:val="center"/>
        </w:trPr>
        <w:tc>
          <w:tcPr>
            <w:tcW w:w="470" w:type="pct"/>
            <w:vAlign w:val="center"/>
          </w:tcPr>
          <w:p w14:paraId="4A9DD422"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项目</w:t>
            </w:r>
          </w:p>
        </w:tc>
        <w:tc>
          <w:tcPr>
            <w:tcW w:w="399" w:type="pct"/>
            <w:vAlign w:val="center"/>
          </w:tcPr>
          <w:p w14:paraId="49F6BE7E"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序号</w:t>
            </w:r>
          </w:p>
        </w:tc>
        <w:tc>
          <w:tcPr>
            <w:tcW w:w="1203" w:type="pct"/>
            <w:vAlign w:val="center"/>
          </w:tcPr>
          <w:p w14:paraId="29F139A5"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考</w:t>
            </w:r>
            <w:r w:rsidRPr="00DE70BE">
              <w:rPr>
                <w:rFonts w:ascii="Times New Roman" w:eastAsia="方正黑体_GBK" w:hAnsi="Times New Roman" w:cs="宋体" w:hint="eastAsia"/>
                <w:kern w:val="0"/>
                <w:sz w:val="20"/>
                <w:szCs w:val="20"/>
              </w:rPr>
              <w:t xml:space="preserve"> </w:t>
            </w:r>
            <w:r w:rsidRPr="00DE70BE">
              <w:rPr>
                <w:rFonts w:ascii="Times New Roman" w:eastAsia="方正黑体_GBK" w:hAnsi="Times New Roman" w:cs="宋体" w:hint="eastAsia"/>
                <w:kern w:val="0"/>
                <w:sz w:val="20"/>
                <w:szCs w:val="20"/>
              </w:rPr>
              <w:t>核</w:t>
            </w:r>
            <w:r w:rsidRPr="00DE70BE">
              <w:rPr>
                <w:rFonts w:ascii="Times New Roman" w:eastAsia="方正黑体_GBK" w:hAnsi="Times New Roman" w:cs="宋体" w:hint="eastAsia"/>
                <w:kern w:val="0"/>
                <w:sz w:val="20"/>
                <w:szCs w:val="20"/>
              </w:rPr>
              <w:t xml:space="preserve"> </w:t>
            </w:r>
            <w:r w:rsidRPr="00DE70BE">
              <w:rPr>
                <w:rFonts w:ascii="Times New Roman" w:eastAsia="方正黑体_GBK" w:hAnsi="Times New Roman" w:cs="宋体" w:hint="eastAsia"/>
                <w:kern w:val="0"/>
                <w:sz w:val="20"/>
                <w:szCs w:val="20"/>
              </w:rPr>
              <w:t>内</w:t>
            </w:r>
            <w:r w:rsidRPr="00DE70BE">
              <w:rPr>
                <w:rFonts w:ascii="Times New Roman" w:eastAsia="方正黑体_GBK" w:hAnsi="Times New Roman" w:cs="宋体" w:hint="eastAsia"/>
                <w:kern w:val="0"/>
                <w:sz w:val="20"/>
                <w:szCs w:val="20"/>
              </w:rPr>
              <w:t xml:space="preserve"> </w:t>
            </w:r>
            <w:r w:rsidRPr="00DE70BE">
              <w:rPr>
                <w:rFonts w:ascii="Times New Roman" w:eastAsia="方正黑体_GBK" w:hAnsi="Times New Roman" w:cs="宋体" w:hint="eastAsia"/>
                <w:kern w:val="0"/>
                <w:sz w:val="20"/>
                <w:szCs w:val="20"/>
              </w:rPr>
              <w:t>容</w:t>
            </w:r>
          </w:p>
        </w:tc>
        <w:tc>
          <w:tcPr>
            <w:tcW w:w="304" w:type="pct"/>
            <w:vAlign w:val="center"/>
          </w:tcPr>
          <w:p w14:paraId="15280475"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分值</w:t>
            </w:r>
          </w:p>
        </w:tc>
        <w:tc>
          <w:tcPr>
            <w:tcW w:w="1090" w:type="pct"/>
            <w:gridSpan w:val="3"/>
            <w:vAlign w:val="center"/>
          </w:tcPr>
          <w:p w14:paraId="73A7DB7C"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评分标准</w:t>
            </w:r>
          </w:p>
        </w:tc>
        <w:tc>
          <w:tcPr>
            <w:tcW w:w="671" w:type="pct"/>
            <w:vAlign w:val="center"/>
          </w:tcPr>
          <w:p w14:paraId="18F90A08"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检查</w:t>
            </w:r>
          </w:p>
          <w:p w14:paraId="379118CB"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方式</w:t>
            </w:r>
          </w:p>
        </w:tc>
        <w:tc>
          <w:tcPr>
            <w:tcW w:w="454" w:type="pct"/>
            <w:vAlign w:val="center"/>
          </w:tcPr>
          <w:p w14:paraId="4DA8E415"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得分</w:t>
            </w:r>
          </w:p>
          <w:p w14:paraId="27053CF3"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情况</w:t>
            </w:r>
          </w:p>
        </w:tc>
        <w:tc>
          <w:tcPr>
            <w:tcW w:w="405" w:type="pct"/>
            <w:vAlign w:val="center"/>
          </w:tcPr>
          <w:p w14:paraId="7F76636E"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检查记录</w:t>
            </w:r>
          </w:p>
        </w:tc>
      </w:tr>
      <w:tr w:rsidR="00DE70BE" w:rsidRPr="00DE70BE" w14:paraId="271F2BAF" w14:textId="77777777">
        <w:trPr>
          <w:trHeight w:val="1492"/>
          <w:jc w:val="center"/>
        </w:trPr>
        <w:tc>
          <w:tcPr>
            <w:tcW w:w="470" w:type="pct"/>
            <w:vMerge w:val="restart"/>
            <w:vAlign w:val="center"/>
          </w:tcPr>
          <w:p w14:paraId="6DB3476B"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实地</w:t>
            </w:r>
          </w:p>
          <w:p w14:paraId="13D68AFD"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查看</w:t>
            </w:r>
          </w:p>
          <w:p w14:paraId="2D0C0096"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w:t>
            </w:r>
            <w:r w:rsidRPr="00DE70BE">
              <w:rPr>
                <w:rFonts w:ascii="Times New Roman" w:eastAsia="方正黑体_GBK" w:hAnsi="Times New Roman" w:cs="宋体" w:hint="eastAsia"/>
                <w:kern w:val="0"/>
                <w:sz w:val="20"/>
                <w:szCs w:val="20"/>
              </w:rPr>
              <w:t>15</w:t>
            </w:r>
            <w:r w:rsidRPr="00DE70BE">
              <w:rPr>
                <w:rFonts w:ascii="Times New Roman" w:eastAsia="方正黑体_GBK" w:hAnsi="Times New Roman" w:cs="宋体" w:hint="eastAsia"/>
                <w:kern w:val="0"/>
                <w:sz w:val="20"/>
                <w:szCs w:val="20"/>
              </w:rPr>
              <w:t>分）</w:t>
            </w:r>
          </w:p>
        </w:tc>
        <w:tc>
          <w:tcPr>
            <w:tcW w:w="399" w:type="pct"/>
            <w:vAlign w:val="center"/>
          </w:tcPr>
          <w:p w14:paraId="0F129BC3"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1</w:t>
            </w:r>
          </w:p>
        </w:tc>
        <w:tc>
          <w:tcPr>
            <w:tcW w:w="1203" w:type="pct"/>
            <w:vAlign w:val="center"/>
          </w:tcPr>
          <w:p w14:paraId="6E11B8F9" w14:textId="77777777" w:rsidR="00C95221" w:rsidRPr="00DE70BE" w:rsidRDefault="00DE70BE">
            <w:pPr>
              <w:overflowPunct w:val="0"/>
              <w:spacing w:line="0" w:lineRule="atLeast"/>
              <w:rPr>
                <w:rFonts w:ascii="Times New Roman" w:eastAsia="方正黑体_GBK" w:hAnsi="Times New Roman" w:cs="宋体"/>
                <w:kern w:val="0"/>
                <w:sz w:val="20"/>
                <w:szCs w:val="20"/>
              </w:rPr>
            </w:pPr>
            <w:r w:rsidRPr="00DE70BE">
              <w:rPr>
                <w:rFonts w:ascii="Times New Roman" w:eastAsia="方正楷体_GBK" w:hAnsi="Times New Roman" w:cs="宋体"/>
                <w:kern w:val="0"/>
                <w:sz w:val="20"/>
                <w:szCs w:val="20"/>
              </w:rPr>
              <w:t>设立面积不得少于</w:t>
            </w:r>
            <w:r w:rsidRPr="00DE70BE">
              <w:rPr>
                <w:rFonts w:ascii="Times New Roman" w:eastAsia="方正楷体_GBK" w:hAnsi="Times New Roman" w:cs="宋体"/>
                <w:kern w:val="0"/>
                <w:sz w:val="20"/>
                <w:szCs w:val="20"/>
              </w:rPr>
              <w:t>30</w:t>
            </w:r>
            <w:r w:rsidRPr="00DE70BE">
              <w:rPr>
                <w:rFonts w:ascii="Times New Roman" w:eastAsia="方正楷体_GBK" w:hAnsi="Times New Roman" w:cs="宋体"/>
                <w:kern w:val="0"/>
                <w:sz w:val="20"/>
                <w:szCs w:val="20"/>
              </w:rPr>
              <w:t>平方米的办公点</w:t>
            </w:r>
            <w:r w:rsidRPr="00DE70BE">
              <w:rPr>
                <w:rFonts w:ascii="Times New Roman" w:eastAsia="方正楷体_GBK" w:hAnsi="Times New Roman" w:cs="宋体" w:hint="eastAsia"/>
                <w:kern w:val="0"/>
                <w:sz w:val="20"/>
                <w:szCs w:val="20"/>
              </w:rPr>
              <w:t>；悬挂中标企业的门牌</w:t>
            </w:r>
            <w:r w:rsidRPr="00DE70BE">
              <w:rPr>
                <w:rFonts w:ascii="Times New Roman" w:eastAsia="方正楷体_GBK" w:hAnsi="Times New Roman" w:cs="宋体" w:hint="eastAsia"/>
                <w:kern w:val="0"/>
                <w:sz w:val="20"/>
                <w:szCs w:val="20"/>
              </w:rPr>
              <w:t>/</w:t>
            </w:r>
            <w:r w:rsidRPr="00DE70BE">
              <w:rPr>
                <w:rFonts w:ascii="Times New Roman" w:eastAsia="方正楷体_GBK" w:hAnsi="Times New Roman" w:cs="宋体" w:hint="eastAsia"/>
                <w:kern w:val="0"/>
                <w:sz w:val="20"/>
                <w:szCs w:val="20"/>
              </w:rPr>
              <w:t>铜牌；办公区域整洁；档案资料分类存放；无安全隐患。</w:t>
            </w:r>
          </w:p>
        </w:tc>
        <w:tc>
          <w:tcPr>
            <w:tcW w:w="304" w:type="pct"/>
            <w:vAlign w:val="center"/>
          </w:tcPr>
          <w:p w14:paraId="3C0B5A58"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5</w:t>
            </w:r>
          </w:p>
        </w:tc>
        <w:tc>
          <w:tcPr>
            <w:tcW w:w="1090" w:type="pct"/>
            <w:gridSpan w:val="3"/>
            <w:vAlign w:val="center"/>
          </w:tcPr>
          <w:p w14:paraId="6CCB67B3"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有一项不达标扣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0881E5E0"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实地查勘、现场拍照存档</w:t>
            </w:r>
          </w:p>
        </w:tc>
        <w:tc>
          <w:tcPr>
            <w:tcW w:w="454" w:type="pct"/>
            <w:vAlign w:val="center"/>
          </w:tcPr>
          <w:p w14:paraId="44BEF4FF"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c>
          <w:tcPr>
            <w:tcW w:w="405" w:type="pct"/>
            <w:vAlign w:val="center"/>
          </w:tcPr>
          <w:p w14:paraId="67EDBD37"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r>
      <w:tr w:rsidR="00DE70BE" w:rsidRPr="00DE70BE" w14:paraId="08225E7F" w14:textId="77777777">
        <w:trPr>
          <w:trHeight w:val="824"/>
          <w:jc w:val="center"/>
        </w:trPr>
        <w:tc>
          <w:tcPr>
            <w:tcW w:w="470" w:type="pct"/>
            <w:vMerge/>
            <w:vAlign w:val="center"/>
          </w:tcPr>
          <w:p w14:paraId="7DCC570D"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tc>
        <w:tc>
          <w:tcPr>
            <w:tcW w:w="399" w:type="pct"/>
            <w:vAlign w:val="center"/>
          </w:tcPr>
          <w:p w14:paraId="6D216740"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2</w:t>
            </w:r>
          </w:p>
        </w:tc>
        <w:tc>
          <w:tcPr>
            <w:tcW w:w="1203" w:type="pct"/>
            <w:vAlign w:val="center"/>
          </w:tcPr>
          <w:p w14:paraId="51DBCE4D" w14:textId="77777777" w:rsidR="00C95221" w:rsidRPr="00DE70BE" w:rsidRDefault="00DE70BE">
            <w:pPr>
              <w:overflowPunct w:val="0"/>
              <w:spacing w:line="0" w:lineRule="atLeast"/>
              <w:rPr>
                <w:rFonts w:ascii="Times New Roman" w:eastAsia="方正黑体_GBK" w:hAnsi="Times New Roman" w:cs="宋体"/>
                <w:kern w:val="0"/>
                <w:sz w:val="20"/>
                <w:szCs w:val="20"/>
              </w:rPr>
            </w:pPr>
            <w:r w:rsidRPr="00DE70BE">
              <w:rPr>
                <w:rFonts w:ascii="Times New Roman" w:eastAsia="方正楷体_GBK" w:hAnsi="Times New Roman" w:cs="宋体" w:hint="eastAsia"/>
                <w:kern w:val="0"/>
                <w:sz w:val="20"/>
                <w:szCs w:val="20"/>
              </w:rPr>
              <w:t>机构财务制度健全，账目清楚，管理规范，专款专用，有专职财务人员。</w:t>
            </w:r>
          </w:p>
        </w:tc>
        <w:tc>
          <w:tcPr>
            <w:tcW w:w="304" w:type="pct"/>
            <w:vAlign w:val="center"/>
          </w:tcPr>
          <w:p w14:paraId="61368766"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5</w:t>
            </w:r>
          </w:p>
        </w:tc>
        <w:tc>
          <w:tcPr>
            <w:tcW w:w="1090" w:type="pct"/>
            <w:gridSpan w:val="3"/>
            <w:vAlign w:val="center"/>
          </w:tcPr>
          <w:p w14:paraId="2E86D94B"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有一项不达标扣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5AE19DFF"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实地查阅财务纸质</w:t>
            </w:r>
            <w:r w:rsidRPr="00DE70BE">
              <w:rPr>
                <w:rFonts w:ascii="Times New Roman" w:eastAsia="方正楷体_GBK" w:hAnsi="Times New Roman" w:cs="宋体" w:hint="eastAsia"/>
                <w:kern w:val="0"/>
                <w:sz w:val="20"/>
                <w:szCs w:val="20"/>
              </w:rPr>
              <w:t>/</w:t>
            </w:r>
            <w:r w:rsidRPr="00DE70BE">
              <w:rPr>
                <w:rFonts w:ascii="Times New Roman" w:eastAsia="方正楷体_GBK" w:hAnsi="Times New Roman" w:cs="宋体" w:hint="eastAsia"/>
                <w:kern w:val="0"/>
                <w:sz w:val="20"/>
                <w:szCs w:val="20"/>
              </w:rPr>
              <w:t>电子台账</w:t>
            </w:r>
          </w:p>
        </w:tc>
        <w:tc>
          <w:tcPr>
            <w:tcW w:w="454" w:type="pct"/>
            <w:vAlign w:val="center"/>
          </w:tcPr>
          <w:p w14:paraId="6FC03E2C"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c>
          <w:tcPr>
            <w:tcW w:w="405" w:type="pct"/>
            <w:vAlign w:val="center"/>
          </w:tcPr>
          <w:p w14:paraId="25ADB610"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r>
      <w:tr w:rsidR="00DE70BE" w:rsidRPr="00DE70BE" w14:paraId="3522C7E2" w14:textId="77777777">
        <w:trPr>
          <w:trHeight w:val="23"/>
          <w:jc w:val="center"/>
        </w:trPr>
        <w:tc>
          <w:tcPr>
            <w:tcW w:w="470" w:type="pct"/>
            <w:vMerge/>
            <w:vAlign w:val="center"/>
          </w:tcPr>
          <w:p w14:paraId="24B4AB6B"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tc>
        <w:tc>
          <w:tcPr>
            <w:tcW w:w="399" w:type="pct"/>
            <w:vAlign w:val="center"/>
          </w:tcPr>
          <w:p w14:paraId="1FDEE28A"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3</w:t>
            </w:r>
          </w:p>
        </w:tc>
        <w:tc>
          <w:tcPr>
            <w:tcW w:w="1203" w:type="pct"/>
            <w:vAlign w:val="center"/>
          </w:tcPr>
          <w:p w14:paraId="4D776FF6"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上门服务工具、清洁耗材、护理辅助用品统一存放、登记领用；应急物资（急救包、防滑用品、消毒用品）配备齐全；物资出入库登记，无挪用、私拿服务物资情况。</w:t>
            </w:r>
          </w:p>
        </w:tc>
        <w:tc>
          <w:tcPr>
            <w:tcW w:w="304" w:type="pct"/>
            <w:vAlign w:val="center"/>
          </w:tcPr>
          <w:p w14:paraId="348752B6"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5</w:t>
            </w:r>
          </w:p>
        </w:tc>
        <w:tc>
          <w:tcPr>
            <w:tcW w:w="1090" w:type="pct"/>
            <w:gridSpan w:val="3"/>
            <w:vAlign w:val="center"/>
          </w:tcPr>
          <w:p w14:paraId="3E4C56B6"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物资不齐全、领用出入库记录不完整扣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分；缺少应急物资扣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分；无领用登记、私拿耗材每项扣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51C463B8"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实地盘点物资、查阅出入库台账</w:t>
            </w:r>
          </w:p>
        </w:tc>
        <w:tc>
          <w:tcPr>
            <w:tcW w:w="454" w:type="pct"/>
            <w:vAlign w:val="center"/>
          </w:tcPr>
          <w:p w14:paraId="7B866F38"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c>
          <w:tcPr>
            <w:tcW w:w="405" w:type="pct"/>
            <w:vAlign w:val="center"/>
          </w:tcPr>
          <w:p w14:paraId="1EF7F1A6"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r>
      <w:tr w:rsidR="00DE70BE" w:rsidRPr="00DE70BE" w14:paraId="2D7B4065" w14:textId="77777777">
        <w:trPr>
          <w:trHeight w:val="23"/>
          <w:jc w:val="center"/>
        </w:trPr>
        <w:tc>
          <w:tcPr>
            <w:tcW w:w="470" w:type="pct"/>
            <w:vMerge w:val="restart"/>
            <w:vAlign w:val="center"/>
          </w:tcPr>
          <w:p w14:paraId="510DDD7F"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6E7B10E2"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5EEB3396"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76172CDD"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5D2B0BBB"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0B43E239"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系统</w:t>
            </w:r>
          </w:p>
          <w:p w14:paraId="4FC6F1DC"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核验</w:t>
            </w:r>
          </w:p>
          <w:p w14:paraId="614C085A"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w:t>
            </w:r>
            <w:r w:rsidRPr="00DE70BE">
              <w:rPr>
                <w:rFonts w:ascii="Times New Roman" w:eastAsia="方正黑体_GBK" w:hAnsi="Times New Roman" w:cs="宋体" w:hint="eastAsia"/>
                <w:kern w:val="0"/>
                <w:sz w:val="20"/>
                <w:szCs w:val="20"/>
              </w:rPr>
              <w:t>50</w:t>
            </w:r>
            <w:r w:rsidRPr="00DE70BE">
              <w:rPr>
                <w:rFonts w:ascii="Times New Roman" w:eastAsia="方正黑体_GBK" w:hAnsi="Times New Roman" w:cs="宋体" w:hint="eastAsia"/>
                <w:kern w:val="0"/>
                <w:sz w:val="20"/>
                <w:szCs w:val="20"/>
              </w:rPr>
              <w:t>分）</w:t>
            </w:r>
          </w:p>
          <w:p w14:paraId="32B6E267"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4BE0537F"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487AE6C3"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3606229B"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77FEDA65"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2B440E2E"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110B03A6"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47877FF0"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53749BD8"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5D33F93A"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4295DD9E"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0FAD965C"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599440B6"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1786126A"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7E83E0A6"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72069CA5"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39155F53"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35DE411C"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740BF10F"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378A8EF9"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010EB466" w14:textId="77777777" w:rsidR="00C95221" w:rsidRPr="00DE70BE" w:rsidRDefault="00C95221">
            <w:pPr>
              <w:overflowPunct w:val="0"/>
              <w:spacing w:line="0" w:lineRule="atLeast"/>
              <w:ind w:leftChars="-15" w:left="-31" w:rightChars="-15" w:right="-31"/>
              <w:jc w:val="center"/>
              <w:rPr>
                <w:rFonts w:ascii="Times New Roman" w:eastAsia="方正黑体_GBK" w:hAnsi="Times New Roman" w:cs="宋体"/>
                <w:kern w:val="0"/>
                <w:sz w:val="20"/>
                <w:szCs w:val="20"/>
              </w:rPr>
            </w:pPr>
          </w:p>
          <w:p w14:paraId="66672D78"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系统</w:t>
            </w:r>
          </w:p>
          <w:p w14:paraId="39176FAD"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核验</w:t>
            </w:r>
          </w:p>
          <w:p w14:paraId="7D4E8E23" w14:textId="77777777" w:rsidR="00C95221" w:rsidRPr="00DE70BE" w:rsidRDefault="00DE70BE">
            <w:pPr>
              <w:overflowPunct w:val="0"/>
              <w:spacing w:line="0" w:lineRule="atLeast"/>
              <w:ind w:leftChars="-15" w:left="-31" w:rightChars="-15" w:right="-31"/>
              <w:jc w:val="center"/>
              <w:rPr>
                <w:rFonts w:ascii="Times New Roman" w:eastAsia="方正楷体_GBK" w:hAnsi="Times New Roman" w:cs="宋体"/>
                <w:kern w:val="0"/>
                <w:sz w:val="20"/>
                <w:szCs w:val="20"/>
              </w:rPr>
            </w:pPr>
            <w:r w:rsidRPr="00DE70BE">
              <w:rPr>
                <w:rFonts w:ascii="Times New Roman" w:eastAsia="方正黑体_GBK" w:hAnsi="Times New Roman" w:cs="宋体" w:hint="eastAsia"/>
                <w:kern w:val="0"/>
                <w:sz w:val="20"/>
                <w:szCs w:val="20"/>
              </w:rPr>
              <w:t>（</w:t>
            </w:r>
            <w:r w:rsidRPr="00DE70BE">
              <w:rPr>
                <w:rFonts w:ascii="Times New Roman" w:eastAsia="方正黑体_GBK" w:hAnsi="Times New Roman" w:cs="宋体" w:hint="eastAsia"/>
                <w:kern w:val="0"/>
                <w:sz w:val="20"/>
                <w:szCs w:val="20"/>
              </w:rPr>
              <w:t>50</w:t>
            </w:r>
            <w:r w:rsidRPr="00DE70BE">
              <w:rPr>
                <w:rFonts w:ascii="Times New Roman" w:eastAsia="方正黑体_GBK" w:hAnsi="Times New Roman" w:cs="宋体" w:hint="eastAsia"/>
                <w:kern w:val="0"/>
                <w:sz w:val="20"/>
                <w:szCs w:val="20"/>
              </w:rPr>
              <w:t>分）</w:t>
            </w:r>
          </w:p>
        </w:tc>
        <w:tc>
          <w:tcPr>
            <w:tcW w:w="399" w:type="pct"/>
            <w:vAlign w:val="center"/>
          </w:tcPr>
          <w:p w14:paraId="546E141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lastRenderedPageBreak/>
              <w:t>4</w:t>
            </w:r>
          </w:p>
        </w:tc>
        <w:tc>
          <w:tcPr>
            <w:tcW w:w="1203" w:type="pct"/>
            <w:vAlign w:val="center"/>
          </w:tcPr>
          <w:p w14:paraId="0C072CBD"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机构应建立健全行政管理、服务、财务、档案和信息管理、应急预案等方面的规章制度。</w:t>
            </w:r>
          </w:p>
        </w:tc>
        <w:tc>
          <w:tcPr>
            <w:tcW w:w="304" w:type="pct"/>
            <w:vAlign w:val="center"/>
          </w:tcPr>
          <w:p w14:paraId="1FC5DB62"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4A9A5DEE"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缺一项扣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2E791729"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查看系统中上传资料图片</w:t>
            </w:r>
          </w:p>
        </w:tc>
        <w:tc>
          <w:tcPr>
            <w:tcW w:w="454" w:type="pct"/>
            <w:vAlign w:val="center"/>
          </w:tcPr>
          <w:p w14:paraId="7233D53C"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6EDD7D2F"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1F7DDE76" w14:textId="77777777">
        <w:trPr>
          <w:trHeight w:val="23"/>
          <w:jc w:val="center"/>
        </w:trPr>
        <w:tc>
          <w:tcPr>
            <w:tcW w:w="470" w:type="pct"/>
            <w:vMerge/>
            <w:vAlign w:val="center"/>
          </w:tcPr>
          <w:p w14:paraId="00098DE0"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0696AB25"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203" w:type="pct"/>
            <w:vAlign w:val="center"/>
          </w:tcPr>
          <w:p w14:paraId="6E233CA9"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制定服务内容、服务标准、服务流程和工作职责。机构设立服务投诉渠道，公布投诉电话，建立健全流程处理制度。</w:t>
            </w:r>
          </w:p>
        </w:tc>
        <w:tc>
          <w:tcPr>
            <w:tcW w:w="304" w:type="pct"/>
            <w:vAlign w:val="center"/>
          </w:tcPr>
          <w:p w14:paraId="1C0D779A"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1E0AB447"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服务项目、工作流程等信息未系统公示，扣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分；未设立投诉电话、未制定投诉处理工作规范的，扣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分；一周时限内有效投诉结案率未达</w:t>
            </w: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的扣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w:t>
            </w:r>
          </w:p>
        </w:tc>
        <w:tc>
          <w:tcPr>
            <w:tcW w:w="671" w:type="pct"/>
            <w:vAlign w:val="center"/>
          </w:tcPr>
          <w:p w14:paraId="4FED9C07"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查看系统中上传资料图片</w:t>
            </w:r>
          </w:p>
        </w:tc>
        <w:tc>
          <w:tcPr>
            <w:tcW w:w="454" w:type="pct"/>
            <w:vAlign w:val="center"/>
          </w:tcPr>
          <w:p w14:paraId="1B8733AB"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67611EE1"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5060E699" w14:textId="77777777">
        <w:trPr>
          <w:trHeight w:val="90"/>
          <w:jc w:val="center"/>
        </w:trPr>
        <w:tc>
          <w:tcPr>
            <w:tcW w:w="470" w:type="pct"/>
            <w:vMerge/>
            <w:vAlign w:val="center"/>
          </w:tcPr>
          <w:p w14:paraId="7CCA5221"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041164CF"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6</w:t>
            </w:r>
          </w:p>
        </w:tc>
        <w:tc>
          <w:tcPr>
            <w:tcW w:w="1203" w:type="pct"/>
            <w:vAlign w:val="center"/>
          </w:tcPr>
          <w:p w14:paraId="48E43CCB"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人员配备符合银龄卡项目相关要求；机构为所有服务人员除依法应缴纳的社会保险外，必须购买团体意外险等保险；服务人员应</w:t>
            </w: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持健康证上岗。</w:t>
            </w:r>
          </w:p>
        </w:tc>
        <w:tc>
          <w:tcPr>
            <w:tcW w:w="304" w:type="pct"/>
            <w:vAlign w:val="center"/>
          </w:tcPr>
          <w:p w14:paraId="4E7560EB"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142027E2"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总负责人、项目经理、财务人员均不少于</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人，不达标扣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分；未按要求与服务人员签订相关劳动</w:t>
            </w:r>
            <w:r w:rsidRPr="00DE70BE">
              <w:rPr>
                <w:rFonts w:ascii="Times New Roman" w:eastAsia="方正楷体_GBK" w:hAnsi="Times New Roman" w:cs="宋体" w:hint="eastAsia"/>
                <w:kern w:val="0"/>
                <w:sz w:val="20"/>
                <w:szCs w:val="20"/>
              </w:rPr>
              <w:t>/</w:t>
            </w:r>
            <w:r w:rsidRPr="00DE70BE">
              <w:rPr>
                <w:rFonts w:ascii="Times New Roman" w:eastAsia="方正楷体_GBK" w:hAnsi="Times New Roman" w:cs="宋体" w:hint="eastAsia"/>
                <w:kern w:val="0"/>
                <w:sz w:val="20"/>
                <w:szCs w:val="20"/>
              </w:rPr>
              <w:t>劳务合同，扣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分；未依法为可缴纳社会保险的服务人</w:t>
            </w:r>
            <w:r w:rsidRPr="00DE70BE">
              <w:rPr>
                <w:rFonts w:ascii="Times New Roman" w:eastAsia="方正楷体_GBK" w:hAnsi="Times New Roman" w:cs="宋体" w:hint="eastAsia"/>
                <w:kern w:val="0"/>
                <w:sz w:val="20"/>
                <w:szCs w:val="20"/>
              </w:rPr>
              <w:lastRenderedPageBreak/>
              <w:t>员缴纳社会保险，扣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分；未给服务人员购买团体意外险等保险，扣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w:t>
            </w: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持健康证上岗，扣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6F8AD857"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lastRenderedPageBreak/>
              <w:t>查看系统中上传资料图片；核查服务项目人员配比，</w:t>
            </w:r>
            <w:r w:rsidRPr="00DE70BE">
              <w:rPr>
                <w:rFonts w:ascii="Times New Roman" w:eastAsia="方正楷体_GBK" w:hAnsi="Times New Roman" w:cs="宋体" w:hint="eastAsia"/>
                <w:kern w:val="0"/>
                <w:sz w:val="20"/>
                <w:szCs w:val="20"/>
              </w:rPr>
              <w:t>1-7</w:t>
            </w:r>
            <w:r w:rsidRPr="00DE70BE">
              <w:rPr>
                <w:rFonts w:ascii="Times New Roman" w:eastAsia="方正楷体_GBK" w:hAnsi="Times New Roman" w:cs="宋体" w:hint="eastAsia"/>
                <w:kern w:val="0"/>
                <w:sz w:val="20"/>
                <w:szCs w:val="20"/>
              </w:rPr>
              <w:t>类服务项目每项不少于</w:t>
            </w:r>
            <w:r w:rsidRPr="00DE70BE">
              <w:rPr>
                <w:rFonts w:ascii="Times New Roman" w:eastAsia="方正楷体_GBK" w:hAnsi="Times New Roman" w:cs="宋体" w:hint="eastAsia"/>
                <w:kern w:val="0"/>
                <w:sz w:val="20"/>
                <w:szCs w:val="20"/>
              </w:rPr>
              <w:t>5</w:t>
            </w:r>
            <w:r w:rsidRPr="00DE70BE">
              <w:rPr>
                <w:rFonts w:ascii="Times New Roman" w:eastAsia="方正楷体_GBK" w:hAnsi="Times New Roman" w:cs="宋体" w:hint="eastAsia"/>
                <w:kern w:val="0"/>
                <w:sz w:val="20"/>
                <w:szCs w:val="20"/>
              </w:rPr>
              <w:t>人。</w:t>
            </w:r>
          </w:p>
        </w:tc>
        <w:tc>
          <w:tcPr>
            <w:tcW w:w="454" w:type="pct"/>
            <w:vAlign w:val="center"/>
          </w:tcPr>
          <w:p w14:paraId="32FE13B4"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358D3B67"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1647DA98" w14:textId="77777777">
        <w:trPr>
          <w:trHeight w:val="2479"/>
          <w:jc w:val="center"/>
        </w:trPr>
        <w:tc>
          <w:tcPr>
            <w:tcW w:w="470" w:type="pct"/>
            <w:vMerge/>
            <w:vAlign w:val="center"/>
          </w:tcPr>
          <w:p w14:paraId="25119A7B"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61E662A4"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7</w:t>
            </w:r>
          </w:p>
        </w:tc>
        <w:tc>
          <w:tcPr>
            <w:tcW w:w="1203" w:type="pct"/>
            <w:vAlign w:val="center"/>
          </w:tcPr>
          <w:p w14:paraId="2C79096B"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服务人员</w:t>
            </w: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培训上岗，专业助洁（油烟机、洗衣机、空调清理等）、康复护理、社会工作等特殊工种服务人员须有国家规定的职业资格证书或相应的培训资历证明。</w:t>
            </w:r>
          </w:p>
        </w:tc>
        <w:tc>
          <w:tcPr>
            <w:tcW w:w="304" w:type="pct"/>
            <w:vAlign w:val="center"/>
          </w:tcPr>
          <w:p w14:paraId="01C294A3"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4C24D264"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未</w:t>
            </w: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培训达标，扣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分；每发现</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例未持证上岗情况，扣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分，扣完为止。</w:t>
            </w:r>
          </w:p>
        </w:tc>
        <w:tc>
          <w:tcPr>
            <w:tcW w:w="671" w:type="pct"/>
            <w:vAlign w:val="center"/>
          </w:tcPr>
          <w:p w14:paraId="347D3341"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查看系统中上传资料图片。</w:t>
            </w:r>
          </w:p>
        </w:tc>
        <w:tc>
          <w:tcPr>
            <w:tcW w:w="454" w:type="pct"/>
            <w:vAlign w:val="center"/>
          </w:tcPr>
          <w:p w14:paraId="43471104"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6B33972B"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5B281F75" w14:textId="77777777">
        <w:trPr>
          <w:trHeight w:val="1762"/>
          <w:jc w:val="center"/>
        </w:trPr>
        <w:tc>
          <w:tcPr>
            <w:tcW w:w="470" w:type="pct"/>
            <w:vMerge/>
            <w:vAlign w:val="center"/>
          </w:tcPr>
          <w:p w14:paraId="341D730D"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1DDFAD5B"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8</w:t>
            </w:r>
          </w:p>
        </w:tc>
        <w:tc>
          <w:tcPr>
            <w:tcW w:w="1203" w:type="pct"/>
            <w:vAlign w:val="center"/>
          </w:tcPr>
          <w:p w14:paraId="19D76B97"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机构对平台的派单需在规定时间内响应，接单后在规定的时间内上门开展服务，不得无故延迟和拒单。</w:t>
            </w:r>
          </w:p>
        </w:tc>
        <w:tc>
          <w:tcPr>
            <w:tcW w:w="304" w:type="pct"/>
            <w:vAlign w:val="center"/>
          </w:tcPr>
          <w:p w14:paraId="0F24B1DC"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15</w:t>
            </w:r>
          </w:p>
        </w:tc>
        <w:tc>
          <w:tcPr>
            <w:tcW w:w="1090" w:type="pct"/>
            <w:gridSpan w:val="3"/>
            <w:vAlign w:val="center"/>
          </w:tcPr>
          <w:p w14:paraId="3B64C854"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每季度无理由拒单、超时接单均不超过</w:t>
            </w:r>
            <w:r w:rsidRPr="00DE70BE">
              <w:rPr>
                <w:rFonts w:ascii="Times New Roman" w:eastAsia="方正楷体_GBK" w:hAnsi="Times New Roman" w:cs="宋体" w:hint="eastAsia"/>
                <w:kern w:val="0"/>
                <w:sz w:val="20"/>
                <w:szCs w:val="20"/>
              </w:rPr>
              <w:t>5</w:t>
            </w:r>
            <w:r w:rsidRPr="00DE70BE">
              <w:rPr>
                <w:rFonts w:ascii="Times New Roman" w:eastAsia="方正楷体_GBK" w:hAnsi="Times New Roman" w:cs="宋体" w:hint="eastAsia"/>
                <w:kern w:val="0"/>
                <w:sz w:val="20"/>
                <w:szCs w:val="20"/>
              </w:rPr>
              <w:t>次，超过一次，扣</w:t>
            </w:r>
            <w:r w:rsidRPr="00DE70BE">
              <w:rPr>
                <w:rFonts w:ascii="Times New Roman" w:eastAsia="方正楷体_GBK" w:hAnsi="Times New Roman" w:cs="宋体" w:hint="eastAsia"/>
                <w:kern w:val="0"/>
                <w:sz w:val="20"/>
                <w:szCs w:val="20"/>
              </w:rPr>
              <w:t>3</w:t>
            </w:r>
            <w:r w:rsidRPr="00DE70BE">
              <w:rPr>
                <w:rFonts w:ascii="Times New Roman" w:eastAsia="方正楷体_GBK" w:hAnsi="Times New Roman" w:cs="宋体" w:hint="eastAsia"/>
                <w:kern w:val="0"/>
                <w:sz w:val="20"/>
                <w:szCs w:val="20"/>
              </w:rPr>
              <w:t>分，扣完为止。</w:t>
            </w:r>
          </w:p>
        </w:tc>
        <w:tc>
          <w:tcPr>
            <w:tcW w:w="671" w:type="pct"/>
            <w:vAlign w:val="center"/>
          </w:tcPr>
          <w:p w14:paraId="389006BC"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平台统计数据。</w:t>
            </w:r>
          </w:p>
        </w:tc>
        <w:tc>
          <w:tcPr>
            <w:tcW w:w="454" w:type="pct"/>
            <w:vAlign w:val="center"/>
          </w:tcPr>
          <w:p w14:paraId="1F4380AD"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18263365"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6F4C0F05" w14:textId="77777777">
        <w:trPr>
          <w:trHeight w:val="1313"/>
          <w:jc w:val="center"/>
        </w:trPr>
        <w:tc>
          <w:tcPr>
            <w:tcW w:w="470" w:type="pct"/>
            <w:vMerge/>
            <w:vAlign w:val="center"/>
          </w:tcPr>
          <w:p w14:paraId="5A660EC1"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72C21424"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9</w:t>
            </w:r>
          </w:p>
        </w:tc>
        <w:tc>
          <w:tcPr>
            <w:tcW w:w="1203" w:type="pct"/>
            <w:vAlign w:val="center"/>
          </w:tcPr>
          <w:p w14:paraId="03EB7948"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核查系统服务工单定位、照片拍摄等流程规范。</w:t>
            </w:r>
          </w:p>
        </w:tc>
        <w:tc>
          <w:tcPr>
            <w:tcW w:w="304" w:type="pct"/>
            <w:vAlign w:val="center"/>
          </w:tcPr>
          <w:p w14:paraId="725023A6"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15</w:t>
            </w:r>
          </w:p>
        </w:tc>
        <w:tc>
          <w:tcPr>
            <w:tcW w:w="1090" w:type="pct"/>
            <w:gridSpan w:val="3"/>
            <w:vAlign w:val="center"/>
          </w:tcPr>
          <w:p w14:paraId="73152A9D"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发现不合规工单、脱岗工单，有</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个扣</w:t>
            </w:r>
            <w:r w:rsidRPr="00DE70BE">
              <w:rPr>
                <w:rFonts w:ascii="Times New Roman" w:eastAsia="方正楷体_GBK" w:hAnsi="Times New Roman" w:cs="宋体" w:hint="eastAsia"/>
                <w:kern w:val="0"/>
                <w:sz w:val="20"/>
                <w:szCs w:val="20"/>
              </w:rPr>
              <w:t>3</w:t>
            </w:r>
            <w:r w:rsidRPr="00DE70BE">
              <w:rPr>
                <w:rFonts w:ascii="Times New Roman" w:eastAsia="方正楷体_GBK" w:hAnsi="Times New Roman" w:cs="宋体" w:hint="eastAsia"/>
                <w:kern w:val="0"/>
                <w:sz w:val="20"/>
                <w:szCs w:val="20"/>
              </w:rPr>
              <w:t>分；发现虚假工单，此项不得分。</w:t>
            </w:r>
          </w:p>
        </w:tc>
        <w:tc>
          <w:tcPr>
            <w:tcW w:w="671" w:type="pct"/>
            <w:vAlign w:val="center"/>
          </w:tcPr>
          <w:p w14:paraId="72FB41E7"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随机抽查。</w:t>
            </w:r>
          </w:p>
        </w:tc>
        <w:tc>
          <w:tcPr>
            <w:tcW w:w="454" w:type="pct"/>
            <w:vAlign w:val="center"/>
          </w:tcPr>
          <w:p w14:paraId="29E9BACD"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7F9768F0"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66D804B3" w14:textId="77777777">
        <w:trPr>
          <w:trHeight w:val="1762"/>
          <w:jc w:val="center"/>
        </w:trPr>
        <w:tc>
          <w:tcPr>
            <w:tcW w:w="470" w:type="pct"/>
            <w:vMerge w:val="restart"/>
            <w:vAlign w:val="center"/>
          </w:tcPr>
          <w:p w14:paraId="4638799F"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入户</w:t>
            </w:r>
          </w:p>
          <w:p w14:paraId="688AB8C7"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电话</w:t>
            </w:r>
          </w:p>
          <w:p w14:paraId="606796D9"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核查</w:t>
            </w:r>
          </w:p>
          <w:p w14:paraId="5CFA449E" w14:textId="77777777" w:rsidR="00C95221" w:rsidRPr="00DE70BE" w:rsidRDefault="00DE70BE">
            <w:pPr>
              <w:overflowPunct w:val="0"/>
              <w:spacing w:line="0" w:lineRule="atLeast"/>
              <w:ind w:leftChars="-15" w:left="-31" w:rightChars="-15" w:right="-31"/>
              <w:jc w:val="center"/>
              <w:rPr>
                <w:rFonts w:ascii="Times New Roman" w:eastAsia="方正楷体_GBK" w:hAnsi="Times New Roman" w:cs="宋体"/>
                <w:kern w:val="0"/>
                <w:sz w:val="20"/>
                <w:szCs w:val="20"/>
              </w:rPr>
            </w:pPr>
            <w:r w:rsidRPr="00DE70BE">
              <w:rPr>
                <w:rFonts w:ascii="Times New Roman" w:eastAsia="方正黑体_GBK" w:hAnsi="Times New Roman" w:cs="宋体" w:hint="eastAsia"/>
                <w:kern w:val="0"/>
                <w:sz w:val="20"/>
                <w:szCs w:val="20"/>
              </w:rPr>
              <w:t>（</w:t>
            </w:r>
            <w:r w:rsidRPr="00DE70BE">
              <w:rPr>
                <w:rFonts w:ascii="Times New Roman" w:eastAsia="方正黑体_GBK" w:hAnsi="Times New Roman" w:cs="宋体" w:hint="eastAsia"/>
                <w:kern w:val="0"/>
                <w:sz w:val="20"/>
                <w:szCs w:val="20"/>
              </w:rPr>
              <w:t>15</w:t>
            </w:r>
            <w:r w:rsidRPr="00DE70BE">
              <w:rPr>
                <w:rFonts w:ascii="Times New Roman" w:eastAsia="方正黑体_GBK" w:hAnsi="Times New Roman" w:cs="宋体" w:hint="eastAsia"/>
                <w:kern w:val="0"/>
                <w:sz w:val="20"/>
                <w:szCs w:val="20"/>
              </w:rPr>
              <w:t>分）</w:t>
            </w:r>
          </w:p>
        </w:tc>
        <w:tc>
          <w:tcPr>
            <w:tcW w:w="399" w:type="pct"/>
            <w:vAlign w:val="center"/>
          </w:tcPr>
          <w:p w14:paraId="588FDE05"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10</w:t>
            </w:r>
          </w:p>
        </w:tc>
        <w:tc>
          <w:tcPr>
            <w:tcW w:w="1203" w:type="pct"/>
            <w:vAlign w:val="center"/>
          </w:tcPr>
          <w:p w14:paraId="2E3CBEBE"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服务人员应统一着装，挂牌上岗，语言文明，服务周到；严格按照《江阴市居家养老服务流程规范及评分标准》开展服务。</w:t>
            </w:r>
          </w:p>
        </w:tc>
        <w:tc>
          <w:tcPr>
            <w:tcW w:w="304" w:type="pct"/>
            <w:vAlign w:val="center"/>
          </w:tcPr>
          <w:p w14:paraId="65786FB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74362DE6"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服务人员未统一着装，挂牌上岗，发现一例扣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分；未按流程规范操作，发现一例扣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7357C7B6"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实地查看结合平台调取信息。</w:t>
            </w:r>
          </w:p>
        </w:tc>
        <w:tc>
          <w:tcPr>
            <w:tcW w:w="454" w:type="pct"/>
            <w:vAlign w:val="center"/>
          </w:tcPr>
          <w:p w14:paraId="7BEBA20E"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346AD8CE"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1F3D1AF5" w14:textId="77777777">
        <w:trPr>
          <w:trHeight w:val="1298"/>
          <w:jc w:val="center"/>
        </w:trPr>
        <w:tc>
          <w:tcPr>
            <w:tcW w:w="470" w:type="pct"/>
            <w:vMerge/>
            <w:vAlign w:val="center"/>
          </w:tcPr>
          <w:p w14:paraId="39094A11" w14:textId="77777777" w:rsidR="00C95221" w:rsidRPr="00DE70BE" w:rsidRDefault="00C95221">
            <w:pPr>
              <w:overflowPunct w:val="0"/>
              <w:spacing w:line="0" w:lineRule="atLeast"/>
              <w:ind w:leftChars="-15" w:left="-31" w:rightChars="-15" w:right="-31" w:firstLineChars="200" w:firstLine="400"/>
              <w:rPr>
                <w:rFonts w:ascii="Times New Roman" w:eastAsia="方正楷体_GBK" w:hAnsi="Times New Roman" w:cs="宋体"/>
                <w:kern w:val="0"/>
                <w:sz w:val="20"/>
                <w:szCs w:val="20"/>
              </w:rPr>
            </w:pPr>
          </w:p>
        </w:tc>
        <w:tc>
          <w:tcPr>
            <w:tcW w:w="399" w:type="pct"/>
            <w:vAlign w:val="center"/>
          </w:tcPr>
          <w:p w14:paraId="0E8A05FB"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11</w:t>
            </w:r>
          </w:p>
        </w:tc>
        <w:tc>
          <w:tcPr>
            <w:tcW w:w="1203" w:type="pct"/>
            <w:vAlign w:val="center"/>
          </w:tcPr>
          <w:p w14:paraId="20ABC9C5"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现场核查或电话回访服务人员服务规范、服务流程等；现场或电话开展满意度调查。</w:t>
            </w:r>
          </w:p>
        </w:tc>
        <w:tc>
          <w:tcPr>
            <w:tcW w:w="304" w:type="pct"/>
            <w:vAlign w:val="center"/>
          </w:tcPr>
          <w:p w14:paraId="6257B11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10</w:t>
            </w:r>
          </w:p>
        </w:tc>
        <w:tc>
          <w:tcPr>
            <w:tcW w:w="1090" w:type="pct"/>
            <w:gridSpan w:val="3"/>
            <w:vAlign w:val="center"/>
          </w:tcPr>
          <w:p w14:paraId="331185A8"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发现不合规工单、脱岗工单，有</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个扣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分；发现虚假工单、不满意工单，此项不得分。</w:t>
            </w:r>
          </w:p>
        </w:tc>
        <w:tc>
          <w:tcPr>
            <w:tcW w:w="671" w:type="pct"/>
            <w:vAlign w:val="center"/>
          </w:tcPr>
          <w:p w14:paraId="0C70D7CE"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实地抽查或电话回访。</w:t>
            </w:r>
          </w:p>
        </w:tc>
        <w:tc>
          <w:tcPr>
            <w:tcW w:w="454" w:type="pct"/>
            <w:vAlign w:val="center"/>
          </w:tcPr>
          <w:p w14:paraId="729DF0FD"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2030539F"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2118A013" w14:textId="77777777">
        <w:trPr>
          <w:trHeight w:val="1120"/>
          <w:jc w:val="center"/>
        </w:trPr>
        <w:tc>
          <w:tcPr>
            <w:tcW w:w="470" w:type="pct"/>
            <w:vMerge w:val="restart"/>
            <w:vAlign w:val="center"/>
          </w:tcPr>
          <w:p w14:paraId="6C97F969"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社会</w:t>
            </w:r>
          </w:p>
          <w:p w14:paraId="33B9C4FA" w14:textId="77777777" w:rsidR="00C95221" w:rsidRPr="00DE70BE" w:rsidRDefault="00DE70BE">
            <w:pPr>
              <w:overflowPunct w:val="0"/>
              <w:spacing w:line="0" w:lineRule="atLeast"/>
              <w:ind w:leftChars="-15" w:left="-31" w:rightChars="-15" w:right="-31"/>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评价</w:t>
            </w:r>
          </w:p>
          <w:p w14:paraId="3B0C3C34" w14:textId="77777777" w:rsidR="00C95221" w:rsidRPr="00DE70BE" w:rsidRDefault="00DE70BE">
            <w:pPr>
              <w:overflowPunct w:val="0"/>
              <w:spacing w:line="0" w:lineRule="atLeast"/>
              <w:ind w:leftChars="-15" w:left="-31" w:rightChars="-15" w:right="-31"/>
              <w:jc w:val="center"/>
              <w:rPr>
                <w:rFonts w:ascii="Times New Roman" w:eastAsia="方正楷体_GBK" w:hAnsi="Times New Roman" w:cs="宋体"/>
                <w:kern w:val="0"/>
                <w:sz w:val="20"/>
                <w:szCs w:val="20"/>
              </w:rPr>
            </w:pPr>
            <w:r w:rsidRPr="00DE70BE">
              <w:rPr>
                <w:rFonts w:ascii="Times New Roman" w:eastAsia="方正黑体_GBK" w:hAnsi="Times New Roman" w:cs="宋体" w:hint="eastAsia"/>
                <w:kern w:val="0"/>
                <w:sz w:val="20"/>
                <w:szCs w:val="20"/>
              </w:rPr>
              <w:t>（</w:t>
            </w:r>
            <w:r w:rsidRPr="00DE70BE">
              <w:rPr>
                <w:rFonts w:ascii="Times New Roman" w:eastAsia="方正黑体_GBK" w:hAnsi="Times New Roman" w:cs="宋体" w:hint="eastAsia"/>
                <w:kern w:val="0"/>
                <w:sz w:val="20"/>
                <w:szCs w:val="20"/>
              </w:rPr>
              <w:t>20</w:t>
            </w:r>
            <w:r w:rsidRPr="00DE70BE">
              <w:rPr>
                <w:rFonts w:ascii="Times New Roman" w:eastAsia="方正黑体_GBK" w:hAnsi="Times New Roman" w:cs="宋体" w:hint="eastAsia"/>
                <w:kern w:val="0"/>
                <w:sz w:val="20"/>
                <w:szCs w:val="20"/>
              </w:rPr>
              <w:t>分）</w:t>
            </w:r>
          </w:p>
        </w:tc>
        <w:tc>
          <w:tcPr>
            <w:tcW w:w="399" w:type="pct"/>
            <w:vAlign w:val="center"/>
          </w:tcPr>
          <w:p w14:paraId="03B1693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12</w:t>
            </w:r>
          </w:p>
        </w:tc>
        <w:tc>
          <w:tcPr>
            <w:tcW w:w="1203" w:type="pct"/>
            <w:vAlign w:val="center"/>
          </w:tcPr>
          <w:p w14:paraId="5798A2FF"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考评周期内，无服务对象的有效投诉。</w:t>
            </w:r>
          </w:p>
        </w:tc>
        <w:tc>
          <w:tcPr>
            <w:tcW w:w="304" w:type="pct"/>
            <w:vAlign w:val="center"/>
          </w:tcPr>
          <w:p w14:paraId="6FCBEC30"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10</w:t>
            </w:r>
          </w:p>
        </w:tc>
        <w:tc>
          <w:tcPr>
            <w:tcW w:w="1090" w:type="pct"/>
            <w:gridSpan w:val="3"/>
            <w:vAlign w:val="center"/>
          </w:tcPr>
          <w:p w14:paraId="65FB5BF2"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有效投诉每发生</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起，扣</w:t>
            </w:r>
            <w:r w:rsidRPr="00DE70BE">
              <w:rPr>
                <w:rFonts w:ascii="Times New Roman" w:eastAsia="方正楷体_GBK" w:hAnsi="Times New Roman" w:cs="宋体" w:hint="eastAsia"/>
                <w:kern w:val="0"/>
                <w:sz w:val="20"/>
                <w:szCs w:val="20"/>
              </w:rPr>
              <w:t>2</w:t>
            </w:r>
            <w:r w:rsidRPr="00DE70BE">
              <w:rPr>
                <w:rFonts w:ascii="Times New Roman" w:eastAsia="方正楷体_GBK" w:hAnsi="Times New Roman" w:cs="宋体" w:hint="eastAsia"/>
                <w:kern w:val="0"/>
                <w:sz w:val="20"/>
                <w:szCs w:val="20"/>
              </w:rPr>
              <w:t>分。造成不良社会影响的，不得分。</w:t>
            </w:r>
          </w:p>
        </w:tc>
        <w:tc>
          <w:tcPr>
            <w:tcW w:w="671" w:type="pct"/>
            <w:vAlign w:val="center"/>
          </w:tcPr>
          <w:p w14:paraId="15FEC9CE"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核查投诉记录及相关材料。</w:t>
            </w:r>
          </w:p>
        </w:tc>
        <w:tc>
          <w:tcPr>
            <w:tcW w:w="454" w:type="pct"/>
            <w:vAlign w:val="center"/>
          </w:tcPr>
          <w:p w14:paraId="50E9F8DD"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c>
          <w:tcPr>
            <w:tcW w:w="405" w:type="pct"/>
            <w:vAlign w:val="center"/>
          </w:tcPr>
          <w:p w14:paraId="11661043"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7ED7FDB9" w14:textId="77777777">
        <w:trPr>
          <w:trHeight w:val="1180"/>
          <w:jc w:val="center"/>
        </w:trPr>
        <w:tc>
          <w:tcPr>
            <w:tcW w:w="470" w:type="pct"/>
            <w:vMerge/>
            <w:vAlign w:val="center"/>
          </w:tcPr>
          <w:p w14:paraId="0CB0A3A5" w14:textId="77777777" w:rsidR="00C95221" w:rsidRPr="00DE70BE" w:rsidRDefault="00C95221">
            <w:pPr>
              <w:overflowPunct w:val="0"/>
              <w:spacing w:line="0" w:lineRule="atLeast"/>
              <w:jc w:val="center"/>
              <w:rPr>
                <w:rFonts w:ascii="Times New Roman" w:eastAsia="方正黑体_GBK" w:hAnsi="Times New Roman" w:cs="宋体"/>
                <w:kern w:val="0"/>
                <w:sz w:val="20"/>
                <w:szCs w:val="20"/>
              </w:rPr>
            </w:pPr>
          </w:p>
        </w:tc>
        <w:tc>
          <w:tcPr>
            <w:tcW w:w="399" w:type="pct"/>
            <w:vAlign w:val="center"/>
          </w:tcPr>
          <w:p w14:paraId="3089E835"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13</w:t>
            </w:r>
          </w:p>
        </w:tc>
        <w:tc>
          <w:tcPr>
            <w:tcW w:w="1203" w:type="pct"/>
            <w:vAlign w:val="center"/>
          </w:tcPr>
          <w:p w14:paraId="02D2C585"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养老顾问回访评价，平台及考评小组定期进行服务满意度调查。</w:t>
            </w:r>
          </w:p>
        </w:tc>
        <w:tc>
          <w:tcPr>
            <w:tcW w:w="304" w:type="pct"/>
            <w:vAlign w:val="center"/>
          </w:tcPr>
          <w:p w14:paraId="4BE36FBB"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10</w:t>
            </w:r>
          </w:p>
        </w:tc>
        <w:tc>
          <w:tcPr>
            <w:tcW w:w="1090" w:type="pct"/>
            <w:gridSpan w:val="3"/>
            <w:vAlign w:val="center"/>
          </w:tcPr>
          <w:p w14:paraId="6E10705F"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社会满意度调查不低于</w:t>
            </w:r>
            <w:r w:rsidRPr="00DE70BE">
              <w:rPr>
                <w:rFonts w:ascii="Times New Roman" w:eastAsia="方正楷体_GBK" w:hAnsi="Times New Roman" w:cs="宋体" w:hint="eastAsia"/>
                <w:kern w:val="0"/>
                <w:sz w:val="20"/>
                <w:szCs w:val="20"/>
              </w:rPr>
              <w:t>95%</w:t>
            </w:r>
            <w:r w:rsidRPr="00DE70BE">
              <w:rPr>
                <w:rFonts w:ascii="Times New Roman" w:eastAsia="方正楷体_GBK" w:hAnsi="Times New Roman" w:cs="宋体" w:hint="eastAsia"/>
                <w:kern w:val="0"/>
                <w:sz w:val="20"/>
                <w:szCs w:val="20"/>
              </w:rPr>
              <w:t>，每降低</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个百分点扣</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1830C440"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实地进行满意度调查。</w:t>
            </w:r>
          </w:p>
        </w:tc>
        <w:tc>
          <w:tcPr>
            <w:tcW w:w="454" w:type="pct"/>
            <w:vAlign w:val="center"/>
          </w:tcPr>
          <w:p w14:paraId="191634F1"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05" w:type="pct"/>
            <w:vAlign w:val="center"/>
          </w:tcPr>
          <w:p w14:paraId="7D376F61"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4E3D290F" w14:textId="77777777">
        <w:trPr>
          <w:trHeight w:val="836"/>
          <w:jc w:val="center"/>
        </w:trPr>
        <w:tc>
          <w:tcPr>
            <w:tcW w:w="470" w:type="pct"/>
            <w:vAlign w:val="center"/>
          </w:tcPr>
          <w:p w14:paraId="0337EC8A"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黑体_GBK" w:hAnsi="Times New Roman" w:cs="宋体" w:hint="eastAsia"/>
                <w:kern w:val="0"/>
                <w:sz w:val="20"/>
                <w:szCs w:val="20"/>
              </w:rPr>
              <w:t>加分项</w:t>
            </w:r>
          </w:p>
        </w:tc>
        <w:tc>
          <w:tcPr>
            <w:tcW w:w="399" w:type="pct"/>
            <w:vAlign w:val="center"/>
          </w:tcPr>
          <w:p w14:paraId="24DBAB1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14</w:t>
            </w:r>
          </w:p>
        </w:tc>
        <w:tc>
          <w:tcPr>
            <w:tcW w:w="1203" w:type="pct"/>
            <w:vAlign w:val="center"/>
          </w:tcPr>
          <w:p w14:paraId="7E415A59"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服务机构开展纯市场化服务。</w:t>
            </w:r>
          </w:p>
        </w:tc>
        <w:tc>
          <w:tcPr>
            <w:tcW w:w="304" w:type="pct"/>
            <w:vAlign w:val="center"/>
          </w:tcPr>
          <w:p w14:paraId="31315BA4"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5</w:t>
            </w:r>
          </w:p>
        </w:tc>
        <w:tc>
          <w:tcPr>
            <w:tcW w:w="1090" w:type="pct"/>
            <w:gridSpan w:val="3"/>
            <w:vAlign w:val="center"/>
          </w:tcPr>
          <w:p w14:paraId="43A70035"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开展纯市场服务工单金额满</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万元，加</w:t>
            </w:r>
            <w:r w:rsidRPr="00DE70BE">
              <w:rPr>
                <w:rFonts w:ascii="Times New Roman" w:eastAsia="方正楷体_GBK" w:hAnsi="Times New Roman" w:cs="宋体" w:hint="eastAsia"/>
                <w:kern w:val="0"/>
                <w:sz w:val="20"/>
                <w:szCs w:val="20"/>
              </w:rPr>
              <w:t>1</w:t>
            </w:r>
            <w:r w:rsidRPr="00DE70BE">
              <w:rPr>
                <w:rFonts w:ascii="Times New Roman" w:eastAsia="方正楷体_GBK" w:hAnsi="Times New Roman" w:cs="宋体" w:hint="eastAsia"/>
                <w:kern w:val="0"/>
                <w:sz w:val="20"/>
                <w:szCs w:val="20"/>
              </w:rPr>
              <w:t>分。</w:t>
            </w:r>
          </w:p>
        </w:tc>
        <w:tc>
          <w:tcPr>
            <w:tcW w:w="671" w:type="pct"/>
            <w:vAlign w:val="center"/>
          </w:tcPr>
          <w:p w14:paraId="11089640"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系统核查工单。</w:t>
            </w:r>
          </w:p>
        </w:tc>
        <w:tc>
          <w:tcPr>
            <w:tcW w:w="454" w:type="pct"/>
            <w:vAlign w:val="center"/>
          </w:tcPr>
          <w:p w14:paraId="5D4C20B7" w14:textId="77777777" w:rsidR="00C95221" w:rsidRPr="00DE70BE" w:rsidRDefault="00C95221">
            <w:pPr>
              <w:overflowPunct w:val="0"/>
              <w:spacing w:line="0" w:lineRule="atLeast"/>
              <w:jc w:val="center"/>
              <w:rPr>
                <w:rFonts w:ascii="Times New Roman" w:eastAsia="方正楷体_GBK" w:hAnsi="Times New Roman" w:cs="宋体"/>
                <w:kern w:val="0"/>
                <w:sz w:val="20"/>
                <w:szCs w:val="20"/>
              </w:rPr>
            </w:pPr>
          </w:p>
        </w:tc>
        <w:tc>
          <w:tcPr>
            <w:tcW w:w="405" w:type="pct"/>
            <w:vAlign w:val="center"/>
          </w:tcPr>
          <w:p w14:paraId="0C953BEC" w14:textId="77777777" w:rsidR="00C95221" w:rsidRPr="00DE70BE" w:rsidRDefault="00C95221">
            <w:pPr>
              <w:overflowPunct w:val="0"/>
              <w:spacing w:line="0" w:lineRule="atLeast"/>
              <w:ind w:firstLineChars="200" w:firstLine="400"/>
              <w:rPr>
                <w:rFonts w:ascii="Times New Roman" w:eastAsia="方正楷体_GBK" w:hAnsi="Times New Roman" w:cs="宋体"/>
                <w:kern w:val="0"/>
                <w:sz w:val="20"/>
                <w:szCs w:val="20"/>
              </w:rPr>
            </w:pPr>
          </w:p>
        </w:tc>
      </w:tr>
      <w:tr w:rsidR="00DE70BE" w:rsidRPr="00DE70BE" w14:paraId="1E1F1689" w14:textId="77777777">
        <w:trPr>
          <w:trHeight w:val="23"/>
          <w:jc w:val="center"/>
        </w:trPr>
        <w:tc>
          <w:tcPr>
            <w:tcW w:w="470" w:type="pct"/>
            <w:vAlign w:val="center"/>
          </w:tcPr>
          <w:p w14:paraId="28513FBA" w14:textId="77777777" w:rsidR="00C95221" w:rsidRPr="00DE70BE" w:rsidRDefault="00DE70BE">
            <w:pPr>
              <w:overflowPunct w:val="0"/>
              <w:spacing w:line="0" w:lineRule="atLeast"/>
              <w:jc w:val="center"/>
              <w:rPr>
                <w:rFonts w:ascii="Times New Roman" w:eastAsia="方正黑体_GBK" w:hAnsi="Times New Roman" w:cs="宋体"/>
                <w:kern w:val="0"/>
                <w:sz w:val="20"/>
                <w:szCs w:val="20"/>
              </w:rPr>
            </w:pPr>
            <w:r w:rsidRPr="00DE70BE">
              <w:rPr>
                <w:rFonts w:ascii="Times New Roman" w:eastAsia="方正楷体_GBK" w:hAnsi="Times New Roman" w:cs="宋体" w:hint="eastAsia"/>
                <w:kern w:val="0"/>
                <w:sz w:val="20"/>
                <w:szCs w:val="20"/>
              </w:rPr>
              <w:t>总分</w:t>
            </w:r>
          </w:p>
        </w:tc>
        <w:tc>
          <w:tcPr>
            <w:tcW w:w="399" w:type="pct"/>
            <w:vAlign w:val="center"/>
          </w:tcPr>
          <w:p w14:paraId="5408828E"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100</w:t>
            </w:r>
            <w:r w:rsidRPr="00DE70BE">
              <w:rPr>
                <w:rFonts w:ascii="Times New Roman" w:eastAsia="方正楷体_GBK" w:hAnsi="Times New Roman" w:cs="宋体" w:hint="eastAsia"/>
                <w:kern w:val="0"/>
                <w:sz w:val="20"/>
                <w:szCs w:val="20"/>
              </w:rPr>
              <w:t>分</w:t>
            </w:r>
          </w:p>
          <w:p w14:paraId="7CE99B68"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w:t>
            </w:r>
            <w:r w:rsidRPr="00DE70BE">
              <w:rPr>
                <w:rFonts w:ascii="Times New Roman" w:eastAsia="方正楷体_GBK" w:hAnsi="Times New Roman" w:cs="宋体" w:hint="eastAsia"/>
                <w:kern w:val="0"/>
                <w:sz w:val="20"/>
                <w:szCs w:val="20"/>
              </w:rPr>
              <w:t>+5</w:t>
            </w:r>
            <w:r w:rsidRPr="00DE70BE">
              <w:rPr>
                <w:rFonts w:ascii="Times New Roman" w:eastAsia="方正楷体_GBK" w:hAnsi="Times New Roman" w:cs="宋体" w:hint="eastAsia"/>
                <w:kern w:val="0"/>
                <w:sz w:val="20"/>
                <w:szCs w:val="20"/>
              </w:rPr>
              <w:t>）</w:t>
            </w:r>
          </w:p>
        </w:tc>
        <w:tc>
          <w:tcPr>
            <w:tcW w:w="4130" w:type="pct"/>
            <w:gridSpan w:val="8"/>
            <w:vAlign w:val="center"/>
          </w:tcPr>
          <w:p w14:paraId="38977683"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得分：</w:t>
            </w:r>
          </w:p>
        </w:tc>
      </w:tr>
      <w:tr w:rsidR="00DE70BE" w:rsidRPr="00DE70BE" w14:paraId="26B34BE7" w14:textId="77777777">
        <w:trPr>
          <w:trHeight w:val="794"/>
          <w:jc w:val="center"/>
        </w:trPr>
        <w:tc>
          <w:tcPr>
            <w:tcW w:w="869" w:type="pct"/>
            <w:gridSpan w:val="2"/>
            <w:vAlign w:val="center"/>
          </w:tcPr>
          <w:p w14:paraId="794AA4E9" w14:textId="77777777" w:rsidR="00C95221" w:rsidRPr="00DE70BE" w:rsidRDefault="00DE70BE">
            <w:pPr>
              <w:overflowPunct w:val="0"/>
              <w:spacing w:line="0" w:lineRule="atLeast"/>
              <w:jc w:val="center"/>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lastRenderedPageBreak/>
              <w:t>评估结果</w:t>
            </w:r>
          </w:p>
        </w:tc>
        <w:tc>
          <w:tcPr>
            <w:tcW w:w="4130" w:type="pct"/>
            <w:gridSpan w:val="8"/>
            <w:vAlign w:val="center"/>
          </w:tcPr>
          <w:p w14:paraId="22E55986" w14:textId="77777777" w:rsidR="00C95221" w:rsidRPr="00DE70BE" w:rsidRDefault="00DE70BE">
            <w:pPr>
              <w:overflowPunct w:val="0"/>
              <w:spacing w:line="0" w:lineRule="atLeast"/>
              <w:ind w:firstLineChars="300" w:firstLine="600"/>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sym w:font="Wingdings 2" w:char="00A3"/>
            </w:r>
            <w:r w:rsidRPr="00DE70BE">
              <w:rPr>
                <w:rFonts w:ascii="Times New Roman" w:eastAsia="方正楷体_GBK" w:hAnsi="Times New Roman" w:cs="宋体" w:hint="eastAsia"/>
                <w:kern w:val="0"/>
                <w:sz w:val="20"/>
                <w:szCs w:val="20"/>
              </w:rPr>
              <w:t>A</w:t>
            </w:r>
            <w:r w:rsidRPr="00DE70BE">
              <w:rPr>
                <w:rFonts w:ascii="Times New Roman" w:eastAsia="方正楷体_GBK" w:hAnsi="Times New Roman" w:cs="宋体" w:hint="eastAsia"/>
                <w:kern w:val="0"/>
                <w:sz w:val="20"/>
                <w:szCs w:val="20"/>
              </w:rPr>
              <w:t>级</w:t>
            </w:r>
            <w:r w:rsidRPr="00DE70BE">
              <w:rPr>
                <w:rFonts w:ascii="Times New Roman" w:eastAsia="方正楷体_GBK" w:hAnsi="Times New Roman" w:cs="宋体" w:hint="eastAsia"/>
                <w:kern w:val="0"/>
                <w:sz w:val="20"/>
                <w:szCs w:val="20"/>
              </w:rPr>
              <w:t xml:space="preserve">  </w:t>
            </w:r>
            <w:r w:rsidRPr="00DE70BE">
              <w:rPr>
                <w:rFonts w:ascii="Times New Roman" w:eastAsia="方正楷体_GBK" w:hAnsi="Times New Roman" w:cs="宋体" w:hint="eastAsia"/>
                <w:kern w:val="0"/>
                <w:sz w:val="20"/>
                <w:szCs w:val="20"/>
              </w:rPr>
              <w:t>总分≥</w:t>
            </w:r>
            <w:r w:rsidRPr="00DE70BE">
              <w:rPr>
                <w:rFonts w:ascii="Times New Roman" w:eastAsia="方正楷体_GBK" w:hAnsi="Times New Roman" w:cs="宋体" w:hint="eastAsia"/>
                <w:kern w:val="0"/>
                <w:sz w:val="20"/>
                <w:szCs w:val="20"/>
              </w:rPr>
              <w:t xml:space="preserve">86    </w:t>
            </w:r>
            <w:r w:rsidRPr="00DE70BE">
              <w:rPr>
                <w:rFonts w:ascii="Times New Roman" w:eastAsia="方正楷体_GBK" w:hAnsi="Times New Roman" w:cs="宋体" w:hint="eastAsia"/>
                <w:kern w:val="0"/>
                <w:sz w:val="20"/>
                <w:szCs w:val="20"/>
              </w:rPr>
              <w:sym w:font="Wingdings 2" w:char="00A3"/>
            </w:r>
            <w:r w:rsidRPr="00DE70BE">
              <w:rPr>
                <w:rFonts w:ascii="Times New Roman" w:eastAsia="方正楷体_GBK" w:hAnsi="Times New Roman" w:cs="宋体" w:hint="eastAsia"/>
                <w:kern w:val="0"/>
                <w:sz w:val="20"/>
                <w:szCs w:val="20"/>
              </w:rPr>
              <w:t>B</w:t>
            </w:r>
            <w:r w:rsidRPr="00DE70BE">
              <w:rPr>
                <w:rFonts w:ascii="Times New Roman" w:eastAsia="方正楷体_GBK" w:hAnsi="Times New Roman" w:cs="宋体" w:hint="eastAsia"/>
                <w:kern w:val="0"/>
                <w:sz w:val="20"/>
                <w:szCs w:val="20"/>
              </w:rPr>
              <w:t>级</w:t>
            </w:r>
            <w:r w:rsidRPr="00DE70BE">
              <w:rPr>
                <w:rFonts w:ascii="Times New Roman" w:eastAsia="方正楷体_GBK" w:hAnsi="Times New Roman" w:cs="宋体" w:hint="eastAsia"/>
                <w:kern w:val="0"/>
                <w:sz w:val="20"/>
                <w:szCs w:val="20"/>
              </w:rPr>
              <w:t xml:space="preserve">  85</w:t>
            </w:r>
            <w:r w:rsidRPr="00DE70BE">
              <w:rPr>
                <w:rFonts w:ascii="Times New Roman" w:eastAsia="方正楷体_GBK" w:hAnsi="Times New Roman" w:cs="宋体" w:hint="eastAsia"/>
                <w:kern w:val="0"/>
                <w:sz w:val="20"/>
                <w:szCs w:val="20"/>
              </w:rPr>
              <w:t>≥总分≥</w:t>
            </w:r>
            <w:r w:rsidRPr="00DE70BE">
              <w:rPr>
                <w:rFonts w:ascii="Times New Roman" w:eastAsia="方正楷体_GBK" w:hAnsi="Times New Roman" w:cs="宋体" w:hint="eastAsia"/>
                <w:kern w:val="0"/>
                <w:sz w:val="20"/>
                <w:szCs w:val="20"/>
              </w:rPr>
              <w:t xml:space="preserve">61     </w:t>
            </w:r>
            <w:r w:rsidRPr="00DE70BE">
              <w:rPr>
                <w:rFonts w:ascii="Times New Roman" w:eastAsia="方正楷体_GBK" w:hAnsi="Times New Roman" w:cs="宋体" w:hint="eastAsia"/>
                <w:kern w:val="0"/>
                <w:sz w:val="20"/>
                <w:szCs w:val="20"/>
              </w:rPr>
              <w:sym w:font="Wingdings 2" w:char="00A3"/>
            </w:r>
            <w:r w:rsidRPr="00DE70BE">
              <w:rPr>
                <w:rFonts w:ascii="Times New Roman" w:eastAsia="方正楷体_GBK" w:hAnsi="Times New Roman" w:cs="宋体" w:hint="eastAsia"/>
                <w:kern w:val="0"/>
                <w:sz w:val="20"/>
                <w:szCs w:val="20"/>
              </w:rPr>
              <w:t>C</w:t>
            </w:r>
            <w:r w:rsidRPr="00DE70BE">
              <w:rPr>
                <w:rFonts w:ascii="Times New Roman" w:eastAsia="方正楷体_GBK" w:hAnsi="Times New Roman" w:cs="宋体" w:hint="eastAsia"/>
                <w:kern w:val="0"/>
                <w:sz w:val="20"/>
                <w:szCs w:val="20"/>
              </w:rPr>
              <w:t>级</w:t>
            </w:r>
            <w:r w:rsidRPr="00DE70BE">
              <w:rPr>
                <w:rFonts w:ascii="Times New Roman" w:eastAsia="方正楷体_GBK" w:hAnsi="Times New Roman" w:cs="宋体" w:hint="eastAsia"/>
                <w:kern w:val="0"/>
                <w:sz w:val="20"/>
                <w:szCs w:val="20"/>
              </w:rPr>
              <w:t xml:space="preserve">  </w:t>
            </w:r>
            <w:r w:rsidRPr="00DE70BE">
              <w:rPr>
                <w:rFonts w:ascii="Times New Roman" w:eastAsia="方正楷体_GBK" w:hAnsi="Times New Roman" w:cs="宋体" w:hint="eastAsia"/>
                <w:kern w:val="0"/>
                <w:sz w:val="20"/>
                <w:szCs w:val="20"/>
              </w:rPr>
              <w:t>总分≤</w:t>
            </w:r>
            <w:r w:rsidRPr="00DE70BE">
              <w:rPr>
                <w:rFonts w:ascii="Times New Roman" w:eastAsia="方正楷体_GBK" w:hAnsi="Times New Roman" w:cs="宋体" w:hint="eastAsia"/>
                <w:kern w:val="0"/>
                <w:sz w:val="20"/>
                <w:szCs w:val="20"/>
              </w:rPr>
              <w:t xml:space="preserve">60   </w:t>
            </w:r>
          </w:p>
        </w:tc>
      </w:tr>
      <w:tr w:rsidR="00DE70BE" w:rsidRPr="00DE70BE" w14:paraId="36FCA7D4" w14:textId="77777777">
        <w:trPr>
          <w:trHeight w:val="1361"/>
          <w:jc w:val="center"/>
        </w:trPr>
        <w:tc>
          <w:tcPr>
            <w:tcW w:w="2418" w:type="pct"/>
            <w:gridSpan w:val="5"/>
            <w:vAlign w:val="center"/>
          </w:tcPr>
          <w:p w14:paraId="2D5C2335"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被评估方签字：</w:t>
            </w:r>
          </w:p>
        </w:tc>
        <w:tc>
          <w:tcPr>
            <w:tcW w:w="2581" w:type="pct"/>
            <w:gridSpan w:val="5"/>
            <w:vAlign w:val="center"/>
          </w:tcPr>
          <w:p w14:paraId="76327925"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被评估日期：</w:t>
            </w:r>
          </w:p>
        </w:tc>
      </w:tr>
      <w:tr w:rsidR="00C95221" w:rsidRPr="00DE70BE" w14:paraId="3384CAD1" w14:textId="77777777">
        <w:trPr>
          <w:trHeight w:val="1361"/>
          <w:jc w:val="center"/>
        </w:trPr>
        <w:tc>
          <w:tcPr>
            <w:tcW w:w="2418" w:type="pct"/>
            <w:gridSpan w:val="5"/>
            <w:vAlign w:val="center"/>
          </w:tcPr>
          <w:p w14:paraId="6A53355B"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评估方签字：</w:t>
            </w:r>
          </w:p>
        </w:tc>
        <w:tc>
          <w:tcPr>
            <w:tcW w:w="2581" w:type="pct"/>
            <w:gridSpan w:val="5"/>
            <w:vAlign w:val="center"/>
          </w:tcPr>
          <w:p w14:paraId="23EF55CB" w14:textId="77777777" w:rsidR="00C95221" w:rsidRPr="00DE70BE" w:rsidRDefault="00DE70BE">
            <w:pPr>
              <w:overflowPunct w:val="0"/>
              <w:spacing w:line="0" w:lineRule="atLeast"/>
              <w:rPr>
                <w:rFonts w:ascii="Times New Roman" w:eastAsia="方正楷体_GBK" w:hAnsi="Times New Roman" w:cs="宋体"/>
                <w:kern w:val="0"/>
                <w:sz w:val="20"/>
                <w:szCs w:val="20"/>
              </w:rPr>
            </w:pPr>
            <w:r w:rsidRPr="00DE70BE">
              <w:rPr>
                <w:rFonts w:ascii="Times New Roman" w:eastAsia="方正楷体_GBK" w:hAnsi="Times New Roman" w:cs="宋体" w:hint="eastAsia"/>
                <w:kern w:val="0"/>
                <w:sz w:val="20"/>
                <w:szCs w:val="20"/>
              </w:rPr>
              <w:t>评估日期：</w:t>
            </w:r>
          </w:p>
        </w:tc>
      </w:tr>
    </w:tbl>
    <w:p w14:paraId="09CC12FF" w14:textId="77777777" w:rsidR="00C95221" w:rsidRPr="00DE70BE" w:rsidRDefault="00C95221">
      <w:pPr>
        <w:overflowPunct w:val="0"/>
        <w:spacing w:line="260" w:lineRule="exact"/>
        <w:rPr>
          <w:rFonts w:ascii="Times New Roman" w:eastAsia="方正楷体_GBK" w:hAnsi="Times New Roman" w:cs="宋体"/>
          <w:kern w:val="0"/>
          <w:sz w:val="20"/>
          <w:szCs w:val="20"/>
        </w:rPr>
      </w:pPr>
    </w:p>
    <w:p w14:paraId="6DB6E6B3" w14:textId="77777777" w:rsidR="00C95221" w:rsidRPr="00DE70BE" w:rsidRDefault="00DE70BE">
      <w:pPr>
        <w:overflowPunct w:val="0"/>
        <w:spacing w:line="260" w:lineRule="exact"/>
        <w:rPr>
          <w:rFonts w:ascii="Times New Roman" w:hAnsi="Times New Roman" w:cs="宋体"/>
          <w:kern w:val="0"/>
          <w:szCs w:val="32"/>
        </w:rPr>
      </w:pPr>
      <w:r w:rsidRPr="00DE70BE">
        <w:rPr>
          <w:rFonts w:ascii="Times New Roman" w:eastAsia="方正楷体_GBK" w:hAnsi="Times New Roman" w:cs="宋体" w:hint="eastAsia"/>
          <w:kern w:val="0"/>
          <w:sz w:val="20"/>
          <w:szCs w:val="20"/>
        </w:rPr>
        <w:t>注：该考核标准试行期间，由市局根据项目实际情况动态调整。</w:t>
      </w:r>
    </w:p>
    <w:p w14:paraId="6D0BD6BA" w14:textId="77777777" w:rsidR="00C95221" w:rsidRPr="00DE70BE" w:rsidRDefault="00C95221"/>
    <w:sectPr w:rsidR="00C95221" w:rsidRPr="00DE70BE">
      <w:pgSz w:w="11906" w:h="16838"/>
      <w:pgMar w:top="1247" w:right="1247" w:bottom="1247" w:left="1247" w:header="851" w:footer="992" w:gutter="0"/>
      <w:cols w:space="425"/>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2">
    <w:altName w:val="国标宋体-超大字符集"/>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5C"/>
    <w:rsid w:val="BBEF7B17"/>
    <w:rsid w:val="D7F76B18"/>
    <w:rsid w:val="00350B6C"/>
    <w:rsid w:val="00431E49"/>
    <w:rsid w:val="0050245C"/>
    <w:rsid w:val="00622FA9"/>
    <w:rsid w:val="007E1469"/>
    <w:rsid w:val="00A374FE"/>
    <w:rsid w:val="00A444F8"/>
    <w:rsid w:val="00A67F39"/>
    <w:rsid w:val="00B13C3A"/>
    <w:rsid w:val="00C412D2"/>
    <w:rsid w:val="00C95221"/>
    <w:rsid w:val="00DE70BE"/>
    <w:rsid w:val="00EA0F59"/>
    <w:rsid w:val="00F301F9"/>
    <w:rsid w:val="00F410A7"/>
    <w:rsid w:val="39F729CB"/>
    <w:rsid w:val="3B1B0E79"/>
    <w:rsid w:val="7DD38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line="400" w:lineRule="exact"/>
      <w:jc w:val="center"/>
      <w:outlineLvl w:val="0"/>
    </w:pPr>
    <w:rPr>
      <w:rFonts w:asciiTheme="majorHAnsi" w:eastAsia="黑体" w:hAnsiTheme="majorHAnsi" w:cstheme="majorBidi"/>
      <w:bCs/>
      <w:sz w:val="30"/>
      <w:szCs w:val="32"/>
    </w:rPr>
  </w:style>
  <w:style w:type="character" w:customStyle="1" w:styleId="Char2">
    <w:name w:val="标题 Char"/>
    <w:basedOn w:val="a0"/>
    <w:link w:val="a6"/>
    <w:uiPriority w:val="10"/>
    <w:qFormat/>
    <w:rPr>
      <w:rFonts w:asciiTheme="majorHAnsi" w:eastAsia="黑体" w:hAnsiTheme="majorHAnsi" w:cstheme="majorBidi"/>
      <w:bCs/>
      <w:sz w:val="30"/>
      <w:szCs w:val="32"/>
    </w:rPr>
  </w:style>
  <w:style w:type="paragraph" w:styleId="a7">
    <w:name w:val="No Spacing"/>
    <w:link w:val="Char3"/>
    <w:uiPriority w:val="1"/>
    <w:qFormat/>
    <w:pPr>
      <w:widowControl w:val="0"/>
      <w:jc w:val="both"/>
    </w:pPr>
    <w:rPr>
      <w:kern w:val="2"/>
      <w:sz w:val="21"/>
      <w:szCs w:val="22"/>
    </w:rPr>
  </w:style>
  <w:style w:type="character" w:customStyle="1" w:styleId="Char3">
    <w:name w:val="无间隔 Char"/>
    <w:link w:val="a7"/>
    <w:uiPriority w:val="1"/>
    <w:qFormat/>
  </w:style>
  <w:style w:type="character" w:customStyle="1" w:styleId="Char">
    <w:name w:val="正文文本缩进 Char"/>
    <w:basedOn w:val="a0"/>
    <w:link w:val="a3"/>
    <w:uiPriority w:val="99"/>
    <w:semiHidden/>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line="400" w:lineRule="exact"/>
      <w:jc w:val="center"/>
      <w:outlineLvl w:val="0"/>
    </w:pPr>
    <w:rPr>
      <w:rFonts w:asciiTheme="majorHAnsi" w:eastAsia="黑体" w:hAnsiTheme="majorHAnsi" w:cstheme="majorBidi"/>
      <w:bCs/>
      <w:sz w:val="30"/>
      <w:szCs w:val="32"/>
    </w:rPr>
  </w:style>
  <w:style w:type="character" w:customStyle="1" w:styleId="Char2">
    <w:name w:val="标题 Char"/>
    <w:basedOn w:val="a0"/>
    <w:link w:val="a6"/>
    <w:uiPriority w:val="10"/>
    <w:qFormat/>
    <w:rPr>
      <w:rFonts w:asciiTheme="majorHAnsi" w:eastAsia="黑体" w:hAnsiTheme="majorHAnsi" w:cstheme="majorBidi"/>
      <w:bCs/>
      <w:sz w:val="30"/>
      <w:szCs w:val="32"/>
    </w:rPr>
  </w:style>
  <w:style w:type="paragraph" w:styleId="a7">
    <w:name w:val="No Spacing"/>
    <w:link w:val="Char3"/>
    <w:uiPriority w:val="1"/>
    <w:qFormat/>
    <w:pPr>
      <w:widowControl w:val="0"/>
      <w:jc w:val="both"/>
    </w:pPr>
    <w:rPr>
      <w:kern w:val="2"/>
      <w:sz w:val="21"/>
      <w:szCs w:val="22"/>
    </w:rPr>
  </w:style>
  <w:style w:type="character" w:customStyle="1" w:styleId="Char3">
    <w:name w:val="无间隔 Char"/>
    <w:link w:val="a7"/>
    <w:uiPriority w:val="1"/>
    <w:qFormat/>
  </w:style>
  <w:style w:type="character" w:customStyle="1" w:styleId="Char">
    <w:name w:val="正文文本缩进 Char"/>
    <w:basedOn w:val="a0"/>
    <w:link w:val="a3"/>
    <w:uiPriority w:val="99"/>
    <w:semiHidden/>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2026-07-01T15:51:00Z</dcterms:created>
  <dcterms:modified xsi:type="dcterms:W3CDTF">2026-07-02T06:50:00Z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9C6ECCA165FAA4261905466A4A1C6F54_42</vt:lpwstr>
  </property>
</Properties>
</file>