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white"/>
        </w:rPr>
        <w:t xml:space="preserve">招　标　文　件</w:t>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white"/>
        </w:rPr>
        <w:t xml:space="preserve"> </w:t>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项目名称：泗阳县实验初级中学数字孪生校园综合管理</w:t>
      </w:r>
      <w:r>
        <w:rPr>
          <w:highlight w:val="white"/>
        </w:rPr>
      </w:r>
    </w:p>
    <w:p>
      <w:pPr>
        <w:ind w:left="0" w:right="0" w:firstLine="2891"/>
        <w:jc w:val="both"/>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系统采购项目</w:t>
      </w:r>
      <w:r>
        <w:rPr>
          <w:highlight w:val="white"/>
        </w:rPr>
      </w:r>
    </w:p>
    <w:p>
      <w:pPr>
        <w:ind w:left="0" w:right="0" w:firstLine="1285"/>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项目编号：JSZC-321323-NJZX-G2026-0001 </w:t>
      </w:r>
      <w:r>
        <w:rPr>
          <w:highlight w:val="white"/>
        </w:rPr>
      </w:r>
    </w:p>
    <w:p>
      <w:pPr>
        <w:ind w:left="0" w:right="0" w:firstLine="1928"/>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（货物类项目，非专门面向中小企业）</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1690"/>
        <w:jc w:val="both"/>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采购人：</w:t>
      </w:r>
      <w:r>
        <w:rPr>
          <w:rFonts w:ascii="SimSun" w:hAnsi="SimSun" w:eastAsia="SimSun" w:cs="SimSun"/>
          <w:b/>
          <w:color w:val="000000"/>
          <w:sz w:val="32"/>
          <w:highlight w:val="white"/>
          <w:u w:val="single"/>
        </w:rPr>
        <w:t xml:space="preserve"> 泗阳县实验初级中学</w:t>
      </w:r>
      <w:r>
        <w:rPr>
          <w:highlight w:val="white"/>
        </w:rPr>
      </w:r>
    </w:p>
    <w:p>
      <w:pPr>
        <w:ind w:left="0" w:right="0" w:firstLine="1606"/>
        <w:jc w:val="both"/>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采购代理机构：</w:t>
      </w:r>
      <w:r>
        <w:rPr>
          <w:rFonts w:ascii="SimSun" w:hAnsi="SimSun" w:eastAsia="SimSun" w:cs="SimSun"/>
          <w:b/>
          <w:color w:val="000000"/>
          <w:sz w:val="32"/>
          <w:highlight w:val="white"/>
          <w:u w:val="single"/>
        </w:rPr>
        <w:t xml:space="preserve"> 南京中信工程造价有限公司  </w:t>
      </w:r>
      <w:r>
        <w:rPr>
          <w:highlight w:val="white"/>
        </w:rPr>
      </w:r>
    </w:p>
    <w:p>
      <w:pPr>
        <w:ind w:left="0" w:right="0" w:firstLine="2570"/>
        <w:jc w:val="both"/>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2026年6月11日</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pStyle w:val="769"/>
        <w:ind w:left="0" w:right="0" w:firstLine="0"/>
        <w:jc w:val="center"/>
        <w:spacing w:before="480" w:after="20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highlight w:val="white"/>
        </w:rPr>
        <w:t xml:space="preserve">第一章投标邀请</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受</w:t>
      </w:r>
      <w:r>
        <w:rPr>
          <w:rFonts w:ascii="SimSun" w:hAnsi="SimSun" w:eastAsia="SimSun" w:cs="SimSun"/>
          <w:color w:val="000000"/>
          <w:sz w:val="24"/>
          <w:highlight w:val="white"/>
          <w:u w:val="single"/>
        </w:rPr>
        <w:t xml:space="preserve">[泗阳县实验初级中学]</w:t>
      </w:r>
      <w:r>
        <w:rPr>
          <w:rFonts w:ascii="SimSun" w:hAnsi="SimSun" w:eastAsia="SimSun" w:cs="SimSun"/>
          <w:color w:val="000000"/>
          <w:sz w:val="24"/>
          <w:highlight w:val="white"/>
        </w:rPr>
        <w:t xml:space="preserve">的委托，</w:t>
      </w:r>
      <w:r>
        <w:rPr>
          <w:rFonts w:ascii="SimSun" w:hAnsi="SimSun" w:eastAsia="SimSun" w:cs="SimSun"/>
          <w:color w:val="000000"/>
          <w:sz w:val="24"/>
          <w:highlight w:val="white"/>
          <w:u w:val="single"/>
        </w:rPr>
        <w:t xml:space="preserve">[南京中信工程造价有限公司]</w:t>
      </w:r>
      <w:r>
        <w:rPr>
          <w:rFonts w:ascii="SimSun" w:hAnsi="SimSun" w:eastAsia="SimSun" w:cs="SimSun"/>
          <w:color w:val="000000"/>
          <w:sz w:val="24"/>
          <w:highlight w:val="white"/>
        </w:rPr>
        <w:t xml:space="preserve">就</w:t>
      </w:r>
      <w:r>
        <w:rPr>
          <w:rFonts w:ascii="SimSun" w:hAnsi="SimSun" w:eastAsia="SimSun" w:cs="SimSun"/>
          <w:color w:val="000000"/>
          <w:sz w:val="24"/>
          <w:highlight w:val="white"/>
          <w:u w:val="single"/>
        </w:rPr>
        <w:t xml:space="preserve">[泗阳县实验初级中学数字孪生校园综合管理系统采购项目](JSZC-321323-NJZX-G2026-0001)</w:t>
      </w:r>
      <w:r>
        <w:rPr>
          <w:rFonts w:ascii="SimSun" w:hAnsi="SimSun" w:eastAsia="SimSun" w:cs="SimSun"/>
          <w:color w:val="000000"/>
          <w:sz w:val="24"/>
          <w:highlight w:val="white"/>
        </w:rPr>
        <w:t xml:space="preserve">项目进行公开招标采购，欢迎符合条件的投标人投标。</w:t>
      </w:r>
      <w:r>
        <w:rPr>
          <w:highlight w:val="white"/>
        </w:rPr>
      </w:r>
    </w:p>
    <w:p>
      <w:pPr>
        <w:ind w:left="0" w:right="0" w:firstLine="480"/>
        <w:jc w:val="both"/>
        <w:spacing w:before="0" w:after="0" w:line="519" w:lineRule="atLeast"/>
        <w:rPr>
          <w:highlight w:val="white"/>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highlight w:val="white"/>
        </w:rPr>
        <w:t xml:space="preserve">项目概况</w:t>
      </w:r>
      <w:r>
        <w:rPr>
          <w:highlight w:val="white"/>
        </w:rPr>
      </w:r>
    </w:p>
    <w:p>
      <w:pPr>
        <w:ind w:left="0" w:right="0" w:firstLine="480"/>
        <w:jc w:val="both"/>
        <w:spacing w:before="0" w:after="0" w:line="519" w:lineRule="atLeast"/>
        <w:rPr>
          <w:highlight w:val="white"/>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highlight w:val="white"/>
          <w:u w:val="single"/>
        </w:rPr>
        <w:t xml:space="preserve">泗阳县实验初级中学数字孪生校园综合管理系统采购项目(项目名称)</w:t>
      </w:r>
      <w:r>
        <w:rPr>
          <w:rFonts w:ascii="SimSun" w:hAnsi="SimSun" w:eastAsia="SimSun" w:cs="SimSun"/>
          <w:color w:val="000000"/>
          <w:sz w:val="24"/>
          <w:highlight w:val="white"/>
        </w:rPr>
        <w:t xml:space="preserve"> 招标项目的潜在投标人可在</w:t>
      </w:r>
      <w:r>
        <w:rPr>
          <w:rFonts w:ascii="SimSun" w:hAnsi="SimSun" w:eastAsia="SimSun" w:cs="SimSun"/>
          <w:color w:val="000000"/>
          <w:sz w:val="24"/>
          <w:highlight w:val="white"/>
          <w:u w:val="single"/>
        </w:rPr>
        <w:t xml:space="preserve">“宿迁市政府采购网”自行免费下载</w:t>
      </w:r>
      <w:r>
        <w:rPr>
          <w:rFonts w:ascii="SimSun" w:hAnsi="SimSun" w:eastAsia="SimSun" w:cs="SimSun"/>
          <w:color w:val="000000"/>
          <w:sz w:val="24"/>
          <w:highlight w:val="white"/>
        </w:rPr>
        <w:t xml:space="preserve">招标文件，并于</w:t>
      </w:r>
      <w:r>
        <w:rPr>
          <w:rFonts w:ascii="SimSun" w:hAnsi="SimSun" w:eastAsia="SimSun" w:cs="SimSun"/>
          <w:color w:val="000000"/>
          <w:sz w:val="24"/>
          <w:highlight w:val="white"/>
          <w:u w:val="single"/>
        </w:rPr>
        <w:t xml:space="preserve"> 2026年7月        2日09点00分（</w:t>
      </w:r>
      <w:r>
        <w:rPr>
          <w:rFonts w:ascii="SimSun" w:hAnsi="SimSun" w:eastAsia="SimSun" w:cs="SimSun"/>
          <w:color w:val="000000"/>
          <w:sz w:val="24"/>
          <w:highlight w:val="white"/>
        </w:rPr>
        <w:t xml:space="preserve">北京时间）前递交投标文件。</w:t>
      </w:r>
      <w:r>
        <w:rPr>
          <w:highlight w:val="white"/>
        </w:rPr>
      </w:r>
    </w:p>
    <w:p>
      <w:pPr>
        <w:ind w:left="0" w:right="0" w:firstLine="643"/>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一、项目基本情况</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1.项目编号：JSZC-321323-NJZX-G2026-0001</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2.项目名称：泗阳县实验初级中学数字孪生校园综合管理系统采购项目</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3.预算金额：120万元</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4.本项目</w:t>
      </w:r>
      <w:r>
        <w:rPr>
          <w:rFonts w:ascii="SimSun" w:hAnsi="SimSun" w:eastAsia="SimSun" w:cs="SimSun"/>
          <w:color w:val="000000"/>
          <w:sz w:val="24"/>
          <w:highlight w:val="white"/>
          <w:u w:val="single"/>
        </w:rPr>
        <w:t xml:space="preserve"> 设定 </w:t>
      </w:r>
      <w:r>
        <w:rPr>
          <w:rFonts w:ascii="SimSun" w:hAnsi="SimSun" w:eastAsia="SimSun" w:cs="SimSun"/>
          <w:color w:val="000000"/>
          <w:sz w:val="24"/>
          <w:highlight w:val="white"/>
        </w:rPr>
        <w:t xml:space="preserve">最高限价，最高限价：120万元。</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采购需求（简介）：建设数字孪生校园综合管理平台，包含数字化校园安全管理及分析预警设施设备，学生AI体育运动测练监测分析设施设备，室外心理健康减压设施设备。将心理健康数据云平台及心理热线接听系统、数字化课堂实时巡、评课系统接入新建的数字孪生校园综合管理平台（详细内容见本招标文件第四章） </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6.合同履行期限：</w:t>
      </w:r>
      <w:r>
        <w:rPr>
          <w:rFonts w:ascii="SimSun" w:hAnsi="SimSun" w:eastAsia="SimSun" w:cs="SimSun"/>
          <w:color w:val="000000"/>
          <w:sz w:val="24"/>
          <w:highlight w:val="white"/>
          <w:u w:val="single"/>
        </w:rPr>
        <w:t xml:space="preserve">40</w:t>
      </w:r>
      <w:r>
        <w:rPr>
          <w:rFonts w:ascii="SimSun" w:hAnsi="SimSun" w:eastAsia="SimSun" w:cs="SimSun"/>
          <w:color w:val="000000"/>
          <w:sz w:val="24"/>
          <w:highlight w:val="white"/>
        </w:rPr>
        <w:t xml:space="preserve">日历天。 </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7.免费运行维护期限：3年（自项目验收合格之日起计算） 。</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8.本项目</w:t>
      </w:r>
      <w:r>
        <w:rPr>
          <w:rFonts w:ascii="SimSun" w:hAnsi="SimSun" w:eastAsia="SimSun" w:cs="SimSun"/>
          <w:color w:val="000000"/>
          <w:sz w:val="24"/>
          <w:highlight w:val="white"/>
          <w:u w:val="single"/>
        </w:rPr>
        <w:t xml:space="preserve"> 不接受 </w:t>
      </w:r>
      <w:r>
        <w:rPr>
          <w:rFonts w:ascii="SimSun" w:hAnsi="SimSun" w:eastAsia="SimSun" w:cs="SimSun"/>
          <w:color w:val="000000"/>
          <w:sz w:val="24"/>
          <w:highlight w:val="white"/>
        </w:rPr>
        <w:t xml:space="preserve">联合体投标。</w:t>
      </w:r>
      <w:r>
        <w:rPr>
          <w:highlight w:val="white"/>
        </w:rPr>
      </w:r>
    </w:p>
    <w:p>
      <w:pPr>
        <w:ind w:left="0" w:right="0" w:firstLine="643"/>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二、申请人的资格要求：</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（一）通用资格要求</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1.具备《中华人民共和国政府采购法》第二十二条第一款规定的6项条件（按要求提供投标声明及承诺函）。</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2.信用信息。</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信用信息查询渠道：“信用中国”网（www.creditchina.gov.cn）、“中国政府采购”网（www.ccgp.gov.cn）、江苏政府采购网（www.ccgp-jiangsu.gov.cn）。</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3.落实政府采购政策需满足的资格要求：投标人提供的货物、工程或者服务符合规定情形的，对小微企业报价给予扣除（扣除比例详见“第五章 ”-“政府采购政策功能落实规定”），用扣除后的价格参加评审。</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（二）本项目的特定资格要求：无。</w:t>
      </w:r>
      <w:r>
        <w:rPr>
          <w:highlight w:val="white"/>
        </w:rPr>
      </w:r>
    </w:p>
    <w:p>
      <w:pPr>
        <w:ind w:left="0" w:right="0" w:firstLine="643"/>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三、获取招标文件</w:t>
      </w:r>
      <w:r>
        <w:rPr>
          <w:highlight w:val="white"/>
        </w:rPr>
      </w:r>
    </w:p>
    <w:p>
      <w:pPr>
        <w:ind w:left="0" w:right="0" w:firstLine="60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1.时间：</w:t>
      </w:r>
      <w:r>
        <w:rPr>
          <w:rFonts w:ascii="Times New Roman" w:hAnsi="Times New Roman" w:eastAsia="Times New Roman" w:cs="Times New Roman"/>
          <w:color w:val="000000"/>
          <w:sz w:val="24"/>
          <w:highlight w:val="white"/>
        </w:rPr>
        <w:t xml:space="preserve">2026</w:t>
      </w:r>
      <w:r>
        <w:rPr>
          <w:rFonts w:ascii="SimSun" w:hAnsi="SimSun" w:eastAsia="SimSun" w:cs="SimSun"/>
          <w:color w:val="000000"/>
          <w:sz w:val="24"/>
          <w:highlight w:val="white"/>
        </w:rPr>
        <w:t xml:space="preserve">年</w:t>
      </w:r>
      <w:r>
        <w:rPr>
          <w:rFonts w:ascii="Times New Roman" w:hAnsi="Times New Roman" w:eastAsia="Times New Roman" w:cs="Times New Roman"/>
          <w:color w:val="000000"/>
          <w:sz w:val="24"/>
          <w:highlight w:val="white"/>
        </w:rPr>
        <w:t xml:space="preserve">06</w:t>
      </w:r>
      <w:r>
        <w:rPr>
          <w:rFonts w:ascii="SimSun" w:hAnsi="SimSun" w:eastAsia="SimSun" w:cs="SimSun"/>
          <w:color w:val="000000"/>
          <w:sz w:val="24"/>
          <w:highlight w:val="white"/>
        </w:rPr>
        <w:t xml:space="preserve">月</w:t>
      </w:r>
      <w:r>
        <w:rPr>
          <w:rFonts w:ascii="Times New Roman" w:hAnsi="Times New Roman" w:eastAsia="Times New Roman" w:cs="Times New Roman"/>
          <w:color w:val="000000"/>
          <w:sz w:val="24"/>
          <w:highlight w:val="white"/>
        </w:rPr>
        <w:t xml:space="preserve">12</w:t>
      </w:r>
      <w:r>
        <w:rPr>
          <w:rFonts w:ascii="SimSun" w:hAnsi="SimSun" w:eastAsia="SimSun" w:cs="SimSun"/>
          <w:color w:val="000000"/>
          <w:sz w:val="24"/>
          <w:highlight w:val="white"/>
        </w:rPr>
        <w:t xml:space="preserve">日至</w:t>
      </w:r>
      <w:r>
        <w:rPr>
          <w:rFonts w:ascii="Times New Roman" w:hAnsi="Times New Roman" w:eastAsia="Times New Roman" w:cs="Times New Roman"/>
          <w:color w:val="000000"/>
          <w:sz w:val="24"/>
          <w:highlight w:val="white"/>
        </w:rPr>
        <w:t xml:space="preserve">2026</w:t>
      </w:r>
      <w:r>
        <w:rPr>
          <w:rFonts w:ascii="SimSun" w:hAnsi="SimSun" w:eastAsia="SimSun" w:cs="SimSun"/>
          <w:color w:val="000000"/>
          <w:sz w:val="24"/>
          <w:highlight w:val="white"/>
        </w:rPr>
        <w:t xml:space="preserve">年</w:t>
      </w:r>
      <w:r>
        <w:rPr>
          <w:rFonts w:ascii="Times New Roman" w:hAnsi="Times New Roman" w:eastAsia="Times New Roman" w:cs="Times New Roman"/>
          <w:color w:val="000000"/>
          <w:sz w:val="24"/>
          <w:highlight w:val="white"/>
        </w:rPr>
        <w:t xml:space="preserve">06</w:t>
      </w:r>
      <w:r>
        <w:rPr>
          <w:rFonts w:ascii="SimSun" w:hAnsi="SimSun" w:eastAsia="SimSun" w:cs="SimSun"/>
          <w:color w:val="000000"/>
          <w:sz w:val="24"/>
          <w:highlight w:val="white"/>
        </w:rPr>
        <w:t xml:space="preserve">月</w:t>
      </w:r>
      <w:r>
        <w:rPr>
          <w:rFonts w:ascii="Times New Roman" w:hAnsi="Times New Roman" w:eastAsia="Times New Roman" w:cs="Times New Roman"/>
          <w:color w:val="000000"/>
          <w:sz w:val="24"/>
          <w:highlight w:val="white"/>
        </w:rPr>
        <w:t xml:space="preserve">18</w:t>
      </w:r>
      <w:r>
        <w:rPr>
          <w:rFonts w:ascii="SimSun" w:hAnsi="SimSun" w:eastAsia="SimSun" w:cs="SimSun"/>
          <w:color w:val="000000"/>
          <w:sz w:val="24"/>
          <w:highlight w:val="white"/>
        </w:rPr>
        <w:t xml:space="preserve">日（北京时间，法定假日除外）。</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3.本项目共分一个包。投标人参与多个包投标的，应按包分别获取招标文件。投标人未按要求获取招标文件导致无法投标的，后果自负（其投标文件不予接受）。</w:t>
      </w:r>
      <w:r>
        <w:rPr>
          <w:highlight w:val="white"/>
        </w:rPr>
      </w:r>
    </w:p>
    <w:p>
      <w:pPr>
        <w:ind w:left="0" w:right="0" w:firstLine="643"/>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四、提交投标文件截止时间、开标时间和地点</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1.提交投标文件截止时间、开标时间：</w:t>
      </w:r>
      <w:r>
        <w:rPr>
          <w:rFonts w:ascii="SimSun" w:hAnsi="SimSun" w:eastAsia="SimSun" w:cs="SimSun"/>
          <w:color w:val="000000"/>
          <w:sz w:val="24"/>
          <w:highlight w:val="white"/>
          <w:u w:val="single"/>
        </w:rPr>
        <w:t xml:space="preserve"> 2026年7月2日09点00分</w:t>
      </w:r>
      <w:r>
        <w:rPr>
          <w:rFonts w:ascii="SimSun" w:hAnsi="SimSun" w:eastAsia="SimSun" w:cs="SimSun"/>
          <w:color w:val="000000"/>
          <w:sz w:val="24"/>
          <w:highlight w:val="white"/>
        </w:rPr>
        <w:t xml:space="preserve">（北京时间）</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2.地点：“苏采云”政府采购交易系统网上开标大厅。</w:t>
      </w:r>
      <w:r>
        <w:rPr>
          <w:highlight w:val="white"/>
        </w:rPr>
      </w:r>
    </w:p>
    <w:p>
      <w:pPr>
        <w:ind w:left="0" w:right="0" w:firstLine="643"/>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五、公告期限</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招标公告及招标文件公告期限为自本公告发布之日起5个工作日。招标公告发布媒体：宿迁市政府采购网、宿迁市公共资源交易平台、江苏省财政部门指定的媒体。</w:t>
      </w:r>
      <w:r>
        <w:rPr>
          <w:highlight w:val="white"/>
        </w:rPr>
      </w:r>
    </w:p>
    <w:p>
      <w:pPr>
        <w:ind w:left="0" w:right="0" w:firstLine="643"/>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六、其他补充事宜</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1.财政部门监督电话：0527-85229058。</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2.“CA”数字证书办理：“苏采云”系统目前仅支持“苏采云”系统下的意源CA。省内各地区办理的“苏采云”系统下的意源CA全省通用。宿迁地区CA数字证书办理联系方式：15115607509。</w:t>
      </w:r>
      <w:r>
        <w:rPr>
          <w:highlight w:val="white"/>
        </w:rPr>
      </w:r>
    </w:p>
    <w:p>
      <w:pPr>
        <w:ind w:left="0" w:right="0" w:firstLine="480"/>
        <w:spacing w:before="240" w:after="24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3.宿迁地区“苏采云”技术支持客服电话：0527-84363067。</w:t>
      </w:r>
      <w:r>
        <w:rPr>
          <w:highlight w:val="white"/>
        </w:rPr>
      </w:r>
    </w:p>
    <w:p>
      <w:pPr>
        <w:ind w:left="0" w:right="0" w:firstLine="480"/>
        <w:spacing w:before="240" w:after="24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4.如果投标人通过苏采云系统参与政府采购项目，相关操作手册详见链接：</w:t>
      </w:r>
      <w:r>
        <w:rPr>
          <w:rFonts w:ascii="SimSun" w:hAnsi="SimSun" w:eastAsia="SimSun" w:cs="SimSun"/>
          <w:color w:val="000000"/>
          <w:spacing w:val="-6"/>
          <w:sz w:val="24"/>
          <w:highlight w:val="white"/>
        </w:rPr>
        <w:t xml:space="preserve">http://www.ccgp-jiangsu.gov.cn/jiangsu/zlxz/ee/ee3a4bc5a3454aa2b0d9312230633ce9.html。</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5.现场勘察及答疑：本项目不组织集中勘察及答疑，投标人如对采购需求有疑问，请咨询采购单位联系人。 </w:t>
      </w:r>
      <w:r>
        <w:rPr>
          <w:highlight w:val="white"/>
        </w:rPr>
      </w:r>
    </w:p>
    <w:p>
      <w:pPr>
        <w:ind w:left="0" w:right="0" w:firstLine="643"/>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七、本次招标联系方式</w:t>
      </w:r>
      <w:r>
        <w:rPr>
          <w:highlight w:val="white"/>
        </w:rPr>
      </w:r>
    </w:p>
    <w:p>
      <w:pPr>
        <w:ind w:left="0" w:right="0" w:firstLine="48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rPr>
          <w:highlight w:val="white"/>
        </w:rPr>
      </w:r>
    </w:p>
    <w:p>
      <w:pPr>
        <w:ind w:left="0" w:right="0" w:firstLine="48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w:t>
      </w:r>
      <w:r>
        <w:rPr>
          <w:rFonts w:ascii="SimSun" w:hAnsi="SimSun" w:eastAsia="SimSun" w:cs="SimSun"/>
          <w:color w:val="000000"/>
          <w:sz w:val="24"/>
          <w:highlight w:val="white"/>
          <w:u w:val="single"/>
        </w:rPr>
        <w:t xml:space="preserve">　泗阳县实验初级中学 </w:t>
      </w:r>
      <w:r>
        <w:rPr>
          <w:highlight w:val="white"/>
        </w:rPr>
      </w:r>
    </w:p>
    <w:p>
      <w:pPr>
        <w:ind w:left="0" w:right="0" w:firstLine="48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w:t>
      </w:r>
      <w:r>
        <w:rPr>
          <w:rFonts w:ascii="SimSun" w:hAnsi="SimSun" w:eastAsia="SimSun" w:cs="SimSun"/>
          <w:color w:val="000000"/>
          <w:sz w:val="24"/>
          <w:highlight w:val="white"/>
          <w:u w:val="single"/>
        </w:rPr>
        <w:t xml:space="preserve">　江苏省泗阳县淮海东路21号　</w:t>
      </w:r>
      <w:r>
        <w:rPr>
          <w:highlight w:val="white"/>
        </w:rPr>
      </w:r>
    </w:p>
    <w:p>
      <w:pPr>
        <w:ind w:left="0" w:right="0" w:firstLine="48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w:t>
      </w:r>
      <w:r>
        <w:rPr>
          <w:rFonts w:ascii="SimSun" w:hAnsi="SimSun" w:eastAsia="SimSun" w:cs="SimSun"/>
          <w:color w:val="000000"/>
          <w:sz w:val="24"/>
          <w:highlight w:val="white"/>
          <w:u w:val="single"/>
        </w:rPr>
        <w:t xml:space="preserve"> 蒋学鹏 </w:t>
      </w:r>
      <w:r>
        <w:rPr>
          <w:highlight w:val="white"/>
        </w:rPr>
      </w:r>
    </w:p>
    <w:p>
      <w:pPr>
        <w:ind w:left="0" w:right="0" w:firstLine="48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SimSun" w:hAnsi="SimSun" w:eastAsia="SimSun" w:cs="SimSun"/>
          <w:color w:val="000000"/>
          <w:sz w:val="24"/>
          <w:highlight w:val="white"/>
          <w:u w:val="single"/>
        </w:rPr>
        <w:t xml:space="preserve">0527-85212225</w:t>
      </w:r>
      <w:r>
        <w:rPr>
          <w:highlight w:val="white"/>
        </w:rPr>
      </w:r>
    </w:p>
    <w:p>
      <w:pPr>
        <w:ind w:left="0" w:right="0" w:firstLine="48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rPr>
          <w:highlight w:val="white"/>
        </w:rPr>
      </w:r>
    </w:p>
    <w:p>
      <w:pPr>
        <w:ind w:left="0" w:right="0" w:firstLine="48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w:t>
      </w:r>
      <w:r>
        <w:rPr>
          <w:rFonts w:ascii="SimSun" w:hAnsi="SimSun" w:eastAsia="SimSun" w:cs="SimSun"/>
          <w:color w:val="000000"/>
          <w:sz w:val="24"/>
          <w:highlight w:val="white"/>
          <w:u w:val="single"/>
        </w:rPr>
        <w:t xml:space="preserve"> 南京中信工程造价有限公司 </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w:t>
      </w:r>
      <w:r>
        <w:rPr>
          <w:rFonts w:ascii="SimSun" w:hAnsi="SimSun" w:eastAsia="SimSun" w:cs="SimSun"/>
          <w:color w:val="000000"/>
          <w:sz w:val="24"/>
          <w:highlight w:val="white"/>
          <w:u w:val="single"/>
        </w:rPr>
        <w:t xml:space="preserve"> 泗阳县欧洲花园东门商铺</w:t>
      </w:r>
      <w:r>
        <w:rPr>
          <w:rFonts w:ascii="Times New Roman" w:hAnsi="Times New Roman" w:eastAsia="Times New Roman" w:cs="Times New Roman"/>
          <w:color w:val="000000"/>
          <w:sz w:val="24"/>
          <w:highlight w:val="white"/>
          <w:u w:val="single"/>
        </w:rPr>
        <w:t xml:space="preserve">6-S201 </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w:t>
      </w:r>
      <w:r>
        <w:rPr>
          <w:rFonts w:ascii="SimSun" w:hAnsi="SimSun" w:eastAsia="SimSun" w:cs="SimSun"/>
          <w:color w:val="000000"/>
          <w:sz w:val="24"/>
          <w:highlight w:val="white"/>
          <w:u w:val="single"/>
        </w:rPr>
        <w:t xml:space="preserve"> 李学梅  </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SimSun" w:hAnsi="SimSun" w:eastAsia="SimSun" w:cs="SimSun"/>
          <w:color w:val="000000"/>
          <w:sz w:val="24"/>
          <w:highlight w:val="white"/>
          <w:u w:val="single"/>
        </w:rPr>
        <w:t xml:space="preserve">18036978782  </w:t>
      </w:r>
      <w:r>
        <w:rPr>
          <w:highlight w:val="white"/>
        </w:rPr>
      </w:r>
    </w:p>
    <w:p>
      <w:pPr>
        <w:ind w:left="0" w:right="0" w:firstLine="643"/>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八、其他</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1.有关本次招标的事项若存在变动或修改，敬请及时关注“宿迁市政府采购网”等平台更正公告。</w:t>
      </w:r>
      <w:r>
        <w:rPr>
          <w:highlight w:val="white"/>
        </w:rPr>
      </w:r>
    </w:p>
    <w:p>
      <w:pPr>
        <w:ind w:left="0" w:right="0" w:firstLine="482"/>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w:t>
      </w:r>
      <w:r>
        <w:rPr>
          <w:rFonts w:ascii="SimSun" w:hAnsi="SimSun" w:eastAsia="SimSun" w:cs="SimSun"/>
          <w:color w:val="000000"/>
          <w:sz w:val="24"/>
          <w:highlight w:val="white"/>
        </w:rPr>
        <w:t xml:space="preserve">.本次招标不收取投标保证金。</w:t>
      </w:r>
      <w:r>
        <w:rPr>
          <w:highlight w:val="white"/>
        </w:rPr>
      </w:r>
    </w:p>
    <w:p>
      <w:pPr>
        <w:ind w:left="0" w:right="84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pStyle w:val="769"/>
        <w:ind w:left="0" w:right="0" w:firstLine="0"/>
        <w:jc w:val="center"/>
        <w:spacing w:before="480" w:after="20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highlight w:val="white"/>
        </w:rPr>
        <w:t xml:space="preserve">第二章投标人须知</w:t>
      </w:r>
      <w:r>
        <w:rPr>
          <w:highlight w:val="white"/>
        </w:rPr>
      </w:r>
    </w:p>
    <w:p>
      <w:pPr>
        <w:ind w:left="0" w:right="0" w:firstLine="643"/>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一、总则</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1、招标方式</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 本次招标采取公开招标方式，本招标文件仅适用于招标公告中所述项目。</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2、合格的投标人</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2.1满足招标公告中投标人的资格要求的规定。</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 满足本文件实质性要求和条件的规定。</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3、适用法律</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 本次招标及由此产生的合同受中华人民共和国有关的法律法规制约和保护。</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4、投标费用</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 投标人应自行承担所有与参加投标有关的费用，无论投标过程中的做法和结果如何，</w:t>
      </w:r>
      <w:r>
        <w:rPr>
          <w:rFonts w:ascii="SimSun" w:hAnsi="SimSun" w:eastAsia="SimSun" w:cs="SimSun"/>
          <w:color w:val="000000"/>
          <w:sz w:val="24"/>
          <w:highlight w:val="white"/>
          <w:u w:val="single"/>
        </w:rPr>
        <w:t xml:space="preserve"> 南京中信工程造价有限公司 </w:t>
      </w:r>
      <w:r>
        <w:rPr>
          <w:rFonts w:ascii="SimSun" w:hAnsi="SimSun" w:eastAsia="SimSun" w:cs="SimSun"/>
          <w:color w:val="000000"/>
          <w:sz w:val="24"/>
          <w:highlight w:val="white"/>
        </w:rPr>
        <w:t xml:space="preserve">（以下简称采购代理机构）在任何情况下均无义务和责任承担这些费用。</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4.2代理费用收取方式及标准：按以下第</w:t>
      </w:r>
      <w:r>
        <w:rPr>
          <w:rFonts w:ascii="SimSun" w:hAnsi="SimSun" w:eastAsia="SimSun" w:cs="SimSun"/>
          <w:color w:val="000000"/>
          <w:sz w:val="24"/>
          <w:highlight w:val="white"/>
          <w:u w:val="single"/>
        </w:rPr>
        <w:t xml:space="preserve"> 4.2.2 </w:t>
      </w:r>
      <w:r>
        <w:rPr>
          <w:rFonts w:ascii="SimSun" w:hAnsi="SimSun" w:eastAsia="SimSun" w:cs="SimSun"/>
          <w:color w:val="000000"/>
          <w:sz w:val="24"/>
          <w:highlight w:val="white"/>
        </w:rPr>
        <w:t xml:space="preserve">种方式执行</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4.2.1无需支付；</w:t>
      </w:r>
      <w:r>
        <w:rPr>
          <w:highlight w:val="white"/>
        </w:rPr>
      </w:r>
    </w:p>
    <w:p>
      <w:pPr>
        <w:ind w:left="0" w:right="0" w:firstLine="0"/>
        <w:spacing w:before="240" w:after="24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4.2.2采购人支付，具体方式及标准为</w:t>
      </w:r>
      <w:r>
        <w:rPr>
          <w:rFonts w:ascii="SimSun" w:hAnsi="SimSun" w:eastAsia="SimSun" w:cs="SimSun"/>
          <w:b/>
          <w:color w:val="000000"/>
          <w:sz w:val="24"/>
          <w:highlight w:val="white"/>
        </w:rPr>
        <w:t xml:space="preserve">：</w:t>
      </w:r>
      <w:r>
        <w:rPr>
          <w:rFonts w:ascii="SimSun" w:hAnsi="SimSun" w:eastAsia="SimSun" w:cs="SimSun"/>
          <w:color w:val="000000"/>
          <w:sz w:val="24"/>
          <w:highlight w:val="white"/>
          <w:u w:val="single"/>
        </w:rPr>
        <w:t xml:space="preserve">代理服务费</w:t>
      </w:r>
      <w:r>
        <w:rPr>
          <w:rFonts w:ascii="Times New Roman" w:hAnsi="Times New Roman" w:eastAsia="Times New Roman" w:cs="Times New Roman"/>
          <w:color w:val="000000"/>
          <w:sz w:val="24"/>
          <w:highlight w:val="white"/>
          <w:u w:val="single"/>
        </w:rPr>
        <w:t xml:space="preserve">600</w:t>
      </w:r>
      <w:r>
        <w:rPr>
          <w:rFonts w:ascii="SimSun" w:hAnsi="SimSun" w:eastAsia="SimSun" w:cs="SimSun"/>
          <w:color w:val="000000"/>
          <w:sz w:val="24"/>
          <w:highlight w:val="white"/>
          <w:u w:val="single"/>
        </w:rPr>
        <w:t xml:space="preserve">元，由采购人以现金、转账或数字人民币的方式支付。</w:t>
      </w:r>
      <w:r>
        <w:rPr>
          <w:rFonts w:ascii="SimSun" w:hAnsi="SimSun" w:eastAsia="SimSun" w:cs="SimSun"/>
          <w:color w:val="000000"/>
          <w:sz w:val="24"/>
          <w:highlight w:val="white"/>
        </w:rPr>
        <w:t xml:space="preserve">  </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5、招标文件的约束力</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 投标人一旦参加本项目采购活动，即被认为接受了本招标文件的规定和约束。</w:t>
      </w:r>
      <w:r>
        <w:rPr>
          <w:highlight w:val="white"/>
        </w:rPr>
      </w:r>
    </w:p>
    <w:p>
      <w:pPr>
        <w:ind w:left="0" w:right="0" w:firstLine="643"/>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二、招标文件</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6、招标文件构成</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6.1 招标文件由以下部分组成：</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（1）投标邀请</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（2）投标人须知</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（3）合同文本</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（4）采购需求</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（5）评标方法与评标标准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（6）投标文件格式</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请仔细检查招标文件是否齐全，如有缺漏请立即与采购代理机构联系解决。</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7、招标文件的澄清</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7.1 任何要求对招标文件进行澄清的投标人，应在投标截止期十日前按招标公告中的通讯地址，以书面形式通知采购代理机构。</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8、招标文件的修改</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8.2 在投标截止时间前，采购代理机构可以对招标文件进行修改。</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8.3 采购代理机构有权按照法定的要求推迟投标截止日期和开标日期。</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8.4招标文件的修改将在原公告媒体上发布更正公告，补充文件将作为招标文件的组成部分，并对投标人具有约束力，发布的更正公告视同为以书面形式通知所有获取招标文件的潜在投标人。</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8.5投标人应及时登录“苏采云”系统获取澄清答疑文件（修改后招标文件），如因投标人原因未能及时下载澄清和修改后的招标文件，由此造成的相关责任，由投标人承担。 </w:t>
      </w:r>
      <w:r>
        <w:rPr>
          <w:highlight w:val="white"/>
        </w:rPr>
      </w:r>
    </w:p>
    <w:p>
      <w:pPr>
        <w:ind w:left="0" w:right="0" w:firstLine="643"/>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三、投标文件的编制</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9、投标文件的语言及度量衡单位</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9.1 投标人提交的投标文件以及投标人与采购代理机构就有关投标的所有来往通知、函件和文件均应使用</w:t>
      </w:r>
      <w:r>
        <w:rPr>
          <w:rFonts w:ascii="SimSun" w:hAnsi="SimSun" w:eastAsia="SimSun" w:cs="SimSun"/>
          <w:b/>
          <w:color w:val="000000"/>
          <w:sz w:val="24"/>
          <w:highlight w:val="white"/>
        </w:rPr>
        <w:t xml:space="preserve">简体中文</w:t>
      </w:r>
      <w:r>
        <w:rPr>
          <w:rFonts w:ascii="SimSun" w:hAnsi="SimSun" w:eastAsia="SimSun" w:cs="SimSun"/>
          <w:color w:val="000000"/>
          <w:sz w:val="24"/>
          <w:highlight w:val="white"/>
        </w:rPr>
        <w:t xml:space="preserve">。</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9.2 除技术性能另有规定外，投标文件所使用的度量衡单位，均须采用国家法定计量单位。</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10、投标文件构成</w:t>
      </w:r>
      <w:r>
        <w:rPr>
          <w:highlight w:val="white"/>
        </w:rPr>
      </w:r>
    </w:p>
    <w:p>
      <w:pPr>
        <w:ind w:left="0" w:right="0" w:firstLine="48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各投标人在编制投标文件时请按照招标文件第六章规定的格式进行，混乱的编排导致投标文件被误读或评委会查找不到有效文件是投标人的风险。</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10.2 投标人编写的投标文件应包括资格证明文件、符合性证明文件、投标分项报价表、响应及偏离表、其他证明文件、投标函、开标一览表等部分。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10.3投标文件须加盖电子签章之处，应按要求加盖投标人数字证书的电子签章。其他需要盖章但未明确要求电子签章的，投标人可按要求加盖公章后上传材料电子件或直接加盖电子签章。 </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10.5 如标书制作工具中格式和内容与“宿迁市政府采购网”发布的招标文件不一致，请以“宿迁市政府采购网”发布的招标文件为准。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10.6中标后按相关要求提供与电子投标文件一致的纸质打印投标文件</w:t>
      </w:r>
      <w:r>
        <w:rPr>
          <w:rFonts w:ascii="SimSun" w:hAnsi="SimSun" w:eastAsia="SimSun" w:cs="SimSun"/>
          <w:b/>
          <w:color w:val="000000"/>
          <w:sz w:val="24"/>
          <w:highlight w:val="white"/>
        </w:rPr>
        <w:t xml:space="preserve">3份</w:t>
      </w:r>
      <w:r>
        <w:rPr>
          <w:rFonts w:ascii="SimSun" w:hAnsi="SimSun" w:eastAsia="SimSun" w:cs="SimSun"/>
          <w:color w:val="000000"/>
          <w:sz w:val="24"/>
          <w:highlight w:val="white"/>
        </w:rPr>
        <w:t xml:space="preserve">。 </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11、证明投标人及投标标的符合招标文件规定的文件</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11.1 投标人应按照法律、法规、规章和规范性文件以及招标文件要求提交证明文件，证明其及投标标的符合招标文件规定。</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11.2招标文件对证明文件无明确形式要求的，证明文件可以以文字资料、图纸和数据等形式提交。</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12、投标分项报价表</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 投标人应按照招标文件规定格式填报投标分项报价表。</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12.2投标货币。投标文件中的单价和总价无特殊规定的采用人民币报价，以元为单位标注。招标文件中另有规定的按规定执行。</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12.3本项目不接受备选的投标方案或有选择的报价，只允许有一个报价。投标报价内容包括：投标报价应包括货款、安装、线路、电费、平台接入、运维、包装、运输、开办费、技术措施费、材料、劳务、管理、利润、税金、政策性文件规定等所有费用。</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13、技术要求响应及偏离表、商务要求响应及偏离表</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13.1 投标人需对招标文件中的技术要求与商务要求逐项作出响应或偏离，并说明原因。</w:t>
      </w:r>
      <w:r>
        <w:rPr>
          <w:highlight w:val="white"/>
        </w:rPr>
      </w:r>
    </w:p>
    <w:p>
      <w:pPr>
        <w:ind w:left="0" w:right="0" w:firstLine="480"/>
        <w:jc w:val="both"/>
        <w:spacing w:before="0" w:after="0" w:line="479" w:lineRule="atLeast"/>
        <w:tabs>
          <w:tab w:val="left" w:pos="1035"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13.2 投标人可在投标文件中提供认为需要的其他技术文件或说明。</w:t>
      </w:r>
      <w:r>
        <w:rPr>
          <w:highlight w:val="white"/>
        </w:rPr>
      </w:r>
    </w:p>
    <w:p>
      <w:pPr>
        <w:ind w:left="0" w:right="0" w:firstLine="56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14、服务承诺、培训计划、人员安排及其他</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14.1 投标人需根据招标文件要求提供有关售后服务的管理制度，售后服务机构的分布情况，售后服务人员的数量、素质、技术水平及售后服务的反应能力等。</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14.2 投标人需根据招标文件要求提供培训计划。</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14.3 投标人需根据招标文件要求提供所投标的的主要组成部分、功能设计、实现思路及关键技术等。</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15、投标声明及承诺函和开标一览表</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15.1 投标人应按照招标文件中提供的格式完整、正确填写投标声明及承诺函、开标一览表。</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highlight w:val="white"/>
        </w:rPr>
        <w:t xml:space="preserve">。</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16、投标有效期</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 投标有效期为开标之日后</w:t>
      </w:r>
      <w:r>
        <w:rPr>
          <w:rFonts w:ascii="SimSun" w:hAnsi="SimSun" w:eastAsia="SimSun" w:cs="SimSun"/>
          <w:b/>
          <w:color w:val="000000"/>
          <w:sz w:val="24"/>
          <w:highlight w:val="white"/>
          <w:u w:val="single"/>
        </w:rPr>
        <w:t xml:space="preserve">六十（60）天</w:t>
      </w:r>
      <w:r>
        <w:rPr>
          <w:rFonts w:ascii="SimSun" w:hAnsi="SimSun" w:eastAsia="SimSun" w:cs="SimSun"/>
          <w:color w:val="000000"/>
          <w:sz w:val="24"/>
          <w:highlight w:val="white"/>
        </w:rPr>
        <w:t xml:space="preserve">。投标有效期比规定短的将被视为未实质性响应招标文件而予以拒绝。</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17、投标有效期的延长</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17.2中标人的投标文件作为项目合同的附件，其有效期至中标人全部合同义务履行完毕为止。 </w:t>
      </w:r>
      <w:r>
        <w:rPr>
          <w:highlight w:val="white"/>
        </w:rPr>
      </w:r>
    </w:p>
    <w:p>
      <w:pPr>
        <w:ind w:left="0" w:right="0" w:firstLine="643"/>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四、投标文件的递交</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18、投标文件的递交</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18.1投标人应当按照《操作手册》规定，在投标截止时间前制作并上传电子投标文件。</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18.2投标人通过“苏采云”系统不见面开标大厅在线参与开标活动。（具体操作详见《“苏采云”系统投标人操作手册》，网址链接</w:t>
      </w:r>
      <w:r>
        <w:rPr>
          <w:rFonts w:ascii="SimSun" w:hAnsi="SimSun" w:eastAsia="SimSun" w:cs="SimSun"/>
          <w:color w:val="000000"/>
          <w:sz w:val="22"/>
          <w:highlight w:val="white"/>
        </w:rPr>
        <w:t xml:space="preserve">http://www.ccgp-jiangsu.gov.cn//webfile/jiangsu/202311/1699268553318052447.pdf）</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19、投标截止时间</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19.1 投标人上传电子投标文件的时间不得迟于招标公告中规定的投标截止时间。</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投标人应充分考虑到网络环境、网络带宽等风险因素，如因投标人自身原因造成的电子投标文件上传不成功的按照本招标文件第二章第27.1.2条规定做无效投标处理。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19.2 采购代理机构可以按照规定，通过修改招标文件酌情延长投标截止时间，在此情况下，投标人的所有权利和义务以及投标人受制的截止时间均应以延长后新的截止时间为准。</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20、投标文件的拒收</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20.1采购代理机构拒绝接收在其规定的投标截止时间后上传的任何投标文件。</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21、投标文件的撤回和修改</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21.1 投标文件的撤回</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21.1.1 电子投标文件的撤回</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投标人可在投标截止时间前，撤回其电子投标文件，具体操作方法见《操作手册》。</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21.1.2 投标人撤回电子投标文件，则认为其不再参与本项目投标活动。</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 投标文件的修改</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21.2.1投标人可在投标截止时间前，对其电子投标文件进行修改，具体操作方法见《操作手册》。</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21.2.2 在投标截止时间之后，投标人不得对其电子投标文件作任何修改。</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 在投标截止时间至招标文件中规定的投标有效期满之间的这段时间内，投标人不得撤回其投标。</w:t>
      </w:r>
      <w:r>
        <w:rPr>
          <w:highlight w:val="white"/>
        </w:rPr>
      </w:r>
    </w:p>
    <w:p>
      <w:pPr>
        <w:ind w:left="0" w:right="0" w:firstLine="643"/>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五、开标与评标</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22、开标</w:t>
      </w:r>
      <w:r>
        <w:rPr>
          <w:highlight w:val="white"/>
        </w:rPr>
      </w:r>
    </w:p>
    <w:p>
      <w:pPr>
        <w:ind w:left="0" w:right="0" w:firstLine="0"/>
        <w:spacing w:before="240" w:after="24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22.1 采购代理机构将在招标公告中规定的时间和地点组织公开开标。投标人应当按照《“苏采云”系统供应商操作手册》规定，参加开标活动和在“苏采云”系统规定的时间内对投标文件进行解密。</w:t>
      </w:r>
      <w:r>
        <w:rPr>
          <w:highlight w:val="white"/>
        </w:rPr>
      </w:r>
    </w:p>
    <w:p>
      <w:pPr>
        <w:ind w:left="0" w:right="0" w:firstLine="0"/>
        <w:spacing w:before="240" w:after="24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22.3投标人在开标过程中涉及到的投标文件解密、开标结果确认等工作，应按照《操作手册》规定执行。</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22.4投标人如果对开标过程和开标记录有疑义，应当根据《操作手册》规定提出，如 “苏采云”系统中《开标记录表》宣布后5分钟内未提出的，视同认可开标结果。</w:t>
      </w:r>
      <w:r>
        <w:rPr>
          <w:highlight w:val="white"/>
        </w:rPr>
      </w:r>
    </w:p>
    <w:p>
      <w:pPr>
        <w:ind w:left="0" w:right="0" w:firstLine="56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23、评标委员会</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23.1</w:t>
      </w:r>
      <w:r>
        <w:rPr>
          <w:rFonts w:ascii="SimSun" w:hAnsi="SimSun" w:eastAsia="SimSun" w:cs="SimSun"/>
          <w:b/>
          <w:color w:val="000000"/>
          <w:sz w:val="24"/>
          <w:highlight w:val="white"/>
        </w:rPr>
        <w:t xml:space="preserve"> </w:t>
      </w:r>
      <w:r>
        <w:rPr>
          <w:rFonts w:ascii="SimSun" w:hAnsi="SimSun" w:eastAsia="SimSun" w:cs="SimSun"/>
          <w:color w:val="000000"/>
          <w:sz w:val="24"/>
          <w:highlight w:val="white"/>
        </w:rPr>
        <w:t xml:space="preserve">开标后，采购代理机构将立即组织评标委员会（以下简称评委会）进行评标。</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23.2 评委会由采购人代表和有关技术、经济等方面的专家组成，且人员构成符合政府采购有关规定。</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23.3评委会独立工作，负责评审所有投标文件并确定中标侯选人。</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24、评标过程的保密与公正</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24.1凡是与审查、澄清、评价和比较投标的有关资料以及授标建议等，采购人、评委、采购代理机构均不得向投标人或与评标无关的其他人员透露。</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24.2在评标过程中，投标人不得以任何行为影响评标过程，否则其投标文件将被作为无效投标文件。</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24.3 采购代理机构和评委会不向未中标的投标人解释未中标原因，也不公布评标过程中的相关细节。</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24.4 采用综合评分法的项目，未中标的投标人可于中标结果公告期限届满之日起通过“苏采云”系统查看自己的评审得分及排序情况。</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25、投标文件的澄清</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25.1评标期间，评委会对投标文件中含义不明确、同类问题表述不一致或者有明显文字和计算错误的内容 ，有权要求投标人作出必要的澄清、说明或者补正。</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投标人的澄清、说明或者补正不得超出投标文件的范围或者改变投标文件的实质性内容。</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评委会并非对每个投标人都做澄清要求。</w:t>
      </w:r>
      <w:r>
        <w:rPr>
          <w:highlight w:val="white"/>
        </w:rPr>
      </w:r>
    </w:p>
    <w:p>
      <w:pPr>
        <w:ind w:left="0" w:right="0" w:firstLine="0"/>
        <w:spacing w:before="240" w:after="24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25.3 接到评委会澄清、说明和补正要求的投标人如未按规定做出澄清、说明和补正，其风险由投标人自行承担。</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26、对投标文件的初审</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26.1投标文件初审分为资格审查和符合性审查。</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26.1.1 资格审查：依据法律法规和招标文件的规定，由采购人或其委托的代理机构对投标文件中的资格证明文件进行审查，以确定投标人是否具备投标资格。</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采购人在进行资格性审查的同时，将在“信用中国”网站（www.creditchina.gov.cn）查询投标人的信用记录，以确定投标人是否具备投标资格,查询结果留存并归档。</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接受联合体的项目，两个以上的自然人、法人或者其他组织组成一个联合体，以一个投标人的身份共同参加政府采购活动的,联合体成员存在不良信用记录的，视同联合体存在不良应用记录。</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26.1.2 符合性审查：依据招标文件的规定，由评委会从投标文件的有效性、完整性和对招标文件的响应程度进行审查，以确定是否对招标文件的实质性要求作出响应。</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26.3如果投标文件实质上没有响应招标文件的要求，评委会将予以拒绝，投标人不得通过修改或撤销不合要求的偏离或保留而使其投标成为实质性响应的投标。</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26.4评委会将对确定为实质性响应的投标进行进一步审核，确定其是否有计算上或累加上的算术错误，修正错误的原则如下：</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（1）投标文件中开标一览表内容与投标文件中相应内容不一致的，以开标一览表为准。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（2）大写金额和小写金额不一致的，以大写金额为准。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（3）单价金额小数点或者百分比有明显错位的，以开标一览表的总价为准，并修改单价。</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（4）总价金额与按单价汇总金额不一致的，以单价金额计算结果为准。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同时出现两种以上错误的，按照前款规定的顺序修正。</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26.5 评委会将按上述修正错误的方法调整投标文件中的投标报价，并通过“苏采云”系统告知投标人，调整后的价格应对投标人具有约束力。如果投标人不接受修正后的价格，则其投标将被拒绝。</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非单一产品采购项目，招标文件中将载明其中的核心产品。多家投标人提供的核心产品品牌相同的，按前两款规定处理。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26.7投标人在开、评标全过程中应随时保持系统在线，及时在“苏采云”系统查阅、答复相关信息。</w:t>
      </w:r>
      <w:r>
        <w:rPr>
          <w:highlight w:val="white"/>
        </w:rPr>
      </w:r>
    </w:p>
    <w:p>
      <w:pPr>
        <w:ind w:left="0" w:right="0" w:firstLine="56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27、无效投标条款和废标条款</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27.1无效投标条款</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27.1.1 投标人在“苏采云”系统规定的时间内未成功解密电子投标文件的。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27.1.2 投标人未按照招标文件要求上传电子投标文件的。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27.1.3同一投标人提交两个（含两个）以上不同的投标报价的。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27.1.4投标人不具备招标文件中规定资格要求的。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27.1.5投标人的报价超过了采购预算或最高限价的。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27.1.6未通过符合性审查的。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27.1.7不符合招标文件中规定的实质性要求和条件的</w:t>
      </w:r>
      <w:r>
        <w:rPr>
          <w:rFonts w:ascii="SimSun" w:hAnsi="SimSun" w:eastAsia="SimSun" w:cs="SimSun"/>
          <w:i/>
          <w:color w:val="000000"/>
          <w:sz w:val="24"/>
          <w:highlight w:val="white"/>
        </w:rPr>
        <w:t xml:space="preserve">。</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27.1.9 投标文件含有采购人不能接受的附加条件的。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27.1.10评审过程中出现下列情形之一的，评审委员会应当启动异常低价投标（响应）审查程序：</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投标（响应）报价低于采购项目预算</w:t>
      </w:r>
      <w:r>
        <w:rPr>
          <w:rFonts w:ascii="Times New Roman" w:hAnsi="Times New Roman" w:eastAsia="Times New Roman" w:cs="Times New Roman"/>
          <w:color w:val="000000"/>
          <w:sz w:val="24"/>
          <w:highlight w:val="white"/>
        </w:rPr>
        <w:t xml:space="preserve">50%</w:t>
      </w:r>
      <w:r>
        <w:rPr>
          <w:rFonts w:ascii="SimSun" w:hAnsi="SimSun" w:eastAsia="SimSun" w:cs="SimSun"/>
          <w:color w:val="000000"/>
          <w:sz w:val="24"/>
          <w:highlight w:val="white"/>
        </w:rPr>
        <w:t xml:space="preserve">的，即投标（响应）报价</w:t>
      </w:r>
      <w:r>
        <w:rPr>
          <w:rFonts w:ascii="Times New Roman" w:hAnsi="Times New Roman" w:eastAsia="Times New Roman" w:cs="Times New Roman"/>
          <w:color w:val="000000"/>
          <w:sz w:val="24"/>
          <w:highlight w:val="white"/>
        </w:rPr>
        <w:t xml:space="preserve">&lt;</w:t>
      </w:r>
      <w:r>
        <w:rPr>
          <w:rFonts w:ascii="SimSun" w:hAnsi="SimSun" w:eastAsia="SimSun" w:cs="SimSun"/>
          <w:color w:val="000000"/>
          <w:sz w:val="24"/>
          <w:highlight w:val="white"/>
        </w:rPr>
        <w:t xml:space="preserve">采购项目预算</w:t>
      </w:r>
      <w:r>
        <w:rPr>
          <w:rFonts w:ascii="Times New Roman" w:hAnsi="Times New Roman" w:eastAsia="Times New Roman" w:cs="Times New Roman"/>
          <w:color w:val="000000"/>
          <w:sz w:val="24"/>
          <w:highlight w:val="white"/>
        </w:rPr>
        <w:t xml:space="preserve">x50%;</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投标（响应）报价低于采购项目最高限价</w:t>
      </w:r>
      <w:r>
        <w:rPr>
          <w:rFonts w:ascii="Times New Roman" w:hAnsi="Times New Roman" w:eastAsia="Times New Roman" w:cs="Times New Roman"/>
          <w:color w:val="000000"/>
          <w:sz w:val="24"/>
          <w:highlight w:val="white"/>
        </w:rPr>
        <w:t xml:space="preserve">45%</w:t>
      </w:r>
      <w:r>
        <w:rPr>
          <w:rFonts w:ascii="SimSun" w:hAnsi="SimSun" w:eastAsia="SimSun" w:cs="SimSun"/>
          <w:color w:val="000000"/>
          <w:sz w:val="24"/>
          <w:highlight w:val="white"/>
        </w:rPr>
        <w:t xml:space="preserve">的，即投标（响应）报价</w:t>
      </w:r>
      <w:r>
        <w:rPr>
          <w:rFonts w:ascii="Times New Roman" w:hAnsi="Times New Roman" w:eastAsia="Times New Roman" w:cs="Times New Roman"/>
          <w:color w:val="000000"/>
          <w:sz w:val="24"/>
          <w:highlight w:val="white"/>
        </w:rPr>
        <w:t xml:space="preserve">&lt;</w:t>
      </w:r>
      <w:r>
        <w:rPr>
          <w:rFonts w:ascii="SimSun" w:hAnsi="SimSun" w:eastAsia="SimSun" w:cs="SimSun"/>
          <w:color w:val="000000"/>
          <w:sz w:val="24"/>
          <w:highlight w:val="white"/>
        </w:rPr>
        <w:t xml:space="preserve">采购项目最高限价</w:t>
      </w:r>
      <w:r>
        <w:rPr>
          <w:rFonts w:ascii="Times New Roman" w:hAnsi="Times New Roman" w:eastAsia="Times New Roman" w:cs="Times New Roman"/>
          <w:color w:val="000000"/>
          <w:sz w:val="24"/>
          <w:highlight w:val="white"/>
        </w:rPr>
        <w:t xml:space="preserve">x45%:</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评审委员会认定的投标人报价过低、有可能影响产品质量或者不能诚信履约的其他情形。</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27.1.1</w:t>
      </w:r>
      <w:r>
        <w:rPr>
          <w:rFonts w:ascii="SimSun" w:hAnsi="SimSun" w:eastAsia="SimSun" w:cs="SimSun"/>
          <w:b/>
          <w:color w:val="000000"/>
          <w:sz w:val="24"/>
          <w:highlight w:val="white"/>
        </w:rPr>
        <w:t xml:space="preserve">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27.1.12 投标文件未按照招标文件要求加盖CA电子公章的。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27.1.13其他法律、法规及本招标文件规定的属无效投标的27.2废标条款</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27.2.1符合专业条件的投标人或者对招标文件作实质响应的投标人不足三家的。27.2.2出现影响采购公正的违法、违规行为的。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27.2.3因重大变故，采购任务取消的。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27.2.4评委会认定招标文件存在歧义、重大缺陷导致评审工作无法进行。</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27.2.5 因“苏采云”系统系统故障原因造成开标不成功的。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27.3 投标截止时间结束后参加投标的投标人不足三家的处理：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27.3.1如出现投标截止时间结束后参加投标的投标人或者在评标期间对招标文件做出实质响应的投标人不足三家情况，按政府采购相关规定执行。</w:t>
      </w:r>
      <w:r>
        <w:rPr>
          <w:highlight w:val="white"/>
        </w:rPr>
      </w:r>
    </w:p>
    <w:p>
      <w:pPr>
        <w:ind w:left="0" w:right="0" w:firstLine="643"/>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六、定标</w:t>
      </w:r>
      <w:r>
        <w:rPr>
          <w:highlight w:val="white"/>
        </w:rPr>
      </w:r>
    </w:p>
    <w:p>
      <w:pPr>
        <w:ind w:left="0" w:right="0" w:firstLine="60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28、确定中标单位</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28.1中标候选人的选取原则和数量见招标文件第五章规定。 </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28.2 按以下第</w:t>
      </w:r>
      <w:r>
        <w:rPr>
          <w:rFonts w:ascii="SimSun" w:hAnsi="SimSun" w:eastAsia="SimSun" w:cs="SimSun"/>
          <w:color w:val="000000"/>
          <w:sz w:val="24"/>
          <w:highlight w:val="white"/>
          <w:u w:val="single"/>
        </w:rPr>
        <w:t xml:space="preserve">（2）</w:t>
      </w:r>
      <w:r>
        <w:rPr>
          <w:rFonts w:ascii="SimSun" w:hAnsi="SimSun" w:eastAsia="SimSun" w:cs="SimSun"/>
          <w:color w:val="000000"/>
          <w:sz w:val="24"/>
          <w:highlight w:val="white"/>
        </w:rPr>
        <w:t xml:space="preserve">种方式确定中标人</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（1）评委会直接确定排名第一的中标候选人为中标人；</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（2）采购人在评委会推荐的中标候选人中按顺序确定中标人。</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28.3 采购代理机构将在“宿迁市政府采购网”发布中标公告，公告期限为1个工作日。</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28.4  若有充分证据证明，中标人出现下列情况之一的，一经查实，将被取消中标资格：</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28.4.1提供虚假材料谋取中标的。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28.4.2向采购人、采购代理机构行贿或者提供其他不正当利益的。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28.4.3属于本文件规定的无效条件，但在评标过程中又未被评委会发现的。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28.4.4与采购人或者其他投标人恶意串通的。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28.4.5采取不正当手段诋毁、排挤其他投标人的。</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28.5 有下列情形之一的，视为投标人串通投标，投标无效：</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28.5.1不同投标人的投标文件由同一单位或者个人编制。</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28.5.2不同投标人委托同一单位或者个人办理投标事宜。</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28.5.3 不同投标人的投标文件载明的项目管理成员或者联系人员为同一人。</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28.5.4不同投标人的投标文件异常一致或者投标报价呈规律性差异。</w:t>
      </w:r>
      <w:r>
        <w:rPr>
          <w:highlight w:val="white"/>
        </w:rPr>
      </w:r>
    </w:p>
    <w:p>
      <w:pPr>
        <w:ind w:left="0" w:right="0" w:firstLine="60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29、质疑处理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29.1 提出质疑的投标人应当是参与所质疑项目采购活动的投标人。潜在投标人依法获取其可质疑的采购文件的，可以对采购文件提出质疑。</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29.2.1对可以质疑的采购文件提出质疑的，为收到采购文件之日或者采购文件公告期限届满之日；</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29.2.2对采购过程提出质疑的，为各采购程序环节结束之日；</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29.2.3对中标或者成交结果提出质疑的，为中标或者成交结果公告期限届满之日。</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29.4 投标人应以书面形式向采购人或者其委托的采购代理机构提出质疑。质疑超出采购机构代理范围的，投标人应当向采购人提出。</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接收质疑函的方式：现场接收或邮寄接收。</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联系部门： </w:t>
      </w:r>
      <w:r>
        <w:rPr>
          <w:rFonts w:ascii="SimSun" w:hAnsi="SimSun" w:eastAsia="SimSun" w:cs="SimSun"/>
          <w:color w:val="000000"/>
          <w:sz w:val="24"/>
          <w:highlight w:val="white"/>
          <w:u w:val="single"/>
        </w:rPr>
        <w:t xml:space="preserve"> 泗阳县实验初级中学/南京中信工程造价有限公司  </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 </w:t>
      </w:r>
      <w:r>
        <w:rPr>
          <w:rFonts w:ascii="SimSun" w:hAnsi="SimSun" w:eastAsia="SimSun" w:cs="SimSun"/>
          <w:color w:val="000000"/>
          <w:sz w:val="24"/>
          <w:highlight w:val="white"/>
          <w:u w:val="single"/>
        </w:rPr>
        <w:t xml:space="preserve"> 0527-85212225/ </w:t>
      </w:r>
      <w:r>
        <w:rPr>
          <w:rFonts w:ascii="Times New Roman" w:hAnsi="Times New Roman" w:eastAsia="Times New Roman" w:cs="Times New Roman"/>
          <w:color w:val="000000"/>
          <w:sz w:val="24"/>
          <w:highlight w:val="white"/>
          <w:u w:val="single"/>
        </w:rPr>
        <w:t xml:space="preserve">18036978782 </w:t>
      </w:r>
      <w:r>
        <w:rPr>
          <w:rFonts w:ascii="SimSun" w:hAnsi="SimSun" w:eastAsia="SimSun" w:cs="SimSun"/>
          <w:color w:val="000000"/>
          <w:sz w:val="24"/>
          <w:highlight w:val="white"/>
          <w:u w:val="single"/>
        </w:rPr>
        <w:t xml:space="preserve">   </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通讯地址： </w:t>
      </w:r>
      <w:r>
        <w:rPr>
          <w:rFonts w:ascii="SimSun" w:hAnsi="SimSun" w:eastAsia="SimSun" w:cs="SimSun"/>
          <w:color w:val="000000"/>
          <w:sz w:val="24"/>
          <w:highlight w:val="white"/>
          <w:u w:val="single"/>
        </w:rPr>
        <w:t xml:space="preserve"> 江苏省泗阳县淮海东路21号/泗阳县欧洲花园东门商铺</w:t>
      </w:r>
      <w:r>
        <w:rPr>
          <w:rFonts w:ascii="Times New Roman" w:hAnsi="Times New Roman" w:eastAsia="Times New Roman" w:cs="Times New Roman"/>
          <w:color w:val="000000"/>
          <w:sz w:val="24"/>
          <w:highlight w:val="white"/>
          <w:u w:val="single"/>
        </w:rPr>
        <w:t xml:space="preserve">6-S201</w:t>
      </w:r>
      <w:r>
        <w:rPr>
          <w:rFonts w:ascii="SimSun" w:hAnsi="SimSun" w:eastAsia="SimSun" w:cs="SimSun"/>
          <w:color w:val="000000"/>
          <w:sz w:val="24"/>
          <w:highlight w:val="white"/>
          <w:u w:val="single"/>
        </w:rPr>
        <w:t xml:space="preserve"> </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29.5 以下情形的质疑不予受理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29.5.1 内容不符合《政府采购质疑和投诉办法》第十二条规定的质疑。</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29.5.2 超出政府采购法定期限的质疑。</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29.5.3 以传真、电子邮件等方式递交的非原件形式的质疑。</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29.5.4 未参加投标活动的投标人或在投标活动中自身权益未受到损害的投标人所提出的质疑。</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29.5.5投标人组成联合体参加投标，联合体中任何一方或多方未按要求签字、盖章、加盖公章的质疑。</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29.7  质疑供应商对采购人、采购代理机构的答复不满意，或者采购人、采购代理机构未在规定时间内作出答复的，可以在答复期满后15个工作日内向同级财政部门提起投诉。</w:t>
      </w:r>
      <w:r>
        <w:rPr>
          <w:highlight w:val="white"/>
        </w:rPr>
      </w:r>
    </w:p>
    <w:p>
      <w:pPr>
        <w:ind w:left="0" w:right="0" w:firstLine="60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30、中标通知书</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30.l</w:t>
      </w:r>
      <w:r>
        <w:rPr>
          <w:rFonts w:ascii="SimSun" w:hAnsi="SimSun" w:eastAsia="SimSun" w:cs="SimSun"/>
          <w:b/>
          <w:color w:val="000000"/>
          <w:sz w:val="24"/>
          <w:highlight w:val="white"/>
        </w:rPr>
        <w:t xml:space="preserve"> </w:t>
      </w:r>
      <w:r>
        <w:rPr>
          <w:rFonts w:ascii="SimSun" w:hAnsi="SimSun" w:eastAsia="SimSun" w:cs="SimSun"/>
          <w:color w:val="000000"/>
          <w:sz w:val="24"/>
          <w:highlight w:val="whit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30.2中标通知书将是合同的一个组成部分。对采购人和中标人均具有法律效力。中标通知书发出后，采购人改变中标结果的，或者中标人放弃中标项目的，应当依法承担法律责任。</w:t>
      </w:r>
      <w:r>
        <w:rPr>
          <w:highlight w:val="white"/>
        </w:rPr>
      </w:r>
    </w:p>
    <w:p>
      <w:pPr>
        <w:ind w:left="0" w:right="0" w:firstLine="643"/>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七、授予合同</w:t>
      </w:r>
      <w:r>
        <w:rPr>
          <w:highlight w:val="white"/>
        </w:rPr>
      </w:r>
    </w:p>
    <w:p>
      <w:pPr>
        <w:ind w:left="0" w:right="0" w:firstLine="60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31. 签订合同</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31.2</w:t>
      </w:r>
      <w:r>
        <w:rPr>
          <w:rFonts w:ascii="SimSun" w:hAnsi="SimSun" w:eastAsia="SimSun" w:cs="SimSun"/>
          <w:b/>
          <w:color w:val="000000"/>
          <w:sz w:val="24"/>
          <w:highlight w:val="white"/>
        </w:rPr>
        <w:t xml:space="preserve"> </w:t>
      </w:r>
      <w:r>
        <w:rPr>
          <w:rFonts w:ascii="SimSun" w:hAnsi="SimSun" w:eastAsia="SimSun" w:cs="SimSun"/>
          <w:color w:val="000000"/>
          <w:sz w:val="24"/>
          <w:highlight w:val="white"/>
        </w:rPr>
        <w:t xml:space="preserve">招标文件、中标人的投标文件及招标过程中有关澄清、承诺文件均应作为合同附件。</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31.4本项目的非主体、非关键性工作是否允许分包按以下第</w:t>
      </w:r>
      <w:r>
        <w:rPr>
          <w:rFonts w:ascii="SimSun" w:hAnsi="SimSun" w:eastAsia="SimSun" w:cs="SimSun"/>
          <w:color w:val="000000"/>
          <w:sz w:val="24"/>
          <w:highlight w:val="white"/>
          <w:u w:val="single"/>
        </w:rPr>
        <w:t xml:space="preserve">  2  </w:t>
      </w:r>
      <w:r>
        <w:rPr>
          <w:rFonts w:ascii="SimSun" w:hAnsi="SimSun" w:eastAsia="SimSun" w:cs="SimSun"/>
          <w:color w:val="000000"/>
          <w:sz w:val="24"/>
          <w:highlight w:val="white"/>
        </w:rPr>
        <w:t xml:space="preserve">种方式确定：</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1.允许分包，允许大中型企业向一家或者多家小微企业分包，分包具体内容、金额或比例：</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2.不允许分包。未经采购人同意，中标人也不得采用分包形式履行合同,否则采购人有权终止合同。转包或分包造成采购人损失的，中标人应承担相应赔偿责任。</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31.4履约保证金</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按照以下第（</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）方式确定履约保证收取方式。</w:t>
      </w:r>
      <w:r>
        <w:rPr>
          <w:highlight w:val="white"/>
        </w:rPr>
      </w:r>
    </w:p>
    <w:p>
      <w:pPr>
        <w:ind w:left="0" w:right="0" w:firstLine="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不收取履约保证金。</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履约保证金应在采购合同签订前提交，履约保证金的金额：</w:t>
      </w:r>
      <w:r>
        <w:rPr>
          <w:rFonts w:ascii="SimSun" w:hAnsi="SimSun" w:eastAsia="SimSun" w:cs="SimSun"/>
          <w:color w:val="000000"/>
          <w:sz w:val="24"/>
          <w:highlight w:val="white"/>
          <w:u w:val="single"/>
        </w:rPr>
        <w:t xml:space="preserve">  中标价的</w:t>
      </w:r>
      <w:r>
        <w:rPr>
          <w:rFonts w:ascii="Times New Roman" w:hAnsi="Times New Roman" w:eastAsia="Times New Roman" w:cs="Times New Roman"/>
          <w:color w:val="000000"/>
          <w:sz w:val="24"/>
          <w:highlight w:val="white"/>
          <w:u w:val="single"/>
        </w:rPr>
        <w:t xml:space="preserve">10% </w:t>
      </w:r>
      <w:r>
        <w:rPr>
          <w:rFonts w:ascii="SimSun" w:hAnsi="SimSun" w:eastAsia="SimSun" w:cs="SimSun"/>
          <w:color w:val="000000"/>
          <w:sz w:val="24"/>
          <w:highlight w:val="white"/>
        </w:rPr>
        <w:t xml:space="preserve">，按采购合同总价的</w:t>
      </w:r>
      <w:r>
        <w:rPr>
          <w:rFonts w:ascii="Times New Roman" w:hAnsi="Times New Roman" w:eastAsia="Times New Roman" w:cs="Times New Roman"/>
          <w:color w:val="000000"/>
          <w:sz w:val="24"/>
          <w:highlight w:val="white"/>
          <w:u w:val="single"/>
        </w:rPr>
        <w:t xml:space="preserve"> 10 %</w:t>
      </w:r>
      <w:r>
        <w:rPr>
          <w:rFonts w:ascii="SimSun" w:hAnsi="SimSun" w:eastAsia="SimSun" w:cs="SimSun"/>
          <w:color w:val="000000"/>
          <w:sz w:val="24"/>
          <w:highlight w:val="white"/>
        </w:rPr>
        <w:t xml:space="preserve">计取，如使用江苏政府采购电子履约保函（保险）代替缴纳履约保证金的，按采购合同总价的</w:t>
      </w:r>
      <w:r>
        <w:rPr>
          <w:rFonts w:ascii="Times New Roman" w:hAnsi="Times New Roman" w:eastAsia="Times New Roman" w:cs="Times New Roman"/>
          <w:color w:val="000000"/>
          <w:sz w:val="24"/>
          <w:highlight w:val="white"/>
          <w:u w:val="single"/>
        </w:rPr>
        <w:t xml:space="preserve"> 6% </w:t>
      </w:r>
      <w:r>
        <w:rPr>
          <w:rFonts w:ascii="SimSun" w:hAnsi="SimSun" w:eastAsia="SimSun" w:cs="SimSun"/>
          <w:color w:val="000000"/>
          <w:sz w:val="24"/>
          <w:highlight w:val="white"/>
        </w:rPr>
        <w:t xml:space="preserve">计取。除银行电汇、网上银行（从中标人法人基本存款账户转出）外，供应商还可选用银行保函、担保公司的保证担保或保险公司的保证保险等多种形式向采购人缴纳。</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户名：泗阳县财政局国库股</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开户行：泗阳农商行营业部</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账号：</w:t>
      </w:r>
      <w:r>
        <w:rPr>
          <w:rFonts w:ascii="Times New Roman" w:hAnsi="Times New Roman" w:eastAsia="Times New Roman" w:cs="Times New Roman"/>
          <w:color w:val="000000"/>
          <w:sz w:val="24"/>
          <w:highlight w:val="white"/>
        </w:rPr>
        <w:t xml:space="preserve">3213232701201000013869</w:t>
      </w:r>
      <w:r>
        <w:rPr>
          <w:highlight w:val="white"/>
        </w:rPr>
      </w:r>
    </w:p>
    <w:p>
      <w:pPr>
        <w:ind w:left="0" w:right="0" w:firstLine="482"/>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履约保证金退还的条件：</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货物类项目，项目验收合格，出具验收报告及履约保证金收据申请退付；</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履约保证金退还时间：采购人收到成交供应商退付申请后</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个工作日内退还；</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履约保证金不予退还情形：除不可抗力外，成交供应商不履行与采购人订立的采购合同的，履约保证金不予退还，给采购人造成的损失超过履约保证金数额的，还应当对超过部分予以赔偿。</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highlight w:val="white"/>
        </w:rPr>
        <w:t xml:space="preserve">20</w:t>
      </w:r>
      <w:r>
        <w:rPr>
          <w:rFonts w:ascii="SimSun" w:hAnsi="SimSun" w:eastAsia="SimSun" w:cs="SimSun"/>
          <w:color w:val="000000"/>
          <w:sz w:val="24"/>
          <w:highlight w:val="white"/>
        </w:rPr>
        <w:t xml:space="preserve">％后的利率支付超期资金占用费，但因成交供应商自身原因导致无法及时退还的除外。</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的通知》（苏财购﹝</w:t>
      </w:r>
      <w:r>
        <w:rPr>
          <w:rFonts w:ascii="Times New Roman" w:hAnsi="Times New Roman" w:eastAsia="Times New Roman" w:cs="Times New Roman"/>
          <w:color w:val="000000"/>
          <w:sz w:val="24"/>
          <w:highlight w:val="white"/>
        </w:rPr>
        <w:t xml:space="preserve">2023</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150</w:t>
      </w:r>
      <w:r>
        <w:rPr>
          <w:rFonts w:ascii="SimSun" w:hAnsi="SimSun" w:eastAsia="SimSun" w:cs="SimSun"/>
          <w:color w:val="000000"/>
          <w:sz w:val="24"/>
          <w:highlight w:val="white"/>
        </w:rPr>
        <w:t xml:space="preserve">号）。</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32、货物（包含与货物相关的服务）的追加</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white"/>
        </w:rPr>
      </w:r>
    </w:p>
    <w:p>
      <w:pPr>
        <w:ind w:left="0" w:right="0" w:firstLine="60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33、政府采购履约资金扶持政策</w:t>
      </w:r>
      <w:r>
        <w:rPr>
          <w:highlight w:val="white"/>
        </w:rPr>
      </w:r>
    </w:p>
    <w:p>
      <w:pPr>
        <w:ind w:left="0" w:right="0" w:firstLine="480"/>
        <w:spacing w:before="240" w:after="24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highlight w:val="white"/>
        </w:rPr>
      </w:r>
    </w:p>
    <w:p>
      <w:pPr>
        <w:ind w:left="0" w:right="0" w:firstLine="602"/>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34、验收及付款</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34.2采购人可以邀请参加本项目的其他投标人或者第三方机构参与验收。参与验收的投标人或者第三方机构的意见作为验收书的参考资料一并存档。</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highlight w:val="white"/>
        </w:rPr>
      </w:r>
    </w:p>
    <w:p>
      <w:pPr>
        <w:ind w:left="0" w:right="0" w:firstLine="482"/>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35、付款</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按照以下确定的付款方式，采购人及时办理付款手续。对于满足合同约定支付条件的，自收到发票后10个工作日内将资金支付到合同约定的供应商账户或供应商数字人民币账户。</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付款方式：同采购需求。</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264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第三章合同文本</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以下为中标后签定本项目合同的通用条款，投标人不得提出实质性的修改。</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关于专用条款将由采购人与投标人结合本项目具体情况协商后签订。</w:t>
      </w:r>
      <w:r>
        <w:rPr>
          <w:highlight w:val="white"/>
        </w:rPr>
      </w:r>
    </w:p>
    <w:p>
      <w:pPr>
        <w:ind w:left="0" w:right="0" w:firstLine="0"/>
        <w:jc w:val="center"/>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政府采购合同（货物）（合同编号）</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项目名称：泗阳县实验初级中学数字孪生校园综合管理系统采购项目</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w:t>
      </w:r>
      <w:r>
        <w:rPr>
          <w:rFonts w:ascii="Segoe UI" w:hAnsi="Segoe UI" w:eastAsia="Segoe UI" w:cs="Segoe UI"/>
          <w:color w:val="000000"/>
          <w:sz w:val="21"/>
          <w:highlight w:val="white"/>
        </w:rPr>
        <w:t xml:space="preserve">JSZC-321323-NJZX-G2026-0001</w:t>
      </w:r>
      <w:r>
        <w:rPr>
          <w:rFonts w:ascii="SimSun" w:hAnsi="SimSun" w:eastAsia="SimSun" w:cs="SimSun"/>
          <w:color w:val="000000"/>
          <w:sz w:val="24"/>
          <w:highlight w:val="white"/>
        </w:rPr>
        <w:t xml:space="preserve">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分包号：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甲方：（买方）_________</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乙方：（卖方）_________</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甲、乙双方根据泗阳县实验初级中学数字孪生校园综合管理系统采购项目（项目编号：</w:t>
      </w:r>
      <w:r>
        <w:rPr>
          <w:rFonts w:ascii="Segoe UI" w:hAnsi="Segoe UI" w:eastAsia="Segoe UI" w:cs="Segoe UI"/>
          <w:color w:val="000000"/>
          <w:sz w:val="21"/>
          <w:highlight w:val="white"/>
        </w:rPr>
        <w:t xml:space="preserve">JSZC-321323-NJZX-G2026-0001</w:t>
      </w:r>
      <w:r>
        <w:rPr>
          <w:rFonts w:ascii="SimSun" w:hAnsi="SimSun" w:eastAsia="SimSun" w:cs="SimSun"/>
          <w:color w:val="000000"/>
          <w:sz w:val="24"/>
          <w:highlight w:val="white"/>
        </w:rPr>
        <w:t xml:space="preserve">）公开招标的结果，签署本合同。</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一、合同内容</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 标的名称：泗阳县实验初级中学数字孪生校园综合管理系统采购项目</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 标的质量：合格；提供的产品性能及质量有国家标准的应符合国家标准。无国家标准的应符合行业标准或企业标准，并满足招标文件要求，实现投标文件承诺条款。</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 标的数量（规模）：</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 履行时间（期限）</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合同履约期限：40日历天；</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免费运行维护期限：3年（自项目验收合格之日起计算）；</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 履行地点：采购人指定地点。</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 履行方式：</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 包装方式：本次采购产品涉及商品包装和快递包装要求的，应不低于《关于印发《商品包装政府采购需求标准（试行）》《快递包装政府采购需求标准（试行）》的通知》（财办库〔2020〕123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二、合同金额</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 本合同金额为（大写）：</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元）人民币或其他币种。</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三、技术资料</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3.1乙方应按招标文件规定的时间向甲方提供使用货物(包含与货物相关的服务)的有关技术资料。</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四、知识产权</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五、产权担保</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 乙方保证所交付的货物（包含与货物相关的服务）的所有权完全属于乙方且无任何抵押、查封等产权瑕疵。</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六、履约保证金</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履约保证金应在采购合同签订前提交，履约保证金的金额：</w:t>
      </w:r>
      <w:r>
        <w:rPr>
          <w:rFonts w:ascii="SimSun" w:hAnsi="SimSun" w:eastAsia="SimSun" w:cs="SimSun"/>
          <w:color w:val="000000"/>
          <w:sz w:val="24"/>
          <w:highlight w:val="white"/>
          <w:u w:val="single"/>
        </w:rPr>
        <w:t xml:space="preserve">  中标价的</w:t>
      </w:r>
      <w:r>
        <w:rPr>
          <w:rFonts w:ascii="Times New Roman" w:hAnsi="Times New Roman" w:eastAsia="Times New Roman" w:cs="Times New Roman"/>
          <w:color w:val="000000"/>
          <w:sz w:val="24"/>
          <w:highlight w:val="white"/>
          <w:u w:val="single"/>
        </w:rPr>
        <w:t xml:space="preserve">10% </w:t>
      </w:r>
      <w:r>
        <w:rPr>
          <w:rFonts w:ascii="SimSun" w:hAnsi="SimSun" w:eastAsia="SimSun" w:cs="SimSun"/>
          <w:color w:val="000000"/>
          <w:sz w:val="24"/>
          <w:highlight w:val="white"/>
        </w:rPr>
        <w:t xml:space="preserve">，按采购合同总价的</w:t>
      </w:r>
      <w:r>
        <w:rPr>
          <w:rFonts w:ascii="Times New Roman" w:hAnsi="Times New Roman" w:eastAsia="Times New Roman" w:cs="Times New Roman"/>
          <w:color w:val="000000"/>
          <w:sz w:val="24"/>
          <w:highlight w:val="white"/>
          <w:u w:val="single"/>
        </w:rPr>
        <w:t xml:space="preserve"> 10 %</w:t>
      </w:r>
      <w:r>
        <w:rPr>
          <w:rFonts w:ascii="SimSun" w:hAnsi="SimSun" w:eastAsia="SimSun" w:cs="SimSun"/>
          <w:color w:val="000000"/>
          <w:sz w:val="24"/>
          <w:highlight w:val="white"/>
        </w:rPr>
        <w:t xml:space="preserve">计取，如使用江苏政府采购电子履约保函（保险）代替缴纳履约保证金的，按采购合同总价的</w:t>
      </w:r>
      <w:r>
        <w:rPr>
          <w:rFonts w:ascii="Times New Roman" w:hAnsi="Times New Roman" w:eastAsia="Times New Roman" w:cs="Times New Roman"/>
          <w:color w:val="000000"/>
          <w:sz w:val="24"/>
          <w:highlight w:val="white"/>
          <w:u w:val="single"/>
        </w:rPr>
        <w:t xml:space="preserve"> 6% </w:t>
      </w:r>
      <w:r>
        <w:rPr>
          <w:rFonts w:ascii="SimSun" w:hAnsi="SimSun" w:eastAsia="SimSun" w:cs="SimSun"/>
          <w:color w:val="000000"/>
          <w:sz w:val="24"/>
          <w:highlight w:val="white"/>
        </w:rPr>
        <w:t xml:space="preserve">计取。除银行电汇、网上银行（从中标人法人基本存款账户转出）外，供应商还可选用银行保函、担保公司的保证担保或保险公司的保证保险等多种形式向采购人缴纳。</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户名：泗阳县财政局国库股</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开户行：泗阳农商行营业部</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账号：</w:t>
      </w:r>
      <w:r>
        <w:rPr>
          <w:rFonts w:ascii="Times New Roman" w:hAnsi="Times New Roman" w:eastAsia="Times New Roman" w:cs="Times New Roman"/>
          <w:color w:val="000000"/>
          <w:sz w:val="24"/>
          <w:highlight w:val="white"/>
        </w:rPr>
        <w:t xml:space="preserve">3213232701201000013869</w:t>
      </w:r>
      <w:r>
        <w:rPr>
          <w:highlight w:val="white"/>
        </w:rPr>
      </w:r>
    </w:p>
    <w:p>
      <w:pPr>
        <w:ind w:left="0" w:right="0" w:firstLine="482"/>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履约保证金退还的条件：</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货物类项目，项目验收合格，出具验收报告及履约保证金收据申请退付；</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履约保证金退还时间：采购人收到成交供应商退付申请后</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个工作日内退还；</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履约保证金不予退还情形：除不可抗力外，成交供应商不履行与采购人订立的采购合同的，履约保证金不予退还，给采购人造成的损失超过履约保证金数额的，还应当对超过部分予以赔偿。</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highlight w:val="white"/>
        </w:rPr>
        <w:t xml:space="preserve">20</w:t>
      </w:r>
      <w:r>
        <w:rPr>
          <w:rFonts w:ascii="SimSun" w:hAnsi="SimSun" w:eastAsia="SimSun" w:cs="SimSun"/>
          <w:color w:val="000000"/>
          <w:sz w:val="24"/>
          <w:highlight w:val="white"/>
        </w:rPr>
        <w:t xml:space="preserve">％后的利率支付超期资金占用费，但因成交供应商自身原因导致无法及时退还的除外。</w:t>
      </w:r>
      <w:r>
        <w:rPr>
          <w:highlight w:val="white"/>
        </w:rPr>
      </w:r>
    </w:p>
    <w:p>
      <w:pPr>
        <w:ind w:left="0" w:right="0" w:firstLine="60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的通知》（苏财购﹝</w:t>
      </w:r>
      <w:r>
        <w:rPr>
          <w:rFonts w:ascii="Times New Roman" w:hAnsi="Times New Roman" w:eastAsia="Times New Roman" w:cs="Times New Roman"/>
          <w:color w:val="000000"/>
          <w:sz w:val="24"/>
          <w:highlight w:val="white"/>
        </w:rPr>
        <w:t xml:space="preserve">2023</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150</w:t>
      </w:r>
      <w:r>
        <w:rPr>
          <w:rFonts w:ascii="SimSun" w:hAnsi="SimSun" w:eastAsia="SimSun" w:cs="SimSun"/>
          <w:color w:val="000000"/>
          <w:sz w:val="24"/>
          <w:highlight w:val="white"/>
        </w:rPr>
        <w:t xml:space="preserve">号）。</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七、合同转包或分包</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7.1乙方不得将合同标的转包给他人履行。</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7.2乙方不得将合同标的分包给他人履行。</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7.3乙方如有转包或未经甲方同意的分包行为，甲方有权给予终止合同。</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八、合同款项支付</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8.1按照以下确定的付款方式，采购人及时办理付款手续。对于满足合同约定支付条件的，自收到发票后</w:t>
      </w:r>
      <w:r>
        <w:rPr>
          <w:rFonts w:ascii="SimSun" w:hAnsi="SimSun" w:eastAsia="SimSun" w:cs="SimSun"/>
          <w:color w:val="000000"/>
          <w:sz w:val="24"/>
          <w:highlight w:val="white"/>
          <w:u w:val="single"/>
        </w:rPr>
        <w:t xml:space="preserve">10个工作</w:t>
      </w:r>
      <w:r>
        <w:rPr>
          <w:rFonts w:ascii="SimSun" w:hAnsi="SimSun" w:eastAsia="SimSun" w:cs="SimSun"/>
          <w:color w:val="000000"/>
          <w:sz w:val="24"/>
          <w:highlight w:val="white"/>
        </w:rPr>
        <w:t xml:space="preserve">日内将资金支付到合同约定的供应商账户或供应商数字人民币账户。</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预付款：签订合同后10日内支付合同价的30%；</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进度款：项目通过验收后付至合同价的90%，余款待免费运行维护期满后付清（无息）。</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资金支付的时间：收到供应商发票10个工作日内将资金支付到合同约定的供应商账户或供应商数字人民币账户。</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资金支付的条件：满足相应阶段的要求且收到供应商发票；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注：在签订合同时，中标人明确表示无需预付款或者主动要求降低预付款比例的金额，采购人可不适用预付款规定。 </w:t>
      </w:r>
      <w:r>
        <w:rPr>
          <w:rFonts w:ascii="SimSun" w:hAnsi="SimSun" w:eastAsia="SimSun" w:cs="SimSun"/>
          <w:color w:val="000000"/>
          <w:sz w:val="21"/>
          <w:highlight w:val="white"/>
        </w:rPr>
        <w:t xml:space="preserve"> </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九、税费</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9.1本合同执行中相关的一切税费均由乙方负担。</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十、质量保修范围和保修期及售后服务</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 乙方应按招标文件规定的货物性能、技术要求、质量标准向甲方提供未经使用的全新产品。</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10.2 乙方提供的货物在质量期内因货物本身的质量问题发生故障，乙方应负责更换。对达不到技术要求者，根据实际情况，经双方协商，可按以下办法处理：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⑴更换：由乙方承担所发生的全部费用。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⑵贬值处理：由甲乙双方合议定价。</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⑶退货处理：乙方应退还甲方支付的合同款，同时应承担该货物的直接费用（运输、保险、检验、货款利息及银行手续费等）。</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 如在使用过程中发生质量问题，乙方在接到甲方通知后在___</w:t>
      </w:r>
      <w:r>
        <w:rPr>
          <w:rFonts w:ascii="SimSun" w:hAnsi="SimSun" w:eastAsia="SimSun" w:cs="SimSun"/>
          <w:color w:val="000000"/>
          <w:sz w:val="24"/>
          <w:highlight w:val="white"/>
          <w:u w:val="single"/>
        </w:rPr>
        <w:t xml:space="preserve">24_</w:t>
      </w:r>
      <w:r>
        <w:rPr>
          <w:rFonts w:ascii="SimSun" w:hAnsi="SimSun" w:eastAsia="SimSun" w:cs="SimSun"/>
          <w:color w:val="000000"/>
          <w:sz w:val="24"/>
          <w:highlight w:val="white"/>
        </w:rPr>
        <w:t xml:space="preserve">__小时内到达甲方现场。</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10.4 在质保期内，乙方应对货物出现的质量及安全问题负责处理解决并承担一切费用。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10.5免费运行维护期限：3年 ，自项目验收合格之日起，因人为因素出现的故障不在保修范围内。超过保修期的机器设备，终生维修，维修时只收部件成本费、软件终身免费维护。</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十一、项目验收</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11.1 甲方依法组织履约验收工作。</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11.3 对于实际使用人和甲方分离的项目，甲方邀请实际使用人参与验收。</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11.4 如有必要，甲方邀请参加本项目的其他供应商或第三方专业机构及专家参与验收，相关意见将作为验收书的参考资料。</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十二、货物的包装、发运及运输</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12.2 使用说明书、质量检验证明书、随配附件和工具以及清单一并附于货物内。</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12.3 乙方在货物发运手续办理完毕后24小时内或货到甲方48小时前通知甲方，以准备接货。</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12.4 货物在交付甲方前发生的风险均由乙方负责。</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12.5 货物在规定的交付期限内由乙方送达甲方指定的地点视为交付，乙方同时需通知甲方货物已送达。</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十三、违约责任</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13.1 甲方无正当理由拒收货物的，甲方向乙方偿付拒收货款总值</w:t>
      </w:r>
      <w:r>
        <w:rPr>
          <w:rFonts w:ascii="SimSun" w:hAnsi="SimSun" w:eastAsia="SimSun" w:cs="SimSun"/>
          <w:color w:val="000000"/>
          <w:sz w:val="24"/>
          <w:highlight w:val="white"/>
          <w:u w:val="single"/>
        </w:rPr>
        <w:t xml:space="preserve"> 5%  </w:t>
      </w:r>
      <w:r>
        <w:rPr>
          <w:rFonts w:ascii="SimSun" w:hAnsi="SimSun" w:eastAsia="SimSun" w:cs="SimSun"/>
          <w:color w:val="000000"/>
          <w:sz w:val="24"/>
          <w:highlight w:val="white"/>
        </w:rPr>
        <w:t xml:space="preserve">的违约金。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13.2 甲方无故逾期验收和办理货款支付手续的,甲方应按逾期付款总额每日    向乙方支付违约金。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 乙方逾期交付货物的，乙方应按逾期交货总额每日千分之三向甲方支付违约金，由甲方从待付货款中扣除。逾期超过约定日期10个工作日不能交货的，甲方可解除本合同。乙方因逾期交货或因其他违约行为导致甲方解除合同的，乙方应向甲方支付合同总值</w:t>
      </w:r>
      <w:r>
        <w:rPr>
          <w:rFonts w:ascii="SimSun" w:hAnsi="SimSun" w:eastAsia="SimSun" w:cs="SimSun"/>
          <w:color w:val="000000"/>
          <w:sz w:val="24"/>
          <w:highlight w:val="white"/>
          <w:u w:val="single"/>
        </w:rPr>
        <w:t xml:space="preserve"> 20% </w:t>
      </w:r>
      <w:r>
        <w:rPr>
          <w:rFonts w:ascii="SimSun" w:hAnsi="SimSun" w:eastAsia="SimSun" w:cs="SimSun"/>
          <w:color w:val="000000"/>
          <w:sz w:val="24"/>
          <w:highlight w:val="white"/>
        </w:rPr>
        <w:t xml:space="preserve">的违约金，如造成甲方损失超过违约金的，超出部分由乙方继续承担赔偿责任。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十四、供应商合法权益补偿机制</w:t>
      </w:r>
      <w:r>
        <w:rPr>
          <w:highlight w:val="white"/>
        </w:rPr>
      </w:r>
    </w:p>
    <w:p>
      <w:pPr>
        <w:ind w:left="0" w:right="0" w:firstLine="480"/>
        <w:spacing w:before="240" w:after="24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供应商合法权益补偿救济机制。在履约过程因政策变化、规划调整而无法履行合同约定，造成企业合法权益受损的，采购人依据实际情况对供应商进行补偿救济。</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十五、不可抗力事件处理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15.1 在合同有效期内，任何一方因不可抗力事件导致不能履行合同，则合同履行期可延长，其延长期与不可抗力影响期相同。</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15.2 不可抗力事件发生后，应立即通知对方，并寄送有关权威机构出具的证明。</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15.3 不可抗力事件延续120天以上，双方应通过友好协商，确定是否继续履行合同。</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十六、解决争议的方法</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16.1甲乙双方因合同签订、履行而发生的一切争议，应通过友好协商解决。如协商不成由甲方住所地人民法院管辖。</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十七、合同生效及其它</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17.1 合同经双方法定代表人或授权委托代表人签字并加盖单位公章后生效。</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17.2 本合同未尽事宜，遵照中华人民共和国现行法律法规有关条文执行。</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17.3 本合同正本一式六份，具有同等法律效力，甲方、乙方各执三份。</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甲方：乙方：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地址：地址：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法定代表人或授权代表：法定代表人或授权代表：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联系电话：联系电话：</w:t>
      </w:r>
      <w:r>
        <w:rPr>
          <w:highlight w:val="white"/>
        </w:rPr>
      </w:r>
    </w:p>
    <w:p>
      <w:pPr>
        <w:ind w:left="0" w:right="0" w:firstLine="420"/>
        <w:jc w:val="center"/>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rFonts w:ascii="SimSun" w:hAnsi="SimSun" w:eastAsia="SimSun" w:cs="SimSun"/>
          <w:color w:val="000000"/>
          <w:sz w:val="24"/>
          <w:highlight w:val="white"/>
        </w:rPr>
        <w:t xml:space="preserve">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签订日期：年月日 </w:t>
      </w:r>
      <w:r>
        <w:rPr>
          <w:highlight w:val="white"/>
        </w:rPr>
      </w:r>
    </w:p>
    <w:p>
      <w:pPr>
        <w:ind w:left="0" w:right="0" w:firstLine="0"/>
        <w:jc w:val="center"/>
        <w:spacing w:before="120" w:after="12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第四章 采购需求</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项目属性：货物类项目</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本项目采购标的对应的中小企业划分标准所属行业：</w:t>
      </w:r>
      <w:r>
        <w:rPr>
          <w:rFonts w:ascii="SimSun" w:hAnsi="SimSun" w:eastAsia="SimSun" w:cs="SimSun"/>
          <w:color w:val="000000"/>
          <w:sz w:val="24"/>
          <w:highlight w:val="white"/>
          <w:u w:val="single"/>
        </w:rPr>
        <w:t xml:space="preserve"> 工业（制造业）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w:t>
      </w:r>
      <w:r>
        <w:rPr>
          <w:rFonts w:ascii="SimSun" w:hAnsi="SimSun" w:eastAsia="SimSun" w:cs="SimSun"/>
          <w:color w:val="000000"/>
          <w:sz w:val="24"/>
          <w:highlight w:val="white"/>
          <w:u w:val="single"/>
        </w:rPr>
        <w:t xml:space="preserve"> 不接受 </w:t>
      </w:r>
      <w:r>
        <w:rPr>
          <w:rFonts w:ascii="SimSun" w:hAnsi="SimSun" w:eastAsia="SimSun" w:cs="SimSun"/>
          <w:color w:val="000000"/>
          <w:sz w:val="24"/>
          <w:highlight w:val="white"/>
        </w:rPr>
        <w:t xml:space="preserve">（接受/不接受）进口产品。</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w:t>
      </w:r>
      <w:r>
        <w:rPr>
          <w:rFonts w:ascii="SimSun" w:hAnsi="SimSun" w:eastAsia="SimSun" w:cs="SimSun"/>
          <w:b/>
          <w:color w:val="000000"/>
          <w:sz w:val="30"/>
          <w:highlight w:val="white"/>
        </w:rPr>
        <w:t xml:space="preserve">项目概述</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w:t>
      </w:r>
      <w:r>
        <w:rPr>
          <w:rFonts w:ascii="SimSun" w:hAnsi="SimSun" w:eastAsia="SimSun" w:cs="SimSun"/>
          <w:color w:val="000000"/>
          <w:sz w:val="24"/>
          <w:highlight w:val="white"/>
          <w:u w:val="single"/>
        </w:rPr>
        <w:t xml:space="preserve"> 设定 </w:t>
      </w:r>
      <w:r>
        <w:rPr>
          <w:rFonts w:ascii="SimSun" w:hAnsi="SimSun" w:eastAsia="SimSun" w:cs="SimSun"/>
          <w:color w:val="000000"/>
          <w:sz w:val="24"/>
          <w:highlight w:val="white"/>
        </w:rPr>
        <w:t xml:space="preserve">最高限价，最高限价：120万元。</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需求（简介）：建设数字孪生校园综合管理平台，包含数字化校园安全管理及分析预警设施设备，学生AI体育运动测练监测分析设施设备，室外心理健康减压设施设备。将心理健康数据云平台及心理热线接听系统、数字化课堂实时巡、评课系统接入新建的数字孪生校园综合管理平台等内容。</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核心产品： Ai测练一体机、校园数字孪生平台</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3.合同履行期限：</w:t>
      </w:r>
      <w:r>
        <w:rPr>
          <w:rFonts w:ascii="SimSun" w:hAnsi="SimSun" w:eastAsia="SimSun" w:cs="SimSun"/>
          <w:color w:val="000000"/>
          <w:sz w:val="24"/>
          <w:highlight w:val="white"/>
          <w:u w:val="single"/>
        </w:rPr>
        <w:t xml:space="preserve">40</w:t>
      </w:r>
      <w:r>
        <w:rPr>
          <w:rFonts w:ascii="SimSun" w:hAnsi="SimSun" w:eastAsia="SimSun" w:cs="SimSun"/>
          <w:color w:val="000000"/>
          <w:sz w:val="24"/>
          <w:highlight w:val="white"/>
        </w:rPr>
        <w:t xml:space="preserve">日历天。 </w:t>
      </w:r>
      <w:r>
        <w:rPr>
          <w:highlight w:val="white"/>
        </w:rPr>
      </w:r>
    </w:p>
    <w:p>
      <w:pPr>
        <w:ind w:left="0" w:right="0" w:firstLine="480"/>
        <w:jc w:val="both"/>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4.免费运行维护期限：3年（自项目验收合格之日起计算）。</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5.付款方式：按照以下确定的付款方式，采购人及时办理付款手续。对于满足合同约定支付条件的，自收到发票后</w:t>
      </w:r>
      <w:r>
        <w:rPr>
          <w:rFonts w:ascii="SimSun" w:hAnsi="SimSun" w:eastAsia="SimSun" w:cs="SimSun"/>
          <w:color w:val="000000"/>
          <w:sz w:val="24"/>
          <w:highlight w:val="white"/>
          <w:u w:val="single"/>
        </w:rPr>
        <w:t xml:space="preserve">10个工作</w:t>
      </w:r>
      <w:r>
        <w:rPr>
          <w:rFonts w:ascii="SimSun" w:hAnsi="SimSun" w:eastAsia="SimSun" w:cs="SimSun"/>
          <w:color w:val="000000"/>
          <w:sz w:val="24"/>
          <w:highlight w:val="white"/>
        </w:rPr>
        <w:t xml:space="preserve">日内将资金支付到合同约定的供应商账户或供应商数字人民币账户。</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预付款：签订合同后10日内支付合同价的30%；</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进度款：项目通过验收后付至合同价的90%，余款待免费运行维护期满后付清（无息）。</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资金支付的时间：收到供应商发票10个工作日内将资金支付到合同约定的供应商账户或供应商数字人民币账户。</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资金支付的条件：满足相应阶段的要求且收到供应商发票；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注：在签订合同时，中标人明确表示无需预付款或者主动要求降低预付款比例的金额，采购人可不适用预付款规定。 </w:t>
      </w:r>
      <w:r>
        <w:rPr>
          <w:rFonts w:ascii="SimSun" w:hAnsi="SimSun" w:eastAsia="SimSun" w:cs="SimSun"/>
          <w:color w:val="000000"/>
          <w:sz w:val="21"/>
          <w:highlight w:val="white"/>
        </w:rPr>
        <w:t xml:space="preserve"> </w:t>
      </w:r>
      <w:r>
        <w:rPr>
          <w:highlight w:val="white"/>
        </w:rPr>
      </w:r>
    </w:p>
    <w:p>
      <w:pPr>
        <w:ind w:left="0" w:right="0" w:firstLine="36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6.质量：合格</w:t>
      </w:r>
      <w:r>
        <w:rPr>
          <w:highlight w:val="white"/>
        </w:rPr>
      </w:r>
    </w:p>
    <w:p>
      <w:pPr>
        <w:ind w:left="0" w:right="0" w:firstLine="360"/>
        <w:jc w:val="both"/>
        <w:spacing w:before="0" w:after="0" w:line="559" w:lineRule="atLeast"/>
        <w:tabs>
          <w:tab w:val="left" w:pos="312"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7.验收标准：合格，符合国家、行业质量要求。</w:t>
      </w:r>
      <w:r>
        <w:rPr>
          <w:highlight w:val="white"/>
        </w:rPr>
      </w:r>
    </w:p>
    <w:p>
      <w:pPr>
        <w:ind w:left="0" w:right="0" w:firstLine="0"/>
        <w:jc w:val="both"/>
        <w:spacing w:before="360" w:after="200" w:line="559" w:lineRule="atLeast"/>
        <w:tabs>
          <w:tab w:val="left" w:pos="42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二、采购清单及技术要求</w:t>
      </w:r>
      <w:r>
        <w:rPr>
          <w:highlight w:val="white"/>
        </w:rPr>
      </w:r>
    </w:p>
    <w:p>
      <w:pPr>
        <w:numPr>
          <w:ilvl w:val="0"/>
          <w:numId w:val="12"/>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AI智慧体育平台</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
        <w:gridCol w:w="1251"/>
        <w:gridCol w:w="6126"/>
        <w:gridCol w:w="706"/>
        <w:gridCol w:w="706"/>
      </w:tblGrid>
      <w:tr>
        <w:trPr>
          <w:trHeight w:val="5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设备名称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产品参数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w:t>
            </w:r>
            <w:r>
              <w:rPr>
                <w:highlight w:val="white"/>
              </w:rP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Ai测练一体机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1、金属外壳，整机屏前保护采用防爆玻璃，支持室外工作，防护等级≧IP55，固定化部署。</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2、液晶屏（LCD），屏幕≧65寸，支持触控，≧1920×1080分辨率。</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3、设备基于AI视觉技术实现运动过程中的人机智能交互，通过智能触显模块实现运动数据显示与查询。</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4、设备支持算法和模型完全独立运行，无需依赖额外的GPU服务器。</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5、基于AI视觉算法检测和提取运动目标，实时捕捉人体关节点，实现运动过程中的人体姿态识别。</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6、基于AI视觉技术，实现身份认证、手势切换项目、各个运动区域独立计时计数，全程无需人工干预。</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7、内部配置AI摄像机≧1台，有效像素阵列3840（H）×2160（V），镜头尺寸1/1.8，帧率≥30帧，视频编码格式支持H.265、H.264、MJPEG。</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8、自主锻炼：</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（1）支持无标记同屏锻炼模式，无需地面标识即可实现自主测量与训练，人员任意站位，同屏锻炼人数支持10人以上。项目包括跳绳、开合跳、蹲跳、左右跳、深蹲。</w:t>
            </w:r>
            <w:r>
              <w:rPr>
                <w:highlight w:val="white"/>
              </w:rPr>
            </w:r>
          </w:p>
          <w:p>
            <w:pPr>
              <w:numPr>
                <w:ilvl w:val="0"/>
                <w:numId w:val="13"/>
              </w:numP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训练模式支持随来随练，举手识别成功后即开始运动，无需等待其他点位学生识别。</w:t>
            </w:r>
            <w:r>
              <w:rPr>
                <w:highlight w:val="white"/>
              </w:rPr>
            </w:r>
          </w:p>
          <w:p>
            <w:pPr>
              <w:numPr>
                <w:ilvl w:val="0"/>
                <w:numId w:val="13"/>
              </w:numP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支持同场多项目自选测试：各测试点位人员可通过手势操作自由切换测试项目，实现不同人员同时开展不同项目的并行测试。</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9、课堂教学</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（1）支持肌肉耐力、肌肉力量、平衡柔韧、速度、灵敏协调、爆发力等类别的课堂练习课程。</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（2）每一课堂课程，由多个课程分解动作组成，设置内容至少包括课程目标、时长、水平等级等。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（3）▲课程支持AI跟练模式，教师可选择单人模式或多人模式，学生跟随动作教学视频进行运动，系统通过摄像头实时分析和识别多名学生的身份和运动数据。（投标文件中需提供功能截图并加盖投标人公章）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（4）课程支持视频播放模式，播放动作教学视频，学生跟随练习。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（5）每一热身活动由多个课程分解动作组成，可选择AI跟练或视频播放两种模式。（投标文件中需提供功能截图并加盖投标人公章）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（6）课程动作支持5人及以上同时运动，动作项目库包括收腹跳、简易波比、开合深蹲跳、提膝跳、前后跳、并步跳、半蹲轻跳、吸腿跳、直腿轻跳。</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（7）拥有素养、技能等类别的教学视频。</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10、体测模拟</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（1）体测模拟项目包括立定跳远、仰卧起坐、跳绳、坐位体前屈。</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（2）立定跳远支持踩线、单脚起跳的违规提示。仰卧起坐支持双手未抱头、双腿未屈膝的违规提示。跳绳支持未持绳提示。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（3）体测项目支持测试模式，所有学生识别成功后同时开始，同时结束，中途离开不会自动结束。</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（4）通过设备屏幕的触控操作，查看运动记录、排行榜，测试模式下的体测项目运动记录支持查看测试报告、视频回放。</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（5）支持从教学资源动作视频库中选择教学视频呈现在设备上，资源数量≥80个，资源主题包含基本运动技能、基础体能、体考专项等。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11、数据功能</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（1）提供学校体育数据概览，体育数据可视化呈现，至少包括体育测试数据、体能锻炼数据的多维统计与综合分析等内容。</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（2）整体呈现使用人次、学生参与度（测试人数占比、锻炼人数占比），可查询各学年数据。</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（3）呈现体测项目或体能项目的校园排行榜与运动记录。</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12、运动项目全部采用基于视觉的AI算法模型实现身份认证、运动过程分析和实时计时计数，无其他辅助设备或人工参与。</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13、设备支持算法和模型完全独立运行，无需依赖额外的GPU服务器。支持算法和模型完全独立运行，无需依赖额外的GPU服务器。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14、学生可以查询本人的运动次数、运动时长、成绩平均分、体测合格率，并生成包含力量、耐力、速度、柔韧、灵敏的运动能力雷达图，以及运动能力点评。</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支持无标记同屏锻炼模式，无需地面标识即可实现自主测量和训练，人员任意站位，每个参与人员可以选择不同项目进行测训，锻炼项目包括但不限于跳绳、开合跳、蹲跳、左右跳、深蹲等。同屏锻炼支持10人以上。（投标文件中需提供产品现场截图并加盖投标人公章</w:t>
            </w:r>
            <w:r>
              <w:rPr>
                <w:rFonts w:ascii="KaiTi" w:hAnsi="KaiTi" w:eastAsia="KaiTi" w:cs="KaiTi"/>
                <w:color w:val="000000"/>
                <w:sz w:val="24"/>
                <w:highlight w:val="white"/>
              </w:rPr>
              <w:t xml:space="preserve">）</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16、▲所投产品需在投标文件中提供该产品的制造商授权证明并加盖制造商公章；</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套</w:t>
            </w:r>
            <w:r>
              <w:rPr>
                <w:highlight w:val="white"/>
              </w:rP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Ai体测一体机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该一体机须同时支持身高、体重、坐位体前屈、肺活量、一分钟跳绳、一分钟仰卧起坐、立定跳远这几项测训项目，其中一分钟跳绳、一分钟仰卧起坐项目必须支持≥2人同时测试；坐位体前屈、肺活量设备必须支持≥2人同时测试。（投标文件中需提供产品现场截图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2、设备能够同时识别并跟踪多位用户的测试状态，确保每位用户都能得到准确的数据记录；</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3、设备能够实时记录用户的测试数据，包括测试成绩、次数、测试得分点、测试成绩等，并上传到后台管理系统；</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一体机可持续分析测试中每帧图像，并基于关键点信息计算运动状态，针对学生关键动作具备对应的记录和数据分析，并与学生测试成绩一同保存提交至系统服务器，供学生、老师对受测时的运动状态进行有效的分析。</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一体机须同时支持身高、体重、坐位体前屈、肺活量、一分钟跳绳、一分钟仰卧起坐、立定跳远这几项测训项目，其中一分钟跳绳、一分钟仰卧起坐项目必须支持≥2人同时测试；坐位体前屈、肺活量设备必须支持≥2人同时测试。（投标文件中需提供产品现场截图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6、测试成绩支持自动归集，支持一键成绩整理功能、一键生成体测上报报表，简化数据整理和上报流程。可具备设备终端和云端两种记录方式并存，可随时查询并生成特定格式报表，支持体测成绩评级评分。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7、设备在各种环境下的稳定运行，提供可靠的数据处理能力。设备安全防护措施，可防止未经授权的访问和数据泄露。</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设备具有可自定义检录、测试区域围栏。设置完成后，受试人员必须前往指定区域才可进行检录或者各类型测试，并且在测试区域内的测试动作设备都将进行合规检验并即时通过警鸣提示或语音播报进行矫正，犯规动不计入最终成绩。</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9、设备支持体锻模式与体测模式，体锻模式通过学生人脸识别进行检录，体测模式支持人脸识别与教师触屏点名上场，两种模式覆盖项目与参与人数相同。</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立柜式一体机，设备高度2.3-2.5米的立柜式一体机；采用体重秤与测试仪一体化设计，体重秤可折叠收纳入AI体测一体机中的体重秤专用收纳舱中，身高测量无机械压板；设备舱体内收纳存放双工位电子肺活量测试仪，采用有线方式连接AI体测一体机，支持两人同时进行肺活量吹气检测。配备18.5-21寸LCD高亮触控屏幕；（投标文件中需提供产品现场截图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设备为基于计算机视觉技术，形态为一体机，集成了算力、摄像头、网络和显示等核心模块，简化部署和使用流程；不接受摄像头+算力+电视机的解决方案。（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12、设备配置有源防水音响，在检录、发令、成绩播报等环节提供智能引导，音响额定功率≥30W，频率响应100Hz-15KHz（±3db），信噪比＞70db。</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13、设备内置算力模块，处理器≥4核，内存≥4GB，存储≥64GB，主频 不低于 2.0GHz。</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14、一体机配备高性能内存和存储，采用DDR4双通道及以上插槽，不少于8G内存、内置专业商用固态硬盘，存储空间≥256G，可满足多任务处理和大容量数据存储需求</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15、采用优质立体声扬声器，提供清晰洪亮的声音输出。使用高分辨率和高感光度的AI摄像头，不低于100度广角无畸变感光工业级镜头，最高有效分辨率≥2688*1520，最高灵敏度不小于10000mv/Lux-sec。</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16、一体机防护等级不低于IP46，一体机具备防雨防雷击能力，可确保在室外环境下稳定运行。</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17、设备在接通电源后，能够自动完成开机过程，无需人工干预；在没有用户使用时，设备会自动进入待机状态，降低能耗，延长使用寿命；管理员设置定时，自动开关机。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18、★本次项目该型号设备新采购4套，同时需将采购方原有2套设备并入，与新建体育教学管理平台互联互通。（投标文件中需提供承诺函并加盖投标人公章）</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套</w:t>
            </w:r>
            <w:r>
              <w:rPr>
                <w:highlight w:val="white"/>
              </w:rP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Ai短跑测试仪</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numPr>
                <w:ilvl w:val="0"/>
                <w:numId w:val="14"/>
              </w:numP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规格参数：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适用项目：50米跑 / 100米跑 /200米/ 400米</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测量范围：0~999.99s</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有效量程：0~999.99s</w:t>
              <w:br/>
              <w:t xml:space="preserve">分度值：0.01s</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误差：±1.5%</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二、功能参数：</w:t>
              <w:br/>
              <w:t xml:space="preserve">1、在标准的田径场地上进行，支持50米、100米测试，自带发令设备，接入系统。</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50米跑/100米跑支持自助跑模式：支持自主举手检录，测试人员站立于起点线后举手示意，通过起点摄像头完成人脸识别检录，检录通过后系统自动进入测试流程。系统同时兼容老师发令测试、手机遥控器控制、按道次点名检录等多种模式。</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3、200米/400米跑支持模式：支持老师发令测试</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4、测试学生同时测试，站立式起跑，当听到系统信号后起跑，起跑口令为：“各就位、预备”—鸣哨，支持自定义口令，抢跑者需记录。</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5、每套设备至少需部署两个摄像头点位，分别为终点摄像头与自助起跑点摄像头。</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6、至少支持以下测试项目：8道50米自助跑、8道50米 / 100米点名发令跑、4 道100米自助跑。</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7、▲系统支持自动划线功能，无需人工定位与标记，可自动识别跑道起点线、终点线、道边线等跑道标识。（投标文件中需提供功能界面截图并加盖投标人公章）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8、测试学生躯干通过终点线时，系统以秒为单位精确记录测试成绩；音柱实时播报当前组别成绩；支持电子屏幕同步显示实时测试与训练成绩。</w:t>
              <w:br/>
              <w:t xml:space="preserve">9、无需手动操作及其他辅助设备，测试数据实时自动归集到主机。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10、基于AI视觉分析智能捕捉跑步测试过程视频，自动计算出成绩并上传系统，无需穿戴电子设备或号码服。</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11、支持配置国家学生体质健康测试标准，以及支持自定义配置体育考试项目评分标准。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12、系统支持自动识别踩线、抢跑、窜道、换人等违规行为。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13、测试主机采用Android或基于Linux的开源嵌入式操作系统，内置测试软件。</w:t>
              <w:br/>
              <w:t xml:space="preserve">14、系统支持手机遥控器控制摄像头的预置点、参数、云台控制功能。（投标文件中需提供功能界面截图并加盖投标人公章）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三、硬件参数：</w:t>
              <w:br/>
              <w:t xml:space="preserve">1、每套终点配有不低于1颗摄像设备，捕捉最远距离不小于70米；在50米起点处配有不低于1颗摄像设备。可支持起点位置可以跟终点位置合并成一根立杆完成起点与终点摄像设备的部署。</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2、摄像设备支持防补光过曝。能清晰保存暗处细节，抑制亮处过曝。背光补偿提升逆光环境的图像质量，3D 降噪消除图像中噪点。</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3、摄像设备符合IP66防护认证。内置加热玻璃，防雨水，有效除雾抵抗恶劣天气侵袭，时刻保持设备正常运作。</w:t>
              <w:br/>
              <w:t xml:space="preserve">4、配有至少一台30W IP 网络音柱及对应的 IP 功放设备。</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5、▲设备部署时在田径场上立横杆长度不超过1.2米，可使用操场外围场地进行部署，达到无感知部署。（投标文件中需提供实物图片证明并加盖投标人公章）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6、可兼容支持有线和无线两种网络部署方式。</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（一）人脸抓拍与捕捉学生运动视频摄像头主要参数: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1、分辨力不小于1400线，分辨率不低于2560×1440，支持自定义设置，帧率不低于25fps，可调，码率不低于6Mbps，可调，标配RJ45网络输出接口。</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2、红外作用距离支持可识别距设备100m的人体轮廓，支持23倍光学变焦，最大焦距110mm。</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3、最低照度支持彩色≤0.005Lux，黑白模式≤0.001Lux。</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4、可支持水平旋转范围为360°连续旋转，垂直旋转范围为-5°~90°。</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5、支持具有300个预置位，设备可按照所设置的预置位完成8条巡航路径，可按照所设置轨迹完成4条模式路径；在控制云镜时，可实现RS485接口优先或RJ45网络接口优先控制功能。</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6、在丢包率为20%的网络环境下，仍可正常显示监视画面。</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7、可将视频图像存储至SD卡或客户端，支持SD卡热插拔，支持不低于256GB存储。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8、设备应符合IP66的规定，温度65℃、-30℃，持续时间24h，试验期间设备处于工作状态，试验后设备应能正常工作。</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9、电源电压在DC12V±30%范围内变化时，设备应能正常工作。</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（二）音柱参数：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1、支持监听与对讲。</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2、支持ISUP、ISAPI协议，灵活接入平台。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3、支持安全启动、用户登录锁定机制及密码复杂度提示，支持安全审计日志事后可追溯，提升系统网络安全。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4、支持报警输入、布防计划及语音联动，支持TTS语音合成和文本广播，自然流畅的标准男女双声可选。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5、支持通过IP网络（局域网/公网），远程平台批量统一管理+本地WEB单机灵活配置，同时支持本地音频采集播放，适配各类场景应用。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6、采用高速工业级双核芯片，内置NOR Flash+EMMC双存储，支持系统双备份，系统稳定可靠。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7、支持广播混音、优先级灵活配置。</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8、支持NTP自动校时，系统时间与服务器自动同步，确保多设备播放同步和定时任务准时执行。</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9、支持实时和定时任务、隔天续播，支持60个定时任务，内置存储空间≥1GB，支持不少于1000个wav、mp3音频素材库管理。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10、采用网络音频解码、高性能D类功放及全频喇叭三合一。</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11、音频采集支持满足：麦克风类型：驻极体；阵列数量：2；频率响应：100 Hz~20 kHz；灵敏度：-42 dBV/Pa；采样率：48 kHz；量化位数：16 bit。</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12、音频输出满足：额定功率：不低于30 W；扬声器单元：中低音5.25′′ × 1，球顶高音0.75′′ × 1；灵敏度（1 m，1 W）：86 dB；最大声压级（1 m）：97.5 dBSPL；频率响应：100 Hz~20 kHz；信噪比：85dB。</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13、防护等级需满足IP66。</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（三）地面立杆参数：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1、▲立杆的高度介于4至6米之间，需要满足无感部署，如采用横臂长度不超过1.2米。（投标文件中需提供实物图片证明并加盖投标人公章）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2、监控立杆的基础法兰厚度≥14 mm。</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3、立杆的壁厚通介于3mm至6mm。</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4、立杆表面进行热镀锌喷塑处理，以提高防腐性能和美观度，符合相关国家标准和行业标准。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5、监控立杆的基础需采用标号不小于C25的商品混凝土，基础深度不小于1.5米，基础直径大于0.8米，以确保立杆的稳定性。</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6、立杆设计安装防雷电系统，并进行有效的接地。</w:t>
              <w:br/>
              <w:t xml:space="preserve">7、立杆需要配套室外防雨箱用于安装数据传输设备，防雨箱应有底盘基础，并达到IP54防护等级。</w:t>
            </w:r>
            <w:r>
              <w:rPr>
                <w:highlight w:val="white"/>
              </w:rPr>
            </w:r>
          </w:p>
          <w:p>
            <w:pPr>
              <w:numPr>
                <w:ilvl w:val="0"/>
                <w:numId w:val="15"/>
              </w:numP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智能单元主要参数：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1、部署于立杆之上，集成供电设备、网络交换机等配套设备，实现设备供电、网络传输及边缘算力处理一体化。</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2、★CPU：不低于四核 64 位处理器，主频不低于1.8GHz。</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3、★NPU：集成 RKNN NPU AI 加速器，INT8 算力不低于0.8Tops，支持 Caffe、TensorFlow、TFLite、ONNX、PyTorch、Keras、Darknet 架构模型一键转换。</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4、★VPU：支持4K@60fps H.265/H.264/VP9 视频解码；支持 1080P@100fps H.265视频编码、1080P@60fps H.264视频编码。</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5、★内存：≥4GB</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6、存储：支持 eMMC 模块（16GB～128GB）、SPI Flash（16MB～32MB）；支持 M.2 M-KEY 插槽，兼容 SATA3 或 PCIe2.0 NVME SSD。</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7、以太网收发器：支持 10/100/1000Mbps 以太网。</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both"/>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2（其中：50米跑 2套， 100米跑 1套，200米 1套， 400米 1套）</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套</w:t>
            </w:r>
            <w:r>
              <w:rPr>
                <w:highlight w:val="white"/>
              </w:rP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长跑测试仪（800米/1000米/1500米/校园阳光跑）</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numPr>
                <w:ilvl w:val="0"/>
                <w:numId w:val="16"/>
              </w:numP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规格参数：</w:t>
            </w:r>
            <w:r>
              <w:rPr>
                <w:highlight w:val="white"/>
              </w:rPr>
            </w:r>
          </w:p>
          <w:p>
            <w:pPr>
              <w:numPr>
                <w:ilvl w:val="0"/>
                <w:numId w:val="16"/>
              </w:numP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适用项目：800米跑、1000米跑、1500米、校园阳光跑</w:t>
              <w:br/>
              <w:t xml:space="preserve">有效量程：0~9999s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分度值：1s</w:t>
              <w:br/>
              <w:t xml:space="preserve">误差：±1.5%</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场景支撑：适用于学生晨跑、大课间跑操、课前热身、课后练习等场景。</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测试方式：学生在跑道上任意位置开始起跑，任意位置结束跑步，跑步过程中，智慧操场会自动通过无感人脸识别，捕捉学生跑步信息，计算每位学生每次跑步的总里程、时间和配速。过程中无需学生停顿、看摄像头和做其他与跑步无关的动作。</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作弊检测：抄近道检测、没有按照识别区顺序被依次识别，其相应里程做存疑处理。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二、功能需求：</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1、在标准的田径场地上进行，支持800米测试、1000米测试、1500米测试、校园阳光跑测试，自带发令设备，支持老师发令测试，接入系统。</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2、校园阳光跑功能</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（1）在标准的田径场地上进行，适用学生晨跑、大课间跑操、课前热身、课后练习等多种应用场景。</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（2）系统支持学生在跑道上任意位置开始起跑，任意位置结束跑步，均可实现学生跑步有效里程采集；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（3）系统支持学生的成绩检测包含跑步距离（里程）、跑步时长、跑步配速数据信息采集。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（4）系统支持里程限制管理，支持后台设置单日最大里程、周最大里程，并支持分性别设置男生、女生最大里程。</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（5）系统支持利用操场大屏实时展示当前操场正在跑步通过的学生头像与今日跑步里程；展示全校日榜单，并支持分年级分性别展示阳光跑周榜。</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3、800米、1000米、1500米跑</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（1）须支持整班统一发令起跑模式，兼容男女混跑专项测试场景。需同时精准甄别、同步完成男生 1000 米与女生 800 米的测试数据采集，实现同场多项目分组分项、无干扰并行测试。系统具备大规模并发处理能力，单场测试可容纳不少于 50 人的班级批量检录与成绩管理，测试流程与后台管理系统无缝对接。</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（2）设备具备完善的防作弊监测功能，可有效识别并判断套圈、中途换人、抄近道等违规作弊行为。</w:t>
              <w:br/>
              <w:t xml:space="preserve">（3）设备需使用计算机纯视觉技术，测试者无需穿戴任何辅助设备。</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（4）系统以测试人员躯干通过终点线瞬间作为官方计时依据支持多圈次自动计数逻辑，对 800 米 / 1000 米项目的跑圈数量进行实时闭环校验，有效防止少跑、多跑等情况发生。成绩数据实时存储并支持断点续传，确保测试数据的完整性与不可篡改性。</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（5）系统自动完成成绩判定、排名统计及异常标记，支持按个人、班级、年级多维度生成测试报表。成绩数据支持导出为 Excel、PDF 等标准格式，亦可直接对接学校现有学籍管理系统或体育档案平台，实现数据一站式共享，满足教学评估与档案留存需求。</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4、配备自主检录机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5、设备配备至少8颗（可共用）数字宽动态、户外专业摄像头，捕捉最远距离70米；配有至少两台30W IP网络音柱。</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设备最多配备四根立杆，分布于操场四角；支持50米终点与中长跑项目共用立杆，部署时在田径场区域内设置横杆长度不超过1.2米，仅可利用操场跑道外围场地完成安装部署，实现无感知部署。（投标文件中需提供实物图片证明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7、系统支持某个摄像头或者某个边缘算力不工作时，其他摄像头与边缘算力可以自动接管工作，不影响正常测试与使用。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8、系统支持手机遥控器控制摄像头的预置点、参数、云台控制功能。</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9、设备基于AI视觉技术实现运动过程中的人机智能交互，跑步项目测试全程通过AI算法模型实现身份认证、运动过程分析和实时计时，无其他辅助设备或人工参与。</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10、摄像设备支持防补光过曝；防护认证等级≥IP66；支持云台功能；内置加热玻璃，防雨水。</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11、测试主机采用Android或基于Linux的开源嵌入式操作系统，内置测试软件。</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套</w:t>
            </w:r>
            <w:r>
              <w:rPr>
                <w:highlight w:val="white"/>
              </w:rP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体育教学管理平台</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一、基础管理功能</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1、平台整合智慧体育锻炼数据、智慧体育测试数据，总体呈现学生人数、运动时长和测试次数。</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2、平台支持班级管理、学生管理、账号管理、用户可创建班级、批量导入基础信息、设置账号角色和权限。</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二、体育教学管理</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1、平台支持课堂教学管理、课程设置管理与教学视频管理。</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2、课堂教学管理支持用户按学年、日期、项目、年级、班级、性别查看学生在各项目的成绩情况。</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3、课程设置管理支持用户创建AI运动课程，系统提供≥40个动作供用户选择，用户可设置课程适合学段、每组训练动作、每个动作时间、组循环次数、组间休息时间。</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4、教学视频管理支持用户上传自有视频，并对视频进行标签。</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5、可以通过数字化设备自动采集国家体质健康标准中要求的全部项目数据。</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6、支持测试数据自动上传或手动上传，并按指定的要求（自然年、学年、学期等）自动计算成绩得分。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7、支持导出符合国家学生体质健康平台数据格式的成绩表格。</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8、支持对校区、班级、学生的管理，包含数据的增删改查等操作，支持与学校数据中台导入导出。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9、支持项目评价等级：选择学年、体测项目，查看体测项目优秀、良好、及格、不及格的学生人数。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10、平台支持设备管理，对学校当前部署的设备进行管控，支持点位编辑，在线状态查询，远程重启等功能。</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11、配备微信公众号平台，支持学生/家长进行体测成绩查询、体育家庭作业、体育锻炼记录查询、运动分析与建议等功能。</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12、支持微信公众号平台家长与教师进行登录，进行学生、班级绑定操作。</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13、支持微信公众号平台拍照制作体测准考证，平台需严格执行国家相关政策，不允许存储老师以及学生任何人脸原始图片信息，需加密存储特征值数据实现人脸比对。</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14、微信公众号平台拥有学生体测成绩查询、体育家庭作业、体育锻炼记录查询、运动分析与建议等功能。</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15、平台依据学生的体测报告和锻炼报告，提供详尽的运动分析与个性化建议，让家长和学生明晰自身在运动中的优势与待改进之处，从而为他们指明明确的锻炼方向。</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支持根据采集的健康数据提供大数据可视化分析；包含体测看板、体锻看板、提供三级分析，包括学校整体分析、班级分析、学生个体分析；可视化分析可进行全屏展示，提供演示播放设置功能，图表跨平台展示投屏。</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17、支持通过选择学年、测试类型、测试项目、年级、班级，查询学生成绩统计。</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18、支持年级项目成绩：通选择学年，年级，统计各项目的平均值。学校可以充分了解学生的体测水平。</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19、▲符合网络安全等级保护要求，不低于三级等保标准</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（投标文件中需提供公安部门出具的该系统的三级及以上网络安全等级保护备案证明有效证书复印件并加盖投标人公章）</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套</w:t>
            </w:r>
            <w:r>
              <w:rPr>
                <w:highlight w:val="white"/>
              </w:rPr>
            </w:r>
          </w:p>
        </w:tc>
      </w:tr>
    </w:tbl>
    <w:p>
      <w:pPr>
        <w:ind w:left="0" w:right="0" w:firstLine="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highlight w:val="white"/>
        </w:rPr>
      </w:r>
    </w:p>
    <w:p>
      <w:pPr>
        <w:numPr>
          <w:ilvl w:val="0"/>
          <w:numId w:val="12"/>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AI智慧校园综合管理平台</w:t>
      </w:r>
      <w:r>
        <w:rPr>
          <w:highlight w:val="white"/>
        </w:rPr>
      </w:r>
    </w:p>
    <w:p>
      <w:pPr>
        <w:numPr>
          <w:ilvl w:val="0"/>
          <w:numId w:val="17"/>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校园室内外智慧3D孪生</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5"/>
        <w:gridCol w:w="1204"/>
        <w:gridCol w:w="6256"/>
        <w:gridCol w:w="704"/>
        <w:gridCol w:w="7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设备名称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产品参数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校园室内外实景三维重建服务</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【校园倾斜摄影模型构建】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通过图形建模、数理建模、事件建模、环境建模等模型构建方式，打造以大范围、高精度、实景建模的方式全面感知复杂地理场景特性（外观形状、颜色、高度、地物相对大小关系）的三维时空数据底座。</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建模范围：对泗阳实验初中及学校周边200米进行无人机倾斜摄影建模，倾斜摄影模型精度：2cm。</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主要技术指标：</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1、无人机数据采集：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（1）航向重叠度不小于85%，旁边重叠度不小于75%，采集的数据地面分辨率优于3cm；</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（2）采集到的影像质量要求影像清晰、反差适中、颜色饱和、色彩鲜明、色调一致，层次丰富；</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2、像控点采集要求：根据《数字航空摄影测量控制测量规范》进行控制点测量，平面精度以及建筑的高程精度，中误差≤±20cm；</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3、参考坐标系：</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（1）坐标系统：CGCS2000国家大地坐标系；</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（2）高程基准：大地高。</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4、模型质量要求：</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（1）数据成果完整、明亮美观、无严重色差拼接自然、无严重破面、无冗余数据；</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（2）水面平整无漏洞；</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（3）数据格式为osgb；</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5、倾斜摄影建模数据成果应符合以下基本要求：</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1）无模型或纹理缺失；</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2）建筑物模型无明显拉花；</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3）水面平整无漏洞；</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4）无水面破洞和起伏；</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5）地面以下无悬浮物；</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6）倾斜摄影模型成果应具有实际空间位置，在平台中加载与影像底图套合无明显偏。</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tc>
      </w:tr>
    </w:tbl>
    <w:p>
      <w:pPr>
        <w:numPr>
          <w:ilvl w:val="0"/>
          <w:numId w:val="17"/>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校园模型场景构建</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0"/>
        <w:gridCol w:w="1267"/>
        <w:gridCol w:w="6119"/>
        <w:gridCol w:w="809"/>
        <w:gridCol w:w="6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设备名称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产品参数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校园模型场景构建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9" w:type="dxa"/>
            <w:vAlign w:val="top"/>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一、校园场地模型构建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1、纹理采集：全要素采集，像素不低于1200万像素，采集成果照片无漏、无模糊等；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2、数据精度：平面套合误差≤3cm；结构精度≥20cm需要模型表现；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纹理处理：采用真实照片作为纹理素材基础，修饰后的纹理无移动物体遮挡，效果美观符合实际状况；对固有纹理进行贴图，非固有纹理采用纹理库纹理进行相似表现，整个场景相似度达到95%；镂空部分采用模型结构和适当纹理表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模型建立：对于地形图（CAD图纸）上的轮廓进行全要素建模；地形：地形结构、地形样式，纹理采用纹理库相似表现；交通：道路主体、马路牙、路面标识等；水系：水体、岸、堤水中装饰等；植被：采用多片树模拟树种、低矮灌木等；其他附属物：路灯、指示牌、大型雕塑、垃圾桶、公共座椅、其他造型结构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5、模型整理：模型命名按照标准顺序命名；对纹理使用量进行整合优化，UV处理、命名规则处理、纹理材质区分、材质ID号命名等；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6、项目周边表达：项目范围之外400米以内建筑采用体块建模，表现具体结构细节；地形只表现基本地块；道路只表现基本路面和大体行驶线；其他附属设施不表达；</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7、数据格式可输出：.max、obj、fbx等常规数据格式。</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二、建筑外形模型构建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基于学校CAD图纸、效果图以及在校园实地拍摄的视频等数据，完成对教学楼、宿舍、体育馆、餐厅、中心花园等校园建筑的外形模型构建，建模等级不低于L3级别，高精度还原建筑的外部特征，要求模型需实现尺寸比例的精准设定及结构细部的精确复原，确保尺度比例等细节与实际建筑一致。</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需对校园场地模型进行美化，以效果图和现场拍摄视频作为参考，支持对场地模型的材质进行深度优化，包括对模型颜色、纹理特性、反射率、表面凹凸度、光泽程度以及透明度等属性进行调整，使得校园建筑外形具备极高的材质特性和视觉效果。</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3、建筑外型模型精度：平面套合误差≤3cm；结构精度≥20cm需要列入此次建设模型中表现；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三、建筑内部结构模型构建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1、基于学校CAD图纸和在校园实地采集的影像资料等数据，根据建筑物的基底轮廓线直接生成，并与CAD图纸保持一致；。</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2、模型材质使用单色表示，表现出建筑体的大致形状，不涉及具体的细节。</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3、楼层平面CAD图纸，能够表达墙、门、窗等空间构筑物对象。</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4、需依据学校CAD图纸材料构建内部空间，并为每个房间分配详细信息，如房间名称、房间功能（如会议室、教室、宿舍等）、房间编号等房间信息。</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5、支持对建筑模型按楼层进行展开，查看建筑任一楼层的和房间分布情况。</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6、支持对不同类型房间以不同颜色予以高亮显示。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tc>
      </w:tr>
    </w:tbl>
    <w:p>
      <w:pPr>
        <w:numPr>
          <w:ilvl w:val="0"/>
          <w:numId w:val="17"/>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校园模型场景管理</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2"/>
        <w:gridCol w:w="1189"/>
        <w:gridCol w:w="6210"/>
        <w:gridCol w:w="699"/>
        <w:gridCol w:w="7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设备名称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产品参数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校园模型场景管理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0" w:type="dxa"/>
            <w:vAlign w:val="top"/>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一、模型管理引擎</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1、平台采用B/S系统架构，支持基于浏览器端（IE系列、Chrome、360浏览器等）的访问；（投标文件中提供带有CMA或CNAS标识的第三方权威检测机构出具的检测报告复印件，并加盖投标人公章）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2、支持多种类地图场景特效，如晴天、雨、雪、多云、白天、黑夜渲染的模拟；（投标文件中提供带有CMA或CNAS标识的第三方权威检测机构出具的检测报告复印件，并加盖投标人公章）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3、支持基于服务器端/云端的渲染服务方式；</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3、支持4K高清画面的输出，并且保证流畅运行；</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4、提供完整的后台服务管理，包含：服务管理、工程管理、配置管理、并发管理、日志管理、系统接口等；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5、支持多种类的数据融合与发布，包含影像/高程数据、三维模型数据、倾斜摄影数据、矢量图层数据及业务图层数据的融合与发布；</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6、支持室外、室内一体化的三维地图可视化应用，实现基于空间位置的调用和交互；支持通过掀顶或抽屉模式，对建筑内部的各楼层数据进行便捷操作和查看；</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7、地图支持高于100,000个物联网设备的点位上图管理；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8、满足地图查看的响应时间在3秒以内；</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9、▲非定制化开发，需提供三维GIS可视化平台软件产品证明；（提供三维GIS可视化平台软件著作权证书复印件并加盖投标人公章）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二、设备模型列表管理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1、提供设备列表用于呈现和展示设备情况，便于快速查看设备状态、名称、类型及数量统计等信息。</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2、树状列表设备管理：可通过有层次的节点展示，清晰地呈现设备之间的从属关系和结构层次，便于进行大规模设备的综合性管理和操作。</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3、展开列表设备管理：提供展示所有设备的详细列表，可通过滚动浏览快速找到所需设备，适用于精确查找或少量设备管理。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4、支持在列表中根据设备类型和状态进行筛选过滤，同时支持关键词搜索过滤功能；同时在场景中实时以凸显的POI标签方式响应过滤结果。</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5、支持在列表中选择设备快速定位设备位置，同时也可在场景中选择设备定位列表中的设备名称。</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三、空间列表管理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1、支持在校园三维模型中查看房间相关信息，如名称、编号、功能（教室、会议室、办公室等）等。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2、支持对校园三维模型按房间功能进行筛选和统计，如快速选择所有教室并统计数量及面积，并在地图场景中以不同颜色展示不同功能的房间模型。</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3、支持通过目录树的形式展示房间的层级信息，并可以点击快速定位到空间位置，并弹出房间的相关信息。</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tc>
      </w:tr>
    </w:tbl>
    <w:p>
      <w:pPr>
        <w:numPr>
          <w:ilvl w:val="0"/>
          <w:numId w:val="17"/>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校园数字孪生平台</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72"/>
        <w:gridCol w:w="6170"/>
        <w:gridCol w:w="788"/>
        <w:gridCol w:w="7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设备名称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产品参数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校园数字孪生平台</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top"/>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一、视频监控可视化应用：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1、支持在3D场景中查看所有监控设备点位的空间点位分布；</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2、支持在3D场景中点击监控图标或模型，直接调用该监控点视频的实时预览或视频回放；</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3、支持在3D场景中的空间多选操作，支持框选、圈选等操作；</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4、▲支持在3D场景中以设备为中心，搜索周边监控设备，选择查看相应监控实时画面；（投标文件中提供带有CMA或CNAS标识的第三方权威检测机构出具的检测报告复印件，并加盖投标人公章）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5、支持在3D场景中的基于空间目录组织的设备操作，快速查找相应监控设备；</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支持在3D场景中的视频巡逻功能，以设定的路线自动播放，模拟工作人员的虚拟巡逻路线，对沿线的监控设备点自动弹出实时画面；可以设置多个视频点的组合，形成视频巡更路线；以第一视角或第三视角的方式，按设定线路行走并在摄像机位置上停留进行自动播放一定时间的视频预览（如15秒，可设置）：对重点关注的摄像机，还需要指定认真巡查，对巡查人员可以对视频预览情况进行确认上报：</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二、人员布控应用可视化应用：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1、支持在3D场景中查看所有人脸抓拍机位置的空间点位分布；</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2、支持在3D场景中点击人脸抓拍机的图标或模型，查看该设备的预览画面及实时过脸数据；</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人脸照片库人员检索，可根据人脸照片或从黑名单库中选择相应目标人员，进行人脸识别信息检索；对该人员的检索结果，按时间顺序以地图方式标记该人员出现的位置，并形成人员轨迹（基于路网自动计算）；</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4、支持以图搜图，根据目标人员的人脸图片，进行以图搜图检索，对该人员的检索结果，按时间顺序以地图方式标记该人员出现的位置，并形成人员轨迹（基于路网自动计算）；</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三、门禁可视化应用：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1、支持在3D场景中查看门禁设备的空间点位分布；</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2、支持在3D场景中点击门禁图标或模型，以信息面板方式查看工况信息和人员出入详细信息；（投标文件中提供带有CMA或CNAS标识的第三方权威检测机构出具的检测报告复印件，并加盖投标人公章）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3、支持校区、建筑、楼层级别，以图表形式查看门禁数据；（投标文件中提供带有CMA或CNAS标识的第三方权威检测机构出具的检测报告复印件，并加盖投标人公章）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4、支持实时查看人员出入信息；</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四、智慧校园场景可视化应用：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打通对接智慧校园综合管理系统，对视频设备类报警、视频分析报警（越界报警、区域入侵报警、跌倒检测报警、打架斗殴报警、吸烟检测报警、危险区域入侵报警等）、人脸黑名单告警、门禁状态报警等，能够快速定位到报警位置，同时查看联动的视频监控。做到报警定位、报警联动、报警查询功能；</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对各类报警信息统一可视化管理，对报警信息按照等级进行配置，按照第一等级直接定位，第二等级点击定位+确认处理，第三等级点击定位的处置方式进行处理；（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3、支持对报警信息的历史时空分析，根据报警时间、报警位置，对综合报警的分析结果，形成预测依据；</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五、车辆管理可视化应用：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1、打通对接车辆管理系统；</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2、车辆统计：展示在园车辆、今日入园车辆、今日出园车辆；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3、车辆进出记录：实时展示车辆抓拍记录，包含：照片、车牌号码、地点、时间、进/出；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4、车辆进出统计：展示车辆进出趋势，近30日内任意时间；</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5、支持展示停车场的车位总数以及剩余车位</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六、防欺凌可视化应用：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1、支持与防欺凌系统进行对接，支持对校园内防欺凌设备位置以及状态显示；</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2、支持对欺凌告警事件告警进行管理，可以对未处理事件、已处理事件数量进行实时统计；</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七、防拥挤可视化应用：</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1、支持与防拥挤告警进行对接，支持对校园防拥挤设备位置以及状态显示；</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2、支持对防拥挤告警事件告警进行管理，可以对未处理事件、已处理事件数量进行实时统计；</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八、智慧体育可视化应用：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1、打通对接智慧体育设备以及系统，支持对校园内智慧体育设备位置以及状态显示；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2、支持对学生体育测试以及考试成绩和相关数据进行统计展示；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九、录播教研巡评课可视化应用：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1．打通对接录播教研巡评课系统，支持在校园实景三维教学场景中，根据录播设备分布，不同时段的课程安排进行教研巡查路线设置</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2、支持通过录播设备调阅学生画面视频、教师画面视频、电子板书视频及收听教室声音，实时查看教学情况和课堂实况。</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十、心理减压广场可视化应用：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支持解压广场三维建模，并还原设备：包含12平方电子涂鸦墙、2套拳击测力器、2套呐喊设备（声控喇叭花灯）、3套三维针雕（以实际建设工程量为准）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十一、访客可视化应用：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1、打通对接访客机以及访客系统，对进出人员进行身份识别，如访客、内部人员等；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2、在可视化页面中可对访客系统的数据进行统一归类；</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3、在页面中可展示访客进出人数统计、访客的进出时间统计等；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十二、学生请假可视化应用：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1、打通对接请假系统，对请假系统的数据进行统一归类展示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2、在页面中可展示请假人数统计、请假时间统计等</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十三、心理健康数据可视化应用</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打通对接心理健康热线、心理健康测评系统，支持相关数据进行统计展示；</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十四、★塔式渲染工作站（不低于以下配置）：</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Core i9-14900K-32G D5*2-2TCM.2NVMe*1-无阵列卡-板载GE*1，2.5GE*1，加配GE*2,10GE*2，含光模块-2000W*1-RTX4080 16GB*1，DP转HDMI线缆*3，预装正版操作系统。</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十五、▲所投产品需在投标文件中提供该产品的制造商授权证明并加盖制造商公章；</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tc>
      </w:tr>
    </w:tbl>
    <w:p>
      <w:pPr>
        <w:numPr>
          <w:ilvl w:val="0"/>
          <w:numId w:val="17"/>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校园智慧安防</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1238"/>
        <w:gridCol w:w="6151"/>
        <w:gridCol w:w="695"/>
        <w:gridCol w:w="7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设备名称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产品参数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热感应吸烟测相机（楼梯场景）</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1、采用可见光、热成像双通道设计，支持双目融合；</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2、设备内置不低于2.0TOPS算力芯片；</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3、热成像镜头采用非制冷氧化钒焦平面探测器，灵敏度高，探测器像素≥256×192；</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4、可见光镜头采用不小于1/2.7" Progressive Scan CMOS图像传感器，低照度效果好，图像清晰度高，分辨率≥2688x1944；</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5、可在视频画面上设置不小于4个四边形遮盖的区域，区域的大小、位置可设置；（投标文件中提供带有CMA或CNAS标识的第三方权威检测机构出具的检测报告复印件，并加盖投标人公章）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6、支持IP白名单和黑名单、MAC白名单与黑名单、多级用户管理，人性化监控保密和权限管理；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支持对设定区域吸烟行为进行检测，支持声光报警联动，当报警产生时，可触发联动声音警报和灯光闪烁；支持录像联动、抓图联动、发送邮件联动、报警输出联动等。（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8、内置MIC和高音量扬声器，高分贝报警声响 75dB≥1m； 9、支持DC12V-24V/POE供电方式，方便工程安装； 支持IP67防护等级。</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10、应用于楼梯等小场景，吸烟探测距离≥3米。</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24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台</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热感应吸烟测相机（室外场景）</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1、热成像镜头采用业界领先的非制冷氧化钒焦平面探测器，分辨率≥256x192，灵敏度高，图像质量好；</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2、可见光镜头采用不小于1/1.8" Progressive Scan CMOS图像传感器，低照度效果好，图像清晰度高，分辨率≥2336×1752；</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AR视频标签防偏移功能检验:当设备调整安装角度时,立体防控系统平台上的AR视频标签应与所标记物体保持相对静止；（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4、双MIC收音检验：设备支持2路MIC声音采集；（投标文件中提供带有CMA或CNAS标识的第三方权威检测机构出具的检测报告复印件，并加盖投标人公章）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吸烟行为检测功能检验:在监控画面中,可对有吸烟动作的行为进行检测并框速,可通过浏览器给出报警提示；（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6、支持火点探测报警、绊线入侵、区域入侵、多种触发规则联动动作、目标过滤等多种智能；</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7、防护等级IP67；</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8、应用于楼梯等小场景，吸烟探测距离≥15米。</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24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台</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AI拥挤检测预警相机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1、规格：筒型网络摄像机，图像传感器不小于1/1.8" Progressive Scan CMOS，可输出400万（2688 × 1520）@25fps；</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2、内置GPU算力芯片，支持深度学习算法，有效提升检测准确率；</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3、支持Smart侦测：支持绊线入侵，区域入侵，快速移动，物品遗留，物品搬移，徘徊检测，人员聚集，停车检测，离岗检测；</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可检测在设定区域内是否有人员拥挤,报警类型可设置为自适应或自定义;可设置灵敏度:当超过设置的最短持续时间时,可触发报警;报警类型设置为自定义后,可添加拥堵等级（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5、可实现设备和客户端的双向语音对讲,对讲声音支持立体声设置选项；</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可通过客户端软件或IE浏览器对音频文件进行管理，支持音频文件预览播放，内置语音文件不少于21种不同场景的语音提醒，支持通过设备自带mic、客户端软件或IE浏览器进行自定义音频文件上传及下载，自定义音频支持PCM/G711A/G711/AAC4种编码格式的WAV/PCM/MP3三种文件格式，客户可根据现有情况来自定义语音提醒功能；</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7、支持报警2进2出，音频1进1出，内置双MIC，内置扬声器；支持声光报警联动，当报警产生时，可触发联动声音警报和灯光闪烁；</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8、支持DC12V/POE供电方式</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9、支持IP67防护等级</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台</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深度学习人脸特征采集摄像机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1、筒型网络摄像机，传感器采用星光级不小于1/1.8" Progressive Scan CMOS，可输出400万（2688 × 1520）@25fps；</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2、镜头焦距：2.7mm～13.5mm，场景适用性广；</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3、支持智能编码和AI编码，减少存储压力；结构轻便小巧，安装方便；</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4、内置GPU芯片，支持深度学习算法，有效提升检测准确率；</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5、内置高效红外补光灯；</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6、支持跟踪，支持优选，支持抓拍，支持上报最优的人脸抓图，人脸曝光，支持人脸属性提取，支持6种属性，8种表情</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7、内置麦克风：支持，内置1个麦克风</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8、供电方式：DC12V/PoE；</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9、防护等级：IP67；</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台</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校园全域感知AI算力超脑</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框架式机箱，不少于12盘位，单台设备可带载288TB硬盘容量；支持不少于128路H.264/H.265混合接入，网络带宽不低于512Mbps接入；不低于512Mbps存储；不低于512Mbps转发；设备内置不少于8颗高性能GPU，每颗GPU可虚拟成不少于4个智能引擎，每个智能引擎支持最多单独运行一类算法；支持RAID0/1/5/6/10/50/60，支持全局热备盘；自带国产化操作系统；</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2、▲单颗GPU算力性能（INT8）应不低于22TOPS（投标文件中提供带有CMA或CNAS标识的第三方权威检测机构出具的检测报告复印件，并加盖投标人公章）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3、▲具有独处行为、 拌线入侵、 区域入侵、 打架斗殴、 跌倒行为检测， 并可抓拍关联人脸、 识别异常行为和识别人员身份信息， 当触发事件报警时，可在预览界面实时弹出报警窗口、 报警面板滚动展示报警信息、 报警中心实时展示报警信息并可查看详情；可按事件类型查看报警记录， 报警记录展示异常行为报警信息、抓拍人脸图、身份比对人脸图， 可联动录像、抓图、 蜂鸣、 邮件、 报警上传、 本地报警输出、 远程报警输出、 远程语音、 远程警戒灯、 门禁、 音频、 预置点（云台）以及日志记录；（投标文件中提供带有CMA或C</w:t>
            </w:r>
            <w:r>
              <w:rPr>
                <w:rFonts w:ascii="SimSun" w:hAnsi="SimSun" w:eastAsia="SimSun" w:cs="SimSun"/>
                <w:color w:val="000000"/>
                <w:sz w:val="24"/>
                <w:highlight w:val="white"/>
              </w:rPr>
              <w:t xml:space="preserve">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4、▲设备具有独立的智能文搜应用模块，默认支持全通道录像检索， 且通道、时间范围、事件类型、相似度可设；可自定义选择搜索时间范围，可快速选择1天、3天、7天、 15天、1个月；可将搜索结果按相似度自定义展示；通道选择范围包括全通道或部分通道；事件类型包括定时抓图、 人脸检测、人脸识别、 人体检索、 机动车检索、车牌检测、动态检测等。（投标文件中提供带有CMA或CNAS标识的第三方权威检测机构出具的检测报告复印件，并加盖投标人公章）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5、▲支持识别吸烟、打电话 等违规操作人员，可联动录像、抓图、蜂鸣报警、邮件、本地报警输出、前端报警输出、门禁、音频以及日志记录；支持按姓名检索违规人员的具体个人信息；支持数据存储和按事件类型检索；支持查看违规操作人员的姓名；（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6、可接入普通相机，配置应用视觉大模型,可对各类设备运行状态进行检测；</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设备可在分时轮巡模式下，通过设置多个时间段、多个通道及对应智能分析规则等进行分时分析任务；可按设定分时分析任务，自动切换通道的智能分析类型；同一通道支持在不同时间段进行不同的智能分析；同一通道支持在同一时间并发进行多种智能分析；可实时展示整机分析状态。（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8、▲设备支持以图搜图，支持批量上传不少于 50 张人脸图片，并同时对不少于 10 张目标人脸进行相似图片搜索。（投标文件中提供带有CMA或CNAS标识的第三方权威检测机构出具的检测报告复印件，并加盖投标人公章）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9、▲支持通过视图库接入前端或其他设备，支持人脸、人体、机动车和非机动车以及图片上报；支持通过GB/T 28181或onvif同时添加前端进行前端视频拉流，并通过视图库协议将ID将视频流和图片流进行关联，也支持单独只通过视图库协议添加前端或其他存储设备，开启人脸识别可将图片与样本库中进行人脸比对，开启车牌识别后，可与黑名单或白名单库中进行比对，触发报警时可联动蜂鸣、日志记录、抓拍图片、I/O接口报警信号输出、调预置点、发送邮件、语音播报输出、报警上传。（投标文件中提供带有CMA或CNAS标识的第三方权威检测</w:t>
            </w:r>
            <w:r>
              <w:rPr>
                <w:rFonts w:ascii="SimSun" w:hAnsi="SimSun" w:eastAsia="SimSun" w:cs="SimSun"/>
                <w:color w:val="000000"/>
                <w:sz w:val="24"/>
                <w:highlight w:val="white"/>
              </w:rPr>
              <w:t xml:space="preserve">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设备支持利用大模型进行算法生成以及配置预警功能，输入指定文本可自定义生成算法，可选择通道部署自定义算法模型，实现定时抓图/事件图片分析，相似度达到阈值时及时触发报警，支持联动录像抓图、蜂鸣报警、预置点、邮件、本地报警输出、IPC 报警输出、门禁、语音提示以及日志记录。（投标文件中提供带有CMA或CNAS标识的第三方权威检测机构出具的检测报告复印件，并加盖投标人公章）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11、▲具有文本布控功能，可使用文本描述目标关键特征，快速开启布防任务；可对大模型功能进行管理， 基于大模型能力扩展新算法，通过输入自然语言生成新算法并进行部署和应用；可将小模型关联文本算法实现大小模型协同编排报警；具有零样本创建算法功能，可在1min内完成零样本自定义算法创建，并完成算法冷启动；（投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可将预览画面、回放画面、文搜图关联录像画面进行视频冻结，并支持对文搜图结果图片进行冻结，通过手动或自动的方式框选人/车目标，将所选目标和数据库中的历史目标抓拍数据进行比对检索，检索结果可根据相似度或抓拍时间进行排序展示；（投标文件中提供带有CMA或CNAS标识的第三方权威检测机构出具的检测报告复印件，并加盖投标人公章）</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套</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教育智能化预警系统</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1、专为校园场景打造具有校园特色的预警事件，如独处预警、学生危险行为预警、重点关注人员预警、重点区域预警等；</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2、预警智能筛选，通过事件订阅，预警策略配置，帮助管理者聚焦重点关注事件，缓解报警焦虑；</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3、重点关注人员管理，通过学校重点关注人员名单，建立重点关注人员档案，提供防控预警、事件档案功能，帮助学校了解被专注人近期情况，预防偏激行为发生，及时掌握行动去向；</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4、事件流转归档管理，通过事件处理结果上报，事件归档审核功能，对事件处置进行闭环，方便管理者进行处置进展跟踪，事件回溯总结；</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5、统一用户界面入口，通过预警防控驾驶舱，打通业务系统，方便校园安全管理者日常在线接警处置工作进行；</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支持增加智能预警订阅的内容包括：预警类型（自定义新增）、同步报警类型（支持报警类型筛选和报警类型重命名）、驾驶舱数据统计开关、是否预警处理开关、预警等级选择、任务等级选择、录像回放时间设置、处理人。（投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预警数据看板支持展示预警情况，包括总预警数量、已处理数量、未处理数量；支持重点人员预警、独处预警、危险行为预警、其它预警分类的预警数量（根据订阅的预警展示配置，支持自定义时间段筛选）；支持展示预警趋势分布；（投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8、预警驾驶舱应用包含：点位分布、地图定位、图上监控、事件总览、事件处置、数据切换等；</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9、预警驾驶舱类型包含：预警驾驶舱总览、重点区域驾驶舱、重点人员驾驶舱、预警情况驾驶舱、设备情况驾驶舱；</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10、智能防控管理包含：智能预警订阅、预警策略配置、人员区域管理、推送处置管理。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tc>
      </w:tr>
    </w:tbl>
    <w:p>
      <w:pPr>
        <w:numPr>
          <w:ilvl w:val="0"/>
          <w:numId w:val="17"/>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校园访客以及请假</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1"/>
        <w:gridCol w:w="1294"/>
        <w:gridCol w:w="6196"/>
        <w:gridCol w:w="682"/>
        <w:gridCol w:w="6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设备名称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产品参数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移动端访客预约</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1、支持给被访人推送访客待审核消息、访客到离访消息；</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2、支持给访客推送预约进度消息，如审批中，已审批通过；</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3、支持提供独立配置页面，配置三方提供的公众号账户信息；</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4、访客/被访人首次通过页面登录后，后续支持免登录；</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访客管理系统</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1、访客预约概览，支持展示访客今日在访人数、即将来访人数、已离访人数等；</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2、访客基础配置：支持自定义新增访客预约信息及字段是否必填，任意调整字段顺序、位置；支持自定义配置访客单模板，并且可以预览排布效果；</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3、访客审核标准配置：访客审核标准自定义，移动端审核、访客机审核等按需调整，满足不同访客场景下的业务需求；自定义审核标准支持配置审核对象，支持批量设置审核对象；</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4、访客区域配置：访客区域自定义配置，可授权门禁、可视对讲、道闸、智能识别设备等；访问区域精细化权限管控，按被访人部门实现权限隔离；</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5、访客移动端自助预约/邀约：支持APP/H5移动端自助预约，线上填写来访信息、访客信息、被访者信息等进行预约，同时以短信方式通知审核情况；访客H5 预约链接可内嵌入公众号/小程序；预约成功后线上生成通行二维码，访客可刷码/刷脸进入指定区域；支持移动端发起再次预约，基础信息保留并预填写，实现快速预约；</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6、访客web端管理员预约，填写访客相关信息为其完成预约，成功后可生成二维码进行下载发送给访客进行使用；</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7、访客机现场登记预约：支持二代身份证、军官证、学生证、驾驶证、护照、港澳通行证、台胞证等扫描登记；支持对来访人员进行实时图像抓拍；</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访客记录查询：支持列表展示访客通行记录，支持按开始时间、结束时间、访客姓名、通行方式、通行结果查询通行记录；访客异常信息记录展示，支持展示访客进入非指定区域后被智能设备抓拍的相关信息；</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支持设置被访对象是否必填；支持设置固定审核对象；支持设置随访人员信息是否必填；支持设置每日访问人数上限；（投标文件中提供带有CMA或CNAS标识的第三方权威检测机构出具的检测报告复印件，并加盖投标人公章）</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学生出入校管理系统</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1、出入口管理</w:t>
              <w:br/>
              <w:t xml:space="preserve">(1) 支持出入口库添加、删除、布控、撤控，可对出入设备相似度设置；</w:t>
              <w:br/>
              <w:t xml:space="preserve">(2) 支持出入口库内人员单独下发、批量下发;</w:t>
              <w:br/>
              <w:t xml:space="preserve">2、通行管理</w:t>
              <w:br/>
              <w:t xml:space="preserve">(1) 支持按学生类型（住宿、走读）、学籍组织及单人创建通行规则并查询；支持通行规则最多添加4个时间段；</w:t>
              <w:br/>
              <w:t xml:space="preserve">(2) 支持查看学生、老师、保安及宿管通行权限;</w:t>
              <w:br/>
              <w:t xml:space="preserve">(3) 支持查询、导出学生、老师、保安及宿管通行记录（人员信息、出入地点、出入时间、出入类型、体温、异常原因）；支持学生、老师、保安及宿管通行体温异常记录；</w:t>
              <w:br/>
              <w:t xml:space="preserve">3、移动端</w:t>
              <w:br/>
              <w:t xml:space="preserve">(1) 移动APP支持学生/家长/组织</w:t>
            </w:r>
            <w:r>
              <w:rPr>
                <w:rFonts w:ascii="SimSun" w:hAnsi="SimSun" w:eastAsia="SimSun" w:cs="SimSun"/>
                <w:color w:val="000000"/>
                <w:sz w:val="24"/>
                <w:highlight w:val="white"/>
              </w:rPr>
              <w:t xml:space="preserve">负责人/管理员，按全部、正常、异常类别查看本人考勤记录、关联的通行记录；</w:t>
              <w:br/>
              <w:t xml:space="preserve">(2) 支持学生申请请假、改签出入校考勤；支持班级负责人审批学生请假、改签出入校考勤；</w:t>
              <w:br/>
              <w:t xml:space="preserve">(3) 支持微信推送学生当日出入校记录到家长或组织负责人；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学生请销假管理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1、系统应用于宿舍、课堂、出入口考勤场景；</w:t>
              <w:br/>
              <w:t xml:space="preserve">2、请假管理：</w:t>
              <w:br/>
              <w:t xml:space="preserve">(1) 支持学生、家长、班主任发起学生请假：请假学生、请假类型（事假、病假、集体活动、其他）、开始时间（年月日时分）、结束时间（年月日时分）、单次请假申请理由、图片（最多9张）；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支持学生、家长、班主任查看、撤回、修改审批中的请假记录；</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支持查看请假记录统计，包括：按日期（按月、按自然周）、部门信息（校区-院系-专业-年级）搜素学生请假统计：责任班级、学生默认人脸图、请假累计人次数；</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4、销假记录：</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支持学生、家长、班主任发起班级学生销假，包括：销假理由及图片；</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支持学生、家长、班主任查看审批中销假记录，包括：卡片信息：人员默认人脸图、人员姓名、人员编号、申请人，申请时间、请假开始时间、请假结束时间，销假记录处理状态（待审批），详情信息：销假学生姓名（人员编号）、申请人、申请时间（年月日时分）、请假开始时间、请假结束时间、销假理由及图片、审批进度（发起申请、责任人、处理时间，待审批、责任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双屏台式智能访客机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1、设备配置Android 操作系统；</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2、产品款式：双屏台式访客机；</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3、显示屏：≥10.1英寸显示屏；</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4、屏幕类型：电容触摸屏；非触摸屏；</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5、集成采用不低于200万高清双目摄像头，摄像头角度可调，可适应不同身高访客登记，设备镜头支持访客二维码扫码识别；</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6、摄像头：不小于1/2.7" 2MP CMOS 高清宽动态双摄像头；</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7、人证比对：支持；</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8、摄像头支持0°至180°翻转</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9、支持通过手机号、验证码、身份证等进行签到，并通过外接打印机打印访客凭条，满足各类访客业务需求。</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台</w:t>
            </w:r>
            <w:r>
              <w:rPr>
                <w:highlight w:val="white"/>
              </w:rPr>
            </w:r>
          </w:p>
        </w:tc>
      </w:tr>
    </w:tbl>
    <w:p>
      <w:pPr>
        <w:numPr>
          <w:ilvl w:val="0"/>
          <w:numId w:val="17"/>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校园停车管理</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225"/>
        <w:gridCol w:w="6023"/>
        <w:gridCol w:w="698"/>
        <w:gridCol w:w="7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设备名称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产品参数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校园停车管理系统</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1、支持室内停车诱导、泊位统计、余位统计、车流量统计；</w:t>
              <w:br/>
              <w:t xml:space="preserve">2、支持停车场概览配置，可在停车场概览页面点击快速跳转至对应页面，流程化完成停车业务，包含：设备管理（点击可前往配置停车场设备基础信息和通道信息）、场区设置（点击可配置停车场基础信息、进出场放行规则），系统配置（配置停车场系统基础信息）等；（投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3、支持无人值守模式；</w:t>
              <w:br/>
              <w:t xml:space="preserve">4、支持潮汐车道，同车道，不同时段，车道方向可自动切换。</w:t>
              <w:br/>
              <w:t xml:space="preserve">5、▲支持统计今日泊位概况，包含总泊位、已用泊位、剩余泊位及剩余泊位率，支持车流量统计，支持按当日、近7天、近一月等维度查看车流量统计趋势图和数据。（投标文件中提供带有CMA或CNAS标识的第三方权威检测机构出具的检测报告复印件，并加盖投标人公章）</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AI柜式抓拍显示一体机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1、设备采用AI智能算法，全天候深度提取结构化车辆信息，车辆捕获率和车牌识别率≥99.9%。</w:t>
              <w:br/>
              <w:t xml:space="preserve">2、 设备支持≥10.1 英寸 LCD 高亮屏幕，支持二维码、视频、图片显示，且屏幕亮度可自适应调节。</w:t>
              <w:br/>
              <w:t xml:space="preserve">3. 支持语音对讲，语音播报，可自由配置播报内容。</w:t>
              <w:br/>
              <w:t xml:space="preserve">4、内置 ≥9 颗高亮 LED 暖光红外补光灯，可上下、左右调节，采用智能补光技术，支持时控和光控。</w:t>
              <w:br/>
              <w:t xml:space="preserve">5、采用电动变焦镜头，远程调试，方便快捷，镜头方向支持三轴调节，场景适应性更强。</w:t>
              <w:br/>
              <w:t xml:space="preserve">6、支持相机上电启动加热除雾，加热除雾支持按照时间、自动、关闭、开启设置。（投</w:t>
            </w:r>
            <w:r>
              <w:rPr>
                <w:rFonts w:ascii="SimSun" w:hAnsi="SimSun" w:eastAsia="SimSun" w:cs="SimSun"/>
                <w:color w:val="000000"/>
                <w:sz w:val="24"/>
                <w:highlight w:val="white"/>
              </w:rPr>
              <w:t xml:space="preserve">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7、支持对打印车牌、单独车牌照片和单独车牌等虚假及置信度过低的车牌进行过滤。</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台</w:t>
            </w:r>
            <w:r>
              <w:rPr>
                <w:highlight w:val="white"/>
              </w:rPr>
            </w:r>
          </w:p>
        </w:tc>
      </w:tr>
    </w:tbl>
    <w:p>
      <w:pPr>
        <w:numPr>
          <w:ilvl w:val="0"/>
          <w:numId w:val="17"/>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校园防欺凌管理</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2"/>
        <w:gridCol w:w="1221"/>
        <w:gridCol w:w="5965"/>
        <w:gridCol w:w="780"/>
        <w:gridCol w:w="6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设备名称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产品参数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校园AI防欺凌报警设备</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1、麦克风阵列支持</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2、频率响应：20Hz ～ 20kHz</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3、主芯片不小于1.5G四核</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4、单机≥4个麦克</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5、设备内置全网通4G或者POE供网供电；</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6、支持远程开关声光报警</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7、设备上指示灯≥4个，显示设备不同状态</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8、支持按键报警</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9、支持温湿度采集和光线采集</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10、设备自带电池，支持断电后续航</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11、设备支持不低于20个普通话关键词</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12、设备支持自定义关键词</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13、支持短信，电话，微信公众号，后台系统等报警通知方式</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14、支持高保真喇叭</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15、供电220V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16、Type C接口</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17、支持报警后双向对讲</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18、配套后端云平台管理软件</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套</w:t>
            </w:r>
            <w:r>
              <w:rPr>
                <w:highlight w:val="white"/>
              </w:rPr>
            </w:r>
          </w:p>
        </w:tc>
      </w:tr>
    </w:tbl>
    <w:p>
      <w:pPr>
        <w:numPr>
          <w:ilvl w:val="0"/>
          <w:numId w:val="12"/>
        </w:numPr>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减压文化广场</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225"/>
        <w:gridCol w:w="6023"/>
        <w:gridCol w:w="698"/>
        <w:gridCol w:w="7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设备名称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产品参数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电子涂鸦墙系统</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1、★像素点间距：≤3mm</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2、★屏幕尺寸：宽度≥10m，高度≥1.2m</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3、刷新率：≥3840Hz，</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4、像素构成：1R、1G、1B</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5、封装方式：SMD表贴三合一，铜线封装</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6、驱动方式：恒流驱动；控制方式：同步控制系统；维护方式：前后双向维护</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7、整屏平整度≤0.05mm；模组平整度≤0.03mm</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白平衡亮度：0-6000cd/㎡可调，亮度调节：0-100%亮度可调，256级手动/自动调节，屏幕亮度具有随环境照度的变化任意调整功能，亮度均匀性≥98%（投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9、色温800K-18000K可调；白平衡状态下色温在6500K±5%；色温为6500K时，100%75%50%25%档电平白场调节色温误差≤100K</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10、对比度≥9500：1；水平视角≥170°；垂直视角≥170°（投标文件中提供带有CMA或CNAS标识的第三方权威检测机构出具的检测报告复印件，并加盖投标人公章）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在器具输入插座端与屏正面之间施加试验电压3kv/50Hz，保持1min，不应出现飞弧和击穿现象，产品能正常工作；在5000米海拔环境下，产品可正常工作；输入电压：支持宽压输入在96-264VAC，支持窄压输入在200-240VAC，在该范围内能正常工作（投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防护性能：具有防静电、防电磁干扰、防腐蚀、防霉菌、防虫、防潮、抗震动、抗雷击等功能；具有电源过压、过流、断电保护、分布上电措施、防护等级达到IP65（投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14、具有列下消隐功能、倍频刷新率提升2/4/8倍、低灰偏色改善</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15、色坐标X、Y坐标符合SJ/T11141-2017 5.10.5规定；色度均匀性±0.001Cx、Cy内；色域空间≥120% NTSC，LED显示屏ColorSPace覆盖率≥170%YUV(PAL)</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投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防电击等级依据GB4943.1标准，使用基本绝缘作为基本安全防护，同时使用保护连接和保护接地作为附加安全防护，达到防电击保护I类设备。（投标文件中提供带有CMA或CNAS标识的第三方权威检测机构出具的检测报告复印件，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18、屏幕表面光反射率，照度=10Lux/5600K条件下， 显示屏屏幕表面光反射率 （单位面积反射亮度）＜3.0cd/m²。</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19、具备防蓝光护眼功能，蓝光辐射能量≤20%。蓝光辐射能量值对人眼视网膜无伤害，LED显示屏蓝光辐亮度≤0.5W.m-2.sr-1,符合肉眼观看标准。</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20、▲所投LED显示屏产品符合高清环保标准化技术应用，</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（提供相关证书复印件，加盖投标人公章）。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21、全防水红外触摸框，不用布线实现互动触控，支持单点触摸、多点触摸（不小于10点）。</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套</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拳击测力器</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产品名称:拳力测试仪</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尺寸（长宽厚）：不低于 40cm x 40cm x 6.5cm</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材质工艺:优质PU皮革、聚氨酯、复合板材</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适合人群:专业训练、业余爱好、健身等</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台</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声控减压喇叭花</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声控感应，杆子高度3.3米，直径5公分，镀锌管烤漆，花朵直径2米，防水布艺，功率300瓦，感应距离3-5米</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套</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三维针雕</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真人三维针雕设备，3D人体打印机</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尺寸（长宽高）：不低于100cm x 120cm x 220cm</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套</w:t>
            </w:r>
            <w:r>
              <w:rPr>
                <w:highlight w:val="white"/>
              </w:rPr>
            </w:r>
          </w:p>
        </w:tc>
      </w:tr>
      <w:tr>
        <w:trPr>
          <w:trHeight w:val="2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装修装饰</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1</w:t>
            </w:r>
            <w:r>
              <w:rPr>
                <w:rFonts w:ascii="SimSun" w:hAnsi="SimSun" w:eastAsia="SimSun" w:cs="SimSun"/>
                <w:color w:val="000000"/>
                <w:sz w:val="24"/>
                <w:highlight w:val="white"/>
              </w:rPr>
              <w:t xml:space="preserve">、新建</w:t>
            </w:r>
            <w:r>
              <w:rPr>
                <w:rFonts w:ascii="Calibri" w:hAnsi="Calibri" w:eastAsia="Calibri" w:cs="Calibri"/>
                <w:color w:val="000000"/>
                <w:sz w:val="24"/>
                <w:highlight w:val="white"/>
              </w:rPr>
              <w:t xml:space="preserve">98</w:t>
            </w:r>
            <w:r>
              <w:rPr>
                <w:rFonts w:ascii="SimSun" w:hAnsi="SimSun" w:eastAsia="SimSun" w:cs="SimSun"/>
                <w:color w:val="000000"/>
                <w:sz w:val="24"/>
                <w:highlight w:val="white"/>
              </w:rPr>
              <w:t xml:space="preserve">平方墙体：地下砼基础固定、定制化钢架结构，铝塑板包边、拳击测力软包、大屏嵌入钢结构内、广告装饰。主结构柱采用国标工字钢，墙体大屏顶部采用国标槽钢做上下横眉梁，不小于</w:t>
            </w:r>
            <w:r>
              <w:rPr>
                <w:rFonts w:ascii="Calibri" w:hAnsi="Calibri" w:eastAsia="Calibri" w:cs="Calibri"/>
                <w:color w:val="000000"/>
                <w:sz w:val="24"/>
                <w:highlight w:val="white"/>
              </w:rPr>
              <w:t xml:space="preserve">40*40*2mm</w:t>
            </w:r>
            <w:r>
              <w:rPr>
                <w:rFonts w:ascii="SimSun" w:hAnsi="SimSun" w:eastAsia="SimSun" w:cs="SimSun"/>
                <w:color w:val="000000"/>
                <w:sz w:val="24"/>
                <w:highlight w:val="white"/>
              </w:rPr>
              <w:t xml:space="preserve">方钢焊接制作成大屏框架。</w:t>
            </w:r>
            <w:r>
              <w:rPr>
                <w:rFonts w:ascii="Calibri" w:hAnsi="Calibri" w:eastAsia="Calibri" w:cs="Calibri"/>
                <w:color w:val="000000"/>
                <w:sz w:val="24"/>
                <w:highlight w:val="white"/>
              </w:rPr>
              <w:t xml:space="preserve">800mm</w:t>
            </w:r>
            <w:r>
              <w:rPr>
                <w:rFonts w:ascii="SimSun" w:hAnsi="SimSun" w:eastAsia="SimSun" w:cs="SimSun"/>
                <w:color w:val="000000"/>
                <w:sz w:val="24"/>
                <w:highlight w:val="white"/>
              </w:rPr>
              <w:t xml:space="preserve">以下砌块砖垒砌成封闭空间，墙体拐角边角处加钢筋，内外抹灰收平拉毛，便于后续粉刷。</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2</w:t>
            </w:r>
            <w:r>
              <w:rPr>
                <w:rFonts w:ascii="SimSun" w:hAnsi="SimSun" w:eastAsia="SimSun" w:cs="SimSun"/>
                <w:color w:val="000000"/>
                <w:sz w:val="24"/>
                <w:highlight w:val="white"/>
              </w:rPr>
              <w:t xml:space="preserve">、墙面粉刷</w:t>
            </w:r>
            <w:r>
              <w:rPr>
                <w:rFonts w:ascii="Calibri" w:hAnsi="Calibri" w:eastAsia="Calibri" w:cs="Calibri"/>
                <w:color w:val="000000"/>
                <w:sz w:val="24"/>
                <w:highlight w:val="white"/>
              </w:rPr>
              <w:t xml:space="preserve">30</w:t>
            </w:r>
            <w:r>
              <w:rPr>
                <w:rFonts w:ascii="SimSun" w:hAnsi="SimSun" w:eastAsia="SimSun" w:cs="SimSun"/>
                <w:color w:val="000000"/>
                <w:sz w:val="24"/>
                <w:highlight w:val="white"/>
              </w:rPr>
              <w:t xml:space="preserve">平方：采用腻子刮凃两遍找平，打磨平整，粉刷底漆一遍，面漆两遍，采用室外乳胶漆。</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3</w:t>
            </w:r>
            <w:r>
              <w:rPr>
                <w:rFonts w:ascii="SimSun" w:hAnsi="SimSun" w:eastAsia="SimSun" w:cs="SimSun"/>
                <w:color w:val="000000"/>
                <w:sz w:val="24"/>
                <w:highlight w:val="white"/>
              </w:rPr>
              <w:t xml:space="preserve">、墙面层级造型：定制</w:t>
            </w:r>
            <w:r>
              <w:rPr>
                <w:rFonts w:ascii="Calibri" w:hAnsi="Calibri" w:eastAsia="Calibri" w:cs="Calibri"/>
                <w:color w:val="000000"/>
                <w:sz w:val="24"/>
                <w:highlight w:val="white"/>
              </w:rPr>
              <w:t xml:space="preserve">10mm</w:t>
            </w:r>
            <w:r>
              <w:rPr>
                <w:rFonts w:ascii="SimSun" w:hAnsi="SimSun" w:eastAsia="SimSun" w:cs="SimSun"/>
                <w:color w:val="000000"/>
                <w:sz w:val="24"/>
                <w:highlight w:val="white"/>
              </w:rPr>
              <w:t xml:space="preserve">厚</w:t>
            </w:r>
            <w:r>
              <w:rPr>
                <w:rFonts w:ascii="Calibri" w:hAnsi="Calibri" w:eastAsia="Calibri" w:cs="Calibri"/>
                <w:color w:val="000000"/>
                <w:sz w:val="24"/>
                <w:highlight w:val="white"/>
              </w:rPr>
              <w:t xml:space="preserve">pvc</w:t>
            </w:r>
            <w:r>
              <w:rPr>
                <w:rFonts w:ascii="SimSun" w:hAnsi="SimSun" w:eastAsia="SimSun" w:cs="SimSun"/>
                <w:color w:val="000000"/>
                <w:sz w:val="24"/>
                <w:highlight w:val="white"/>
              </w:rPr>
              <w:t xml:space="preserve">印刷展板 水晶覆膜。</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4</w:t>
            </w:r>
            <w:r>
              <w:rPr>
                <w:rFonts w:ascii="SimSun" w:hAnsi="SimSun" w:eastAsia="SimSun" w:cs="SimSun"/>
                <w:color w:val="000000"/>
                <w:sz w:val="24"/>
                <w:highlight w:val="white"/>
              </w:rPr>
              <w:t xml:space="preserve">、墙面</w:t>
            </w:r>
            <w:r>
              <w:rPr>
                <w:rFonts w:ascii="Calibri" w:hAnsi="Calibri" w:eastAsia="Calibri" w:cs="Calibri"/>
                <w:color w:val="000000"/>
                <w:sz w:val="24"/>
                <w:highlight w:val="white"/>
              </w:rPr>
              <w:t xml:space="preserve">48</w:t>
            </w:r>
            <w:r>
              <w:rPr>
                <w:rFonts w:ascii="SimSun" w:hAnsi="SimSun" w:eastAsia="SimSun" w:cs="SimSun"/>
                <w:color w:val="000000"/>
                <w:sz w:val="24"/>
                <w:highlight w:val="white"/>
              </w:rPr>
              <w:t xml:space="preserve">平方：水泥板打底，铝塑板封面，定制喷绘画。</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5</w:t>
            </w:r>
            <w:r>
              <w:rPr>
                <w:rFonts w:ascii="SimSun" w:hAnsi="SimSun" w:eastAsia="SimSun" w:cs="SimSun"/>
                <w:color w:val="000000"/>
                <w:sz w:val="24"/>
                <w:highlight w:val="white"/>
              </w:rPr>
              <w:t xml:space="preserve">、遮阳防水艺术造型棚顶：焊接钢架斜角支撑，外延</w:t>
            </w:r>
            <w:r>
              <w:rPr>
                <w:rFonts w:ascii="Calibri" w:hAnsi="Calibri" w:eastAsia="Calibri" w:cs="Calibri"/>
                <w:color w:val="000000"/>
                <w:sz w:val="24"/>
                <w:highlight w:val="white"/>
              </w:rPr>
              <w:t xml:space="preserve">60cm</w:t>
            </w:r>
            <w:r>
              <w:rPr>
                <w:rFonts w:ascii="SimSun" w:hAnsi="SimSun" w:eastAsia="SimSun" w:cs="SimSun"/>
                <w:color w:val="000000"/>
                <w:sz w:val="24"/>
                <w:highlight w:val="white"/>
              </w:rPr>
              <w:t xml:space="preserve">，铺设</w:t>
            </w:r>
            <w:r>
              <w:rPr>
                <w:rFonts w:ascii="Calibri" w:hAnsi="Calibri" w:eastAsia="Calibri" w:cs="Calibri"/>
                <w:color w:val="000000"/>
                <w:sz w:val="24"/>
                <w:highlight w:val="white"/>
              </w:rPr>
              <w:t xml:space="preserve">pvc</w:t>
            </w:r>
            <w:r>
              <w:rPr>
                <w:rFonts w:ascii="SimSun" w:hAnsi="SimSun" w:eastAsia="SimSun" w:cs="SimSun"/>
                <w:color w:val="000000"/>
                <w:sz w:val="24"/>
                <w:highlight w:val="white"/>
              </w:rPr>
              <w:t xml:space="preserve">红色仿古瓦片，外延底部使用水泥板固定，后续刮凃乳胶漆 ，大屏检修通道顶部，采用钢架搭建，层高低于新建墙体，做后斜坡，雨水后排出。</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6</w:t>
            </w:r>
            <w:r>
              <w:rPr>
                <w:rFonts w:ascii="SimSun" w:hAnsi="SimSun" w:eastAsia="SimSun" w:cs="SimSun"/>
                <w:color w:val="000000"/>
                <w:sz w:val="24"/>
                <w:highlight w:val="white"/>
              </w:rPr>
              <w:t xml:space="preserve">、地面美化：地面铺设芝麻白火烧面大理石（厚</w:t>
            </w:r>
            <w:r>
              <w:rPr>
                <w:rFonts w:ascii="Calibri" w:hAnsi="Calibri" w:eastAsia="Calibri" w:cs="Calibri"/>
                <w:color w:val="000000"/>
                <w:sz w:val="24"/>
                <w:highlight w:val="white"/>
              </w:rPr>
              <w:t xml:space="preserve">25mm</w:t>
            </w: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60</w:t>
            </w:r>
            <w:r>
              <w:rPr>
                <w:rFonts w:ascii="SimSun" w:hAnsi="SimSun" w:eastAsia="SimSun" w:cs="SimSun"/>
                <w:color w:val="000000"/>
                <w:sz w:val="24"/>
                <w:highlight w:val="white"/>
              </w:rPr>
              <w:t xml:space="preserve">平方。</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7</w:t>
            </w:r>
            <w:r>
              <w:rPr>
                <w:rFonts w:ascii="SimSun" w:hAnsi="SimSun" w:eastAsia="SimSun" w:cs="SimSun"/>
                <w:color w:val="000000"/>
                <w:sz w:val="24"/>
                <w:highlight w:val="white"/>
              </w:rPr>
              <w:t xml:space="preserve">、电路改造：电路根据设备要求供电。主电缆</w:t>
            </w:r>
            <w:r>
              <w:rPr>
                <w:rFonts w:ascii="Calibri" w:hAnsi="Calibri" w:eastAsia="Calibri" w:cs="Calibri"/>
                <w:color w:val="000000"/>
                <w:sz w:val="24"/>
                <w:highlight w:val="white"/>
              </w:rPr>
              <w:t xml:space="preserve">5*6</w:t>
            </w:r>
            <w:r>
              <w:rPr>
                <w:rFonts w:ascii="SimSun" w:hAnsi="SimSun" w:eastAsia="SimSun" w:cs="SimSun"/>
                <w:color w:val="000000"/>
                <w:sz w:val="24"/>
                <w:highlight w:val="white"/>
              </w:rPr>
              <w:t xml:space="preserve">平方，为</w:t>
            </w:r>
            <w:r>
              <w:rPr>
                <w:rFonts w:ascii="Calibri" w:hAnsi="Calibri" w:eastAsia="Calibri" w:cs="Calibri"/>
                <w:color w:val="000000"/>
                <w:sz w:val="24"/>
                <w:highlight w:val="white"/>
              </w:rPr>
              <w:t xml:space="preserve">12</w:t>
            </w:r>
            <w:r>
              <w:rPr>
                <w:rFonts w:ascii="SimSun" w:hAnsi="SimSun" w:eastAsia="SimSun" w:cs="SimSun"/>
                <w:color w:val="000000"/>
                <w:sz w:val="24"/>
                <w:highlight w:val="white"/>
              </w:rPr>
              <w:t xml:space="preserve">平方大屏及测练一体机供电。</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注：1. 本项目仅有效果图。具体做法详见招标文件中的文字技术说明。</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投标人须自行踏勘现场，根据现场实际尺寸、条件及技术要求自主编制清单并报价。未踏勘现场而造成的报价偏差，由投标人自行承担。</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本次报价为固定总价包干。报价一经确认，即视为投标人已完全了解现场条件、技术要求和工程量范围，后期不得以“无图纸、尺寸不符、工程量增减”等理由要求调整价款。</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请各投标人慎重报价，中标后不予追加。</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bl>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采用总承包方式，采购内容除以上所投货物、系统平台等相关内容外，投标人还应充分考虑配套的其他费用，包含但不限于：货款、辅材、安装、线路、运维、包装、运输、开办费、技术措施费、劳务、管理、利润、税金、政策性文件规定等所有费用，招标文件中另有规定的除外。</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三、项目实施方案</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（一)项目实施方案</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根据项目需求分析，从系统信息安全保障及供应商的供货节点控制、质量保障措施、质检、运输、验收和现场管理方案及验收方案等内容。</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（二)培训方案</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根据供应商培训方案进行打分，有详细的培训计划，包含培训内容、培训课时安排、培训师资等。</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（三)售后服务方案</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根据项目需求分析，从投标人提供的售后服务方案，服务体系，服务内容，问题的响应处理及解决办法，后续服务措施及维护能力等方面，编制详细、可行的实施方案。</w:t>
      </w:r>
      <w:r>
        <w:rPr>
          <w:rFonts w:ascii="SimSun" w:hAnsi="SimSun" w:eastAsia="SimSun" w:cs="SimSun"/>
          <w:b/>
          <w:color w:val="000000"/>
          <w:sz w:val="28"/>
          <w:highlight w:val="white"/>
        </w:rPr>
        <w:t xml:space="preserve">四、政府采购政策相关要求 </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（一）节能、环保产品政策 </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采购人拟采购的产品属于优先采购的节能环保品目清单范围的，按以下条件优先采购：采用综合评分法的项目，对提供有效节能环保证书的投标人加分。</w:t>
      </w:r>
      <w:r>
        <w:rPr>
          <w:highlight w:val="white"/>
        </w:rPr>
      </w:r>
    </w:p>
    <w:p>
      <w:pPr>
        <w:ind w:left="0" w:right="0" w:firstLine="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（二）商品包装、快递包装要求 </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本次采购产品涉及商品包装和快递包装要求的，应不低于《关于印发《商品包装政府采购需求标准（试行）》、《快递包装政府采购需求标准（试行）》的通知》（财办库〔2020〕123 号）文件规定的参考标准。在履约验收时按照本条款执行。供应商一旦参与本项目投标，即完全响应本条款要求。</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（三）绿色数据中心政府采购需求标准（试行）</w:t>
      </w:r>
      <w:r>
        <w:rPr>
          <w:highlight w:val="white"/>
        </w:rPr>
      </w:r>
    </w:p>
    <w:p>
      <w:pPr>
        <w:ind w:left="0" w:right="0" w:firstLine="48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为加快数据中心绿色转型，根据财政部 生态环境部 工业和信息化部关于印发《绿色数据中心政府采购需求标准（试行）》的通知），本项目如涉及绿色数据中心，投标人应当提供符合需求标准的产品。</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五、本项目仅采购本国货物，投标单位按照投标文件格式中要求如实提供《关于符合本国产品标准的声明函》</w:t>
      </w:r>
      <w:r>
        <w:rPr>
          <w:highlight w:val="white"/>
        </w:rPr>
      </w:r>
    </w:p>
    <w:p>
      <w:pPr>
        <w:ind w:left="0" w:right="0" w:firstLine="48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第五章评标方法与评标标准</w:t>
      </w:r>
      <w:r>
        <w:rPr>
          <w:highlight w:val="white"/>
        </w:rPr>
      </w:r>
    </w:p>
    <w:p>
      <w:pPr>
        <w:ind w:left="0" w:right="0" w:firstLine="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一、资格审查。</w:t>
      </w:r>
      <w:r>
        <w:rPr>
          <w:rFonts w:ascii="SimSun" w:hAnsi="SimSun" w:eastAsia="SimSun" w:cs="SimSun"/>
          <w:color w:val="000000"/>
          <w:sz w:val="24"/>
          <w:highlight w:val="white"/>
        </w:rPr>
        <w:t xml:space="preserve">资格审查人员按照下列指标对各投标人的资格进行审查，未通过审查的为无效标，不参与评标。</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00"/>
        <w:gridCol w:w="2500"/>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250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资格审查因素</w:t>
            </w:r>
            <w:r>
              <w:rPr>
                <w:highlight w:val="white"/>
              </w:rP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250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审查标准</w:t>
            </w:r>
            <w:r>
              <w:rPr>
                <w:highlight w:val="white"/>
              </w:rP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2500"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投标声明及承诺函</w:t>
            </w:r>
            <w:r>
              <w:rPr>
                <w:highlight w:val="white"/>
              </w:rP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2500"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符合招标文件要求</w:t>
            </w:r>
            <w:r>
              <w:rPr>
                <w:highlight w:val="white"/>
              </w:rP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2500"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信用信息</w:t>
            </w:r>
            <w:r>
              <w:rPr>
                <w:highlight w:val="white"/>
              </w:rP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2500"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符合招标文件要求</w:t>
            </w:r>
            <w:r>
              <w:rPr>
                <w:highlight w:val="white"/>
              </w:rP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2500"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联合体投标</w:t>
            </w:r>
            <w:r>
              <w:rPr>
                <w:highlight w:val="white"/>
              </w:rP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2500"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不接受联合体投标</w:t>
            </w:r>
            <w:r>
              <w:rPr>
                <w:highlight w:val="white"/>
              </w:rPr>
            </w:r>
          </w:p>
        </w:tc>
      </w:tr>
    </w:tbl>
    <w:p>
      <w:pPr>
        <w:ind w:left="0" w:right="0" w:firstLine="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二、符合性审查。</w:t>
      </w:r>
      <w:r>
        <w:rPr>
          <w:rFonts w:ascii="SimSun" w:hAnsi="SimSun" w:eastAsia="SimSun" w:cs="SimSun"/>
          <w:color w:val="000000"/>
          <w:sz w:val="24"/>
          <w:highlight w:val="white"/>
        </w:rPr>
        <w:t xml:space="preserve">评标委员会首先按照下列指标对各投标人的投标文件进行符合性审查，未通过审查的为无效标，不再参与评审。</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11"/>
        <w:gridCol w:w="4515"/>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51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符合性审查因素</w:t>
            </w:r>
            <w:r>
              <w:rPr>
                <w:highlight w:val="white"/>
              </w:rP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51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审查标准</w:t>
            </w:r>
            <w:r>
              <w:rPr>
                <w:highlight w:val="white"/>
              </w:rP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51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法定代表人身份证明或授权委托书</w:t>
            </w:r>
            <w:r>
              <w:rPr>
                <w:highlight w:val="white"/>
              </w:rP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515"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符合招标文件要求</w:t>
            </w:r>
            <w:r>
              <w:rPr>
                <w:highlight w:val="white"/>
              </w:rP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51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开标一览表及投标报价</w:t>
            </w:r>
            <w:r>
              <w:rPr>
                <w:highlight w:val="white"/>
              </w:rP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515"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格式、填写要求符合招标文件规定</w:t>
            </w:r>
            <w:r>
              <w:rPr>
                <w:highlight w:val="white"/>
              </w:rP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51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技术标准和要求</w:t>
            </w:r>
            <w:r>
              <w:rPr>
                <w:highlight w:val="white"/>
              </w:rP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515"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符合招标文件要求</w:t>
            </w:r>
            <w:r>
              <w:rPr>
                <w:highlight w:val="white"/>
              </w:rP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51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其他</w:t>
            </w:r>
            <w:r>
              <w:rPr>
                <w:highlight w:val="white"/>
              </w:rP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515"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符合招标文件要求</w:t>
            </w:r>
            <w:r>
              <w:rPr>
                <w:highlight w:val="white"/>
              </w:rPr>
            </w:r>
          </w:p>
        </w:tc>
      </w:tr>
    </w:tbl>
    <w:p>
      <w:pPr>
        <w:ind w:left="0" w:right="0" w:firstLine="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三、评分办法—综合评分法</w:t>
      </w:r>
      <w:r>
        <w:rPr>
          <w:highlight w:val="white"/>
        </w:rPr>
      </w:r>
    </w:p>
    <w:p>
      <w:pPr>
        <w:ind w:left="0" w:right="0" w:firstLine="241"/>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（一）评标办法：</w:t>
      </w:r>
      <w:r>
        <w:rPr>
          <w:rFonts w:ascii="SimSun" w:hAnsi="SimSun" w:eastAsia="SimSun" w:cs="SimSun"/>
          <w:color w:val="000000"/>
          <w:sz w:val="24"/>
          <w:highlight w:val="white"/>
        </w:rPr>
        <w:t xml:space="preserve">本项目采用综合评分办法，评标委员会严格按照招标文件规定的评分标准和要求，对各投标文件进行综合评审，按评审后得分由高到低顺序对供应商进行排序。得分相同的，按投标报价由低到高顺序排序。得分且投标报价相同的，由采购人自行决定。</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评标委员会根据评审后投标人排序推荐中标候选人。投标文件满足招标文件全部实质性要求，且评审后排序第一的投标人为第一中标候选人，依次类推。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综合评分保留至小数点后两位。 </w:t>
      </w:r>
      <w:r>
        <w:rPr>
          <w:highlight w:val="white"/>
        </w:rPr>
      </w:r>
    </w:p>
    <w:p>
      <w:pPr>
        <w:numPr>
          <w:ilvl w:val="0"/>
          <w:numId w:val="18"/>
        </w:numPr>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详细评审。</w:t>
      </w:r>
      <w:r>
        <w:rPr>
          <w:rFonts w:ascii="SimSun" w:hAnsi="SimSun" w:eastAsia="SimSun" w:cs="SimSun"/>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highlight w:val="white"/>
        </w:rPr>
      </w:r>
    </w:p>
    <w:p>
      <w:pPr>
        <w:ind w:left="0" w:right="0" w:firstLine="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0"/>
        <w:gridCol w:w="1292"/>
        <w:gridCol w:w="781"/>
        <w:gridCol w:w="6372"/>
      </w:tblGrid>
      <w:tr>
        <w:trPr>
          <w:trHeight w:val="27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评审因素</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分数</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评审标准</w:t>
            </w:r>
            <w:r>
              <w:rPr>
                <w:highlight w:val="white"/>
              </w:rP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报价分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投标报价</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采用低价优先法计算，即满足招标文件要求且投标价格最低的投标报价为评标基准价，其价格分为满分。其他投标人投标报价得分＝（评标基准价/投标报价）*30。</w:t>
            </w:r>
            <w:r>
              <w:rPr>
                <w:highlight w:val="white"/>
              </w:rPr>
            </w:r>
          </w:p>
        </w:tc>
      </w:tr>
      <w:tr>
        <w:trPr>
          <w:trHeight w:val="1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vMerge w:val="restart"/>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技术响应</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技术参数响应</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供应商对招标文件中“采购清单及技术参数要求”的响应情况进行评分。其中，“★”部分为实质性响应部分，不得出现负偏离，否则视为无效投标；技术参数要求中“▲”号项为重要参数指标，投标人每负偏离一项，扣 1分，其他技术参数每负偏离一项扣 0.5分，本项得分扣完为止。供应商需详尽真实的提供投标产品的技术响应偏差表，具体由评标委员会根据技术要求细则，对各投标单位投标产品的技术响应情况进行打分。本项最高得35分。</w:t>
              <w:br/>
              <w:t xml:space="preserve">注：供应商针对本项评标内容在投标文件《响应偏离表》中逐条列出响应及偏离情况，采购需求中要求提供证明材料的</w:t>
            </w:r>
            <w:r>
              <w:rPr>
                <w:rFonts w:ascii="SimSun" w:hAnsi="SimSun" w:eastAsia="SimSun" w:cs="SimSun"/>
                <w:color w:val="000000"/>
                <w:sz w:val="24"/>
                <w:highlight w:val="white"/>
              </w:rPr>
              <w:t xml:space="preserve">，以证明材料为准，若《响应偏离表》与提供证明材料的内容不一致，以证明材料为准；采购需求中未要求提供证明材料的，以《技术响应偏离表》为准，《响应偏离表》中未列出的对应项按负偏离进行扣分处理。证明材料报告日期不得晚于招标文件挂网日期，否则视为无效。</w:t>
            </w:r>
            <w:r>
              <w:rPr>
                <w:highlight w:val="white"/>
              </w:rPr>
            </w:r>
          </w:p>
        </w:tc>
      </w:tr>
      <w:tr>
        <w:trPr>
          <w:trHeight w:val="49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vMerge w:val="restart"/>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技术方案响应</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vMerge w:val="restart"/>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智慧体育系统演示（本项合计 5分）：</w:t>
              <w:br/>
              <w:t xml:space="preserve">1、投标人提供以下参数演示视频。演示视频时间不超过10分钟，采用通用格式（如：mp4，avi，flv等格式），无法打开或播放的该项不得分，若恶意提供虚假视频材料或者投标材料，将作无效标处理（须提供系统演示视频，其容量最好不超过30M，如超过可分段上传）。</w:t>
              <w:br/>
              <w:t xml:space="preserve">2、视频演示内容要求如下：</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首页数据看板：可查看参与测试学生总人数及占比、男女生测试人数及占比、各年级测试人数统计；支持跳绳、立定跳远、肺活量、坐位体前屈、50米跑等单项测试人员统计，展示各项目测试人数与达标人数。通过图表直观呈现每日运动人次，并支持周期翻页查看；同时提供分项数据概览，以年级、项目为统计维度，展示本学年已测人数、未测人数及男女生平均成绩，以图表形式分别呈现男女生优秀率、良好率、及格率、不及格率，并支持展示各单项班级平均得分前十排名。（得1分）</w:t>
              <w:br/>
              <w:t xml:space="preserve">（2）学生管理：支持学生建档一键初始化，可直接导入国家学生体质健康标准</w:t>
            </w:r>
            <w:r>
              <w:rPr>
                <w:rFonts w:ascii="SimSun" w:hAnsi="SimSun" w:eastAsia="SimSun" w:cs="SimSun"/>
                <w:color w:val="000000"/>
                <w:sz w:val="24"/>
                <w:highlight w:val="white"/>
              </w:rPr>
              <w:t xml:space="preserve">数据管理系统官方学生信息模板，快速批量完成学生信息建档录入，且平台内置提供该模板下载功能。（得1分）</w:t>
              <w:br/>
              <w:t xml:space="preserve">（3）学生体测成绩管理：支持根据年级、班级、性别、综合评定以及测试状态等进行快速筛选；支持通过学号或姓名查询，可快速定点对学生成绩进行修正录入；支持查看学生的历史测试记录，并引用某次成绩作为最终成绩；支持通过表格导入的方式批量进行成绩登记；支持将成绩导出为国网上报模板以及江苏省网上报模板。（得1分）</w:t>
              <w:br/>
              <w:t xml:space="preserve">（4）体育荣耀榜看板：支持按跳绳、开合跳、50米跑、肺活量等项目分类查看排行榜，可按学期 / 日 / 周 /</w:t>
            </w:r>
            <w:r>
              <w:rPr>
                <w:rFonts w:ascii="SimSun" w:hAnsi="SimSun" w:eastAsia="SimSun" w:cs="SimSun"/>
                <w:color w:val="000000"/>
                <w:sz w:val="24"/>
                <w:highlight w:val="white"/>
              </w:rPr>
              <w:t xml:space="preserve"> 月筛选周期，并支持全部 / 男 / 女维度的成绩展示；排行榜按年级分组展示学生姓名、班级、成绩及排名，直观呈现学生运动水平；支持点击学生进入个人运动看板，查看学生参与项目数、累计运动天数、日均时长、达标天数占比等运动数据，展示最佳成绩、得分及班级 / 年级排名；支持以活动趋势图呈现运动打卡记录，并按项目查看历史成绩、综合评定及锻炼时间；同时支持通过年级、班级、姓名快速搜索查询学生运动数据，实现对学生运动情况的全方位跟踪与激励。（得1分）</w:t>
              <w:br/>
              <w:t xml:space="preserve">（5）教学屏课程管理：支持自定义Ai测练一体机中的跟练课程名称与编码</w:t>
            </w:r>
            <w:r>
              <w:rPr>
                <w:rFonts w:ascii="SimSun" w:hAnsi="SimSun" w:eastAsia="SimSun" w:cs="SimSun"/>
                <w:color w:val="000000"/>
                <w:sz w:val="24"/>
                <w:highlight w:val="white"/>
              </w:rPr>
              <w:t xml:space="preserve">，可按课程级别（Lv1/Lv2/Lv3）、课程类型（教学 / 热身）进行分类管理；支持按年级标签快速匹配适用班级，实现课程的精准投放；支持新增、移除、排序课程项目，并为每个项目配置单独的课程时长；支持通过设置循环次数，一键生成重复项目流程，快速完成课程编排；支持将配置完成的课程模板保存，后续可直接复用或修改；支持填写课程备注信息，便于教学场景说明与管理。（得1分）</w:t>
            </w:r>
            <w:r>
              <w:rPr>
                <w:highlight w:val="white"/>
              </w:rP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校园数字孪生平台效果演示（本项合计 6分）：</w:t>
              <w:br/>
              <w:t xml:space="preserve">1、投标人提供以下参数演示视频。演示视频时间不超过10分钟，采用通用格式（如：mp4，avi，flv等格式），无法打开或播放的该项不得分，若恶意提供虚假视频材料或者投标材料，将作无效标处理（须提供系统演示视频，其容量最好不超过30M，如超过可分段上传）。</w:t>
              <w:br/>
              <w:t xml:space="preserve">2、视频演示内容要求如下：</w:t>
              <w:br/>
              <w:t xml:space="preserve">（1）模型效果可视化演示：支持三维浏览、漫游、缩放、视角切换等基础操作，实现室外与室内一体化三维地图呈现，场景还原细腻真实，具备逼真的立体视觉效果。（得1分）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（2）提供不低于5种天气系统粒子和烟雾爆炸、动态喷泉、动态水面被纹特效模拟功能。（得1分）</w:t>
              <w:br/>
              <w:t xml:space="preserve">（3）人员布控以及轨迹还原演示：在三维地图中根据人脸照片或名单库中选择的目标人员进行人员信息检索，按照时间顺序形成人员轨迹。（得1分）</w:t>
              <w:br/>
              <w:t xml:space="preserve">（4）门禁设备孪生驾驶舱演示：支持在3D场景中查看门禁设备的空间点位分布，以信息面板方式查看人员出入详细信息，支持实时查看人员出入信息。（得1分）</w:t>
              <w:br/>
              <w:t xml:space="preserve">（5）智慧校园告警可视化演示：对视频设备类报警、视频分析报警（越界报警、跌倒检测报警、危险区域入侵报警等）、人脸黑名单告警等进行列表展示</w:t>
            </w:r>
            <w:r>
              <w:rPr>
                <w:rFonts w:ascii="SimSun" w:hAnsi="SimSun" w:eastAsia="SimSun" w:cs="SimSun"/>
                <w:color w:val="000000"/>
                <w:sz w:val="24"/>
                <w:highlight w:val="white"/>
              </w:rPr>
              <w:t xml:space="preserve">，点击报警能够快速定位到报警位置，同时查看联动的视频监控。（得1分）</w:t>
              <w:br/>
              <w:t xml:space="preserve">（6）视频巡逻演示：在3D场景中的视频巡逻功能，以设定的路线自动播放视频画面，模拟工作人员的虚拟巡逻路线，对沿线的监控设备点自动弹出画面的现场在线演示。（得1分）</w:t>
            </w:r>
            <w:r>
              <w:rPr>
                <w:highlight w:val="white"/>
              </w:rPr>
            </w:r>
          </w:p>
        </w:tc>
      </w:tr>
      <w:tr>
        <w:trPr>
          <w:trHeight w:val="14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减压广场实施（本项合计2分）：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投标人针对本项目的改造效果图理解分析并提供硬件整体实施方案，方案应包括：环境改造实施方案。</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方案内容完整，针对本项目制定的，表述合理清晰且可行性强得2分；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方案内容基本完整，可行性一般，但不影响实质性意思表达，经过后期优化可以满足要求的得1分；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方案内容简单，可行性差的，没有针对性的得0.2分；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没有内容不得分。</w:t>
            </w:r>
            <w:r>
              <w:rPr>
                <w:highlight w:val="white"/>
              </w:rP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vMerge w:val="restart"/>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企业经营业绩、信誉</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节能产品、环境标志产品</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产品在财政部、生态环境部公布的“环境标志产品政府采购品目清单”内，且投标文件中每提供一个国家市场监督管理局确定的列入“参与实施政府采购环境标志产品认证机构名录”内的认证机构出具的、有效期内的该产品环境标志产品认证证书的得1分，本项最高得1分。2、投标产品在财政部、发展改革委公布的“节能产品政府采购品目清单”内，且投标文件中每提供一个国家市场监督管理局确定的列入“参与实施政府采购节能产品认证机构名录”内的认证机构出具的、有效期内的该产品的节能产品认证证书的得1分，本项最高得1分。</w:t>
            </w:r>
            <w:r>
              <w:rPr>
                <w:highlight w:val="white"/>
              </w:rPr>
            </w:r>
          </w:p>
        </w:tc>
      </w:tr>
      <w:tr>
        <w:trPr>
          <w:trHeight w:val="9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企业业绩</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投标人自 2023 年1月1日以来（以合同签订时间为准）承担过类似数字孪生业绩，每提供一个得1分，本项最多得3分，没有不得分。 注：1、业绩证明须同时提供中标（成交）通知书、完整的采购合同原件扫描件（二者缺一不可），业绩证明材料应能够明确反映供应商名称、项目内容、合同签订时间等主要信息，否则不得分。2、中标人提供的业绩将随中标结果公告同步公开。</w:t>
            </w:r>
            <w:r>
              <w:rPr>
                <w:highlight w:val="white"/>
              </w:rPr>
            </w:r>
          </w:p>
        </w:tc>
      </w:tr>
      <w:tr>
        <w:trPr>
          <w:trHeight w:val="9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企业认证及实力</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投标供应商具有有效期内的信息安全管理体系认证证书（ISO27001）、信息安全服务认证证书（CCRC），每有一个得1分，本项最高得2分；</w:t>
              <w:br/>
              <w:t xml:space="preserve">注：1、提供相关认证证书原件扫描件上传至投标文件中，未提供不得分。2、中标人提供的证书将随中标结果公告同步公开。</w:t>
            </w:r>
            <w:r>
              <w:rPr>
                <w:highlight w:val="white"/>
              </w:rP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vMerge w:val="restart"/>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服务部分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vMerge w:val="restart"/>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管理力量、技术人员安排</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vMerge w:val="restart"/>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1．项目负责人：项目负责人具有信息系统项目管理师高级证书、弱电系统工程师证书（高级）、高级工程师及以上职称证书,每有一个得1分，最高得3分。</w:t>
            </w:r>
            <w:r>
              <w:rPr>
                <w:highlight w:val="white"/>
              </w:rPr>
            </w:r>
          </w:p>
        </w:tc>
      </w:tr>
      <w:tr>
        <w:trPr>
          <w:trHeight w:val="106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项目组人员（项目负责人除外，一个证书只计算一次得分，同一人员具有多个证书只计算一次得分）具有系统集成项目管理工程师、系统架构设计师、网络与信息安全管理员、高级网络技术工程师、智能化系统工程师、软件工程师、信息系统管理工程师的，每有一个得1分，最高得7分。注：须提供上述人员证书复印件至投标文件中并加盖公章，投标单位须提供为其缴纳的投标截止前本单位为其办理的最近6个月内任意一个月的社会保险证明，投标单位成立不满一年的提供近一个月的社会保险证明；证明以社会养老保险或医疗保险的官方网址查询信息截图，或者以本单位</w:t>
            </w:r>
            <w:r>
              <w:rPr>
                <w:rFonts w:ascii="SimSun" w:hAnsi="SimSun" w:eastAsia="SimSun" w:cs="SimSun"/>
                <w:color w:val="000000"/>
                <w:sz w:val="24"/>
                <w:highlight w:val="white"/>
              </w:rPr>
              <w:t xml:space="preserve">当地保险管理部门出具的证明为准。</w:t>
            </w:r>
            <w:r>
              <w:rPr>
                <w:highlight w:val="white"/>
              </w:rPr>
            </w:r>
          </w:p>
        </w:tc>
      </w:tr>
      <w:tr>
        <w:trPr>
          <w:trHeight w:val="13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项目实施方案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项目需求分析，从系统信息安全保障及供应商的供货节点控制、质量保障措施、质检、运输、验收和现场管理方案及验收方案等内容进行打分。方案内容详细完善、节点控制把控到位、管理措施完备、验收方案合理、贴合项目实际，安装、验收、调试方案可行、科学合理，满足采购人要求的得2分；方案内容较完整、具有实施管理措施较完备、验收方案较合理、较贴合项目实际、调试方案可行，能够满足项目要求的得1分；内容基本完整、方案内容有一定偏差，但不影响实质性内容表达，较具有针对性和可操作性，得 0.5分；有项目实施方案，但方案完整程度一般，</w:t>
            </w:r>
            <w:r>
              <w:rPr>
                <w:rFonts w:ascii="SimSun" w:hAnsi="SimSun" w:eastAsia="SimSun" w:cs="SimSun"/>
                <w:color w:val="000000"/>
                <w:sz w:val="24"/>
                <w:highlight w:val="white"/>
              </w:rPr>
              <w:t xml:space="preserve">架构不够完善，缺乏科学性，内容欠缺较多，没有针对本项目主要工作内容制定，内容不详实、不完整、不全面的，或者没有内容的视为无效方案，不得分。</w:t>
            </w:r>
            <w:r>
              <w:rPr>
                <w:highlight w:val="white"/>
              </w:rPr>
            </w:r>
          </w:p>
        </w:tc>
      </w:tr>
      <w:tr>
        <w:trPr>
          <w:trHeight w:val="63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培训方案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供应商培训方案进行打分，有详细的培训计划，包含培训内容、培训课时安排、培训师资等。培训方案规范性强、系统结构科学、可操作性强的得1分；培训方案规范、系统结构合理、具有一定可操作性的得0.7分；培训方案欠缺规范性、系统结构合理、可操作性一般，得0.5分。没有内容不得分。</w:t>
            </w:r>
            <w:r>
              <w:rPr>
                <w:highlight w:val="white"/>
              </w:rPr>
            </w:r>
          </w:p>
        </w:tc>
      </w:tr>
      <w:tr>
        <w:trPr>
          <w:trHeight w:val="10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售后服务方案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项目需求分析，从投标人提供的售后服务方案，服务体系，服务内容，问题的响应处理及解决办法，后续服务措施及维护能力等方面，编制详细、可行的实施方案。方案内容全面完整、科学合理、符合实际、能够针对采购项目内容要求而细化制定，语言表述准确清晰，优于采购需求的，得2分；方案内容较全面、组织较严谨、关键点把控到位的，方案表达思路较为清晰，能够满足采购需求的，得1分；有售后方案，但方案内容模糊，没有针对本项目主要工作内容制定，内容不详实、不完整、内容不全面的，或者没有内容的视为无效响应，不得分。</w:t>
            </w:r>
            <w:r>
              <w:rPr>
                <w:highlight w:val="white"/>
              </w:rPr>
            </w:r>
          </w:p>
        </w:tc>
      </w:tr>
    </w:tbl>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（三）评标结果。</w:t>
      </w:r>
      <w:r>
        <w:rPr>
          <w:rFonts w:ascii="SimSun" w:hAnsi="SimSun" w:eastAsia="SimSun" w:cs="SimSun"/>
          <w:color w:val="000000"/>
          <w:sz w:val="24"/>
          <w:highlight w:val="white"/>
        </w:rPr>
        <w:t xml:space="preserve">评标委员会按照本办法规定推荐中标候选人，并形成评标报告。</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（四）政府采购政策功能落实</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本项目落实的政府采购政策对应以下序号为</w:t>
      </w:r>
      <w:r>
        <w:rPr>
          <w:rFonts w:ascii="FangSong" w:hAnsi="FangSong" w:eastAsia="FangSong" w:cs="FangSong"/>
          <w:b/>
          <w:color w:val="000000"/>
          <w:sz w:val="24"/>
          <w:highlight w:val="white"/>
          <w:u w:val="single"/>
        </w:rPr>
        <w:t xml:space="preserve">  </w:t>
      </w:r>
      <w:r>
        <w:rPr>
          <w:rFonts w:ascii="Calibri" w:hAnsi="Calibri" w:eastAsia="Calibri" w:cs="Calibri"/>
          <w:b/>
          <w:color w:val="000000"/>
          <w:sz w:val="24"/>
          <w:highlight w:val="white"/>
          <w:u w:val="single"/>
        </w:rPr>
        <w:t xml:space="preserve">1</w:t>
      </w:r>
      <w:r>
        <w:rPr>
          <w:rFonts w:ascii="FangSong" w:hAnsi="FangSong" w:eastAsia="FangSong" w:cs="FangSong"/>
          <w:b/>
          <w:color w:val="000000"/>
          <w:sz w:val="24"/>
          <w:highlight w:val="white"/>
          <w:u w:val="single"/>
        </w:rPr>
        <w:t xml:space="preserve">、</w:t>
      </w:r>
      <w:r>
        <w:rPr>
          <w:rFonts w:ascii="Calibri" w:hAnsi="Calibri" w:eastAsia="Calibri" w:cs="Calibri"/>
          <w:b/>
          <w:color w:val="000000"/>
          <w:sz w:val="24"/>
          <w:highlight w:val="white"/>
          <w:u w:val="single"/>
        </w:rPr>
        <w:t xml:space="preserve">2</w:t>
      </w:r>
      <w:r>
        <w:rPr>
          <w:rFonts w:ascii="FangSong" w:hAnsi="FangSong" w:eastAsia="FangSong" w:cs="FangSong"/>
          <w:b/>
          <w:color w:val="000000"/>
          <w:sz w:val="24"/>
          <w:highlight w:val="white"/>
          <w:u w:val="single"/>
        </w:rPr>
        <w:t xml:space="preserve">、</w:t>
      </w:r>
      <w:r>
        <w:rPr>
          <w:rFonts w:ascii="Calibri" w:hAnsi="Calibri" w:eastAsia="Calibri" w:cs="Calibri"/>
          <w:b/>
          <w:color w:val="000000"/>
          <w:sz w:val="24"/>
          <w:highlight w:val="white"/>
          <w:u w:val="single"/>
        </w:rPr>
        <w:t xml:space="preserve">3</w:t>
      </w:r>
      <w:r>
        <w:rPr>
          <w:rFonts w:ascii="FangSong" w:hAnsi="FangSong" w:eastAsia="FangSong" w:cs="FangSong"/>
          <w:b/>
          <w:color w:val="000000"/>
          <w:sz w:val="24"/>
          <w:highlight w:val="white"/>
          <w:u w:val="single"/>
        </w:rPr>
        <w:t xml:space="preserve">、</w:t>
      </w:r>
      <w:r>
        <w:rPr>
          <w:rFonts w:ascii="Calibri" w:hAnsi="Calibri" w:eastAsia="Calibri" w:cs="Calibri"/>
          <w:b/>
          <w:color w:val="000000"/>
          <w:sz w:val="24"/>
          <w:highlight w:val="white"/>
          <w:u w:val="single"/>
        </w:rPr>
        <w:t xml:space="preserve">4  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1.采购本国货物、工程和服务</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2、中小企业政策</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本项目按以下第</w:t>
      </w:r>
      <w:r>
        <w:rPr>
          <w:rFonts w:ascii="SimSun" w:hAnsi="SimSun" w:eastAsia="SimSun" w:cs="SimSun"/>
          <w:b/>
          <w:color w:val="000000"/>
          <w:sz w:val="24"/>
          <w:highlight w:val="white"/>
          <w:u w:val="single"/>
        </w:rPr>
        <w:t xml:space="preserve">（</w:t>
      </w:r>
      <w:r>
        <w:rPr>
          <w:rFonts w:ascii="Calibri" w:hAnsi="Calibri" w:eastAsia="Calibri" w:cs="Calibri"/>
          <w:b/>
          <w:color w:val="000000"/>
          <w:sz w:val="24"/>
          <w:highlight w:val="white"/>
          <w:u w:val="single"/>
        </w:rPr>
        <w:t xml:space="preserve">2</w:t>
      </w:r>
      <w:r>
        <w:rPr>
          <w:rFonts w:ascii="SimSun" w:hAnsi="SimSun" w:eastAsia="SimSun" w:cs="SimSun"/>
          <w:b/>
          <w:color w:val="000000"/>
          <w:sz w:val="24"/>
          <w:highlight w:val="white"/>
          <w:u w:val="single"/>
        </w:rPr>
        <w:t xml:space="preserve">）</w:t>
      </w:r>
      <w:r>
        <w:rPr>
          <w:rFonts w:ascii="SimSun" w:hAnsi="SimSun" w:eastAsia="SimSun" w:cs="SimSun"/>
          <w:color w:val="000000"/>
          <w:sz w:val="24"/>
          <w:highlight w:val="white"/>
        </w:rPr>
        <w:t xml:space="preserve">种政策确定本项目落实的中小企业政策：</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1</w:t>
      </w:r>
      <w:r>
        <w:rPr>
          <w:rFonts w:ascii="SimSun" w:hAnsi="SimSun" w:eastAsia="SimSun" w:cs="SimSun"/>
          <w:color w:val="000000"/>
          <w:sz w:val="24"/>
          <w:highlight w:val="white"/>
        </w:rPr>
        <w:t xml:space="preserve">）本项目专门面向中小企业（含监狱企业、残疾人福利企业）采购。</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2</w:t>
      </w:r>
      <w:r>
        <w:rPr>
          <w:rFonts w:ascii="SimSun" w:hAnsi="SimSun" w:eastAsia="SimSun" w:cs="SimSun"/>
          <w:color w:val="000000"/>
          <w:sz w:val="24"/>
          <w:highlight w:val="white"/>
        </w:rPr>
        <w:t xml:space="preserve">）投标人提供的货物符合下列情形的，对小微企业报价给予</w:t>
      </w:r>
      <w:r>
        <w:rPr>
          <w:rFonts w:ascii="SimSun" w:hAnsi="SimSun" w:eastAsia="SimSun" w:cs="SimSun"/>
          <w:b/>
          <w:color w:val="000000"/>
          <w:sz w:val="24"/>
          <w:highlight w:val="white"/>
          <w:u w:val="single"/>
        </w:rPr>
        <w:t xml:space="preserve">10%</w:t>
      </w:r>
      <w:r>
        <w:rPr>
          <w:rFonts w:ascii="SimSun" w:hAnsi="SimSun" w:eastAsia="SimSun" w:cs="SimSun"/>
          <w:color w:val="000000"/>
          <w:sz w:val="24"/>
          <w:highlight w:val="white"/>
        </w:rPr>
        <w:t xml:space="preserve">的扣除，用扣除后的价格参加评审。</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在货物采购项目中，货物由中小企业制造，即货物由中小企业生产且使用该中小企业商号或者注册商标。</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参加投标的中小企业，应当按照《政府采购促进中小企业发展管理办法》（财库〔2020〕46号）规定，出具《中小企业声明函》，中小企业划型依据《关于印发中小企业划型标准规定的通知》（工信部联企业〔2011〕300 号）。</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3、政府采购节能产品、环境标志产品</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3.2采购人拟采购的产品属于政府强制采购的节能产品品目清单范围的，供应商须提供国家确定的认证机构出具的、处于有效期之内的节能产品认证证书的，否则无效标处理。</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3.2招标人拟采购的产品属于优先采购的节能环保品目清单范围的，按以下条件优先采购：</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采用综合评分法的项目，对提供有效节能环保证书的投标人加分。</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采用最低评标价法的项目，同等条件下优先推荐提供有效节能环保证书多的投标人为中标人。</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4、商品包装、快递包装要求 </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本次采购产品涉及商品包装和快递包装要求的，应不低于《关于印发《商品包装政府采购需求标准（试行）》、《快递包装政府采购需求标准（试行）》的通知》（财办库〔2020〕123 号）文件规定的参考标准。在履约验收时按照本条款执行。供应商一旦参与本项目投标，即完全响应本条款要求。</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5、绿色数据中心政府采购需求标准（试行）</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为加快数据中心绿色转型，根据财政部 生态环境部 工业和信息化部关于印发《绿色数据中心政府采购需求标准（试行）》的通知），本项目如涉及绿色数据中心，投标人应当提供符合需求标准的产品。</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第六章投标文件格式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投标文件</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highlight w:val="white"/>
        </w:rPr>
      </w:r>
    </w:p>
    <w:p>
      <w:pPr>
        <w:ind w:left="0" w:right="0" w:firstLine="1084"/>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项 目 名 称：</w:t>
      </w:r>
      <w:r>
        <w:rPr>
          <w:rFonts w:ascii="SimSun" w:hAnsi="SimSun" w:eastAsia="SimSun" w:cs="SimSun"/>
          <w:b/>
          <w:color w:val="000000"/>
          <w:sz w:val="36"/>
          <w:highlight w:val="white"/>
          <w:u w:val="single"/>
        </w:rPr>
        <w:t xml:space="preserve">               </w:t>
      </w:r>
      <w:r>
        <w:rPr>
          <w:highlight w:val="white"/>
        </w:rPr>
      </w:r>
    </w:p>
    <w:p>
      <w:pPr>
        <w:ind w:left="0" w:right="0" w:firstLine="1084"/>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项 目 编 号：</w:t>
      </w:r>
      <w:r>
        <w:rPr>
          <w:rFonts w:ascii="SimSun" w:hAnsi="SimSun" w:eastAsia="SimSun" w:cs="SimSun"/>
          <w:b/>
          <w:color w:val="000000"/>
          <w:sz w:val="36"/>
          <w:highlight w:val="white"/>
          <w:u w:val="singl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投标人名称 ：</w:t>
      </w:r>
      <w:r>
        <w:rPr>
          <w:rFonts w:ascii="SimSun" w:hAnsi="SimSun" w:eastAsia="SimSun" w:cs="SimSun"/>
          <w:b/>
          <w:color w:val="000000"/>
          <w:sz w:val="36"/>
          <w:highlight w:val="white"/>
          <w:u w:val="single"/>
        </w:rPr>
        <w:t xml:space="preserve">（加盖CA电子公章）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日期 ：</w:t>
      </w:r>
      <w:r>
        <w:rPr>
          <w:rFonts w:ascii="SimSun" w:hAnsi="SimSun" w:eastAsia="SimSun" w:cs="SimSun"/>
          <w:b/>
          <w:color w:val="000000"/>
          <w:sz w:val="36"/>
          <w:highlight w:val="white"/>
          <w:u w:val="single"/>
        </w:rPr>
        <w:t xml:space="preserve">               </w:t>
      </w:r>
      <w:r>
        <w:rPr>
          <w:highlight w:val="white"/>
        </w:rPr>
      </w:r>
    </w:p>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1084"/>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投标文件目录</w:t>
      </w:r>
      <w:r>
        <w:rPr>
          <w:highlight w:val="white"/>
        </w:rPr>
      </w:r>
    </w:p>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一、投标声明及承诺函</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二、投标人基本情况</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三、满足特定资格要求的证明文件（如果设置特定资格要求，则需要提供）</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四、法人授权书</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五、开标一览表</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六、投标报价明细表</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七、中小（微）企业声明函或残疾人福利性单位声明函</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八、技术要求响应及偏离表</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九、项目组成员</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十、企业业绩</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十一、项目实施方案</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十二、关于符合本国产品标准的声明函</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十三、承诺函</w:t>
      </w:r>
      <w:r>
        <w:rPr>
          <w:highlight w:val="white"/>
        </w:rPr>
      </w:r>
    </w:p>
    <w:p>
      <w:pPr>
        <w:ind w:left="0" w:right="0" w:firstLine="560"/>
        <w:jc w:val="both"/>
        <w:spacing w:before="0" w:after="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十四、投标所需其他材料</w:t>
      </w:r>
      <w:r>
        <w:rPr>
          <w:highlight w:val="white"/>
        </w:rPr>
      </w:r>
    </w:p>
    <w:p>
      <w:pPr>
        <w:ind w:left="0" w:right="0" w:firstLine="0"/>
        <w:spacing w:before="240" w:after="240"/>
        <w:tabs>
          <w:tab w:val="left" w:pos="872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一、投标声明及承诺函</w:t>
      </w:r>
      <w:r>
        <w:rPr>
          <w:highlight w:val="white"/>
        </w:rPr>
      </w:r>
    </w:p>
    <w:p>
      <w:pPr>
        <w:ind w:left="0" w:right="0" w:firstLine="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（采购单位名称）：</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根据已收到的项目编号为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的招标文件，我方在参加本项目招投标活动中，特做出如下承诺：</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一、我方具备《中华人民共和国政府采购法》第二十二条第一款规定的6项条件；</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三、我方按招标文件要求提交投标文件，响应招标文件规定的投标有效期；</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四、如果我方的投标文件被接受，我方将按《中华人民共和国民法典（第三编合同）》及其他有关法律、法规的规定，按期、按质、按量交付采购单位，全面做到履约守信；</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五、我方若违背本声明及承诺约定，经查实，自愿接受采购人及相关主管部门相应的规定处理，并依法承担相应的法律责任。</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六、我方同意采购人、采购代理机构将本声明及承诺函上网公开。</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投标人名称： </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（加盖CA电子公章）</w:t>
      </w:r>
      <w:r>
        <w:rPr>
          <w:highlight w:val="white"/>
        </w:rPr>
      </w:r>
    </w:p>
    <w:p>
      <w:pPr>
        <w:ind w:left="0" w:right="0" w:firstLine="48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日期：年月日</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二、投标人基本情况</w:t>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投标人基本情况表</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投标人名称</w:t>
            </w:r>
            <w:r>
              <w:rPr>
                <w:highlight w:val="white"/>
              </w:rP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注册地区</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邮政编码</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成立时间</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单位性质</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注册号或社会信用代码</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注册资本（万元）</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投标人类别</w:t>
            </w:r>
            <w:r>
              <w:rPr>
                <w:highlight w:val="whit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开户银行</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账号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经营范围</w:t>
            </w:r>
            <w:r>
              <w:rPr>
                <w:highlight w:val="whit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w:t>
            </w:r>
            <w:r>
              <w:rPr>
                <w:highlight w:val="whit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无需提供营业执照等证明材料</w:t>
            </w:r>
            <w:r>
              <w:rPr>
                <w:highlight w:val="white"/>
              </w:rPr>
            </w:r>
          </w:p>
        </w:tc>
      </w:tr>
    </w:tbl>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三、满足特定资格要求的证明文件</w:t>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如果本项目申请人的特定资格要求中要求提供的，必须提供。</w:t>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white"/>
          <w:u w:val="singl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四、法人授权书</w:t>
      </w:r>
      <w:r>
        <w:rPr>
          <w:highlight w:val="white"/>
        </w:rPr>
      </w:r>
    </w:p>
    <w:p>
      <w:pPr>
        <w:ind w:left="0" w:right="0" w:firstLine="480"/>
        <w:spacing w:before="240" w:after="240" w:line="85"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本授权书声明：____________（投标人名称）授权________________（被授权人的姓名）为我方就</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项目采购活动的合法代理人，以本单位名义全权处理一切与该项目采购有关的事务。</w:t>
      </w:r>
      <w:r>
        <w:rPr>
          <w:highlight w:val="white"/>
        </w:rPr>
      </w:r>
    </w:p>
    <w:p>
      <w:pPr>
        <w:ind w:left="0" w:right="0" w:firstLine="480"/>
        <w:spacing w:before="240" w:after="240" w:line="85"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本授权书于______年____月____日起生效，特此声明。</w:t>
      </w:r>
      <w:r>
        <w:rPr>
          <w:highlight w:val="white"/>
        </w:rPr>
      </w:r>
    </w:p>
    <w:p>
      <w:pPr>
        <w:ind w:left="0" w:right="0" w:firstLine="0"/>
        <w:spacing w:before="240" w:after="240" w:line="85"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被授权人身份证号码：</w:t>
      </w:r>
      <w:r>
        <w:rPr>
          <w:rFonts w:ascii="SimSun" w:hAnsi="SimSun" w:eastAsia="SimSun" w:cs="SimSun"/>
          <w:color w:val="000000"/>
          <w:sz w:val="24"/>
          <w:highlight w:val="white"/>
          <w:u w:val="single"/>
        </w:rPr>
        <w:t xml:space="preserve">                              </w:t>
      </w:r>
      <w:r>
        <w:rPr>
          <w:highlight w:val="white"/>
        </w:rPr>
      </w:r>
    </w:p>
    <w:p>
      <w:pPr>
        <w:ind w:left="0" w:right="0" w:firstLine="0"/>
        <w:spacing w:before="240" w:after="240" w:line="85"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被授权人联系电话：（手机）</w:t>
      </w:r>
      <w:r>
        <w:rPr>
          <w:rFonts w:ascii="SimSun" w:hAnsi="SimSun" w:eastAsia="SimSun" w:cs="SimSun"/>
          <w:color w:val="000000"/>
          <w:sz w:val="24"/>
          <w:highlight w:val="white"/>
          <w:u w:val="single"/>
        </w:rPr>
        <w:t xml:space="preserve">                          </w:t>
      </w:r>
      <w:r>
        <w:rPr>
          <w:highlight w:val="white"/>
        </w:rPr>
      </w:r>
    </w:p>
    <w:p>
      <w:pPr>
        <w:ind w:left="0" w:right="0" w:firstLine="1200"/>
        <w:spacing w:before="240" w:after="240" w:line="85"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授权单位名称：</w:t>
      </w:r>
      <w:r>
        <w:rPr>
          <w:rFonts w:ascii="SimSun" w:hAnsi="SimSun" w:eastAsia="SimSun" w:cs="SimSun"/>
          <w:color w:val="000000"/>
          <w:sz w:val="24"/>
          <w:highlight w:val="white"/>
          <w:u w:val="single"/>
        </w:rPr>
        <w:t xml:space="preserve">（加盖CA电子公章）</w:t>
      </w:r>
      <w:r>
        <w:rPr>
          <w:highlight w:val="white"/>
        </w:rPr>
      </w:r>
    </w:p>
    <w:p>
      <w:pPr>
        <w:ind w:left="0" w:right="0" w:firstLine="480"/>
        <w:spacing w:before="240" w:after="240" w:line="85"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单位地址：</w:t>
      </w:r>
      <w:r>
        <w:rPr>
          <w:rFonts w:ascii="SimSun" w:hAnsi="SimSun" w:eastAsia="SimSun" w:cs="SimSun"/>
          <w:color w:val="000000"/>
          <w:sz w:val="24"/>
          <w:highlight w:val="white"/>
          <w:u w:val="single"/>
        </w:rPr>
        <w:t xml:space="preserve">                                         </w:t>
      </w:r>
      <w:r>
        <w:rPr>
          <w:highlight w:val="white"/>
        </w:rPr>
      </w:r>
    </w:p>
    <w:p>
      <w:pPr>
        <w:ind w:left="0" w:right="0" w:firstLine="480"/>
        <w:spacing w:before="240" w:after="240" w:line="85"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highlight w:val="white"/>
          <w:u w:val="single"/>
        </w:rPr>
        <w:t xml:space="preserve">五、</w:t>
      </w:r>
      <w:r>
        <w:rPr>
          <w:rFonts w:ascii="SimSun" w:hAnsi="SimSun" w:eastAsia="SimSun" w:cs="SimSun"/>
          <w:i/>
          <w:color w:val="000000"/>
          <w:sz w:val="32"/>
          <w:highlight w:val="white"/>
          <w:u w:val="single"/>
        </w:rPr>
        <w:t xml:space="preserve">开标一览表</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投标人全称（加盖CA电子签章）：</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项目名称：泗阳县实验初级中学数字孪生校园综合管理系统采购项目</w:t>
      </w:r>
      <w:r>
        <w:rPr>
          <w:highlight w:val="white"/>
        </w:rPr>
      </w:r>
    </w:p>
    <w:p>
      <w:pPr>
        <w:ind w:left="0" w:right="0" w:firstLine="48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招标编号：</w:t>
      </w:r>
      <w:r>
        <w:rPr>
          <w:highlight w:val="white"/>
        </w:rPr>
      </w:r>
    </w:p>
    <w:p>
      <w:pPr>
        <w:ind w:left="0" w:right="0" w:firstLine="48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分包号：</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投标总报价</w:t>
            </w:r>
            <w:r>
              <w:rPr>
                <w:highlight w:val="white"/>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小写：                             （人民币：    元）</w:t>
            </w:r>
            <w:r>
              <w:rPr>
                <w:highlight w:val="white"/>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       日历天</w:t>
            </w:r>
            <w:r>
              <w:rPr>
                <w:highlight w:val="white"/>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质量标准:</w:t>
            </w:r>
            <w:r>
              <w:rPr>
                <w:highlight w:val="white"/>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免费运行维护期限：       年（自项目验收合格之日起计算）</w:t>
            </w:r>
            <w:r>
              <w:rPr>
                <w:highlight w:val="white"/>
              </w:rPr>
            </w:r>
          </w:p>
        </w:tc>
      </w:tr>
    </w:tbl>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420" w:right="0" w:firstLine="0"/>
        <w:spacing w:before="0" w:after="0" w:line="4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六、投标报价明细表</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634"/>
        <w:gridCol w:w="524"/>
        <w:gridCol w:w="648"/>
        <w:gridCol w:w="1292"/>
        <w:gridCol w:w="1988"/>
        <w:gridCol w:w="1162"/>
        <w:gridCol w:w="3124"/>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产品名称</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品牌</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规格型号</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产地</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数量</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分项单价</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分项总价</w:t>
            </w:r>
            <w:r>
              <w:rPr>
                <w:highlight w:val="white"/>
              </w:rPr>
            </w:r>
          </w:p>
        </w:tc>
      </w:tr>
      <w:tr>
        <w:trPr>
          <w:trHeight w:val="31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（一）AI智慧体育平台</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Ai测练一体机（</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65寸）</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Ai体测一体机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94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34" w:type="dxa"/>
            <w:vAlign w:val="center"/>
            <w:vMerge w:val="restart"/>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Ai短跑测试仪</w:t>
              <w:br/>
              <w:t xml:space="preserve">50米2套</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9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Ai短跑测试仪</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100米、200米、400米各1套</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Ai长跑测试仪（800米、1000米、1500米、阳光跑）</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体育教学管理平台</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（二）AI智慧校园综合管理平台</w:t>
            </w:r>
            <w:r>
              <w:rPr>
                <w:highlight w:val="white"/>
              </w:rP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校园室内外智慧3D孪生实景三维重建服务</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校园模型场景构建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校园模型场景管理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校园数字孪生平台</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热感应吸烟测相机（楼梯场景）</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热感应吸烟测相机（室外场景）</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AI拥挤检测预警相机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深度学习人脸特征采集摄像机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校园全域感知AI算力超脑</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教育智能化预警系统</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移动端访客预约</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访客管理系统</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19</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学生出入校管理系统</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学生请销假管理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双屏台式智能访客机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校园停车管理系统</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AI柜式抓拍显示一体机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校园AI防欺凌报警设备</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（三）减压文化广场</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电子涂鸦墙系统</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拳击测力器</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声控减压喇叭花</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三维针雕</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4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w:t>
            </w:r>
            <w:r>
              <w:rPr>
                <w:highlight w:val="white"/>
              </w:rP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装修装饰</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315"/>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投标总报价（人民币：元）</w:t>
            </w:r>
            <w:r>
              <w:rPr>
                <w:highlight w:val="white"/>
              </w:rPr>
            </w:r>
          </w:p>
        </w:tc>
      </w:tr>
    </w:tbl>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1.投标报价采用总承包方式，“投标总报价”应包括所投货物、系统平台等相关所有费用，包含但不限于：货款、辅材、安装、线路、运维、包装、运输、开办费、技术措施费、劳务、管理、利润、税金、政策性文件规定等所有费用，招标文件中另有规定的除外。</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1"/>
          <w:highlight w:val="white"/>
        </w:rPr>
        <w:t xml:space="preserve"> “</w:t>
      </w:r>
      <w:r>
        <w:rPr>
          <w:rFonts w:ascii="SimSun" w:hAnsi="SimSun" w:eastAsia="SimSun" w:cs="SimSun"/>
          <w:color w:val="000000"/>
          <w:sz w:val="24"/>
          <w:highlight w:val="white"/>
        </w:rPr>
        <w:t xml:space="preserve">投标分项报价表</w:t>
      </w:r>
      <w:r>
        <w:rPr>
          <w:rFonts w:ascii="SimSun" w:hAnsi="SimSun" w:eastAsia="SimSun" w:cs="SimSun"/>
          <w:color w:val="000000"/>
          <w:sz w:val="21"/>
          <w:highlight w:val="white"/>
        </w:rPr>
        <w:t xml:space="preserve">”</w:t>
      </w:r>
      <w:r>
        <w:rPr>
          <w:rFonts w:ascii="SimSun" w:hAnsi="SimSun" w:eastAsia="SimSun" w:cs="SimSun"/>
          <w:color w:val="000000"/>
          <w:sz w:val="24"/>
          <w:highlight w:val="white"/>
        </w:rPr>
        <w:t xml:space="preserve">中“投标总报价”数额应当与“开标一览表”中“投标总报价”数额一致。</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120" w:after="12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w:t>
      </w:r>
      <w:r>
        <w:rPr>
          <w:rFonts w:ascii="SimSun" w:hAnsi="SimSun" w:eastAsia="SimSun" w:cs="SimSun"/>
          <w:color w:val="000000"/>
          <w:sz w:val="32"/>
          <w:highlight w:val="white"/>
        </w:rPr>
        <w:t xml:space="preserve">、</w:t>
      </w:r>
      <w:r>
        <w:rPr>
          <w:rFonts w:ascii="SimSun" w:hAnsi="SimSun" w:eastAsia="SimSun" w:cs="SimSun"/>
          <w:b/>
          <w:color w:val="000000"/>
          <w:sz w:val="32"/>
          <w:highlight w:val="white"/>
        </w:rPr>
        <w:t xml:space="preserve">中小（微）企业声明函（货物）</w:t>
      </w:r>
      <w:r>
        <w:rPr>
          <w:rFonts w:ascii="SimSun" w:hAnsi="SimSun" w:eastAsia="SimSun" w:cs="SimSun"/>
          <w:b/>
          <w:color w:val="000000"/>
          <w:sz w:val="36"/>
          <w:highlight w:val="white"/>
        </w:rPr>
        <w:t xml:space="preserve">或残疾人福利性单位声明函</w:t>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中小（微）企业声明函（货物）</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本公司（联合体）郑重声明，根据《政府采购促进中小企业发展管理办法》（财库〔2020〕46号）的规定，本公司（联合体）参加</w:t>
      </w:r>
      <w:r>
        <w:rPr>
          <w:rFonts w:ascii="SimSun" w:hAnsi="SimSun" w:eastAsia="SimSun" w:cs="SimSun"/>
          <w:color w:val="000000"/>
          <w:sz w:val="24"/>
          <w:highlight w:val="white"/>
          <w:u w:val="single"/>
        </w:rPr>
        <w:t xml:space="preserve"> 单位名称</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项目名称）</w:t>
      </w:r>
      <w:r>
        <w:rPr>
          <w:rFonts w:ascii="SimSun" w:hAnsi="SimSun" w:eastAsia="SimSun" w:cs="SimSun"/>
          <w:color w:val="000000"/>
          <w:sz w:val="24"/>
          <w:highlight w:val="white"/>
        </w:rPr>
        <w:t xml:space="preserve"> 采购活动，提供的货物全部由符合政策要求的中小企业制造。相关企业（含联合体中的中小企业、签订分包意向协议的中小企业）的具体情况如下：</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w:t>
      </w:r>
      <w:r>
        <w:rPr>
          <w:rFonts w:ascii="SimSun" w:hAnsi="SimSun" w:eastAsia="SimSun" w:cs="SimSun"/>
          <w:color w:val="000000"/>
          <w:sz w:val="24"/>
          <w:highlight w:val="white"/>
          <w:u w:val="single"/>
        </w:rPr>
        <w:t xml:space="preserve">标的名称</w:t>
      </w:r>
      <w:r>
        <w:rPr>
          <w:rFonts w:ascii="SimSun" w:hAnsi="SimSun" w:eastAsia="SimSun" w:cs="SimSun"/>
          <w:color w:val="000000"/>
          <w:sz w:val="24"/>
          <w:highlight w:val="white"/>
        </w:rPr>
        <w:t xml:space="preserve">，属于（</w:t>
      </w:r>
      <w:r>
        <w:rPr>
          <w:rFonts w:ascii="SimSun" w:hAnsi="SimSun" w:eastAsia="SimSun" w:cs="SimSun"/>
          <w:i/>
          <w:color w:val="000000"/>
          <w:sz w:val="24"/>
          <w:highlight w:val="white"/>
          <w:u w:val="single"/>
        </w:rPr>
        <w:t xml:space="preserve">采购文件中明确的所属行业）</w:t>
      </w:r>
      <w:r>
        <w:rPr>
          <w:rFonts w:ascii="SimSun" w:hAnsi="SimSun" w:eastAsia="SimSun" w:cs="SimSun"/>
          <w:color w:val="000000"/>
          <w:sz w:val="24"/>
          <w:highlight w:val="white"/>
          <w:u w:val="single"/>
        </w:rPr>
        <w:t xml:space="preserve">行业</w:t>
      </w:r>
      <w:r>
        <w:rPr>
          <w:rFonts w:ascii="SimSun" w:hAnsi="SimSun" w:eastAsia="SimSun" w:cs="SimSun"/>
          <w:color w:val="000000"/>
          <w:sz w:val="24"/>
          <w:highlight w:val="white"/>
        </w:rPr>
        <w:t xml:space="preserve">；制造商为</w:t>
      </w:r>
      <w:r>
        <w:rPr>
          <w:rFonts w:ascii="SimSun" w:hAnsi="SimSun" w:eastAsia="SimSun" w:cs="SimSun"/>
          <w:color w:val="000000"/>
          <w:sz w:val="24"/>
          <w:highlight w:val="white"/>
          <w:u w:val="single"/>
        </w:rPr>
        <w:t xml:space="preserve">（企业名称）</w:t>
      </w:r>
      <w:r>
        <w:rPr>
          <w:rFonts w:ascii="SimSun" w:hAnsi="SimSun" w:eastAsia="SimSun" w:cs="SimSun"/>
          <w:color w:val="000000"/>
          <w:sz w:val="24"/>
          <w:highlight w:val="white"/>
        </w:rPr>
        <w:t xml:space="preserve">，从业人员</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人，营业收入为 </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万元，资产总额为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，属于</w:t>
      </w:r>
      <w:r>
        <w:rPr>
          <w:rFonts w:ascii="SimSun" w:hAnsi="SimSun" w:eastAsia="SimSun" w:cs="SimSun"/>
          <w:color w:val="000000"/>
          <w:sz w:val="24"/>
          <w:highlight w:val="white"/>
          <w:u w:val="single"/>
        </w:rPr>
        <w:t xml:space="preserve">（中型企业、小型企业、微型企业）；</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w:t>
      </w:r>
      <w:r>
        <w:rPr>
          <w:rFonts w:ascii="SimSun" w:hAnsi="SimSun" w:eastAsia="SimSun" w:cs="SimSun"/>
          <w:color w:val="000000"/>
          <w:sz w:val="24"/>
          <w:highlight w:val="white"/>
          <w:u w:val="single"/>
        </w:rPr>
        <w:t xml:space="preserve">标的名称</w:t>
      </w:r>
      <w:r>
        <w:rPr>
          <w:rFonts w:ascii="SimSun" w:hAnsi="SimSun" w:eastAsia="SimSun" w:cs="SimSun"/>
          <w:color w:val="000000"/>
          <w:sz w:val="24"/>
          <w:highlight w:val="white"/>
        </w:rPr>
        <w:t xml:space="preserve">，属于（</w:t>
      </w:r>
      <w:r>
        <w:rPr>
          <w:rFonts w:ascii="SimSun" w:hAnsi="SimSun" w:eastAsia="SimSun" w:cs="SimSun"/>
          <w:i/>
          <w:color w:val="000000"/>
          <w:sz w:val="24"/>
          <w:highlight w:val="white"/>
          <w:u w:val="single"/>
        </w:rPr>
        <w:t xml:space="preserve">采购文件中明确的所属行业）</w:t>
      </w:r>
      <w:r>
        <w:rPr>
          <w:rFonts w:ascii="SimSun" w:hAnsi="SimSun" w:eastAsia="SimSun" w:cs="SimSun"/>
          <w:color w:val="000000"/>
          <w:sz w:val="24"/>
          <w:highlight w:val="white"/>
          <w:u w:val="single"/>
        </w:rPr>
        <w:t xml:space="preserve">行业</w:t>
      </w:r>
      <w:r>
        <w:rPr>
          <w:rFonts w:ascii="SimSun" w:hAnsi="SimSun" w:eastAsia="SimSun" w:cs="SimSun"/>
          <w:color w:val="000000"/>
          <w:sz w:val="24"/>
          <w:highlight w:val="white"/>
        </w:rPr>
        <w:t xml:space="preserve">；制造商为</w:t>
      </w:r>
      <w:r>
        <w:rPr>
          <w:rFonts w:ascii="SimSun" w:hAnsi="SimSun" w:eastAsia="SimSun" w:cs="SimSun"/>
          <w:color w:val="000000"/>
          <w:sz w:val="24"/>
          <w:highlight w:val="white"/>
          <w:u w:val="single"/>
        </w:rPr>
        <w:t xml:space="preserve">（企业名称）</w:t>
      </w:r>
      <w:r>
        <w:rPr>
          <w:rFonts w:ascii="SimSun" w:hAnsi="SimSun" w:eastAsia="SimSun" w:cs="SimSun"/>
          <w:color w:val="000000"/>
          <w:sz w:val="24"/>
          <w:highlight w:val="white"/>
        </w:rPr>
        <w:t xml:space="preserve">，从业人员</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人，营业收入为 </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万元，资产总额为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万元，属于</w:t>
      </w:r>
      <w:r>
        <w:rPr>
          <w:rFonts w:ascii="SimSun" w:hAnsi="SimSun" w:eastAsia="SimSun" w:cs="SimSun"/>
          <w:color w:val="000000"/>
          <w:sz w:val="24"/>
          <w:highlight w:val="white"/>
          <w:u w:val="single"/>
        </w:rPr>
        <w:t xml:space="preserve">（中型企业、小型企业、微型企业）；</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以上企业，不属于大企业的分支机构，不存在控股股东为大企业的情形，也不存在与大企业的负责人为同一人的情形。</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本企业对上述声明内容的真实性负责。如有虚假，将依法承担相应责任。</w:t>
      </w:r>
      <w:r>
        <w:rPr>
          <w:highlight w:val="white"/>
        </w:rPr>
      </w:r>
    </w:p>
    <w:p>
      <w:pPr>
        <w:ind w:left="0" w:right="72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180" w:firstLine="360"/>
        <w:jc w:val="right"/>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企业名称：（加盖CA电子公章）</w:t>
      </w:r>
      <w:r>
        <w:rPr>
          <w:highlight w:val="white"/>
        </w:rPr>
      </w:r>
    </w:p>
    <w:p>
      <w:pPr>
        <w:ind w:left="0" w:right="0" w:firstLine="576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年___月___日</w:t>
      </w:r>
      <w:r>
        <w:rPr>
          <w:highlight w:val="white"/>
        </w:rPr>
      </w:r>
    </w:p>
    <w:p>
      <w:pPr>
        <w:ind w:left="0" w:right="0" w:firstLine="360"/>
        <w:spacing w:before="240" w:after="24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vertAlign w:val="superscript"/>
        </w:rPr>
        <w:t xml:space="preserve">1</w:t>
      </w:r>
      <w:r>
        <w:rPr>
          <w:rFonts w:ascii="SimSun" w:hAnsi="SimSun" w:eastAsia="SimSun" w:cs="SimSun"/>
          <w:color w:val="000000"/>
          <w:sz w:val="18"/>
          <w:highlight w:val="white"/>
        </w:rPr>
        <w:t xml:space="preserve">从业人员、营业收入、资产总额填报上一年数据，无上一年数据的新成立企业可不填报。</w:t>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151" w:after="151"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残疾人福利性单位声明函</w:t>
      </w:r>
      <w:r>
        <w:rPr>
          <w:highlight w:val="white"/>
        </w:rPr>
      </w:r>
    </w:p>
    <w:p>
      <w:pPr>
        <w:ind w:left="0" w:right="0" w:firstLine="0"/>
        <w:spacing w:before="240" w:after="240" w:line="587"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highlight w:val="white"/>
        </w:rPr>
        <w:t xml:space="preserve"> </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项目采购活动提供本单位制造的货物（由本单位承担工程/提供服务），或者提供其他残疾人福利性单位制造的货物（不包括使用非残疾人福利性单位注册商标的货物）。</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本单位对上述声明的真实性负责。如有虚假，将依法承担相应责任。</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（备注：1、投标人如不提供此声明函，价格将不做相应扣除。2、中标人为残疾人福利单位的，此声明函将随中标结果同时公告，接受社会监督。）</w:t>
      </w:r>
      <w:r>
        <w:rPr>
          <w:highlight w:val="white"/>
        </w:rPr>
      </w:r>
    </w:p>
    <w:p>
      <w:pPr>
        <w:ind w:left="0" w:right="0" w:firstLine="624"/>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white"/>
        </w:rPr>
        <w:t xml:space="preserve"> </w:t>
      </w:r>
      <w:r>
        <w:rPr>
          <w:highlight w:val="white"/>
        </w:rPr>
      </w:r>
    </w:p>
    <w:p>
      <w:pPr>
        <w:ind w:left="0" w:right="0" w:firstLine="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180" w:firstLine="360"/>
        <w:jc w:val="right"/>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企业名称：（加盖CA电子公章）</w:t>
      </w:r>
      <w:r>
        <w:rPr>
          <w:highlight w:val="white"/>
        </w:rPr>
      </w:r>
    </w:p>
    <w:p>
      <w:pPr>
        <w:ind w:left="0" w:right="0" w:firstLine="52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年___月___日</w:t>
      </w:r>
      <w:r>
        <w:rPr>
          <w:highlight w:val="white"/>
        </w:rPr>
      </w:r>
    </w:p>
    <w:p>
      <w:pPr>
        <w:ind w:left="0" w:right="0" w:firstLine="0"/>
        <w:spacing w:before="0" w:after="0" w:line="559"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八、技术要求响应及偏离表</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招标文件“第四部分、采购需求”中的“四、采购清单及技术参数”所列内容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响应情况（填报“响应或完全响应”）</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偏离（填报“正偏离、符合或负偏离”）</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证明</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材料</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bl>
    <w:p>
      <w:pPr>
        <w:ind w:left="0" w:right="0" w:firstLine="0"/>
        <w:jc w:val="both"/>
        <w:spacing w:before="0" w:after="0" w:line="587"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1.投标人必须对招标文件“第四部分、采购需求”中的“四、采购清单及技术参数”所列内容做出明确响应，否则作无效响应处理。</w:t>
      </w:r>
      <w:r>
        <w:rPr>
          <w:highlight w:val="white"/>
        </w:rPr>
      </w:r>
    </w:p>
    <w:p>
      <w:pPr>
        <w:ind w:left="0" w:right="0" w:firstLine="0"/>
        <w:jc w:val="both"/>
        <w:spacing w:before="0" w:after="0" w:line="587"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2.如果采购文件要求提供证明材料，投标人必须将证明材料列于该表之下。</w:t>
      </w:r>
      <w:r>
        <w:rPr>
          <w:highlight w:val="white"/>
        </w:rPr>
      </w:r>
    </w:p>
    <w:p>
      <w:pPr>
        <w:ind w:left="0" w:right="0" w:firstLine="0"/>
        <w:jc w:val="both"/>
        <w:spacing w:before="0" w:after="0" w:line="587"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3.投标人未对实质性要求作出明确响应的，或未按采购文件要求提供证明材料的，该分包作无效响应处理。</w:t>
      </w:r>
      <w:r>
        <w:rPr>
          <w:highlight w:val="white"/>
        </w:rPr>
      </w:r>
    </w:p>
    <w:p>
      <w:pPr>
        <w:ind w:left="0" w:right="0" w:firstLine="0"/>
        <w:jc w:val="both"/>
        <w:spacing w:before="0" w:after="0" w:line="587"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4.行数不够，可自行添加。</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九、项目组人员</w:t>
      </w:r>
      <w:r>
        <w:rPr>
          <w:highlight w:val="white"/>
        </w:rPr>
      </w:r>
    </w:p>
    <w:p>
      <w:pPr>
        <w:ind w:left="0" w:right="0" w:firstLine="0"/>
        <w:jc w:val="center"/>
        <w:spacing w:before="240" w:after="24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项目组成员</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姓名</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职务</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学历</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身份证号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相关证书</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备注</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项目经理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200" w:after="20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bl>
    <w:p>
      <w:pPr>
        <w:ind w:left="0" w:right="0" w:firstLine="398"/>
        <w:spacing w:before="240" w:after="24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注：如供应商中标，项目组成员必须按本表承诺人员操作，不得随意更换。按招标文件要求附相关人员证书。</w:t>
      </w:r>
      <w:r>
        <w:rPr>
          <w:highlight w:val="white"/>
        </w:rPr>
      </w:r>
    </w:p>
    <w:p>
      <w:pPr>
        <w:ind w:left="0" w:right="0" w:firstLine="2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十、企业业绩</w:t>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投标人承担类似项目业绩一览表</w:t>
      </w:r>
      <w:r>
        <w:rPr>
          <w:highlight w:val="white"/>
        </w:rP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项目名称</w:t>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采购单位</w:t>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合同金额</w:t>
            </w:r>
            <w:r>
              <w:rPr>
                <w:highlight w:val="white"/>
              </w:rP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tc>
      </w:tr>
    </w:tbl>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注：请填写此表，并按要求上传业绩资料电子件。</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numPr>
          <w:ilvl w:val="0"/>
          <w:numId w:val="19"/>
        </w:numP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项目实施方案</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十二、关于符合本国产品标准的声明函</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562"/>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本公司（单位）郑重声明，根据《国务院办公厅关于在政府采购中实施本国产品标准及相关政策的通知》（国办发〔2025〕34号）的规定，本公司（单位）</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提供的以下产品属于本国产品。具体情况如下：</w:t>
      </w:r>
      <w:r>
        <w:rPr>
          <w:highlight w:val="white"/>
        </w:rPr>
      </w:r>
    </w:p>
    <w:p>
      <w:pPr>
        <w:ind w:left="0" w:right="0" w:firstLine="48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highlight w:val="white"/>
        </w:rPr>
        <mc:AlternateContent>
          <mc:Choice Requires="wpg">
            <w:drawing>
              <wp:inline xmlns:wp="http://schemas.openxmlformats.org/drawingml/2006/wordprocessingDrawing" distT="0" distB="0" distL="0" distR="0">
                <wp:extent cx="819150" cy="1619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86852"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249505"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84251"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951366"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09625" cy="104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356" name=""/>
                        <pic:cNvPicPr>
                          <a:picLocks noChangeAspect="1"/>
                        </pic:cNvPicPr>
                        <pic:nvPr/>
                      </pic:nvPicPr>
                      <pic:blipFill>
                        <a:blip/>
                        <a:stretch/>
                      </pic:blipFill>
                      <pic:spPr bwMode="auto">
                        <a:xfrm>
                          <a:off x="0" y="0"/>
                          <a:ext cx="8096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8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1.（产品名称1）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，生产厂为（厂名）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，厂址为（生产厂址）</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。（产品名称1）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（规定比例）</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。（产品名称1）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的（关键组件）</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在中国境内生产。（产品名称1）的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在中国境内完成。</w:t>
      </w:r>
      <w:r>
        <w:rPr>
          <w:highlight w:val="white"/>
        </w:rPr>
      </w:r>
    </w:p>
    <w:p>
      <w:pPr>
        <w:ind w:left="0" w:right="0" w:firstLine="48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highlight w:val="white"/>
        </w:rPr>
        <mc:AlternateContent>
          <mc:Choice Requires="wpg">
            <w:drawing>
              <wp:inline xmlns:wp="http://schemas.openxmlformats.org/drawingml/2006/wordprocessingDrawing" distT="0" distB="0" distL="0" distR="0">
                <wp:extent cx="781050" cy="2381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39507" name=""/>
                        <pic:cNvPicPr>
                          <a:picLocks noChangeAspect="1"/>
                        </pic:cNvPicPr>
                        <pic:nvPr/>
                      </pic:nvPicPr>
                      <pic:blipFill>
                        <a:blip/>
                        <a:stretch/>
                      </pic:blipFill>
                      <pic:spPr bwMode="auto">
                        <a:xfrm>
                          <a:off x="0" y="0"/>
                          <a:ext cx="781049" cy="238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5pt;height:18.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90575" cy="2286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48453" name=""/>
                        <pic:cNvPicPr>
                          <a:picLocks noChangeAspect="1"/>
                        </pic:cNvPicPr>
                        <pic:nvPr/>
                      </pic:nvPicPr>
                      <pic:blipFill>
                        <a:blip/>
                        <a:stretch/>
                      </pic:blipFill>
                      <pic:spPr bwMode="auto">
                        <a:xfrm>
                          <a:off x="0" y="0"/>
                          <a:ext cx="790574"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2.2pt;height:18.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261518"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22200"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066821"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4.5pt;height:12.8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2.（产品名称2）</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，生产厂为（厂名）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，厂址为（生产厂址）</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。（产品名称2）</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（规定比例）</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。（产品名称2）</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的（关键组件）</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在中国境内生产。（产品名称2）的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在中国境内完成。</w:t>
      </w:r>
      <w:r>
        <w:rPr>
          <w:highlight w:val="white"/>
        </w:rPr>
      </w:r>
    </w:p>
    <w:p>
      <w:pPr>
        <w:ind w:left="0" w:right="0" w:firstLine="562"/>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highlight w:val="white"/>
        </w:rPr>
      </w:r>
    </w:p>
    <w:p>
      <w:pPr>
        <w:ind w:left="0" w:right="0" w:firstLine="562"/>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rPr>
          <w:highlight w:val="white"/>
        </w:rPr>
      </w:r>
    </w:p>
    <w:p>
      <w:pPr>
        <w:ind w:left="0" w:right="0" w:firstLine="562"/>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w:t>
      </w:r>
      <w:r>
        <w:rPr>
          <w:highlight w:val="white"/>
        </w:rPr>
      </w:r>
    </w:p>
    <w:p>
      <w:pPr>
        <w:ind w:left="0" w:right="0" w:firstLine="562"/>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日期：年月日</w:t>
      </w:r>
      <w:r>
        <w:rPr>
          <w:highlight w:val="white"/>
        </w:rPr>
      </w:r>
    </w:p>
    <w:p>
      <w:pPr>
        <w:ind w:left="0" w:right="0" w:firstLine="48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rPr>
          <w:highlight w:val="white"/>
        </w:rPr>
      </w:r>
    </w:p>
    <w:p>
      <w:pPr>
        <w:ind w:left="0" w:right="0" w:firstLine="482"/>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rPr>
          <w:highlight w:val="white"/>
        </w:rPr>
      </w:r>
    </w:p>
    <w:p>
      <w:pPr>
        <w:ind w:left="0" w:right="0" w:firstLine="482"/>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rPr>
          <w:highlight w:val="white"/>
        </w:rPr>
      </w:r>
    </w:p>
    <w:p>
      <w:pPr>
        <w:ind w:left="0" w:right="0" w:firstLine="482"/>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rPr>
          <w:highlight w:val="white"/>
        </w:rPr>
      </w:r>
    </w:p>
    <w:p>
      <w:pPr>
        <w:ind w:left="0" w:right="0" w:firstLine="482"/>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rPr>
          <w:highlight w:val="white"/>
        </w:rPr>
      </w:r>
    </w:p>
    <w:p>
      <w:pPr>
        <w:ind w:left="0" w:right="0" w:firstLine="482"/>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rPr>
          <w:highlight w:val="white"/>
        </w:rPr>
      </w:r>
    </w:p>
    <w:p>
      <w:pPr>
        <w:ind w:left="0" w:right="0" w:firstLine="562"/>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十三、承诺函（格式自拟）</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十四、投标所需其他材料</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请在此文档中增加投标所需其他相关内容（包括资格要求、评分办法、采购需求中涉及的证件证明及其它投标人认为有必要提供的资料），如没有请将此空文档上传。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rPr>
          <w:highlight w:val="white"/>
        </w:rPr>
      </w:r>
    </w:p>
    <w:p>
      <w:pPr>
        <w:ind w:left="0" w:right="0" w:firstLine="0"/>
        <w:jc w:val="both"/>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both"/>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质疑函范本</w:t>
      </w:r>
      <w:r>
        <w:rPr>
          <w:highlight w:val="white"/>
        </w:rPr>
      </w:r>
    </w:p>
    <w:p>
      <w:pPr>
        <w:ind w:left="0" w:right="0" w:firstLine="0"/>
        <w:jc w:val="both"/>
        <w:spacing w:before="29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一、质疑投标人基本信息</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质疑投标人：</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邮编：</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联系电话：</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授权代表：</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 </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邮编：</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二、质疑项目基本情况</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质疑项目的名称：</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质疑项目的编号：</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包号：</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采购人名称：</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采购文件获取日期：</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三、质疑事项具体内容</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质疑事项1：</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事实依据：</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法律依据：</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质疑事项2</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四、与质疑事项相关的质疑请求</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请求：</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签字(签章)：                   公章：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rPr>
          <w:highlight w:val="white"/>
        </w:rPr>
      </w:r>
    </w:p>
    <w:p>
      <w:pPr>
        <w:ind w:left="0" w:right="0" w:firstLine="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质疑函制作说明：</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1.投标人提出质疑时，应提交质疑函和必要的证明材料。</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3.质疑投标人若对项目的某一分包进行质疑，质疑函中应列明具体分包号。</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4.质疑函的质疑事项应具体、明确，并有必要的事实依据和法律依据。</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5.质疑函的质疑请求应与质疑事项相关。</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6.质疑投标人为自然人的，质疑函应由本人签字；质疑投标人为法人或者其他组织的，质疑函应由法定代表人、主要负责人，或者其授权代表签字或者盖章，并加盖公章。</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rPr>
          <w:highlight w:val="white"/>
        </w:rPr>
      </w:pPr>
      <w:r>
        <w:rPr>
          <w:highlight w:val="white"/>
        </w:rPr>
      </w:r>
      <w:r>
        <w:rPr>
          <w:highlight w:val="white"/>
        </w:rP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w:panose1 w:val="020B0502040204020203"/>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409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409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9"/>
      <w:isLgl w:val="false"/>
      <w:suff w:val="nothing"/>
      <w:lvlText w:val=""/>
      <w:lvlJc w:val="left"/>
      <w:pPr>
        <w:ind w:left="0" w:firstLine="0"/>
      </w:pPr>
      <w:rPr>
        <w:rFonts w:hint="eastAsia"/>
      </w:rPr>
    </w:lvl>
    <w:lvl w:ilvl="6">
      <w:start w:val="1"/>
      <w:numFmt w:val="decimal"/>
      <w:pStyle w:val="970"/>
      <w:isLgl w:val="false"/>
      <w:suff w:val="nothing"/>
      <w:lvlText w:val=""/>
      <w:lvlJc w:val="left"/>
      <w:pPr>
        <w:ind w:left="0" w:firstLine="0"/>
      </w:pPr>
      <w:rPr>
        <w:rFonts w:hint="eastAsia"/>
      </w:rPr>
    </w:lvl>
    <w:lvl w:ilvl="7">
      <w:start w:val="1"/>
      <w:numFmt w:val="decimal"/>
      <w:pStyle w:val="971"/>
      <w:isLgl w:val="false"/>
      <w:suff w:val="nothing"/>
      <w:lvlText w:val=""/>
      <w:lvlJc w:val="left"/>
      <w:pPr>
        <w:ind w:left="0" w:firstLine="0"/>
      </w:pPr>
      <w:rPr>
        <w:rFonts w:hint="eastAsia"/>
      </w:rPr>
    </w:lvl>
    <w:lvl w:ilvl="8">
      <w:start w:val="1"/>
      <w:numFmt w:val="decimal"/>
      <w:pStyle w:val="972"/>
      <w:isLgl w:val="false"/>
      <w:suff w:val="nothing"/>
      <w:lvlText w:val=""/>
      <w:lvlJc w:val="left"/>
      <w:pPr>
        <w:ind w:left="0" w:firstLine="0"/>
      </w:pPr>
      <w:rPr>
        <w:rFonts w:hint="eastAsia"/>
      </w:rPr>
    </w:lvl>
  </w:abstractNum>
  <w:abstractNum w:abstractNumId="8">
    <w:multiLevelType w:val="hybridMultilevel"/>
    <w:lvl w:ilvl="0">
      <w:start w:val="1"/>
      <w:numFmt w:val="decimal"/>
      <w:pStyle w:val="10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quot;&quot;"/>
      <w:lvlJc w:val="left"/>
      <w:pPr>
        <w:ind w:left="42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8"/>
  </w:num>
  <w:num w:numId="4">
    <w:abstractNumId w:val="9"/>
  </w:num>
  <w:num w:numId="5">
    <w:abstractNumId w:val="10"/>
  </w:num>
  <w:num w:numId="6">
    <w:abstractNumId w:val="5"/>
  </w:num>
  <w:num w:numId="7">
    <w:abstractNumId w:val="3"/>
  </w:num>
  <w:num w:numId="8">
    <w:abstractNumId w:val="1"/>
  </w:num>
  <w:num w:numId="9">
    <w:abstractNumId w:val="4"/>
  </w:num>
  <w:num w:numId="10">
    <w:abstractNumId w:val="0"/>
  </w:num>
  <w:num w:numId="11">
    <w:abstractNumId w:val="2"/>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778"/>
    <w:link w:val="769"/>
    <w:uiPriority w:val="9"/>
    <w:rPr>
      <w:rFonts w:ascii="Arial" w:hAnsi="Arial" w:eastAsia="Arial" w:cs="Arial"/>
      <w:sz w:val="40"/>
      <w:szCs w:val="40"/>
    </w:rPr>
  </w:style>
  <w:style w:type="character" w:styleId="750">
    <w:name w:val="Heading 2 Char"/>
    <w:basedOn w:val="778"/>
    <w:link w:val="770"/>
    <w:uiPriority w:val="9"/>
    <w:rPr>
      <w:rFonts w:ascii="Arial" w:hAnsi="Arial" w:eastAsia="Arial" w:cs="Arial"/>
      <w:sz w:val="34"/>
    </w:rPr>
  </w:style>
  <w:style w:type="character" w:styleId="751">
    <w:name w:val="Heading 3 Char"/>
    <w:basedOn w:val="778"/>
    <w:link w:val="771"/>
    <w:uiPriority w:val="9"/>
    <w:rPr>
      <w:rFonts w:ascii="Arial" w:hAnsi="Arial" w:eastAsia="Arial" w:cs="Arial"/>
      <w:sz w:val="30"/>
      <w:szCs w:val="30"/>
    </w:rPr>
  </w:style>
  <w:style w:type="character" w:styleId="752">
    <w:name w:val="Heading 4 Char"/>
    <w:basedOn w:val="778"/>
    <w:link w:val="772"/>
    <w:uiPriority w:val="9"/>
    <w:rPr>
      <w:rFonts w:ascii="Arial" w:hAnsi="Arial" w:eastAsia="Arial" w:cs="Arial"/>
      <w:b/>
      <w:bCs/>
      <w:sz w:val="26"/>
      <w:szCs w:val="26"/>
    </w:rPr>
  </w:style>
  <w:style w:type="character" w:styleId="753">
    <w:name w:val="Heading 5 Char"/>
    <w:basedOn w:val="778"/>
    <w:link w:val="773"/>
    <w:uiPriority w:val="9"/>
    <w:rPr>
      <w:rFonts w:ascii="Arial" w:hAnsi="Arial" w:eastAsia="Arial" w:cs="Arial"/>
      <w:b/>
      <w:bCs/>
      <w:sz w:val="24"/>
      <w:szCs w:val="24"/>
    </w:rPr>
  </w:style>
  <w:style w:type="character" w:styleId="754">
    <w:name w:val="Heading 6 Char"/>
    <w:basedOn w:val="778"/>
    <w:link w:val="774"/>
    <w:uiPriority w:val="9"/>
    <w:rPr>
      <w:rFonts w:ascii="Arial" w:hAnsi="Arial" w:eastAsia="Arial" w:cs="Arial"/>
      <w:b/>
      <w:bCs/>
      <w:sz w:val="22"/>
      <w:szCs w:val="22"/>
    </w:rPr>
  </w:style>
  <w:style w:type="character" w:styleId="755">
    <w:name w:val="Heading 7 Char"/>
    <w:basedOn w:val="778"/>
    <w:link w:val="775"/>
    <w:uiPriority w:val="9"/>
    <w:rPr>
      <w:rFonts w:ascii="Arial" w:hAnsi="Arial" w:eastAsia="Arial" w:cs="Arial"/>
      <w:b/>
      <w:bCs/>
      <w:i/>
      <w:iCs/>
      <w:sz w:val="22"/>
      <w:szCs w:val="22"/>
    </w:rPr>
  </w:style>
  <w:style w:type="character" w:styleId="756">
    <w:name w:val="Heading 8 Char"/>
    <w:basedOn w:val="778"/>
    <w:link w:val="776"/>
    <w:uiPriority w:val="9"/>
    <w:rPr>
      <w:rFonts w:ascii="Arial" w:hAnsi="Arial" w:eastAsia="Arial" w:cs="Arial"/>
      <w:i/>
      <w:iCs/>
      <w:sz w:val="22"/>
      <w:szCs w:val="22"/>
    </w:rPr>
  </w:style>
  <w:style w:type="character" w:styleId="757">
    <w:name w:val="Heading 9 Char"/>
    <w:basedOn w:val="778"/>
    <w:link w:val="777"/>
    <w:uiPriority w:val="9"/>
    <w:rPr>
      <w:rFonts w:ascii="Arial" w:hAnsi="Arial" w:eastAsia="Arial" w:cs="Arial"/>
      <w:i/>
      <w:iCs/>
      <w:sz w:val="21"/>
      <w:szCs w:val="21"/>
    </w:rPr>
  </w:style>
  <w:style w:type="character" w:styleId="758">
    <w:name w:val="Title Char"/>
    <w:basedOn w:val="778"/>
    <w:link w:val="798"/>
    <w:uiPriority w:val="10"/>
    <w:rPr>
      <w:sz w:val="48"/>
      <w:szCs w:val="48"/>
    </w:rPr>
  </w:style>
  <w:style w:type="character" w:styleId="759">
    <w:name w:val="Subtitle Char"/>
    <w:basedOn w:val="778"/>
    <w:link w:val="791"/>
    <w:uiPriority w:val="11"/>
    <w:rPr>
      <w:sz w:val="24"/>
      <w:szCs w:val="24"/>
    </w:rPr>
  </w:style>
  <w:style w:type="character" w:styleId="760">
    <w:name w:val="Quote Char"/>
    <w:link w:val="828"/>
    <w:uiPriority w:val="29"/>
    <w:rPr>
      <w:i/>
    </w:rPr>
  </w:style>
  <w:style w:type="character" w:styleId="761">
    <w:name w:val="Intense Quote Char"/>
    <w:link w:val="830"/>
    <w:uiPriority w:val="30"/>
    <w:rPr>
      <w:i/>
    </w:rPr>
  </w:style>
  <w:style w:type="character" w:styleId="762">
    <w:name w:val="Header Char"/>
    <w:basedOn w:val="778"/>
    <w:link w:val="788"/>
    <w:uiPriority w:val="99"/>
  </w:style>
  <w:style w:type="character" w:styleId="763">
    <w:name w:val="Footer Char"/>
    <w:basedOn w:val="778"/>
    <w:link w:val="787"/>
    <w:uiPriority w:val="99"/>
  </w:style>
  <w:style w:type="character" w:styleId="764">
    <w:name w:val="Caption Char"/>
    <w:basedOn w:val="781"/>
    <w:link w:val="787"/>
    <w:uiPriority w:val="99"/>
  </w:style>
  <w:style w:type="character" w:styleId="765">
    <w:name w:val="Footnote Text Char"/>
    <w:link w:val="792"/>
    <w:uiPriority w:val="99"/>
    <w:rPr>
      <w:sz w:val="18"/>
    </w:rPr>
  </w:style>
  <w:style w:type="character" w:styleId="766">
    <w:name w:val="Endnote Text Char"/>
    <w:link w:val="786"/>
    <w:uiPriority w:val="99"/>
    <w:rPr>
      <w:sz w:val="20"/>
    </w:rPr>
  </w:style>
  <w:style w:type="paragraph" w:styleId="767">
    <w:name w:val="TOC Heading"/>
    <w:uiPriority w:val="39"/>
    <w:unhideWhenUsed/>
  </w:style>
  <w:style w:type="paragraph" w:styleId="76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9">
    <w:name w:val="Heading 1"/>
    <w:basedOn w:val="768"/>
    <w:next w:val="768"/>
    <w:link w:val="815"/>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16"/>
    <w:uiPriority w:val="9"/>
    <w:qFormat/>
    <w:pPr>
      <w:keepLines/>
      <w:keepNext/>
      <w:spacing w:before="360" w:after="200"/>
      <w:outlineLvl w:val="1"/>
    </w:pPr>
    <w:rPr>
      <w:rFonts w:ascii="Arial" w:hAnsi="Arial" w:eastAsia="Arial" w:cs="Arial"/>
      <w:sz w:val="34"/>
    </w:rPr>
  </w:style>
  <w:style w:type="paragraph" w:styleId="771">
    <w:name w:val="Heading 3"/>
    <w:basedOn w:val="768"/>
    <w:next w:val="768"/>
    <w:link w:val="817"/>
    <w:uiPriority w:val="9"/>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18"/>
    <w:uiPriority w:val="9"/>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19"/>
    <w:uiPriority w:val="9"/>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20"/>
    <w:uiPriority w:val="9"/>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21"/>
    <w:uiPriority w:val="9"/>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22"/>
    <w:uiPriority w:val="9"/>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23"/>
    <w:uiPriority w:val="9"/>
    <w:qFormat/>
    <w:pPr>
      <w:keepLines/>
      <w:keepNext/>
      <w:spacing w:before="320" w:after="200"/>
      <w:outlineLvl w:val="8"/>
    </w:pPr>
    <w:rPr>
      <w:rFonts w:ascii="Arial" w:hAnsi="Arial" w:eastAsia="Arial" w:cs="Arial"/>
      <w:i/>
      <w:iCs/>
    </w:rPr>
  </w:style>
  <w:style w:type="character" w:styleId="778" w:default="1">
    <w:name w:val="Default Paragraph Font"/>
    <w:uiPriority w:val="1"/>
    <w:qFormat/>
  </w:style>
  <w:style w:type="table" w:styleId="779" w:default="1">
    <w:name w:val="Normal Table"/>
    <w:uiPriority w:val="99"/>
    <w:qFormat/>
    <w:tblPr>
      <w:tblCellMar>
        <w:left w:w="108" w:type="dxa"/>
        <w:top w:w="0" w:type="dxa"/>
        <w:right w:w="108" w:type="dxa"/>
        <w:bottom w:w="0" w:type="dxa"/>
      </w:tblCellMar>
    </w:tblPr>
  </w:style>
  <w:style w:type="paragraph" w:styleId="780">
    <w:name w:val="toc 7"/>
    <w:basedOn w:val="768"/>
    <w:next w:val="768"/>
    <w:uiPriority w:val="39"/>
    <w:qFormat/>
    <w:pPr>
      <w:ind w:left="1701"/>
      <w:spacing w:after="57"/>
    </w:pPr>
  </w:style>
  <w:style w:type="paragraph" w:styleId="781">
    <w:name w:val="Caption"/>
    <w:basedOn w:val="768"/>
    <w:next w:val="768"/>
    <w:uiPriority w:val="35"/>
    <w:qFormat/>
    <w:pPr>
      <w:spacing w:line="276" w:lineRule="auto"/>
    </w:pPr>
    <w:rPr>
      <w:b/>
      <w:bCs/>
      <w:color w:val="4f81bd"/>
      <w:sz w:val="18"/>
      <w:szCs w:val="18"/>
    </w:rPr>
  </w:style>
  <w:style w:type="paragraph" w:styleId="782">
    <w:name w:val="Body Text"/>
    <w:basedOn w:val="768"/>
    <w:next w:val="768"/>
    <w:uiPriority w:val="0"/>
    <w:qFormat/>
    <w:rPr>
      <w:rFonts w:ascii="楷体_GB2312" w:hAnsi="Arial" w:eastAsia="楷体_GB2312"/>
      <w:sz w:val="28"/>
      <w:szCs w:val="28"/>
    </w:rPr>
  </w:style>
  <w:style w:type="paragraph" w:styleId="783">
    <w:name w:val="toc 5"/>
    <w:basedOn w:val="768"/>
    <w:next w:val="768"/>
    <w:uiPriority w:val="39"/>
    <w:qFormat/>
    <w:pPr>
      <w:ind w:left="1134"/>
      <w:spacing w:after="57"/>
    </w:pPr>
  </w:style>
  <w:style w:type="paragraph" w:styleId="784">
    <w:name w:val="toc 3"/>
    <w:basedOn w:val="768"/>
    <w:next w:val="768"/>
    <w:uiPriority w:val="39"/>
    <w:qFormat/>
    <w:pPr>
      <w:ind w:left="567"/>
      <w:spacing w:after="57"/>
    </w:pPr>
  </w:style>
  <w:style w:type="paragraph" w:styleId="785">
    <w:name w:val="toc 8"/>
    <w:basedOn w:val="768"/>
    <w:next w:val="768"/>
    <w:uiPriority w:val="39"/>
    <w:qFormat/>
    <w:pPr>
      <w:ind w:left="1984"/>
      <w:spacing w:after="57"/>
    </w:pPr>
  </w:style>
  <w:style w:type="paragraph" w:styleId="786">
    <w:name w:val="endnote text"/>
    <w:basedOn w:val="768"/>
    <w:link w:val="961"/>
    <w:uiPriority w:val="99"/>
    <w:qFormat/>
    <w:rPr>
      <w:sz w:val="20"/>
    </w:rPr>
  </w:style>
  <w:style w:type="paragraph" w:styleId="787">
    <w:name w:val="Footer"/>
    <w:basedOn w:val="768"/>
    <w:link w:val="834"/>
    <w:uiPriority w:val="99"/>
    <w:qFormat/>
    <w:pPr>
      <w:tabs>
        <w:tab w:val="center" w:pos="7143" w:leader="none"/>
        <w:tab w:val="right" w:pos="14287" w:leader="none"/>
      </w:tabs>
    </w:pPr>
  </w:style>
  <w:style w:type="paragraph" w:styleId="788">
    <w:name w:val="Header"/>
    <w:basedOn w:val="768"/>
    <w:link w:val="832"/>
    <w:uiPriority w:val="99"/>
    <w:qFormat/>
    <w:pPr>
      <w:tabs>
        <w:tab w:val="center" w:pos="7143" w:leader="none"/>
        <w:tab w:val="right" w:pos="14287" w:leader="none"/>
      </w:tabs>
    </w:pPr>
  </w:style>
  <w:style w:type="paragraph" w:styleId="789">
    <w:name w:val="toc 1"/>
    <w:basedOn w:val="768"/>
    <w:next w:val="768"/>
    <w:uiPriority w:val="39"/>
    <w:qFormat/>
    <w:pPr>
      <w:spacing w:after="57"/>
    </w:pPr>
  </w:style>
  <w:style w:type="paragraph" w:styleId="790">
    <w:name w:val="toc 4"/>
    <w:basedOn w:val="768"/>
    <w:next w:val="768"/>
    <w:uiPriority w:val="39"/>
    <w:qFormat/>
    <w:pPr>
      <w:ind w:left="850"/>
      <w:spacing w:after="57"/>
    </w:pPr>
  </w:style>
  <w:style w:type="paragraph" w:styleId="791">
    <w:name w:val="Subtitle"/>
    <w:basedOn w:val="768"/>
    <w:next w:val="768"/>
    <w:link w:val="827"/>
    <w:uiPriority w:val="11"/>
    <w:qFormat/>
    <w:pPr>
      <w:spacing w:before="200" w:after="200"/>
    </w:pPr>
    <w:rPr>
      <w:sz w:val="24"/>
      <w:szCs w:val="24"/>
    </w:rPr>
  </w:style>
  <w:style w:type="paragraph" w:styleId="792">
    <w:name w:val="footnote text"/>
    <w:basedOn w:val="768"/>
    <w:link w:val="960"/>
    <w:uiPriority w:val="99"/>
    <w:qFormat/>
    <w:pPr>
      <w:spacing w:after="40"/>
    </w:pPr>
    <w:rPr>
      <w:sz w:val="18"/>
    </w:rPr>
  </w:style>
  <w:style w:type="paragraph" w:styleId="793">
    <w:name w:val="toc 6"/>
    <w:basedOn w:val="768"/>
    <w:next w:val="768"/>
    <w:uiPriority w:val="39"/>
    <w:qFormat/>
    <w:pPr>
      <w:ind w:left="1417"/>
      <w:spacing w:after="57"/>
    </w:pPr>
  </w:style>
  <w:style w:type="paragraph" w:styleId="794">
    <w:name w:val="table of figures"/>
    <w:basedOn w:val="768"/>
    <w:next w:val="768"/>
    <w:uiPriority w:val="99"/>
    <w:qFormat/>
  </w:style>
  <w:style w:type="paragraph" w:styleId="795">
    <w:name w:val="toc 2"/>
    <w:basedOn w:val="768"/>
    <w:next w:val="768"/>
    <w:uiPriority w:val="39"/>
    <w:qFormat/>
    <w:pPr>
      <w:ind w:left="283"/>
      <w:spacing w:after="57"/>
    </w:pPr>
  </w:style>
  <w:style w:type="paragraph" w:styleId="796">
    <w:name w:val="toc 9"/>
    <w:basedOn w:val="768"/>
    <w:next w:val="768"/>
    <w:uiPriority w:val="39"/>
    <w:qFormat/>
    <w:pPr>
      <w:ind w:left="2268"/>
      <w:spacing w:after="57"/>
    </w:pPr>
  </w:style>
  <w:style w:type="paragraph" w:styleId="797">
    <w:name w:val="Normal (Web)"/>
    <w:basedOn w:val="768"/>
    <w:uiPriority w:val="0"/>
    <w:qFormat/>
    <w:rPr>
      <w:sz w:val="24"/>
    </w:rPr>
  </w:style>
  <w:style w:type="paragraph" w:styleId="798">
    <w:name w:val="Title"/>
    <w:basedOn w:val="768"/>
    <w:next w:val="768"/>
    <w:link w:val="826"/>
    <w:uiPriority w:val="10"/>
    <w:qFormat/>
    <w:pPr>
      <w:contextualSpacing/>
      <w:spacing w:before="300" w:after="200"/>
    </w:pPr>
    <w:rPr>
      <w:sz w:val="48"/>
      <w:szCs w:val="48"/>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78"/>
    <w:uiPriority w:val="22"/>
    <w:qFormat/>
  </w:style>
  <w:style w:type="character" w:styleId="801">
    <w:name w:val="endnote reference"/>
    <w:uiPriority w:val="99"/>
    <w:qFormat/>
    <w:rPr>
      <w:vertAlign w:val="superscript"/>
    </w:rPr>
  </w:style>
  <w:style w:type="character" w:styleId="802">
    <w:name w:val="FollowedHyperlink"/>
    <w:basedOn w:val="778"/>
    <w:uiPriority w:val="99"/>
    <w:qFormat/>
    <w:rPr>
      <w:color w:val="800080"/>
      <w:u w:val="none"/>
    </w:rPr>
  </w:style>
  <w:style w:type="character" w:styleId="803">
    <w:name w:val="Emphasis"/>
    <w:basedOn w:val="778"/>
    <w:uiPriority w:val="20"/>
    <w:qFormat/>
  </w:style>
  <w:style w:type="character" w:styleId="804">
    <w:name w:val="HTML Definition"/>
    <w:basedOn w:val="778"/>
    <w:uiPriority w:val="99"/>
    <w:qFormat/>
  </w:style>
  <w:style w:type="character" w:styleId="805">
    <w:name w:val="HTML Typewriter"/>
    <w:basedOn w:val="778"/>
    <w:uiPriority w:val="99"/>
    <w:qFormat/>
    <w:rPr>
      <w:rFonts w:hint="default" w:ascii="monospace" w:hAnsi="monospace" w:eastAsia="monospace" w:cs="monospace"/>
      <w:sz w:val="20"/>
    </w:rPr>
  </w:style>
  <w:style w:type="character" w:styleId="806">
    <w:name w:val="HTML Acronym"/>
    <w:basedOn w:val="778"/>
    <w:uiPriority w:val="99"/>
    <w:qFormat/>
  </w:style>
  <w:style w:type="character" w:styleId="807">
    <w:name w:val="HTML Variable"/>
    <w:basedOn w:val="778"/>
    <w:uiPriority w:val="99"/>
    <w:qFormat/>
  </w:style>
  <w:style w:type="character" w:styleId="808">
    <w:name w:val="Hyperlink"/>
    <w:uiPriority w:val="99"/>
    <w:qFormat/>
    <w:rPr>
      <w:color w:val="0000ff"/>
      <w:u w:val="single"/>
    </w:rPr>
  </w:style>
  <w:style w:type="character" w:styleId="809">
    <w:name w:val="HTML Code"/>
    <w:basedOn w:val="778"/>
    <w:uiPriority w:val="99"/>
    <w:qFormat/>
    <w:rPr>
      <w:rFonts w:hint="default" w:ascii="monospace" w:hAnsi="monospace" w:eastAsia="monospace" w:cs="monospace"/>
      <w:sz w:val="20"/>
    </w:rPr>
  </w:style>
  <w:style w:type="character" w:styleId="810">
    <w:name w:val="HTML Cite"/>
    <w:basedOn w:val="778"/>
    <w:uiPriority w:val="99"/>
    <w:qFormat/>
  </w:style>
  <w:style w:type="character" w:styleId="811">
    <w:name w:val="footnote reference"/>
    <w:uiPriority w:val="99"/>
    <w:qFormat/>
    <w:rPr>
      <w:vertAlign w:val="superscript"/>
    </w:rPr>
  </w:style>
  <w:style w:type="character" w:styleId="812">
    <w:name w:val="HTML Keyboard"/>
    <w:basedOn w:val="778"/>
    <w:uiPriority w:val="99"/>
    <w:qFormat/>
    <w:rPr>
      <w:rFonts w:ascii="monospace" w:hAnsi="monospace" w:eastAsia="monospace" w:cs="monospace"/>
      <w:sz w:val="20"/>
    </w:rPr>
  </w:style>
  <w:style w:type="character" w:styleId="813">
    <w:name w:val="HTML Sample"/>
    <w:basedOn w:val="778"/>
    <w:uiPriority w:val="99"/>
    <w:qFormat/>
    <w:rPr>
      <w:rFonts w:hint="default" w:ascii="monospace" w:hAnsi="monospace" w:eastAsia="monospace" w:cs="monospace"/>
    </w:rPr>
  </w:style>
  <w:style w:type="paragraph" w:styleId="814" w:customStyle="1">
    <w:name w:val="样式 标题 1 + 四号 加粗"/>
    <w:basedOn w:val="769"/>
    <w:uiPriority w:val="0"/>
    <w:qFormat/>
    <w:pPr>
      <w:tabs>
        <w:tab w:val="left" w:pos="432" w:leader="none"/>
      </w:tabs>
    </w:pPr>
    <w:rPr>
      <w:rFonts w:eastAsia="黑体"/>
      <w:lang w:val="en-US"/>
    </w:rPr>
  </w:style>
  <w:style w:type="character" w:styleId="815" w:customStyle="1">
    <w:name w:val="标题 1 Char1"/>
    <w:link w:val="769"/>
    <w:uiPriority w:val="9"/>
    <w:qFormat/>
    <w:rPr>
      <w:rFonts w:ascii="Arial" w:hAnsi="Arial" w:eastAsia="Arial" w:cs="Arial"/>
      <w:sz w:val="40"/>
      <w:szCs w:val="40"/>
    </w:rPr>
  </w:style>
  <w:style w:type="character" w:styleId="816" w:customStyle="1">
    <w:name w:val="标题 2 Char1"/>
    <w:link w:val="770"/>
    <w:uiPriority w:val="9"/>
    <w:qFormat/>
    <w:rPr>
      <w:rFonts w:ascii="Arial" w:hAnsi="Arial" w:eastAsia="Arial" w:cs="Arial"/>
      <w:sz w:val="34"/>
    </w:rPr>
  </w:style>
  <w:style w:type="character" w:styleId="817" w:customStyle="1">
    <w:name w:val="标题 3 Char1"/>
    <w:link w:val="771"/>
    <w:uiPriority w:val="9"/>
    <w:qFormat/>
    <w:rPr>
      <w:rFonts w:ascii="Arial" w:hAnsi="Arial" w:eastAsia="Arial" w:cs="Arial"/>
      <w:sz w:val="30"/>
      <w:szCs w:val="30"/>
    </w:rPr>
  </w:style>
  <w:style w:type="character" w:styleId="818" w:customStyle="1">
    <w:name w:val="标题 4 Char1"/>
    <w:link w:val="772"/>
    <w:uiPriority w:val="9"/>
    <w:qFormat/>
    <w:rPr>
      <w:rFonts w:ascii="Arial" w:hAnsi="Arial" w:eastAsia="Arial" w:cs="Arial"/>
      <w:b/>
      <w:bCs/>
      <w:sz w:val="26"/>
      <w:szCs w:val="26"/>
    </w:rPr>
  </w:style>
  <w:style w:type="character" w:styleId="819" w:customStyle="1">
    <w:name w:val="标题 5 Char1"/>
    <w:link w:val="773"/>
    <w:uiPriority w:val="9"/>
    <w:qFormat/>
    <w:rPr>
      <w:rFonts w:ascii="Arial" w:hAnsi="Arial" w:eastAsia="Arial" w:cs="Arial"/>
      <w:b/>
      <w:bCs/>
      <w:sz w:val="24"/>
      <w:szCs w:val="24"/>
    </w:rPr>
  </w:style>
  <w:style w:type="character" w:styleId="820" w:customStyle="1">
    <w:name w:val="标题 6 Char1"/>
    <w:link w:val="774"/>
    <w:uiPriority w:val="9"/>
    <w:qFormat/>
    <w:rPr>
      <w:rFonts w:ascii="Arial" w:hAnsi="Arial" w:eastAsia="Arial" w:cs="Arial"/>
      <w:b/>
      <w:bCs/>
      <w:sz w:val="22"/>
      <w:szCs w:val="22"/>
    </w:rPr>
  </w:style>
  <w:style w:type="character" w:styleId="821" w:customStyle="1">
    <w:name w:val="标题 7 Char1"/>
    <w:link w:val="775"/>
    <w:uiPriority w:val="9"/>
    <w:qFormat/>
    <w:rPr>
      <w:rFonts w:ascii="Arial" w:hAnsi="Arial" w:eastAsia="Arial" w:cs="Arial"/>
      <w:b/>
      <w:bCs/>
      <w:i/>
      <w:iCs/>
      <w:sz w:val="22"/>
      <w:szCs w:val="22"/>
    </w:rPr>
  </w:style>
  <w:style w:type="character" w:styleId="822" w:customStyle="1">
    <w:name w:val="标题 8 Char1"/>
    <w:link w:val="776"/>
    <w:uiPriority w:val="9"/>
    <w:qFormat/>
    <w:rPr>
      <w:rFonts w:ascii="Arial" w:hAnsi="Arial" w:eastAsia="Arial" w:cs="Arial"/>
      <w:i/>
      <w:iCs/>
      <w:sz w:val="22"/>
      <w:szCs w:val="22"/>
    </w:rPr>
  </w:style>
  <w:style w:type="character" w:styleId="823" w:customStyle="1">
    <w:name w:val="标题 9 Char1"/>
    <w:link w:val="777"/>
    <w:uiPriority w:val="9"/>
    <w:qFormat/>
    <w:rPr>
      <w:rFonts w:ascii="Arial" w:hAnsi="Arial" w:eastAsia="Arial" w:cs="Arial"/>
      <w:i/>
      <w:iCs/>
      <w:sz w:val="21"/>
      <w:szCs w:val="21"/>
    </w:rPr>
  </w:style>
  <w:style w:type="paragraph" w:styleId="824">
    <w:name w:val="List Paragraph"/>
    <w:basedOn w:val="768"/>
    <w:uiPriority w:val="34"/>
    <w:qFormat/>
    <w:pPr>
      <w:contextualSpacing/>
      <w:ind w:left="720"/>
    </w:pPr>
  </w:style>
  <w:style w:type="paragraph" w:styleId="825">
    <w:name w:val="No Spacing"/>
    <w:uiPriority w:val="1"/>
    <w:qFormat/>
    <w:rPr>
      <w:rFonts w:ascii="Times New Roman" w:hAnsi="Times New Roman" w:eastAsia="宋体" w:cs="Times New Roman"/>
      <w:lang w:val="en-US" w:eastAsia="zh-CN" w:bidi="ar-SA"/>
    </w:rPr>
  </w:style>
  <w:style w:type="character" w:styleId="826" w:customStyle="1">
    <w:name w:val="标题 Char"/>
    <w:link w:val="798"/>
    <w:uiPriority w:val="10"/>
    <w:qFormat/>
    <w:rPr>
      <w:sz w:val="48"/>
      <w:szCs w:val="48"/>
    </w:rPr>
  </w:style>
  <w:style w:type="character" w:styleId="827" w:customStyle="1">
    <w:name w:val="副标题 Char"/>
    <w:link w:val="791"/>
    <w:uiPriority w:val="11"/>
    <w:qFormat/>
    <w:rPr>
      <w:sz w:val="24"/>
      <w:szCs w:val="24"/>
    </w:rPr>
  </w:style>
  <w:style w:type="paragraph" w:styleId="828">
    <w:name w:val="Quote"/>
    <w:basedOn w:val="768"/>
    <w:next w:val="768"/>
    <w:link w:val="829"/>
    <w:uiPriority w:val="29"/>
    <w:qFormat/>
    <w:pPr>
      <w:ind w:left="720" w:right="720"/>
    </w:pPr>
    <w:rPr>
      <w:i/>
    </w:rPr>
  </w:style>
  <w:style w:type="character" w:styleId="829" w:customStyle="1">
    <w:name w:val="引用 Char"/>
    <w:link w:val="828"/>
    <w:uiPriority w:val="29"/>
    <w:qFormat/>
    <w:rPr>
      <w:i/>
    </w:rPr>
  </w:style>
  <w:style w:type="paragraph" w:styleId="830">
    <w:name w:val="Intense Quote"/>
    <w:basedOn w:val="768"/>
    <w:next w:val="768"/>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Char"/>
    <w:link w:val="830"/>
    <w:uiPriority w:val="30"/>
    <w:qFormat/>
    <w:rPr>
      <w:i/>
    </w:rPr>
  </w:style>
  <w:style w:type="character" w:styleId="832" w:customStyle="1">
    <w:name w:val="页眉 Char1"/>
    <w:link w:val="788"/>
    <w:uiPriority w:val="99"/>
    <w:qFormat/>
  </w:style>
  <w:style w:type="character" w:styleId="833" w:customStyle="1">
    <w:name w:val="Footer Char_ad2211e0-d55e-44f8-8ef4-e9dbae191425"/>
    <w:link w:val="787"/>
    <w:uiPriority w:val="99"/>
    <w:qFormat/>
  </w:style>
  <w:style w:type="character" w:styleId="834" w:customStyle="1">
    <w:name w:val="页脚 Char1"/>
    <w:link w:val="787"/>
    <w:uiPriority w:val="99"/>
    <w:qFormat/>
  </w:style>
  <w:style w:type="table" w:styleId="83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6"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48"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1"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5"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6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6"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bottom w:val="single" w:color="7E7E7E" w:sz="12" w:space="0"/>
        </w:tcBorders>
      </w:tcPr>
    </w:tblStylePr>
    <w:tblStylePr w:type="lastCol">
      <w:rPr>
        <w:b/>
        <w:color w:val="7e7e7e"/>
      </w:rPr>
    </w:tblStylePr>
    <w:tblStylePr w:type="lastRow">
      <w:rPr>
        <w:b/>
        <w:color w:val="7e7e7e"/>
      </w:rPr>
    </w:tblStylePr>
  </w:style>
  <w:style w:type="table" w:styleId="87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7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79"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88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88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9" w:fill="fde9d9"/>
      </w:tcPr>
    </w:tblStylePr>
    <w:tblStylePr w:type="band1Vert">
      <w:tcPr>
        <w:shd w:val="clear" w:color="fde9d9" w:fill="fde9d9"/>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883"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9" w:fill="fde9d9"/>
      </w:tcPr>
    </w:tblStylePr>
    <w:tblStylePr w:type="band1Vert">
      <w:tcPr>
        <w:shd w:val="clear" w:color="fde9d9" w:fill="fde9d9"/>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0"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6"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7"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8"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5"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2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b/>
        <w:color w:val="c3d69c"/>
      </w:rPr>
    </w:tblStylePr>
    <w:tblStylePr w:type="firstRow">
      <w:rPr>
        <w:b/>
        <w:color w:val="c3d69c"/>
      </w:rPr>
      <w:tcPr>
        <w:tcBorders>
          <w:bottom w:val="single" w:color="C3D69C" w:sz="4" w:space="0"/>
        </w:tcBorders>
      </w:tcPr>
    </w:tblStylePr>
    <w:tblStylePr w:type="lastCol">
      <w:rPr>
        <w:b/>
        <w:color w:val="c3d69c"/>
      </w:rPr>
    </w:tblStylePr>
    <w:tblStylePr w:type="lastRow">
      <w:rPr>
        <w:b/>
        <w:color w:val="c3d69c"/>
      </w:rPr>
      <w:tcPr>
        <w:tcBorders>
          <w:top w:val="single" w:color="C3D69C" w:sz="4" w:space="0"/>
        </w:tcBorders>
      </w:tcPr>
    </w:tblStylePr>
  </w:style>
  <w:style w:type="table" w:styleId="9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9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9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2"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rFonts w:ascii="Arial" w:hAnsi="Arial"/>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c"/>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c"/>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c"/>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0" w:customStyle="1">
    <w:name w:val="脚注文本 Char"/>
    <w:link w:val="792"/>
    <w:uiPriority w:val="99"/>
    <w:qFormat/>
    <w:rPr>
      <w:sz w:val="18"/>
    </w:rPr>
  </w:style>
  <w:style w:type="character" w:styleId="961" w:customStyle="1">
    <w:name w:val="尾注文本 Char"/>
    <w:link w:val="786"/>
    <w:uiPriority w:val="99"/>
    <w:qFormat/>
    <w:rPr>
      <w:sz w:val="20"/>
    </w:rPr>
  </w:style>
  <w:style w:type="paragraph" w:styleId="962" w:customStyle="1">
    <w:name w:val="TOC 标题1"/>
    <w:uiPriority w:val="39"/>
    <w:qFormat/>
    <w:rPr>
      <w:rFonts w:ascii="Times New Roman" w:hAnsi="Times New Roman" w:eastAsia="宋体" w:cs="Times New Roman"/>
      <w:lang w:val="en-US" w:eastAsia="zh-CN" w:bidi="ar-SA"/>
    </w:rPr>
  </w:style>
  <w:style w:type="paragraph" w:styleId="963" w:customStyle="1">
    <w:name w:val="标题 11"/>
    <w:basedOn w:val="768"/>
    <w:next w:val="768"/>
    <w:link w:val="975"/>
    <w:uiPriority w:val="0"/>
    <w:qFormat/>
    <w:pPr>
      <w:jc w:val="center"/>
      <w:keepNext/>
      <w:outlineLvl w:val="0"/>
    </w:pPr>
    <w:rPr>
      <w:rFonts w:ascii="楷体_GB2312" w:eastAsia="楷体_GB2312"/>
      <w:sz w:val="28"/>
      <w:szCs w:val="28"/>
    </w:rPr>
  </w:style>
  <w:style w:type="paragraph" w:styleId="964" w:customStyle="1">
    <w:name w:val="标题 21"/>
    <w:basedOn w:val="768"/>
    <w:next w:val="768"/>
    <w:link w:val="97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5" w:customStyle="1">
    <w:name w:val="标题 31"/>
    <w:basedOn w:val="768"/>
    <w:next w:val="966"/>
    <w:link w:val="977"/>
    <w:uiPriority w:val="0"/>
    <w:qFormat/>
    <w:pPr>
      <w:keepLines/>
      <w:keepNext/>
      <w:spacing w:before="260" w:after="260" w:line="416" w:lineRule="auto"/>
      <w:outlineLvl w:val="2"/>
    </w:pPr>
    <w:rPr>
      <w:b/>
      <w:bCs/>
      <w:sz w:val="32"/>
      <w:szCs w:val="32"/>
    </w:rPr>
  </w:style>
  <w:style w:type="paragraph" w:styleId="966" w:customStyle="1">
    <w:name w:val="正文缩进1"/>
    <w:basedOn w:val="768"/>
    <w:next w:val="768"/>
    <w:link w:val="978"/>
    <w:uiPriority w:val="0"/>
    <w:qFormat/>
    <w:pPr>
      <w:ind w:firstLine="420"/>
    </w:pPr>
  </w:style>
  <w:style w:type="paragraph" w:styleId="967" w:customStyle="1">
    <w:name w:val="标题 41"/>
    <w:basedOn w:val="768"/>
    <w:next w:val="966"/>
    <w:link w:val="979"/>
    <w:uiPriority w:val="0"/>
    <w:qFormat/>
    <w:pPr>
      <w:keepLines/>
      <w:keepNext/>
      <w:spacing w:before="280" w:after="290" w:line="376" w:lineRule="auto"/>
      <w:outlineLvl w:val="3"/>
    </w:pPr>
    <w:rPr>
      <w:rFonts w:ascii="Arial" w:hAnsi="Arial" w:eastAsia="黑体" w:cs="Arial"/>
      <w:b/>
      <w:bCs/>
      <w:sz w:val="28"/>
      <w:szCs w:val="28"/>
    </w:rPr>
  </w:style>
  <w:style w:type="paragraph" w:styleId="968" w:customStyle="1">
    <w:name w:val="标题 51"/>
    <w:basedOn w:val="768"/>
    <w:next w:val="966"/>
    <w:link w:val="980"/>
    <w:uiPriority w:val="0"/>
    <w:qFormat/>
    <w:pPr>
      <w:keepNext/>
      <w:outlineLvl w:val="4"/>
    </w:pPr>
    <w:rPr>
      <w:rFonts w:ascii="宋体"/>
      <w:color w:val="000000"/>
      <w:sz w:val="28"/>
      <w:szCs w:val="28"/>
    </w:rPr>
  </w:style>
  <w:style w:type="paragraph" w:styleId="969" w:customStyle="1">
    <w:name w:val="标题 61"/>
    <w:basedOn w:val="768"/>
    <w:next w:val="768"/>
    <w:link w:val="98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0" w:customStyle="1">
    <w:name w:val="标题 71"/>
    <w:basedOn w:val="768"/>
    <w:next w:val="768"/>
    <w:link w:val="982"/>
    <w:uiPriority w:val="0"/>
    <w:qFormat/>
    <w:pPr>
      <w:numPr>
        <w:ilvl w:val="6"/>
        <w:numId w:val="1"/>
      </w:numPr>
      <w:keepLines/>
      <w:keepNext/>
      <w:spacing w:before="240" w:after="64" w:line="320" w:lineRule="auto"/>
      <w:outlineLvl w:val="6"/>
    </w:pPr>
    <w:rPr>
      <w:b/>
      <w:bCs/>
      <w:sz w:val="24"/>
      <w:szCs w:val="24"/>
    </w:rPr>
  </w:style>
  <w:style w:type="paragraph" w:styleId="971" w:customStyle="1">
    <w:name w:val="标题 81"/>
    <w:basedOn w:val="768"/>
    <w:next w:val="768"/>
    <w:link w:val="98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2" w:customStyle="1">
    <w:name w:val="标题 91"/>
    <w:basedOn w:val="768"/>
    <w:next w:val="768"/>
    <w:link w:val="984"/>
    <w:uiPriority w:val="0"/>
    <w:qFormat/>
    <w:pPr>
      <w:numPr>
        <w:ilvl w:val="8"/>
        <w:numId w:val="1"/>
      </w:numPr>
      <w:keepLines/>
      <w:keepNext/>
      <w:spacing w:before="240" w:after="64" w:line="320" w:lineRule="auto"/>
      <w:outlineLvl w:val="8"/>
    </w:pPr>
    <w:rPr>
      <w:rFonts w:ascii="Arial" w:hAnsi="Arial" w:eastAsia="黑体"/>
    </w:rPr>
  </w:style>
  <w:style w:type="character" w:styleId="973" w:customStyle="1">
    <w:name w:val="默认段落字体1"/>
    <w:uiPriority w:val="1"/>
    <w:qFormat/>
  </w:style>
  <w:style w:type="table" w:styleId="974" w:customStyle="1">
    <w:name w:val="普通表格1"/>
    <w:uiPriority w:val="99"/>
    <w:qFormat/>
    <w:tblPr>
      <w:tblCellMar>
        <w:left w:w="0" w:type="dxa"/>
        <w:top w:w="0" w:type="dxa"/>
        <w:right w:w="0" w:type="dxa"/>
        <w:bottom w:w="0" w:type="dxa"/>
      </w:tblCellMar>
    </w:tblPr>
  </w:style>
  <w:style w:type="character" w:styleId="975" w:customStyle="1">
    <w:name w:val="标题 1 Char"/>
    <w:link w:val="963"/>
    <w:uiPriority w:val="0"/>
    <w:qFormat/>
    <w:rPr>
      <w:rFonts w:ascii="楷体_GB2312" w:hAnsi="Times New Roman" w:eastAsia="楷体_GB2312" w:cs="Times New Roman"/>
      <w:sz w:val="28"/>
      <w:szCs w:val="28"/>
    </w:rPr>
  </w:style>
  <w:style w:type="character" w:styleId="976" w:customStyle="1">
    <w:name w:val="标题 2 Char"/>
    <w:link w:val="964"/>
    <w:uiPriority w:val="0"/>
    <w:qFormat/>
    <w:rPr>
      <w:rFonts w:ascii="Arial" w:hAnsi="Arial" w:eastAsia="幼圆" w:cs="Arial"/>
      <w:b/>
      <w:bCs/>
      <w:sz w:val="44"/>
      <w:szCs w:val="44"/>
    </w:rPr>
  </w:style>
  <w:style w:type="character" w:styleId="977" w:customStyle="1">
    <w:name w:val="标题 3 Char"/>
    <w:link w:val="965"/>
    <w:uiPriority w:val="0"/>
    <w:qFormat/>
    <w:rPr>
      <w:rFonts w:ascii="Times New Roman" w:hAnsi="Times New Roman" w:eastAsia="宋体" w:cs="Times New Roman"/>
      <w:b/>
      <w:bCs/>
      <w:sz w:val="32"/>
      <w:szCs w:val="32"/>
    </w:rPr>
  </w:style>
  <w:style w:type="character" w:styleId="978" w:customStyle="1">
    <w:name w:val="正文缩进 Char"/>
    <w:link w:val="966"/>
    <w:uiPriority w:val="0"/>
    <w:qFormat/>
    <w:rPr>
      <w:rFonts w:ascii="Times New Roman" w:hAnsi="Times New Roman" w:eastAsia="宋体" w:cs="Times New Roman"/>
      <w:szCs w:val="21"/>
    </w:rPr>
  </w:style>
  <w:style w:type="character" w:styleId="979" w:customStyle="1">
    <w:name w:val="标题 4 Char"/>
    <w:link w:val="967"/>
    <w:uiPriority w:val="0"/>
    <w:qFormat/>
    <w:rPr>
      <w:rFonts w:ascii="Arial" w:hAnsi="Arial" w:eastAsia="黑体" w:cs="Arial"/>
      <w:b/>
      <w:bCs/>
      <w:sz w:val="28"/>
      <w:szCs w:val="28"/>
    </w:rPr>
  </w:style>
  <w:style w:type="character" w:styleId="980" w:customStyle="1">
    <w:name w:val="标题 5 Char"/>
    <w:link w:val="968"/>
    <w:uiPriority w:val="0"/>
    <w:qFormat/>
    <w:rPr>
      <w:rFonts w:ascii="宋体" w:hAnsi="Times New Roman" w:eastAsia="宋体" w:cs="Times New Roman"/>
      <w:color w:val="000000"/>
      <w:sz w:val="28"/>
      <w:szCs w:val="28"/>
    </w:rPr>
  </w:style>
  <w:style w:type="character" w:styleId="981" w:customStyle="1">
    <w:name w:val="标题 6 Char"/>
    <w:link w:val="969"/>
    <w:uiPriority w:val="0"/>
    <w:qFormat/>
    <w:rPr>
      <w:rFonts w:ascii="Arial" w:hAnsi="Arial" w:eastAsia="黑体" w:cs="Times New Roman"/>
      <w:b/>
      <w:bCs/>
      <w:sz w:val="24"/>
      <w:szCs w:val="24"/>
    </w:rPr>
  </w:style>
  <w:style w:type="character" w:styleId="982" w:customStyle="1">
    <w:name w:val="标题 7 Char"/>
    <w:link w:val="970"/>
    <w:uiPriority w:val="0"/>
    <w:qFormat/>
    <w:rPr>
      <w:rFonts w:ascii="Times New Roman" w:hAnsi="Times New Roman" w:eastAsia="宋体" w:cs="Times New Roman"/>
      <w:b/>
      <w:bCs/>
      <w:sz w:val="24"/>
      <w:szCs w:val="24"/>
    </w:rPr>
  </w:style>
  <w:style w:type="character" w:styleId="983" w:customStyle="1">
    <w:name w:val="标题 8 Char"/>
    <w:link w:val="971"/>
    <w:uiPriority w:val="0"/>
    <w:qFormat/>
    <w:rPr>
      <w:rFonts w:ascii="Arial" w:hAnsi="Arial" w:eastAsia="黑体" w:cs="Times New Roman"/>
      <w:sz w:val="24"/>
      <w:szCs w:val="24"/>
    </w:rPr>
  </w:style>
  <w:style w:type="character" w:styleId="984" w:customStyle="1">
    <w:name w:val="标题 9 Char"/>
    <w:link w:val="972"/>
    <w:uiPriority w:val="0"/>
    <w:qFormat/>
    <w:rPr>
      <w:rFonts w:ascii="Arial" w:hAnsi="Arial" w:eastAsia="黑体" w:cs="Times New Roman"/>
      <w:szCs w:val="21"/>
    </w:rPr>
  </w:style>
  <w:style w:type="paragraph" w:styleId="985" w:customStyle="1">
    <w:name w:val="列表 31"/>
    <w:basedOn w:val="768"/>
    <w:uiPriority w:val="0"/>
    <w:qFormat/>
    <w:pPr>
      <w:ind w:left="100" w:hanging="200"/>
    </w:pPr>
  </w:style>
  <w:style w:type="paragraph" w:styleId="986" w:customStyle="1">
    <w:name w:val="目录 71"/>
    <w:basedOn w:val="768"/>
    <w:next w:val="768"/>
    <w:uiPriority w:val="0"/>
    <w:qFormat/>
    <w:pPr>
      <w:ind w:left="1260"/>
      <w:jc w:val="left"/>
    </w:pPr>
  </w:style>
  <w:style w:type="paragraph" w:styleId="987" w:customStyle="1">
    <w:name w:val="文档结构图1"/>
    <w:basedOn w:val="768"/>
    <w:link w:val="988"/>
    <w:uiPriority w:val="0"/>
    <w:qFormat/>
    <w:pPr>
      <w:shd w:val="clear" w:color="auto" w:fill="000080"/>
    </w:pPr>
  </w:style>
  <w:style w:type="character" w:styleId="988" w:customStyle="1">
    <w:name w:val="文档结构图 Char"/>
    <w:link w:val="987"/>
    <w:uiPriority w:val="0"/>
    <w:qFormat/>
    <w:rPr>
      <w:rFonts w:ascii="Times New Roman" w:hAnsi="Times New Roman" w:eastAsia="宋体" w:cs="Times New Roman"/>
      <w:szCs w:val="21"/>
      <w:shd w:val="clear" w:color="auto" w:fill="000080"/>
    </w:rPr>
  </w:style>
  <w:style w:type="paragraph" w:styleId="989" w:customStyle="1">
    <w:name w:val="批注文字1"/>
    <w:basedOn w:val="768"/>
    <w:link w:val="990"/>
    <w:uiPriority w:val="0"/>
    <w:qFormat/>
    <w:pPr>
      <w:jc w:val="left"/>
    </w:pPr>
  </w:style>
  <w:style w:type="character" w:styleId="990" w:customStyle="1">
    <w:name w:val="批注文字 Char"/>
    <w:link w:val="989"/>
    <w:uiPriority w:val="0"/>
    <w:qFormat/>
    <w:rPr>
      <w:rFonts w:ascii="Times New Roman" w:hAnsi="Times New Roman" w:eastAsia="宋体" w:cs="Times New Roman"/>
      <w:szCs w:val="21"/>
    </w:rPr>
  </w:style>
  <w:style w:type="paragraph" w:styleId="991" w:customStyle="1">
    <w:name w:val="正文文本 31"/>
    <w:basedOn w:val="768"/>
    <w:link w:val="992"/>
    <w:uiPriority w:val="0"/>
    <w:qFormat/>
    <w:rPr>
      <w:rFonts w:ascii="仿宋_GB2312" w:hAnsi="Arial" w:eastAsia="仿宋_GB2312"/>
      <w:sz w:val="32"/>
      <w:szCs w:val="32"/>
    </w:rPr>
  </w:style>
  <w:style w:type="character" w:styleId="992" w:customStyle="1">
    <w:name w:val="正文文本 3 Char"/>
    <w:link w:val="991"/>
    <w:uiPriority w:val="0"/>
    <w:qFormat/>
    <w:rPr>
      <w:rFonts w:ascii="仿宋_GB2312" w:hAnsi="Arial" w:eastAsia="仿宋_GB2312" w:cs="Times New Roman"/>
      <w:sz w:val="32"/>
      <w:szCs w:val="32"/>
    </w:rPr>
  </w:style>
  <w:style w:type="paragraph" w:styleId="993" w:customStyle="1">
    <w:name w:val="正文文本1"/>
    <w:basedOn w:val="768"/>
    <w:link w:val="994"/>
    <w:uiPriority w:val="0"/>
    <w:qFormat/>
    <w:rPr>
      <w:rFonts w:ascii="楷体_GB2312" w:hAnsi="Arial" w:eastAsia="楷体_GB2312"/>
      <w:sz w:val="28"/>
      <w:szCs w:val="28"/>
    </w:rPr>
  </w:style>
  <w:style w:type="character" w:styleId="994" w:customStyle="1">
    <w:name w:val="正文文本 Char"/>
    <w:link w:val="993"/>
    <w:uiPriority w:val="0"/>
    <w:qFormat/>
    <w:rPr>
      <w:rFonts w:ascii="楷体_GB2312" w:hAnsi="Arial" w:eastAsia="楷体_GB2312" w:cs="Times New Roman"/>
      <w:sz w:val="28"/>
      <w:szCs w:val="28"/>
    </w:rPr>
  </w:style>
  <w:style w:type="paragraph" w:styleId="995" w:customStyle="1">
    <w:name w:val="正文文本缩进1"/>
    <w:basedOn w:val="768"/>
    <w:next w:val="768"/>
    <w:link w:val="996"/>
    <w:uiPriority w:val="0"/>
    <w:qFormat/>
    <w:pPr>
      <w:ind w:firstLine="645"/>
    </w:pPr>
    <w:rPr>
      <w:rFonts w:ascii="楷体_GB2312" w:eastAsia="楷体_GB2312"/>
      <w:sz w:val="32"/>
      <w:szCs w:val="32"/>
    </w:rPr>
  </w:style>
  <w:style w:type="character" w:styleId="996" w:customStyle="1">
    <w:name w:val="正文文本缩进 Char"/>
    <w:link w:val="995"/>
    <w:uiPriority w:val="0"/>
    <w:qFormat/>
    <w:rPr>
      <w:rFonts w:ascii="楷体_GB2312" w:hAnsi="Times New Roman" w:eastAsia="楷体_GB2312" w:cs="Times New Roman"/>
      <w:sz w:val="32"/>
      <w:szCs w:val="32"/>
    </w:rPr>
  </w:style>
  <w:style w:type="paragraph" w:styleId="997" w:customStyle="1">
    <w:name w:val="列表 21"/>
    <w:basedOn w:val="768"/>
    <w:uiPriority w:val="0"/>
    <w:qFormat/>
    <w:pPr>
      <w:ind w:left="100" w:hanging="200"/>
    </w:pPr>
  </w:style>
  <w:style w:type="paragraph" w:styleId="998" w:customStyle="1">
    <w:name w:val="目录 51"/>
    <w:basedOn w:val="768"/>
    <w:next w:val="768"/>
    <w:uiPriority w:val="0"/>
    <w:qFormat/>
    <w:pPr>
      <w:ind w:left="840"/>
      <w:jc w:val="left"/>
    </w:pPr>
  </w:style>
  <w:style w:type="paragraph" w:styleId="999" w:customStyle="1">
    <w:name w:val="目录 31"/>
    <w:basedOn w:val="768"/>
    <w:next w:val="768"/>
    <w:uiPriority w:val="0"/>
    <w:qFormat/>
    <w:pPr>
      <w:ind w:left="420"/>
      <w:jc w:val="left"/>
    </w:pPr>
    <w:rPr>
      <w:i/>
      <w:iCs/>
      <w:szCs w:val="24"/>
    </w:rPr>
  </w:style>
  <w:style w:type="paragraph" w:styleId="1000" w:customStyle="1">
    <w:name w:val="纯文本1"/>
    <w:basedOn w:val="768"/>
    <w:link w:val="1001"/>
    <w:uiPriority w:val="0"/>
    <w:qFormat/>
    <w:rPr>
      <w:rFonts w:ascii="宋体" w:hAnsi="Courier New" w:cs="Courier New"/>
    </w:rPr>
  </w:style>
  <w:style w:type="character" w:styleId="1001" w:customStyle="1">
    <w:name w:val="纯文本 Char"/>
    <w:link w:val="1000"/>
    <w:uiPriority w:val="0"/>
    <w:qFormat/>
    <w:rPr>
      <w:rFonts w:ascii="宋体" w:hAnsi="Courier New" w:eastAsia="宋体" w:cs="Courier New"/>
      <w:szCs w:val="21"/>
    </w:rPr>
  </w:style>
  <w:style w:type="paragraph" w:styleId="1002" w:customStyle="1">
    <w:name w:val="目录 81"/>
    <w:basedOn w:val="768"/>
    <w:next w:val="768"/>
    <w:uiPriority w:val="0"/>
    <w:qFormat/>
    <w:pPr>
      <w:ind w:left="1470"/>
      <w:jc w:val="left"/>
    </w:pPr>
  </w:style>
  <w:style w:type="paragraph" w:styleId="1003" w:customStyle="1">
    <w:name w:val="日期1"/>
    <w:basedOn w:val="768"/>
    <w:next w:val="768"/>
    <w:link w:val="1004"/>
    <w:uiPriority w:val="0"/>
    <w:qFormat/>
    <w:rPr>
      <w:sz w:val="24"/>
      <w:szCs w:val="24"/>
    </w:rPr>
  </w:style>
  <w:style w:type="character" w:styleId="1004" w:customStyle="1">
    <w:name w:val="日期 Char"/>
    <w:link w:val="1003"/>
    <w:uiPriority w:val="0"/>
    <w:qFormat/>
    <w:rPr>
      <w:rFonts w:ascii="Times New Roman" w:hAnsi="Times New Roman" w:eastAsia="宋体" w:cs="Times New Roman"/>
      <w:sz w:val="24"/>
      <w:szCs w:val="24"/>
    </w:rPr>
  </w:style>
  <w:style w:type="paragraph" w:styleId="1005" w:customStyle="1">
    <w:name w:val="正文文本缩进 21"/>
    <w:basedOn w:val="768"/>
    <w:link w:val="1006"/>
    <w:uiPriority w:val="0"/>
    <w:qFormat/>
    <w:pPr>
      <w:ind w:left="630" w:firstLine="645"/>
    </w:pPr>
    <w:rPr>
      <w:rFonts w:ascii="Arial" w:hAnsi="Arial" w:eastAsia="仿宋_GB2312" w:cs="Arial"/>
      <w:sz w:val="32"/>
      <w:szCs w:val="32"/>
    </w:rPr>
  </w:style>
  <w:style w:type="character" w:styleId="1006" w:customStyle="1">
    <w:name w:val="正文文本缩进 2 Char"/>
    <w:link w:val="1005"/>
    <w:uiPriority w:val="0"/>
    <w:qFormat/>
    <w:rPr>
      <w:rFonts w:ascii="Arial" w:hAnsi="Arial" w:eastAsia="仿宋_GB2312" w:cs="Arial"/>
      <w:sz w:val="32"/>
      <w:szCs w:val="32"/>
    </w:rPr>
  </w:style>
  <w:style w:type="paragraph" w:styleId="1007" w:customStyle="1">
    <w:name w:val="批注框文本1"/>
    <w:basedOn w:val="768"/>
    <w:link w:val="1008"/>
    <w:uiPriority w:val="0"/>
    <w:qFormat/>
    <w:rPr>
      <w:sz w:val="18"/>
      <w:szCs w:val="18"/>
    </w:rPr>
  </w:style>
  <w:style w:type="character" w:styleId="1008" w:customStyle="1">
    <w:name w:val="批注框文本 Char"/>
    <w:link w:val="1007"/>
    <w:uiPriority w:val="0"/>
    <w:qFormat/>
    <w:rPr>
      <w:rFonts w:ascii="Times New Roman" w:hAnsi="Times New Roman" w:eastAsia="宋体" w:cs="Times New Roman"/>
      <w:sz w:val="18"/>
      <w:szCs w:val="18"/>
    </w:rPr>
  </w:style>
  <w:style w:type="paragraph" w:styleId="1009" w:customStyle="1">
    <w:name w:val="页脚1"/>
    <w:basedOn w:val="768"/>
    <w:link w:val="1010"/>
    <w:uiPriority w:val="0"/>
    <w:qFormat/>
    <w:pPr>
      <w:jc w:val="left"/>
      <w:tabs>
        <w:tab w:val="center" w:pos="4153" w:leader="none"/>
        <w:tab w:val="right" w:pos="8306" w:leader="none"/>
      </w:tabs>
    </w:pPr>
    <w:rPr>
      <w:sz w:val="18"/>
      <w:szCs w:val="18"/>
    </w:rPr>
  </w:style>
  <w:style w:type="character" w:styleId="1010" w:customStyle="1">
    <w:name w:val="页脚 Char"/>
    <w:link w:val="1009"/>
    <w:uiPriority w:val="0"/>
    <w:qFormat/>
    <w:rPr>
      <w:rFonts w:ascii="Times New Roman" w:hAnsi="Times New Roman" w:eastAsia="宋体" w:cs="Times New Roman"/>
      <w:sz w:val="18"/>
      <w:szCs w:val="18"/>
    </w:rPr>
  </w:style>
  <w:style w:type="paragraph" w:styleId="1011" w:customStyle="1">
    <w:name w:val="页眉1"/>
    <w:basedOn w:val="768"/>
    <w:link w:val="1012"/>
    <w:uiPriority w:val="0"/>
    <w:qFormat/>
    <w:pPr>
      <w:jc w:val="center"/>
      <w:tabs>
        <w:tab w:val="center" w:pos="4153" w:leader="none"/>
        <w:tab w:val="right" w:pos="8306" w:leader="none"/>
      </w:tabs>
      <w:pBdr>
        <w:bottom w:val="single" w:color="000000" w:sz="6" w:space="1"/>
      </w:pBdr>
    </w:pPr>
    <w:rPr>
      <w:sz w:val="18"/>
      <w:szCs w:val="18"/>
    </w:rPr>
  </w:style>
  <w:style w:type="character" w:styleId="1012" w:customStyle="1">
    <w:name w:val="页眉 Char"/>
    <w:link w:val="1011"/>
    <w:uiPriority w:val="0"/>
    <w:qFormat/>
    <w:rPr>
      <w:rFonts w:ascii="Times New Roman" w:hAnsi="Times New Roman" w:eastAsia="宋体" w:cs="Times New Roman"/>
      <w:sz w:val="18"/>
      <w:szCs w:val="18"/>
    </w:rPr>
  </w:style>
  <w:style w:type="paragraph" w:styleId="1013" w:customStyle="1">
    <w:name w:val="目录 11"/>
    <w:basedOn w:val="768"/>
    <w:next w:val="768"/>
    <w:uiPriority w:val="0"/>
    <w:qFormat/>
    <w:pPr>
      <w:jc w:val="left"/>
      <w:spacing w:before="120" w:after="120" w:line="400" w:lineRule="exact"/>
      <w:tabs>
        <w:tab w:val="right" w:pos="8720" w:leader="dot"/>
      </w:tabs>
    </w:pPr>
    <w:rPr>
      <w:rFonts w:ascii="宋体" w:hAnsi="宋体"/>
      <w:caps/>
      <w:sz w:val="24"/>
      <w:szCs w:val="24"/>
    </w:rPr>
  </w:style>
  <w:style w:type="paragraph" w:styleId="1014" w:customStyle="1">
    <w:name w:val="目录 41"/>
    <w:basedOn w:val="768"/>
    <w:next w:val="768"/>
    <w:uiPriority w:val="0"/>
    <w:qFormat/>
    <w:pPr>
      <w:ind w:left="630"/>
      <w:jc w:val="left"/>
    </w:pPr>
  </w:style>
  <w:style w:type="paragraph" w:styleId="1015" w:customStyle="1">
    <w:name w:val="列表1"/>
    <w:basedOn w:val="768"/>
    <w:uiPriority w:val="0"/>
    <w:qFormat/>
    <w:pPr>
      <w:ind w:left="200" w:hanging="200"/>
    </w:pPr>
  </w:style>
  <w:style w:type="paragraph" w:styleId="1016" w:customStyle="1">
    <w:name w:val="目录 61"/>
    <w:basedOn w:val="768"/>
    <w:next w:val="768"/>
    <w:uiPriority w:val="0"/>
    <w:qFormat/>
    <w:pPr>
      <w:ind w:left="1050"/>
      <w:jc w:val="left"/>
    </w:pPr>
  </w:style>
  <w:style w:type="paragraph" w:styleId="1017" w:customStyle="1">
    <w:name w:val="正文文本缩进 31"/>
    <w:basedOn w:val="768"/>
    <w:link w:val="1018"/>
    <w:uiPriority w:val="0"/>
    <w:qFormat/>
    <w:pPr>
      <w:ind w:left="645" w:firstLine="645"/>
    </w:pPr>
    <w:rPr>
      <w:rFonts w:ascii="Arial" w:hAnsi="Arial" w:eastAsia="仿宋_GB2312" w:cs="Arial"/>
      <w:color w:val="ffff00"/>
      <w:sz w:val="32"/>
      <w:szCs w:val="32"/>
    </w:rPr>
  </w:style>
  <w:style w:type="character" w:styleId="1018" w:customStyle="1">
    <w:name w:val="正文文本缩进 3 Char"/>
    <w:link w:val="1017"/>
    <w:uiPriority w:val="0"/>
    <w:qFormat/>
    <w:rPr>
      <w:rFonts w:ascii="Arial" w:hAnsi="Arial" w:eastAsia="仿宋_GB2312" w:cs="Arial"/>
      <w:color w:val="ffff00"/>
      <w:sz w:val="32"/>
      <w:szCs w:val="32"/>
    </w:rPr>
  </w:style>
  <w:style w:type="paragraph" w:styleId="1019" w:customStyle="1">
    <w:name w:val="图表目录1"/>
    <w:basedOn w:val="768"/>
    <w:next w:val="768"/>
    <w:uiPriority w:val="0"/>
    <w:qFormat/>
    <w:pPr>
      <w:ind w:left="840" w:hanging="420"/>
    </w:pPr>
  </w:style>
  <w:style w:type="paragraph" w:styleId="1020" w:customStyle="1">
    <w:name w:val="目录 21"/>
    <w:basedOn w:val="768"/>
    <w:next w:val="768"/>
    <w:uiPriority w:val="0"/>
    <w:qFormat/>
    <w:pPr>
      <w:ind w:left="210"/>
      <w:jc w:val="left"/>
    </w:pPr>
    <w:rPr>
      <w:smallCaps/>
      <w:szCs w:val="24"/>
    </w:rPr>
  </w:style>
  <w:style w:type="paragraph" w:styleId="1021" w:customStyle="1">
    <w:name w:val="目录 91"/>
    <w:basedOn w:val="768"/>
    <w:next w:val="768"/>
    <w:uiPriority w:val="0"/>
    <w:qFormat/>
    <w:pPr>
      <w:ind w:left="1680"/>
      <w:jc w:val="left"/>
    </w:pPr>
  </w:style>
  <w:style w:type="paragraph" w:styleId="1022" w:customStyle="1">
    <w:name w:val="正文文本 21"/>
    <w:basedOn w:val="768"/>
    <w:link w:val="1023"/>
    <w:uiPriority w:val="0"/>
    <w:qFormat/>
    <w:pPr>
      <w:jc w:val="center"/>
      <w:widowControl/>
    </w:pPr>
    <w:rPr>
      <w:rFonts w:ascii="楷体_GB2312" w:eastAsia="楷体_GB2312"/>
      <w:sz w:val="28"/>
      <w:szCs w:val="28"/>
    </w:rPr>
  </w:style>
  <w:style w:type="character" w:styleId="1023" w:customStyle="1">
    <w:name w:val="正文文本 2 Char"/>
    <w:link w:val="1022"/>
    <w:uiPriority w:val="0"/>
    <w:qFormat/>
    <w:rPr>
      <w:rFonts w:ascii="楷体_GB2312" w:hAnsi="Times New Roman" w:eastAsia="楷体_GB2312" w:cs="Times New Roman"/>
      <w:sz w:val="28"/>
      <w:szCs w:val="28"/>
    </w:rPr>
  </w:style>
  <w:style w:type="paragraph" w:styleId="1024" w:customStyle="1">
    <w:name w:val="普通(网站)1"/>
    <w:basedOn w:val="768"/>
    <w:uiPriority w:val="99"/>
    <w:qFormat/>
    <w:pPr>
      <w:jc w:val="left"/>
      <w:spacing w:before="100" w:beforeAutospacing="1" w:after="100" w:afterAutospacing="1"/>
      <w:widowControl/>
    </w:pPr>
    <w:rPr>
      <w:rFonts w:ascii="宋体" w:hAnsi="宋体" w:cs="宋体"/>
      <w:sz w:val="24"/>
      <w:szCs w:val="24"/>
    </w:rPr>
  </w:style>
  <w:style w:type="paragraph" w:styleId="1025" w:customStyle="1">
    <w:name w:val="索引 11"/>
    <w:basedOn w:val="768"/>
    <w:next w:val="768"/>
    <w:uiPriority w:val="0"/>
    <w:qFormat/>
    <w:pPr>
      <w:spacing w:line="240" w:lineRule="atLeast"/>
    </w:pPr>
    <w:rPr>
      <w:b/>
      <w:bCs/>
    </w:rPr>
  </w:style>
  <w:style w:type="paragraph" w:styleId="1026" w:customStyle="1">
    <w:name w:val="批注主题1"/>
    <w:basedOn w:val="989"/>
    <w:next w:val="989"/>
    <w:link w:val="1027"/>
    <w:uiPriority w:val="0"/>
    <w:qFormat/>
    <w:rPr>
      <w:b/>
      <w:bCs/>
    </w:rPr>
  </w:style>
  <w:style w:type="character" w:styleId="1027" w:customStyle="1">
    <w:name w:val="批注主题 Char"/>
    <w:link w:val="1026"/>
    <w:uiPriority w:val="0"/>
    <w:qFormat/>
    <w:rPr>
      <w:rFonts w:ascii="Times New Roman" w:hAnsi="Times New Roman" w:eastAsia="宋体" w:cs="Times New Roman"/>
      <w:b/>
      <w:bCs/>
      <w:szCs w:val="21"/>
    </w:rPr>
  </w:style>
  <w:style w:type="paragraph" w:styleId="1028" w:customStyle="1">
    <w:name w:val="正文首行缩进1"/>
    <w:basedOn w:val="768"/>
    <w:link w:val="1029"/>
    <w:uiPriority w:val="0"/>
    <w:qFormat/>
    <w:pPr>
      <w:ind w:firstLine="200"/>
      <w:spacing w:line="360" w:lineRule="auto"/>
    </w:pPr>
    <w:rPr>
      <w:rFonts w:ascii="仿宋_GB2312" w:eastAsia="仿宋_GB2312"/>
      <w:sz w:val="30"/>
      <w:szCs w:val="30"/>
    </w:rPr>
  </w:style>
  <w:style w:type="character" w:styleId="1029" w:customStyle="1">
    <w:name w:val="正文首行缩进 Char"/>
    <w:link w:val="1028"/>
    <w:uiPriority w:val="0"/>
    <w:qFormat/>
    <w:rPr>
      <w:rFonts w:ascii="仿宋_GB2312" w:hAnsi="Times New Roman" w:eastAsia="仿宋_GB2312" w:cs="Times New Roman"/>
      <w:sz w:val="30"/>
      <w:szCs w:val="30"/>
    </w:rPr>
  </w:style>
  <w:style w:type="paragraph" w:styleId="1030" w:customStyle="1">
    <w:name w:val="正文首行缩进 21"/>
    <w:basedOn w:val="995"/>
    <w:link w:val="1031"/>
    <w:uiPriority w:val="0"/>
    <w:qFormat/>
    <w:pPr>
      <w:ind w:firstLine="420"/>
      <w:spacing w:line="360" w:lineRule="auto"/>
    </w:pPr>
    <w:rPr>
      <w:rFonts w:ascii="宋体" w:hAnsi="宋体" w:eastAsia="宋体"/>
      <w:sz w:val="21"/>
      <w:szCs w:val="20"/>
    </w:rPr>
  </w:style>
  <w:style w:type="character" w:styleId="1031" w:customStyle="1">
    <w:name w:val="正文首行缩进 2 Char"/>
    <w:link w:val="1030"/>
    <w:uiPriority w:val="0"/>
    <w:qFormat/>
    <w:rPr>
      <w:rFonts w:ascii="宋体" w:hAnsi="宋体" w:eastAsia="宋体" w:cs="Times New Roman"/>
      <w:sz w:val="32"/>
      <w:szCs w:val="20"/>
    </w:rPr>
  </w:style>
  <w:style w:type="table" w:styleId="1032" w:customStyle="1">
    <w:name w:val="网格型1"/>
    <w:basedOn w:val="974"/>
    <w:uiPriority w:val="0"/>
    <w:qFormat/>
    <w:pPr>
      <w:jc w:val="both"/>
      <w:widowControl w:val="off"/>
    </w:pPr>
    <w:tblPr>
      <w:tblCellMar>
        <w:left w:w="0" w:type="dxa"/>
        <w:top w:w="0" w:type="dxa"/>
        <w:right w:w="0" w:type="dxa"/>
        <w:bottom w:w="0" w:type="dxa"/>
      </w:tblCellMar>
    </w:tblPr>
  </w:style>
  <w:style w:type="character" w:styleId="1033" w:customStyle="1">
    <w:name w:val="要点1"/>
    <w:uiPriority w:val="0"/>
    <w:qFormat/>
    <w:rPr>
      <w:b/>
      <w:bCs/>
    </w:rPr>
  </w:style>
  <w:style w:type="character" w:styleId="1034" w:customStyle="1">
    <w:name w:val="页码1"/>
    <w:uiPriority w:val="0"/>
    <w:qFormat/>
  </w:style>
  <w:style w:type="character" w:styleId="1035" w:customStyle="1">
    <w:name w:val="已访问的超链接1"/>
    <w:uiPriority w:val="0"/>
    <w:qFormat/>
    <w:rPr>
      <w:color w:val="800080"/>
      <w:u w:val="single"/>
    </w:rPr>
  </w:style>
  <w:style w:type="character" w:styleId="1036" w:customStyle="1">
    <w:name w:val="超链接1"/>
    <w:uiPriority w:val="0"/>
    <w:qFormat/>
    <w:rPr>
      <w:color w:val="0000ff"/>
      <w:u w:val="single"/>
    </w:rPr>
  </w:style>
  <w:style w:type="character" w:styleId="1037" w:customStyle="1">
    <w:name w:val="批注引用1"/>
    <w:uiPriority w:val="0"/>
    <w:qFormat/>
    <w:rPr>
      <w:sz w:val="21"/>
      <w:szCs w:val="21"/>
    </w:rPr>
  </w:style>
  <w:style w:type="paragraph" w:styleId="1038" w:customStyle="1">
    <w:name w:val="正文空2字"/>
    <w:basedOn w:val="1039"/>
    <w:uiPriority w:val="99"/>
    <w:qFormat/>
    <w:pPr>
      <w:ind w:firstLine="640"/>
      <w:spacing w:line="560" w:lineRule="exact"/>
      <w:widowControl w:val="off"/>
    </w:pPr>
    <w:rPr>
      <w:rFonts w:ascii="仿宋_GB2312" w:hAnsi="仿宋_GB2312" w:cs="仿宋_GB2312"/>
      <w:lang w:val="zh-TW"/>
    </w:rPr>
  </w:style>
  <w:style w:type="paragraph" w:styleId="1039" w:customStyle="1">
    <w:name w:val="左对齐正文"/>
    <w:uiPriority w:val="99"/>
    <w:qFormat/>
    <w:rPr>
      <w:rFonts w:ascii="Calibri" w:hAnsi="Calibri" w:eastAsia="仿宋_GB2312" w:cs="Calibri"/>
      <w:sz w:val="32"/>
      <w:szCs w:val="32"/>
      <w:lang w:val="en-US" w:eastAsia="zh-CN" w:bidi="ar-SA"/>
    </w:rPr>
  </w:style>
  <w:style w:type="paragraph" w:styleId="1040" w:customStyle="1">
    <w:name w:val="索引 41"/>
    <w:basedOn w:val="768"/>
    <w:next w:val="768"/>
    <w:uiPriority w:val="0"/>
    <w:qFormat/>
    <w:pPr>
      <w:ind w:left="1260"/>
    </w:pPr>
    <w:rPr>
      <w:rFonts w:ascii="Calibri" w:hAnsi="Calibri" w:eastAsia="Calibri" w:cs="宋体"/>
      <w:sz w:val="20"/>
      <w:lang w:val="zh-CN"/>
    </w:rPr>
  </w:style>
  <w:style w:type="character" w:styleId="1041" w:customStyle="1">
    <w:name w:val="font5 Char"/>
    <w:uiPriority w:val="0"/>
    <w:qFormat/>
    <w:rPr>
      <w:rFonts w:ascii="宋体" w:hAnsi="宋体" w:eastAsia="宋体"/>
      <w:sz w:val="28"/>
      <w:szCs w:val="28"/>
      <w:lang w:val="en-US" w:eastAsia="zh-CN" w:bidi="ar-SA"/>
    </w:rPr>
  </w:style>
  <w:style w:type="character" w:styleId="1042" w:customStyle="1">
    <w:name w:val="二级目录 Char"/>
    <w:link w:val="1043"/>
    <w:uiPriority w:val="0"/>
    <w:qFormat/>
    <w:rPr>
      <w:b/>
      <w:sz w:val="30"/>
      <w:szCs w:val="28"/>
    </w:rPr>
  </w:style>
  <w:style w:type="paragraph" w:styleId="1043" w:customStyle="1">
    <w:name w:val="二级目录"/>
    <w:next w:val="768"/>
    <w:link w:val="104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4" w:customStyle="1">
    <w:name w:val="列出段落 Char"/>
    <w:link w:val="1045"/>
    <w:uiPriority w:val="0"/>
    <w:qFormat/>
    <w:rPr>
      <w:rFonts w:ascii="Calibri" w:hAnsi="Calibri"/>
      <w:sz w:val="24"/>
      <w:szCs w:val="24"/>
      <w:lang w:eastAsia="en-US" w:bidi="en-US"/>
    </w:rPr>
  </w:style>
  <w:style w:type="paragraph" w:styleId="1045" w:customStyle="1">
    <w:name w:val="列出段落1"/>
    <w:basedOn w:val="768"/>
    <w:link w:val="1044"/>
    <w:uiPriority w:val="0"/>
    <w:qFormat/>
    <w:pPr>
      <w:contextualSpacing/>
      <w:ind w:left="720"/>
      <w:jc w:val="left"/>
      <w:widowControl/>
    </w:pPr>
    <w:rPr>
      <w:rFonts w:ascii="Calibri" w:hAnsi="Calibri"/>
      <w:sz w:val="24"/>
      <w:szCs w:val="24"/>
      <w:lang w:eastAsia="en-US" w:bidi="en-US"/>
    </w:rPr>
  </w:style>
  <w:style w:type="paragraph" w:styleId="1046" w:customStyle="1">
    <w:name w:val="Body Text(ch)"/>
    <w:basedOn w:val="768"/>
    <w:next w:val="993"/>
    <w:uiPriority w:val="0"/>
    <w:qFormat/>
    <w:pPr>
      <w:spacing w:after="120"/>
    </w:pPr>
    <w:rPr>
      <w:rFonts w:ascii="宋体" w:hAnsi="Arial"/>
      <w:bCs/>
      <w:iCs/>
      <w:szCs w:val="24"/>
    </w:rPr>
  </w:style>
  <w:style w:type="paragraph" w:styleId="1047"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9" w:customStyle="1">
    <w:name w:val="Char"/>
    <w:basedOn w:val="768"/>
    <w:uiPriority w:val="0"/>
    <w:qFormat/>
    <w:pPr>
      <w:ind w:firstLine="200"/>
      <w:tabs>
        <w:tab w:val="left" w:pos="360" w:leader="none"/>
      </w:tabs>
    </w:pPr>
    <w:rPr>
      <w:sz w:val="28"/>
      <w:szCs w:val="30"/>
    </w:rPr>
  </w:style>
  <w:style w:type="paragraph" w:styleId="1050" w:customStyle="1">
    <w:name w:val="Char1"/>
    <w:basedOn w:val="987"/>
    <w:uiPriority w:val="0"/>
    <w:qFormat/>
    <w:rPr>
      <w:rFonts w:ascii="Tahoma" w:hAnsi="Tahoma"/>
      <w:sz w:val="24"/>
      <w:szCs w:val="24"/>
    </w:rPr>
  </w:style>
  <w:style w:type="paragraph" w:styleId="1051"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1052" w:customStyle="1">
    <w:name w:val="table_lines"/>
    <w:basedOn w:val="768"/>
    <w:uiPriority w:val="0"/>
    <w:qFormat/>
    <w:pPr>
      <w:jc w:val="left"/>
      <w:widowControl/>
    </w:pPr>
    <w:rPr>
      <w:sz w:val="20"/>
      <w:szCs w:val="20"/>
      <w:lang w:val="de-DE" w:eastAsia="de-DE"/>
    </w:rPr>
  </w:style>
  <w:style w:type="paragraph" w:styleId="105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4" w:customStyle="1">
    <w:name w:val="font7"/>
    <w:basedOn w:val="768"/>
    <w:uiPriority w:val="0"/>
    <w:qFormat/>
    <w:pPr>
      <w:jc w:val="left"/>
      <w:spacing w:before="100" w:beforeAutospacing="1" w:after="100" w:afterAutospacing="1"/>
      <w:widowControl/>
    </w:pPr>
    <w:rPr>
      <w:rFonts w:hint="eastAsia" w:ascii="宋体" w:hAnsi="宋体"/>
      <w:sz w:val="18"/>
      <w:szCs w:val="18"/>
    </w:rPr>
  </w:style>
  <w:style w:type="paragraph" w:styleId="1055" w:customStyle="1">
    <w:name w:val="Char Char Char Char"/>
    <w:basedOn w:val="987"/>
    <w:uiPriority w:val="0"/>
    <w:qFormat/>
    <w:pPr>
      <w:spacing w:line="360" w:lineRule="auto"/>
    </w:pPr>
    <w:rPr>
      <w:rFonts w:ascii="Tahoma" w:hAnsi="Tahoma"/>
      <w:sz w:val="24"/>
      <w:szCs w:val="24"/>
    </w:rPr>
  </w:style>
  <w:style w:type="paragraph" w:styleId="1056" w:customStyle="1">
    <w:name w:val="列出段落2"/>
    <w:basedOn w:val="768"/>
    <w:uiPriority w:val="0"/>
    <w:qFormat/>
    <w:pPr>
      <w:contextualSpacing/>
      <w:ind w:left="720"/>
      <w:jc w:val="left"/>
      <w:widowControl/>
    </w:pPr>
    <w:rPr>
      <w:rFonts w:ascii="Calibri" w:hAnsi="Calibri"/>
      <w:sz w:val="24"/>
      <w:szCs w:val="24"/>
      <w:lang w:eastAsia="en-US" w:bidi="en-US"/>
    </w:rPr>
  </w:style>
  <w:style w:type="paragraph" w:styleId="1057" w:customStyle="1">
    <w:name w:val="4"/>
    <w:basedOn w:val="768"/>
    <w:next w:val="1017"/>
    <w:uiPriority w:val="0"/>
    <w:qFormat/>
    <w:pPr>
      <w:ind w:firstLine="420"/>
      <w:spacing w:line="360" w:lineRule="auto"/>
    </w:pPr>
    <w:rPr>
      <w:color w:val="ff0000"/>
      <w:sz w:val="24"/>
      <w:szCs w:val="24"/>
    </w:rPr>
  </w:style>
  <w:style w:type="paragraph" w:styleId="1058" w:customStyle="1">
    <w:name w:val="普通 (Web)"/>
    <w:basedOn w:val="768"/>
    <w:uiPriority w:val="0"/>
    <w:qFormat/>
    <w:pPr>
      <w:jc w:val="left"/>
      <w:spacing w:before="100" w:beforeAutospacing="1" w:after="100" w:afterAutospacing="1"/>
      <w:widowControl/>
    </w:pPr>
    <w:rPr>
      <w:rFonts w:ascii="宋体" w:hAnsi="宋体"/>
      <w:sz w:val="24"/>
      <w:szCs w:val="24"/>
    </w:rPr>
  </w:style>
  <w:style w:type="paragraph" w:styleId="1059" w:customStyle="1">
    <w:name w:val="Char Char Char Char Char Char Char Char Char Char"/>
    <w:basedOn w:val="768"/>
    <w:uiPriority w:val="0"/>
    <w:qFormat/>
    <w:pPr>
      <w:spacing w:line="360" w:lineRule="auto"/>
    </w:pPr>
    <w:rPr>
      <w:sz w:val="24"/>
      <w:szCs w:val="20"/>
    </w:rPr>
  </w:style>
  <w:style w:type="paragraph" w:styleId="1060" w:customStyle="1">
    <w:name w:val="样式1"/>
    <w:basedOn w:val="768"/>
    <w:uiPriority w:val="0"/>
    <w:qFormat/>
    <w:pPr>
      <w:numPr>
        <w:ilvl w:val="0"/>
        <w:numId w:val="3"/>
      </w:numPr>
    </w:pPr>
    <w:rPr>
      <w:rFonts w:ascii="宋体" w:hAnsi="宋体"/>
    </w:rPr>
  </w:style>
  <w:style w:type="paragraph" w:styleId="1061" w:customStyle="1">
    <w:name w:val="font6"/>
    <w:basedOn w:val="768"/>
    <w:uiPriority w:val="0"/>
    <w:qFormat/>
    <w:pPr>
      <w:jc w:val="left"/>
      <w:spacing w:before="100" w:beforeAutospacing="1" w:after="100" w:afterAutospacing="1"/>
      <w:widowControl/>
    </w:pPr>
    <w:rPr>
      <w:rFonts w:hint="eastAsia" w:ascii="宋体" w:hAnsi="宋体"/>
      <w:sz w:val="28"/>
      <w:szCs w:val="28"/>
      <w:u w:val="single"/>
    </w:rPr>
  </w:style>
  <w:style w:type="paragraph" w:styleId="1062"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3"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4" w:customStyle="1">
    <w:name w:val="标题3"/>
    <w:basedOn w:val="768"/>
    <w:next w:val="768"/>
    <w:uiPriority w:val="0"/>
    <w:qFormat/>
    <w:pPr>
      <w:ind w:firstLine="624"/>
      <w:spacing w:line="590" w:lineRule="atLeast"/>
    </w:pPr>
    <w:rPr>
      <w:rFonts w:ascii="方正黑体_GBK" w:eastAsia="方正黑体_GBK"/>
      <w:sz w:val="32"/>
      <w:szCs w:val="32"/>
    </w:rPr>
  </w:style>
  <w:style w:type="paragraph" w:styleId="1065"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7" w:customStyle="1">
    <w:name w:val="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68"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9" w:customStyle="1">
    <w:name w:val="Char Char Char Char Char Char Char Char1"/>
    <w:basedOn w:val="768"/>
    <w:uiPriority w:val="0"/>
    <w:qFormat/>
    <w:pPr>
      <w:jc w:val="left"/>
      <w:spacing w:after="160" w:line="240" w:lineRule="exact"/>
      <w:widowControl/>
    </w:pPr>
    <w:rPr>
      <w:rFonts w:ascii="Verdana" w:hAnsi="Verdana"/>
      <w:sz w:val="20"/>
      <w:szCs w:val="20"/>
      <w:lang w:eastAsia="en-US"/>
    </w:rPr>
  </w:style>
  <w:style w:type="paragraph" w:styleId="1070" w:customStyle="1">
    <w:name w:val="xl30"/>
    <w:basedOn w:val="768"/>
    <w:uiPriority w:val="0"/>
    <w:qFormat/>
    <w:pPr>
      <w:jc w:val="center"/>
      <w:spacing w:before="100" w:beforeAutospacing="1" w:after="100" w:afterAutospacing="1"/>
      <w:widowControl/>
    </w:pPr>
    <w:rPr>
      <w:rFonts w:ascii="宋体" w:hAnsi="宋体"/>
      <w:b/>
      <w:bCs/>
      <w:sz w:val="36"/>
      <w:szCs w:val="36"/>
    </w:rPr>
  </w:style>
  <w:style w:type="paragraph" w:styleId="1071" w:customStyle="1">
    <w:name w:val="Char Char Char Char1"/>
    <w:basedOn w:val="987"/>
    <w:uiPriority w:val="0"/>
    <w:qFormat/>
    <w:pPr>
      <w:spacing w:line="360" w:lineRule="auto"/>
    </w:pPr>
    <w:rPr>
      <w:rFonts w:ascii="Tahoma" w:hAnsi="Tahoma"/>
      <w:sz w:val="24"/>
      <w:szCs w:val="24"/>
    </w:rPr>
  </w:style>
  <w:style w:type="paragraph" w:styleId="1072" w:customStyle="1">
    <w:name w:val="table_1stline"/>
    <w:basedOn w:val="768"/>
    <w:uiPriority w:val="0"/>
    <w:qFormat/>
    <w:pPr>
      <w:jc w:val="left"/>
      <w:spacing w:before="120"/>
      <w:widowControl/>
    </w:pPr>
    <w:rPr>
      <w:bCs/>
      <w:sz w:val="20"/>
      <w:szCs w:val="20"/>
      <w:lang w:val="de-DE" w:eastAsia="de-DE"/>
    </w:rPr>
  </w:style>
  <w:style w:type="paragraph" w:styleId="1073" w:customStyle="1">
    <w:name w:val="font5"/>
    <w:basedOn w:val="768"/>
    <w:uiPriority w:val="0"/>
    <w:qFormat/>
    <w:pPr>
      <w:jc w:val="left"/>
      <w:spacing w:before="100" w:beforeAutospacing="1" w:after="100" w:afterAutospacing="1"/>
      <w:widowControl/>
    </w:pPr>
    <w:rPr>
      <w:rFonts w:hint="eastAsia" w:ascii="宋体" w:hAnsi="宋体"/>
      <w:sz w:val="28"/>
      <w:szCs w:val="28"/>
    </w:rPr>
  </w:style>
  <w:style w:type="paragraph" w:styleId="1074" w:customStyle="1">
    <w:name w:val="标题1"/>
    <w:basedOn w:val="768"/>
    <w:next w:val="7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5" w:customStyle="1">
    <w:name w:val="修订1"/>
    <w:uiPriority w:val="99"/>
    <w:qFormat/>
    <w:rPr>
      <w:rFonts w:ascii="Times New Roman" w:hAnsi="Times New Roman" w:eastAsia="宋体" w:cs="Times New Roman"/>
      <w:sz w:val="21"/>
      <w:szCs w:val="21"/>
      <w:lang w:val="en-US" w:eastAsia="zh-CN" w:bidi="ar-SA"/>
    </w:rPr>
  </w:style>
  <w:style w:type="paragraph" w:styleId="107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77" w:customStyle="1">
    <w:name w:val="Table Normal"/>
    <w:uiPriority w:val="0"/>
    <w:qFormat/>
    <w:tblPr>
      <w:tblCellMar>
        <w:left w:w="0" w:type="dxa"/>
        <w:top w:w="0" w:type="dxa"/>
        <w:right w:w="0" w:type="dxa"/>
        <w:bottom w:w="0" w:type="dxa"/>
      </w:tblCellMar>
    </w:tblPr>
  </w:style>
  <w:style w:type="paragraph" w:styleId="1078"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79" w:customStyle="1">
    <w:name w:val="Normal_6_0"/>
    <w:uiPriority w:val="0"/>
    <w:qFormat/>
    <w:rPr>
      <w:rFonts w:ascii="黑体" w:hAnsi="黑体" w:eastAsia="黑体" w:cs="黑体"/>
      <w:b/>
      <w:sz w:val="32"/>
      <w:szCs w:val="24"/>
      <w:lang w:val="en-US" w:eastAsia="zh-CN" w:bidi="ar-SA"/>
    </w:rPr>
  </w:style>
  <w:style w:type="paragraph" w:styleId="1080" w:customStyle="1">
    <w:name w:val="Normal_1_2"/>
    <w:uiPriority w:val="0"/>
    <w:qFormat/>
    <w:rPr>
      <w:rFonts w:ascii="Times New Roman" w:hAnsi="Times New Roman" w:eastAsia="Times New Roman" w:cs="Times New Roman"/>
      <w:sz w:val="24"/>
      <w:szCs w:val="24"/>
      <w:lang w:val="en-US" w:eastAsia="zh-CN" w:bidi="ar-SA"/>
    </w:rPr>
  </w:style>
  <w:style w:type="paragraph" w:styleId="108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82" w:customStyle="1">
    <w:name w:val="正文文本12"/>
    <w:basedOn w:val="768"/>
    <w:uiPriority w:val="1"/>
    <w:qFormat/>
    <w:pPr>
      <w:ind w:left="120"/>
    </w:pPr>
    <w:rPr>
      <w:rFonts w:ascii="宋体" w:hAnsi="宋体" w:cs="宋体"/>
      <w:lang w:val="zh-CN" w:bidi="zh-CN"/>
    </w:rPr>
  </w:style>
  <w:style w:type="paragraph" w:styleId="1083" w:customStyle="1">
    <w:name w:val="正文2"/>
    <w:basedOn w:val="768"/>
    <w:uiPriority w:val="0"/>
    <w:qFormat/>
    <w:pPr>
      <w:ind w:firstLine="510"/>
      <w:spacing w:before="156" w:line="360" w:lineRule="auto"/>
    </w:pPr>
    <w:rPr>
      <w:sz w:val="24"/>
      <w:szCs w:val="20"/>
    </w:rPr>
  </w:style>
  <w:style w:type="paragraph" w:styleId="1084" w:customStyle="1">
    <w:name w:val="首行缩进"/>
    <w:basedOn w:val="768"/>
    <w:uiPriority w:val="0"/>
    <w:qFormat/>
    <w:pPr>
      <w:ind w:firstLine="480"/>
    </w:pPr>
    <w:rPr>
      <w:lang w:val="zh-CN"/>
    </w:rPr>
  </w:style>
  <w:style w:type="paragraph" w:styleId="1085" w:customStyle="1">
    <w:name w:val="Normal_18_0"/>
    <w:uiPriority w:val="0"/>
    <w:qFormat/>
    <w:rPr>
      <w:rFonts w:ascii="黑体" w:hAnsi="黑体" w:eastAsia="黑体" w:cs="黑体"/>
      <w:b/>
      <w:sz w:val="32"/>
      <w:szCs w:val="24"/>
      <w:lang w:val="en-US" w:eastAsia="zh-CN" w:bidi="ar-SA"/>
    </w:rPr>
  </w:style>
  <w:style w:type="paragraph" w:styleId="1086" w:customStyle="1">
    <w:name w:val="正文_12_0_0_0_0"/>
    <w:basedOn w:val="768"/>
    <w:uiPriority w:val="0"/>
    <w:qFormat/>
    <w:rPr>
      <w:szCs w:val="24"/>
    </w:rPr>
  </w:style>
  <w:style w:type="paragraph" w:styleId="108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8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90" w:customStyle="1">
    <w:name w:val="Normal_20"/>
    <w:uiPriority w:val="0"/>
    <w:qFormat/>
    <w:rPr>
      <w:rFonts w:ascii="黑体" w:hAnsi="黑体" w:eastAsia="黑体" w:cs="黑体"/>
      <w:b/>
      <w:sz w:val="32"/>
      <w:szCs w:val="24"/>
      <w:lang w:val="en-US" w:eastAsia="zh-CN" w:bidi="ar-SA"/>
    </w:rPr>
  </w:style>
  <w:style w:type="paragraph" w:styleId="1091"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Normal_0"/>
    <w:uiPriority w:val="0"/>
    <w:qFormat/>
    <w:rPr>
      <w:rFonts w:ascii="黑体" w:hAnsi="黑体" w:eastAsia="黑体" w:cs="Times New Roman"/>
      <w:b/>
      <w:sz w:val="32"/>
      <w:szCs w:val="24"/>
      <w:lang w:val="en-US" w:eastAsia="zh-CN" w:bidi="ar-SA"/>
    </w:rPr>
  </w:style>
  <w:style w:type="paragraph" w:styleId="1093" w:customStyle="1">
    <w:name w:val="部分1"/>
    <w:basedOn w:val="768"/>
    <w:uiPriority w:val="0"/>
    <w:qFormat/>
    <w:pPr>
      <w:jc w:val="center"/>
      <w:keepNext/>
      <w:pageBreakBefore/>
      <w:spacing w:line="360" w:lineRule="auto"/>
      <w:tabs>
        <w:tab w:val="left" w:pos="720" w:leader="none"/>
      </w:tabs>
      <w:outlineLvl w:val="0"/>
    </w:pPr>
    <w:rPr>
      <w:rFonts w:eastAsia="黑体"/>
      <w:b/>
      <w:sz w:val="36"/>
      <w:szCs w:val="20"/>
    </w:rPr>
  </w:style>
  <w:style w:type="paragraph" w:styleId="109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98" w:customStyle="1">
    <w:name w:val="列出段落_2"/>
    <w:basedOn w:val="1096"/>
    <w:uiPriority w:val="34"/>
    <w:qFormat/>
    <w:pPr>
      <w:ind w:firstLine="420"/>
    </w:pPr>
  </w:style>
  <w:style w:type="paragraph" w:styleId="1099" w:customStyle="1">
    <w:name w:val="Normal_13_0"/>
    <w:uiPriority w:val="0"/>
    <w:qFormat/>
    <w:rPr>
      <w:rFonts w:ascii="黑体" w:hAnsi="黑体" w:eastAsia="黑体" w:cs="黑体"/>
      <w:b/>
      <w:sz w:val="32"/>
      <w:szCs w:val="24"/>
      <w:lang w:val="en-US" w:eastAsia="zh-CN" w:bidi="ar-SA"/>
    </w:rPr>
  </w:style>
  <w:style w:type="paragraph" w:styleId="1100" w:customStyle="1">
    <w:name w:val="正文_16_0_0"/>
    <w:next w:val="1101"/>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10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WPSOffice手动目录 1"/>
    <w:uiPriority w:val="0"/>
    <w:qFormat/>
    <w:rPr>
      <w:rFonts w:ascii="Times New Roman" w:hAnsi="Times New Roman" w:eastAsia="宋体" w:cs="Times New Roman"/>
      <w:lang w:val="en-US" w:eastAsia="zh-CN" w:bidi="ar-SA"/>
    </w:rPr>
  </w:style>
  <w:style w:type="character" w:styleId="1104" w:customStyle="1">
    <w:name w:val="hour_pm"/>
    <w:basedOn w:val="778"/>
    <w:uiPriority w:val="0"/>
    <w:qFormat/>
  </w:style>
  <w:style w:type="character" w:styleId="1105" w:customStyle="1">
    <w:name w:val="old"/>
    <w:basedOn w:val="778"/>
    <w:uiPriority w:val="0"/>
    <w:qFormat/>
    <w:rPr>
      <w:color w:val="999999"/>
    </w:rPr>
  </w:style>
  <w:style w:type="character" w:styleId="1106" w:customStyle="1">
    <w:name w:val="first-child"/>
    <w:basedOn w:val="778"/>
    <w:uiPriority w:val="0"/>
    <w:qFormat/>
  </w:style>
  <w:style w:type="character" w:styleId="1107" w:customStyle="1">
    <w:name w:val="hover5"/>
    <w:basedOn w:val="778"/>
    <w:uiPriority w:val="0"/>
    <w:qFormat/>
    <w:rPr>
      <w:shd w:val="clear" w:color="auto" w:fill="eeeeee"/>
    </w:rPr>
  </w:style>
  <w:style w:type="character" w:styleId="1108" w:customStyle="1">
    <w:name w:val="hour_am"/>
    <w:basedOn w:val="778"/>
    <w:uiPriority w:val="0"/>
    <w:qFormat/>
  </w:style>
  <w:style w:type="character" w:styleId="1109" w:customStyle="1">
    <w:name w:val="glyphicon"/>
    <w:basedOn w:val="778"/>
    <w:uiPriority w:val="0"/>
    <w:qFormat/>
  </w:style>
  <w:style w:type="character" w:styleId="1110" w:customStyle="1">
    <w:name w:val="layui-layer-tabnow"/>
    <w:basedOn w:val="778"/>
    <w:uiPriority w:val="0"/>
    <w:qFormat/>
    <w:rPr>
      <w:shd w:val="clear" w:color="auto" w:fill="ffffff"/>
    </w:rPr>
  </w:style>
  <w:style w:type="paragraph" w:styleId="1111" w:customStyle="1">
    <w:name w:val="Normal_0_1"/>
    <w:uiPriority w:val="0"/>
    <w:qFormat/>
    <w:rPr>
      <w:rFonts w:ascii="黑体" w:hAnsi="黑体" w:eastAsia="黑体" w:cs="Times New Roman"/>
      <w:b/>
      <w:sz w:val="32"/>
      <w:szCs w:val="24"/>
      <w:lang w:val="en-US" w:eastAsia="zh-CN" w:bidi="ar-SA"/>
    </w:rPr>
  </w:style>
  <w:style w:type="table" w:styleId="1112" w:customStyle="1">
    <w:name w:val="Table Grid_0_0_0"/>
    <w:uiPriority w:val="0"/>
    <w:qFormat/>
    <w:rPr>
      <w:rFonts w:ascii="Calibri" w:hAnsi="Calibri" w:eastAsia="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3" w:customStyle="1">
    <w:name w:val="font11"/>
    <w:basedOn w:val="778"/>
    <w:uiPriority w:val="0"/>
    <w:qFormat/>
    <w:rPr>
      <w:rFonts w:hint="eastAsia" w:ascii="宋体" w:hAnsi="宋体" w:eastAsia="宋体" w:cs="宋体"/>
      <w:color w:val="000000"/>
      <w:sz w:val="16"/>
      <w:szCs w:val="16"/>
      <w:u w:val="none"/>
    </w:rPr>
  </w:style>
  <w:style w:type="character" w:styleId="1114" w:customStyle="1">
    <w:name w:val="font21"/>
    <w:basedOn w:val="778"/>
    <w:uiPriority w:val="0"/>
    <w:qFormat/>
    <w:rPr>
      <w:rFonts w:hint="default" w:ascii="Times New Roman" w:hAnsi="Times New Roman" w:cs="Times New Roman"/>
      <w:color w:val="000000"/>
      <w:sz w:val="16"/>
      <w:szCs w:val="16"/>
      <w:u w:val="none"/>
    </w:rPr>
  </w:style>
  <w:style w:type="character" w:styleId="1115" w:customStyle="1">
    <w:name w:val="font31"/>
    <w:basedOn w:val="778"/>
    <w:uiPriority w:val="0"/>
    <w:qFormat/>
    <w:rPr>
      <w:rFonts w:ascii="Calibri" w:hAnsi="Calibri" w:cs="Calibri"/>
      <w:color w:val="000000"/>
      <w:sz w:val="16"/>
      <w:szCs w:val="16"/>
      <w:u w:val="none"/>
    </w:rPr>
  </w:style>
  <w:style w:type="character" w:styleId="1116" w:customStyle="1">
    <w:name w:val="font41"/>
    <w:basedOn w:val="778"/>
    <w:uiPriority w:val="0"/>
    <w:qFormat/>
    <w:rPr>
      <w:rFonts w:hint="default" w:ascii="Calibri" w:hAnsi="Calibri" w:cs="Calibri"/>
      <w:color w:val="ff0000"/>
      <w:sz w:val="16"/>
      <w:szCs w:val="16"/>
      <w:u w:val="none"/>
    </w:rPr>
  </w:style>
  <w:style w:type="character" w:styleId="1117" w:customStyle="1">
    <w:name w:val="font51"/>
    <w:basedOn w:val="778"/>
    <w:uiPriority w:val="0"/>
    <w:qFormat/>
    <w:rPr>
      <w:rFonts w:hint="eastAsia" w:ascii="宋体" w:hAnsi="宋体" w:eastAsia="宋体" w:cs="宋体"/>
      <w:color w:val="ff0000"/>
      <w:sz w:val="16"/>
      <w:szCs w:val="16"/>
      <w:u w:val="none"/>
    </w:rPr>
  </w:style>
  <w:style w:type="paragraph" w:styleId="1118" w:customStyle="1">
    <w:name w:val="正文_2_0"/>
    <w:uiPriority w:val="0"/>
    <w:qFormat/>
    <w:pPr>
      <w:jc w:val="both"/>
      <w:widowControl w:val="off"/>
    </w:pPr>
    <w:rPr>
      <w:rFonts w:ascii="Calibri" w:hAnsi="Calibri" w:eastAsia="宋体" w:cs="Times New Roman"/>
      <w:sz w:val="21"/>
      <w:szCs w:val="22"/>
      <w:lang w:val="en-US" w:eastAsia="zh-CN" w:bidi="ar-SA"/>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678FA9-C52F-4E83-8672-C73E9C31D5A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宿迁泗阳-李学梅</cp:lastModifiedBy>
  <cp:revision>5</cp:revision>
  <dcterms:created xsi:type="dcterms:W3CDTF">2024-02-23T08:27:00Z</dcterms:created>
  <dcterms:modified xsi:type="dcterms:W3CDTF">2026-06-11T10:02:43Z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D093BD20B94742EAA78DF977309608E9_13</vt:lpwstr>
  </property>
  <property fmtid="{D5CDD505-2E9C-101B-9397-08002B2CF9AE}" pid="4" name="KSOTemplateDocerSaveRecord">
    <vt:lpwstr>eyJoZGlkIjoiMGE5M2IxMGZkNDQyMTJmNjM1ZGI1NjEzN2YzYWNjNDEiLCJ1c2VySWQiOiIxODI3MDgzMjEzIn0=</vt:lpwstr>
  </property>
</Properties>
</file>