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rPr>
          <w:rFonts w:ascii="宋体" w:hAnsi="宋体" w:eastAsia="宋体"/>
          <w:b/>
          <w:i/>
          <w:color w:val="000000"/>
          <w:sz w:val="21"/>
          <w:szCs w:val="21"/>
        </w:rPr>
      </w:r>
      <w:r/>
    </w:p>
    <w:p>
      <w:pPr>
        <w:pStyle w:val="974"/>
        <w:jc w:val="center"/>
        <w:rPr>
          <w:rFonts w:ascii="宋体" w:hAnsi="宋体" w:eastAsia="宋体"/>
          <w:b/>
          <w:color w:val="000000"/>
          <w:sz w:val="72"/>
        </w:rPr>
      </w:pPr>
      <w:r>
        <w:rPr>
          <w:rFonts w:ascii="宋体" w:hAnsi="宋体" w:eastAsia="宋体"/>
          <w:b/>
          <w:color w:val="000000"/>
          <w:sz w:val="72"/>
        </w:rPr>
      </w:r>
      <w:r/>
    </w:p>
    <w:p>
      <w:pPr>
        <w:pStyle w:val="974"/>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rPr>
          <w:rFonts w:ascii="黑体" w:hAnsi="华文中宋" w:eastAsia="黑体"/>
          <w:bCs/>
          <w:spacing w:val="20"/>
          <w:sz w:val="72"/>
          <w:szCs w:val="72"/>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rPr>
          <w:rFonts w:ascii="黑体" w:hAnsi="华文中宋" w:eastAsia="黑体"/>
          <w:bCs/>
          <w:spacing w:val="20"/>
          <w:sz w:val="48"/>
          <w:szCs w:val="48"/>
        </w:rPr>
      </w:r>
      <w:r/>
    </w:p>
    <w:p>
      <w:pPr>
        <w:pStyle w:val="974"/>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招标文件</w:t>
      </w:r>
      <w:r>
        <w:rPr>
          <w:rFonts w:ascii="黑体" w:hAnsi="华文中宋" w:eastAsia="黑体"/>
          <w:bCs/>
          <w:spacing w:val="20"/>
          <w:sz w:val="52"/>
          <w:szCs w:val="52"/>
        </w:rPr>
      </w:r>
      <w:r/>
    </w:p>
    <w:p>
      <w:pPr>
        <w:pStyle w:val="974"/>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rPr>
          <w:rFonts w:ascii="华文中宋" w:hAnsi="华文中宋" w:eastAsia="华文中宋"/>
          <w:bCs/>
          <w:sz w:val="30"/>
        </w:rPr>
      </w:r>
      <w:r/>
    </w:p>
    <w:p>
      <w:pPr>
        <w:pStyle w:val="974"/>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pStyle w:val="974"/>
        <w:jc w:val="left"/>
        <w:spacing w:line="360" w:lineRule="auto"/>
        <w:rPr>
          <w:rFonts w:ascii="华文中宋" w:hAnsi="华文中宋" w:eastAsia="华文中宋"/>
          <w:bCs/>
          <w:sz w:val="30"/>
        </w:rPr>
      </w:pPr>
      <w:r>
        <w:rPr>
          <w:rFonts w:ascii="华文中宋" w:hAnsi="华文中宋" w:eastAsia="华文中宋"/>
          <w:bCs/>
          <w:sz w:val="30"/>
        </w:rPr>
      </w:r>
      <w:r/>
    </w:p>
    <w:p>
      <w:pPr>
        <w:pStyle w:val="974"/>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JSZC-321200-JWZB-G2026-0002</w:t>
      </w:r>
      <w:r>
        <w:rPr>
          <w:rFonts w:hint="eastAsia" w:ascii="黑体" w:hAnsi="华文中宋" w:eastAsia="黑体"/>
          <w:bCs/>
          <w:sz w:val="30"/>
          <w:szCs w:val="30"/>
        </w:rPr>
        <w:t xml:space="preserve">  </w:t>
      </w:r>
      <w:r>
        <w:rPr>
          <w:rFonts w:hint="eastAsia" w:ascii="黑体" w:hAnsi="华文中宋" w:eastAsia="黑体"/>
          <w:bCs/>
          <w:sz w:val="30"/>
          <w:szCs w:val="30"/>
        </w:rPr>
      </w:r>
      <w:r/>
    </w:p>
    <w:p>
      <w:pPr>
        <w:pStyle w:val="974"/>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泰州市中级人民法院大案要案法庭改（扩）建文化布展服务</w:t>
      </w:r>
      <w:r>
        <w:rPr>
          <w:rFonts w:hint="eastAsia" w:ascii="黑体" w:hAnsi="华文中宋" w:eastAsia="黑体"/>
          <w:bCs/>
          <w:sz w:val="30"/>
          <w:szCs w:val="30"/>
          <w:lang w:eastAsia="zh-CN"/>
        </w:rPr>
      </w:r>
      <w:r/>
    </w:p>
    <w:p>
      <w:pPr>
        <w:pStyle w:val="974"/>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rPr>
          <w:rFonts w:hint="eastAsia" w:ascii="黑体" w:hAnsi="华文中宋" w:eastAsia="黑体"/>
          <w:bCs/>
          <w:sz w:val="30"/>
          <w:szCs w:val="30"/>
        </w:rPr>
      </w:r>
      <w:r/>
    </w:p>
    <w:p>
      <w:pPr>
        <w:pStyle w:val="974"/>
        <w:spacing w:line="360" w:lineRule="auto"/>
        <w:rPr>
          <w:rFonts w:ascii="华文中宋" w:hAnsi="华文中宋" w:eastAsia="华文中宋"/>
          <w:bCs/>
          <w:sz w:val="32"/>
        </w:rPr>
      </w:pPr>
      <w:r>
        <w:rPr>
          <w:rFonts w:ascii="华文中宋" w:hAnsi="华文中宋" w:eastAsia="华文中宋"/>
          <w:bCs/>
          <w:sz w:val="32"/>
        </w:rPr>
        <w:t xml:space="preserve"> </w:t>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七</w:t>
      </w:r>
      <w:r>
        <w:rPr>
          <w:rFonts w:hint="eastAsia" w:ascii="黑体" w:hAnsi="华文中宋" w:eastAsia="黑体"/>
          <w:bCs/>
          <w:sz w:val="44"/>
          <w:szCs w:val="44"/>
        </w:rPr>
        <w:t xml:space="preserve">月</w:t>
      </w:r>
      <w:r>
        <w:rPr>
          <w:rFonts w:ascii="黑体" w:hAnsi="华文中宋" w:eastAsia="黑体"/>
          <w:bCs/>
          <w:sz w:val="44"/>
          <w:szCs w:val="44"/>
        </w:rPr>
      </w:r>
      <w:r/>
    </w:p>
    <w:p>
      <w:pPr>
        <w:pStyle w:val="974"/>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pStyle w:val="974"/>
        <w:jc w:val="center"/>
        <w:spacing w:line="360" w:lineRule="auto"/>
        <w:rPr>
          <w:rFonts w:eastAsia="黑体"/>
          <w:bCs/>
          <w:sz w:val="48"/>
        </w:rPr>
      </w:pPr>
      <w:r>
        <w:rPr>
          <w:rFonts w:hint="eastAsia" w:eastAsia="黑体"/>
          <w:bCs/>
          <w:sz w:val="48"/>
        </w:rPr>
        <w:t xml:space="preserve">目     录</w:t>
      </w:r>
      <w:r>
        <w:rPr>
          <w:rFonts w:eastAsia="黑体"/>
          <w:bCs/>
          <w:sz w:val="48"/>
        </w:rPr>
      </w:r>
      <w:r/>
    </w:p>
    <w:p>
      <w:pPr>
        <w:pStyle w:val="974"/>
        <w:jc w:val="center"/>
        <w:spacing w:line="360" w:lineRule="auto"/>
        <w:rPr>
          <w:rFonts w:hint="eastAsia" w:ascii="宋体" w:hAnsi="宋体" w:eastAsia="宋体" w:cs="宋体"/>
          <w:bCs/>
          <w:sz w:val="30"/>
        </w:rPr>
      </w:pP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rPr>
          <w:rFonts w:hint="eastAsia" w:ascii="宋体" w:hAnsi="宋体" w:eastAsia="宋体" w:cs="宋体"/>
          <w:bCs/>
          <w:sz w:val="30"/>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5"/>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rPr>
          <w:rFonts w:hint="eastAsia" w:ascii="黑体" w:hAnsi="黑体" w:eastAsia="黑体"/>
          <w:b w:val="0"/>
          <w:szCs w:val="22"/>
          <w:lang w:eastAsia="zh-CN"/>
        </w:rPr>
      </w:r>
      <w:r/>
    </w:p>
    <w:p>
      <w:pPr>
        <w:pStyle w:val="974"/>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泰州市中级人民法院大案要案法庭改（扩）建文化布展服务</w:t>
      </w:r>
      <w:r>
        <w:rPr>
          <w:rFonts w:hint="eastAsia" w:ascii="宋体" w:hAnsi="宋体" w:eastAsia="宋体" w:cs="宋体"/>
          <w:bCs/>
          <w:sz w:val="24"/>
        </w:rPr>
        <w:t xml:space="preserve">进行公开招标采购，欢迎符合相关条件的供应商参加投标并提请注意下列相关事项：</w:t>
      </w:r>
      <w:r>
        <w:rPr>
          <w:rFonts w:hint="eastAsia" w:ascii="宋体" w:hAnsi="宋体" w:eastAsia="宋体" w:cs="宋体"/>
          <w:bCs/>
          <w:sz w:val="24"/>
        </w:rPr>
      </w:r>
      <w:r/>
    </w:p>
    <w:p>
      <w:pPr>
        <w:pStyle w:val="974"/>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rPr>
          <w:rFonts w:hint="eastAsia" w:ascii="宋体" w:hAnsi="宋体" w:eastAsia="宋体" w:cs="宋体"/>
          <w:b/>
          <w:bCs/>
          <w:sz w:val="24"/>
        </w:rPr>
      </w:r>
      <w:r/>
    </w:p>
    <w:p>
      <w:pPr>
        <w:pStyle w:val="974"/>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1、项目编号：JSZC-321200-JWZB-G2026-0002</w:t>
      </w:r>
      <w:r>
        <w:rPr>
          <w:rFonts w:hint="eastAsia" w:ascii="宋体" w:hAnsi="宋体" w:eastAsia="宋体" w:cs="宋体"/>
          <w:sz w:val="24"/>
          <w:lang w:eastAsia="zh-CN"/>
        </w:rPr>
        <w:t xml:space="preserve">      </w:t>
      </w:r>
      <w:r>
        <w:rPr>
          <w:rFonts w:hint="eastAsia" w:ascii="宋体" w:hAnsi="宋体" w:eastAsia="宋体" w:cs="宋体"/>
          <w:sz w:val="24"/>
          <w:lang w:eastAsia="zh-CN"/>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sz w:val="24"/>
        </w:rPr>
        <w:t xml:space="preserve">   </w:t>
      </w:r>
      <w:r>
        <w:rPr>
          <w:rFonts w:hint="eastAsia" w:ascii="宋体" w:hAnsi="宋体" w:eastAsia="宋体" w:cs="宋体"/>
          <w:sz w:val="24"/>
        </w:rPr>
      </w:r>
      <w:r/>
    </w:p>
    <w:p>
      <w:pPr>
        <w:pStyle w:val="974"/>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430.64</w:t>
      </w:r>
      <w:r>
        <w:rPr>
          <w:rFonts w:hint="eastAsia" w:ascii="宋体" w:hAnsi="宋体" w:eastAsia="宋体" w:cs="宋体"/>
          <w:sz w:val="24"/>
          <w:szCs w:val="24"/>
          <w:highlight w:val="none"/>
        </w:rPr>
        <w:t xml:space="preserve">万元</w:t>
      </w:r>
      <w:r>
        <w:rPr>
          <w:rFonts w:hint="eastAsia" w:ascii="宋体" w:hAnsi="宋体" w:eastAsia="宋体" w:cs="宋体"/>
          <w:sz w:val="24"/>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本次采购内容为对泰州市中级人民法院大案要案法庭改(扩)建设项目（公共空间法</w:t>
      </w:r>
      <w:r>
        <w:rPr>
          <w:rFonts w:hint="eastAsia" w:ascii="宋体" w:hAnsi="宋体" w:eastAsia="宋体" w:cs="宋体"/>
          <w:sz w:val="24"/>
          <w:szCs w:val="24"/>
          <w:highlight w:val="none"/>
          <w:lang w:eastAsia="zh-CN"/>
        </w:rPr>
        <w:t xml:space="preserve">治文化展陈布展项目） 一楼大厅、1—3楼走廊、未成年人教育基地、整栋大楼的导视系统制作进行法治文化展示展陈布展，其中一楼大厅展陈面积约为20.15㎡、1楼展陈面积约为242.2㎡、2楼展陈面积约为213.3㎡、3楼展陈面积约为168.4㎡、未成年人教育基地展陈面积约31.3㎡；本项目包括涉及本次文化建设所需的各类展墙、展柜、艺术装置、展陈背景、展陈设备、互动软件、中控系统、大楼的导视系统等（详见清单）的供应和展示以及为完成本次文化建设所需的二次专项深化设计（一楼大厅浮雕壁画和一楼主席箴言二次专项深化设计）。</w:t>
      </w:r>
      <w:r>
        <w:rPr>
          <w:rFonts w:hint="eastAsia" w:ascii="宋体" w:hAnsi="宋体" w:eastAsia="宋体" w:cs="宋体"/>
          <w:sz w:val="24"/>
        </w:rPr>
      </w:r>
      <w:r/>
    </w:p>
    <w:p>
      <w:pPr>
        <w:pStyle w:val="974"/>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100日历天</w:t>
      </w:r>
      <w:r>
        <w:rPr>
          <w:rFonts w:hint="eastAsia" w:ascii="宋体" w:hAnsi="宋体" w:eastAsia="宋体" w:cs="宋体"/>
          <w:sz w:val="24"/>
          <w:highlight w:val="none"/>
        </w:rPr>
        <w:t xml:space="preserve">。</w:t>
      </w:r>
      <w:r>
        <w:rPr>
          <w:rFonts w:hint="eastAsia" w:ascii="宋体" w:hAnsi="宋体" w:eastAsia="宋体" w:cs="宋体"/>
          <w:b/>
          <w:bCs w:val="0"/>
          <w:sz w:val="24"/>
          <w:szCs w:val="24"/>
          <w:lang w:val="en-US" w:eastAsia="zh-CN" w:bidi="ar-SA"/>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rPr>
          <w:rFonts w:hint="eastAsia" w:ascii="宋体" w:hAnsi="宋体" w:eastAsia="宋体" w:cs="宋体"/>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2.落实政府采购政策需满足的资格要求：本项目专门面向中小微企业、监狱企业、残疾人福利性单位采购。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lang w:eastAsia="zh-CN"/>
        </w:rPr>
        <w:t xml:space="preserve">无</w:t>
      </w:r>
      <w:r>
        <w:rPr>
          <w:rFonts w:hint="eastAsia" w:ascii="宋体" w:hAnsi="宋体" w:eastAsia="宋体" w:cs="宋体"/>
          <w:sz w:val="24"/>
          <w:szCs w:val="24"/>
          <w:highlight w:val="none"/>
          <w:lang w:eastAsia="zh-CN"/>
        </w:rPr>
      </w:r>
      <w:r/>
    </w:p>
    <w:p>
      <w:pPr>
        <w:pStyle w:val="974"/>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rPr>
          <w:rFonts w:hint="eastAsia" w:ascii="宋体" w:hAnsi="宋体" w:eastAsia="宋体" w:cs="宋体"/>
          <w:sz w:val="24"/>
          <w:szCs w:val="24"/>
          <w:highlight w:val="none"/>
        </w:rPr>
      </w:r>
      <w:r/>
    </w:p>
    <w:p>
      <w:pPr>
        <w:pStyle w:val="976"/>
        <w:ind w:firstLine="480"/>
        <w:jc w:val="both"/>
        <w:keepNext w:val="0"/>
        <w:spacing w:line="360" w:lineRule="auto"/>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如潜在供应商未按上述要求操作，将自行承担所产生的风险。</w:t>
      </w:r>
      <w:r>
        <w:rPr>
          <w:rFonts w:hint="eastAsia" w:ascii="宋体" w:hAnsi="宋体" w:eastAsia="宋体" w:cs="宋体"/>
          <w:b w:val="0"/>
          <w:sz w:val="24"/>
          <w:szCs w:val="24"/>
          <w:highlight w:val="none"/>
          <w:lang w:val="en-US" w:eastAsia="zh-CN" w:bidi="ar-SA"/>
        </w:rPr>
      </w:r>
      <w:r/>
    </w:p>
    <w:p>
      <w:pPr>
        <w:pStyle w:val="974"/>
        <w:ind w:left="520"/>
        <w:spacing w:line="480" w:lineRule="auto"/>
        <w:rPr>
          <w:rFonts w:hint="eastAsia" w:ascii="宋体" w:hAnsi="宋体" w:eastAsia="宋体" w:cs="宋体"/>
          <w:b/>
          <w:bCs/>
          <w:sz w:val="24"/>
        </w:rPr>
        <w:outlineLvl w:val="1"/>
      </w:pPr>
      <w:r/>
      <w:bookmarkStart w:id="1" w:name="_Toc28359082"/>
      <w:r/>
      <w:bookmarkStart w:id="2" w:name="_Toc35393624"/>
      <w:r/>
      <w:bookmarkStart w:id="3" w:name="_Toc35393793"/>
      <w:r/>
      <w:bookmarkStart w:id="4" w:name="_Toc28359005"/>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bookmarkEnd w:id="1"/>
      <w:r/>
      <w:bookmarkEnd w:id="2"/>
      <w:r/>
      <w:bookmarkEnd w:id="3"/>
      <w:r/>
      <w:bookmarkEnd w:id="4"/>
      <w:r/>
      <w:bookmarkStart w:id="5" w:name="_Toc35393633"/>
      <w:r/>
      <w:bookmarkStart w:id="6" w:name="_Toc35393802"/>
      <w:r/>
      <w:bookmarkStart w:id="7" w:name="_Toc28359093"/>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974"/>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End w:id="5"/>
      <w:r/>
      <w:bookmarkEnd w:id="6"/>
      <w:r/>
      <w:bookmarkEnd w:id="7"/>
      <w:r/>
      <w:bookmarkEnd w:id="8"/>
      <w:r/>
      <w:bookmarkStart w:id="9" w:name="_Toc28359007"/>
      <w:r/>
      <w:bookmarkStart w:id="10" w:name="_Toc35393625"/>
      <w:r/>
      <w:bookmarkStart w:id="11" w:name="_Toc35393794"/>
      <w:r/>
      <w:bookmarkStart w:id="12" w:name="_Toc28359084"/>
      <w:r>
        <w:rPr>
          <w:rFonts w:hint="eastAsia" w:ascii="宋体" w:hAnsi="宋体" w:eastAsia="宋体" w:cs="宋体"/>
          <w:b/>
          <w:bCs/>
          <w:sz w:val="24"/>
          <w:szCs w:val="24"/>
          <w:highlight w:val="none"/>
        </w:rPr>
        <w:t xml:space="preserve">五、公告期限</w:t>
      </w:r>
      <w:bookmarkEnd w:id="9"/>
      <w:r/>
      <w:bookmarkEnd w:id="10"/>
      <w:r/>
      <w:bookmarkEnd w:id="11"/>
      <w:r/>
      <w:bookmarkEnd w:id="12"/>
      <w:r>
        <w:rPr>
          <w:rFonts w:hint="eastAsia" w:ascii="宋体" w:hAnsi="宋体" w:eastAsia="宋体" w:cs="宋体"/>
          <w:b/>
          <w:bCs/>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Pr>
          <w:rFonts w:hint="eastAsia" w:ascii="宋体" w:hAnsi="宋体" w:eastAsia="宋体" w:cs="宋体"/>
          <w:b/>
          <w:bCs/>
          <w:sz w:val="24"/>
          <w:szCs w:val="24"/>
          <w:highlight w:val="none"/>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有关本次招标的事项若存在变动或修改，敬请及时关注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本次招标不收取投标保证金。</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35393796"/>
      <w:r/>
      <w:bookmarkStart w:id="17" w:name="_Toc28359085"/>
      <w:r/>
      <w:bookmarkStart w:id="18" w:name="_Toc35393627"/>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sz w:val="24"/>
          <w:szCs w:val="24"/>
          <w:highlight w:val="none"/>
        </w:rPr>
      </w:r>
      <w:r/>
    </w:p>
    <w:p>
      <w:pPr>
        <w:pStyle w:val="974"/>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rPr>
          <w:rFonts w:hint="eastAsia" w:ascii="宋体" w:hAnsi="宋体" w:eastAsia="宋体" w:cs="宋体"/>
          <w:sz w:val="24"/>
          <w:szCs w:val="24"/>
          <w:highlight w:val="none"/>
          <w:lang w:eastAsia="zh-CN"/>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jc w:val="left"/>
        <w:widowControl/>
      </w:pPr>
      <w:r>
        <w:rPr>
          <w:rFonts w:hint="eastAsia" w:ascii="宋体" w:hAnsi="宋体" w:eastAsia="宋体" w:cs="宋体"/>
          <w:sz w:val="24"/>
          <w:szCs w:val="24"/>
          <w:highlight w:val="none"/>
        </w:rPr>
        <w:t xml:space="preserve">联系人：杜先生　联系方式：0523-86882829</w:t>
      </w:r>
      <w:r/>
    </w:p>
    <w:p>
      <w:pPr>
        <w:pStyle w:val="974"/>
        <w:ind w:firstLine="480"/>
        <w:spacing w:line="360" w:lineRule="auto"/>
        <w:rPr>
          <w:rFonts w:hint="eastAsia" w:ascii="宋体" w:hAnsi="宋体" w:eastAsia="宋体" w:cs="宋体"/>
          <w:bCs/>
          <w:sz w:val="24"/>
        </w:rPr>
      </w:pPr>
      <w:r/>
      <w:bookmarkEnd w:id="0"/>
      <w:r>
        <w:rPr>
          <w:rFonts w:hint="eastAsia" w:ascii="宋体" w:hAnsi="宋体" w:eastAsia="宋体" w:cs="宋体"/>
          <w:bCs/>
          <w:sz w:val="24"/>
        </w:rPr>
      </w:r>
      <w:r/>
    </w:p>
    <w:p>
      <w:pPr>
        <w:pStyle w:val="974"/>
        <w:spacing w:line="360" w:lineRule="auto"/>
        <w:rPr>
          <w:rFonts w:hint="eastAsia" w:ascii="宋体" w:hAnsi="宋体" w:eastAsia="宋体" w:cs="宋体"/>
        </w:rPr>
      </w:pPr>
      <w:r>
        <w:rPr>
          <w:rFonts w:hint="eastAsia" w:ascii="宋体" w:hAnsi="宋体" w:eastAsia="宋体" w:cs="宋体"/>
        </w:rPr>
      </w:r>
      <w:r/>
    </w:p>
    <w:p>
      <w:pPr>
        <w:pStyle w:val="975"/>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975"/>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rPr>
          <w:rFonts w:hint="eastAsia" w:ascii="宋体" w:hAnsi="宋体" w:eastAsia="宋体" w:cs="宋体"/>
          <w:b w:val="0"/>
          <w:szCs w:val="22"/>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rPr>
          <w:rFonts w:hint="eastAsia" w:ascii="宋体" w:hAnsi="宋体" w:eastAsia="宋体" w:cs="宋体"/>
          <w:sz w:val="24"/>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trHeight w:val="594"/>
          <w:tblHeader/>
        </w:trPr>
        <w:tc>
          <w:tcPr>
            <w:tcW w:w="1701"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rPr>
                <w:rFonts w:hint="eastAsia" w:ascii="宋体" w:hAnsi="宋体" w:eastAsia="宋体" w:cs="宋体"/>
                <w:b/>
                <w:bCs/>
                <w:sz w:val="24"/>
              </w:rPr>
            </w:r>
            <w:r/>
          </w:p>
        </w:tc>
        <w:tc>
          <w:tcPr>
            <w:tcW w:w="6636"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服务</w:t>
            </w:r>
            <w:r>
              <w:rPr>
                <w:rFonts w:hint="eastAsia" w:ascii="宋体" w:hAnsi="宋体" w:eastAsia="宋体" w:cs="宋体"/>
                <w:sz w:val="24"/>
              </w:rPr>
            </w:r>
            <w:r/>
          </w:p>
          <w:p>
            <w:pPr>
              <w:pStyle w:val="974"/>
              <w:jc w:val="left"/>
              <w:spacing w:line="360" w:lineRule="auto"/>
              <w:rPr>
                <w:rFonts w:hint="eastAsia" w:ascii="宋体" w:hAnsi="宋体" w:eastAsia="宋体" w:cs="宋体"/>
                <w:sz w:val="24"/>
                <w:u w:val="single"/>
              </w:rPr>
            </w:pPr>
            <w:r>
              <w:rPr>
                <w:rFonts w:hint="eastAsia" w:ascii="宋体" w:hAnsi="宋体" w:eastAsia="宋体" w:cs="宋体"/>
                <w:sz w:val="24"/>
              </w:rPr>
              <w:t xml:space="preserve">□货物</w:t>
            </w:r>
            <w:r>
              <w:rPr>
                <w:rFonts w:hint="eastAsia" w:ascii="宋体" w:hAnsi="宋体" w:eastAsia="宋体" w:cs="宋体"/>
                <w:sz w:val="24"/>
                <w:u w:val="single"/>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rPr>
                <w:rFonts w:hint="eastAsia" w:ascii="宋体" w:hAnsi="宋体" w:eastAsia="宋体" w:cs="宋体"/>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rPr>
                <w:rFonts w:hint="eastAsia" w:ascii="宋体" w:hAnsi="宋体" w:eastAsia="宋体" w:cs="宋体"/>
                <w:sz w:val="24"/>
              </w:rPr>
            </w:r>
            <w:r/>
          </w:p>
          <w:p>
            <w:pPr>
              <w:pStyle w:val="974"/>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bCs/>
                <w:sz w:val="24"/>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rPr>
                <w:rFonts w:hint="eastAsia" w:hAnsi="宋体" w:eastAsia="宋体" w:cs="宋体"/>
                <w:sz w:val="24"/>
                <w:szCs w:val="24"/>
                <w:lang w:val="en-US" w:eastAsia="zh-CN"/>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rPr>
                      <w:rFonts w:hint="eastAsia" w:ascii="宋体" w:hAnsi="宋体" w:eastAsia="宋体" w:cs="宋体"/>
                      <w:bCs/>
                      <w:sz w:val="24"/>
                    </w:rPr>
                  </w:r>
                  <w:r/>
                </w:p>
              </w:tc>
              <w:tc>
                <w:tcPr>
                  <w:tcW w:w="2505"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rPr>
                      <w:rFonts w:hint="eastAsia" w:ascii="宋体" w:hAnsi="宋体" w:eastAsia="宋体" w:cs="宋体"/>
                      <w:sz w:val="24"/>
                    </w:rPr>
                  </w:r>
                  <w:r/>
                </w:p>
              </w:tc>
            </w:tr>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bCs/>
                      <w:sz w:val="24"/>
                      <w:lang w:eastAsia="zh-CN"/>
                    </w:rPr>
                  </w:r>
                  <w:r/>
                </w:p>
              </w:tc>
              <w:tc>
                <w:tcPr>
                  <w:tcW w:w="2505" w:type="dxa"/>
                  <w:vAlign w:val="center"/>
                  <w:textDirection w:val="lrTb"/>
                  <w:noWrap/>
                </w:tcPr>
                <w:p>
                  <w:pPr>
                    <w:pStyle w:val="974"/>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服务业</w:t>
                  </w:r>
                  <w:r>
                    <w:rPr>
                      <w:rFonts w:hint="eastAsia" w:ascii="宋体" w:hAnsi="宋体" w:eastAsia="宋体" w:cs="宋体"/>
                      <w:sz w:val="24"/>
                      <w:lang w:eastAsia="zh-CN"/>
                    </w:rPr>
                  </w:r>
                  <w:r/>
                </w:p>
              </w:tc>
            </w:tr>
          </w:tbl>
          <w:p>
            <w:pPr>
              <w:pStyle w:val="974"/>
              <w:jc w:val="left"/>
              <w:spacing w:line="360" w:lineRule="auto"/>
              <w:rPr>
                <w:rFonts w:hint="eastAsia" w:ascii="宋体" w:hAnsi="宋体" w:eastAsia="宋体" w:cs="宋体"/>
                <w:sz w:val="24"/>
              </w:rPr>
            </w:pP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rPr>
                <w:rFonts w:hint="eastAsia" w:ascii="宋体" w:hAnsi="宋体" w:eastAsia="宋体" w:cs="宋体"/>
                <w:sz w:val="24"/>
              </w:rPr>
            </w:r>
            <w:r/>
          </w:p>
        </w:tc>
      </w:tr>
      <w:tr>
        <w:trPr>
          <w:trHeight w:val="77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tc>
      </w:tr>
      <w:tr>
        <w:trPr>
          <w:trHeight w:val="82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rPr>
                <w:rFonts w:hint="eastAsia" w:hAnsi="宋体" w:eastAsia="宋体" w:cs="宋体"/>
                <w:sz w:val="24"/>
                <w:szCs w:val="24"/>
                <w:lang w:val="en-US" w:eastAsia="zh-CN"/>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rPr>
                <w:rFonts w:hint="eastAsia" w:ascii="宋体" w:hAnsi="宋体" w:eastAsia="宋体" w:cs="宋体"/>
                <w:sz w:val="24"/>
              </w:rPr>
            </w:r>
            <w:r/>
          </w:p>
        </w:tc>
      </w:tr>
      <w:tr>
        <w:trPr>
          <w:trHeight w:val="738"/>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采购人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r>
            <w:r>
              <w:rPr>
                <w:rFonts w:hint="eastAsia" w:ascii="宋体" w:hAnsi="宋体" w:eastAsia="宋体" w:cs="宋体"/>
                <w:sz w:val="24"/>
              </w:rPr>
              <w:t xml:space="preserve">□</w:t>
            </w:r>
            <w:r>
              <w:rPr>
                <w:rFonts w:hint="eastAsia" w:ascii="宋体" w:hAnsi="宋体" w:eastAsia="宋体" w:cs="宋体"/>
                <w:sz w:val="24"/>
              </w:rPr>
              <w:t xml:space="preserve">中标人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收费标准：按“苏招协〔2022〕2号”文件收费标准收取；</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缴纳时间：招标代理项目完成后由采购人一次性付清</w:t>
            </w:r>
            <w:r>
              <w:rPr>
                <w:rFonts w:hint="eastAsia" w:ascii="宋体" w:hAnsi="宋体" w:eastAsia="宋体" w:cs="宋体"/>
                <w:sz w:val="24"/>
              </w:rPr>
              <w:t xml:space="preserve">。</w:t>
            </w:r>
            <w:r>
              <w:rPr>
                <w:rFonts w:hint="eastAsia" w:ascii="宋体" w:hAnsi="宋体" w:eastAsia="宋体" w:cs="宋体"/>
                <w:sz w:val="24"/>
              </w:rPr>
            </w:r>
            <w:r/>
          </w:p>
        </w:tc>
      </w:tr>
    </w:tbl>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rPr>
          <w:rFonts w:hint="eastAsia" w:ascii="宋体" w:hAnsi="宋体" w:eastAsia="宋体" w:cs="宋体"/>
          <w:bCs/>
          <w:sz w:val="24"/>
        </w:rPr>
      </w:r>
      <w:r/>
    </w:p>
    <w:p>
      <w:pPr>
        <w:pStyle w:val="974"/>
        <w:numPr>
          <w:ilvl w:val="0"/>
          <w:numId w:val="3"/>
        </w:numPr>
        <w:spacing w:line="360" w:lineRule="auto"/>
        <w:tabs>
          <w:tab w:val="left" w:pos="1200" w:leader="none"/>
        </w:tabs>
        <w:rPr>
          <w:rFonts w:hint="eastAsia" w:ascii="宋体" w:hAnsi="宋体" w:eastAsia="宋体" w:cs="宋体"/>
          <w:bCs/>
          <w:sz w:val="24"/>
        </w:rPr>
      </w:pPr>
      <w:r>
        <w:rPr>
          <w:rFonts w:hint="eastAsia" w:ascii="宋体" w:hAnsi="宋体" w:eastAsia="宋体" w:cs="宋体"/>
          <w:bCs/>
          <w:sz w:val="24"/>
        </w:rPr>
        <w:t xml:space="preserve">招标文件：</w:t>
      </w:r>
      <w:r>
        <w:rPr>
          <w:rFonts w:hint="eastAsia" w:ascii="宋体" w:hAnsi="宋体" w:eastAsia="宋体" w:cs="宋体"/>
          <w:bCs/>
          <w:sz w:val="24"/>
        </w:rPr>
      </w:r>
      <w:r/>
    </w:p>
    <w:p>
      <w:pPr>
        <w:pStyle w:val="974"/>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rPr>
          <w:rFonts w:hint="eastAsia" w:ascii="宋体" w:hAnsi="宋体" w:eastAsia="宋体" w:cs="宋体"/>
          <w:bCs/>
          <w:sz w:val="24"/>
        </w:rPr>
      </w:r>
      <w:r/>
    </w:p>
    <w:p>
      <w:pPr>
        <w:pStyle w:val="974"/>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rPr>
          <w:rFonts w:hint="eastAsia" w:ascii="宋体" w:hAnsi="宋体" w:eastAsia="宋体" w:cs="宋体"/>
          <w:bCs/>
          <w:sz w:val="24"/>
        </w:rPr>
      </w:r>
      <w:r/>
    </w:p>
    <w:p>
      <w:pPr>
        <w:pStyle w:val="974"/>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rPr>
          <w:rFonts w:hint="eastAsia" w:ascii="宋体" w:hAnsi="宋体" w:eastAsia="宋体" w:cs="宋体"/>
          <w:bCs/>
          <w:sz w:val="24"/>
        </w:rPr>
      </w:r>
      <w:r/>
    </w:p>
    <w:p>
      <w:pPr>
        <w:pStyle w:val="1091"/>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投标人法定代表人授权委托书</w:t>
      </w:r>
      <w:r>
        <w:rPr>
          <w:rFonts w:hint="eastAsia" w:ascii="宋体" w:hAnsi="宋体" w:eastAsia="宋体" w:cs="宋体"/>
          <w:sz w:val="24"/>
        </w:rPr>
        <w:t xml:space="preserve">（</w:t>
      </w:r>
      <w:r>
        <w:rPr>
          <w:rFonts w:hint="eastAsia" w:ascii="宋体" w:hAnsi="宋体" w:eastAsia="宋体" w:cs="宋体"/>
          <w:b/>
          <w:bCs/>
          <w:sz w:val="24"/>
        </w:rPr>
        <w:t xml:space="preserve">格式见附件，法定代表人亲自参加投标的除外</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投标人近六个月中连续三个月份(不含投标当月)的财务状况报告（资产负债表和利润表）或由会计师事务所出具的近两年中任意一个年度的审计报告和所附已审财务报告复印件；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投标人近六个月中连续三个月份(不含投标当月)的依法缴纳税收的相关材料（提供相关主管部门证明或银行代扣证明）复印件；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投标人拟派本项目全体人员近六个月中连续三个月份(不含投标当月)的依法缴纳社会保障资金的相关材料（提供相关主管部门证明或银行代扣证明）复印件；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分项报价表</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w:t>
      </w:r>
      <w:r>
        <w:rPr>
          <w:rFonts w:hint="eastAsia" w:ascii="宋体" w:hAnsi="宋体" w:eastAsia="宋体" w:cs="宋体"/>
          <w:bCs/>
          <w:sz w:val="24"/>
          <w:lang w:eastAsia="zh-CN"/>
        </w:rPr>
        <w:t xml:space="preserve">系统</w:t>
      </w:r>
      <w:r>
        <w:rPr>
          <w:rFonts w:hint="eastAsia" w:ascii="宋体" w:hAnsi="宋体" w:eastAsia="宋体" w:cs="宋体"/>
          <w:bCs/>
          <w:sz w:val="24"/>
        </w:rPr>
        <w:t xml:space="preserve">”，并在投标截止时间前上传电子投标文件。</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sz w:val="24"/>
        </w:rPr>
        <w:t xml:space="preserve">www.creditchina.gov.cn</w:t>
      </w:r>
      <w:r>
        <w:rPr>
          <w:rStyle w:val="1032"/>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w:t>
      </w:r>
      <w:r>
        <w:rPr>
          <w:rFonts w:hint="eastAsia" w:ascii="宋体" w:hAnsi="宋体" w:eastAsia="宋体" w:cs="宋体"/>
          <w:bCs/>
          <w:sz w:val="24"/>
        </w:rPr>
        <w:t xml:space="preserve">苏采云系统</w:t>
      </w:r>
      <w:r>
        <w:rPr>
          <w:rFonts w:hint="eastAsia" w:ascii="宋体" w:hAnsi="宋体" w:eastAsia="宋体" w:cs="宋体"/>
          <w:bCs/>
          <w:sz w:val="24"/>
        </w:rPr>
        <w:t xml:space="preserve">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rPr>
          <w:rFonts w:hint="eastAsia" w:ascii="宋体" w:hAnsi="宋体" w:eastAsia="宋体" w:cs="宋体"/>
          <w:bCs/>
          <w:sz w:val="24"/>
        </w:rPr>
      </w:r>
      <w:r/>
    </w:p>
    <w:p>
      <w:pPr>
        <w:pStyle w:val="974"/>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rPr>
          <w:rFonts w:hint="eastAsia" w:ascii="宋体" w:hAnsi="宋体" w:eastAsia="宋体" w:cs="宋体"/>
          <w:bCs/>
          <w:color w:val="ff0000"/>
          <w:sz w:val="24"/>
          <w:u w:val="single"/>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rPr>
          <w:rFonts w:hint="eastAsia" w:ascii="宋体" w:hAnsi="宋体" w:eastAsia="宋体" w:cs="宋体"/>
          <w:bCs/>
          <w:sz w:val="24"/>
        </w:rPr>
      </w:r>
      <w:r/>
    </w:p>
    <w:p>
      <w:pPr>
        <w:pStyle w:val="974"/>
        <w:numPr>
          <w:ilvl w:val="0"/>
          <w:numId w:val="9"/>
        </w:numPr>
        <w:ind w:left="0" w:firstLine="529"/>
        <w:spacing w:line="360" w:lineRule="auto"/>
        <w:tabs>
          <w:tab w:val="left" w:pos="630"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bCs/>
          <w:sz w:val="24"/>
        </w:rPr>
        <w:t xml:space="preserve">www.creditchina.gov.cn</w:t>
      </w:r>
      <w:r>
        <w:rPr>
          <w:rStyle w:val="1032"/>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974"/>
        <w:numPr>
          <w:ilvl w:val="0"/>
          <w:numId w:val="9"/>
        </w:numPr>
        <w:ind w:left="0" w:firstLine="529"/>
        <w:spacing w:line="360" w:lineRule="auto"/>
        <w:tabs>
          <w:tab w:val="left" w:pos="525"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rPr>
          <w:rFonts w:hint="eastAsia" w:ascii="宋体" w:hAnsi="宋体" w:eastAsia="宋体" w:cs="宋体"/>
          <w:bCs/>
          <w:sz w:val="24"/>
        </w:rPr>
      </w:r>
      <w:r/>
    </w:p>
    <w:p>
      <w:pPr>
        <w:pStyle w:val="974"/>
        <w:numPr>
          <w:ilvl w:val="0"/>
          <w:numId w:val="9"/>
        </w:numPr>
        <w:ind w:left="0" w:firstLine="529"/>
        <w:spacing w:line="360" w:lineRule="auto"/>
        <w:tabs>
          <w:tab w:val="left" w:pos="945" w:leader="none"/>
          <w:tab w:val="left" w:pos="1104"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rPr>
          <w:rFonts w:hint="eastAsia" w:ascii="宋体" w:hAnsi="宋体" w:eastAsia="宋体" w:cs="宋体"/>
          <w:bCs/>
          <w:sz w:val="24"/>
        </w:rPr>
      </w:r>
      <w:r/>
    </w:p>
    <w:p>
      <w:pPr>
        <w:pStyle w:val="974"/>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rPr>
          <w:rFonts w:hint="eastAsia" w:ascii="宋体" w:hAnsi="宋体" w:eastAsia="宋体" w:cs="宋体"/>
          <w:bCs/>
          <w:sz w:val="24"/>
        </w:rPr>
      </w:r>
      <w:r/>
    </w:p>
    <w:p>
      <w:pPr>
        <w:pStyle w:val="974"/>
        <w:numPr>
          <w:ilvl w:val="1"/>
          <w:numId w:val="11"/>
        </w:numPr>
        <w:ind w:left="0" w:firstLine="529"/>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rPr>
          <w:rFonts w:hint="eastAsia" w:ascii="宋体" w:hAnsi="宋体" w:eastAsia="宋体" w:cs="宋体"/>
          <w:bCs/>
          <w:sz w:val="24"/>
        </w:rPr>
      </w:r>
      <w:r/>
    </w:p>
    <w:p>
      <w:pPr>
        <w:pStyle w:val="974"/>
        <w:numPr>
          <w:ilvl w:val="1"/>
          <w:numId w:val="11"/>
        </w:numPr>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6%。收取履约保证金的，采购人应当与中标供应商在采购合同中约定履约保证金退还的方式、时间、条件和不予退还的情形，明确逾期退还履约保证金的违约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rPr>
          <w:rFonts w:hint="eastAsia" w:ascii="宋体" w:hAnsi="宋体" w:eastAsia="宋体" w:cs="宋体"/>
          <w:bCs/>
          <w:sz w:val="24"/>
        </w:rPr>
      </w:r>
      <w:r/>
    </w:p>
    <w:p>
      <w:pPr>
        <w:pStyle w:val="1126"/>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s="宋体"/>
          <w:bCs/>
          <w:sz w:val="24"/>
        </w:rPr>
      </w:r>
      <w:r/>
    </w:p>
    <w:p>
      <w:pPr>
        <w:pStyle w:val="974"/>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rPr>
          <w:rFonts w:ascii="宋体" w:hAnsi="宋体" w:eastAsia="宋体"/>
          <w:color w:val="000000"/>
          <w:sz w:val="24"/>
          <w:szCs w:val="24"/>
        </w:rPr>
      </w:r>
      <w:r/>
    </w:p>
    <w:p>
      <w:pPr>
        <w:pStyle w:val="1020"/>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rPr>
          <w:rFonts w:hint="eastAsia" w:ascii="宋体" w:hAnsi="宋体" w:eastAsia="宋体" w:cs="宋体"/>
          <w:bCs/>
          <w:sz w:val="24"/>
          <w:lang w:val="en-US" w:eastAsia="zh-CN" w:bidi="ar-SA"/>
        </w:rPr>
      </w:r>
      <w:r/>
    </w:p>
    <w:p>
      <w:pPr>
        <w:pStyle w:val="1020"/>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rPr>
          <w:rFonts w:hint="eastAsia" w:ascii="宋体" w:hAnsi="宋体" w:eastAsia="宋体" w:cs="宋体"/>
          <w:color w:val="000000"/>
          <w:sz w:val="24"/>
          <w:szCs w:val="24"/>
          <w:lang w:val="en-US" w:eastAsia="zh-CN"/>
        </w:rPr>
      </w:r>
      <w:r/>
    </w:p>
    <w:p>
      <w:pPr>
        <w:pStyle w:val="1020"/>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50%的，即响应报价&lt;采购项目预算×50%，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rPr>
          <w:rFonts w:ascii="宋体" w:hAnsi="宋体" w:eastAsia="宋体" w:cs="宋体"/>
          <w:color w:val="000000"/>
          <w:sz w:val="24"/>
          <w:szCs w:val="24"/>
          <w:lang w:val="en-US" w:eastAsia="zh-CN"/>
        </w:rPr>
      </w:r>
      <w:r/>
    </w:p>
    <w:p>
      <w:pPr>
        <w:pStyle w:val="975"/>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rPr>
          <w:rFonts w:ascii="宋体" w:hAnsi="宋体" w:eastAsia="宋体"/>
          <w:color w:val="000000"/>
          <w:sz w:val="30"/>
          <w:szCs w:val="30"/>
        </w:rPr>
      </w:r>
      <w:r/>
    </w:p>
    <w:p>
      <w:pPr>
        <w:pStyle w:val="1077"/>
        <w:ind w:firstLine="420"/>
        <w:jc w:val="left"/>
        <w:spacing w:before="120" w:after="120" w:line="360" w:lineRule="auto"/>
        <w:rPr>
          <w:rFonts w:hint="eastAsia" w:ascii="宋体" w:hAnsi="宋体" w:eastAsia="宋体" w:cs="宋体"/>
          <w:b/>
          <w:bCs/>
          <w:color w:val="000000"/>
          <w:sz w:val="21"/>
          <w:szCs w:val="21"/>
          <w:highlight w:val="none"/>
        </w:rPr>
      </w:pPr>
      <w:r/>
      <w:bookmarkStart w:id="22" w:name="_Toc388026588"/>
      <w:r/>
      <w:bookmarkStart w:id="23" w:name="_Toc409438821"/>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泰州市中级人民法院大案要案法庭改（扩）建文化布展服务</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合同履行期限：100日历天</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w:t>
      </w:r>
      <w:r>
        <w:rPr>
          <w:rFonts w:hint="eastAsia" w:hAnsi="宋体" w:eastAsia="宋体" w:cs="宋体"/>
          <w:color w:val="000000"/>
          <w:sz w:val="21"/>
          <w:szCs w:val="21"/>
          <w:highlight w:val="none"/>
          <w:lang w:val="en-US" w:eastAsia="zh-CN"/>
        </w:rPr>
        <w:t xml:space="preserve">430.64</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本次采购内容为对</w:t>
      </w:r>
      <w:r>
        <w:rPr>
          <w:rFonts w:hint="eastAsia" w:ascii="宋体" w:hAnsi="宋体" w:eastAsia="宋体" w:cs="宋体"/>
          <w:color w:val="000000"/>
          <w:sz w:val="21"/>
          <w:szCs w:val="21"/>
          <w:highlight w:val="none"/>
          <w:lang w:eastAsia="zh-CN"/>
        </w:rPr>
        <w:t xml:space="preserve">泰州市中级人民法院大案要案法庭改(扩)建设项目（公共空间法治文化</w:t>
      </w:r>
      <w:r>
        <w:rPr>
          <w:rFonts w:hint="eastAsia" w:ascii="宋体" w:hAnsi="宋体" w:eastAsia="宋体" w:cs="宋体"/>
          <w:color w:val="000000"/>
          <w:sz w:val="21"/>
          <w:szCs w:val="21"/>
          <w:highlight w:val="none"/>
          <w:lang w:val="en-US" w:eastAsia="zh-CN"/>
        </w:rPr>
        <w:t xml:space="preserve">展陈布展项目</w:t>
      </w:r>
      <w:r>
        <w:rPr>
          <w:rFonts w:hint="eastAsia" w:ascii="宋体" w:hAnsi="宋体" w:eastAsia="宋体" w:cs="宋体"/>
          <w:color w:val="000000"/>
          <w:sz w:val="21"/>
          <w:szCs w:val="21"/>
          <w:highlight w:val="none"/>
          <w:lang w:eastAsia="zh-CN"/>
        </w:rPr>
        <w:t xml:space="preserve">） 一楼大厅、1—3楼</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lang w:eastAsia="zh-CN"/>
        </w:rPr>
        <w:t xml:space="preserve">、未成年人教育基地、</w:t>
      </w:r>
      <w:r>
        <w:rPr>
          <w:rFonts w:hint="eastAsia" w:ascii="宋体" w:hAnsi="宋体" w:eastAsia="宋体" w:cs="宋体"/>
          <w:color w:val="000000"/>
          <w:sz w:val="21"/>
          <w:szCs w:val="21"/>
          <w:highlight w:val="none"/>
          <w:lang w:val="en-US" w:eastAsia="zh-CN"/>
        </w:rPr>
        <w:t xml:space="preserve">整栋大楼的导视系统制作</w:t>
      </w:r>
      <w:r>
        <w:rPr>
          <w:rFonts w:hint="eastAsia" w:ascii="宋体" w:hAnsi="宋体" w:eastAsia="宋体" w:cs="宋体"/>
          <w:color w:val="000000"/>
          <w:sz w:val="21"/>
          <w:szCs w:val="21"/>
          <w:highlight w:val="none"/>
          <w:lang w:eastAsia="zh-CN"/>
        </w:rPr>
        <w:t xml:space="preserve">进行法治文化展示</w:t>
      </w:r>
      <w:r>
        <w:rPr>
          <w:rFonts w:hint="eastAsia" w:ascii="宋体" w:hAnsi="宋体" w:eastAsia="宋体" w:cs="宋体"/>
          <w:color w:val="000000"/>
          <w:sz w:val="21"/>
          <w:szCs w:val="21"/>
          <w:highlight w:val="none"/>
          <w:lang w:val="en-US" w:eastAsia="zh-CN"/>
        </w:rPr>
        <w:t xml:space="preserve">展陈布展，其中一楼大厅展陈面积约为20.15㎡、1楼展陈面积约为242.2㎡、2楼展陈面积约为213.3㎡、3楼展陈面积约为168.4㎡、未成年人教育基地展陈面积约31.3㎡；本项目</w:t>
      </w:r>
      <w:r>
        <w:rPr>
          <w:rFonts w:hint="eastAsia" w:ascii="宋体" w:hAnsi="宋体" w:eastAsia="宋体" w:cs="宋体"/>
          <w:color w:val="000000"/>
          <w:sz w:val="21"/>
          <w:szCs w:val="21"/>
          <w:highlight w:val="none"/>
        </w:rPr>
        <w:t xml:space="preserve">包括涉及本次文化建设所需的各类展墙、展柜、艺术装置、展陈背景、</w:t>
      </w:r>
      <w:r>
        <w:rPr>
          <w:rFonts w:hint="eastAsia" w:ascii="宋体" w:hAnsi="宋体" w:eastAsia="宋体" w:cs="宋体"/>
          <w:color w:val="000000"/>
          <w:sz w:val="21"/>
          <w:szCs w:val="21"/>
          <w:highlight w:val="none"/>
          <w:lang w:val="en-US" w:eastAsia="zh-CN"/>
        </w:rPr>
        <w:t xml:space="preserve">展陈设备、</w:t>
      </w:r>
      <w:r>
        <w:rPr>
          <w:rFonts w:hint="eastAsia" w:ascii="宋体" w:hAnsi="宋体" w:eastAsia="宋体" w:cs="宋体"/>
          <w:color w:val="000000"/>
          <w:sz w:val="21"/>
          <w:szCs w:val="21"/>
          <w:highlight w:val="none"/>
        </w:rPr>
        <w:t xml:space="preserve">互动软件、中控</w:t>
      </w:r>
      <w:r>
        <w:rPr>
          <w:rFonts w:hint="eastAsia" w:ascii="宋体" w:hAnsi="宋体" w:eastAsia="宋体" w:cs="宋体"/>
          <w:color w:val="000000"/>
          <w:sz w:val="21"/>
          <w:szCs w:val="21"/>
          <w:highlight w:val="none"/>
          <w:lang w:val="en-US" w:eastAsia="zh-CN"/>
        </w:rPr>
        <w:t xml:space="preserve">系统、大楼的导视系统</w:t>
      </w:r>
      <w:r>
        <w:rPr>
          <w:rFonts w:hint="eastAsia" w:ascii="宋体" w:hAnsi="宋体" w:eastAsia="宋体" w:cs="宋体"/>
          <w:color w:val="000000"/>
          <w:sz w:val="21"/>
          <w:szCs w:val="21"/>
          <w:highlight w:val="none"/>
        </w:rPr>
        <w:t xml:space="preserve">等（详见清单）的供应和展示以及为完成本次文化建设所需的二次专项深化设计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一楼大厅浮雕壁画和一楼主席箴言</w:t>
      </w:r>
      <w:r>
        <w:rPr>
          <w:rFonts w:hint="eastAsia" w:ascii="宋体" w:hAnsi="宋体" w:eastAsia="宋体" w:cs="宋体"/>
          <w:color w:val="000000"/>
          <w:sz w:val="21"/>
          <w:szCs w:val="21"/>
          <w:highlight w:val="none"/>
        </w:rPr>
        <w:t xml:space="preserve">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包含完成本次工作所需的一切费用，包括但不限于货物生产前准备、生产、包装、运输至甲方工地（包括工地内的二次运输）、现场安装、调试、保护、装卸、存储、成品保护所需辅材、调试、各项实验检验费、保险费、验收费、税金、审计费、垃圾清运费、水电费、劳保基金、安全措施、技术指导支持、使用培训、质保期服务以及与货物有关的特殊要求等可能产生的所有成本和费用。</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投标报价应包含项目所需的强电、弱电接入引起的材料和施工费用，如电缆、桥架、配电箱等，请</w:t>
      </w:r>
      <w:r>
        <w:rPr>
          <w:rFonts w:hint="eastAsia" w:ascii="宋体" w:hAnsi="宋体" w:eastAsia="宋体" w:cs="宋体"/>
          <w:color w:val="000000"/>
          <w:sz w:val="21"/>
          <w:szCs w:val="21"/>
          <w:highlight w:val="none"/>
          <w:lang w:eastAsia="zh-CN"/>
        </w:rPr>
        <w:t xml:space="preserve">供货商</w:t>
      </w:r>
      <w:r>
        <w:rPr>
          <w:rFonts w:hint="eastAsia" w:ascii="宋体" w:hAnsi="宋体" w:eastAsia="宋体" w:cs="宋体"/>
          <w:color w:val="000000"/>
          <w:sz w:val="21"/>
          <w:szCs w:val="21"/>
          <w:highlight w:val="none"/>
          <w:lang w:val="en-US" w:eastAsia="zh-CN"/>
        </w:rPr>
        <w:t xml:space="preserve">自行</w:t>
      </w:r>
      <w:r>
        <w:rPr>
          <w:rFonts w:hint="eastAsia" w:ascii="宋体" w:hAnsi="宋体" w:eastAsia="宋体" w:cs="宋体"/>
          <w:color w:val="000000"/>
          <w:sz w:val="21"/>
          <w:szCs w:val="21"/>
          <w:highlight w:val="none"/>
        </w:rPr>
        <w:t xml:space="preserve">认真踏勘现场，按实际需求和规范要求考虑接入方案。</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中标方签订合同后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根据项目实际需求对原方案图和施工设计图进行优化和二次专项深化设计，经原设计单位审核确认并发包方同意后确定最终用于生产的深化图，按此图进行生产和施工，达到甲方原计划所需的设计意图，造价不再因此增加，优化实现造价减少的，则作为给予发标方的优惠核减。本次招标清单作为招标使用，如在按图施工过程中遇到招标清单遗漏的项目，中标方应无偿弥补，不再增加造价，请报价时仔细审阅图纸内容、考虑上述风险。项目完成后委托第三方据实进行结算审计，以审定价作为最终造价。</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展陈布展建设内容</w:t>
      </w:r>
      <w:r>
        <w:rPr>
          <w:rFonts w:hint="eastAsia" w:ascii="宋体" w:hAnsi="宋体" w:eastAsia="宋体" w:cs="宋体"/>
          <w:b/>
          <w:bCs/>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、深度挖掘泰州地方法治文化特色以及泰州市中级人民法院自身长期法治工作中形成的独有文化，打造集教育、宣传为一体的全方位、沉浸式法治主题文化空间</w:t>
      </w:r>
      <w:r>
        <w:rPr>
          <w:rFonts w:hint="eastAsia" w:ascii="宋体" w:hAnsi="宋体" w:eastAsia="宋体" w:cs="宋体"/>
          <w:color w:val="000000"/>
          <w:sz w:val="21"/>
          <w:szCs w:val="21"/>
          <w:highlight w:val="none"/>
          <w:lang w:eastAsia="zh-CN"/>
        </w:rPr>
        <w:t xml:space="preserve">。以法治为民为核心的文化矩阵建设，对内凝聚精神力量、提升团队信念感、使命感、凝聚力、增强荣誉感、认同感与归属感同时规范司法行为。对外塑造公正、权威的司法形象，传递法治精神，成为连接法院与社会各界的桥梁。作为领导莅临指导工作、友好单位参观的交流平台，更好的促进法院工作为人民服务。</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2、一楼走廊文化布展重点结合泰州地域法治文脉。“中华优秀传统法律文化蕴含丰富法治思想和深邃政治智慧，是中华文化的瑰宝。”践行总书记法治思想。</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3、二楼走廊文化布展重点为“清正在德 廉洁在志”廉洁主题文化长廊。</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4、三楼走廊文化布展重点围绕法院工作着重展现法院文化。“坚持以文化自信提升司法审判公信力——以优秀传统文化为根基、以社会主义核心价值观为指引，将文化智慧融入定分止争”</w:t>
      </w:r>
      <w:r>
        <w:rPr>
          <w:rFonts w:hint="eastAsia" w:ascii="宋体" w:hAnsi="宋体" w:eastAsia="宋体" w:cs="宋体"/>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在展陈方式上，追求多元化的展示形式。既有传统图文的展示、也有实物模型的展示，同时运用一些现代展陈设备和装置艺术，让展示的语言更加多元，让参观体验更加丰富、立体。另外，还集成触摸屏、</w:t>
      </w:r>
      <w:r>
        <w:rPr>
          <w:rFonts w:hint="eastAsia" w:ascii="宋体" w:hAnsi="宋体" w:eastAsia="宋体" w:cs="宋体"/>
          <w:color w:val="000000"/>
          <w:sz w:val="21"/>
          <w:szCs w:val="21"/>
          <w:highlight w:val="none"/>
          <w:lang w:val="en-US" w:eastAsia="zh-CN"/>
        </w:rPr>
        <w:t xml:space="preserve">VR</w:t>
      </w:r>
      <w:r>
        <w:rPr>
          <w:rFonts w:hint="eastAsia" w:ascii="宋体" w:hAnsi="宋体" w:eastAsia="宋体" w:cs="宋体"/>
          <w:color w:val="000000"/>
          <w:sz w:val="21"/>
          <w:szCs w:val="21"/>
          <w:highlight w:val="none"/>
        </w:rPr>
        <w:t xml:space="preserve">等智能化的电子设备，努力打造一个简洁、现代、智慧的</w:t>
      </w:r>
      <w:r>
        <w:rPr>
          <w:rFonts w:hint="eastAsia" w:ascii="宋体" w:hAnsi="宋体" w:eastAsia="宋体" w:cs="宋体"/>
          <w:color w:val="000000"/>
          <w:sz w:val="21"/>
          <w:szCs w:val="21"/>
          <w:highlight w:val="none"/>
          <w:lang w:val="en-US" w:eastAsia="zh-CN"/>
        </w:rPr>
        <w:t xml:space="preserve">法治文化展示空间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、在色彩基调上，追求简约大气总体风格。整体空间采用以高雅温馨又庄重的低饱和、高级灰来叙事，使</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rPr>
        <w:t xml:space="preserve">环境干净、整洁。平面设计，注重色彩分区，配合不同板块内容，在不同色调中转变，使整个展厅的色彩既一致又显区分度、既统一又赋有变化。</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、展陈材料上，选择耐用环保型材料，部分区域采取易更换的方法，便于更新内容，提升展陈的时效性和灵活性。</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、灯光设计上，采用绿色、环保、节能的灯光设计，展示照明分层次、冷暖，凸显展品的质感和环境氛围的营造。</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供货商务必紧扣以上建设内容进行布展布设，满足采购人需求，实现既定目标，项目最终效果以方案设计效果图为准，若未达到上述要求，采购人将不予验收，直至整改到位。</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eastAsia="zh-CN"/>
        </w:rPr>
        <w:t xml:space="preserve">采购清单及技术参数</w:t>
      </w:r>
      <w:r>
        <w:rPr>
          <w:rFonts w:hint="eastAsia" w:ascii="宋体" w:hAnsi="宋体" w:eastAsia="宋体" w:cs="宋体"/>
          <w:b/>
          <w:bCs/>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本项目核心产品为：</w:t>
      </w:r>
      <w:r>
        <w:rPr>
          <w:rFonts w:hint="eastAsia" w:ascii="宋体" w:hAnsi="宋体" w:eastAsia="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墙、展柜、展陈背景、</w:t>
      </w:r>
      <w:r>
        <w:rPr>
          <w:rFonts w:hint="eastAsia" w:ascii="宋体" w:hAnsi="宋体" w:eastAsia="宋体" w:cs="宋体"/>
          <w:color w:val="000000"/>
          <w:sz w:val="21"/>
          <w:szCs w:val="21"/>
          <w:highlight w:val="none"/>
          <w:lang w:val="en-US" w:eastAsia="zh-CN"/>
        </w:rPr>
        <w:t xml:space="preserve">展陈内容、设备、</w:t>
      </w:r>
      <w:r>
        <w:rPr>
          <w:rFonts w:hint="eastAsia" w:ascii="宋体" w:hAnsi="宋体" w:eastAsia="宋体" w:cs="宋体"/>
          <w:color w:val="000000"/>
          <w:sz w:val="21"/>
          <w:szCs w:val="21"/>
          <w:highlight w:val="none"/>
        </w:rPr>
        <w:t xml:space="preserve">ui界面设计、互动软件、中控</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具体清单内容详见附件：</w:t>
      </w:r>
      <w:r>
        <w:rPr>
          <w:rFonts w:hint="eastAsia" w:ascii="宋体" w:hAnsi="宋体" w:eastAsia="宋体" w:cs="宋体"/>
          <w:b/>
          <w:bCs/>
          <w:color w:val="000000"/>
          <w:sz w:val="21"/>
          <w:szCs w:val="21"/>
          <w:highlight w:val="none"/>
          <w:lang w:eastAsia="zh-CN"/>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附件一：（清单）泰州市中院审判楼法治文化</w:t>
      </w:r>
      <w:r>
        <w:rPr>
          <w:rFonts w:hint="eastAsia" w:ascii="宋体" w:hAnsi="宋体" w:eastAsia="宋体" w:cs="宋体"/>
          <w:b/>
          <w:bCs/>
          <w:color w:val="000000"/>
          <w:sz w:val="21"/>
          <w:szCs w:val="21"/>
          <w:highlight w:val="none"/>
          <w:lang w:eastAsia="zh-CN"/>
        </w:rPr>
      </w:r>
      <w:r/>
    </w:p>
    <w:p>
      <w:pPr>
        <w:pStyle w:val="974"/>
        <w:ind w:firstLine="426"/>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附件二：舞台灯光、机械幕布工程清单</w:t>
      </w:r>
      <w:r>
        <w:rPr>
          <w:rFonts w:hint="eastAsia" w:ascii="宋体" w:hAnsi="宋体" w:eastAsia="宋体" w:cs="宋体"/>
          <w:b/>
          <w:bCs/>
          <w:color w:val="000000"/>
          <w:sz w:val="21"/>
          <w:szCs w:val="21"/>
          <w:highlight w:val="none"/>
          <w:lang w:eastAsia="zh-CN"/>
        </w:rPr>
      </w:r>
      <w:r/>
    </w:p>
    <w:p>
      <w:pPr>
        <w:pStyle w:val="974"/>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、交付的时间</w:t>
      </w:r>
      <w:r>
        <w:rPr>
          <w:rFonts w:hint="eastAsia" w:ascii="宋体" w:hAnsi="宋体" w:eastAsia="宋体" w:cs="宋体"/>
          <w:b/>
          <w:bCs/>
          <w:color w:val="000000"/>
          <w:sz w:val="21"/>
          <w:szCs w:val="21"/>
          <w:highlight w:val="none"/>
        </w:rPr>
      </w:r>
      <w:r/>
    </w:p>
    <w:p>
      <w:pPr>
        <w:pStyle w:val="974"/>
        <w:ind w:firstLine="41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val="en-US" w:eastAsia="zh-CN"/>
        </w:rPr>
        <w:t xml:space="preserve">100</w:t>
      </w:r>
      <w:r>
        <w:rPr>
          <w:rFonts w:hint="eastAsia" w:ascii="宋体" w:hAnsi="宋体" w:eastAsia="宋体" w:cs="宋体"/>
          <w:color w:val="000000"/>
          <w:spacing w:val="-1"/>
          <w:sz w:val="21"/>
          <w:szCs w:val="21"/>
          <w:highlight w:val="none"/>
        </w:rPr>
        <w:t xml:space="preserve">日历天内完成全部内容的采购及安装</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4"/>
        <w:jc w:val="left"/>
        <w:spacing w:line="360" w:lineRule="auto"/>
        <w:rPr>
          <w:rFonts w:hint="eastAsia" w:ascii="宋体" w:hAnsi="宋体" w:eastAsia="宋体" w:cs="宋体"/>
          <w:color w:val="000000"/>
          <w:spacing w:val="9"/>
          <w:sz w:val="21"/>
          <w:szCs w:val="21"/>
          <w:highlight w:val="none"/>
        </w:rPr>
      </w:pPr>
      <w:r>
        <w:rPr>
          <w:rFonts w:hint="eastAsia" w:ascii="宋体" w:hAnsi="宋体" w:eastAsia="宋体" w:cs="宋体"/>
          <w:b/>
          <w:bCs/>
          <w:color w:val="000000"/>
          <w:sz w:val="21"/>
          <w:szCs w:val="21"/>
          <w:highlight w:val="none"/>
          <w:lang w:eastAsia="zh-CN"/>
        </w:rPr>
        <w:t xml:space="preserve">五</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color w:val="000000"/>
          <w:spacing w:val="9"/>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本项目除采购人提出新的要求增加或调整的工作量(</w:t>
      </w:r>
      <w:r>
        <w:rPr>
          <w:rFonts w:hint="eastAsia" w:ascii="宋体" w:hAnsi="宋体" w:eastAsia="宋体" w:cs="宋体"/>
          <w:color w:val="000000"/>
          <w:sz w:val="21"/>
          <w:szCs w:val="21"/>
          <w:highlight w:val="none"/>
        </w:rPr>
        <w:t xml:space="preserve">以采购人的书面批复为准)，采购人不再承</w:t>
      </w:r>
      <w:r>
        <w:rPr>
          <w:rFonts w:hint="eastAsia" w:ascii="宋体" w:hAnsi="宋体" w:eastAsia="宋体" w:cs="宋体"/>
          <w:color w:val="000000"/>
          <w:spacing w:val="-2"/>
          <w:sz w:val="21"/>
          <w:szCs w:val="21"/>
          <w:highlight w:val="none"/>
        </w:rPr>
        <w:t xml:space="preserve">担任何其它</w:t>
      </w:r>
      <w:r>
        <w:rPr>
          <w:rFonts w:hint="eastAsia" w:ascii="宋体" w:hAnsi="宋体" w:eastAsia="宋体" w:cs="宋体"/>
          <w:color w:val="000000"/>
          <w:spacing w:val="-1"/>
          <w:sz w:val="21"/>
          <w:szCs w:val="21"/>
          <w:highlight w:val="none"/>
        </w:rPr>
        <w:t xml:space="preserve">费用。项目结束后采购方聘请第三方负责审计事宜，合同内单价不作调整。减少或未实施的项目按实际情况核减相应费用。</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应遵循相关保密条款，对招投标、安装调试、运营</w:t>
      </w:r>
      <w:r>
        <w:rPr>
          <w:rFonts w:hint="eastAsia" w:ascii="宋体" w:hAnsi="宋体" w:eastAsia="宋体" w:cs="宋体"/>
          <w:color w:val="000000"/>
          <w:sz w:val="21"/>
          <w:szCs w:val="21"/>
          <w:highlight w:val="none"/>
        </w:rPr>
        <w:t xml:space="preserve">维护期间所接触的相关信息</w:t>
      </w:r>
      <w:r>
        <w:rPr>
          <w:rFonts w:hint="eastAsia" w:ascii="宋体" w:hAnsi="宋体" w:eastAsia="宋体" w:cs="宋体"/>
          <w:color w:val="000000"/>
          <w:spacing w:val="-8"/>
          <w:sz w:val="21"/>
          <w:szCs w:val="21"/>
          <w:highlight w:val="none"/>
        </w:rPr>
        <w:t xml:space="preserve">与</w:t>
      </w:r>
      <w:r>
        <w:rPr>
          <w:rFonts w:hint="eastAsia" w:ascii="宋体" w:hAnsi="宋体" w:eastAsia="宋体" w:cs="宋体"/>
          <w:color w:val="000000"/>
          <w:spacing w:val="-7"/>
          <w:sz w:val="21"/>
          <w:szCs w:val="21"/>
          <w:highlight w:val="none"/>
        </w:rPr>
        <w:t xml:space="preserve">数</w:t>
      </w:r>
      <w:r>
        <w:rPr>
          <w:rFonts w:hint="eastAsia" w:ascii="宋体" w:hAnsi="宋体" w:eastAsia="宋体" w:cs="宋体"/>
          <w:color w:val="000000"/>
          <w:spacing w:val="-4"/>
          <w:sz w:val="21"/>
          <w:szCs w:val="21"/>
          <w:highlight w:val="none"/>
        </w:rPr>
        <w:t xml:space="preserve">据，严格保密。</w:t>
      </w:r>
      <w:r>
        <w:rPr>
          <w:rFonts w:hint="eastAsia" w:ascii="宋体" w:hAnsi="宋体" w:eastAsia="宋体" w:cs="宋体"/>
          <w:color w:val="000000"/>
          <w:spacing w:val="-4"/>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对本次采购的所有软硬件、配件、辅件在到货检查及质保</w:t>
      </w:r>
      <w:r>
        <w:rPr>
          <w:rFonts w:hint="eastAsia" w:ascii="宋体" w:hAnsi="宋体" w:eastAsia="宋体" w:cs="宋体"/>
          <w:color w:val="000000"/>
          <w:sz w:val="21"/>
          <w:szCs w:val="21"/>
          <w:highlight w:val="none"/>
        </w:rPr>
        <w:t xml:space="preserve">期内应确保货物的正</w:t>
      </w:r>
      <w:r>
        <w:rPr>
          <w:rFonts w:hint="eastAsia" w:ascii="宋体" w:hAnsi="宋体" w:eastAsia="宋体" w:cs="宋体"/>
          <w:color w:val="000000"/>
          <w:spacing w:val="-1"/>
          <w:sz w:val="21"/>
          <w:szCs w:val="21"/>
          <w:highlight w:val="none"/>
        </w:rPr>
        <w:t xml:space="preserve">常使用，出现故障等情形必</w:t>
      </w:r>
      <w:r>
        <w:rPr>
          <w:rFonts w:hint="eastAsia" w:ascii="宋体" w:hAnsi="宋体" w:eastAsia="宋体" w:cs="宋体"/>
          <w:color w:val="000000"/>
          <w:sz w:val="21"/>
          <w:szCs w:val="21"/>
          <w:highlight w:val="none"/>
        </w:rPr>
        <w:t xml:space="preserve">须按同型号无偿更换，提供免费上门维修。质保期内，设备不</w:t>
      </w:r>
      <w:r>
        <w:rPr>
          <w:rFonts w:hint="eastAsia" w:ascii="宋体" w:hAnsi="宋体" w:eastAsia="宋体" w:cs="宋体"/>
          <w:color w:val="000000"/>
          <w:spacing w:val="-2"/>
          <w:sz w:val="21"/>
          <w:szCs w:val="21"/>
          <w:highlight w:val="none"/>
        </w:rPr>
        <w:t xml:space="preserve">能修复时供应商必须免费提供同种规格配件进行更换，</w:t>
      </w:r>
      <w:r>
        <w:rPr>
          <w:rFonts w:hint="eastAsia" w:ascii="宋体" w:hAnsi="宋体" w:eastAsia="宋体" w:cs="宋体"/>
          <w:color w:val="000000"/>
          <w:spacing w:val="-1"/>
          <w:sz w:val="21"/>
          <w:szCs w:val="21"/>
          <w:highlight w:val="none"/>
        </w:rPr>
        <w:t xml:space="preserve">如不能提供同种规格型号的配件，</w:t>
      </w:r>
      <w:r>
        <w:rPr>
          <w:rFonts w:hint="eastAsia" w:ascii="宋体" w:hAnsi="宋体" w:eastAsia="宋体" w:cs="宋体"/>
          <w:color w:val="000000"/>
          <w:spacing w:val="-2"/>
          <w:sz w:val="21"/>
          <w:szCs w:val="21"/>
          <w:highlight w:val="none"/>
        </w:rPr>
        <w:t xml:space="preserve">用其它型号配件代替时，需经采购人同意，</w:t>
      </w:r>
      <w:r>
        <w:rPr>
          <w:rFonts w:hint="eastAsia" w:ascii="宋体" w:hAnsi="宋体" w:eastAsia="宋体" w:cs="宋体"/>
          <w:color w:val="000000"/>
          <w:spacing w:val="-1"/>
          <w:sz w:val="21"/>
          <w:szCs w:val="21"/>
          <w:highlight w:val="none"/>
        </w:rPr>
        <w:t xml:space="preserve">且不补差价。</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免费质保期满后产品实行终身有偿维修，并且保</w:t>
      </w:r>
      <w:r>
        <w:rPr>
          <w:rFonts w:hint="eastAsia" w:ascii="宋体" w:hAnsi="宋体" w:eastAsia="宋体" w:cs="宋体"/>
          <w:color w:val="000000"/>
          <w:sz w:val="21"/>
          <w:szCs w:val="21"/>
          <w:highlight w:val="none"/>
        </w:rPr>
        <w:t xml:space="preserve">证在设备的设计使用寿命周期内，能</w:t>
      </w:r>
      <w:r>
        <w:rPr>
          <w:rFonts w:hint="eastAsia" w:ascii="宋体" w:hAnsi="宋体" w:eastAsia="宋体" w:cs="宋体"/>
          <w:color w:val="000000"/>
          <w:spacing w:val="-2"/>
          <w:sz w:val="21"/>
          <w:szCs w:val="21"/>
          <w:highlight w:val="none"/>
        </w:rPr>
        <w:t xml:space="preserve">够及时提供原厂</w:t>
      </w:r>
      <w:r>
        <w:rPr>
          <w:rFonts w:hint="eastAsia" w:ascii="宋体" w:hAnsi="宋体" w:eastAsia="宋体" w:cs="宋体"/>
          <w:color w:val="000000"/>
          <w:spacing w:val="-1"/>
          <w:sz w:val="21"/>
          <w:szCs w:val="21"/>
          <w:highlight w:val="none"/>
        </w:rPr>
        <w:t xml:space="preserve">正宗的零备件，中标人只收取成本费，以确保设备的正常运行。</w:t>
      </w:r>
      <w:r>
        <w:rPr>
          <w:rFonts w:hint="eastAsia" w:ascii="宋体" w:hAnsi="宋体" w:eastAsia="宋体" w:cs="宋体"/>
          <w:color w:val="000000"/>
          <w:spacing w:val="-1"/>
          <w:sz w:val="21"/>
          <w:szCs w:val="21"/>
          <w:highlight w:val="none"/>
        </w:rPr>
      </w:r>
      <w:r/>
    </w:p>
    <w:p>
      <w:pPr>
        <w:pStyle w:val="974"/>
        <w:numPr>
          <w:ilvl w:val="0"/>
          <w:numId w:val="16"/>
        </w:numPr>
        <w:ind w:firstLine="412"/>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在重大活动时，根</w:t>
      </w:r>
      <w:r>
        <w:rPr>
          <w:rFonts w:hint="eastAsia" w:ascii="宋体" w:hAnsi="宋体" w:eastAsia="宋体" w:cs="宋体"/>
          <w:color w:val="000000"/>
          <w:spacing w:val="-1"/>
          <w:sz w:val="21"/>
          <w:szCs w:val="21"/>
          <w:highlight w:val="none"/>
        </w:rPr>
        <w:t xml:space="preserve">据采购人要求，派出资深工程师做好现场技术保障。</w:t>
      </w:r>
      <w:r>
        <w:rPr>
          <w:rFonts w:hint="eastAsia" w:ascii="宋体" w:hAnsi="宋体" w:eastAsia="宋体" w:cs="宋体"/>
          <w:color w:val="000000"/>
          <w:spacing w:val="-1"/>
          <w:sz w:val="21"/>
          <w:szCs w:val="21"/>
          <w:highlight w:val="none"/>
        </w:rPr>
      </w:r>
      <w:r/>
    </w:p>
    <w:p>
      <w:pPr>
        <w:pStyle w:val="974"/>
        <w:jc w:val="left"/>
        <w:spacing w:line="300" w:lineRule="auto"/>
        <w:rPr>
          <w:rFonts w:hint="eastAsia" w:ascii="宋体" w:hAnsi="宋体" w:eastAsia="宋体" w:cs="宋体"/>
          <w:b/>
          <w:bCs/>
          <w:sz w:val="44"/>
          <w:szCs w:val="44"/>
        </w:rPr>
        <w:outlineLvl w:val="0"/>
      </w:pPr>
      <w:r>
        <w:rPr>
          <w:rFonts w:hint="eastAsia" w:ascii="宋体" w:hAnsi="宋体" w:eastAsia="宋体" w:cs="宋体"/>
          <w:color w:val="000000"/>
          <w:spacing w:val="-1"/>
          <w:sz w:val="21"/>
          <w:szCs w:val="21"/>
          <w:highlight w:val="none"/>
        </w:rPr>
        <w:t xml:space="preserve">提供关于本项目的培训方案，</w:t>
      </w: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在产品安装调试时，对采购人的技术人员</w:t>
      </w:r>
      <w:r>
        <w:rPr>
          <w:rFonts w:hint="eastAsia" w:ascii="宋体" w:hAnsi="宋体" w:eastAsia="宋体" w:cs="宋体"/>
          <w:color w:val="000000"/>
          <w:sz w:val="21"/>
          <w:szCs w:val="21"/>
          <w:highlight w:val="none"/>
        </w:rPr>
        <w:t xml:space="preserve">进行现</w:t>
      </w:r>
      <w:r>
        <w:rPr>
          <w:rFonts w:hint="eastAsia" w:ascii="宋体" w:hAnsi="宋体" w:eastAsia="宋体" w:cs="宋体"/>
          <w:color w:val="000000"/>
          <w:spacing w:val="-1"/>
          <w:sz w:val="21"/>
          <w:szCs w:val="21"/>
          <w:highlight w:val="none"/>
        </w:rPr>
        <w:t xml:space="preserve">场安装调试培训，讲</w:t>
      </w:r>
      <w:r>
        <w:rPr>
          <w:rFonts w:hint="eastAsia" w:ascii="宋体" w:hAnsi="宋体" w:eastAsia="宋体" w:cs="宋体"/>
          <w:color w:val="000000"/>
          <w:sz w:val="21"/>
          <w:szCs w:val="21"/>
          <w:highlight w:val="none"/>
        </w:rPr>
        <w:t xml:space="preserve">解产品的结构、安装步骤、调试方法和系统配置等。一般技术培训应</w:t>
      </w:r>
      <w:r>
        <w:rPr>
          <w:rFonts w:hint="eastAsia" w:ascii="宋体" w:hAnsi="宋体" w:eastAsia="宋体" w:cs="宋体"/>
          <w:color w:val="000000"/>
          <w:spacing w:val="-7"/>
          <w:sz w:val="21"/>
          <w:szCs w:val="21"/>
          <w:highlight w:val="none"/>
        </w:rPr>
        <w:t xml:space="preserve">该</w:t>
      </w:r>
      <w:r>
        <w:rPr>
          <w:rFonts w:hint="eastAsia" w:ascii="宋体" w:hAnsi="宋体" w:eastAsia="宋体" w:cs="宋体"/>
          <w:color w:val="000000"/>
          <w:spacing w:val="-5"/>
          <w:sz w:val="21"/>
          <w:szCs w:val="21"/>
          <w:highlight w:val="none"/>
        </w:rPr>
        <w:t xml:space="preserve">不限制人数。</w:t>
      </w:r>
      <w:r>
        <w:rPr>
          <w:rFonts w:hint="eastAsia" w:ascii="宋体" w:hAnsi="宋体" w:eastAsia="宋体" w:cs="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rPr>
          <w:rFonts w:hint="eastAsia" w:ascii="宋体" w:hAnsi="宋体" w:eastAsia="宋体"/>
          <w:sz w:val="24"/>
          <w:szCs w:val="24"/>
        </w:rPr>
      </w:r>
      <w:r/>
    </w:p>
    <w:p>
      <w:pPr>
        <w:pStyle w:val="976"/>
        <w:rPr>
          <w:rFonts w:hint="eastAsia" w:ascii="宋体" w:hAnsi="宋体" w:cs="宋体"/>
        </w:rPr>
      </w:pPr>
      <w:r/>
      <w:bookmarkStart w:id="24" w:name="_Toc16938559"/>
      <w:r/>
      <w:bookmarkStart w:id="25" w:name="_Toc383587505"/>
      <w:r/>
      <w:bookmarkStart w:id="26" w:name="_Toc382814014"/>
      <w:r/>
      <w:bookmarkStart w:id="27" w:name="_Toc382812484"/>
      <w:r/>
      <w:bookmarkStart w:id="28" w:name="_Toc382811586"/>
      <w:r/>
      <w:bookmarkStart w:id="29" w:name="_Toc513029243"/>
      <w:r/>
      <w:bookmarkStart w:id="30" w:name="_Toc382812295"/>
      <w:r/>
      <w:bookmarkStart w:id="31" w:name="_Toc382813933"/>
      <w:r/>
      <w:bookmarkStart w:id="32" w:name="_Toc288030332"/>
      <w:r/>
      <w:bookmarkStart w:id="33" w:name="_Toc20823315"/>
      <w:r/>
      <w:bookmarkStart w:id="34" w:name="_Toc120614222"/>
      <w:r/>
      <w:bookmarkStart w:id="35" w:name="_Toc383623992"/>
      <w:r/>
      <w:bookmarkStart w:id="36" w:name="_Toc383623720"/>
      <w:r/>
      <w:bookmarkStart w:id="37" w:name="_Toc390099065"/>
      <w:r/>
      <w:bookmarkStart w:id="38" w:name="_Toc383626041"/>
      <w:r/>
      <w:bookmarkStart w:id="39" w:name="_Toc383698694"/>
      <w:r/>
      <w:bookmarkStart w:id="40" w:name="_Toc390098887"/>
      <w:r/>
      <w:bookmarkStart w:id="41" w:name="_Toc390246952"/>
      <w:r/>
      <w:bookmarkStart w:id="42" w:name="_Toc383679794"/>
      <w:r/>
      <w:bookmarkStart w:id="43" w:name="_Toc416720358"/>
      <w:r/>
      <w:bookmarkStart w:id="44" w:name="_Toc282446296"/>
      <w:r/>
      <w:bookmarkStart w:id="45" w:name="_Toc382811181"/>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44"/>
      <w:r/>
      <w:bookmarkEnd w:id="45"/>
      <w:r>
        <w:rPr>
          <w:rFonts w:hint="eastAsia" w:ascii="宋体" w:hAnsi="宋体" w:cs="宋体"/>
        </w:rPr>
        <w:t xml:space="preserve">部分</w:t>
      </w:r>
      <w:bookmarkEnd w:id="35"/>
      <w:r/>
      <w:bookmarkEnd w:id="36"/>
      <w:r/>
      <w:bookmarkEnd w:id="37"/>
      <w:r/>
      <w:bookmarkEnd w:id="38"/>
      <w:r/>
      <w:bookmarkEnd w:id="39"/>
      <w:r/>
      <w:bookmarkEnd w:id="40"/>
      <w:r/>
      <w:bookmarkEnd w:id="41"/>
      <w:r/>
      <w:bookmarkEnd w:id="42"/>
      <w:r/>
      <w:bookmarkEnd w:id="43"/>
      <w:r>
        <w:rPr>
          <w:rFonts w:hint="eastAsia" w:ascii="宋体" w:hAnsi="宋体" w:cs="宋体"/>
        </w:rPr>
      </w:r>
      <w:r/>
    </w:p>
    <w:p>
      <w:pPr>
        <w:pStyle w:val="977"/>
        <w:spacing w:before="177" w:after="177" w:line="415" w:lineRule="auto"/>
        <w:rPr>
          <w:rFonts w:hint="eastAsia" w:ascii="宋体" w:hAnsi="宋体" w:eastAsia="宋体" w:cs="宋体"/>
          <w:bCs w:val="0"/>
          <w:sz w:val="21"/>
          <w:szCs w:val="21"/>
        </w:rPr>
      </w:pPr>
      <w:r/>
      <w:bookmarkStart w:id="46" w:name="_Toc390098888"/>
      <w:r/>
      <w:bookmarkStart w:id="47" w:name="_Toc383623993"/>
      <w:r/>
      <w:bookmarkStart w:id="48" w:name="_Toc120614224"/>
      <w:r/>
      <w:bookmarkStart w:id="49" w:name="_Toc382811588"/>
      <w:r/>
      <w:bookmarkStart w:id="50" w:name="_Toc20823317"/>
      <w:r/>
      <w:bookmarkStart w:id="51" w:name="_Toc382813935"/>
      <w:r/>
      <w:bookmarkStart w:id="52" w:name="_Toc282446298"/>
      <w:r/>
      <w:bookmarkStart w:id="53" w:name="_Toc513029245"/>
      <w:r/>
      <w:bookmarkStart w:id="54" w:name="_Toc16938561"/>
      <w:r/>
      <w:bookmarkStart w:id="55" w:name="_Toc416720359"/>
      <w:r/>
      <w:bookmarkStart w:id="56" w:name="_Toc390099066"/>
      <w:r/>
      <w:bookmarkStart w:id="57" w:name="_Toc382812297"/>
      <w:r/>
      <w:bookmarkStart w:id="58" w:name="_Toc383626042"/>
      <w:r/>
      <w:bookmarkStart w:id="59" w:name="_Toc383679795"/>
      <w:r/>
      <w:bookmarkStart w:id="60" w:name="_Toc288030334"/>
      <w:r/>
      <w:bookmarkStart w:id="61" w:name="_Toc383587507"/>
      <w:r/>
      <w:bookmarkStart w:id="62" w:name="_Toc382814016"/>
      <w:r/>
      <w:bookmarkStart w:id="63" w:name="_Toc383698695"/>
      <w:r/>
      <w:bookmarkStart w:id="64" w:name="_Toc382811183"/>
      <w:r/>
      <w:bookmarkStart w:id="65" w:name="_Toc383623721"/>
      <w:r/>
      <w:bookmarkStart w:id="66" w:name="_Toc390246953"/>
      <w:r/>
      <w:bookmarkStart w:id="67" w:name="_Toc382812486"/>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Cs w:val="0"/>
          <w:sz w:val="21"/>
          <w:szCs w:val="21"/>
        </w:rPr>
      </w:r>
      <w:r/>
    </w:p>
    <w:p>
      <w:pPr>
        <w:pStyle w:val="974"/>
        <w:ind w:left="526"/>
        <w:rPr>
          <w:rFonts w:hint="eastAsia" w:ascii="宋体" w:hAnsi="宋体" w:eastAsia="宋体" w:cs="宋体"/>
        </w:rPr>
      </w:pPr>
      <w:r>
        <w:rPr>
          <w:rFonts w:hint="eastAsia" w:ascii="宋体" w:hAnsi="宋体" w:eastAsia="宋体" w:cs="宋体"/>
        </w:rPr>
        <w:t xml:space="preserve">本合同中的下列术语应解释为：</w:t>
      </w:r>
      <w:r>
        <w:rPr>
          <w:rFonts w:hint="eastAsia" w:ascii="宋体" w:hAnsi="宋体" w:eastAsia="宋体" w:cs="宋体"/>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68" w:name="_Toc20823318"/>
      <w:r/>
      <w:bookmarkStart w:id="69" w:name="_Toc16938562"/>
      <w:r/>
      <w:bookmarkStart w:id="70" w:name="_Toc282446299"/>
      <w:r/>
      <w:bookmarkStart w:id="71" w:name="_Toc513029246"/>
      <w:r/>
      <w:bookmarkStart w:id="72" w:name="_Toc382811184"/>
      <w:r/>
      <w:bookmarkStart w:id="73" w:name="_Toc382812487"/>
      <w:r/>
      <w:bookmarkStart w:id="74" w:name="_Toc382812298"/>
      <w:r/>
      <w:bookmarkStart w:id="75" w:name="_Toc383679796"/>
      <w:r/>
      <w:bookmarkStart w:id="76" w:name="_Toc390098889"/>
      <w:r/>
      <w:bookmarkStart w:id="77" w:name="_Toc382814017"/>
      <w:r/>
      <w:bookmarkStart w:id="78" w:name="_Toc416720360"/>
      <w:r/>
      <w:bookmarkStart w:id="79" w:name="_Toc390246954"/>
      <w:r/>
      <w:bookmarkStart w:id="80" w:name="_Toc383626043"/>
      <w:r/>
      <w:bookmarkStart w:id="81" w:name="_Toc390099067"/>
      <w:r/>
      <w:bookmarkStart w:id="82" w:name="_Toc383698696"/>
      <w:r/>
      <w:bookmarkStart w:id="83" w:name="_Toc382813936"/>
      <w:r/>
      <w:bookmarkStart w:id="84" w:name="_Toc382811589"/>
      <w:r/>
      <w:bookmarkStart w:id="85" w:name="_Toc383587508"/>
      <w:r/>
      <w:bookmarkStart w:id="86" w:name="_Toc383623722"/>
      <w:r/>
      <w:bookmarkStart w:id="87" w:name="_Toc383623994"/>
      <w:r/>
      <w:bookmarkStart w:id="88" w:name="_Toc288030335"/>
      <w:r/>
      <w:bookmarkStart w:id="89" w:name="_Toc120614225"/>
      <w:r>
        <w:rPr>
          <w:rFonts w:hint="eastAsia" w:ascii="宋体" w:hAnsi="宋体" w:eastAsia="宋体" w:cs="宋体"/>
          <w:bCs w:val="0"/>
          <w:sz w:val="21"/>
          <w:szCs w:val="21"/>
        </w:rPr>
        <w:t xml:space="preserve">2、技术</w:t>
      </w:r>
      <w:bookmarkEnd w:id="68"/>
      <w:r/>
      <w:bookmarkEnd w:id="69"/>
      <w:r/>
      <w:bookmarkEnd w:id="70"/>
      <w:r/>
      <w:bookmarkEnd w:id="71"/>
      <w:r/>
      <w:bookmarkEnd w:id="88"/>
      <w:r/>
      <w:bookmarkEnd w:id="89"/>
      <w:r>
        <w:rPr>
          <w:rFonts w:hint="eastAsia" w:ascii="宋体" w:hAnsi="宋体" w:eastAsia="宋体" w:cs="宋体"/>
          <w:bCs w:val="0"/>
          <w:sz w:val="21"/>
          <w:szCs w:val="21"/>
        </w:rPr>
        <w:t xml:space="preserve">规范</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90" w:name="_Toc390099068"/>
      <w:r/>
      <w:bookmarkStart w:id="91" w:name="_Toc390246955"/>
      <w:r/>
      <w:bookmarkStart w:id="92" w:name="_Toc16938563"/>
      <w:r/>
      <w:bookmarkStart w:id="93" w:name="_Toc20823319"/>
      <w:r/>
      <w:bookmarkStart w:id="94" w:name="_Toc382813937"/>
      <w:r/>
      <w:bookmarkStart w:id="95" w:name="_Toc382811185"/>
      <w:r/>
      <w:bookmarkStart w:id="96" w:name="_Toc382811590"/>
      <w:r/>
      <w:bookmarkStart w:id="97" w:name="_Toc288030336"/>
      <w:r/>
      <w:bookmarkStart w:id="98" w:name="_Toc282446300"/>
      <w:r/>
      <w:bookmarkStart w:id="99" w:name="_Toc383623995"/>
      <w:r/>
      <w:bookmarkStart w:id="100" w:name="_Toc513029247"/>
      <w:r/>
      <w:bookmarkStart w:id="101" w:name="_Toc383623723"/>
      <w:r/>
      <w:bookmarkStart w:id="102" w:name="_Toc383698697"/>
      <w:r/>
      <w:bookmarkStart w:id="103" w:name="_Toc382812488"/>
      <w:r/>
      <w:bookmarkStart w:id="104" w:name="_Toc120614226"/>
      <w:r/>
      <w:bookmarkStart w:id="105" w:name="_Toc382814018"/>
      <w:r/>
      <w:bookmarkStart w:id="106" w:name="_Toc416720361"/>
      <w:r/>
      <w:bookmarkStart w:id="107" w:name="_Toc383626044"/>
      <w:r/>
      <w:bookmarkStart w:id="108" w:name="_Toc383587509"/>
      <w:r/>
      <w:bookmarkStart w:id="109" w:name="_Toc382812299"/>
      <w:r/>
      <w:bookmarkStart w:id="110" w:name="_Toc383679797"/>
      <w:r/>
      <w:bookmarkStart w:id="111" w:name="_Toc390098890"/>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20823320"/>
      <w:r/>
      <w:bookmarkStart w:id="115" w:name="_Toc120614227"/>
      <w:r/>
      <w:bookmarkStart w:id="116" w:name="_Toc16938564"/>
      <w:r/>
      <w:bookmarkStart w:id="117" w:name="_Toc382813938"/>
      <w:r/>
      <w:bookmarkStart w:id="118" w:name="_Toc382814019"/>
      <w:r/>
      <w:bookmarkStart w:id="119" w:name="_Toc383626045"/>
      <w:r/>
      <w:bookmarkStart w:id="120" w:name="_Toc390099069"/>
      <w:r/>
      <w:bookmarkStart w:id="121" w:name="_Toc383698698"/>
      <w:r/>
      <w:bookmarkStart w:id="122" w:name="_Toc416720362"/>
      <w:r/>
      <w:bookmarkStart w:id="123" w:name="_Toc383679798"/>
      <w:r/>
      <w:bookmarkStart w:id="124" w:name="_Toc390098891"/>
      <w:r/>
      <w:bookmarkStart w:id="125" w:name="_Toc390246956"/>
      <w:r/>
      <w:bookmarkStart w:id="126" w:name="_Toc383623724"/>
      <w:r/>
      <w:bookmarkStart w:id="127" w:name="_Toc383587510"/>
      <w:r/>
      <w:bookmarkStart w:id="128" w:name="_Toc383623996"/>
      <w:r/>
      <w:bookmarkStart w:id="129" w:name="_Toc513029248"/>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29"/>
      <w:r/>
      <w:bookmarkStart w:id="130" w:name="_Toc120614229"/>
      <w:r/>
      <w:bookmarkStart w:id="131" w:name="_Toc513029250"/>
      <w:r/>
      <w:bookmarkStart w:id="132" w:name="_Toc16938566"/>
      <w:r/>
      <w:bookmarkStart w:id="133" w:name="_Toc20823322"/>
      <w:r/>
      <w:bookmarkStart w:id="134" w:name="_Toc282446303"/>
      <w:r/>
      <w:bookmarkStart w:id="135" w:name="_Toc288030339"/>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val="0"/>
          <w:sz w:val="21"/>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rPr>
          <w:rFonts w:hint="eastAsia" w:ascii="宋体" w:hAnsi="宋体" w:eastAsia="宋体" w:cs="宋体"/>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136" w:name="_Toc416720363"/>
      <w:r/>
      <w:bookmarkStart w:id="137" w:name="_Toc383679799"/>
      <w:r/>
      <w:bookmarkStart w:id="138" w:name="_Toc383587511"/>
      <w:r/>
      <w:bookmarkStart w:id="139" w:name="_Toc16938567"/>
      <w:r/>
      <w:bookmarkStart w:id="140" w:name="_Toc390099070"/>
      <w:r/>
      <w:bookmarkStart w:id="141" w:name="_Toc390098892"/>
      <w:r/>
      <w:bookmarkStart w:id="142" w:name="_Toc382812300"/>
      <w:r/>
      <w:bookmarkStart w:id="143" w:name="_Toc383623997"/>
      <w:r/>
      <w:bookmarkStart w:id="144" w:name="_Toc382814020"/>
      <w:r/>
      <w:bookmarkStart w:id="145" w:name="_Toc120614230"/>
      <w:r/>
      <w:bookmarkStart w:id="146" w:name="_Toc288030340"/>
      <w:r/>
      <w:bookmarkStart w:id="147" w:name="_Toc513029251"/>
      <w:r/>
      <w:bookmarkStart w:id="148" w:name="_Toc20823323"/>
      <w:r/>
      <w:bookmarkStart w:id="149" w:name="_Toc382813939"/>
      <w:r/>
      <w:bookmarkStart w:id="150" w:name="_Toc382811591"/>
      <w:r/>
      <w:bookmarkStart w:id="151" w:name="_Toc282446304"/>
      <w:r/>
      <w:bookmarkStart w:id="152" w:name="_Toc382811186"/>
      <w:r/>
      <w:bookmarkStart w:id="153" w:name="_Toc382812489"/>
      <w:r/>
      <w:bookmarkStart w:id="154" w:name="_Toc383626046"/>
      <w:r/>
      <w:bookmarkStart w:id="155" w:name="_Toc383623725"/>
      <w:r/>
      <w:bookmarkStart w:id="156" w:name="_Toc383698699"/>
      <w:r/>
      <w:bookmarkStart w:id="157" w:name="_Toc390246957"/>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(1) 服务的现场质量管理与监督；</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(2) 提供服务和维护所需的工具；</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(4) 对服务人员进行培训。</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58" w:name="_Toc390098893"/>
      <w:r/>
      <w:bookmarkStart w:id="159" w:name="_Toc383623998"/>
      <w:r/>
      <w:bookmarkStart w:id="160" w:name="_Toc390246958"/>
      <w:r/>
      <w:bookmarkStart w:id="161" w:name="_Toc288030341"/>
      <w:r/>
      <w:bookmarkStart w:id="162" w:name="_Toc382811592"/>
      <w:r/>
      <w:bookmarkStart w:id="163" w:name="_Toc390099071"/>
      <w:r/>
      <w:bookmarkStart w:id="164" w:name="_Toc382814021"/>
      <w:r/>
      <w:bookmarkStart w:id="165" w:name="_Toc20823324"/>
      <w:r/>
      <w:bookmarkStart w:id="166" w:name="_Toc382812490"/>
      <w:r/>
      <w:bookmarkStart w:id="167" w:name="_Toc16938568"/>
      <w:r/>
      <w:bookmarkStart w:id="168" w:name="_Toc383626047"/>
      <w:r/>
      <w:bookmarkStart w:id="169" w:name="_Toc383587512"/>
      <w:r/>
      <w:bookmarkStart w:id="170" w:name="_Toc382813940"/>
      <w:r/>
      <w:bookmarkStart w:id="171" w:name="_Toc120614231"/>
      <w:r/>
      <w:bookmarkStart w:id="172" w:name="_Toc383679800"/>
      <w:r/>
      <w:bookmarkStart w:id="173" w:name="_Toc382812301"/>
      <w:r/>
      <w:bookmarkStart w:id="174" w:name="_Toc513029252"/>
      <w:r/>
      <w:bookmarkStart w:id="175" w:name="_Toc382811187"/>
      <w:r/>
      <w:bookmarkStart w:id="176" w:name="_Toc416720364"/>
      <w:r/>
      <w:bookmarkStart w:id="177" w:name="_Toc282446305"/>
      <w:r/>
      <w:bookmarkStart w:id="178" w:name="_Toc383623726"/>
      <w:r/>
      <w:bookmarkStart w:id="179" w:name="_Toc383698700"/>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80" w:name="_Toc20823326"/>
      <w:r/>
      <w:bookmarkStart w:id="181" w:name="_Toc288030343"/>
      <w:r/>
      <w:bookmarkStart w:id="182" w:name="_Toc282446307"/>
      <w:r/>
      <w:bookmarkStart w:id="183" w:name="_Toc513029254"/>
      <w:r/>
      <w:bookmarkStart w:id="184" w:name="_Toc16938570"/>
      <w:r/>
      <w:bookmarkStart w:id="185" w:name="_Toc120614233"/>
      <w:r/>
      <w:bookmarkStart w:id="186" w:name="_Toc399853485"/>
      <w:r/>
      <w:bookmarkStart w:id="187" w:name="_Toc416720365"/>
      <w:r/>
      <w:bookmarkStart w:id="188" w:name="_Toc399658018"/>
      <w:r/>
      <w:bookmarkStart w:id="189" w:name="_Toc399227843"/>
      <w:r/>
      <w:bookmarkStart w:id="190" w:name="_Toc399228176"/>
      <w:r/>
      <w:bookmarkStart w:id="191" w:name="_Toc383698715"/>
      <w:r/>
      <w:bookmarkStart w:id="192" w:name="_Toc390099086"/>
      <w:r/>
      <w:bookmarkStart w:id="193" w:name="_Toc390098908"/>
      <w:r/>
      <w:bookmarkStart w:id="194" w:name="_Toc383679815"/>
      <w:r/>
      <w:bookmarkStart w:id="195" w:name="_Toc390246973"/>
      <w:r/>
      <w:bookmarkStart w:id="196" w:name="_Toc383626062"/>
      <w:r/>
      <w:bookmarkStart w:id="197" w:name="_Toc383624013"/>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16938573"/>
      <w:r/>
      <w:bookmarkStart w:id="200" w:name="_Toc513029257"/>
      <w:r/>
      <w:bookmarkStart w:id="201" w:name="_Toc20823329"/>
      <w:r/>
      <w:bookmarkStart w:id="202" w:name="_Toc120614236"/>
      <w:r/>
      <w:bookmarkStart w:id="203" w:name="_Toc288030346"/>
      <w:r/>
      <w:bookmarkStart w:id="204" w:name="_Toc282446310"/>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05" w:name="_Toc399658019"/>
      <w:r/>
      <w:bookmarkStart w:id="206" w:name="_Toc416720366"/>
      <w:r/>
      <w:bookmarkStart w:id="207" w:name="_Toc513029258"/>
      <w:r/>
      <w:bookmarkStart w:id="208" w:name="_Toc20823330"/>
      <w:r/>
      <w:bookmarkStart w:id="209" w:name="_Toc288030347"/>
      <w:r/>
      <w:bookmarkStart w:id="210" w:name="_Toc399853486"/>
      <w:r/>
      <w:bookmarkStart w:id="211" w:name="_Toc16938574"/>
      <w:r/>
      <w:bookmarkStart w:id="212" w:name="_Toc399227844"/>
      <w:r/>
      <w:bookmarkStart w:id="213" w:name="_Toc399228177"/>
      <w:r/>
      <w:bookmarkStart w:id="214" w:name="_Toc120614237"/>
      <w:r/>
      <w:bookmarkStart w:id="215" w:name="_Toc282446311"/>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16" w:name="_Toc399227845"/>
      <w:r/>
      <w:bookmarkStart w:id="217" w:name="_Toc399853487"/>
      <w:r/>
      <w:bookmarkStart w:id="218" w:name="_Toc20823331"/>
      <w:r/>
      <w:bookmarkStart w:id="219" w:name="_Toc282446312"/>
      <w:r/>
      <w:bookmarkStart w:id="220" w:name="_Toc120614238"/>
      <w:r/>
      <w:bookmarkStart w:id="221" w:name="_Toc399228178"/>
      <w:r/>
      <w:bookmarkStart w:id="222" w:name="_Toc416720367"/>
      <w:r/>
      <w:bookmarkStart w:id="223" w:name="_Toc399658020"/>
      <w:r/>
      <w:bookmarkStart w:id="224" w:name="_Toc513029259"/>
      <w:r/>
      <w:bookmarkStart w:id="225" w:name="_Toc16938575"/>
      <w:r/>
      <w:bookmarkStart w:id="226" w:name="_Toc288030348"/>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Cs w:val="0"/>
          <w:sz w:val="21"/>
          <w:szCs w:val="21"/>
        </w:rPr>
      </w:r>
      <w:r/>
    </w:p>
    <w:p>
      <w:pPr>
        <w:pStyle w:val="974"/>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rPr>
          <w:rFonts w:hint="eastAsia" w:ascii="宋体" w:hAnsi="宋体" w:eastAsia="宋体" w:cs="宋体"/>
          <w:i/>
          <w:u w:val="single"/>
        </w:rPr>
      </w:r>
      <w:r/>
    </w:p>
    <w:p>
      <w:pPr>
        <w:pStyle w:val="977"/>
        <w:spacing w:before="177" w:after="177" w:line="415" w:lineRule="auto"/>
        <w:rPr>
          <w:rFonts w:hint="eastAsia" w:ascii="宋体" w:hAnsi="宋体" w:eastAsia="宋体" w:cs="宋体"/>
          <w:bCs w:val="0"/>
          <w:sz w:val="21"/>
          <w:szCs w:val="21"/>
        </w:rPr>
      </w:pPr>
      <w:r/>
      <w:bookmarkStart w:id="227" w:name="_Toc462564119"/>
      <w:r/>
      <w:bookmarkStart w:id="228" w:name="_Toc399853488"/>
      <w:r/>
      <w:bookmarkStart w:id="229" w:name="_Toc282446313"/>
      <w:r/>
      <w:bookmarkStart w:id="230" w:name="_Toc16938576"/>
      <w:r/>
      <w:bookmarkStart w:id="231" w:name="_Toc120614239"/>
      <w:r/>
      <w:bookmarkStart w:id="232" w:name="_Toc399658021"/>
      <w:r/>
      <w:bookmarkStart w:id="233" w:name="_Toc20823332"/>
      <w:r/>
      <w:bookmarkStart w:id="234" w:name="_Toc399227846"/>
      <w:r/>
      <w:bookmarkStart w:id="235" w:name="_Toc399228179"/>
      <w:r/>
      <w:bookmarkStart w:id="236" w:name="_Toc513029260"/>
      <w:r/>
      <w:bookmarkStart w:id="237" w:name="_Toc288030349"/>
      <w:r/>
      <w:bookmarkStart w:id="238" w:name="_Toc416720368"/>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39" w:name="_Toc288030350"/>
      <w:r/>
      <w:bookmarkStart w:id="240" w:name="_Toc399658022"/>
      <w:r/>
      <w:bookmarkStart w:id="241" w:name="_Toc416720369"/>
      <w:r/>
      <w:bookmarkStart w:id="242" w:name="_Toc399228180"/>
      <w:r/>
      <w:bookmarkStart w:id="243" w:name="_Toc399227847"/>
      <w:r/>
      <w:bookmarkStart w:id="244" w:name="_Toc120614240"/>
      <w:r/>
      <w:bookmarkStart w:id="245" w:name="_Toc513029261"/>
      <w:r/>
      <w:bookmarkStart w:id="246" w:name="_Toc282446314"/>
      <w:r/>
      <w:bookmarkStart w:id="247" w:name="_Toc399853489"/>
      <w:r/>
      <w:bookmarkStart w:id="248" w:name="_Toc16938577"/>
      <w:r/>
      <w:bookmarkStart w:id="249" w:name="_Toc20823333"/>
      <w:r/>
      <w:bookmarkStart w:id="250" w:name="_Toc462564120"/>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Cs w:val="0"/>
          <w:sz w:val="21"/>
          <w:szCs w:val="21"/>
        </w:rPr>
      </w:r>
      <w:r/>
    </w:p>
    <w:p>
      <w:pPr>
        <w:pStyle w:val="974"/>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rPr>
          <w:rFonts w:hint="eastAsia" w:ascii="宋体" w:hAnsi="宋体" w:eastAsia="宋体" w:cs="宋体"/>
        </w:rPr>
      </w:r>
      <w:r/>
    </w:p>
    <w:p>
      <w:pPr>
        <w:pStyle w:val="974"/>
        <w:ind w:firstLine="789"/>
        <w:rPr>
          <w:rFonts w:hint="eastAsia" w:ascii="宋体" w:hAnsi="宋体" w:eastAsia="宋体" w:cs="宋体"/>
        </w:rPr>
      </w:pPr>
      <w:r>
        <w:rPr>
          <w:rFonts w:hint="eastAsia" w:ascii="宋体" w:hAnsi="宋体" w:eastAsia="宋体" w:cs="宋体"/>
        </w:rPr>
        <w:t xml:space="preserve"> (3)如果卖方未能履行合同规定的其他义务。</w:t>
      </w:r>
      <w:r>
        <w:rPr>
          <w:rFonts w:hint="eastAsia" w:ascii="宋体" w:hAnsi="宋体" w:eastAsia="宋体" w:cs="宋体"/>
        </w:rPr>
      </w:r>
      <w:r/>
    </w:p>
    <w:p>
      <w:pPr>
        <w:pStyle w:val="974"/>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51" w:name="_Toc120614241"/>
      <w:r/>
      <w:bookmarkStart w:id="252" w:name="_Toc416720370"/>
      <w:r/>
      <w:bookmarkStart w:id="253" w:name="_Toc399228181"/>
      <w:r/>
      <w:bookmarkStart w:id="254" w:name="_Toc20823334"/>
      <w:r/>
      <w:bookmarkStart w:id="255" w:name="_Toc282446315"/>
      <w:r/>
      <w:bookmarkStart w:id="256" w:name="_Toc462564121"/>
      <w:r/>
      <w:bookmarkStart w:id="257" w:name="_Toc288030351"/>
      <w:r/>
      <w:bookmarkStart w:id="258" w:name="_Toc399227848"/>
      <w:r/>
      <w:bookmarkStart w:id="259" w:name="_Toc399658023"/>
      <w:r/>
      <w:bookmarkStart w:id="260" w:name="_Toc513029262"/>
      <w:r/>
      <w:bookmarkStart w:id="261" w:name="_Toc16938578"/>
      <w:r/>
      <w:bookmarkStart w:id="262" w:name="_Toc399853490"/>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63" w:name="_Toc399228182"/>
      <w:r/>
      <w:bookmarkStart w:id="264" w:name="_Toc416720371"/>
      <w:r/>
      <w:bookmarkStart w:id="265" w:name="_Toc288030352"/>
      <w:r/>
      <w:bookmarkStart w:id="266" w:name="_Toc20823335"/>
      <w:r/>
      <w:bookmarkStart w:id="267" w:name="_Toc282446316"/>
      <w:r/>
      <w:bookmarkStart w:id="268" w:name="_Toc399853491"/>
      <w:r/>
      <w:bookmarkStart w:id="269" w:name="_Toc16938579"/>
      <w:r/>
      <w:bookmarkStart w:id="270" w:name="_Toc513029263"/>
      <w:r/>
      <w:bookmarkStart w:id="271" w:name="_Toc120614242"/>
      <w:r/>
      <w:bookmarkStart w:id="272" w:name="_Toc462564122"/>
      <w:r/>
      <w:bookmarkStart w:id="273" w:name="_Toc399227849"/>
      <w:r/>
      <w:bookmarkStart w:id="274" w:name="_Toc399658024"/>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75" w:name="_Toc399658025"/>
      <w:r/>
      <w:bookmarkStart w:id="276" w:name="_Toc399228183"/>
      <w:r/>
      <w:bookmarkStart w:id="277" w:name="_Toc20823336"/>
      <w:r/>
      <w:bookmarkStart w:id="278" w:name="_Toc282446317"/>
      <w:r/>
      <w:bookmarkStart w:id="279" w:name="_Toc513029264"/>
      <w:r/>
      <w:bookmarkStart w:id="280" w:name="_Toc399227850"/>
      <w:r/>
      <w:bookmarkStart w:id="281" w:name="_Toc120614243"/>
      <w:r/>
      <w:bookmarkStart w:id="282" w:name="_Toc288030353"/>
      <w:r/>
      <w:bookmarkStart w:id="283" w:name="_Toc399853492"/>
      <w:r/>
      <w:bookmarkStart w:id="284" w:name="_Toc16938580"/>
      <w:r/>
      <w:bookmarkStart w:id="285" w:name="_Toc416720372"/>
      <w:r/>
      <w:bookmarkStart w:id="286" w:name="_Toc46256412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rPr>
          <w:rFonts w:hint="eastAsia" w:ascii="宋体" w:hAnsi="宋体" w:eastAsia="宋体" w:cs="宋体"/>
        </w:rPr>
      </w:r>
      <w:r/>
    </w:p>
    <w:p>
      <w:pPr>
        <w:pStyle w:val="976"/>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Pr>
          <w:rFonts w:hint="eastAsia" w:ascii="宋体" w:hAnsi="宋体" w:cs="宋体"/>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rPr>
          <w:rFonts w:hint="eastAsia" w:ascii="宋体" w:hAnsi="宋体" w:eastAsia="宋体" w:cs="宋体"/>
          <w:b/>
          <w:bCs/>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宋体"/>
          <w:color w:val="000000"/>
          <w:szCs w:val="21"/>
          <w:highlight w:val="none"/>
        </w:rPr>
      </w:r>
      <w:r/>
    </w:p>
    <w:p>
      <w:pPr>
        <w:pStyle w:val="974"/>
        <w:numPr>
          <w:ilvl w:val="0"/>
          <w:numId w:val="17"/>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rPr>
          <w:rFonts w:hint="eastAsia" w:ascii="宋体" w:hAnsi="宋体" w:eastAsia="宋体" w:cs="宋体"/>
          <w:b/>
          <w:bCs/>
          <w:szCs w:val="21"/>
          <w:highlight w:val="none"/>
        </w:rPr>
      </w:r>
      <w:r/>
    </w:p>
    <w:p>
      <w:pPr>
        <w:pStyle w:val="976"/>
        <w:ind w:firstLine="526"/>
        <w:rPr>
          <w:rFonts w:hint="eastAsia"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合同签订之后付至合同价的50%，余款在项目验收合格之后一次性付清。</w:t>
      </w:r>
      <w:r>
        <w:rPr>
          <w:rFonts w:hint="eastAsia" w:ascii="宋体" w:hAnsi="宋体" w:eastAsia="宋体" w:cs="宋体"/>
          <w:b w:val="0"/>
          <w:bCs w:val="0"/>
          <w:color w:val="000000"/>
          <w:sz w:val="26"/>
          <w:szCs w:val="21"/>
          <w:highlight w:val="none"/>
          <w:lang w:val="en-US" w:eastAsia="zh-CN" w:bidi="ar-SA"/>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rPr>
          <w:rFonts w:hint="eastAsia" w:ascii="宋体" w:hAnsi="宋体" w:eastAsia="宋体" w:cs="宋体"/>
          <w:b/>
          <w:bCs/>
          <w:szCs w:val="21"/>
          <w:highlight w:val="none"/>
        </w:rPr>
      </w:r>
      <w:r/>
    </w:p>
    <w:p>
      <w:pPr>
        <w:pStyle w:val="974"/>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100日历天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74"/>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1129"/>
          <w:rFonts w:hint="eastAsia" w:ascii="宋体" w:hAnsi="宋体" w:eastAsia="宋体" w:cs="宋体"/>
          <w:color w:val="000000"/>
          <w:szCs w:val="21"/>
          <w:highlight w:val="none"/>
          <w:lang w:eastAsia="zh-CN"/>
        </w:rPr>
        <w:t xml:space="preserve">合同价的</w:t>
      </w:r>
      <w:r>
        <w:rPr>
          <w:rStyle w:val="1129"/>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p>
      <w:pPr>
        <w:pStyle w:val="974"/>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  </w:t>
      </w:r>
      <w:r>
        <w:rPr>
          <w:rFonts w:hint="eastAsia" w:ascii="宋体" w:hAnsi="宋体" w:eastAsia="宋体" w:cs="宋体"/>
          <w:bCs/>
          <w:highlight w:val="none"/>
          <w:lang w:val="en-US"/>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rPr>
      </w:r>
      <w:r/>
    </w:p>
    <w:p>
      <w:pPr>
        <w:pStyle w:val="974"/>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975"/>
        <w:jc w:val="left"/>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Pr>
          <w:rFonts w:ascii="宋体" w:hAnsi="宋体" w:eastAsia="宋体"/>
          <w:color w:val="000000"/>
          <w:sz w:val="30"/>
          <w:szCs w:val="30"/>
        </w:rPr>
      </w:r>
      <w:r/>
    </w:p>
    <w:p>
      <w:pPr>
        <w:pStyle w:val="974"/>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1077"/>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rPr>
          <w:rFonts w:hAnsi="宋体" w:eastAsia="宋体"/>
          <w:color w:val="000000"/>
          <w:sz w:val="24"/>
          <w:szCs w:val="24"/>
        </w:rPr>
      </w:r>
      <w:r/>
    </w:p>
    <w:p>
      <w:pPr>
        <w:pStyle w:val="974"/>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1001"/>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rPr>
          <w:rFonts w:hint="eastAsia" w:hAnsi="宋体" w:eastAsia="宋体"/>
          <w:color w:val="000000"/>
          <w:sz w:val="24"/>
          <w:szCs w:val="24"/>
        </w:rPr>
      </w:r>
      <w:r/>
    </w:p>
    <w:p>
      <w:pPr>
        <w:pStyle w:val="974"/>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974"/>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rPr>
          <w:rFonts w:hint="eastAsia" w:ascii="宋体" w:hAnsi="宋体" w:eastAsia="宋体"/>
          <w:sz w:val="24"/>
          <w:szCs w:val="24"/>
        </w:rPr>
      </w:r>
      <w:r/>
    </w:p>
    <w:p>
      <w:pPr>
        <w:pStyle w:val="974"/>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rPr>
          <w:rFonts w:hint="eastAsia" w:ascii="宋体" w:hAnsi="宋体" w:eastAsia="宋体"/>
          <w:b/>
          <w:sz w:val="30"/>
          <w:szCs w:val="30"/>
        </w:rPr>
      </w:r>
      <w:r/>
    </w:p>
    <w:p>
      <w:pPr>
        <w:pStyle w:val="1001"/>
        <w:rPr>
          <w:rFonts w:hint="eastAsia" w:hAnsi="宋体" w:eastAsia="宋体"/>
          <w:b/>
          <w:sz w:val="30"/>
          <w:szCs w:val="30"/>
          <w:lang w:eastAsia="zh-CN"/>
        </w:rPr>
      </w:pPr>
      <w:r>
        <w:rPr>
          <w:rFonts w:hint="eastAsia" w:hAnsi="宋体" w:eastAsia="宋体"/>
          <w:b/>
          <w:sz w:val="30"/>
          <w:szCs w:val="30"/>
          <w:lang w:eastAsia="zh-CN"/>
        </w:rPr>
        <w:t xml:space="preserve">评标办法</w:t>
      </w:r>
      <w:r>
        <w:rPr>
          <w:rFonts w:hint="eastAsia" w:hAnsi="宋体" w:eastAsia="宋体"/>
          <w:b/>
          <w:sz w:val="30"/>
          <w:szCs w:val="30"/>
          <w:lang w:eastAsia="zh-CN"/>
        </w:rPr>
      </w:r>
      <w:r/>
    </w:p>
    <w:tbl>
      <w:tblPr>
        <w:tblW w:w="524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2"/>
        <w:gridCol w:w="1491"/>
        <w:gridCol w:w="7085"/>
        <w:gridCol w:w="736"/>
      </w:tblGrid>
      <w:tr>
        <w:trPr>
          <w:trHeight w:val="617"/>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评审项目</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1"/>
                <w:sz w:val="21"/>
                <w:szCs w:val="21"/>
                <w:highlight w:val="none"/>
              </w:rPr>
              <w:t xml:space="preserve">评审细则</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3"/>
                <w:sz w:val="21"/>
                <w:szCs w:val="21"/>
                <w:highlight w:val="none"/>
              </w:rPr>
              <w:t xml:space="preserve">分</w:t>
            </w:r>
            <w:r>
              <w:rPr>
                <w:rFonts w:hint="eastAsia" w:ascii="宋体" w:hAnsi="宋体" w:eastAsia="宋体" w:cs="宋体"/>
                <w:spacing w:val="-2"/>
                <w:sz w:val="21"/>
                <w:szCs w:val="21"/>
                <w:highlight w:val="none"/>
              </w:rPr>
              <w:t xml:space="preserve">值</w:t>
            </w:r>
            <w:r>
              <w:rPr>
                <w:rFonts w:hint="eastAsia" w:ascii="宋体" w:hAnsi="宋体" w:eastAsia="宋体" w:cs="宋体"/>
                <w:color w:val="000000"/>
                <w:szCs w:val="21"/>
                <w:highlight w:val="none"/>
              </w:rPr>
            </w:r>
            <w:r/>
          </w:p>
        </w:tc>
      </w:tr>
      <w:tr>
        <w:trPr>
          <w:trHeight w:val="1251"/>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w:t>
            </w:r>
            <w:r>
              <w:rPr>
                <w:rFonts w:hint="eastAsia" w:ascii="宋体" w:hAnsi="宋体" w:eastAsia="宋体" w:cs="宋体"/>
                <w:color w:val="000000"/>
                <w:szCs w:val="21"/>
                <w:highlight w:val="none"/>
              </w:rPr>
            </w:r>
            <w:r/>
          </w:p>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475" w:type="dxa"/>
            <w:vAlign w:val="center"/>
            <w:textDirection w:val="lrTb"/>
            <w:noWrap w:val="false"/>
          </w:tcPr>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评标基准价=满足招标文件要求且</w:t>
            </w:r>
            <w:r>
              <w:rPr>
                <w:rFonts w:hint="eastAsia" w:ascii="宋体" w:hAnsi="宋体" w:eastAsia="宋体" w:cs="宋体"/>
                <w:color w:val="000000"/>
                <w:highlight w:val="none"/>
                <w:lang w:val="en-US" w:eastAsia="zh-CN"/>
              </w:rPr>
              <w:t xml:space="preserve">价格</w:t>
            </w:r>
            <w:r>
              <w:rPr>
                <w:rFonts w:hint="eastAsia" w:ascii="宋体" w:hAnsi="宋体" w:eastAsia="宋体" w:cs="宋体"/>
                <w:color w:val="000000"/>
                <w:highlight w:val="none"/>
                <w:lang w:val="zh-CN"/>
              </w:rPr>
              <w:t xml:space="preserve">最低的</w:t>
            </w:r>
            <w:r>
              <w:rPr>
                <w:rFonts w:hint="eastAsia" w:ascii="宋体" w:hAnsi="宋体" w:eastAsia="宋体" w:cs="宋体"/>
                <w:color w:val="000000"/>
                <w:highlight w:val="none"/>
                <w:lang w:val="en-US" w:eastAsia="zh-CN"/>
              </w:rPr>
              <w:t xml:space="preserve">投标报价</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基准价得分为满分</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zh-CN"/>
              </w:rPr>
              <w:t xml:space="preserve">分，其他投标人报价得分计算公式如下：</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报价得分=（评标基准价/投标报价）×</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0%×100；</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（保留二位小数）</w:t>
            </w:r>
            <w:r>
              <w:rPr>
                <w:rFonts w:hint="eastAsia" w:ascii="宋体" w:hAnsi="宋体" w:eastAsia="宋体" w:cs="宋体"/>
                <w:color w:val="000000"/>
                <w:highlight w:val="none"/>
                <w:lang w:val="zh-CN"/>
              </w:rPr>
            </w:r>
            <w:r/>
          </w:p>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lang w:val="zh-CN"/>
              </w:rPr>
              <w:t xml:space="preserve">注：价格得分小数点后保留2位数。</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供应商提供20</w:t>
            </w: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月1日(以合同签订日期为准) 以来承担过</w:t>
            </w:r>
            <w:r>
              <w:rPr>
                <w:rFonts w:hint="eastAsia" w:ascii="宋体" w:hAnsi="宋体" w:eastAsia="宋体" w:cs="宋体"/>
                <w:color w:val="000000"/>
                <w:sz w:val="21"/>
                <w:szCs w:val="21"/>
                <w:highlight w:val="none"/>
                <w:lang w:val="en-US" w:eastAsia="zh-CN"/>
              </w:rPr>
              <w:t xml:space="preserve">设计、施工过或设计施工一体化</w:t>
            </w:r>
            <w:r>
              <w:rPr>
                <w:rFonts w:hint="eastAsia" w:ascii="宋体" w:hAnsi="宋体" w:eastAsia="宋体" w:cs="宋体"/>
                <w:color w:val="000000"/>
                <w:highlight w:val="none"/>
              </w:rPr>
              <w:t xml:space="preserve">类似展馆（不含博览会展馆）、文化展陈</w:t>
            </w:r>
            <w:r>
              <w:rPr>
                <w:rFonts w:hint="eastAsia" w:ascii="宋体" w:hAnsi="宋体" w:eastAsia="宋体" w:cs="宋体"/>
                <w:color w:val="000000"/>
                <w:highlight w:val="none"/>
                <w:lang w:val="en-US" w:eastAsia="zh-CN"/>
              </w:rPr>
              <w:t xml:space="preserve">业绩</w:t>
            </w:r>
            <w:r>
              <w:rPr>
                <w:rFonts w:hint="eastAsia" w:ascii="宋体" w:hAnsi="宋体" w:eastAsia="宋体" w:cs="宋体"/>
                <w:color w:val="000000"/>
                <w:highlight w:val="none"/>
              </w:rPr>
              <w:t xml:space="preserve">项目每提供一个得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分，最高</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分，(提供的合同复印件加盖公章，</w:t>
            </w:r>
            <w:r>
              <w:rPr>
                <w:rFonts w:hint="eastAsia" w:ascii="宋体" w:hAnsi="宋体" w:eastAsia="宋体" w:cs="宋体"/>
                <w:color w:val="000000"/>
                <w:sz w:val="21"/>
                <w:szCs w:val="21"/>
                <w:highlight w:val="none"/>
                <w:lang w:val="en-US" w:eastAsia="zh-CN"/>
              </w:rPr>
              <w:t xml:space="preserve">如合同中未能体现相关内容的还需提供由用户出具的证明材料原件复印件加盖公章</w:t>
            </w:r>
            <w:r>
              <w:rPr>
                <w:rFonts w:hint="eastAsia" w:ascii="宋体" w:hAnsi="宋体" w:eastAsia="宋体" w:cs="宋体"/>
                <w:color w:val="000000"/>
                <w:highlight w:val="none"/>
              </w:rPr>
              <w:t xml:space="preserve">否则不予计分)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r>
      <w:tr>
        <w:trPr>
          <w:trHeight w:val="759"/>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服务承诺</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供应商提供相应的服务承诺，承诺</w:t>
            </w:r>
            <w:r>
              <w:rPr>
                <w:rFonts w:hint="eastAsia" w:ascii="宋体" w:hAnsi="宋体" w:eastAsia="宋体" w:cs="宋体"/>
                <w:color w:val="000000"/>
                <w:highlight w:val="none"/>
              </w:rPr>
              <w:t xml:space="preserve">质保期</w:t>
            </w:r>
            <w:r>
              <w:rPr>
                <w:rFonts w:hint="eastAsia" w:ascii="宋体" w:hAnsi="宋体" w:eastAsia="宋体" w:cs="宋体"/>
                <w:color w:val="000000"/>
                <w:highlight w:val="none"/>
                <w:lang w:val="en-US" w:eastAsia="zh-CN"/>
              </w:rPr>
              <w:t xml:space="preserve">满1</w:t>
            </w:r>
            <w:r>
              <w:rPr>
                <w:rFonts w:hint="eastAsia" w:ascii="宋体" w:hAnsi="宋体" w:eastAsia="宋体" w:cs="宋体"/>
                <w:color w:val="000000"/>
                <w:highlight w:val="none"/>
              </w:rPr>
              <w:t xml:space="preserve">年的</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rPr>
              <w:t xml:space="preserve">，承诺质保期</w:t>
            </w:r>
            <w:r>
              <w:rPr>
                <w:rFonts w:hint="eastAsia" w:ascii="宋体" w:hAnsi="宋体" w:eastAsia="宋体" w:cs="宋体"/>
                <w:color w:val="000000"/>
                <w:highlight w:val="none"/>
                <w:lang w:val="en-US" w:eastAsia="zh-CN"/>
              </w:rPr>
              <w:t xml:space="preserve">满2年的得4分，承诺质保期满3年的得6分，</w:t>
            </w:r>
            <w:r>
              <w:rPr>
                <w:rFonts w:hint="eastAsia" w:ascii="宋体" w:hAnsi="宋体" w:eastAsia="宋体" w:cs="宋体"/>
                <w:color w:val="000000"/>
                <w:highlight w:val="none"/>
              </w:rPr>
              <w:t xml:space="preserve">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（承诺函格式自拟，加盖供应商公章）</w:t>
            </w:r>
            <w:r>
              <w:rPr>
                <w:rFonts w:hint="eastAsia" w:ascii="宋体" w:hAnsi="宋体" w:eastAsia="宋体" w:cs="宋体"/>
                <w:color w:val="000000"/>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highlight w:val="none"/>
              </w:rPr>
              <w:t xml:space="preserve">卷宗仿制</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根据布展要求</w:t>
            </w:r>
            <w:r>
              <w:rPr>
                <w:rFonts w:hint="eastAsia" w:ascii="宋体" w:hAnsi="宋体" w:eastAsia="宋体" w:cs="宋体"/>
                <w:color w:val="000000"/>
                <w:highlight w:val="none"/>
              </w:rPr>
              <w:t xml:space="preserve">需展示老卷宗</w:t>
            </w:r>
            <w:r>
              <w:rPr>
                <w:rFonts w:hint="eastAsia" w:ascii="宋体" w:hAnsi="宋体" w:eastAsia="宋体" w:cs="宋体"/>
                <w:color w:val="000000"/>
                <w:szCs w:val="21"/>
                <w:highlight w:val="none"/>
              </w:rPr>
              <w:t xml:space="preserve">文本</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根据提供的实物照片制作</w:t>
            </w:r>
            <w:r>
              <w:rPr>
                <w:rFonts w:hint="eastAsia" w:ascii="宋体" w:hAnsi="宋体" w:eastAsia="宋体" w:cs="宋体"/>
                <w:color w:val="000000"/>
                <w:szCs w:val="21"/>
                <w:highlight w:val="none"/>
              </w:rPr>
              <w:t xml:space="preserve">老卷宗仿制样品</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要求仿制品能够真实再现，表现出历史和时间的痕迹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rPr>
            </w:pPr>
            <w:r>
              <w:rPr>
                <w:rFonts w:hint="eastAsia" w:ascii="宋体" w:hAnsi="宋体" w:eastAsia="宋体" w:cs="宋体"/>
                <w:color w:val="000000"/>
                <w:highlight w:val="none"/>
              </w:rPr>
              <w:t xml:space="preserve">仿制品真实、有历史和时间痕迹，得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分；仿制品较真实，较有历史和时间痕迹，得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此项评分需提供仿制样品的照片，提供的照片需能从各个角度体现仿制样品的上述得分要点，否则造成的此项得分缺失由供应商自己负责。（注：如供应商提供了仿制样品图片，在供应商中标后，签订合同前，需将提供的仿制样品送至招标人处审查，如与投标文件提供的照片不符或拒不提供的，招标人有权取消其中标资格。）</w:t>
            </w:r>
            <w:r>
              <w:rPr>
                <w:rFonts w:hint="eastAsia" w:ascii="宋体" w:hAnsi="宋体" w:eastAsia="宋体" w:cs="宋体"/>
                <w:color w:val="000000"/>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r>
      <w:tr>
        <w:trPr>
          <w:trHeight w:val="2020"/>
        </w:trPr>
        <w:tc>
          <w:tcPr>
            <w:tcW w:w="432" w:type="dxa"/>
            <w:vAlign w:val="center"/>
            <w:vMerge w:val="restart"/>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2"/>
                <w:highlight w:val="none"/>
              </w:rPr>
              <w:t xml:space="preserve">文化艺术品</w:t>
            </w:r>
            <w:r>
              <w:rPr>
                <w:rFonts w:hint="eastAsia" w:ascii="宋体" w:hAnsi="宋体" w:eastAsia="宋体" w:cs="宋体"/>
                <w:color w:val="000000"/>
                <w:spacing w:val="-2"/>
                <w:highlight w:val="none"/>
                <w:lang w:val="en-US" w:eastAsia="zh-CN"/>
              </w:rPr>
              <w:t xml:space="preserve">二次</w:t>
            </w:r>
            <w:r>
              <w:rPr>
                <w:rFonts w:hint="eastAsia" w:ascii="宋体" w:hAnsi="宋体" w:eastAsia="宋体" w:cs="宋体"/>
                <w:color w:val="000000"/>
                <w:spacing w:val="-2"/>
                <w:highlight w:val="none"/>
              </w:rPr>
              <w:t xml:space="preserve">深化</w:t>
            </w:r>
            <w:r>
              <w:rPr>
                <w:rFonts w:hint="eastAsia" w:ascii="宋体" w:hAnsi="宋体" w:eastAsia="宋体" w:cs="宋体"/>
                <w:color w:val="000000"/>
                <w:szCs w:val="21"/>
                <w:highlight w:val="none"/>
                <w:lang w:val="en-US" w:eastAsia="zh-CN"/>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一层大厅浮雕壁画二次深化设计(3.9m*2.2m)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（1）内容要求：体现泰州地域文化特色、泰州法院文化传承底蕴，以及法治文化的精神内核与鲜明特质，三者有机结合、主题突出。</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（2）线描稿要求：根据效果图由供应商完成二次深化设计，提供浮雕壁画线描稿1幅（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。要求线条清晰、疏密合理，构图均衡大气、层次明确，可直接用于浮雕壁画的后续制作。</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z w:val="21"/>
                <w:szCs w:val="21"/>
                <w:highlight w:val="none"/>
                <w:lang w:val="en-US" w:eastAsia="zh-CN"/>
              </w:rPr>
            </w:r>
            <w:r/>
          </w:p>
          <w:p>
            <w:pPr>
              <w:pStyle w:val="974"/>
              <w:jc w:val="left"/>
              <w:spacing w:before="6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2020"/>
        </w:trPr>
        <w:tc>
          <w:tcPr>
            <w:tcW w:w="432" w:type="dxa"/>
            <w:vAlign w:val="center"/>
            <w:vMerge w:val="continue"/>
            <w:textDirection w:val="lrTb"/>
            <w:noWrap w:val="false"/>
          </w:tcPr>
          <w:p>
            <w:pPr>
              <w:pStyle w:val="974"/>
              <w:jc w:val="center"/>
              <w:spacing w:line="280" w:lineRule="exact"/>
              <w:tabs>
                <w:tab w:val="left" w:pos="8400" w:leader="none"/>
              </w:tabs>
              <w:rPr>
                <w:highlight w:val="none"/>
              </w:rPr>
            </w:pPr>
            <w:r>
              <w:rPr>
                <w:highlight w:val="none"/>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一层主席箴言二次深化设计(6.9m*2.6m)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（1）风格与整体要求：作为主席箴言的背景装饰，作品风格需庄重大气，与主席箴言形成呼应、交相辉映，明确主次关系，确保整体视觉统一，符合壁画平面装饰的核心需求。</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。要求构图均衡协调、疏密得当，线条清晰流畅、层次分明，可直接用于后续雕刻制作。</w:t>
            </w:r>
            <w:r>
              <w:rPr>
                <w:rFonts w:hint="eastAsia" w:ascii="宋体" w:hAnsi="宋体" w:eastAsia="宋体" w:cs="宋体"/>
                <w:color w:val="000000"/>
                <w:sz w:val="21"/>
                <w:szCs w:val="21"/>
                <w:highlight w:val="none"/>
                <w:lang w:val="en-US" w:eastAsia="zh-CN"/>
              </w:rPr>
            </w:r>
            <w:r/>
          </w:p>
          <w:p>
            <w:pPr>
              <w:pStyle w:val="974"/>
              <w:jc w:val="left"/>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pacing w:val="-2"/>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10</w:t>
            </w:r>
            <w:r>
              <w:rPr>
                <w:rFonts w:ascii="宋体" w:hAnsi="宋体" w:eastAsia="宋体" w:cs="宋体"/>
                <w:color w:val="000000"/>
                <w:spacing w:val="-2"/>
                <w:highlight w:val="none"/>
                <w:lang w:val="en-US" w:eastAsia="zh-CN"/>
              </w:rPr>
            </w:r>
            <w:r/>
          </w:p>
        </w:tc>
      </w:tr>
      <w:tr>
        <w:trPr>
          <w:trHeight w:val="1551"/>
        </w:trPr>
        <w:tc>
          <w:tcPr>
            <w:tcW w:w="432" w:type="dxa"/>
            <w:vAlign w:val="center"/>
            <w:vMerge w:val="restart"/>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布展</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项目实施方案</w:t>
            </w:r>
            <w:r>
              <w:rPr>
                <w:rFonts w:hint="eastAsia" w:ascii="宋体" w:hAnsi="宋体" w:eastAsia="宋体" w:cs="宋体"/>
                <w:color w:val="000000"/>
                <w:highlight w:val="none"/>
              </w:rPr>
            </w:r>
            <w:r/>
          </w:p>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项目实施方案： 包括安装、调试，项目组人员配备、时间进度安排等进行打分。方案科学、具体、具有可行性，得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分；方案合理、较具体、基本具有可行性，得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分；方案的合理程度、具体程度、可行性较差，得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r>
      <w:tr>
        <w:trPr>
          <w:trHeight w:val="174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小组根据供应商提供的售后服务方案（如服务体系、服务内容、故障解决方案、专业技术人员保障及服务电话等）综合评分。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优于项目需求，科学合理、针对性强、可行性高的，得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符合项目需求，较为科学合理、针对性较强、可行性较强的，得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基本符合项目需求，科学合理性较差、针对性较低、可行性一般的，得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107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spacing w:val="-2"/>
                <w:sz w:val="21"/>
                <w:szCs w:val="21"/>
                <w:highlight w:val="none"/>
              </w:rPr>
              <w:t xml:space="preserve">验</w:t>
            </w:r>
            <w:r>
              <w:rPr>
                <w:rFonts w:hint="eastAsia" w:ascii="宋体" w:hAnsi="宋体" w:eastAsia="宋体" w:cs="宋体"/>
                <w:spacing w:val="-1"/>
                <w:sz w:val="21"/>
                <w:szCs w:val="21"/>
                <w:highlight w:val="none"/>
              </w:rPr>
              <w:t xml:space="preserve">收方</w:t>
            </w:r>
            <w:r>
              <w:rPr>
                <w:rFonts w:hint="eastAsia" w:ascii="宋体" w:hAnsi="宋体" w:eastAsia="宋体" w:cs="宋体"/>
                <w:sz w:val="21"/>
                <w:szCs w:val="21"/>
                <w:highlight w:val="none"/>
              </w:rPr>
              <w:t xml:space="preserve">案</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提供验收方案进行打分。方案科学、具体、具有可行性，得5分；方案合理、较具体、基本具有可行性，得3分；方案的合理程度、具体程度、可行性较差，得1分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bl>
    <w:p>
      <w:pPr>
        <w:pStyle w:val="985"/>
        <w:ind w:firstLine="486"/>
        <w:rPr>
          <w:lang w:val="en-US" w:eastAsia="zh-CN"/>
        </w:rPr>
      </w:pPr>
      <w:r>
        <w:rPr>
          <w:rFonts w:hint="eastAsia" w:ascii="宋体" w:hAnsi="宋体" w:eastAsia="宋体" w:cs="宋体"/>
          <w:sz w:val="24"/>
        </w:rPr>
        <w:t xml:space="preserve">说明：上述评分标准中须提供相关的各种资格、资质、证书、证明材料等提供复印件加盖公章，供应商必须保证所提供资料的真实性和完整性，如发现存在骗取成交等虚假行为，将依据法律规定取消其中标资格。</w:t>
      </w:r>
      <w:r>
        <w:rPr>
          <w:lang w:val="en-US" w:eastAsia="zh-CN"/>
        </w:rPr>
      </w:r>
      <w:r/>
    </w:p>
    <w:p>
      <w:pPr>
        <w:pStyle w:val="974"/>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ascii="宋体" w:hAnsi="宋体" w:eastAsia="宋体"/>
          <w:b/>
          <w:bCs/>
          <w:sz w:val="24"/>
          <w:szCs w:val="24"/>
        </w:rPr>
      </w:r>
      <w:r/>
    </w:p>
    <w:p>
      <w:pPr>
        <w:pStyle w:val="974"/>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rPr>
          <w:rFonts w:hint="eastAsia" w:hAnsi="宋体" w:eastAsia="宋体"/>
          <w:color w:val="000000"/>
          <w:sz w:val="24"/>
          <w:szCs w:val="24"/>
        </w:rPr>
      </w:r>
      <w:r/>
    </w:p>
    <w:p>
      <w:pPr>
        <w:pStyle w:val="974"/>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rPr>
          <w:rFonts w:ascii="宋体" w:hAnsi="宋体" w:eastAsia="宋体"/>
          <w:sz w:val="24"/>
          <w:szCs w:val="24"/>
        </w:rPr>
      </w:r>
      <w:r/>
    </w:p>
    <w:p>
      <w:pPr>
        <w:pStyle w:val="1020"/>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288"/>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1020"/>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rPr>
          <w:rFonts w:eastAsia="宋体"/>
          <w:lang w:val="en-US" w:eastAsia="zh-CN"/>
        </w:rPr>
      </w:r>
      <w:r/>
    </w:p>
    <w:p>
      <w:pPr>
        <w:pStyle w:val="1020"/>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二、上一年度的财务状况报告（投标供应商成立不满一年无需提供）</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内至少一个月依法缴纳税收及缴纳社会保障资金的证明材料。供应商依法享受缓缴、免缴税收、社会保障资金的提供证明材料。）</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八、投标函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九、小微企业声明函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十、残疾人福利性单位声明函</w:t>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投标偏离表</w:t>
      </w:r>
      <w:r>
        <w:rPr>
          <w:rFonts w:hint="eastAsia" w:ascii="宋体" w:hAnsi="宋体" w:eastAsia="宋体" w:cs="宋体"/>
          <w:color w:val="000000"/>
          <w:sz w:val="24"/>
          <w:szCs w:val="24"/>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十二、分项报价表（投标报价清单）</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十三、开标一览表</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b/>
          <w:bCs/>
          <w:sz w:val="24"/>
          <w:highlight w:val="none"/>
        </w:rPr>
        <w:t xml:space="preserve">原件扫描件</w:t>
      </w:r>
      <w:r>
        <w:rPr>
          <w:rFonts w:hint="eastAsia" w:ascii="宋体" w:hAnsi="宋体"/>
          <w:bCs/>
          <w:sz w:val="24"/>
          <w:highlight w:val="none"/>
        </w:rPr>
        <w:t xml:space="preserve">；</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1020"/>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20"/>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rPr>
          <w:rFonts w:hint="eastAsia" w:ascii="宋体" w:hAnsi="宋体" w:eastAsia="宋体" w:cs="宋体"/>
          <w:b/>
          <w:sz w:val="32"/>
          <w:szCs w:val="32"/>
        </w:rPr>
      </w:r>
      <w:r/>
    </w:p>
    <w:p>
      <w:pPr>
        <w:pStyle w:val="1001"/>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rPr>
          <w:rFonts w:hAnsi="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1077"/>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1077"/>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日期：         年月日</w:t>
      </w:r>
      <w:r>
        <w:rPr>
          <w:rFonts w:hAnsi="宋体" w:eastAsia="宋体"/>
          <w:sz w:val="24"/>
          <w:szCs w:val="24"/>
        </w:rPr>
      </w:r>
      <w:r/>
    </w:p>
    <w:p>
      <w:pPr>
        <w:pStyle w:val="1020"/>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黑体" w:hAnsi="宋体" w:eastAsia="黑体" w:cs="黑体"/>
          <w:b/>
          <w:bCs/>
          <w:color w:val="000000"/>
          <w:sz w:val="32"/>
          <w:szCs w:val="32"/>
        </w:rPr>
      </w:r>
      <w:r/>
    </w:p>
    <w:p>
      <w:pPr>
        <w:pStyle w:val="974"/>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中小企业声明函（工程、服务）</w:t>
      </w:r>
      <w:r>
        <w:rPr>
          <w:rFonts w:hint="eastAsia" w:ascii="宋体" w:hAnsi="宋体" w:eastAsia="宋体" w:cs="宋体"/>
          <w:b/>
          <w:bCs/>
          <w:color w:val="000000"/>
          <w:sz w:val="36"/>
          <w:szCs w:val="36"/>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z w:val="24"/>
          <w:u w:val="single"/>
          <w:lang w:eastAsia="zh-CN"/>
        </w:rPr>
        <w:t xml:space="preserve">泰州市中级人民法院大案要案法庭改（扩）建文化布展服务</w:t>
      </w:r>
      <w:r>
        <w:rPr>
          <w:rFonts w:hint="eastAsia" w:ascii="宋体" w:hAnsi="宋体" w:eastAsia="宋体" w:cs="宋体"/>
          <w:spacing w:val="6"/>
          <w:sz w:val="24"/>
        </w:rPr>
        <w:t xml:space="preserve">，属于</w:t>
      </w:r>
      <w:r>
        <w:rPr>
          <w:rFonts w:hint="eastAsia" w:ascii="宋体" w:hAnsi="宋体" w:eastAsia="宋体" w:cs="宋体"/>
          <w:sz w:val="24"/>
          <w:lang w:eastAsia="zh-CN"/>
        </w:rPr>
        <w:t xml:space="preserve">服务业</w:t>
      </w:r>
      <w:r>
        <w:rPr>
          <w:rFonts w:hint="eastAsia" w:ascii="宋体" w:hAnsi="宋体" w:eastAsia="宋体" w:cs="宋体"/>
          <w:spacing w:val="6"/>
          <w:sz w:val="24"/>
        </w:rPr>
        <w:t xml:space="preserve">；承建（承接）企业为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w:t>
      </w:r>
      <w:r>
        <w:rPr>
          <w:rFonts w:hint="eastAsia" w:ascii="宋体" w:hAnsi="宋体" w:eastAsia="宋体" w:cs="宋体"/>
          <w:spacing w:val="6"/>
          <w:sz w:val="24"/>
          <w:vertAlign w:val="superscript"/>
        </w:rPr>
        <w:t xml:space="preserve">1</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         </w:t>
      </w:r>
      <w:r>
        <w:rPr>
          <w:rFonts w:hint="eastAsia" w:ascii="宋体" w:hAnsi="宋体" w:eastAsia="宋体" w:cs="宋体"/>
          <w:spacing w:val="6"/>
          <w:sz w:val="24"/>
        </w:rPr>
        <w:t xml:space="preserve">（中型企业、小型企业、微型企业）。</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w:t>
      </w:r>
      <w:r>
        <w:rPr>
          <w:rFonts w:hint="eastAsia" w:ascii="宋体" w:hAnsi="宋体" w:eastAsia="宋体" w:cs="宋体"/>
          <w:spacing w:val="6"/>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企业名称（盖章）：________</w:t>
      </w: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rPr>
          <w:rFonts w:hint="eastAsia" w:ascii="宋体" w:hAnsi="宋体" w:eastAsia="宋体" w:cs="宋体"/>
          <w:color w:val="000000"/>
          <w:sz w:val="24"/>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67"/>
      </w:tblGrid>
      <w:tr>
        <w:trPr/>
        <w:tc>
          <w:tcPr>
            <w:tcW w:w="8946" w:type="dxa"/>
            <w:vAlign w:val="top"/>
            <w:textDirection w:val="lrTb"/>
            <w:noWrap/>
          </w:tcPr>
          <w:p>
            <w:pPr>
              <w:pStyle w:val="974"/>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01"/>
        <w:ind w:firstLine="482"/>
        <w:spacing w:line="520" w:lineRule="exact"/>
        <w:rPr>
          <w:rFonts w:hAnsi="宋体" w:cs="宋体"/>
          <w:b/>
          <w:sz w:val="24"/>
          <w:szCs w:val="24"/>
          <w:highlight w:val="none"/>
        </w:rPr>
      </w:pPr>
      <w:r>
        <w:rPr>
          <w:rFonts w:hAnsi="宋体" w:cs="宋体"/>
          <w:b/>
          <w:sz w:val="24"/>
          <w:szCs w:val="24"/>
          <w:highlight w:val="none"/>
        </w:r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1020"/>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项目采购活动由本单位提供服务。</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（备注：1、供应商如不提供此声明函，价格将不做相应扣除。2、中标人为残疾人福利单位的，此声明函将随中标结果同时公告，接受社会监督）</w:t>
      </w:r>
      <w:r/>
    </w:p>
    <w:p>
      <w:pPr>
        <w:pStyle w:val="1020"/>
        <w:ind w:left="0" w:firstLine="62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right="1560" w:firstLine="624"/>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20"/>
        <w:ind w:left="0" w:right="1560" w:firstLine="480"/>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w:t>
      </w:r>
      <w:r/>
    </w:p>
    <w:p>
      <w:pPr>
        <w:pStyle w:val="1020"/>
        <w:ind w:left="0" w:right="1560" w:firstLine="480"/>
        <w:jc w:val="center"/>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74"/>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rPr>
          <w:rFonts w:ascii="Arial" w:hAnsi="Arial" w:cs="Arial"/>
          <w:b/>
          <w:bCs/>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rPr>
          <w:rFonts w:hint="eastAsia" w:ascii="宋体" w:hAnsi="宋体" w:eastAsia="宋体" w:cs="宋体"/>
          <w:bCs/>
          <w:color w:val="000000"/>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790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rPr>
                <w:rFonts w:hint="eastAsia" w:ascii="宋体" w:hAnsi="宋体" w:eastAsia="宋体" w:cs="宋体"/>
                <w:color w:val="000000"/>
                <w:sz w:val="24"/>
                <w:highlight w:val="none"/>
                <w:shd w:val="clear" w:color="auto" w:fill="ffffff"/>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pStyle w:val="97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9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（2）如无任何技术偏离，请于本表 “偏离说明”中注明“无偏离”；</w:t>
      </w:r>
      <w:r>
        <w:rPr>
          <w:rFonts w:hint="eastAsia" w:ascii="宋体" w:hAnsi="宋体" w:eastAsia="宋体" w:cs="宋体"/>
          <w:bCs/>
          <w:color w:val="000000"/>
          <w:sz w:val="24"/>
          <w:highlight w:val="none"/>
        </w:rPr>
      </w:r>
      <w:r/>
    </w:p>
    <w:p>
      <w:pPr>
        <w:pStyle w:val="1020"/>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   （3）如有技术偏离项，请于本表中列明偏离内容，如需要可自行延长，其余无偏离内容不须赘述。</w:t>
      </w:r>
      <w:r>
        <w:rPr>
          <w:rFonts w:hint="eastAsia" w:ascii="宋体" w:hAnsi="宋体" w:eastAsia="宋体" w:cs="宋体"/>
        </w:rPr>
        <w:t xml:space="preserve"> </w:t>
      </w:r>
      <w:r>
        <w:rPr>
          <w:rFonts w:hint="eastAsia" w:ascii="宋体" w:hAnsi="宋体" w:eastAsia="宋体" w:cs="宋体"/>
        </w:rPr>
      </w:r>
      <w:r/>
    </w:p>
    <w:p>
      <w:pPr>
        <w:pStyle w:val="1020"/>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numPr>
          <w:ilvl w:val="0"/>
          <w:numId w:val="18"/>
        </w:numPr>
        <w:ind w:firstLine="723"/>
        <w:jc w:val="center"/>
        <w:keepLines w:val="0"/>
        <w:keepNext w:val="0"/>
        <w:pageBreakBefore w:val="0"/>
        <w:spacing w:before="0" w:beforeAutospacing="0" w:after="0" w:afterAutospacing="0" w:line="360" w:lineRule="auto"/>
        <w:widowControl w:val="off"/>
        <w:rPr>
          <w:rFonts w:hint="eastAsia" w:ascii="宋体" w:hAnsi="宋体" w:cs="宋体"/>
          <w:b/>
          <w:bCs/>
          <w:color w:val="000000"/>
          <w:sz w:val="36"/>
          <w:szCs w:val="36"/>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36"/>
          <w:szCs w:val="36"/>
          <w:lang w:eastAsia="zh-CN"/>
        </w:rPr>
        <w:t xml:space="preserve">分项报价表（投标报价清单）</w:t>
      </w:r>
      <w:r>
        <w:rPr>
          <w:rFonts w:hint="eastAsia" w:ascii="宋体" w:hAnsi="宋体" w:cs="宋体"/>
          <w:b/>
          <w:bCs/>
          <w:color w:val="000000"/>
          <w:sz w:val="36"/>
          <w:szCs w:val="36"/>
          <w:lang w:eastAsia="zh-CN"/>
        </w:rPr>
      </w:r>
      <w:r/>
    </w:p>
    <w:p>
      <w:pPr>
        <w:pStyle w:val="1078"/>
        <w:keepLines w:val="0"/>
        <w:keepNext w:val="0"/>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请各投标单位</w:t>
      </w:r>
      <w:r>
        <w:rPr>
          <w:rFonts w:hint="eastAsia" w:ascii="宋体" w:hAnsi="宋体" w:cs="宋体"/>
          <w:b/>
          <w:bCs/>
          <w:color w:val="000000"/>
          <w:sz w:val="28"/>
          <w:szCs w:val="28"/>
          <w:lang w:val="en-US" w:eastAsia="zh-CN" w:bidi="ar-SA"/>
        </w:rPr>
        <w:t xml:space="preserve">在第一次投标报价时</w:t>
      </w:r>
      <w:r>
        <w:rPr>
          <w:rFonts w:hint="eastAsia" w:ascii="宋体" w:hAnsi="宋体" w:eastAsia="宋体" w:cs="宋体"/>
          <w:b/>
          <w:bCs/>
          <w:color w:val="000000"/>
          <w:sz w:val="28"/>
          <w:szCs w:val="28"/>
          <w:lang w:val="en-US" w:eastAsia="zh-CN" w:bidi="ar-SA"/>
        </w:rPr>
        <w:t xml:space="preserve">严格按照附件一：（清单）泰州市中院审判楼法治文化和附件二：舞台灯光、机械幕布工程清单格式进行分项报价，投标人分项报价表中改变清单中项目名称、数量、单位、项目特征描述的做无效响应投标处理。</w:t>
      </w:r>
      <w:r>
        <w:rPr>
          <w:rFonts w:hint="eastAsia" w:ascii="宋体" w:hAnsi="宋体" w:eastAsia="宋体" w:cs="宋体"/>
          <w:b/>
          <w:bCs/>
          <w:color w:val="000000"/>
          <w:sz w:val="28"/>
          <w:szCs w:val="28"/>
          <w:lang w:val="en-US" w:eastAsia="zh-CN" w:bidi="ar-SA"/>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020"/>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十三、</w:t>
      </w:r>
      <w:r>
        <w:rPr>
          <w:rFonts w:ascii="黑体" w:hAnsi="宋体" w:eastAsia="黑体" w:cs="黑体"/>
          <w:b/>
          <w:bCs/>
          <w:i/>
          <w:iCs/>
          <w:color w:val="000000"/>
          <w:sz w:val="32"/>
          <w:szCs w:val="32"/>
          <w:u w:val="single"/>
        </w:rPr>
        <w:t xml:space="preserve">开标一览表</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1020"/>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102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rPr>
        <w:rStyle w:val="1030"/>
        <w:rFonts w:hint="eastAsia"/>
      </w:rPr>
      <w:t xml:space="preserve">第</w:t>
    </w:r>
    <w:r>
      <w:fldChar w:fldCharType="begin"/>
    </w:r>
    <w:r>
      <w:rPr>
        <w:rStyle w:val="1030"/>
      </w:rPr>
      <w:instrText xml:space="preserve">PAGE  </w:instrText>
    </w:r>
    <w:r>
      <w:fldChar w:fldCharType="separate"/>
    </w:r>
    <w:r>
      <w:rPr>
        <w:rStyle w:val="1030"/>
      </w:rPr>
      <w:t xml:space="preserve">52</w:t>
    </w:r>
    <w:r>
      <w:fldChar w:fldCharType="end"/>
    </w:r>
    <w:r>
      <w:rPr>
        <w:rStyle w:val="1030"/>
        <w:rFonts w:hint="eastAsia"/>
      </w:rPr>
      <w:t xml:space="preserve">页</w:t>
    </w:r>
    <w:r>
      <w:rPr>
        <w:rStyle w:val="1030"/>
      </w:rPr>
    </w:r>
    <w:r/>
  </w:p>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end"/>
    </w:r>
    <w:r>
      <w:rPr>
        <w:rStyle w:val="1030"/>
      </w:rPr>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center" w:pos="4153" w:leader="none"/>
        <w:tab w:val="right" w:pos="8306" w:leader="none"/>
      </w:tabs>
      <w:rPr>
        <w:rFonts w:hint="eastAsia"/>
        <w:lang w:eastAsia="zh-CN"/>
      </w:rPr>
      <w:pBdr>
        <w:bottom w:val="single" w:color="000000" w:sz="4" w:space="1"/>
      </w:pBdr>
    </w:pPr>
    <w:r>
      <w:rPr>
        <w:rFonts w:hint="eastAsia"/>
      </w:rPr>
      <w:t xml:space="preserve">标号：</w:t>
    </w:r>
    <w:r>
      <w:rPr>
        <w:rFonts w:hint="eastAsia"/>
        <w:lang w:eastAsia="zh-CN"/>
      </w:rPr>
      <w:t xml:space="preserve">  </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4"/>
      </w:pPr>
      <w:rPr>
        <w:b w:val="0"/>
        <w:bCs w:val="0"/>
        <w:sz w:val="20"/>
        <w:szCs w:val="20"/>
      </w:rPr>
    </w:lvl>
    <w:lvl w:ilvl="1">
      <w:start w:val="1"/>
      <w:numFmt w:val="bullet"/>
      <w:isLgl w:val="false"/>
      <w:suff w:val="tab"/>
      <w:lvlText w:val="o"/>
      <w:lvlJc w:val="left"/>
      <w:pPr>
        <w:pStyle w:val="974"/>
        <w:ind w:left="1440" w:hanging="360"/>
      </w:pPr>
      <w:rPr>
        <w:rFonts w:ascii="Courier New" w:hAnsi="Courier New" w:eastAsia="Courier New" w:cs="Courier New"/>
      </w:rPr>
    </w:lvl>
    <w:lvl w:ilvl="2">
      <w:start w:val="1"/>
      <w:numFmt w:val="bullet"/>
      <w:isLgl w:val="false"/>
      <w:suff w:val="tab"/>
      <w:lvlText w:val="§"/>
      <w:lvlJc w:val="left"/>
      <w:pPr>
        <w:pStyle w:val="974"/>
        <w:ind w:left="2160" w:hanging="360"/>
      </w:pPr>
      <w:rPr>
        <w:rFonts w:ascii="Wingdings" w:hAnsi="Wingdings" w:eastAsia="Wingdings" w:cs="Wingdings"/>
      </w:rPr>
    </w:lvl>
    <w:lvl w:ilvl="3">
      <w:start w:val="1"/>
      <w:numFmt w:val="bullet"/>
      <w:isLgl w:val="false"/>
      <w:suff w:val="tab"/>
      <w:lvlText w:val="·"/>
      <w:lvlJc w:val="left"/>
      <w:pPr>
        <w:pStyle w:val="974"/>
        <w:ind w:left="2880" w:hanging="360"/>
      </w:pPr>
      <w:rPr>
        <w:rFonts w:ascii="Symbol" w:hAnsi="Symbol" w:eastAsia="Symbol" w:cs="Symbol"/>
      </w:rPr>
    </w:lvl>
    <w:lvl w:ilvl="4">
      <w:start w:val="1"/>
      <w:numFmt w:val="bullet"/>
      <w:isLgl w:val="false"/>
      <w:suff w:val="tab"/>
      <w:lvlText w:val="o"/>
      <w:lvlJc w:val="left"/>
      <w:pPr>
        <w:pStyle w:val="974"/>
        <w:ind w:left="3600" w:hanging="360"/>
      </w:pPr>
      <w:rPr>
        <w:rFonts w:ascii="Courier New" w:hAnsi="Courier New" w:eastAsia="Courier New" w:cs="Courier New"/>
      </w:rPr>
    </w:lvl>
    <w:lvl w:ilvl="5">
      <w:start w:val="1"/>
      <w:numFmt w:val="bullet"/>
      <w:isLgl w:val="false"/>
      <w:suff w:val="tab"/>
      <w:lvlText w:val="§"/>
      <w:lvlJc w:val="left"/>
      <w:pPr>
        <w:pStyle w:val="974"/>
        <w:ind w:left="4320" w:hanging="360"/>
      </w:pPr>
      <w:rPr>
        <w:rFonts w:ascii="Wingdings" w:hAnsi="Wingdings" w:eastAsia="Wingdings" w:cs="Wingdings"/>
      </w:rPr>
    </w:lvl>
    <w:lvl w:ilvl="6">
      <w:start w:val="1"/>
      <w:numFmt w:val="bullet"/>
      <w:isLgl w:val="false"/>
      <w:suff w:val="tab"/>
      <w:lvlText w:val="·"/>
      <w:lvlJc w:val="left"/>
      <w:pPr>
        <w:pStyle w:val="974"/>
        <w:ind w:left="5040" w:hanging="360"/>
      </w:pPr>
      <w:rPr>
        <w:rFonts w:ascii="Symbol" w:hAnsi="Symbol" w:eastAsia="Symbol" w:cs="Symbol"/>
      </w:rPr>
    </w:lvl>
    <w:lvl w:ilvl="7">
      <w:start w:val="1"/>
      <w:numFmt w:val="bullet"/>
      <w:isLgl w:val="false"/>
      <w:suff w:val="tab"/>
      <w:lvlText w:val="o"/>
      <w:lvlJc w:val="left"/>
      <w:pPr>
        <w:pStyle w:val="974"/>
        <w:ind w:left="5760" w:hanging="360"/>
      </w:pPr>
      <w:rPr>
        <w:rFonts w:ascii="Courier New" w:hAnsi="Courier New" w:eastAsia="Courier New" w:cs="Courier New"/>
      </w:rPr>
    </w:lvl>
    <w:lvl w:ilvl="8">
      <w:start w:val="1"/>
      <w:numFmt w:val="bullet"/>
      <w:isLgl w:val="false"/>
      <w:suff w:val="tab"/>
      <w:lvlText w:val="§"/>
      <w:lvlJc w:val="left"/>
      <w:pPr>
        <w:pStyle w:val="97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4"/>
        <w:ind w:left="630" w:hanging="420"/>
        <w:tabs>
          <w:tab w:val="num" w:pos="630" w:leader="none"/>
        </w:tabs>
      </w:pPr>
      <w:rPr>
        <w:rFonts w:cs="Times New Roman"/>
      </w:rPr>
    </w:lvl>
    <w:lvl w:ilvl="1">
      <w:start w:val="1"/>
      <w:numFmt w:val="decimal"/>
      <w:isLgl w:val="false"/>
      <w:suff w:val="tab"/>
      <w:lvlText w:val="（%2）"/>
      <w:lvlJc w:val="left"/>
      <w:pPr>
        <w:pStyle w:val="974"/>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974"/>
        <w:ind w:left="1470" w:hanging="420"/>
        <w:tabs>
          <w:tab w:val="num" w:pos="1470" w:leader="none"/>
        </w:tabs>
      </w:pPr>
      <w:rPr>
        <w:rFonts w:cs="Times New Roman"/>
      </w:rPr>
    </w:lvl>
    <w:lvl w:ilvl="3">
      <w:start w:val="1"/>
      <w:numFmt w:val="decimal"/>
      <w:isLgl w:val="false"/>
      <w:suff w:val="tab"/>
      <w:lvlText w:val="%4."/>
      <w:lvlJc w:val="left"/>
      <w:pPr>
        <w:pStyle w:val="974"/>
        <w:ind w:left="1890" w:hanging="420"/>
        <w:tabs>
          <w:tab w:val="num" w:pos="1890" w:leader="none"/>
        </w:tabs>
      </w:pPr>
      <w:rPr>
        <w:rFonts w:cs="Times New Roman"/>
      </w:rPr>
    </w:lvl>
    <w:lvl w:ilvl="4">
      <w:start w:val="1"/>
      <w:numFmt w:val="lowerLetter"/>
      <w:isLgl w:val="false"/>
      <w:suff w:val="tab"/>
      <w:lvlText w:val="%5)"/>
      <w:lvlJc w:val="left"/>
      <w:pPr>
        <w:pStyle w:val="974"/>
        <w:ind w:left="2310" w:hanging="420"/>
        <w:tabs>
          <w:tab w:val="num" w:pos="2310" w:leader="none"/>
        </w:tabs>
      </w:pPr>
      <w:rPr>
        <w:rFonts w:cs="Times New Roman"/>
      </w:rPr>
    </w:lvl>
    <w:lvl w:ilvl="5">
      <w:start w:val="1"/>
      <w:numFmt w:val="lowerRoman"/>
      <w:isLgl w:val="false"/>
      <w:suff w:val="tab"/>
      <w:lvlText w:val="%6."/>
      <w:lvlJc w:val="right"/>
      <w:pPr>
        <w:pStyle w:val="974"/>
        <w:ind w:left="2730" w:hanging="420"/>
        <w:tabs>
          <w:tab w:val="num" w:pos="2730" w:leader="none"/>
        </w:tabs>
      </w:pPr>
      <w:rPr>
        <w:rFonts w:cs="Times New Roman"/>
      </w:rPr>
    </w:lvl>
    <w:lvl w:ilvl="6">
      <w:start w:val="1"/>
      <w:numFmt w:val="decimal"/>
      <w:isLgl w:val="false"/>
      <w:suff w:val="tab"/>
      <w:lvlText w:val="%7."/>
      <w:lvlJc w:val="left"/>
      <w:pPr>
        <w:pStyle w:val="974"/>
        <w:ind w:left="3150" w:hanging="420"/>
        <w:tabs>
          <w:tab w:val="num" w:pos="3150" w:leader="none"/>
        </w:tabs>
      </w:pPr>
      <w:rPr>
        <w:rFonts w:cs="Times New Roman"/>
      </w:rPr>
    </w:lvl>
    <w:lvl w:ilvl="7">
      <w:start w:val="1"/>
      <w:numFmt w:val="lowerLetter"/>
      <w:isLgl w:val="false"/>
      <w:suff w:val="tab"/>
      <w:lvlText w:val="%8)"/>
      <w:lvlJc w:val="left"/>
      <w:pPr>
        <w:pStyle w:val="974"/>
        <w:ind w:left="3570" w:hanging="420"/>
        <w:tabs>
          <w:tab w:val="num" w:pos="3570" w:leader="none"/>
        </w:tabs>
      </w:pPr>
      <w:rPr>
        <w:rFonts w:cs="Times New Roman"/>
      </w:rPr>
    </w:lvl>
    <w:lvl w:ilvl="8">
      <w:start w:val="1"/>
      <w:numFmt w:val="lowerRoman"/>
      <w:isLgl w:val="false"/>
      <w:suff w:val="tab"/>
      <w:lvlText w:val="%9."/>
      <w:lvlJc w:val="right"/>
      <w:pPr>
        <w:pStyle w:val="974"/>
        <w:ind w:left="3990" w:hanging="420"/>
        <w:tabs>
          <w:tab w:val="num" w:pos="3990" w:leader="none"/>
        </w:tabs>
      </w:pPr>
      <w:rPr>
        <w:rFonts w:cs="Times New Roman"/>
      </w:rPr>
    </w:lvl>
  </w:abstractNum>
  <w:abstractNum w:abstractNumId="2">
    <w:multiLevelType w:val="hybridMultilevel"/>
    <w:lvl w:ilvl="0">
      <w:start w:val="1"/>
      <w:numFmt w:val="decimal"/>
      <w:isLgl w:val="false"/>
      <w:suff w:val="tab"/>
      <w:lvlText w:val="（%1）"/>
      <w:lvlJc w:val="left"/>
      <w:pPr>
        <w:pStyle w:val="974"/>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4"/>
        <w:ind w:left="510"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4">
    <w:multiLevelType w:val="hybridMultilevel"/>
    <w:lvl w:ilvl="0">
      <w:start w:val="3"/>
      <w:numFmt w:val="chineseCounting"/>
      <w:isLgl w:val="false"/>
      <w:suff w:val="space"/>
      <w:lvlText w:val="第%1条"/>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74"/>
        <w:ind w:left="898" w:hanging="720"/>
        <w:tabs>
          <w:tab w:val="num" w:pos="898" w:leader="none"/>
        </w:tabs>
      </w:pPr>
      <w:rPr>
        <w:rFonts w:hint="eastAsia" w:cs="Times New Roman"/>
        <w:color w:val="000000"/>
      </w:rPr>
    </w:lvl>
    <w:lvl w:ilvl="1">
      <w:start w:val="3"/>
      <w:numFmt w:val="decimal"/>
      <w:isLgl w:val="false"/>
      <w:suff w:val="tab"/>
      <w:lvlText w:val="%2."/>
      <w:lvlJc w:val="left"/>
      <w:pPr>
        <w:pStyle w:val="974"/>
        <w:ind w:left="958" w:hanging="360"/>
        <w:tabs>
          <w:tab w:val="num" w:pos="958" w:leader="none"/>
        </w:tabs>
      </w:pPr>
      <w:rPr>
        <w:rFonts w:cs="Times New Roman"/>
      </w:rPr>
    </w:lvl>
    <w:lvl w:ilvl="2">
      <w:start w:val="1"/>
      <w:numFmt w:val="decimalEnclosedCircle"/>
      <w:isLgl w:val="false"/>
      <w:suff w:val="tab"/>
      <w:lvlText w:val="%3"/>
      <w:lvlJc w:val="left"/>
      <w:pPr>
        <w:pStyle w:val="974"/>
        <w:ind w:left="1378" w:hanging="360"/>
        <w:tabs>
          <w:tab w:val="num" w:pos="1378" w:leader="none"/>
        </w:tabs>
      </w:pPr>
      <w:rPr>
        <w:rFonts w:cs="Times New Roman"/>
        <w:color w:val="000000"/>
      </w:rPr>
    </w:lvl>
    <w:lvl w:ilvl="3">
      <w:start w:val="1"/>
      <w:numFmt w:val="decimal"/>
      <w:isLgl w:val="false"/>
      <w:suff w:val="tab"/>
      <w:lvlText w:val="%4."/>
      <w:lvlJc w:val="left"/>
      <w:pPr>
        <w:pStyle w:val="974"/>
        <w:ind w:left="1858" w:hanging="420"/>
        <w:tabs>
          <w:tab w:val="num" w:pos="1858" w:leader="none"/>
        </w:tabs>
      </w:pPr>
      <w:rPr>
        <w:rFonts w:cs="Times New Roman"/>
      </w:rPr>
    </w:lvl>
    <w:lvl w:ilvl="4">
      <w:start w:val="1"/>
      <w:numFmt w:val="lowerLetter"/>
      <w:isLgl w:val="false"/>
      <w:suff w:val="tab"/>
      <w:lvlText w:val="%5)"/>
      <w:lvlJc w:val="left"/>
      <w:pPr>
        <w:pStyle w:val="974"/>
        <w:ind w:left="2278" w:hanging="420"/>
        <w:tabs>
          <w:tab w:val="num" w:pos="2278" w:leader="none"/>
        </w:tabs>
      </w:pPr>
      <w:rPr>
        <w:rFonts w:cs="Times New Roman"/>
      </w:rPr>
    </w:lvl>
    <w:lvl w:ilvl="5">
      <w:start w:val="1"/>
      <w:numFmt w:val="lowerRoman"/>
      <w:isLgl w:val="false"/>
      <w:suff w:val="tab"/>
      <w:lvlText w:val="%6."/>
      <w:lvlJc w:val="right"/>
      <w:pPr>
        <w:pStyle w:val="974"/>
        <w:ind w:left="2698" w:hanging="420"/>
        <w:tabs>
          <w:tab w:val="num" w:pos="2698" w:leader="none"/>
        </w:tabs>
      </w:pPr>
      <w:rPr>
        <w:rFonts w:cs="Times New Roman"/>
      </w:rPr>
    </w:lvl>
    <w:lvl w:ilvl="6">
      <w:start w:val="1"/>
      <w:numFmt w:val="decimal"/>
      <w:isLgl w:val="false"/>
      <w:suff w:val="tab"/>
      <w:lvlText w:val="%7."/>
      <w:lvlJc w:val="left"/>
      <w:pPr>
        <w:pStyle w:val="974"/>
        <w:ind w:left="3118" w:hanging="420"/>
        <w:tabs>
          <w:tab w:val="num" w:pos="3118" w:leader="none"/>
        </w:tabs>
      </w:pPr>
      <w:rPr>
        <w:rFonts w:cs="Times New Roman"/>
      </w:rPr>
    </w:lvl>
    <w:lvl w:ilvl="7">
      <w:start w:val="1"/>
      <w:numFmt w:val="lowerLetter"/>
      <w:isLgl w:val="false"/>
      <w:suff w:val="tab"/>
      <w:lvlText w:val="%8)"/>
      <w:lvlJc w:val="left"/>
      <w:pPr>
        <w:pStyle w:val="974"/>
        <w:ind w:left="3538" w:hanging="420"/>
        <w:tabs>
          <w:tab w:val="num" w:pos="3538" w:leader="none"/>
        </w:tabs>
      </w:pPr>
      <w:rPr>
        <w:rFonts w:cs="Times New Roman"/>
      </w:rPr>
    </w:lvl>
    <w:lvl w:ilvl="8">
      <w:start w:val="1"/>
      <w:numFmt w:val="lowerRoman"/>
      <w:isLgl w:val="false"/>
      <w:suff w:val="tab"/>
      <w:lvlText w:val="%9."/>
      <w:lvlJc w:val="right"/>
      <w:pPr>
        <w:pStyle w:val="974"/>
        <w:ind w:left="3958" w:hanging="420"/>
        <w:tabs>
          <w:tab w:val="num" w:pos="3958" w:leader="none"/>
        </w:tabs>
      </w:pPr>
      <w:rPr>
        <w:rFonts w:cs="Times New Roman"/>
      </w:rPr>
    </w:lvl>
  </w:abstractNum>
  <w:abstractNum w:abstractNumId="7">
    <w:multiLevelType w:val="hybridMultilevel"/>
    <w:lvl w:ilvl="0">
      <w:start w:val="1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pStyle w:val="974"/>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974"/>
        <w:ind w:left="1361" w:hanging="420"/>
        <w:tabs>
          <w:tab w:val="num" w:pos="1361" w:leader="none"/>
        </w:tabs>
      </w:pPr>
      <w:rPr>
        <w:rFonts w:cs="Times New Roman"/>
      </w:rPr>
    </w:lvl>
    <w:lvl w:ilvl="2">
      <w:start w:val="1"/>
      <w:numFmt w:val="lowerRoman"/>
      <w:isLgl w:val="false"/>
      <w:suff w:val="tab"/>
      <w:lvlText w:val="%3."/>
      <w:lvlJc w:val="right"/>
      <w:pPr>
        <w:pStyle w:val="974"/>
        <w:ind w:left="1781" w:hanging="420"/>
        <w:tabs>
          <w:tab w:val="num" w:pos="1781" w:leader="none"/>
        </w:tabs>
      </w:pPr>
      <w:rPr>
        <w:rFonts w:cs="Times New Roman"/>
      </w:rPr>
    </w:lvl>
    <w:lvl w:ilvl="3">
      <w:start w:val="1"/>
      <w:numFmt w:val="decimal"/>
      <w:isLgl w:val="false"/>
      <w:suff w:val="tab"/>
      <w:lvlText w:val="%4."/>
      <w:lvlJc w:val="left"/>
      <w:pPr>
        <w:pStyle w:val="974"/>
        <w:ind w:left="2201" w:hanging="420"/>
        <w:tabs>
          <w:tab w:val="num" w:pos="2201" w:leader="none"/>
        </w:tabs>
      </w:pPr>
      <w:rPr>
        <w:rFonts w:cs="Times New Roman"/>
      </w:rPr>
    </w:lvl>
    <w:lvl w:ilvl="4">
      <w:start w:val="1"/>
      <w:numFmt w:val="lowerLetter"/>
      <w:isLgl w:val="false"/>
      <w:suff w:val="tab"/>
      <w:lvlText w:val="%5)"/>
      <w:lvlJc w:val="left"/>
      <w:pPr>
        <w:pStyle w:val="974"/>
        <w:ind w:left="2621" w:hanging="420"/>
        <w:tabs>
          <w:tab w:val="num" w:pos="2621" w:leader="none"/>
        </w:tabs>
      </w:pPr>
      <w:rPr>
        <w:rFonts w:cs="Times New Roman"/>
      </w:rPr>
    </w:lvl>
    <w:lvl w:ilvl="5">
      <w:start w:val="1"/>
      <w:numFmt w:val="lowerRoman"/>
      <w:isLgl w:val="false"/>
      <w:suff w:val="tab"/>
      <w:lvlText w:val="%6."/>
      <w:lvlJc w:val="right"/>
      <w:pPr>
        <w:pStyle w:val="974"/>
        <w:ind w:left="3041" w:hanging="420"/>
        <w:tabs>
          <w:tab w:val="num" w:pos="3041" w:leader="none"/>
        </w:tabs>
      </w:pPr>
      <w:rPr>
        <w:rFonts w:cs="Times New Roman"/>
      </w:rPr>
    </w:lvl>
    <w:lvl w:ilvl="6">
      <w:start w:val="1"/>
      <w:numFmt w:val="decimal"/>
      <w:isLgl w:val="false"/>
      <w:suff w:val="tab"/>
      <w:lvlText w:val="%7."/>
      <w:lvlJc w:val="left"/>
      <w:pPr>
        <w:pStyle w:val="974"/>
        <w:ind w:left="3461" w:hanging="420"/>
        <w:tabs>
          <w:tab w:val="num" w:pos="3461" w:leader="none"/>
        </w:tabs>
      </w:pPr>
      <w:rPr>
        <w:rFonts w:cs="Times New Roman"/>
      </w:rPr>
    </w:lvl>
    <w:lvl w:ilvl="7">
      <w:start w:val="1"/>
      <w:numFmt w:val="lowerLetter"/>
      <w:isLgl w:val="false"/>
      <w:suff w:val="tab"/>
      <w:lvlText w:val="%8)"/>
      <w:lvlJc w:val="left"/>
      <w:pPr>
        <w:pStyle w:val="974"/>
        <w:ind w:left="3881" w:hanging="420"/>
        <w:tabs>
          <w:tab w:val="num" w:pos="3881" w:leader="none"/>
        </w:tabs>
      </w:pPr>
      <w:rPr>
        <w:rFonts w:cs="Times New Roman"/>
      </w:rPr>
    </w:lvl>
    <w:lvl w:ilvl="8">
      <w:start w:val="1"/>
      <w:numFmt w:val="lowerRoman"/>
      <w:isLgl w:val="false"/>
      <w:suff w:val="tab"/>
      <w:lvlText w:val="%9."/>
      <w:lvlJc w:val="right"/>
      <w:pPr>
        <w:pStyle w:val="974"/>
        <w:ind w:left="4301" w:hanging="420"/>
        <w:tabs>
          <w:tab w:val="num" w:pos="4301" w:leader="none"/>
        </w:tabs>
      </w:pPr>
      <w:rPr>
        <w:rFonts w:cs="Times New Roman"/>
      </w:rPr>
    </w:lvl>
  </w:abstractNum>
  <w:abstractNum w:abstractNumId="10">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4"/>
        <w:ind w:left="405"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cs="Times New Roman"/>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12">
    <w:multiLevelType w:val="hybridMultilevel"/>
    <w:lvl w:ilvl="0">
      <w:start w:val="1"/>
      <w:numFmt w:val="decimal"/>
      <w:isLgl w:val="false"/>
      <w:suff w:val="tab"/>
      <w:lvlText w:val="（%1）"/>
      <w:lvlJc w:val="left"/>
      <w:pPr>
        <w:pStyle w:val="974"/>
        <w:ind w:left="1710" w:hanging="720"/>
        <w:tabs>
          <w:tab w:val="num" w:pos="1710" w:leader="none"/>
        </w:tabs>
      </w:pPr>
      <w:rPr>
        <w:rFonts w:hint="eastAsia" w:cs="Times New Roman"/>
      </w:rPr>
    </w:lvl>
    <w:lvl w:ilvl="1">
      <w:start w:val="2"/>
      <w:numFmt w:val="decimal"/>
      <w:isLgl w:val="false"/>
      <w:suff w:val="tab"/>
      <w:lvlText w:val="%2."/>
      <w:lvlJc w:val="left"/>
      <w:pPr>
        <w:pStyle w:val="974"/>
        <w:ind w:left="1770" w:hanging="360"/>
        <w:tabs>
          <w:tab w:val="num" w:pos="1770" w:leader="none"/>
        </w:tabs>
      </w:pPr>
      <w:rPr>
        <w:rFonts w:cs="Times New Roman"/>
      </w:rPr>
    </w:lvl>
    <w:lvl w:ilvl="2">
      <w:start w:val="1"/>
      <w:numFmt w:val="lowerRoman"/>
      <w:isLgl w:val="false"/>
      <w:suff w:val="tab"/>
      <w:lvlText w:val="%3."/>
      <w:lvlJc w:val="right"/>
      <w:pPr>
        <w:pStyle w:val="974"/>
        <w:ind w:left="2250" w:hanging="420"/>
        <w:tabs>
          <w:tab w:val="num" w:pos="2250" w:leader="none"/>
        </w:tabs>
      </w:pPr>
      <w:rPr>
        <w:rFonts w:cs="Times New Roman"/>
      </w:rPr>
    </w:lvl>
    <w:lvl w:ilvl="3">
      <w:start w:val="1"/>
      <w:numFmt w:val="decimal"/>
      <w:isLgl w:val="false"/>
      <w:suff w:val="tab"/>
      <w:lvlText w:val="%4."/>
      <w:lvlJc w:val="left"/>
      <w:pPr>
        <w:pStyle w:val="974"/>
        <w:ind w:left="2670" w:hanging="420"/>
        <w:tabs>
          <w:tab w:val="num" w:pos="2670" w:leader="none"/>
        </w:tabs>
      </w:pPr>
      <w:rPr>
        <w:rFonts w:cs="Times New Roman"/>
      </w:rPr>
    </w:lvl>
    <w:lvl w:ilvl="4">
      <w:start w:val="1"/>
      <w:numFmt w:val="lowerLetter"/>
      <w:isLgl w:val="false"/>
      <w:suff w:val="tab"/>
      <w:lvlText w:val="%5)"/>
      <w:lvlJc w:val="left"/>
      <w:pPr>
        <w:pStyle w:val="974"/>
        <w:ind w:left="3090" w:hanging="420"/>
        <w:tabs>
          <w:tab w:val="num" w:pos="3090" w:leader="none"/>
        </w:tabs>
      </w:pPr>
      <w:rPr>
        <w:rFonts w:cs="Times New Roman"/>
      </w:rPr>
    </w:lvl>
    <w:lvl w:ilvl="5">
      <w:start w:val="1"/>
      <w:numFmt w:val="lowerRoman"/>
      <w:isLgl w:val="false"/>
      <w:suff w:val="tab"/>
      <w:lvlText w:val="%6."/>
      <w:lvlJc w:val="right"/>
      <w:pPr>
        <w:pStyle w:val="974"/>
        <w:ind w:left="3510" w:hanging="420"/>
        <w:tabs>
          <w:tab w:val="num" w:pos="3510" w:leader="none"/>
        </w:tabs>
      </w:pPr>
      <w:rPr>
        <w:rFonts w:cs="Times New Roman"/>
      </w:rPr>
    </w:lvl>
    <w:lvl w:ilvl="6">
      <w:start w:val="1"/>
      <w:numFmt w:val="decimal"/>
      <w:isLgl w:val="false"/>
      <w:suff w:val="tab"/>
      <w:lvlText w:val="%7."/>
      <w:lvlJc w:val="left"/>
      <w:pPr>
        <w:pStyle w:val="974"/>
        <w:ind w:left="3930" w:hanging="420"/>
        <w:tabs>
          <w:tab w:val="num" w:pos="3930" w:leader="none"/>
        </w:tabs>
      </w:pPr>
      <w:rPr>
        <w:rFonts w:cs="Times New Roman"/>
      </w:rPr>
    </w:lvl>
    <w:lvl w:ilvl="7">
      <w:start w:val="1"/>
      <w:numFmt w:val="lowerLetter"/>
      <w:isLgl w:val="false"/>
      <w:suff w:val="tab"/>
      <w:lvlText w:val="%8)"/>
      <w:lvlJc w:val="left"/>
      <w:pPr>
        <w:pStyle w:val="974"/>
        <w:ind w:left="4350" w:hanging="420"/>
        <w:tabs>
          <w:tab w:val="num" w:pos="4350" w:leader="none"/>
        </w:tabs>
      </w:pPr>
      <w:rPr>
        <w:rFonts w:cs="Times New Roman"/>
      </w:rPr>
    </w:lvl>
    <w:lvl w:ilvl="8">
      <w:start w:val="1"/>
      <w:numFmt w:val="lowerRoman"/>
      <w:isLgl w:val="false"/>
      <w:suff w:val="tab"/>
      <w:lvlText w:val="%9."/>
      <w:lvlJc w:val="right"/>
      <w:pPr>
        <w:pStyle w:val="974"/>
        <w:ind w:left="4770" w:hanging="420"/>
        <w:tabs>
          <w:tab w:val="num" w:pos="4770" w:leader="none"/>
        </w:tabs>
      </w:pPr>
      <w:rPr>
        <w:rFonts w:cs="Times New Roman"/>
      </w:rPr>
    </w:lvl>
  </w:abstractNum>
  <w:abstractNum w:abstractNumId="13">
    <w:multiLevelType w:val="hybridMultilevel"/>
    <w:lvl w:ilvl="0">
      <w:start w:val="2"/>
      <w:numFmt w:val="japaneseCounting"/>
      <w:isLgl w:val="false"/>
      <w:suff w:val="tab"/>
      <w:lvlText w:val="（%1）"/>
      <w:lvlJc w:val="left"/>
      <w:pPr>
        <w:pStyle w:val="974"/>
        <w:ind w:left="1200" w:hanging="720"/>
        <w:tabs>
          <w:tab w:val="num" w:pos="1200" w:leader="none"/>
        </w:tabs>
      </w:pPr>
      <w:rPr>
        <w:rFonts w:cs="Times New Roman"/>
      </w:rPr>
    </w:lvl>
    <w:lvl w:ilvl="1">
      <w:start w:val="1"/>
      <w:numFmt w:val="lowerLetter"/>
      <w:isLgl w:val="false"/>
      <w:suff w:val="tab"/>
      <w:lvlText w:val="%2)"/>
      <w:lvlJc w:val="left"/>
      <w:pPr>
        <w:pStyle w:val="974"/>
        <w:ind w:left="1320" w:hanging="420"/>
        <w:tabs>
          <w:tab w:val="num" w:pos="1320" w:leader="none"/>
        </w:tabs>
      </w:pPr>
      <w:rPr>
        <w:rFonts w:cs="Times New Roman"/>
      </w:rPr>
    </w:lvl>
    <w:lvl w:ilvl="2">
      <w:start w:val="1"/>
      <w:numFmt w:val="lowerRoman"/>
      <w:isLgl w:val="false"/>
      <w:suff w:val="tab"/>
      <w:lvlText w:val="%3."/>
      <w:lvlJc w:val="right"/>
      <w:pPr>
        <w:pStyle w:val="974"/>
        <w:ind w:left="1740" w:hanging="420"/>
        <w:tabs>
          <w:tab w:val="num" w:pos="1740" w:leader="none"/>
        </w:tabs>
      </w:pPr>
      <w:rPr>
        <w:rFonts w:cs="Times New Roman"/>
      </w:rPr>
    </w:lvl>
    <w:lvl w:ilvl="3">
      <w:start w:val="1"/>
      <w:numFmt w:val="decimal"/>
      <w:isLgl w:val="false"/>
      <w:suff w:val="tab"/>
      <w:lvlText w:val="%4."/>
      <w:lvlJc w:val="left"/>
      <w:pPr>
        <w:pStyle w:val="974"/>
        <w:ind w:left="2160" w:hanging="420"/>
        <w:tabs>
          <w:tab w:val="num" w:pos="2160" w:leader="none"/>
        </w:tabs>
      </w:pPr>
      <w:rPr>
        <w:rFonts w:cs="Times New Roman"/>
      </w:rPr>
    </w:lvl>
    <w:lvl w:ilvl="4">
      <w:start w:val="1"/>
      <w:numFmt w:val="lowerLetter"/>
      <w:isLgl w:val="false"/>
      <w:suff w:val="tab"/>
      <w:lvlText w:val="%5)"/>
      <w:lvlJc w:val="left"/>
      <w:pPr>
        <w:pStyle w:val="974"/>
        <w:ind w:left="2580" w:hanging="420"/>
        <w:tabs>
          <w:tab w:val="num" w:pos="2580" w:leader="none"/>
        </w:tabs>
      </w:pPr>
      <w:rPr>
        <w:rFonts w:cs="Times New Roman"/>
      </w:rPr>
    </w:lvl>
    <w:lvl w:ilvl="5">
      <w:start w:val="1"/>
      <w:numFmt w:val="lowerRoman"/>
      <w:isLgl w:val="false"/>
      <w:suff w:val="tab"/>
      <w:lvlText w:val="%6."/>
      <w:lvlJc w:val="right"/>
      <w:pPr>
        <w:pStyle w:val="974"/>
        <w:ind w:left="3000" w:hanging="420"/>
        <w:tabs>
          <w:tab w:val="num" w:pos="3000" w:leader="none"/>
        </w:tabs>
      </w:pPr>
      <w:rPr>
        <w:rFonts w:cs="Times New Roman"/>
      </w:rPr>
    </w:lvl>
    <w:lvl w:ilvl="6">
      <w:start w:val="1"/>
      <w:numFmt w:val="decimal"/>
      <w:isLgl w:val="false"/>
      <w:suff w:val="tab"/>
      <w:lvlText w:val="%7."/>
      <w:lvlJc w:val="left"/>
      <w:pPr>
        <w:pStyle w:val="974"/>
        <w:ind w:left="3420" w:hanging="420"/>
        <w:tabs>
          <w:tab w:val="num" w:pos="3420" w:leader="none"/>
        </w:tabs>
      </w:pPr>
      <w:rPr>
        <w:rFonts w:cs="Times New Roman"/>
      </w:rPr>
    </w:lvl>
    <w:lvl w:ilvl="7">
      <w:start w:val="1"/>
      <w:numFmt w:val="lowerLetter"/>
      <w:isLgl w:val="false"/>
      <w:suff w:val="tab"/>
      <w:lvlText w:val="%8)"/>
      <w:lvlJc w:val="left"/>
      <w:pPr>
        <w:pStyle w:val="974"/>
        <w:ind w:left="3840" w:hanging="420"/>
        <w:tabs>
          <w:tab w:val="num" w:pos="3840" w:leader="none"/>
        </w:tabs>
      </w:pPr>
      <w:rPr>
        <w:rFonts w:cs="Times New Roman"/>
      </w:rPr>
    </w:lvl>
    <w:lvl w:ilvl="8">
      <w:start w:val="1"/>
      <w:numFmt w:val="lowerRoman"/>
      <w:isLgl w:val="false"/>
      <w:suff w:val="tab"/>
      <w:lvlText w:val="%9."/>
      <w:lvlJc w:val="right"/>
      <w:pPr>
        <w:pStyle w:val="974"/>
        <w:ind w:left="4260" w:hanging="420"/>
        <w:tabs>
          <w:tab w:val="num" w:pos="426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74"/>
        <w:ind w:left="720" w:hanging="720"/>
      </w:pPr>
    </w:lvl>
    <w:lvl w:ilvl="1">
      <w:start w:val="1"/>
      <w:numFmt w:val="lowerLetter"/>
      <w:isLgl w:val="false"/>
      <w:suff w:val="tab"/>
      <w:lvlText w:val="%2)"/>
      <w:lvlJc w:val="left"/>
      <w:pPr>
        <w:pStyle w:val="974"/>
        <w:ind w:left="840" w:hanging="420"/>
      </w:pPr>
    </w:lvl>
    <w:lvl w:ilvl="2">
      <w:start w:val="1"/>
      <w:numFmt w:val="lowerRoman"/>
      <w:isLgl w:val="false"/>
      <w:suff w:val="tab"/>
      <w:lvlText w:val="%3."/>
      <w:lvlJc w:val="right"/>
      <w:pPr>
        <w:pStyle w:val="974"/>
        <w:ind w:left="1260" w:hanging="420"/>
      </w:pPr>
    </w:lvl>
    <w:lvl w:ilvl="3">
      <w:start w:val="1"/>
      <w:numFmt w:val="decimal"/>
      <w:isLgl w:val="false"/>
      <w:suff w:val="tab"/>
      <w:lvlText w:val="%4."/>
      <w:lvlJc w:val="left"/>
      <w:pPr>
        <w:pStyle w:val="974"/>
        <w:ind w:left="1680" w:hanging="420"/>
      </w:pPr>
    </w:lvl>
    <w:lvl w:ilvl="4">
      <w:start w:val="1"/>
      <w:numFmt w:val="lowerLetter"/>
      <w:isLgl w:val="false"/>
      <w:suff w:val="tab"/>
      <w:lvlText w:val="%5)"/>
      <w:lvlJc w:val="left"/>
      <w:pPr>
        <w:pStyle w:val="974"/>
        <w:ind w:left="2100" w:hanging="420"/>
      </w:pPr>
    </w:lvl>
    <w:lvl w:ilvl="5">
      <w:start w:val="1"/>
      <w:numFmt w:val="lowerRoman"/>
      <w:isLgl w:val="false"/>
      <w:suff w:val="tab"/>
      <w:lvlText w:val="%6."/>
      <w:lvlJc w:val="right"/>
      <w:pPr>
        <w:pStyle w:val="974"/>
        <w:ind w:left="2520" w:hanging="420"/>
      </w:pPr>
    </w:lvl>
    <w:lvl w:ilvl="6">
      <w:start w:val="1"/>
      <w:numFmt w:val="decimal"/>
      <w:isLgl w:val="false"/>
      <w:suff w:val="tab"/>
      <w:lvlText w:val="%7."/>
      <w:lvlJc w:val="left"/>
      <w:pPr>
        <w:pStyle w:val="974"/>
        <w:ind w:left="2940" w:hanging="420"/>
      </w:pPr>
    </w:lvl>
    <w:lvl w:ilvl="7">
      <w:start w:val="1"/>
      <w:numFmt w:val="lowerLetter"/>
      <w:isLgl w:val="false"/>
      <w:suff w:val="tab"/>
      <w:lvlText w:val="%8)"/>
      <w:lvlJc w:val="left"/>
      <w:pPr>
        <w:pStyle w:val="974"/>
        <w:ind w:left="3360" w:hanging="420"/>
      </w:pPr>
    </w:lvl>
    <w:lvl w:ilvl="8">
      <w:start w:val="1"/>
      <w:numFmt w:val="lowerRoman"/>
      <w:isLgl w:val="false"/>
      <w:suff w:val="tab"/>
      <w:lvlText w:val="%9."/>
      <w:lvlJc w:val="right"/>
      <w:pPr>
        <w:pStyle w:val="974"/>
        <w:ind w:left="3780" w:hanging="420"/>
      </w:pPr>
    </w:lvl>
  </w:abstractNum>
  <w:abstractNum w:abstractNumId="15">
    <w:multiLevelType w:val="hybridMultilevel"/>
    <w:lvl w:ilvl="0">
      <w:start w:val="1"/>
      <w:numFmt w:val="decimal"/>
      <w:isLgl w:val="false"/>
      <w:suff w:val="tab"/>
      <w:lvlText w:val="%1．"/>
      <w:lvlJc w:val="left"/>
      <w:pPr>
        <w:pStyle w:val="974"/>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74"/>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74"/>
        <w:ind w:left="972" w:hanging="420"/>
      </w:pPr>
    </w:lvl>
    <w:lvl w:ilvl="1">
      <w:start w:val="1"/>
      <w:numFmt w:val="lowerLetter"/>
      <w:isLgl w:val="false"/>
      <w:suff w:val="tab"/>
      <w:lvlText w:val="%2)"/>
      <w:lvlJc w:val="left"/>
      <w:pPr>
        <w:pStyle w:val="974"/>
        <w:ind w:left="1392" w:hanging="420"/>
      </w:pPr>
    </w:lvl>
    <w:lvl w:ilvl="2">
      <w:start w:val="1"/>
      <w:numFmt w:val="lowerRoman"/>
      <w:isLgl w:val="false"/>
      <w:suff w:val="tab"/>
      <w:lvlText w:val="%3."/>
      <w:lvlJc w:val="right"/>
      <w:pPr>
        <w:pStyle w:val="974"/>
        <w:ind w:left="1812" w:hanging="420"/>
      </w:pPr>
    </w:lvl>
    <w:lvl w:ilvl="3">
      <w:start w:val="1"/>
      <w:numFmt w:val="decimal"/>
      <w:isLgl w:val="false"/>
      <w:suff w:val="tab"/>
      <w:lvlText w:val="%4."/>
      <w:lvlJc w:val="left"/>
      <w:pPr>
        <w:pStyle w:val="974"/>
        <w:ind w:left="2232" w:hanging="420"/>
      </w:pPr>
    </w:lvl>
    <w:lvl w:ilvl="4">
      <w:start w:val="1"/>
      <w:numFmt w:val="lowerLetter"/>
      <w:isLgl w:val="false"/>
      <w:suff w:val="tab"/>
      <w:lvlText w:val="%5)"/>
      <w:lvlJc w:val="left"/>
      <w:pPr>
        <w:pStyle w:val="974"/>
        <w:ind w:left="2652" w:hanging="420"/>
      </w:pPr>
    </w:lvl>
    <w:lvl w:ilvl="5">
      <w:start w:val="1"/>
      <w:numFmt w:val="lowerRoman"/>
      <w:isLgl w:val="false"/>
      <w:suff w:val="tab"/>
      <w:lvlText w:val="%6."/>
      <w:lvlJc w:val="right"/>
      <w:pPr>
        <w:pStyle w:val="974"/>
        <w:ind w:left="3072" w:hanging="420"/>
      </w:pPr>
    </w:lvl>
    <w:lvl w:ilvl="6">
      <w:start w:val="1"/>
      <w:numFmt w:val="decimal"/>
      <w:isLgl w:val="false"/>
      <w:suff w:val="tab"/>
      <w:lvlText w:val="%7."/>
      <w:lvlJc w:val="left"/>
      <w:pPr>
        <w:pStyle w:val="974"/>
        <w:ind w:left="3492" w:hanging="420"/>
      </w:pPr>
    </w:lvl>
    <w:lvl w:ilvl="7">
      <w:start w:val="1"/>
      <w:numFmt w:val="lowerLetter"/>
      <w:isLgl w:val="false"/>
      <w:suff w:val="tab"/>
      <w:lvlText w:val="%8)"/>
      <w:lvlJc w:val="left"/>
      <w:pPr>
        <w:pStyle w:val="974"/>
        <w:ind w:left="3912" w:hanging="420"/>
      </w:pPr>
    </w:lvl>
    <w:lvl w:ilvl="8">
      <w:start w:val="1"/>
      <w:numFmt w:val="lowerRoman"/>
      <w:isLgl w:val="false"/>
      <w:suff w:val="tab"/>
      <w:lvlText w:val="%9."/>
      <w:lvlJc w:val="right"/>
      <w:pPr>
        <w:pStyle w:val="974"/>
        <w:ind w:left="4332" w:hanging="420"/>
      </w:pPr>
    </w:lvl>
  </w:abstractNum>
  <w:num w:numId="1">
    <w:abstractNumId w:val="14"/>
  </w:num>
  <w:num w:numId="2">
    <w:abstractNumId w:val="8"/>
  </w:num>
  <w:num w:numId="3">
    <w:abstractNumId w:val="13"/>
  </w:num>
  <w:num w:numId="4">
    <w:abstractNumId w:val="10"/>
  </w:num>
  <w:num w:numId="5">
    <w:abstractNumId w:val="6"/>
  </w:num>
  <w:num w:numId="6">
    <w:abstractNumId w:val="1"/>
  </w:num>
  <w:num w:numId="7">
    <w:abstractNumId w:val="1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11"/>
  </w:num>
  <w:num w:numId="14">
    <w:abstractNumId w:val="12"/>
  </w:num>
  <w:num w:numId="15">
    <w:abstractNumId w:val="5"/>
  </w:num>
  <w:num w:numId="16">
    <w:abstractNumId w:val="0"/>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4"/>
    <w:next w:val="974"/>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4"/>
    <w:next w:val="974"/>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4"/>
    <w:next w:val="974"/>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4"/>
    <w:next w:val="974"/>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4"/>
    <w:next w:val="974"/>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4"/>
    <w:next w:val="974"/>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4"/>
    <w:next w:val="974"/>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4"/>
    <w:next w:val="974"/>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4"/>
    <w:next w:val="974"/>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Title"/>
    <w:basedOn w:val="974"/>
    <w:next w:val="974"/>
    <w:link w:val="817"/>
    <w:uiPriority w:val="10"/>
    <w:qFormat/>
    <w:pPr>
      <w:contextualSpacing/>
      <w:spacing w:before="300" w:after="200"/>
    </w:pPr>
    <w:rPr>
      <w:sz w:val="48"/>
      <w:szCs w:val="48"/>
    </w:rPr>
  </w:style>
  <w:style w:type="character" w:styleId="817">
    <w:name w:val="Title Char"/>
    <w:link w:val="816"/>
    <w:uiPriority w:val="10"/>
    <w:rPr>
      <w:sz w:val="48"/>
      <w:szCs w:val="48"/>
    </w:rPr>
  </w:style>
  <w:style w:type="paragraph" w:styleId="818">
    <w:name w:val="Subtitle"/>
    <w:basedOn w:val="974"/>
    <w:next w:val="974"/>
    <w:link w:val="819"/>
    <w:uiPriority w:val="11"/>
    <w:qFormat/>
    <w:pPr>
      <w:spacing w:before="200" w:after="200"/>
    </w:pPr>
    <w:rPr>
      <w:sz w:val="24"/>
      <w:szCs w:val="24"/>
    </w:rPr>
  </w:style>
  <w:style w:type="character" w:styleId="819">
    <w:name w:val="Subtitle Char"/>
    <w:link w:val="818"/>
    <w:uiPriority w:val="11"/>
    <w:rPr>
      <w:sz w:val="24"/>
      <w:szCs w:val="24"/>
    </w:rPr>
  </w:style>
  <w:style w:type="paragraph" w:styleId="820">
    <w:name w:val="Quote"/>
    <w:basedOn w:val="974"/>
    <w:next w:val="974"/>
    <w:link w:val="821"/>
    <w:uiPriority w:val="29"/>
    <w:qFormat/>
    <w:pPr>
      <w:ind w:left="720" w:right="720"/>
    </w:pPr>
    <w:rPr>
      <w:i/>
    </w:rPr>
  </w:style>
  <w:style w:type="character" w:styleId="821">
    <w:name w:val="Quote Char"/>
    <w:link w:val="820"/>
    <w:uiPriority w:val="29"/>
    <w:rPr>
      <w:i/>
    </w:rPr>
  </w:style>
  <w:style w:type="paragraph" w:styleId="822">
    <w:name w:val="Intense Quote"/>
    <w:basedOn w:val="974"/>
    <w:next w:val="97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paragraph" w:styleId="824">
    <w:name w:val="Header"/>
    <w:basedOn w:val="974"/>
    <w:link w:val="825"/>
    <w:uiPriority w:val="99"/>
    <w:unhideWhenUsed/>
    <w:pPr>
      <w:spacing w:after="0" w:line="240" w:lineRule="auto"/>
      <w:tabs>
        <w:tab w:val="center" w:pos="7143" w:leader="none"/>
        <w:tab w:val="right" w:pos="14287" w:leader="none"/>
      </w:tabs>
    </w:pPr>
  </w:style>
  <w:style w:type="character" w:styleId="825">
    <w:name w:val="Header Char"/>
    <w:link w:val="824"/>
    <w:uiPriority w:val="99"/>
  </w:style>
  <w:style w:type="paragraph" w:styleId="826">
    <w:name w:val="Footer"/>
    <w:basedOn w:val="974"/>
    <w:link w:val="829"/>
    <w:uiPriority w:val="99"/>
    <w:unhideWhenUsed/>
    <w:pPr>
      <w:spacing w:after="0" w:line="240" w:lineRule="auto"/>
      <w:tabs>
        <w:tab w:val="center" w:pos="7143" w:leader="none"/>
        <w:tab w:val="right" w:pos="14287" w:leader="none"/>
      </w:tabs>
    </w:pPr>
  </w:style>
  <w:style w:type="character" w:styleId="827">
    <w:name w:val="Footer Char"/>
    <w:link w:val="826"/>
    <w:uiPriority w:val="99"/>
  </w:style>
  <w:style w:type="paragraph" w:styleId="828">
    <w:name w:val="Caption"/>
    <w:basedOn w:val="974"/>
    <w:next w:val="974"/>
    <w:uiPriority w:val="35"/>
    <w:semiHidden/>
    <w:unhideWhenUsed/>
    <w:qFormat/>
    <w:pPr>
      <w:spacing w:line="276" w:lineRule="auto"/>
    </w:pPr>
    <w:rPr>
      <w:b/>
      <w:bCs/>
      <w:color w:val="4f81bd" w:themeColor="accent1"/>
      <w:sz w:val="18"/>
      <w:szCs w:val="18"/>
    </w:rPr>
  </w:style>
  <w:style w:type="character" w:styleId="829">
    <w:name w:val="Caption Char"/>
    <w:basedOn w:val="828"/>
    <w:link w:val="826"/>
    <w:uiPriority w:val="99"/>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Hyperlink"/>
    <w:uiPriority w:val="99"/>
    <w:unhideWhenUsed/>
    <w:rPr>
      <w:color w:val="0000ff" w:themeColor="hyperlink"/>
      <w:u w:val="single"/>
    </w:rPr>
  </w:style>
  <w:style w:type="paragraph" w:styleId="957">
    <w:name w:val="footnote text"/>
    <w:basedOn w:val="974"/>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uiPriority w:val="99"/>
    <w:unhideWhenUsed/>
    <w:rPr>
      <w:vertAlign w:val="superscript"/>
    </w:rPr>
  </w:style>
  <w:style w:type="paragraph" w:styleId="960">
    <w:name w:val="endnote text"/>
    <w:basedOn w:val="974"/>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4"/>
    <w:next w:val="974"/>
    <w:uiPriority w:val="39"/>
    <w:unhideWhenUsed/>
    <w:pPr>
      <w:ind w:left="0" w:right="0" w:firstLine="0"/>
      <w:spacing w:after="57"/>
    </w:p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74"/>
    <w:link w:val="974"/>
    <w:qFormat/>
    <w:pPr>
      <w:jc w:val="both"/>
      <w:widowControl w:val="off"/>
    </w:pPr>
    <w:rPr>
      <w:rFonts w:eastAsia="楷体_GB2312"/>
      <w:sz w:val="26"/>
      <w:lang w:val="en-US" w:eastAsia="zh-CN" w:bidi="ar-SA"/>
    </w:rPr>
  </w:style>
  <w:style w:type="paragraph" w:styleId="975">
    <w:name w:val="标题 1"/>
    <w:basedOn w:val="974"/>
    <w:next w:val="974"/>
    <w:link w:val="982"/>
    <w:qFormat/>
    <w:pPr>
      <w:keepLines/>
      <w:keepNext/>
      <w:spacing w:before="340" w:after="330" w:line="578" w:lineRule="auto"/>
      <w:outlineLvl w:val="0"/>
    </w:pPr>
    <w:rPr>
      <w:b/>
      <w:sz w:val="44"/>
    </w:rPr>
  </w:style>
  <w:style w:type="paragraph" w:styleId="976">
    <w:name w:val="标题 2"/>
    <w:basedOn w:val="974"/>
    <w:next w:val="974"/>
    <w:link w:val="983"/>
    <w:qFormat/>
    <w:pPr>
      <w:keepLines/>
      <w:keepNext/>
      <w:spacing w:before="260" w:after="260" w:line="416" w:lineRule="auto"/>
      <w:outlineLvl w:val="1"/>
    </w:pPr>
    <w:rPr>
      <w:rFonts w:ascii="Cambria" w:hAnsi="Cambria" w:eastAsia="宋体"/>
      <w:b/>
      <w:bCs/>
      <w:sz w:val="32"/>
      <w:szCs w:val="32"/>
    </w:rPr>
  </w:style>
  <w:style w:type="paragraph" w:styleId="977">
    <w:name w:val="标题 3"/>
    <w:basedOn w:val="974"/>
    <w:next w:val="985"/>
    <w:link w:val="984"/>
    <w:qFormat/>
    <w:pPr>
      <w:keepLines/>
      <w:keepNext/>
      <w:spacing w:before="260" w:after="260" w:line="416" w:lineRule="auto"/>
      <w:outlineLvl w:val="2"/>
    </w:pPr>
    <w:rPr>
      <w:b/>
      <w:bCs/>
      <w:sz w:val="32"/>
      <w:szCs w:val="32"/>
    </w:rPr>
  </w:style>
  <w:style w:type="paragraph" w:styleId="978">
    <w:name w:val="标题 4"/>
    <w:basedOn w:val="974"/>
    <w:next w:val="988"/>
    <w:link w:val="987"/>
    <w:qFormat/>
    <w:pPr>
      <w:keepLines/>
      <w:keepNext/>
      <w:spacing w:before="280" w:after="290" w:line="376" w:lineRule="auto"/>
      <w:outlineLvl w:val="3"/>
    </w:pPr>
    <w:rPr>
      <w:rFonts w:ascii="Cambria" w:hAnsi="Cambria" w:eastAsia="宋体" w:cs="Times New Roman"/>
      <w:b/>
      <w:bCs/>
      <w:sz w:val="28"/>
      <w:szCs w:val="28"/>
    </w:rPr>
  </w:style>
  <w:style w:type="paragraph" w:styleId="979">
    <w:name w:val="标题 5"/>
    <w:basedOn w:val="974"/>
    <w:next w:val="974"/>
    <w:link w:val="989"/>
    <w:qFormat/>
    <w:pPr>
      <w:jc w:val="center"/>
      <w:keepLines/>
      <w:keepNext/>
      <w:outlineLvl w:val="4"/>
    </w:pPr>
    <w:rPr>
      <w:rFonts w:eastAsia="宋体"/>
      <w:b/>
      <w:bCs/>
      <w:sz w:val="28"/>
      <w:szCs w:val="28"/>
    </w:rPr>
  </w:style>
  <w:style w:type="character" w:styleId="980">
    <w:name w:val="默认段落字体"/>
    <w:next w:val="980"/>
    <w:link w:val="974"/>
    <w:uiPriority w:val="1"/>
    <w:unhideWhenUsed/>
  </w:style>
  <w:style w:type="table" w:styleId="981">
    <w:name w:val="普通表格"/>
    <w:next w:val="981"/>
    <w:link w:val="974"/>
    <w:uiPriority w:val="99"/>
    <w:unhideWhenUsed/>
    <w:qFormat/>
    <w:tblPr/>
  </w:style>
  <w:style w:type="character" w:styleId="982">
    <w:name w:val="标题 1 Char"/>
    <w:next w:val="982"/>
    <w:link w:val="975"/>
    <w:qFormat/>
    <w:rPr>
      <w:rFonts w:eastAsia="楷体_GB2312"/>
      <w:b/>
      <w:sz w:val="44"/>
    </w:rPr>
  </w:style>
  <w:style w:type="character" w:styleId="983">
    <w:name w:val="标题 2 Char"/>
    <w:next w:val="983"/>
    <w:link w:val="976"/>
    <w:qFormat/>
    <w:rPr>
      <w:rFonts w:ascii="Cambria" w:hAnsi="Cambria" w:eastAsia="宋体" w:cs="Times New Roman"/>
      <w:b/>
      <w:bCs/>
      <w:sz w:val="32"/>
      <w:szCs w:val="32"/>
    </w:rPr>
  </w:style>
  <w:style w:type="character" w:styleId="984">
    <w:name w:val="标题 3 Char"/>
    <w:next w:val="984"/>
    <w:link w:val="977"/>
    <w:qFormat/>
    <w:rPr>
      <w:rFonts w:eastAsia="楷体_GB2312"/>
      <w:b/>
      <w:bCs/>
      <w:sz w:val="32"/>
      <w:szCs w:val="32"/>
    </w:rPr>
  </w:style>
  <w:style w:type="paragraph" w:styleId="985">
    <w:name w:val="正文缩进"/>
    <w:basedOn w:val="974"/>
    <w:next w:val="985"/>
    <w:link w:val="986"/>
    <w:unhideWhenUsed/>
    <w:qFormat/>
    <w:pPr>
      <w:ind w:firstLine="420"/>
      <w:jc w:val="left"/>
    </w:pPr>
    <w:rPr>
      <w:sz w:val="24"/>
    </w:rPr>
  </w:style>
  <w:style w:type="character" w:styleId="986">
    <w:name w:val="正文缩进 Char"/>
    <w:next w:val="986"/>
    <w:link w:val="985"/>
    <w:qFormat/>
    <w:rPr>
      <w:rFonts w:eastAsia="楷体_GB2312"/>
      <w:sz w:val="24"/>
    </w:rPr>
  </w:style>
  <w:style w:type="character" w:styleId="987">
    <w:name w:val="标题 4 Char"/>
    <w:next w:val="987"/>
    <w:link w:val="978"/>
    <w:qFormat/>
    <w:rPr>
      <w:rFonts w:ascii="Cambria" w:hAnsi="Cambria" w:eastAsia="宋体" w:cs="Times New Roman"/>
      <w:b/>
      <w:bCs/>
      <w:sz w:val="28"/>
      <w:szCs w:val="28"/>
    </w:rPr>
  </w:style>
  <w:style w:type="paragraph" w:styleId="988">
    <w:name w:val="正文文本 Char Char"/>
    <w:basedOn w:val="974"/>
    <w:next w:val="988"/>
    <w:link w:val="974"/>
    <w:qFormat/>
    <w:pPr>
      <w:jc w:val="center"/>
    </w:pPr>
    <w:rPr>
      <w:szCs w:val="20"/>
    </w:rPr>
  </w:style>
  <w:style w:type="character" w:styleId="989">
    <w:name w:val="标题 5 Char"/>
    <w:next w:val="989"/>
    <w:link w:val="979"/>
    <w:qFormat/>
    <w:rPr>
      <w:b/>
      <w:bCs/>
      <w:sz w:val="28"/>
      <w:szCs w:val="28"/>
    </w:rPr>
  </w:style>
  <w:style w:type="paragraph" w:styleId="990">
    <w:name w:val="文档结构图"/>
    <w:basedOn w:val="974"/>
    <w:next w:val="990"/>
    <w:link w:val="991"/>
    <w:unhideWhenUsed/>
    <w:qFormat/>
    <w:pPr>
      <w:shd w:val="clear" w:color="auto" w:fill="000080"/>
    </w:pPr>
    <w:rPr>
      <w:rFonts w:eastAsia="宋体"/>
      <w:sz w:val="21"/>
      <w:szCs w:val="24"/>
    </w:rPr>
  </w:style>
  <w:style w:type="character" w:styleId="991">
    <w:name w:val="文档结构图 Char"/>
    <w:next w:val="991"/>
    <w:link w:val="990"/>
    <w:qFormat/>
    <w:rPr>
      <w:sz w:val="21"/>
      <w:szCs w:val="24"/>
      <w:shd w:val="clear" w:color="auto" w:fill="000080"/>
    </w:rPr>
  </w:style>
  <w:style w:type="paragraph" w:styleId="992">
    <w:name w:val="批注文字"/>
    <w:basedOn w:val="974"/>
    <w:next w:val="992"/>
    <w:link w:val="993"/>
    <w:qFormat/>
    <w:pPr>
      <w:jc w:val="left"/>
    </w:pPr>
  </w:style>
  <w:style w:type="character" w:styleId="993">
    <w:name w:val="批注文字 Char"/>
    <w:next w:val="993"/>
    <w:link w:val="992"/>
    <w:qFormat/>
    <w:rPr>
      <w:rFonts w:eastAsia="楷体_GB2312"/>
      <w:sz w:val="26"/>
    </w:rPr>
  </w:style>
  <w:style w:type="paragraph" w:styleId="994">
    <w:name w:val="正文文本 3"/>
    <w:basedOn w:val="974"/>
    <w:next w:val="994"/>
    <w:link w:val="995"/>
    <w:unhideWhenUsed/>
    <w:qFormat/>
    <w:pPr>
      <w:jc w:val="center"/>
    </w:pPr>
    <w:rPr>
      <w:rFonts w:ascii="宋体" w:hAnsi="宋体"/>
    </w:rPr>
  </w:style>
  <w:style w:type="character" w:styleId="995">
    <w:name w:val="正文文本 3 Char"/>
    <w:next w:val="995"/>
    <w:link w:val="994"/>
    <w:qFormat/>
    <w:rPr>
      <w:rFonts w:ascii="宋体" w:hAnsi="宋体" w:eastAsia="楷体_GB2312"/>
      <w:sz w:val="26"/>
    </w:rPr>
  </w:style>
  <w:style w:type="paragraph" w:styleId="996">
    <w:name w:val="正文文本"/>
    <w:basedOn w:val="974"/>
    <w:next w:val="996"/>
    <w:link w:val="997"/>
    <w:unhideWhenUsed/>
    <w:qFormat/>
    <w:rPr>
      <w:rFonts w:ascii="楷体_GB2312"/>
      <w:b/>
      <w:bCs/>
      <w:sz w:val="28"/>
    </w:rPr>
  </w:style>
  <w:style w:type="character" w:styleId="997">
    <w:name w:val="正文文本 Char1"/>
    <w:next w:val="997"/>
    <w:link w:val="996"/>
    <w:rPr>
      <w:rFonts w:ascii="楷体_GB2312" w:eastAsia="楷体_GB2312"/>
      <w:b/>
      <w:bCs/>
      <w:sz w:val="28"/>
    </w:rPr>
  </w:style>
  <w:style w:type="paragraph" w:styleId="998">
    <w:name w:val="正文文本缩进"/>
    <w:basedOn w:val="974"/>
    <w:next w:val="998"/>
    <w:link w:val="999"/>
    <w:unhideWhenUsed/>
    <w:qFormat/>
    <w:pPr>
      <w:ind w:firstLine="570"/>
    </w:pPr>
    <w:rPr>
      <w:rFonts w:ascii="宋体" w:eastAsia="宋体"/>
      <w:sz w:val="28"/>
    </w:rPr>
  </w:style>
  <w:style w:type="character" w:styleId="999">
    <w:name w:val="正文文本缩进 Char"/>
    <w:next w:val="999"/>
    <w:link w:val="998"/>
    <w:qFormat/>
    <w:rPr>
      <w:rFonts w:ascii="宋体"/>
      <w:sz w:val="28"/>
    </w:rPr>
  </w:style>
  <w:style w:type="paragraph" w:styleId="1000">
    <w:name w:val="目录 3"/>
    <w:basedOn w:val="974"/>
    <w:next w:val="974"/>
    <w:link w:val="974"/>
    <w:pPr>
      <w:ind w:left="359"/>
      <w:tabs>
        <w:tab w:val="right" w:pos="8302" w:leader="dot"/>
      </w:tabs>
    </w:pPr>
    <w:rPr>
      <w:rFonts w:eastAsia="宋体"/>
      <w:sz w:val="21"/>
      <w:szCs w:val="24"/>
    </w:rPr>
  </w:style>
  <w:style w:type="paragraph" w:styleId="1001">
    <w:name w:val="纯文本"/>
    <w:basedOn w:val="974"/>
    <w:next w:val="985"/>
    <w:link w:val="1002"/>
    <w:unhideWhenUsed/>
    <w:qFormat/>
    <w:rPr>
      <w:rFonts w:ascii="宋体" w:hAnsi="Courier New"/>
    </w:rPr>
  </w:style>
  <w:style w:type="character" w:styleId="1002">
    <w:name w:val="纯文本 Char"/>
    <w:next w:val="1002"/>
    <w:link w:val="1001"/>
    <w:qFormat/>
    <w:rPr>
      <w:rFonts w:ascii="宋体" w:hAnsi="Courier New" w:eastAsia="楷体_GB2312"/>
      <w:sz w:val="26"/>
    </w:rPr>
  </w:style>
  <w:style w:type="paragraph" w:styleId="1003">
    <w:name w:val="日期"/>
    <w:basedOn w:val="974"/>
    <w:next w:val="974"/>
    <w:link w:val="1004"/>
    <w:unhideWhenUsed/>
    <w:qFormat/>
    <w:rPr>
      <w:rFonts w:ascii="宋体" w:hAnsi="宋体"/>
      <w:sz w:val="24"/>
    </w:rPr>
  </w:style>
  <w:style w:type="character" w:styleId="1004">
    <w:name w:val="日期 Char"/>
    <w:next w:val="1004"/>
    <w:link w:val="1003"/>
    <w:qFormat/>
    <w:rPr>
      <w:rFonts w:ascii="宋体" w:hAnsi="宋体" w:eastAsia="楷体_GB2312"/>
      <w:sz w:val="24"/>
    </w:rPr>
  </w:style>
  <w:style w:type="paragraph" w:styleId="1005">
    <w:name w:val="正文文本缩进 2"/>
    <w:basedOn w:val="974"/>
    <w:next w:val="1005"/>
    <w:link w:val="1006"/>
    <w:unhideWhenUsed/>
    <w:qFormat/>
    <w:pPr>
      <w:ind w:left="420"/>
      <w:spacing w:after="120" w:line="480" w:lineRule="auto"/>
    </w:pPr>
  </w:style>
  <w:style w:type="character" w:styleId="1006">
    <w:name w:val="正文文本缩进 2 Char"/>
    <w:next w:val="1006"/>
    <w:link w:val="1005"/>
    <w:qFormat/>
    <w:rPr>
      <w:rFonts w:eastAsia="楷体_GB2312"/>
      <w:sz w:val="26"/>
    </w:rPr>
  </w:style>
  <w:style w:type="paragraph" w:styleId="1007">
    <w:name w:val="尾注文本"/>
    <w:basedOn w:val="974"/>
    <w:next w:val="1007"/>
    <w:link w:val="1008"/>
    <w:unhideWhenUsed/>
    <w:qFormat/>
    <w:pPr>
      <w:jc w:val="left"/>
    </w:pPr>
    <w:rPr>
      <w:rFonts w:ascii="宋体" w:hAnsi="宋体" w:eastAsia="宋体"/>
      <w:sz w:val="21"/>
      <w:szCs w:val="24"/>
    </w:rPr>
  </w:style>
  <w:style w:type="character" w:styleId="1008">
    <w:name w:val="尾注文本 Char"/>
    <w:next w:val="1008"/>
    <w:link w:val="1007"/>
    <w:qFormat/>
    <w:rPr>
      <w:rFonts w:ascii="宋体" w:hAnsi="宋体"/>
      <w:sz w:val="21"/>
      <w:szCs w:val="24"/>
    </w:rPr>
  </w:style>
  <w:style w:type="paragraph" w:styleId="1009">
    <w:name w:val="批注框文本"/>
    <w:basedOn w:val="974"/>
    <w:next w:val="1009"/>
    <w:link w:val="1010"/>
    <w:qFormat/>
    <w:rPr>
      <w:sz w:val="18"/>
      <w:szCs w:val="18"/>
    </w:rPr>
  </w:style>
  <w:style w:type="character" w:styleId="1010">
    <w:name w:val="批注框文本 Char"/>
    <w:next w:val="1010"/>
    <w:link w:val="1009"/>
    <w:qFormat/>
    <w:rPr>
      <w:rFonts w:eastAsia="楷体_GB2312"/>
      <w:sz w:val="18"/>
      <w:szCs w:val="18"/>
    </w:rPr>
  </w:style>
  <w:style w:type="paragraph" w:styleId="1011">
    <w:name w:val="页脚"/>
    <w:basedOn w:val="974"/>
    <w:next w:val="1011"/>
    <w:link w:val="1012"/>
    <w:unhideWhenUsed/>
    <w:qFormat/>
    <w:pPr>
      <w:jc w:val="left"/>
      <w:tabs>
        <w:tab w:val="center" w:pos="4153" w:leader="none"/>
        <w:tab w:val="right" w:pos="8306" w:leader="none"/>
      </w:tabs>
    </w:pPr>
    <w:rPr>
      <w:sz w:val="18"/>
    </w:rPr>
  </w:style>
  <w:style w:type="character" w:styleId="1012">
    <w:name w:val="页脚 Char"/>
    <w:next w:val="1012"/>
    <w:link w:val="1011"/>
    <w:qFormat/>
    <w:rPr>
      <w:rFonts w:eastAsia="楷体_GB2312"/>
      <w:sz w:val="18"/>
    </w:rPr>
  </w:style>
  <w:style w:type="paragraph" w:styleId="1013">
    <w:name w:val="页眉"/>
    <w:basedOn w:val="974"/>
    <w:next w:val="1013"/>
    <w:link w:val="1014"/>
    <w:unhideWhenUsed/>
    <w:qFormat/>
    <w:pPr>
      <w:jc w:val="center"/>
      <w:tabs>
        <w:tab w:val="center" w:pos="4153" w:leader="none"/>
        <w:tab w:val="right" w:pos="8306" w:leader="none"/>
      </w:tabs>
      <w:pBdr>
        <w:bottom w:val="single" w:color="000000" w:sz="6" w:space="1"/>
      </w:pBdr>
    </w:pPr>
    <w:rPr>
      <w:sz w:val="18"/>
    </w:rPr>
  </w:style>
  <w:style w:type="character" w:styleId="1014">
    <w:name w:val="页眉 Char"/>
    <w:next w:val="1014"/>
    <w:link w:val="1013"/>
    <w:qFormat/>
    <w:rPr>
      <w:rFonts w:eastAsia="楷体_GB2312"/>
      <w:sz w:val="18"/>
    </w:rPr>
  </w:style>
  <w:style w:type="paragraph" w:styleId="1015">
    <w:name w:val="目录 1"/>
    <w:basedOn w:val="974"/>
    <w:next w:val="974"/>
    <w:link w:val="974"/>
    <w:unhideWhenUsed/>
    <w:qFormat/>
    <w:pPr>
      <w:jc w:val="left"/>
    </w:pPr>
    <w:rPr>
      <w:sz w:val="24"/>
    </w:rPr>
  </w:style>
  <w:style w:type="paragraph" w:styleId="1016">
    <w:name w:val="副标题"/>
    <w:basedOn w:val="974"/>
    <w:next w:val="1016"/>
    <w:link w:val="1017"/>
    <w:qFormat/>
    <w:pPr>
      <w:jc w:val="center"/>
      <w:spacing w:before="240" w:after="60" w:line="312" w:lineRule="auto"/>
      <w:outlineLvl w:val="1"/>
    </w:pPr>
    <w:rPr>
      <w:rFonts w:ascii="Arial" w:hAnsi="Arial" w:eastAsia="宋体"/>
      <w:b/>
      <w:bCs/>
      <w:sz w:val="32"/>
      <w:szCs w:val="32"/>
    </w:rPr>
  </w:style>
  <w:style w:type="character" w:styleId="1017">
    <w:name w:val="副标题 Char"/>
    <w:next w:val="1017"/>
    <w:link w:val="1016"/>
    <w:qFormat/>
    <w:rPr>
      <w:rFonts w:ascii="Arial" w:hAnsi="Arial" w:cs="Arial"/>
      <w:b/>
      <w:bCs/>
      <w:sz w:val="32"/>
      <w:szCs w:val="32"/>
    </w:rPr>
  </w:style>
  <w:style w:type="paragraph" w:styleId="1018">
    <w:name w:val="目录 2"/>
    <w:basedOn w:val="974"/>
    <w:next w:val="974"/>
    <w:link w:val="974"/>
    <w:unhideWhenUsed/>
    <w:pPr>
      <w:ind w:left="420"/>
    </w:pPr>
  </w:style>
  <w:style w:type="paragraph" w:styleId="1019">
    <w:name w:val="目录 9"/>
    <w:basedOn w:val="974"/>
    <w:next w:val="974"/>
    <w:link w:val="974"/>
    <w:semiHidden/>
    <w:pPr>
      <w:ind w:left="3360"/>
    </w:pPr>
  </w:style>
  <w:style w:type="paragraph" w:styleId="1020">
    <w:name w:val="普通(网站)"/>
    <w:basedOn w:val="974"/>
    <w:next w:val="1020"/>
    <w:link w:val="974"/>
    <w:unhideWhenUsed/>
    <w:qFormat/>
    <w:pPr>
      <w:jc w:val="left"/>
      <w:spacing w:before="100" w:beforeAutospacing="1" w:after="100" w:afterAutospacing="1"/>
      <w:widowControl/>
    </w:pPr>
    <w:rPr>
      <w:rFonts w:ascii="宋体" w:hAnsi="宋体" w:cs="宋体"/>
      <w:sz w:val="24"/>
    </w:rPr>
  </w:style>
  <w:style w:type="paragraph" w:styleId="1021">
    <w:name w:val="索引 1"/>
    <w:basedOn w:val="974"/>
    <w:next w:val="974"/>
    <w:link w:val="974"/>
    <w:unhideWhenUsed/>
    <w:qFormat/>
    <w:pPr>
      <w:jc w:val="center"/>
      <w:spacing w:line="220" w:lineRule="exact"/>
    </w:pPr>
    <w:rPr>
      <w:rFonts w:ascii="仿宋_GB2312" w:eastAsia="仿宋_GB2312"/>
      <w:szCs w:val="21"/>
    </w:rPr>
  </w:style>
  <w:style w:type="paragraph" w:styleId="1022">
    <w:name w:val="标题"/>
    <w:basedOn w:val="974"/>
    <w:next w:val="1022"/>
    <w:link w:val="1023"/>
    <w:uiPriority w:val="10"/>
    <w:qFormat/>
    <w:pPr>
      <w:jc w:val="center"/>
      <w:spacing w:before="240" w:after="60"/>
      <w:outlineLvl w:val="0"/>
    </w:pPr>
    <w:rPr>
      <w:rFonts w:ascii="Arial" w:hAnsi="Arial" w:eastAsia="宋体"/>
      <w:b/>
      <w:bCs/>
      <w:sz w:val="32"/>
      <w:szCs w:val="32"/>
    </w:rPr>
  </w:style>
  <w:style w:type="character" w:styleId="1023">
    <w:name w:val="标题 Char"/>
    <w:next w:val="1023"/>
    <w:link w:val="1022"/>
    <w:uiPriority w:val="10"/>
    <w:rPr>
      <w:rFonts w:ascii="Arial" w:hAnsi="Arial"/>
      <w:b/>
      <w:bCs/>
      <w:sz w:val="32"/>
      <w:szCs w:val="32"/>
    </w:rPr>
  </w:style>
  <w:style w:type="paragraph" w:styleId="1024">
    <w:name w:val="批注主题"/>
    <w:basedOn w:val="992"/>
    <w:next w:val="992"/>
    <w:link w:val="1025"/>
    <w:uiPriority w:val="99"/>
    <w:rPr>
      <w:b/>
      <w:bCs/>
    </w:rPr>
  </w:style>
  <w:style w:type="character" w:styleId="1025">
    <w:name w:val="批注主题 Char"/>
    <w:next w:val="1025"/>
    <w:link w:val="1024"/>
    <w:uiPriority w:val="99"/>
    <w:rPr>
      <w:b/>
      <w:bCs/>
    </w:rPr>
  </w:style>
  <w:style w:type="paragraph" w:styleId="1026">
    <w:name w:val="正文首行缩进"/>
    <w:basedOn w:val="996"/>
    <w:next w:val="1026"/>
    <w:link w:val="1027"/>
    <w:unhideWhenUsed/>
    <w:qFormat/>
    <w:pPr>
      <w:ind w:firstLine="420"/>
      <w:spacing w:after="120"/>
    </w:pPr>
    <w:rPr>
      <w:rFonts w:ascii="Times New Roman" w:eastAsia="宋体"/>
      <w:b w:val="0"/>
      <w:bCs w:val="0"/>
      <w:sz w:val="21"/>
      <w:szCs w:val="24"/>
    </w:rPr>
  </w:style>
  <w:style w:type="character" w:styleId="1027">
    <w:name w:val="正文首行缩进 Char"/>
    <w:next w:val="1027"/>
    <w:link w:val="1026"/>
    <w:qFormat/>
  </w:style>
  <w:style w:type="table" w:styleId="1028">
    <w:name w:val="网格型"/>
    <w:basedOn w:val="981"/>
    <w:next w:val="1028"/>
    <w:link w:val="974"/>
    <w:unhideWhenUsed/>
    <w:pPr>
      <w:jc w:val="both"/>
      <w:widowControl w:val="off"/>
    </w:pPr>
    <w:tblPr/>
  </w:style>
  <w:style w:type="character" w:styleId="1029">
    <w:name w:val="要点"/>
    <w:next w:val="1029"/>
    <w:link w:val="974"/>
    <w:qFormat/>
    <w:rPr>
      <w:b/>
      <w:bCs/>
    </w:rPr>
  </w:style>
  <w:style w:type="character" w:styleId="1030">
    <w:name w:val="页码"/>
    <w:next w:val="1030"/>
    <w:link w:val="974"/>
    <w:unhideWhenUsed/>
    <w:qFormat/>
  </w:style>
  <w:style w:type="character" w:styleId="1031">
    <w:name w:val="已访问的超链接"/>
    <w:next w:val="1031"/>
    <w:link w:val="974"/>
    <w:rPr>
      <w:rFonts w:ascii="微软雅黑" w:hAnsi="微软雅黑" w:eastAsia="微软雅黑" w:cs="微软雅黑"/>
      <w:color w:val="3d3d3d"/>
      <w:u w:val="none"/>
    </w:rPr>
  </w:style>
  <w:style w:type="character" w:styleId="1032">
    <w:name w:val="超链接"/>
    <w:next w:val="1032"/>
    <w:link w:val="974"/>
    <w:uiPriority w:val="99"/>
    <w:unhideWhenUsed/>
    <w:qFormat/>
    <w:rPr>
      <w:rFonts w:hint="eastAsia" w:ascii="微软雅黑" w:hAnsi="微软雅黑" w:eastAsia="微软雅黑" w:cs="微软雅黑"/>
      <w:color w:val="3d3d3d"/>
      <w:u w:val="none"/>
    </w:rPr>
  </w:style>
  <w:style w:type="character" w:styleId="1033">
    <w:name w:val="批注引用"/>
    <w:next w:val="1033"/>
    <w:link w:val="974"/>
    <w:qFormat/>
    <w:rPr>
      <w:sz w:val="21"/>
      <w:szCs w:val="21"/>
    </w:rPr>
  </w:style>
  <w:style w:type="character" w:styleId="1034">
    <w:name w:val="正文文本 Char"/>
    <w:next w:val="1034"/>
    <w:link w:val="974"/>
    <w:qFormat/>
    <w:rPr>
      <w:sz w:val="21"/>
      <w:szCs w:val="24"/>
    </w:rPr>
  </w:style>
  <w:style w:type="character" w:styleId="1035">
    <w:name w:val="font61"/>
    <w:next w:val="1035"/>
    <w:link w:val="974"/>
    <w:qFormat/>
    <w:rPr>
      <w:rFonts w:ascii="Calibri" w:hAnsi="Calibri" w:cs="Calibri"/>
      <w:color w:val="000000"/>
      <w:sz w:val="20"/>
      <w:szCs w:val="20"/>
      <w:u w:val="none"/>
    </w:rPr>
  </w:style>
  <w:style w:type="character" w:styleId="1036">
    <w:name w:val="Char Char4"/>
    <w:next w:val="1036"/>
    <w:link w:val="974"/>
    <w:qFormat/>
    <w:rPr>
      <w:rFonts w:ascii="Arial" w:hAnsi="Arial" w:eastAsia="黑体" w:cs="Arial"/>
      <w:bCs/>
      <w:sz w:val="24"/>
      <w:szCs w:val="28"/>
      <w:lang w:val="en-US" w:eastAsia="zh-CN" w:bidi="ar-SA"/>
    </w:rPr>
  </w:style>
  <w:style w:type="character" w:styleId="1037">
    <w:name w:val="Char Char Char"/>
    <w:next w:val="1037"/>
    <w:link w:val="974"/>
    <w:qFormat/>
    <w:rPr>
      <w:rFonts w:hint="eastAsia" w:ascii="黑体" w:hAnsi="黑体" w:eastAsia="黑体"/>
      <w:bCs/>
      <w:sz w:val="28"/>
      <w:szCs w:val="32"/>
      <w:lang w:val="en-US" w:eastAsia="zh-CN" w:bidi="ar-SA"/>
    </w:rPr>
  </w:style>
  <w:style w:type="character" w:styleId="1038">
    <w:name w:val="z-窗体底端 Char"/>
    <w:next w:val="1038"/>
    <w:link w:val="1039"/>
    <w:qFormat/>
    <w:rPr>
      <w:rFonts w:ascii="Arial" w:hAnsi="Arial" w:cs="Arial"/>
      <w:vanish/>
      <w:sz w:val="16"/>
      <w:szCs w:val="16"/>
    </w:rPr>
  </w:style>
  <w:style w:type="paragraph" w:styleId="1039">
    <w:name w:val="z-窗体底端1"/>
    <w:basedOn w:val="974"/>
    <w:next w:val="974"/>
    <w:link w:val="1038"/>
    <w:unhideWhenUsed/>
    <w:qFormat/>
    <w:pPr>
      <w:jc w:val="center"/>
      <w:pBdr>
        <w:top w:val="single" w:color="000000" w:sz="6" w:space="1"/>
      </w:pBdr>
    </w:pPr>
    <w:rPr>
      <w:rFonts w:ascii="Arial" w:hAnsi="Arial" w:eastAsia="宋体" w:cs="Arial"/>
      <w:vanish/>
      <w:sz w:val="16"/>
      <w:szCs w:val="16"/>
    </w:rPr>
  </w:style>
  <w:style w:type="character" w:styleId="1040">
    <w:name w:val="纯文本 Char Char"/>
    <w:next w:val="1040"/>
    <w:link w:val="974"/>
    <w:rPr>
      <w:rFonts w:ascii="宋体" w:hAnsi="Courier New" w:eastAsia="宋体" w:cs="Courier New"/>
      <w:sz w:val="21"/>
      <w:szCs w:val="21"/>
      <w:lang w:val="en-US" w:eastAsia="zh-CN" w:bidi="ar-SA"/>
    </w:rPr>
  </w:style>
  <w:style w:type="character" w:styleId="1041">
    <w:name w:val="font21"/>
    <w:next w:val="1041"/>
    <w:link w:val="974"/>
    <w:qFormat/>
    <w:rPr>
      <w:rFonts w:hint="eastAsia" w:ascii="宋体" w:hAnsi="宋体" w:eastAsia="宋体" w:cs="宋体"/>
      <w:color w:val="000000"/>
      <w:sz w:val="20"/>
      <w:szCs w:val="20"/>
      <w:u w:val="none"/>
    </w:rPr>
  </w:style>
  <w:style w:type="character" w:styleId="1042">
    <w:name w:val="Other|1_"/>
    <w:next w:val="1042"/>
    <w:link w:val="1043"/>
    <w:rPr>
      <w:rFonts w:ascii="宋体" w:hAnsi="宋体" w:eastAsia="宋体" w:cs="宋体"/>
      <w:color w:val="4e4a50"/>
      <w:lang w:val="zh-TW" w:eastAsia="zh-TW" w:bidi="zh-TW"/>
    </w:rPr>
  </w:style>
  <w:style w:type="paragraph" w:styleId="1043">
    <w:name w:val="Other|1"/>
    <w:basedOn w:val="974"/>
    <w:next w:val="1043"/>
    <w:link w:val="1042"/>
    <w:pPr>
      <w:jc w:val="center"/>
      <w:spacing w:line="308" w:lineRule="exact"/>
    </w:pPr>
    <w:rPr>
      <w:rFonts w:ascii="宋体" w:hAnsi="宋体" w:eastAsia="宋体" w:cs="宋体"/>
      <w:color w:val="4e4a50"/>
      <w:sz w:val="20"/>
      <w:lang w:val="zh-TW" w:eastAsia="zh-TW" w:bidi="zh-TW"/>
    </w:rPr>
  </w:style>
  <w:style w:type="character" w:styleId="1044">
    <w:name w:val="Heading #2|1_"/>
    <w:next w:val="1044"/>
    <w:link w:val="1045"/>
    <w:rPr>
      <w:rFonts w:ascii="宋体" w:hAnsi="宋体" w:eastAsia="宋体" w:cs="宋体"/>
      <w:color w:val="4e4a50"/>
      <w:sz w:val="40"/>
      <w:szCs w:val="40"/>
      <w:lang w:val="zh-TW" w:eastAsia="zh-TW" w:bidi="zh-TW"/>
    </w:rPr>
  </w:style>
  <w:style w:type="paragraph" w:styleId="1045">
    <w:name w:val="Heading #2|1"/>
    <w:basedOn w:val="974"/>
    <w:next w:val="1045"/>
    <w:link w:val="1044"/>
    <w:pPr>
      <w:jc w:val="center"/>
      <w:spacing w:after="550" w:line="595" w:lineRule="exact"/>
      <w:outlineLvl w:val="1"/>
    </w:pPr>
    <w:rPr>
      <w:rFonts w:ascii="宋体" w:hAnsi="宋体" w:eastAsia="宋体" w:cs="宋体"/>
      <w:color w:val="4e4a50"/>
      <w:sz w:val="40"/>
      <w:szCs w:val="40"/>
      <w:lang w:val="zh-TW" w:eastAsia="zh-TW" w:bidi="zh-TW"/>
    </w:rPr>
  </w:style>
  <w:style w:type="character" w:styleId="1046">
    <w:name w:val="z-窗体顶端 Char2"/>
    <w:next w:val="1046"/>
    <w:link w:val="974"/>
    <w:uiPriority w:val="99"/>
    <w:semiHidden/>
    <w:rPr>
      <w:rFonts w:ascii="Arial" w:hAnsi="Arial" w:eastAsia="楷体_GB2312" w:cs="Arial"/>
      <w:vanish/>
      <w:sz w:val="16"/>
      <w:szCs w:val="16"/>
    </w:rPr>
  </w:style>
  <w:style w:type="character" w:styleId="1047">
    <w:name w:val="z-窗体底端 Char2"/>
    <w:next w:val="1047"/>
    <w:link w:val="974"/>
    <w:uiPriority w:val="99"/>
    <w:semiHidden/>
    <w:rPr>
      <w:rFonts w:ascii="Arial" w:hAnsi="Arial" w:eastAsia="楷体_GB2312" w:cs="Arial"/>
      <w:vanish/>
      <w:sz w:val="16"/>
      <w:szCs w:val="16"/>
    </w:rPr>
  </w:style>
  <w:style w:type="character" w:styleId="1048">
    <w:name w:val="Picture caption|1_"/>
    <w:next w:val="1048"/>
    <w:link w:val="1049"/>
    <w:rPr>
      <w:rFonts w:ascii="宋体" w:hAnsi="宋体" w:eastAsia="宋体" w:cs="宋体"/>
      <w:color w:val="4e4a50"/>
      <w:sz w:val="26"/>
      <w:szCs w:val="26"/>
      <w:lang w:val="zh-TW" w:eastAsia="zh-TW" w:bidi="zh-TW"/>
    </w:rPr>
  </w:style>
  <w:style w:type="paragraph" w:styleId="1049">
    <w:name w:val="Picture caption|1"/>
    <w:basedOn w:val="974"/>
    <w:next w:val="1049"/>
    <w:link w:val="1048"/>
    <w:pPr>
      <w:jc w:val="left"/>
    </w:pPr>
    <w:rPr>
      <w:rFonts w:ascii="宋体" w:hAnsi="宋体" w:eastAsia="宋体" w:cs="宋体"/>
      <w:color w:val="4e4a50"/>
      <w:szCs w:val="26"/>
      <w:lang w:val="zh-TW" w:eastAsia="zh-TW" w:bidi="zh-TW"/>
    </w:rPr>
  </w:style>
  <w:style w:type="character" w:styleId="1050">
    <w:name w:val="标题 Char1"/>
    <w:next w:val="1050"/>
    <w:link w:val="974"/>
    <w:uiPriority w:val="10"/>
    <w:rPr>
      <w:rFonts w:ascii="Cambria" w:hAnsi="Cambria" w:cs="Times New Roman"/>
      <w:b/>
      <w:bCs/>
      <w:sz w:val="32"/>
      <w:szCs w:val="32"/>
    </w:rPr>
  </w:style>
  <w:style w:type="character" w:styleId="1051">
    <w:name w:val="Char Char"/>
    <w:next w:val="1051"/>
    <w:link w:val="974"/>
    <w:rPr>
      <w:rFonts w:eastAsia="黑体"/>
      <w:bCs/>
      <w:sz w:val="28"/>
      <w:szCs w:val="32"/>
      <w:lang w:val="en-US" w:eastAsia="zh-CN" w:bidi="ar-SA"/>
    </w:rPr>
  </w:style>
  <w:style w:type="character" w:styleId="1052">
    <w:name w:val="z-窗体底端 Char1"/>
    <w:next w:val="1052"/>
    <w:link w:val="1053"/>
    <w:rPr>
      <w:rFonts w:ascii="Arial" w:hAnsi="Arial" w:cs="Arial"/>
      <w:vanish/>
      <w:sz w:val="16"/>
      <w:szCs w:val="16"/>
    </w:rPr>
  </w:style>
  <w:style w:type="paragraph" w:styleId="1053">
    <w:name w:val="z-窗体底端"/>
    <w:basedOn w:val="974"/>
    <w:next w:val="974"/>
    <w:link w:val="1052"/>
    <w:pPr>
      <w:jc w:val="center"/>
      <w:pBdr>
        <w:top w:val="single" w:color="000000" w:sz="6" w:space="1"/>
      </w:pBdr>
    </w:pPr>
    <w:rPr>
      <w:rFonts w:ascii="Arial" w:hAnsi="Arial" w:eastAsia="宋体" w:cs="Arial"/>
      <w:vanish/>
      <w:sz w:val="16"/>
      <w:szCs w:val="16"/>
    </w:rPr>
  </w:style>
  <w:style w:type="character" w:styleId="1054">
    <w:name w:val="Char Char5"/>
    <w:next w:val="1054"/>
    <w:link w:val="974"/>
    <w:qFormat/>
    <w:rPr>
      <w:rFonts w:hint="eastAsia" w:ascii="黑体" w:hAnsi="黑体" w:eastAsia="黑体"/>
      <w:b/>
      <w:bCs/>
      <w:sz w:val="72"/>
      <w:szCs w:val="44"/>
      <w:lang w:val="en-US" w:eastAsia="zh-CN" w:bidi="ar-SA"/>
    </w:rPr>
  </w:style>
  <w:style w:type="character" w:styleId="1055">
    <w:name w:val="Char Char3"/>
    <w:next w:val="1055"/>
    <w:link w:val="974"/>
    <w:qFormat/>
    <w:rPr>
      <w:b/>
      <w:bCs/>
      <w:sz w:val="32"/>
      <w:szCs w:val="32"/>
    </w:rPr>
  </w:style>
  <w:style w:type="character" w:styleId="1056">
    <w:name w:val="Header or footer|2_"/>
    <w:next w:val="1056"/>
    <w:link w:val="1057"/>
    <w:rPr>
      <w:lang w:val="zh-TW" w:eastAsia="zh-TW" w:bidi="zh-TW"/>
    </w:rPr>
  </w:style>
  <w:style w:type="paragraph" w:styleId="1057">
    <w:name w:val="Header or footer|2"/>
    <w:basedOn w:val="974"/>
    <w:next w:val="1057"/>
    <w:link w:val="1056"/>
    <w:pPr>
      <w:jc w:val="left"/>
    </w:pPr>
    <w:rPr>
      <w:rFonts w:eastAsia="宋体"/>
      <w:sz w:val="20"/>
      <w:lang w:val="zh-TW" w:eastAsia="zh-TW" w:bidi="zh-TW"/>
    </w:rPr>
  </w:style>
  <w:style w:type="character" w:styleId="1058">
    <w:name w:val="Body text|1_"/>
    <w:next w:val="1058"/>
    <w:link w:val="1059"/>
    <w:rPr>
      <w:rFonts w:ascii="宋体" w:hAnsi="宋体" w:eastAsia="宋体" w:cs="宋体"/>
      <w:color w:val="4e4a50"/>
      <w:sz w:val="26"/>
      <w:szCs w:val="26"/>
      <w:lang w:val="zh-TW" w:eastAsia="zh-TW" w:bidi="zh-TW"/>
    </w:rPr>
  </w:style>
  <w:style w:type="paragraph" w:styleId="1059">
    <w:name w:val="Body text|1"/>
    <w:basedOn w:val="974"/>
    <w:next w:val="1059"/>
    <w:link w:val="1058"/>
    <w:pPr>
      <w:ind w:firstLine="400"/>
      <w:jc w:val="left"/>
      <w:spacing w:line="458" w:lineRule="auto"/>
    </w:pPr>
    <w:rPr>
      <w:rFonts w:ascii="宋体" w:hAnsi="宋体" w:eastAsia="宋体" w:cs="宋体"/>
      <w:color w:val="4e4a50"/>
      <w:szCs w:val="26"/>
      <w:lang w:val="zh-TW" w:eastAsia="zh-TW" w:bidi="zh-TW"/>
    </w:rPr>
  </w:style>
  <w:style w:type="character" w:styleId="1060">
    <w:name w:val="font51"/>
    <w:next w:val="1060"/>
    <w:link w:val="974"/>
    <w:qFormat/>
    <w:rPr>
      <w:rFonts w:hint="eastAsia" w:ascii="宋体" w:hAnsi="宋体" w:eastAsia="宋体" w:cs="宋体"/>
      <w:color w:val="000000"/>
      <w:sz w:val="20"/>
      <w:szCs w:val="20"/>
      <w:u w:val="none"/>
    </w:rPr>
  </w:style>
  <w:style w:type="character" w:styleId="1061">
    <w:name w:val="grame"/>
    <w:next w:val="1061"/>
    <w:link w:val="974"/>
    <w:qFormat/>
  </w:style>
  <w:style w:type="character" w:styleId="1062">
    <w:name w:val="文档结构图 Char1"/>
    <w:next w:val="1062"/>
    <w:link w:val="974"/>
    <w:uiPriority w:val="99"/>
    <w:semiHidden/>
    <w:rPr>
      <w:rFonts w:ascii="宋体"/>
      <w:sz w:val="18"/>
      <w:szCs w:val="18"/>
    </w:rPr>
  </w:style>
  <w:style w:type="character" w:styleId="1063">
    <w:name w:val="z-窗体顶端 Char1"/>
    <w:next w:val="1063"/>
    <w:link w:val="1064"/>
    <w:rPr>
      <w:rFonts w:ascii="Arial" w:hAnsi="Arial" w:cs="Arial"/>
      <w:vanish/>
      <w:sz w:val="16"/>
      <w:szCs w:val="16"/>
    </w:rPr>
  </w:style>
  <w:style w:type="paragraph" w:styleId="1064">
    <w:name w:val="z-窗体顶端"/>
    <w:basedOn w:val="974"/>
    <w:next w:val="974"/>
    <w:link w:val="1063"/>
    <w:pPr>
      <w:jc w:val="center"/>
      <w:pBdr>
        <w:bottom w:val="single" w:color="000000" w:sz="6" w:space="1"/>
      </w:pBdr>
    </w:pPr>
    <w:rPr>
      <w:rFonts w:ascii="Arial" w:hAnsi="Arial" w:eastAsia="宋体" w:cs="Arial"/>
      <w:vanish/>
      <w:sz w:val="16"/>
      <w:szCs w:val="16"/>
    </w:rPr>
  </w:style>
  <w:style w:type="character" w:styleId="1065">
    <w:name w:val="Blockquote Char Char"/>
    <w:next w:val="1065"/>
    <w:link w:val="1066"/>
    <w:rPr>
      <w:rFonts w:cs="宋体"/>
      <w:sz w:val="24"/>
      <w:szCs w:val="24"/>
    </w:rPr>
  </w:style>
  <w:style w:type="paragraph" w:styleId="1066">
    <w:name w:val="Blockquote"/>
    <w:basedOn w:val="974"/>
    <w:next w:val="1066"/>
    <w:link w:val="1065"/>
    <w:pPr>
      <w:ind w:left="360" w:right="360"/>
      <w:jc w:val="left"/>
      <w:spacing w:before="100" w:after="100"/>
    </w:pPr>
    <w:rPr>
      <w:rFonts w:eastAsia="宋体" w:cs="宋体"/>
      <w:sz w:val="24"/>
      <w:szCs w:val="24"/>
    </w:rPr>
  </w:style>
  <w:style w:type="character" w:styleId="1067">
    <w:name w:val="z-窗体顶端 Char"/>
    <w:next w:val="1067"/>
    <w:link w:val="1068"/>
    <w:qFormat/>
    <w:rPr>
      <w:rFonts w:ascii="Arial" w:hAnsi="Arial" w:cs="Arial"/>
      <w:vanish/>
      <w:sz w:val="16"/>
      <w:szCs w:val="16"/>
    </w:rPr>
  </w:style>
  <w:style w:type="paragraph" w:styleId="1068">
    <w:name w:val="z-窗体顶端1"/>
    <w:basedOn w:val="974"/>
    <w:next w:val="974"/>
    <w:link w:val="1067"/>
    <w:unhideWhenUsed/>
    <w:qFormat/>
    <w:pPr>
      <w:jc w:val="center"/>
      <w:pBdr>
        <w:bottom w:val="single" w:color="000000" w:sz="6" w:space="1"/>
      </w:pBdr>
    </w:pPr>
    <w:rPr>
      <w:rFonts w:ascii="Arial" w:hAnsi="Arial" w:eastAsia="宋体" w:cs="Arial"/>
      <w:vanish/>
      <w:sz w:val="16"/>
      <w:szCs w:val="16"/>
    </w:rPr>
  </w:style>
  <w:style w:type="character" w:styleId="1069">
    <w:name w:val="样式 粉红"/>
    <w:next w:val="1069"/>
    <w:link w:val="974"/>
    <w:qFormat/>
    <w:rPr>
      <w:color w:val="000000"/>
      <w:u w:val="none"/>
    </w:rPr>
  </w:style>
  <w:style w:type="character" w:styleId="1070">
    <w:name w:val="正文首行缩进 Char1"/>
    <w:next w:val="1070"/>
    <w:link w:val="974"/>
  </w:style>
  <w:style w:type="character" w:styleId="1071">
    <w:name w:val="Heading #1|1_"/>
    <w:next w:val="1071"/>
    <w:link w:val="1072"/>
    <w:rPr>
      <w:rFonts w:ascii="宋体" w:hAnsi="宋体" w:eastAsia="宋体" w:cs="宋体"/>
      <w:color w:val="fc5c77"/>
      <w:sz w:val="138"/>
      <w:szCs w:val="138"/>
      <w:lang w:val="zh-TW" w:eastAsia="zh-TW" w:bidi="zh-TW"/>
    </w:rPr>
  </w:style>
  <w:style w:type="paragraph" w:styleId="1072">
    <w:name w:val="Heading #1|1"/>
    <w:basedOn w:val="974"/>
    <w:next w:val="1072"/>
    <w:link w:val="1071"/>
    <w:pPr>
      <w:jc w:val="left"/>
      <w:spacing w:before="1160" w:after="1020"/>
      <w:outlineLvl w:val="0"/>
    </w:pPr>
    <w:rPr>
      <w:rFonts w:ascii="宋体" w:hAnsi="宋体" w:eastAsia="宋体" w:cs="宋体"/>
      <w:color w:val="fc5c77"/>
      <w:sz w:val="138"/>
      <w:szCs w:val="138"/>
      <w:lang w:val="zh-TW" w:eastAsia="zh-TW" w:bidi="zh-TW"/>
    </w:rPr>
  </w:style>
  <w:style w:type="character" w:styleId="1073">
    <w:name w:val="font01"/>
    <w:next w:val="1073"/>
    <w:link w:val="974"/>
    <w:qFormat/>
    <w:rPr>
      <w:rFonts w:ascii="Calibri" w:hAnsi="Calibri" w:cs="Calibri"/>
      <w:color w:val="000000"/>
      <w:sz w:val="20"/>
      <w:szCs w:val="20"/>
      <w:u w:val="none"/>
    </w:rPr>
  </w:style>
  <w:style w:type="character" w:styleId="1074">
    <w:name w:val="Char Char2"/>
    <w:next w:val="1074"/>
    <w:link w:val="974"/>
    <w:qFormat/>
    <w:rPr>
      <w:rFonts w:ascii="Arial" w:hAnsi="Arial" w:eastAsia="黑体" w:cs="Arial"/>
      <w:b/>
      <w:bCs/>
      <w:sz w:val="32"/>
      <w:szCs w:val="32"/>
      <w:lang w:val="en-US" w:eastAsia="zh-CN" w:bidi="ar-SA"/>
    </w:rPr>
  </w:style>
  <w:style w:type="character" w:styleId="1075">
    <w:name w:val="font112"/>
    <w:next w:val="1075"/>
    <w:link w:val="974"/>
    <w:qFormat/>
    <w:rPr>
      <w:rFonts w:hint="eastAsia" w:ascii="宋体" w:hAnsi="宋体" w:eastAsia="宋体" w:cs="宋体"/>
      <w:color w:val="000000"/>
      <w:sz w:val="20"/>
      <w:szCs w:val="20"/>
      <w:u w:val="none"/>
    </w:rPr>
  </w:style>
  <w:style w:type="character" w:styleId="1076">
    <w:name w:val="Plain Text Char Char"/>
    <w:next w:val="1076"/>
    <w:link w:val="1077"/>
    <w:rPr>
      <w:rFonts w:ascii="宋体" w:hAnsi="Courier New" w:eastAsia="楷体_GB2312"/>
      <w:sz w:val="26"/>
      <w:lang w:val="en-US" w:eastAsia="zh-CN" w:bidi="ar-SA"/>
    </w:rPr>
  </w:style>
  <w:style w:type="paragraph" w:styleId="1077">
    <w:name w:val="纯文本1"/>
    <w:basedOn w:val="974"/>
    <w:next w:val="1077"/>
    <w:link w:val="1076"/>
    <w:rPr>
      <w:rFonts w:ascii="宋体" w:hAnsi="Courier New"/>
    </w:rPr>
  </w:style>
  <w:style w:type="paragraph" w:styleId="1078">
    <w:name w:val="正文缩进11"/>
    <w:basedOn w:val="974"/>
    <w:next w:val="974"/>
    <w:link w:val="974"/>
    <w:unhideWhenUsed/>
    <w:qFormat/>
    <w:pPr>
      <w:ind w:firstLine="420"/>
    </w:pPr>
  </w:style>
  <w:style w:type="character" w:styleId="1079">
    <w:name w:val="font11"/>
    <w:next w:val="1079"/>
    <w:link w:val="974"/>
    <w:qFormat/>
    <w:rPr>
      <w:rFonts w:hint="eastAsia" w:ascii="宋体" w:hAnsi="宋体" w:eastAsia="宋体" w:cs="宋体"/>
      <w:color w:val="000000"/>
      <w:sz w:val="20"/>
      <w:szCs w:val="20"/>
      <w:u w:val="none"/>
    </w:rPr>
  </w:style>
  <w:style w:type="character" w:styleId="1080">
    <w:name w:val="尾注文本 Char1"/>
    <w:next w:val="1080"/>
    <w:link w:val="974"/>
    <w:uiPriority w:val="99"/>
    <w:semiHidden/>
    <w:rPr>
      <w:rFonts w:eastAsia="楷体_GB2312"/>
      <w:sz w:val="26"/>
    </w:rPr>
  </w:style>
  <w:style w:type="character" w:styleId="1081">
    <w:name w:val="Body text|3_"/>
    <w:next w:val="1081"/>
    <w:link w:val="1082"/>
    <w:rPr>
      <w:color w:val="5c575b"/>
      <w:sz w:val="26"/>
      <w:szCs w:val="26"/>
      <w:lang w:val="zh-TW" w:eastAsia="zh-TW" w:bidi="zh-TW"/>
    </w:rPr>
  </w:style>
  <w:style w:type="paragraph" w:styleId="1082">
    <w:name w:val="Body text|3"/>
    <w:basedOn w:val="974"/>
    <w:next w:val="1082"/>
    <w:link w:val="1081"/>
    <w:pPr>
      <w:jc w:val="left"/>
    </w:pPr>
    <w:rPr>
      <w:rFonts w:eastAsia="宋体"/>
      <w:color w:val="5c575b"/>
      <w:szCs w:val="26"/>
      <w:lang w:val="zh-TW" w:eastAsia="zh-TW" w:bidi="zh-TW"/>
    </w:rPr>
  </w:style>
  <w:style w:type="character" w:styleId="1083">
    <w:name w:val="Char Char1"/>
    <w:next w:val="1083"/>
    <w:link w:val="974"/>
    <w:rPr>
      <w:rFonts w:ascii="Arial" w:hAnsi="Arial" w:eastAsia="黑体"/>
      <w:b/>
      <w:bCs/>
      <w:sz w:val="32"/>
      <w:szCs w:val="32"/>
      <w:lang w:val="en-US" w:eastAsia="zh-CN" w:bidi="ar-SA"/>
    </w:rPr>
  </w:style>
  <w:style w:type="paragraph" w:styleId="1084">
    <w:name w:val="样式 宋体"/>
    <w:basedOn w:val="974"/>
    <w:next w:val="1084"/>
    <w:link w:val="974"/>
    <w:qFormat/>
    <w:pPr>
      <w:ind w:firstLine="100"/>
      <w:spacing w:line="360" w:lineRule="auto"/>
    </w:pPr>
    <w:rPr>
      <w:rFonts w:ascii="宋体" w:hAnsi="宋体" w:eastAsia="宋体" w:cs="宋体"/>
      <w:sz w:val="21"/>
    </w:rPr>
  </w:style>
  <w:style w:type="paragraph" w:styleId="1085">
    <w:name w:val="No Spacing"/>
    <w:next w:val="1085"/>
    <w:link w:val="974"/>
    <w:qFormat/>
    <w:pPr>
      <w:jc w:val="both"/>
      <w:widowControl w:val="off"/>
    </w:pPr>
    <w:rPr>
      <w:sz w:val="21"/>
      <w:szCs w:val="24"/>
      <w:lang w:val="en-US" w:eastAsia="zh-CN" w:bidi="ar-SA"/>
    </w:rPr>
  </w:style>
  <w:style w:type="paragraph" w:styleId="1086">
    <w:name w:val="_Style 4"/>
    <w:basedOn w:val="974"/>
    <w:next w:val="974"/>
    <w:link w:val="974"/>
    <w:qFormat/>
    <w:pPr>
      <w:ind w:firstLine="420"/>
    </w:pPr>
    <w:rPr>
      <w:rFonts w:ascii="Calibri" w:hAnsi="Calibri" w:eastAsia="宋体"/>
      <w:sz w:val="21"/>
      <w:szCs w:val="22"/>
    </w:rPr>
  </w:style>
  <w:style w:type="paragraph" w:styleId="1087">
    <w:name w:val="纯文本4"/>
    <w:basedOn w:val="974"/>
    <w:next w:val="1087"/>
    <w:link w:val="974"/>
    <w:qFormat/>
    <w:rPr>
      <w:rFonts w:ascii="宋体" w:hAnsi="Courier New" w:eastAsia="宋体"/>
      <w:sz w:val="28"/>
      <w:szCs w:val="24"/>
    </w:rPr>
  </w:style>
  <w:style w:type="paragraph" w:styleId="1088">
    <w:name w:val=" Char"/>
    <w:basedOn w:val="974"/>
    <w:next w:val="1088"/>
    <w:link w:val="974"/>
    <w:pPr>
      <w:tabs>
        <w:tab w:val="left" w:pos="360" w:leader="none"/>
      </w:tabs>
    </w:pPr>
    <w:rPr>
      <w:rFonts w:eastAsia="宋体"/>
      <w:sz w:val="24"/>
      <w:szCs w:val="24"/>
    </w:rPr>
  </w:style>
  <w:style w:type="paragraph" w:styleId="1089">
    <w:name w:val="样式 样式 宋体 + 首行缩进:  1 字符"/>
    <w:basedOn w:val="1084"/>
    <w:next w:val="1089"/>
    <w:link w:val="974"/>
    <w:qFormat/>
    <w:pPr>
      <w:spacing w:line="240" w:lineRule="auto"/>
    </w:pPr>
  </w:style>
  <w:style w:type="paragraph" w:styleId="1090">
    <w:name w:val="公文正文"/>
    <w:next w:val="1090"/>
    <w:link w:val="974"/>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091">
    <w:name w:val="列出段落"/>
    <w:basedOn w:val="974"/>
    <w:next w:val="1091"/>
    <w:link w:val="974"/>
    <w:qFormat/>
    <w:pPr>
      <w:ind w:firstLine="420"/>
    </w:pPr>
  </w:style>
  <w:style w:type="paragraph" w:styleId="1092">
    <w:name w:val="WPS Plain"/>
    <w:next w:val="1092"/>
    <w:link w:val="974"/>
    <w:qFormat/>
    <w:rPr>
      <w:lang w:val="en-US" w:eastAsia="zh-CN" w:bidi="ar-SA"/>
    </w:rPr>
  </w:style>
  <w:style w:type="paragraph" w:styleId="1093">
    <w:name w:val="修订1"/>
    <w:next w:val="1093"/>
    <w:link w:val="974"/>
    <w:uiPriority w:val="99"/>
    <w:unhideWhenUsed/>
    <w:rPr>
      <w:rFonts w:eastAsia="楷体_GB2312"/>
      <w:sz w:val="26"/>
      <w:lang w:val="en-US" w:eastAsia="zh-CN" w:bidi="ar-SA"/>
    </w:rPr>
  </w:style>
  <w:style w:type="paragraph" w:styleId="1094">
    <w:name w:val="列出段落1"/>
    <w:basedOn w:val="974"/>
    <w:next w:val="1094"/>
    <w:link w:val="974"/>
    <w:qFormat/>
    <w:pPr>
      <w:ind w:firstLine="420"/>
    </w:pPr>
    <w:rPr>
      <w:rFonts w:ascii="Calibri" w:hAnsi="Calibri" w:eastAsia="宋体"/>
      <w:sz w:val="21"/>
      <w:szCs w:val="22"/>
    </w:rPr>
  </w:style>
  <w:style w:type="paragraph" w:styleId="1095">
    <w:name w:val="样式 标题 3 + (中文) 黑体 小四 非加粗 段前: 7.8 磅 段后: 0 磅 行距: 固定值 20 磅"/>
    <w:basedOn w:val="977"/>
    <w:next w:val="974"/>
    <w:link w:val="974"/>
    <w:qFormat/>
    <w:pPr>
      <w:spacing w:before="0" w:after="0" w:line="400" w:lineRule="exact"/>
    </w:pPr>
    <w:rPr>
      <w:rFonts w:eastAsia="宋体"/>
      <w:sz w:val="24"/>
      <w:szCs w:val="20"/>
    </w:rPr>
  </w:style>
  <w:style w:type="paragraph" w:styleId="1096">
    <w:name w:val="Char"/>
    <w:basedOn w:val="974"/>
    <w:next w:val="1096"/>
    <w:link w:val="974"/>
    <w:rPr>
      <w:rFonts w:ascii="Tahoma" w:hAnsi="Tahoma" w:eastAsia="宋体"/>
      <w:sz w:val="24"/>
    </w:rPr>
  </w:style>
  <w:style w:type="paragraph" w:styleId="1097">
    <w:name w:val="正文1"/>
    <w:basedOn w:val="974"/>
    <w:next w:val="1097"/>
    <w:link w:val="974"/>
    <w:pPr>
      <w:ind w:left="855" w:hanging="420"/>
      <w:spacing w:before="100" w:beforeAutospacing="1" w:after="100" w:afterAutospacing="1" w:line="360" w:lineRule="auto"/>
    </w:pPr>
    <w:rPr>
      <w:rFonts w:ascii="宋体" w:hAnsi="宋体" w:eastAsia="宋体" w:cs="宋体"/>
      <w:sz w:val="24"/>
      <w:szCs w:val="24"/>
    </w:rPr>
  </w:style>
  <w:style w:type="paragraph" w:styleId="1098">
    <w:name w:val="HTML Top of Form"/>
    <w:basedOn w:val="974"/>
    <w:next w:val="974"/>
    <w:link w:val="974"/>
    <w:unhideWhenUsed/>
    <w:qFormat/>
    <w:pPr>
      <w:jc w:val="center"/>
      <w:pBdr>
        <w:bottom w:val="single" w:color="000000" w:sz="6" w:space="1"/>
      </w:pBdr>
    </w:pPr>
    <w:rPr>
      <w:rFonts w:ascii="Arial" w:hAnsi="Arial" w:eastAsia="宋体" w:cs="Arial"/>
      <w:vanish/>
      <w:sz w:val="16"/>
      <w:szCs w:val="16"/>
    </w:rPr>
  </w:style>
  <w:style w:type="paragraph" w:styleId="1099">
    <w:name w:val="List Paragraph"/>
    <w:basedOn w:val="974"/>
    <w:next w:val="1099"/>
    <w:link w:val="974"/>
    <w:qFormat/>
    <w:pPr>
      <w:ind w:firstLine="420"/>
    </w:pPr>
    <w:rPr>
      <w:rFonts w:ascii="Calibri" w:hAnsi="Calibri" w:eastAsia="宋体"/>
      <w:sz w:val="21"/>
      <w:szCs w:val="22"/>
    </w:rPr>
  </w:style>
  <w:style w:type="paragraph" w:styleId="1100">
    <w:name w:val=" Char Char Char Char Char Char Char Char Char Char"/>
    <w:basedOn w:val="974"/>
    <w:next w:val="1100"/>
    <w:link w:val="974"/>
    <w:pPr>
      <w:ind w:hanging="425"/>
      <w:keepNext/>
      <w:spacing w:before="80" w:after="80"/>
      <w:widowControl/>
      <w:tabs>
        <w:tab w:val="left" w:pos="425" w:leader="none"/>
      </w:tabs>
    </w:pPr>
    <w:rPr>
      <w:rFonts w:eastAsia="宋体"/>
      <w:sz w:val="20"/>
    </w:rPr>
  </w:style>
  <w:style w:type="paragraph" w:styleId="1101">
    <w:name w:val="red"/>
    <w:basedOn w:val="974"/>
    <w:next w:val="1101"/>
    <w:link w:val="974"/>
    <w:qFormat/>
    <w:pPr>
      <w:jc w:val="left"/>
      <w:spacing w:before="100" w:beforeAutospacing="1" w:after="100" w:afterAutospacing="1"/>
      <w:widowControl/>
    </w:pPr>
    <w:rPr>
      <w:rFonts w:ascii="宋体" w:hAnsi="宋体" w:eastAsia="宋体" w:cs="宋体"/>
      <w:sz w:val="21"/>
      <w:szCs w:val="21"/>
    </w:rPr>
  </w:style>
  <w:style w:type="paragraph" w:styleId="1102">
    <w:name w:val="Style1"/>
    <w:basedOn w:val="974"/>
    <w:next w:val="1102"/>
    <w:link w:val="974"/>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1103">
    <w:name w:val="正文 + 黑体"/>
    <w:basedOn w:val="974"/>
    <w:next w:val="1103"/>
    <w:link w:val="974"/>
    <w:qFormat/>
    <w:pPr>
      <w:jc w:val="left"/>
    </w:pPr>
    <w:rPr>
      <w:rFonts w:ascii="黑体" w:hAnsi="宋体" w:eastAsia="黑体" w:cs="TimesNewRomanPSMT"/>
      <w:sz w:val="24"/>
      <w:szCs w:val="24"/>
    </w:rPr>
  </w:style>
  <w:style w:type="paragraph" w:styleId="1104">
    <w:name w:val="无间隔"/>
    <w:next w:val="1104"/>
    <w:link w:val="974"/>
    <w:qFormat/>
    <w:pPr>
      <w:jc w:val="both"/>
      <w:widowControl w:val="off"/>
    </w:pPr>
    <w:rPr>
      <w:sz w:val="21"/>
      <w:szCs w:val="24"/>
      <w:lang w:val="en-US" w:eastAsia="zh-CN" w:bidi="ar-SA"/>
    </w:rPr>
  </w:style>
  <w:style w:type="paragraph" w:styleId="1105">
    <w:name w:val="1"/>
    <w:basedOn w:val="974"/>
    <w:next w:val="1105"/>
    <w:link w:val="974"/>
    <w:qFormat/>
    <w:rPr>
      <w:rFonts w:eastAsia="宋体"/>
      <w:sz w:val="21"/>
      <w:szCs w:val="24"/>
    </w:rPr>
  </w:style>
  <w:style w:type="paragraph" w:styleId="1106">
    <w:name w:val="普通正文"/>
    <w:basedOn w:val="974"/>
    <w:next w:val="1106"/>
    <w:link w:val="974"/>
    <w:pPr>
      <w:ind w:firstLine="480"/>
      <w:jc w:val="left"/>
      <w:spacing w:before="120" w:after="120" w:line="360" w:lineRule="auto"/>
    </w:pPr>
    <w:rPr>
      <w:rFonts w:ascii="Arial" w:hAnsi="Arial"/>
      <w:sz w:val="24"/>
    </w:rPr>
  </w:style>
  <w:style w:type="paragraph" w:styleId="1107">
    <w:name w:val="纯文本11"/>
    <w:basedOn w:val="974"/>
    <w:next w:val="1107"/>
    <w:link w:val="974"/>
    <w:uiPriority w:val="99"/>
    <w:rPr>
      <w:rFonts w:ascii="宋体" w:hAnsi="Courier New"/>
    </w:rPr>
  </w:style>
  <w:style w:type="paragraph" w:styleId="1108">
    <w:name w:val="金安桥正文"/>
    <w:basedOn w:val="998"/>
    <w:next w:val="1108"/>
    <w:link w:val="974"/>
    <w:qFormat/>
    <w:pPr>
      <w:ind w:firstLine="200"/>
      <w:jc w:val="left"/>
      <w:spacing w:line="300" w:lineRule="auto"/>
    </w:pPr>
    <w:rPr>
      <w:rFonts w:ascii="Times New Roman"/>
      <w:sz w:val="24"/>
    </w:rPr>
  </w:style>
  <w:style w:type="paragraph" w:styleId="1109">
    <w:name w:val="样式1"/>
    <w:basedOn w:val="978"/>
    <w:next w:val="1109"/>
    <w:link w:val="974"/>
    <w:qFormat/>
    <w:pPr>
      <w:jc w:val="left"/>
      <w:spacing w:before="0" w:after="0" w:line="240" w:lineRule="auto"/>
    </w:pPr>
    <w:rPr>
      <w:rFonts w:ascii="黑体" w:hAnsi="宋体" w:eastAsia="黑体" w:cs="黑体"/>
      <w:b w:val="0"/>
      <w:color w:val="000000"/>
      <w:sz w:val="21"/>
    </w:rPr>
  </w:style>
  <w:style w:type="paragraph" w:styleId="1110">
    <w:name w:val="纯文本3"/>
    <w:basedOn w:val="974"/>
    <w:next w:val="1110"/>
    <w:link w:val="974"/>
    <w:qFormat/>
    <w:rPr>
      <w:rFonts w:hint="eastAsia" w:ascii="宋体" w:hAnsi="Courier New"/>
      <w:sz w:val="28"/>
    </w:rPr>
  </w:style>
  <w:style w:type="paragraph" w:styleId="1111">
    <w:name w:val="正文首行缩进两字符"/>
    <w:basedOn w:val="974"/>
    <w:next w:val="1111"/>
    <w:link w:val="974"/>
    <w:pPr>
      <w:ind w:firstLine="200"/>
      <w:spacing w:line="360" w:lineRule="auto"/>
    </w:pPr>
    <w:rPr>
      <w:rFonts w:eastAsia="宋体"/>
      <w:sz w:val="21"/>
      <w:szCs w:val="24"/>
    </w:rPr>
  </w:style>
  <w:style w:type="paragraph" w:styleId="1112">
    <w:name w:val="HTML Bottom of Form"/>
    <w:basedOn w:val="974"/>
    <w:next w:val="974"/>
    <w:link w:val="974"/>
    <w:unhideWhenUsed/>
    <w:qFormat/>
    <w:pPr>
      <w:jc w:val="center"/>
      <w:pBdr>
        <w:top w:val="single" w:color="000000" w:sz="6" w:space="1"/>
      </w:pBdr>
    </w:pPr>
    <w:rPr>
      <w:rFonts w:ascii="Arial" w:hAnsi="Arial" w:eastAsia="宋体" w:cs="Arial"/>
      <w:vanish/>
      <w:sz w:val="16"/>
      <w:szCs w:val="16"/>
    </w:rPr>
  </w:style>
  <w:style w:type="paragraph" w:styleId="1113">
    <w:name w:val="Default"/>
    <w:next w:val="1113"/>
    <w:link w:val="974"/>
    <w:qFormat/>
    <w:pPr>
      <w:widowControl w:val="off"/>
    </w:pPr>
    <w:rPr>
      <w:rFonts w:ascii="仿宋" w:eastAsia="仿宋" w:cs="仿宋"/>
      <w:color w:val="000000"/>
      <w:sz w:val="24"/>
      <w:szCs w:val="24"/>
      <w:lang w:val="en-US" w:eastAsia="zh-CN" w:bidi="ar-SA"/>
    </w:rPr>
  </w:style>
  <w:style w:type="paragraph" w:styleId="1114">
    <w:name w:val="Address"/>
    <w:basedOn w:val="974"/>
    <w:next w:val="1114"/>
    <w:link w:val="974"/>
    <w:pPr>
      <w:jc w:val="left"/>
      <w:spacing w:line="249" w:lineRule="auto"/>
      <w:widowControl/>
    </w:pPr>
    <w:rPr>
      <w:rFonts w:ascii="Centaur" w:hAnsi="Centaur"/>
      <w:sz w:val="20"/>
      <w:lang w:eastAsia="en-US"/>
    </w:rPr>
  </w:style>
  <w:style w:type="paragraph" w:styleId="1115">
    <w:name w:val="默认段落字体 Para Char Char Char Char Char Char Char"/>
    <w:basedOn w:val="974"/>
    <w:next w:val="1115"/>
    <w:link w:val="974"/>
    <w:rPr>
      <w:rFonts w:ascii="Tahoma" w:hAnsi="Tahoma" w:eastAsia="宋体"/>
      <w:sz w:val="24"/>
    </w:rPr>
  </w:style>
  <w:style w:type="paragraph" w:styleId="1116">
    <w:name w:val="p0"/>
    <w:basedOn w:val="974"/>
    <w:next w:val="1116"/>
    <w:link w:val="974"/>
    <w:qFormat/>
    <w:pPr>
      <w:widowControl/>
    </w:pPr>
    <w:rPr>
      <w:rFonts w:ascii="黑体" w:hAnsi="黑体"/>
      <w:szCs w:val="21"/>
    </w:rPr>
  </w:style>
  <w:style w:type="paragraph" w:styleId="1117">
    <w:name w:val="样式 标题 2 + Times New Roman 四号 非加粗 段前: 5 磅 段后: 0 磅 行距: 固定值 20..."/>
    <w:basedOn w:val="976"/>
    <w:next w:val="1117"/>
    <w:link w:val="974"/>
    <w:qFormat/>
    <w:pPr>
      <w:jc w:val="center"/>
      <w:spacing w:before="100" w:after="0" w:line="400" w:lineRule="exact"/>
    </w:pPr>
    <w:rPr>
      <w:rFonts w:ascii="Times New Roman" w:hAnsi="Times New Roman" w:cs="宋体"/>
      <w:b w:val="0"/>
      <w:bCs w:val="0"/>
      <w:sz w:val="28"/>
      <w:szCs w:val="20"/>
    </w:rPr>
  </w:style>
  <w:style w:type="paragraph" w:styleId="1118">
    <w:name w:val="无间隔1"/>
    <w:next w:val="1118"/>
    <w:link w:val="974"/>
    <w:qFormat/>
    <w:pPr>
      <w:jc w:val="both"/>
      <w:widowControl w:val="off"/>
    </w:pPr>
    <w:rPr>
      <w:sz w:val="21"/>
      <w:szCs w:val="24"/>
      <w:lang w:val="en-US" w:eastAsia="zh-CN" w:bidi="ar-SA"/>
    </w:rPr>
  </w:style>
  <w:style w:type="paragraph" w:styleId="1119">
    <w:name w:val="样式2"/>
    <w:basedOn w:val="974"/>
    <w:next w:val="979"/>
    <w:link w:val="974"/>
    <w:qFormat/>
    <w:pPr>
      <w:jc w:val="center"/>
    </w:pPr>
    <w:rPr>
      <w:rFonts w:ascii="宋体" w:hAnsi="宋体" w:eastAsia="宋体" w:cs="Arial"/>
      <w:b/>
      <w:color w:val="000000"/>
      <w:sz w:val="21"/>
      <w:szCs w:val="21"/>
    </w:rPr>
  </w:style>
  <w:style w:type="paragraph" w:styleId="1120">
    <w:name w:val="首行缩进"/>
    <w:basedOn w:val="974"/>
    <w:next w:val="1120"/>
    <w:link w:val="974"/>
    <w:qFormat/>
    <w:pPr>
      <w:ind w:firstLine="480"/>
      <w:spacing w:line="360" w:lineRule="auto"/>
    </w:pPr>
    <w:rPr>
      <w:rFonts w:hAnsi="宋体" w:eastAsia="宋体" w:cs="宋体"/>
      <w:sz w:val="24"/>
      <w:szCs w:val="24"/>
    </w:rPr>
  </w:style>
  <w:style w:type="paragraph" w:styleId="1121">
    <w:name w:val="[基本段落]"/>
    <w:basedOn w:val="974"/>
    <w:next w:val="1121"/>
    <w:link w:val="974"/>
    <w:uiPriority w:val="99"/>
    <w:qFormat/>
    <w:pPr>
      <w:jc w:val="left"/>
      <w:spacing w:line="288" w:lineRule="auto"/>
    </w:pPr>
    <w:rPr>
      <w:rFonts w:ascii="Myriad Roman" w:hAnsi="Myriad Roman" w:cs="Myriad Roman"/>
      <w:color w:val="000000"/>
      <w:sz w:val="24"/>
    </w:rPr>
  </w:style>
  <w:style w:type="paragraph" w:styleId="1122">
    <w:name w:val="Table Paragraph"/>
    <w:basedOn w:val="974"/>
    <w:next w:val="1122"/>
    <w:link w:val="974"/>
    <w:uiPriority w:val="1"/>
    <w:qFormat/>
  </w:style>
  <w:style w:type="table" w:styleId="1123">
    <w:name w:val="Table Normal"/>
    <w:next w:val="1123"/>
    <w:link w:val="974"/>
    <w:uiPriority w:val="2"/>
    <w:unhideWhenUsed/>
    <w:qFormat/>
    <w:rPr>
      <w:lang w:val="en-US" w:eastAsia="zh-CN" w:bidi="ar-SA"/>
    </w:rPr>
    <w:tblPr/>
  </w:style>
  <w:style w:type="paragraph" w:styleId="1124">
    <w:name w:val="普通文字"/>
    <w:basedOn w:val="974"/>
    <w:next w:val="974"/>
    <w:link w:val="974"/>
    <w:uiPriority w:val="99"/>
    <w:qFormat/>
    <w:rPr>
      <w:rFonts w:ascii="宋体" w:hAnsi="Calibri"/>
      <w:sz w:val="24"/>
    </w:rPr>
  </w:style>
  <w:style w:type="paragraph" w:styleId="1125">
    <w:name w:val="二级目录"/>
    <w:next w:val="974"/>
    <w:link w:val="974"/>
    <w:qFormat/>
    <w:pPr>
      <w:ind w:left="567" w:hanging="567"/>
      <w:tabs>
        <w:tab w:val="left" w:pos="720" w:leader="none"/>
      </w:tabs>
    </w:pPr>
    <w:rPr>
      <w:b/>
      <w:sz w:val="30"/>
      <w:szCs w:val="28"/>
      <w:lang w:val="en-US" w:eastAsia="zh-CN" w:bidi="ar-SA"/>
    </w:rPr>
  </w:style>
  <w:style w:type="paragraph" w:styleId="1126">
    <w:name w:val="BodyTextIndent1"/>
    <w:basedOn w:val="974"/>
    <w:next w:val="1127"/>
    <w:link w:val="974"/>
    <w:qFormat/>
    <w:pPr>
      <w:ind w:firstLine="645"/>
    </w:pPr>
    <w:rPr>
      <w:rFonts w:ascii="楷体_GB2312" w:eastAsia="楷体_GB2312"/>
      <w:sz w:val="32"/>
      <w:szCs w:val="20"/>
    </w:rPr>
  </w:style>
  <w:style w:type="paragraph" w:styleId="1127">
    <w:name w:val="EnvelopeReturn1"/>
    <w:basedOn w:val="974"/>
    <w:next w:val="1127"/>
    <w:link w:val="974"/>
    <w:qFormat/>
    <w:pPr>
      <w:ind w:firstLine="200"/>
      <w:spacing w:line="360" w:lineRule="auto"/>
    </w:pPr>
    <w:rPr>
      <w:rFonts w:ascii="Arial" w:hAnsi="Arial"/>
      <w:sz w:val="24"/>
    </w:rPr>
  </w:style>
  <w:style w:type="paragraph" w:styleId="1128">
    <w:name w:val="xl25"/>
    <w:basedOn w:val="974"/>
    <w:next w:val="1128"/>
    <w:link w:val="974"/>
    <w:qFormat/>
    <w:pPr>
      <w:jc w:val="center"/>
      <w:spacing w:before="100" w:beforeAutospacing="1" w:after="100" w:afterAutospacing="1"/>
      <w:widowControl/>
    </w:pPr>
    <w:rPr>
      <w:rFonts w:ascii="Arial Unicode MS" w:hAnsi="Arial Unicode MS" w:eastAsia="Arial Unicode MS" w:cs="Arial Unicode MS"/>
      <w:sz w:val="24"/>
    </w:rPr>
  </w:style>
  <w:style w:type="character" w:styleId="1129">
    <w:name w:val="NormalCharacter1"/>
    <w:next w:val="1129"/>
    <w:link w:val="974"/>
    <w:semiHidden/>
    <w:qFormat/>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7</cp:revision>
  <dcterms:created xsi:type="dcterms:W3CDTF">2023-12-08T08:45:00Z</dcterms:created>
  <dcterms:modified xsi:type="dcterms:W3CDTF">2026-07-20T02:35:17Z</dcterms:modified>
</cp:coreProperties>
</file>