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竞争性磋商文件</w:t>
      </w:r>
      <w:r/>
    </w:p>
    <w:p>
      <w:pPr>
        <w:ind w:firstLine="2249"/>
        <w:jc w:val="left"/>
        <w:spacing w:before="120" w:after="120" w:line="360" w:lineRule="auto"/>
        <w:rPr>
          <w:rFonts w:hint="default" w:ascii="宋体" w:hAnsi="宋体" w:eastAsia="宋体" w:cs="宋体"/>
          <w:b/>
          <w:bCs/>
          <w:color w:val="auto"/>
          <w:sz w:val="32"/>
          <w:szCs w:val="24"/>
          <w:highlight w:val="none"/>
          <w:lang w:val="en-US" w:eastAsia="zh-CN"/>
        </w:rPr>
      </w:pPr>
      <w:r>
        <w:rPr>
          <w:rFonts w:hint="eastAsia" w:ascii="宋体" w:hAnsi="宋体" w:eastAsia="宋体" w:cs="宋体"/>
          <w:b/>
          <w:bCs/>
          <w:color w:val="auto"/>
          <w:sz w:val="32"/>
          <w:szCs w:val="24"/>
          <w:highlight w:val="none"/>
        </w:rPr>
        <w:t xml:space="preserve">项目名称：</w:t>
      </w:r>
      <w:bookmarkStart w:id="216" w:name="_GoBack"/>
      <w:r>
        <w:rPr>
          <w:rFonts w:hint="eastAsia" w:ascii="宋体" w:hAnsi="宋体" w:eastAsia="宋体" w:cs="宋体"/>
          <w:b/>
          <w:bCs/>
          <w:color w:val="auto"/>
          <w:sz w:val="32"/>
          <w:szCs w:val="24"/>
          <w:highlight w:val="none"/>
          <w:lang w:eastAsia="zh-CN"/>
        </w:rPr>
        <w:t xml:space="preserve">宿迁市市场监督管理局2026年度12315投诉举报热线暨96333电梯应急救援处置中心服务外包项目</w:t>
      </w:r>
      <w:bookmarkEnd w:id="216"/>
      <w:r>
        <w:rPr>
          <w:rFonts w:hint="eastAsia" w:ascii="宋体" w:hAnsi="宋体" w:eastAsia="宋体" w:cs="宋体"/>
          <w:b/>
          <w:bCs/>
          <w:color w:val="auto"/>
          <w:sz w:val="32"/>
          <w:szCs w:val="24"/>
          <w:highlight w:val="none"/>
          <w:lang w:val="en-US" w:eastAsia="zh-CN"/>
        </w:rPr>
        <w:t xml:space="preserve">   </w:t>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项目编号：</w:t>
      </w:r>
      <w:r>
        <w:rPr>
          <w:rFonts w:hint="eastAsia" w:ascii="宋体" w:hAnsi="宋体" w:eastAsia="宋体" w:cs="宋体"/>
          <w:b/>
          <w:bCs/>
          <w:color w:val="auto"/>
          <w:sz w:val="32"/>
          <w:szCs w:val="24"/>
          <w:highlight w:val="none"/>
          <w:lang w:eastAsia="zh-CN"/>
        </w:rPr>
        <w:t xml:space="preserve">JSZC-321300-BHLW-C2026-0005</w:t>
      </w:r>
      <w:r>
        <w:rPr>
          <w:rFonts w:hint="eastAsia" w:ascii="宋体" w:hAnsi="宋体" w:eastAsia="宋体" w:cs="宋体"/>
          <w:b/>
          <w:bCs/>
          <w:color w:val="auto"/>
          <w:sz w:val="32"/>
          <w:szCs w:val="24"/>
          <w:highlight w:val="none"/>
        </w:rPr>
        <w:t xml:space="preserve">               </w:t>
      </w:r>
      <w:r/>
    </w:p>
    <w:p>
      <w:pPr>
        <w:ind w:firstLine="2249"/>
        <w:jc w:val="left"/>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none"/>
          <w:lang w:val="en-US" w:eastAsia="zh-CN"/>
        </w:rPr>
        <w:t xml:space="preserve">服务</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lang w:eastAsia="zh-CN"/>
        </w:rPr>
        <w:t xml:space="preserve">，</w:t>
      </w:r>
      <w:r>
        <w:rPr>
          <w:rFonts w:hint="eastAsia" w:ascii="宋体" w:hAnsi="宋体" w:eastAsia="宋体" w:cs="宋体"/>
          <w:b/>
          <w:bCs/>
          <w:color w:val="auto"/>
          <w:sz w:val="32"/>
          <w:szCs w:val="24"/>
          <w:highlight w:val="none"/>
          <w:lang w:val="en-US" w:eastAsia="zh-CN"/>
        </w:rPr>
        <w:t xml:space="preserve">本项目不专门面向中小企业</w:t>
      </w:r>
      <w:r>
        <w:rPr>
          <w:rFonts w:hint="eastAsia" w:ascii="宋体" w:hAnsi="宋体" w:eastAsia="宋体" w:cs="宋体"/>
          <w:b/>
          <w:bCs/>
          <w:color w:val="auto"/>
          <w:sz w:val="32"/>
          <w:szCs w:val="24"/>
          <w:highlight w:val="none"/>
        </w:rPr>
        <w:t xml:space="preserve">）</w:t>
      </w: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9"/>
        <w:ind w:firstLine="1690"/>
        <w:jc w:val="both"/>
        <w:rPr>
          <w:rFonts w:hint="eastAsia" w:ascii="宋体" w:hAnsi="宋体" w:eastAsia="宋体" w:cs="宋体"/>
          <w:b/>
          <w:bCs/>
          <w:color w:val="auto"/>
          <w:sz w:val="32"/>
          <w:highlight w:val="none"/>
          <w:u w:val="single"/>
          <w:lang w:val="en-US" w:eastAsia="zh-CN"/>
        </w:rPr>
      </w:pPr>
      <w:r>
        <w:rPr>
          <w:rFonts w:hint="eastAsia" w:ascii="宋体" w:hAnsi="宋体" w:eastAsia="宋体" w:cs="宋体"/>
          <w:b/>
          <w:bCs/>
          <w:color w:val="auto"/>
          <w:sz w:val="32"/>
          <w:highlight w:val="none"/>
          <w:lang w:val="en-US" w:eastAsia="zh-CN"/>
        </w:rPr>
        <w:t xml:space="preserve">采购人：</w:t>
      </w:r>
      <w:r>
        <w:rPr>
          <w:rFonts w:hint="eastAsia" w:ascii="宋体" w:hAnsi="宋体" w:cs="宋体"/>
          <w:b/>
          <w:bCs/>
          <w:color w:val="auto"/>
          <w:sz w:val="32"/>
          <w:highlight w:val="none"/>
          <w:u w:val="single"/>
          <w:lang w:val="en-US" w:eastAsia="zh-CN"/>
        </w:rPr>
        <w:t xml:space="preserve">宿迁市市场监督管理局、宿迁市楚润数据集团有限公司</w:t>
      </w:r>
      <w:r/>
    </w:p>
    <w:p>
      <w:pPr>
        <w:pStyle w:val="939"/>
        <w:ind w:firstLine="1606"/>
        <w:jc w:val="both"/>
        <w:rPr>
          <w:rFonts w:hint="eastAsia" w:ascii="宋体" w:hAnsi="宋体" w:eastAsia="宋体" w:cs="宋体"/>
          <w:b/>
          <w:bCs/>
          <w:color w:val="auto"/>
          <w:sz w:val="32"/>
          <w:highlight w:val="none"/>
          <w:u w:val="single"/>
          <w:lang w:val="en-US" w:eastAsia="zh-CN"/>
        </w:rPr>
      </w:pPr>
      <w:r>
        <w:rPr>
          <w:rFonts w:hint="eastAsia" w:ascii="宋体" w:hAnsi="宋体" w:eastAsia="宋体" w:cs="宋体"/>
          <w:b/>
          <w:bCs/>
          <w:color w:val="auto"/>
          <w:sz w:val="32"/>
          <w:highlight w:val="none"/>
          <w:lang w:val="en-US" w:eastAsia="zh-CN"/>
        </w:rPr>
        <w:t xml:space="preserve">采购代理机构：</w:t>
      </w:r>
      <w:r>
        <w:rPr>
          <w:rFonts w:hint="eastAsia" w:ascii="宋体" w:hAnsi="宋体" w:cs="宋体"/>
          <w:b/>
          <w:bCs/>
          <w:color w:val="auto"/>
          <w:sz w:val="32"/>
          <w:highlight w:val="none"/>
          <w:u w:val="single"/>
          <w:lang w:val="en-US" w:eastAsia="zh-CN"/>
        </w:rPr>
        <w:t xml:space="preserve">江苏宝恒项目管理咨询有限公司</w:t>
      </w:r>
      <w:r/>
    </w:p>
    <w:p>
      <w:pPr>
        <w:pStyle w:val="939"/>
        <w:ind w:firstLine="2570"/>
        <w:jc w:val="both"/>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val="en-US" w:eastAsia="zh-CN"/>
        </w:rPr>
        <w:t xml:space="preserve">202</w:t>
      </w:r>
      <w:r>
        <w:rPr>
          <w:rFonts w:hint="eastAsia" w:ascii="宋体" w:hAnsi="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cs="宋体"/>
          <w:b/>
          <w:bCs/>
          <w:color w:val="auto"/>
          <w:sz w:val="32"/>
          <w:highlight w:val="none"/>
          <w:lang w:val="en-US" w:eastAsia="zh-CN"/>
        </w:rPr>
        <w:t xml:space="preserve">7</w:t>
      </w:r>
      <w:r>
        <w:rPr>
          <w:rFonts w:hint="eastAsia" w:ascii="宋体" w:hAnsi="宋体" w:eastAsia="宋体" w:cs="宋体"/>
          <w:b/>
          <w:bCs/>
          <w:color w:val="auto"/>
          <w:sz w:val="32"/>
          <w:highlight w:val="none"/>
        </w:rPr>
        <w:t xml:space="preserve">月</w:t>
      </w:r>
      <w:r>
        <w:rPr>
          <w:rFonts w:hint="eastAsia" w:ascii="宋体" w:hAnsi="宋体" w:cs="宋体"/>
          <w:b/>
          <w:bCs/>
          <w:color w:val="auto"/>
          <w:sz w:val="32"/>
          <w:highlight w:val="none"/>
          <w:lang w:val="en-US" w:eastAsia="zh-CN"/>
        </w:rPr>
        <w:t xml:space="preserve">14</w:t>
      </w:r>
      <w:r>
        <w:rPr>
          <w:rFonts w:hint="eastAsia" w:ascii="宋体" w:hAnsi="宋体" w:eastAsia="宋体" w:cs="宋体"/>
          <w:b/>
          <w:bCs/>
          <w:color w:val="auto"/>
          <w:sz w:val="32"/>
          <w:highlight w:val="none"/>
        </w:rPr>
        <w:t xml:space="preserve">日</w:t>
      </w:r>
      <w:r/>
    </w:p>
    <w:p>
      <w:pPr>
        <w:jc w:val="left"/>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p>
      <w:pPr>
        <w:jc w:val="center"/>
        <w:spacing w:line="480" w:lineRule="auto"/>
        <w:rPr>
          <w:color w:val="auto"/>
          <w:highlight w:val="none"/>
        </w:rPr>
        <w:outlineLvl w:val="0"/>
      </w:pPr>
      <w:r>
        <w:rPr>
          <w:rFonts w:hint="eastAsia" w:ascii="宋体" w:hAnsi="宋体" w:eastAsia="宋体" w:cs="宋体"/>
          <w:color w:val="auto"/>
          <w:szCs w:val="21"/>
          <w:highlight w:val="none"/>
        </w:rPr>
        <w:br w:type="page" w:clear="all"/>
      </w:r>
      <w:bookmarkStart w:id="0" w:name="_Toc17534"/>
      <w:r/>
      <w:bookmarkStart w:id="1" w:name="_Toc120614210"/>
      <w:r/>
      <w:bookmarkStart w:id="2" w:name="_Toc513029200"/>
      <w:r/>
      <w:bookmarkStart w:id="3" w:name="_Toc479757206"/>
      <w:r/>
      <w:bookmarkStart w:id="4" w:name="_Toc20823272"/>
      <w:r/>
      <w:bookmarkStart w:id="5" w:name="_Toc16938516"/>
      <w:r/>
      <w:bookmarkStart w:id="6" w:name="_Toc523127445"/>
      <w:r>
        <w:rPr>
          <w:rFonts w:hint="eastAsia" w:ascii="黑体" w:hAnsi="黑体" w:eastAsia="黑体" w:cs="黑体"/>
          <w:color w:val="auto"/>
          <w:sz w:val="44"/>
          <w:szCs w:val="44"/>
          <w:highlight w:val="none"/>
        </w:rPr>
        <w:t xml:space="preserve">目</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录</w:t>
      </w:r>
      <w:bookmarkEnd w:id="0"/>
      <w:r/>
      <w:r/>
    </w:p>
    <w:p>
      <w:pPr>
        <w:pStyle w:val="884"/>
        <w:tabs>
          <w:tab w:val="clear" w:pos="8720" w:leader="none"/>
          <w:tab w:val="right" w:pos="8953" w:leader="dot"/>
        </w:tabs>
        <w:rPr>
          <w:color w:val="auto"/>
          <w:highlight w:val="none"/>
        </w:rPr>
      </w:pP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TOC \o "1-1" \h \u </w:instrText>
      </w:r>
      <w:r>
        <w:rPr>
          <w:rFonts w:hint="default" w:ascii="Times New Roman" w:hAnsi="Times New Roman" w:eastAsia="宋体" w:cs="Times New Roman"/>
          <w:color w:val="auto"/>
          <w:szCs w:val="21"/>
          <w:highlight w:val="none"/>
        </w:rPr>
        <w:fldChar w:fldCharType="separate"/>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\l _Toc17534 </w:instrText>
      </w:r>
      <w:r>
        <w:rPr>
          <w:rFonts w:hint="default" w:ascii="Times New Roman" w:hAnsi="Times New Roman" w:eastAsia="宋体" w:cs="Times New Roman"/>
          <w:color w:val="auto"/>
          <w:szCs w:val="21"/>
          <w:highlight w:val="none"/>
        </w:rPr>
        <w:fldChar w:fldCharType="separate"/>
      </w:r>
      <w:r>
        <w:rPr>
          <w:rFonts w:hint="eastAsia" w:ascii="黑体" w:hAnsi="黑体" w:eastAsia="黑体" w:cs="黑体"/>
          <w:color w:val="auto"/>
          <w:szCs w:val="44"/>
          <w:highlight w:val="none"/>
        </w:rPr>
        <w:t xml:space="preserve">目</w:t>
      </w:r>
      <w:r>
        <w:rPr>
          <w:rFonts w:hint="eastAsia" w:ascii="黑体" w:hAnsi="黑体" w:eastAsia="黑体" w:cs="黑体"/>
          <w:color w:val="auto"/>
          <w:szCs w:val="44"/>
          <w:highlight w:val="none"/>
          <w:lang w:val="en-US" w:eastAsia="zh-CN"/>
        </w:rPr>
        <w:t xml:space="preserve">  </w:t>
      </w:r>
      <w:r>
        <w:rPr>
          <w:rFonts w:hint="eastAsia" w:ascii="黑体" w:hAnsi="黑体" w:eastAsia="黑体" w:cs="黑体"/>
          <w:color w:val="auto"/>
          <w:szCs w:val="44"/>
          <w:highlight w:val="none"/>
        </w:rPr>
        <w:t xml:space="preserve">录</w:t>
      </w:r>
      <w:r>
        <w:rPr>
          <w:color w:val="auto"/>
          <w:highlight w:val="none"/>
        </w:rPr>
        <w:tab/>
      </w:r>
      <w:r>
        <w:rPr>
          <w:color w:val="auto"/>
          <w:highlight w:val="none"/>
        </w:rPr>
        <w:fldChar w:fldCharType="begin"/>
      </w:r>
      <w:r>
        <w:rPr>
          <w:color w:val="auto"/>
          <w:highlight w:val="none"/>
        </w:rPr>
        <w:instrText xml:space="preserve"> PAGEREF _Toc17534 \h </w:instrText>
      </w:r>
      <w:r>
        <w:rPr>
          <w:color w:val="auto"/>
          <w:highlight w:val="none"/>
        </w:rPr>
        <w:fldChar w:fldCharType="separate"/>
      </w:r>
      <w:r>
        <w:rPr>
          <w:color w:val="auto"/>
          <w:highlight w:val="none"/>
        </w:rPr>
        <w:t xml:space="preserve">１</w:t>
      </w:r>
      <w:r>
        <w:rPr>
          <w:color w:val="auto"/>
          <w:highlight w:val="none"/>
        </w:rPr>
        <w:fldChar w:fldCharType="end"/>
      </w:r>
      <w:r>
        <w:rPr>
          <w:rFonts w:hint="default" w:ascii="Times New Roman" w:hAnsi="Times New Roman" w:eastAsia="宋体" w:cs="Times New Roman"/>
          <w:color w:val="auto"/>
          <w:szCs w:val="21"/>
          <w:highlight w:val="none"/>
        </w:rPr>
        <w:fldChar w:fldCharType="end"/>
      </w:r>
      <w:r/>
    </w:p>
    <w:p>
      <w:pPr>
        <w:pStyle w:val="884"/>
        <w:tabs>
          <w:tab w:val="clear" w:pos="8720" w:leader="none"/>
          <w:tab w:val="right" w:pos="8953" w:leader="dot"/>
        </w:tabs>
        <w:rPr>
          <w:color w:val="auto"/>
          <w:highlight w:val="none"/>
        </w:rPr>
      </w:pP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\l _Toc2292 </w:instrText>
      </w:r>
      <w:r>
        <w:rPr>
          <w:rFonts w:hint="default" w:ascii="Times New Roman" w:hAnsi="Times New Roman" w:eastAsia="宋体" w:cs="Times New Roman"/>
          <w:color w:val="auto"/>
          <w:szCs w:val="21"/>
          <w:highlight w:val="none"/>
        </w:rPr>
        <w:fldChar w:fldCharType="separate"/>
      </w:r>
      <w:r>
        <w:rPr>
          <w:rFonts w:hint="eastAsia" w:ascii="黑体" w:hAnsi="黑体" w:eastAsia="黑体" w:cs="黑体"/>
          <w:color w:val="auto"/>
          <w:szCs w:val="44"/>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_Toc2292 \h </w:instrText>
      </w:r>
      <w:r>
        <w:rPr>
          <w:color w:val="auto"/>
          <w:highlight w:val="none"/>
        </w:rPr>
        <w:fldChar w:fldCharType="separate"/>
      </w:r>
      <w:r>
        <w:rPr>
          <w:color w:val="auto"/>
          <w:highlight w:val="none"/>
        </w:rPr>
        <w:t xml:space="preserve">２</w:t>
      </w:r>
      <w:r>
        <w:rPr>
          <w:color w:val="auto"/>
          <w:highlight w:val="none"/>
        </w:rPr>
        <w:fldChar w:fldCharType="end"/>
      </w:r>
      <w:r>
        <w:rPr>
          <w:rFonts w:hint="default" w:ascii="Times New Roman" w:hAnsi="Times New Roman" w:eastAsia="宋体" w:cs="Times New Roman"/>
          <w:color w:val="auto"/>
          <w:szCs w:val="21"/>
          <w:highlight w:val="none"/>
        </w:rPr>
        <w:fldChar w:fldCharType="end"/>
      </w:r>
      <w:r/>
    </w:p>
    <w:p>
      <w:pPr>
        <w:pStyle w:val="884"/>
        <w:tabs>
          <w:tab w:val="clear" w:pos="8720" w:leader="none"/>
          <w:tab w:val="right" w:pos="8953" w:leader="dot"/>
        </w:tabs>
        <w:rPr>
          <w:color w:val="auto"/>
          <w:highlight w:val="none"/>
        </w:rPr>
      </w:pP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\l _Toc1090 </w:instrText>
      </w:r>
      <w:r>
        <w:rPr>
          <w:rFonts w:hint="default" w:ascii="Times New Roman" w:hAnsi="Times New Roman" w:eastAsia="宋体" w:cs="Times New Roman"/>
          <w:color w:val="auto"/>
          <w:szCs w:val="21"/>
          <w:highlight w:val="none"/>
        </w:rPr>
        <w:fldChar w:fldCharType="separate"/>
      </w:r>
      <w:r>
        <w:rPr>
          <w:rFonts w:hint="eastAsia" w:ascii="黑体" w:hAnsi="黑体" w:eastAsia="黑体" w:cs="黑体"/>
          <w:color w:val="auto"/>
          <w:szCs w:val="44"/>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_Toc1090 \h </w:instrText>
      </w:r>
      <w:r>
        <w:rPr>
          <w:color w:val="auto"/>
          <w:highlight w:val="none"/>
        </w:rPr>
        <w:fldChar w:fldCharType="separate"/>
      </w:r>
      <w:r>
        <w:rPr>
          <w:color w:val="auto"/>
          <w:highlight w:val="none"/>
        </w:rPr>
        <w:t xml:space="preserve">６</w:t>
      </w:r>
      <w:r>
        <w:rPr>
          <w:color w:val="auto"/>
          <w:highlight w:val="none"/>
        </w:rPr>
        <w:fldChar w:fldCharType="end"/>
      </w:r>
      <w:r>
        <w:rPr>
          <w:rFonts w:hint="default" w:ascii="Times New Roman" w:hAnsi="Times New Roman" w:eastAsia="宋体" w:cs="Times New Roman"/>
          <w:color w:val="auto"/>
          <w:szCs w:val="21"/>
          <w:highlight w:val="none"/>
        </w:rPr>
        <w:fldChar w:fldCharType="end"/>
      </w:r>
      <w:r/>
    </w:p>
    <w:p>
      <w:pPr>
        <w:pStyle w:val="884"/>
        <w:tabs>
          <w:tab w:val="clear" w:pos="8720" w:leader="none"/>
          <w:tab w:val="right" w:pos="8953" w:leader="dot"/>
        </w:tabs>
        <w:rPr>
          <w:color w:val="auto"/>
          <w:highlight w:val="none"/>
        </w:rPr>
      </w:pP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\l _Toc5369 </w:instrText>
      </w:r>
      <w:r>
        <w:rPr>
          <w:rFonts w:hint="default" w:ascii="Times New Roman" w:hAnsi="Times New Roman" w:eastAsia="宋体" w:cs="Times New Roman"/>
          <w:color w:val="auto"/>
          <w:szCs w:val="21"/>
          <w:highlight w:val="none"/>
        </w:rPr>
        <w:fldChar w:fldCharType="separate"/>
      </w:r>
      <w:r>
        <w:rPr>
          <w:rFonts w:hint="eastAsia" w:ascii="黑体" w:hAnsi="黑体" w:eastAsia="黑体" w:cs="黑体"/>
          <w:color w:val="auto"/>
          <w:szCs w:val="44"/>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_Toc5369 \h </w:instrText>
      </w:r>
      <w:r>
        <w:rPr>
          <w:color w:val="auto"/>
          <w:highlight w:val="none"/>
        </w:rPr>
        <w:fldChar w:fldCharType="separate"/>
      </w:r>
      <w:r>
        <w:rPr>
          <w:color w:val="auto"/>
          <w:highlight w:val="none"/>
        </w:rPr>
        <w:t xml:space="preserve">２５</w:t>
      </w:r>
      <w:r>
        <w:rPr>
          <w:color w:val="auto"/>
          <w:highlight w:val="none"/>
        </w:rPr>
        <w:fldChar w:fldCharType="end"/>
      </w:r>
      <w:r>
        <w:rPr>
          <w:rFonts w:hint="default" w:ascii="Times New Roman" w:hAnsi="Times New Roman" w:eastAsia="宋体" w:cs="Times New Roman"/>
          <w:color w:val="auto"/>
          <w:szCs w:val="21"/>
          <w:highlight w:val="none"/>
        </w:rPr>
        <w:fldChar w:fldCharType="end"/>
      </w:r>
      <w:r/>
    </w:p>
    <w:p>
      <w:pPr>
        <w:pStyle w:val="884"/>
        <w:tabs>
          <w:tab w:val="clear" w:pos="8720" w:leader="none"/>
          <w:tab w:val="right" w:pos="8953" w:leader="dot"/>
        </w:tabs>
        <w:rPr>
          <w:color w:val="auto"/>
          <w:highlight w:val="none"/>
        </w:rPr>
      </w:pP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\l _Toc1248 </w:instrText>
      </w:r>
      <w:r>
        <w:rPr>
          <w:rFonts w:hint="default" w:ascii="Times New Roman" w:hAnsi="Times New Roman" w:eastAsia="宋体" w:cs="Times New Roman"/>
          <w:color w:val="auto"/>
          <w:szCs w:val="21"/>
          <w:highlight w:val="none"/>
        </w:rPr>
        <w:fldChar w:fldCharType="separate"/>
      </w:r>
      <w:r>
        <w:rPr>
          <w:rFonts w:hint="eastAsia" w:ascii="黑体" w:hAnsi="黑体" w:eastAsia="黑体" w:cs="黑体"/>
          <w:color w:val="auto"/>
          <w:szCs w:val="44"/>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_Toc1248 \h </w:instrText>
      </w:r>
      <w:r>
        <w:rPr>
          <w:color w:val="auto"/>
          <w:highlight w:val="none"/>
        </w:rPr>
        <w:fldChar w:fldCharType="separate"/>
      </w:r>
      <w:r>
        <w:rPr>
          <w:color w:val="auto"/>
          <w:highlight w:val="none"/>
        </w:rPr>
        <w:t xml:space="preserve">３０</w:t>
      </w:r>
      <w:r>
        <w:rPr>
          <w:color w:val="auto"/>
          <w:highlight w:val="none"/>
        </w:rPr>
        <w:fldChar w:fldCharType="end"/>
      </w:r>
      <w:r>
        <w:rPr>
          <w:rFonts w:hint="default" w:ascii="Times New Roman" w:hAnsi="Times New Roman" w:eastAsia="宋体" w:cs="Times New Roman"/>
          <w:color w:val="auto"/>
          <w:szCs w:val="21"/>
          <w:highlight w:val="none"/>
        </w:rPr>
        <w:fldChar w:fldCharType="end"/>
      </w:r>
      <w:r/>
    </w:p>
    <w:p>
      <w:pPr>
        <w:pStyle w:val="884"/>
        <w:tabs>
          <w:tab w:val="clear" w:pos="8720" w:leader="none"/>
          <w:tab w:val="right" w:pos="8953" w:leader="dot"/>
        </w:tabs>
        <w:rPr>
          <w:color w:val="auto"/>
          <w:highlight w:val="none"/>
        </w:rPr>
      </w:pP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\l _Toc4410 </w:instrText>
      </w:r>
      <w:r>
        <w:rPr>
          <w:rFonts w:hint="default" w:ascii="Times New Roman" w:hAnsi="Times New Roman" w:eastAsia="宋体" w:cs="Times New Roman"/>
          <w:color w:val="auto"/>
          <w:szCs w:val="21"/>
          <w:highlight w:val="none"/>
        </w:rPr>
        <w:fldChar w:fldCharType="separate"/>
      </w:r>
      <w:r>
        <w:rPr>
          <w:rFonts w:hint="eastAsia" w:ascii="黑体" w:hAnsi="黑体" w:eastAsia="黑体" w:cs="黑体"/>
          <w:color w:val="auto"/>
          <w:szCs w:val="44"/>
          <w:highlight w:val="none"/>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_Toc4410 \h </w:instrText>
      </w:r>
      <w:r>
        <w:rPr>
          <w:color w:val="auto"/>
          <w:highlight w:val="none"/>
        </w:rPr>
        <w:fldChar w:fldCharType="separate"/>
      </w:r>
      <w:r>
        <w:rPr>
          <w:color w:val="auto"/>
          <w:highlight w:val="none"/>
        </w:rPr>
        <w:t xml:space="preserve">３９</w:t>
      </w:r>
      <w:r>
        <w:rPr>
          <w:color w:val="auto"/>
          <w:highlight w:val="none"/>
        </w:rPr>
        <w:fldChar w:fldCharType="end"/>
      </w:r>
      <w:r>
        <w:rPr>
          <w:rFonts w:hint="default" w:ascii="Times New Roman" w:hAnsi="Times New Roman" w:eastAsia="宋体" w:cs="Times New Roman"/>
          <w:color w:val="auto"/>
          <w:szCs w:val="21"/>
          <w:highlight w:val="none"/>
        </w:rPr>
        <w:fldChar w:fldCharType="end"/>
      </w:r>
      <w:r/>
    </w:p>
    <w:p>
      <w:pPr>
        <w:rPr>
          <w:rFonts w:hint="eastAsia" w:ascii="宋体" w:hAnsi="宋体" w:eastAsia="宋体" w:cs="宋体"/>
          <w:color w:val="auto"/>
          <w:szCs w:val="21"/>
          <w:highlight w:val="none"/>
        </w:rPr>
      </w:pPr>
      <w:r>
        <w:rPr>
          <w:rFonts w:hint="default" w:ascii="Times New Roman" w:hAnsi="Times New Roman" w:eastAsia="宋体" w:cs="Times New Roman"/>
          <w:color w:val="auto"/>
          <w:szCs w:val="21"/>
          <w:highlight w:val="none"/>
        </w:rPr>
        <w:fldChar w:fldCharType="end"/>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hd w:val="nil" w:color="auto"/>
        <w:rPr>
          <w:rFonts w:hint="eastAsia" w:ascii="黑体" w:hAnsi="黑体" w:eastAsia="黑体" w:cs="黑体"/>
          <w:color w:val="auto"/>
          <w:sz w:val="44"/>
          <w:szCs w:val="44"/>
          <w:highlight w:val="none"/>
        </w:rPr>
        <w:outlineLvl w:val="0"/>
      </w:pPr>
      <w:r>
        <w:rPr>
          <w:highlight w:val="none"/>
        </w:rPr>
        <w:br w:type="page" w:clear="all"/>
      </w:r>
      <w:r>
        <w:rPr>
          <w:highlight w:val="none"/>
        </w:rPr>
      </w:r>
      <w:r/>
    </w:p>
    <w:p>
      <w:pPr>
        <w:jc w:val="center"/>
        <w:keepNext/>
        <w:rPr>
          <w:highlight w:val="none"/>
        </w:rPr>
        <w:outlineLvl w:val="0"/>
      </w:pPr>
      <w:r/>
      <w:bookmarkStart w:id="7" w:name="_Toc2292"/>
      <w:r>
        <w:rPr>
          <w:rFonts w:hint="eastAsia" w:ascii="黑体" w:hAnsi="黑体" w:eastAsia="黑体" w:cs="黑体"/>
          <w:color w:val="auto"/>
          <w:sz w:val="44"/>
          <w:szCs w:val="44"/>
          <w:highlight w:val="none"/>
        </w:rPr>
        <w:t xml:space="preserve">第一章  </w:t>
      </w:r>
      <w:bookmarkEnd w:id="1"/>
      <w:r>
        <w:rPr>
          <w:rFonts w:hint="eastAsia" w:ascii="黑体" w:hAnsi="黑体" w:eastAsia="黑体" w:cs="黑体"/>
          <w:color w:val="auto"/>
          <w:sz w:val="44"/>
          <w:szCs w:val="44"/>
          <w:highlight w:val="none"/>
        </w:rPr>
        <w:t xml:space="preserve">磋商邀请</w:t>
      </w:r>
      <w:bookmarkEnd w:id="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宿迁市市场监督管理局、宿迁市楚润数据集团有限公司</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江苏宝恒项目管理咨询有限公司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宿迁市市场监督管理局2026年度12315投诉举报热线暨96333电梯应急救援处置中心服务外包项目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JSZC-321300-BHLW-C2026-0005</w:t>
      </w:r>
      <w:r>
        <w:rPr>
          <w:rFonts w:hint="eastAsia" w:ascii="宋体" w:hAnsi="宋体" w:eastAsia="宋体" w:cs="宋体"/>
          <w:color w:val="auto"/>
          <w:sz w:val="24"/>
          <w:szCs w:val="24"/>
          <w:highlight w:val="none"/>
        </w:rPr>
        <w:t xml:space="preserve">])进行竞争性磋商采购，欢迎符合条件的供应商参加磋商。</w:t>
      </w:r>
      <w:r/>
    </w:p>
    <w:p>
      <w:pPr>
        <w:ind w:firstLine="480"/>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eastAsia="zh-CN"/>
        </w:rPr>
        <w:t xml:space="preserve">宿迁市市场监督管理局2026年度12315投诉举报热线暨96333电梯应急救援处置中心服务外包项目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“宿迁市政府采购网”自行免费下载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bCs/>
          <w:color w:val="auto"/>
          <w:sz w:val="24"/>
          <w:szCs w:val="24"/>
          <w:highlight w:val="none"/>
          <w:u w:val="single"/>
        </w:rPr>
        <w:t xml:space="preserve">年</w:t>
      </w: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u w:val="single"/>
        </w:rPr>
        <w:t xml:space="preserve">日</w:t>
      </w:r>
      <w:r>
        <w:rPr>
          <w:rFonts w:hint="eastAsia" w:ascii="宋体" w:hAnsi="宋体" w:eastAsia="宋体" w:cs="宋体"/>
          <w:bCs/>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点</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bookmarkStart w:id="8" w:name="_Toc28359079"/>
      <w:r/>
      <w:bookmarkStart w:id="9" w:name="_Toc28359002"/>
      <w:r/>
      <w:bookmarkStart w:id="10" w:name="_Toc38985263"/>
      <w:r/>
      <w:bookmarkStart w:id="11" w:name="_Toc35393790"/>
      <w:r/>
      <w:bookmarkStart w:id="12" w:name="_Toc35393621"/>
      <w:r/>
      <w:bookmarkStart w:id="13" w:name="_Hlk24379207"/>
      <w:r>
        <w:rPr>
          <w:rFonts w:hint="eastAsia" w:ascii="宋体" w:hAnsi="宋体" w:eastAsia="宋体" w:cs="宋体"/>
          <w:b/>
          <w:bCs/>
          <w:color w:val="auto"/>
          <w:sz w:val="32"/>
          <w:szCs w:val="32"/>
          <w:highlight w:val="none"/>
        </w:rPr>
        <w:t xml:space="preserve">一、项目基本情况</w:t>
      </w:r>
      <w:bookmarkEnd w:id="8"/>
      <w:r/>
      <w:bookmarkEnd w:id="9"/>
      <w:r/>
      <w:bookmarkEnd w:id="10"/>
      <w:r/>
      <w:bookmarkEnd w:id="11"/>
      <w:r/>
      <w:bookmarkEnd w:id="12"/>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JSZC-321300-BHLW-C2026-0005</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宿迁市市场监督管理局2026年度12315投诉举报热线暨96333电梯应急救援处置中心服务外包项目</w:t>
      </w:r>
      <w:bookmarkEnd w:id="13"/>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112万元</w:t>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u w:val="single"/>
          <w:lang w:val="en-US" w:eastAsia="zh-CN"/>
        </w:rPr>
        <w:t xml:space="preserve">设定</w:t>
      </w:r>
      <w:r>
        <w:rPr>
          <w:rFonts w:hint="eastAsia" w:ascii="宋体" w:hAnsi="宋体" w:eastAsia="宋体" w:cs="宋体"/>
          <w:b/>
          <w:bCs/>
          <w:color w:val="auto"/>
          <w:sz w:val="24"/>
          <w:szCs w:val="24"/>
          <w:highlight w:val="none"/>
        </w:rPr>
        <w:t xml:space="preserve">最高限价，最高限价为</w:t>
      </w: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b/>
          <w:bCs/>
          <w:color w:val="auto"/>
          <w:sz w:val="24"/>
          <w:szCs w:val="24"/>
          <w:highlight w:val="none"/>
        </w:rPr>
        <w:t xml:space="preserve">万元。</w:t>
      </w:r>
      <w:r/>
    </w:p>
    <w:p>
      <w:pPr>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5.采购需求（简介）：</w:t>
      </w:r>
      <w:r>
        <w:rPr>
          <w:rFonts w:hint="eastAsia" w:ascii="宋体" w:hAnsi="宋体" w:eastAsia="宋体" w:cs="宋体"/>
          <w:color w:val="auto"/>
          <w:sz w:val="24"/>
          <w:szCs w:val="24"/>
          <w:highlight w:val="none"/>
          <w:lang w:eastAsia="zh-CN"/>
        </w:rPr>
        <w:t xml:space="preserve">宿迁市市场监督管理局2026年度12315投诉举报热线暨96333电梯应急救援处置中心服务外包项目</w:t>
      </w:r>
      <w:r>
        <w:rPr>
          <w:rFonts w:hint="eastAsia" w:ascii="宋体" w:hAnsi="宋体" w:eastAsia="宋体" w:cs="宋体"/>
          <w:color w:val="auto"/>
          <w:sz w:val="24"/>
          <w:szCs w:val="24"/>
          <w:highlight w:val="none"/>
        </w:rPr>
        <w:t xml:space="preserve">（详细内容见本磋商文件第四章）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7.本项目不接受联合体参与磋商</w:t>
      </w:r>
      <w:r>
        <w:rPr>
          <w:rFonts w:hint="eastAsia" w:ascii="宋体" w:hAnsi="宋体" w:eastAsia="宋体" w:cs="宋体"/>
          <w:color w:val="auto"/>
          <w:sz w:val="24"/>
          <w:szCs w:val="24"/>
          <w:highlight w:val="none"/>
          <w:lang w:eastAsia="zh-CN"/>
        </w:rPr>
        <w:t xml:space="preserve">。</w:t>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bookmarkStart w:id="14" w:name="_Toc28359003"/>
      <w:r/>
      <w:bookmarkStart w:id="15" w:name="_Toc35393622"/>
      <w:r/>
      <w:bookmarkStart w:id="16" w:name="_Toc38985264"/>
      <w:r/>
      <w:bookmarkStart w:id="17" w:name="_Toc35393791"/>
      <w:r/>
      <w:bookmarkStart w:id="18" w:name="_Toc28359080"/>
      <w:r>
        <w:rPr>
          <w:rFonts w:hint="eastAsia" w:ascii="宋体" w:hAnsi="宋体" w:eastAsia="宋体" w:cs="宋体"/>
          <w:b/>
          <w:bCs/>
          <w:color w:val="auto"/>
          <w:sz w:val="32"/>
          <w:szCs w:val="32"/>
          <w:highlight w:val="none"/>
        </w:rPr>
        <w:t xml:space="preserve">二、申请人的资格要求：</w:t>
      </w:r>
      <w:bookmarkEnd w:id="14"/>
      <w:r/>
      <w:bookmarkEnd w:id="15"/>
      <w:r/>
      <w:bookmarkEnd w:id="16"/>
      <w:r/>
      <w:bookmarkEnd w:id="17"/>
      <w:r/>
      <w:bookmarkEnd w:id="18"/>
      <w:r/>
      <w:r/>
    </w:p>
    <w:p>
      <w:pPr>
        <w:ind w:firstLine="480"/>
        <w:rPr>
          <w:rFonts w:hint="eastAsia" w:ascii="宋体" w:hAnsi="宋体" w:eastAsia="宋体" w:cs="宋体"/>
          <w:color w:val="auto"/>
          <w:sz w:val="24"/>
          <w:szCs w:val="24"/>
          <w:highlight w:val="none"/>
        </w:rPr>
      </w:pPr>
      <w:r/>
      <w:bookmarkStart w:id="19" w:name="_Toc35393623"/>
      <w:r/>
      <w:bookmarkStart w:id="20" w:name="_Toc35393792"/>
      <w:r/>
      <w:bookmarkStart w:id="21" w:name="_Toc28359004"/>
      <w:r/>
      <w:bookmarkStart w:id="22" w:name="_Toc38985265"/>
      <w:r/>
      <w:bookmarkStart w:id="23" w:name="_Toc28359081"/>
      <w:r>
        <w:rPr>
          <w:rFonts w:hint="eastAsia" w:ascii="宋体" w:hAnsi="宋体" w:eastAsia="宋体" w:cs="宋体"/>
          <w:color w:val="auto"/>
          <w:sz w:val="24"/>
          <w:szCs w:val="24"/>
          <w:highlight w:val="none"/>
        </w:rPr>
        <w:t xml:space="preserve">（一）通用资格要求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1.具备《中华人民共和国政府采购法》第二十二条第一款规定的6项条件（按要求提供声明及信用承诺）；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2.信用信息。信用信息查询渠道：“信用中国”网（www.creditchina.gov.cn）、“中国政府采购”网（www.ccgp.gov.cn）、江苏政府采购网（www.ccgp-jiangsu.gov.cn）。    </w:t>
      </w:r>
      <w:r/>
    </w:p>
    <w:p>
      <w:pPr>
        <w:ind w:firstLine="480"/>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eastAsia="宋体" w:cs="宋体"/>
          <w:color w:val="auto"/>
          <w:sz w:val="24"/>
          <w:szCs w:val="24"/>
          <w:highlight w:val="none"/>
          <w:lang w:val="en-US" w:eastAsia="zh-CN"/>
        </w:rPr>
        <w:t xml:space="preserve">无。</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lang w:eastAsia="zh-CN"/>
        </w:rPr>
        <w:t xml:space="preserve">。</w:t>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9"/>
      <w:r/>
      <w:bookmarkEnd w:id="20"/>
      <w:r/>
      <w:bookmarkEnd w:id="21"/>
      <w:r/>
      <w:bookmarkEnd w:id="22"/>
      <w:r/>
      <w:bookmarkEnd w:id="23"/>
      <w:r>
        <w:rPr>
          <w:rFonts w:hint="eastAsia" w:ascii="宋体" w:hAnsi="宋体" w:eastAsia="宋体" w:cs="宋体"/>
          <w:b/>
          <w:bCs/>
          <w:color w:val="auto"/>
          <w:sz w:val="32"/>
          <w:szCs w:val="32"/>
          <w:highlight w:val="none"/>
        </w:rPr>
        <w:t xml:space="preserve">磋商文件</w:t>
      </w:r>
      <w:r/>
    </w:p>
    <w:p>
      <w:pPr>
        <w:ind w:firstLine="480"/>
        <w:spacing w:line="500" w:lineRule="exact"/>
        <w:rPr>
          <w:rFonts w:hint="eastAsia" w:ascii="宋体" w:hAnsi="宋体" w:eastAsia="宋体" w:cs="宋体"/>
          <w:bCs/>
          <w:color w:val="auto"/>
          <w:sz w:val="24"/>
          <w:szCs w:val="24"/>
          <w:highlight w:val="none"/>
        </w:rPr>
      </w:pPr>
      <w:r/>
      <w:bookmarkStart w:id="24" w:name="_Toc28359005"/>
      <w:r/>
      <w:bookmarkStart w:id="25" w:name="_Toc28359082"/>
      <w:r/>
      <w:bookmarkStart w:id="26" w:name="_Toc35393793"/>
      <w:r/>
      <w:bookmarkStart w:id="27" w:name="_Toc38985266"/>
      <w:r/>
      <w:bookmarkStart w:id="28" w:name="_Toc35393624"/>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09:00</w:t>
      </w:r>
      <w:r>
        <w:rPr>
          <w:rFonts w:hint="eastAsia" w:ascii="宋体" w:hAnsi="宋体" w:eastAsia="宋体" w:cs="宋体"/>
          <w:bCs/>
          <w:color w:val="auto"/>
          <w:sz w:val="24"/>
          <w:szCs w:val="24"/>
          <w:highlight w:val="none"/>
        </w:rPr>
        <w:t xml:space="preserve">至</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026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spacing w:line="360" w:lineRule="auto"/>
        <w:rPr>
          <w:rFonts w:hint="eastAsia" w:ascii="宋体" w:hAnsi="宋体" w:eastAsia="宋体" w:cs="宋体"/>
          <w:color w:val="auto"/>
          <w:sz w:val="24"/>
          <w:szCs w:val="24"/>
          <w:highlight w:val="none"/>
          <w:u w:val="single"/>
        </w:rPr>
      </w:pPr>
      <w:r/>
      <w:bookmarkStart w:id="29" w:name="EB0c44ff4da61f4af989d119fe214be450"/>
      <w:r>
        <w:rPr>
          <w:rFonts w:hint="eastAsia" w:ascii="宋体" w:hAnsi="宋体" w:eastAsia="宋体" w:cs="宋体"/>
          <w:color w:val="auto"/>
          <w:sz w:val="24"/>
          <w:szCs w:val="28"/>
          <w:highlight w:val="none"/>
        </w:rPr>
        <w:t xml:space="preserve">3.本项目共分一个包。供应商未按要求获取竞争性磋商文件导致无法磋商的，后果自负（其响应文件不予接受）。</w:t>
      </w:r>
      <w:bookmarkEnd w:id="29"/>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4"/>
      <w:r/>
      <w:bookmarkEnd w:id="25"/>
      <w:r>
        <w:rPr>
          <w:rFonts w:hint="eastAsia" w:ascii="宋体" w:hAnsi="宋体" w:eastAsia="宋体" w:cs="宋体"/>
          <w:b/>
          <w:bCs/>
          <w:color w:val="auto"/>
          <w:sz w:val="32"/>
          <w:szCs w:val="32"/>
          <w:highlight w:val="none"/>
        </w:rPr>
        <w:t xml:space="preserve">响应文件截止时间</w:t>
      </w:r>
      <w:bookmarkEnd w:id="26"/>
      <w:r/>
      <w:bookmarkEnd w:id="27"/>
      <w:r/>
      <w:bookmarkEnd w:id="28"/>
      <w:r/>
      <w:r/>
    </w:p>
    <w:p>
      <w:pPr>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1.提交响应文件截止时间、磋商时间：</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lang w:val="en-US" w:eastAsia="zh-CN"/>
        </w:rPr>
        <w:t xml:space="preserve">026</w:t>
      </w:r>
      <w:r>
        <w:rPr>
          <w:rFonts w:hint="eastAsia" w:ascii="宋体" w:hAnsi="宋体" w:eastAsia="宋体" w:cs="宋体"/>
          <w:bCs/>
          <w:color w:val="auto"/>
          <w:sz w:val="24"/>
          <w:szCs w:val="24"/>
          <w:highlight w:val="none"/>
          <w:u w:val="single"/>
        </w:rPr>
        <w:t xml:space="preserve">年</w:t>
      </w: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月30</w:t>
      </w:r>
      <w:r>
        <w:rPr>
          <w:rFonts w:hint="eastAsia" w:ascii="宋体" w:hAnsi="宋体" w:eastAsia="宋体" w:cs="宋体"/>
          <w:bCs/>
          <w:color w:val="auto"/>
          <w:sz w:val="24"/>
          <w:szCs w:val="24"/>
          <w:highlight w:val="none"/>
          <w:u w:val="single"/>
        </w:rPr>
        <w:t xml:space="preserve">日</w:t>
      </w:r>
      <w:r>
        <w:rPr>
          <w:rFonts w:hint="eastAsia" w:ascii="宋体" w:hAnsi="宋体" w:eastAsia="宋体" w:cs="宋体"/>
          <w:bCs/>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点</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2.地点：“苏采云”政府采购交易系统网上开标大厅。</w:t>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bookmarkStart w:id="30" w:name="_Toc28359007"/>
      <w:r/>
      <w:bookmarkStart w:id="31" w:name="_Toc38985267"/>
      <w:r/>
      <w:bookmarkStart w:id="32" w:name="_Toc28359084"/>
      <w:r/>
      <w:bookmarkStart w:id="33" w:name="_Toc35393625"/>
      <w:r/>
      <w:bookmarkStart w:id="34" w:name="_Toc35393794"/>
      <w:r>
        <w:rPr>
          <w:rFonts w:hint="eastAsia" w:ascii="宋体" w:hAnsi="宋体" w:eastAsia="宋体" w:cs="宋体"/>
          <w:b/>
          <w:bCs/>
          <w:color w:val="auto"/>
          <w:sz w:val="32"/>
          <w:szCs w:val="32"/>
          <w:highlight w:val="none"/>
        </w:rPr>
        <w:t xml:space="preserve">五、公告期限</w:t>
      </w:r>
      <w:bookmarkEnd w:id="30"/>
      <w:r/>
      <w:bookmarkEnd w:id="31"/>
      <w:r/>
      <w:bookmarkEnd w:id="32"/>
      <w:r/>
      <w:bookmarkEnd w:id="33"/>
      <w:r/>
      <w:bookmarkEnd w:id="34"/>
      <w:r/>
      <w:r/>
    </w:p>
    <w:p>
      <w:pPr>
        <w:ind w:firstLine="540"/>
        <w:spacing w:line="360" w:lineRule="auto"/>
        <w:rPr>
          <w:rFonts w:hint="eastAsia" w:ascii="宋体" w:hAnsi="宋体" w:eastAsia="宋体" w:cs="宋体"/>
          <w:color w:val="auto"/>
          <w:sz w:val="24"/>
          <w:szCs w:val="28"/>
          <w:highlight w:val="none"/>
        </w:rPr>
      </w:pPr>
      <w:r/>
      <w:bookmarkStart w:id="35" w:name="_Toc38985268"/>
      <w:r/>
      <w:bookmarkStart w:id="36" w:name="_Toc35393795"/>
      <w:r/>
      <w:bookmarkStart w:id="37" w:name="_Toc35393626"/>
      <w:r>
        <w:rPr>
          <w:rFonts w:hint="eastAsia" w:ascii="宋体" w:hAnsi="宋体" w:eastAsia="宋体" w:cs="宋体"/>
          <w:color w:val="auto"/>
          <w:sz w:val="24"/>
          <w:szCs w:val="28"/>
          <w:highlight w:val="none"/>
        </w:rPr>
        <w:t xml:space="preserve">磋商公告及磋商文件公告期限为自本公告发布之日起</w:t>
      </w: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个工作日。采购公告发布媒体：宿迁市政府采购网、</w:t>
      </w:r>
      <w:r>
        <w:rPr>
          <w:rFonts w:hint="eastAsia" w:ascii="宋体" w:hAnsi="宋体" w:eastAsia="宋体" w:cs="宋体"/>
          <w:color w:val="auto"/>
          <w:sz w:val="24"/>
          <w:szCs w:val="28"/>
          <w:highlight w:val="none"/>
          <w:lang w:val="en-US" w:eastAsia="zh-CN"/>
        </w:rPr>
        <w:t xml:space="preserve">宿迁市公共资源交易平台、</w:t>
      </w:r>
      <w:r>
        <w:rPr>
          <w:rFonts w:hint="eastAsia" w:ascii="宋体" w:hAnsi="宋体" w:eastAsia="宋体" w:cs="宋体"/>
          <w:color w:val="auto"/>
          <w:sz w:val="24"/>
          <w:szCs w:val="28"/>
          <w:highlight w:val="none"/>
        </w:rPr>
        <w:t xml:space="preserve">江苏省财政部门指定的媒体。</w:t>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5"/>
      <w:r/>
      <w:bookmarkEnd w:id="36"/>
      <w:r/>
      <w:bookmarkEnd w:id="37"/>
      <w:r/>
      <w:r/>
    </w:p>
    <w:p>
      <w:pPr>
        <w:ind w:firstLine="480"/>
        <w:spacing w:line="500" w:lineRule="exact"/>
        <w:rPr>
          <w:rFonts w:hint="eastAsia" w:ascii="宋体" w:hAnsi="宋体" w:eastAsia="宋体" w:cs="宋体"/>
          <w:color w:val="auto"/>
          <w:sz w:val="24"/>
          <w:highlight w:val="none"/>
        </w:rPr>
      </w:pPr>
      <w:r/>
      <w:bookmarkStart w:id="38" w:name="EB64e1f522fd8c43fcb4d3ba471386b3e7"/>
      <w:r>
        <w:rPr>
          <w:rFonts w:hint="eastAsia" w:ascii="宋体" w:hAnsi="宋体" w:eastAsia="宋体" w:cs="宋体"/>
          <w:color w:val="auto"/>
          <w:sz w:val="24"/>
          <w:highlight w:val="none"/>
        </w:rPr>
        <w:t xml:space="preserve">1.财政部门监督电话：</w:t>
      </w:r>
      <w:r>
        <w:rPr>
          <w:rFonts w:hint="eastAsia" w:ascii="宋体" w:hAnsi="宋体" w:eastAsia="宋体" w:cs="宋体"/>
          <w:color w:val="auto"/>
          <w:sz w:val="24"/>
          <w:highlight w:val="none"/>
          <w:lang w:val="en-US" w:eastAsia="zh-CN"/>
        </w:rPr>
        <w:t xml:space="preserve">0527-84363063</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2.“CA”数字证书办理：“苏采云”系统目前仅支持“苏采云”系统下的政务CA。省内各地区办理的“苏采云”系统下的政务CA全省通用。宿迁地区CA数字证书办理联系方式：18351098172。</w:t>
      </w:r>
      <w:r/>
    </w:p>
    <w:p>
      <w:pPr>
        <w:pStyle w:val="972"/>
        <w:ind w:firstLine="480"/>
        <w:rPr>
          <w:rFonts w:hint="eastAsia" w:ascii="宋体" w:hAnsi="宋体" w:eastAsia="宋体" w:cs="宋体"/>
          <w:color w:val="auto"/>
          <w:sz w:val="24"/>
          <w:szCs w:val="21"/>
          <w:highlight w:val="none"/>
          <w:lang w:val="en-US"/>
        </w:rPr>
      </w:pPr>
      <w:r>
        <w:rPr>
          <w:rFonts w:hint="eastAsia" w:ascii="宋体" w:hAnsi="宋体" w:eastAsia="宋体" w:cs="宋体"/>
          <w:color w:val="auto"/>
          <w:sz w:val="24"/>
          <w:szCs w:val="21"/>
          <w:highlight w:val="none"/>
          <w:lang w:val="en-US"/>
        </w:rPr>
        <w:t xml:space="preserve">3.宿迁地区“苏采云”技术支持客服电话：0527-84363067、0519-86722806。</w:t>
      </w:r>
      <w:r/>
    </w:p>
    <w:p>
      <w:pPr>
        <w:pStyle w:val="972"/>
        <w:ind w:firstLine="480"/>
        <w:rPr>
          <w:rFonts w:hint="eastAsia" w:ascii="宋体" w:hAnsi="宋体" w:eastAsia="宋体" w:cs="宋体"/>
          <w:color w:val="auto"/>
          <w:sz w:val="24"/>
          <w:szCs w:val="21"/>
          <w:highlight w:val="none"/>
          <w:lang w:val="en-US"/>
        </w:rPr>
      </w:pPr>
      <w:r>
        <w:rPr>
          <w:rFonts w:hint="eastAsia" w:ascii="宋体" w:hAnsi="宋体" w:eastAsia="宋体" w:cs="宋体"/>
          <w:color w:val="auto"/>
          <w:sz w:val="24"/>
          <w:szCs w:val="21"/>
          <w:highlight w:val="none"/>
          <w:lang w:val="en-US"/>
        </w:rPr>
        <w:t xml:space="preserve">4.如果供应商通过苏采云系统参与政府采购项目，相关操作手册详见链接：</w:t>
      </w:r>
      <w:r>
        <w:rPr>
          <w:rFonts w:hint="eastAsia" w:ascii="宋体" w:hAnsi="宋体" w:eastAsia="宋体" w:cs="宋体"/>
          <w:color w:val="auto"/>
          <w:spacing w:val="-6"/>
          <w:sz w:val="24"/>
          <w:szCs w:val="21"/>
          <w:highlight w:val="none"/>
          <w:lang w:val="en-US"/>
        </w:rPr>
        <w:t xml:space="preserve">http://www.ccgp-jiangsu.gov.cn/jiangsu/zlxz/ee/ee3a4bc5a3454aa2b0d9312230633ce9.html。</w:t>
      </w:r>
      <w:bookmarkEnd w:id="3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.现场勘察及答疑：本项目不组织集中勘察及答疑，供应商如对采购需求有疑问，请咨询采购单位联系人。</w:t>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bookmarkStart w:id="39" w:name="_Toc28359085"/>
      <w:r/>
      <w:bookmarkStart w:id="40" w:name="_Toc35393796"/>
      <w:r/>
      <w:bookmarkStart w:id="41" w:name="_Toc28359008"/>
      <w:r/>
      <w:bookmarkStart w:id="42" w:name="_Toc38985269"/>
      <w:r/>
      <w:bookmarkStart w:id="43" w:name="_Toc35393627"/>
      <w:r>
        <w:rPr>
          <w:rFonts w:hint="eastAsia" w:ascii="宋体" w:hAnsi="宋体" w:eastAsia="宋体" w:cs="宋体"/>
          <w:b/>
          <w:bCs/>
          <w:color w:val="auto"/>
          <w:sz w:val="32"/>
          <w:szCs w:val="32"/>
          <w:highlight w:val="none"/>
        </w:rPr>
        <w:t xml:space="preserve">七、本次磋商联系方式</w:t>
      </w:r>
      <w:bookmarkEnd w:id="39"/>
      <w:r/>
      <w:bookmarkEnd w:id="40"/>
      <w:r/>
      <w:bookmarkEnd w:id="41"/>
      <w:r/>
      <w:bookmarkEnd w:id="42"/>
      <w:r/>
      <w:bookmarkEnd w:id="43"/>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1.采购人信息</w:t>
      </w:r>
      <w:r/>
    </w:p>
    <w:p>
      <w:pPr>
        <w:ind w:left="1079" w:hanging="30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lang w:eastAsia="zh-CN"/>
        </w:rPr>
        <w:t xml:space="preserve">宿迁市市场监督管理局、宿迁市楚润数据集团有限公司</w:t>
      </w:r>
      <w:r/>
    </w:p>
    <w:p>
      <w:pPr>
        <w:ind w:left="1079" w:hanging="30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lang w:eastAsia="zh-CN"/>
        </w:rPr>
        <w:t xml:space="preserve">宿城区洪泽湖路730号、宿迁市宿城区发展大道2496号二楼</w:t>
      </w:r>
      <w:r/>
    </w:p>
    <w:p>
      <w:pPr>
        <w:ind w:left="1079" w:hanging="30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任俊、宋洞洞</w:t>
      </w:r>
      <w:r/>
    </w:p>
    <w:p>
      <w:pPr>
        <w:ind w:left="1079" w:hanging="30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联系方式：</w:t>
      </w:r>
      <w:bookmarkStart w:id="44" w:name="_Toc28359086"/>
      <w:r/>
      <w:bookmarkStart w:id="45" w:name="_Toc28359009"/>
      <w:r>
        <w:rPr>
          <w:rFonts w:hint="eastAsia" w:ascii="宋体" w:hAnsi="宋体" w:eastAsia="宋体" w:cs="宋体"/>
          <w:color w:val="auto"/>
          <w:sz w:val="24"/>
          <w:szCs w:val="24"/>
          <w:highlight w:val="none"/>
          <w:u w:val="single"/>
          <w:lang w:eastAsia="zh-CN"/>
        </w:rPr>
        <w:t xml:space="preserve">13809099905、19805274985</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2.采购代理机构信息</w:t>
      </w:r>
      <w:bookmarkEnd w:id="44"/>
      <w:r/>
      <w:bookmarkEnd w:id="45"/>
      <w:r/>
      <w:r/>
    </w:p>
    <w:p>
      <w:pPr>
        <w:ind w:left="1079" w:hanging="300"/>
        <w:jc w:val="left"/>
        <w:spacing w:line="360" w:lineRule="auto"/>
        <w:rPr>
          <w:rFonts w:hint="eastAsia" w:ascii="宋体" w:hAnsi="宋体" w:eastAsia="宋体" w:cs="宋体"/>
          <w:color w:val="auto"/>
          <w:sz w:val="24"/>
          <w:szCs w:val="24"/>
          <w:highlight w:val="none"/>
          <w:u w:val="single"/>
          <w:lang w:eastAsia="zh-CN"/>
        </w:rPr>
      </w:pPr>
      <w:r/>
      <w:bookmarkStart w:id="46" w:name="_Toc28359087"/>
      <w:r/>
      <w:bookmarkStart w:id="47" w:name="_Toc28359010"/>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lang w:eastAsia="zh-CN"/>
        </w:rPr>
        <w:t xml:space="preserve">江苏宝恒项目管理咨询有限公司</w:t>
      </w:r>
      <w:r/>
    </w:p>
    <w:p>
      <w:pPr>
        <w:ind w:left="1079" w:hanging="30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lang w:eastAsia="zh-CN"/>
        </w:rPr>
        <w:t xml:space="preserve">宿豫区金融财富广场C栋15楼1501</w:t>
      </w:r>
      <w:r/>
    </w:p>
    <w:p>
      <w:pPr>
        <w:ind w:left="1079" w:hanging="30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eastAsia="zh-CN"/>
        </w:rPr>
        <w:t xml:space="preserve">邹云</w:t>
      </w:r>
      <w:r/>
    </w:p>
    <w:p>
      <w:pPr>
        <w:ind w:left="1079" w:hanging="30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lang w:eastAsia="zh-CN"/>
        </w:rPr>
        <w:t xml:space="preserve">15695271018</w:t>
      </w:r>
      <w:bookmarkEnd w:id="46"/>
      <w:r/>
      <w:bookmarkEnd w:id="47"/>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八、其他</w:t>
      </w:r>
      <w:r/>
    </w:p>
    <w:p>
      <w:pPr>
        <w:ind w:firstLine="480"/>
        <w:spacing w:line="56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1.有关本次</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的事项若存在变动或修改，敬请及时关注“宿迁市政府采购网”</w:t>
      </w:r>
      <w:r>
        <w:rPr>
          <w:rFonts w:hint="eastAsia" w:ascii="宋体" w:hAnsi="宋体" w:eastAsia="宋体" w:cs="宋体"/>
          <w:bCs/>
          <w:color w:val="auto"/>
          <w:sz w:val="24"/>
          <w:szCs w:val="24"/>
          <w:highlight w:val="none"/>
          <w:lang w:val="en-US" w:eastAsia="zh-CN"/>
        </w:rPr>
        <w:t xml:space="preserve">等平台</w:t>
      </w:r>
      <w:r>
        <w:rPr>
          <w:rFonts w:hint="eastAsia" w:ascii="宋体" w:hAnsi="宋体" w:eastAsia="宋体" w:cs="宋体"/>
          <w:bCs/>
          <w:color w:val="auto"/>
          <w:sz w:val="24"/>
          <w:szCs w:val="24"/>
          <w:highlight w:val="none"/>
        </w:rPr>
        <w:t xml:space="preserve">更正公告。</w:t>
      </w:r>
      <w:r/>
    </w:p>
    <w:p>
      <w:pPr>
        <w:ind w:firstLine="480"/>
        <w:spacing w:line="56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.本次磋商不收取磋商保证金。</w:t>
      </w:r>
      <w:r/>
    </w:p>
    <w:p>
      <w:pPr>
        <w:jc w:val="center"/>
        <w:keepNext/>
        <w:rPr>
          <w:rFonts w:hint="eastAsia" w:ascii="宋体" w:hAnsi="宋体" w:eastAsia="宋体" w:cs="宋体"/>
          <w:b/>
          <w:bCs/>
          <w:color w:val="auto"/>
          <w:sz w:val="44"/>
          <w:szCs w:val="44"/>
          <w:highlight w:val="none"/>
        </w:rPr>
        <w:outlineLvl w:val="0"/>
      </w:pPr>
      <w:r/>
      <w:bookmarkStart w:id="48" w:name="_Toc120614211"/>
      <w:r>
        <w:rPr>
          <w:rFonts w:hint="eastAsia" w:ascii="宋体" w:hAnsi="宋体" w:eastAsia="宋体" w:cs="宋体"/>
          <w:b/>
          <w:bCs/>
          <w:color w:val="auto"/>
          <w:sz w:val="44"/>
          <w:szCs w:val="44"/>
          <w:highlight w:val="none"/>
        </w:rPr>
        <w:br w:type="page" w:clear="all"/>
      </w:r>
      <w:bookmarkStart w:id="49" w:name="_Toc1090"/>
      <w:r>
        <w:rPr>
          <w:rFonts w:hint="eastAsia" w:ascii="黑体" w:hAnsi="黑体" w:eastAsia="黑体" w:cs="黑体"/>
          <w:color w:val="auto"/>
          <w:sz w:val="44"/>
          <w:szCs w:val="44"/>
          <w:highlight w:val="none"/>
        </w:rPr>
        <w:t xml:space="preserve">第二章  </w:t>
      </w:r>
      <w:bookmarkEnd w:id="2"/>
      <w:r/>
      <w:bookmarkEnd w:id="3"/>
      <w:r/>
      <w:bookmarkEnd w:id="4"/>
      <w:r/>
      <w:bookmarkEnd w:id="5"/>
      <w:r/>
      <w:bookmarkEnd w:id="6"/>
      <w:r/>
      <w:bookmarkEnd w:id="48"/>
      <w:r>
        <w:rPr>
          <w:rFonts w:hint="eastAsia" w:ascii="黑体" w:hAnsi="黑体" w:eastAsia="黑体" w:cs="黑体"/>
          <w:color w:val="auto"/>
          <w:sz w:val="44"/>
          <w:szCs w:val="44"/>
          <w:highlight w:val="none"/>
        </w:rPr>
        <w:t xml:space="preserve">供应商须知</w:t>
      </w:r>
      <w:bookmarkEnd w:id="49"/>
      <w:r/>
      <w:r/>
    </w:p>
    <w:p>
      <w:pPr>
        <w:ind w:firstLine="498"/>
        <w:keepLines/>
        <w:keepNext/>
        <w:pageBreakBefore w:val="0"/>
        <w:spacing w:line="560" w:lineRule="exact"/>
        <w:widowControl w:val="off"/>
        <w:rPr>
          <w:rFonts w:hint="eastAsia" w:ascii="宋体" w:hAnsi="宋体" w:eastAsia="宋体" w:cs="宋体"/>
          <w:b/>
          <w:bCs/>
          <w:color w:val="auto"/>
          <w:sz w:val="32"/>
          <w:szCs w:val="32"/>
          <w:highlight w:val="none"/>
        </w:rPr>
        <w:outlineLvl w:val="2"/>
      </w:pPr>
      <w:r/>
      <w:bookmarkStart w:id="50" w:name="_Toc16938519"/>
      <w:r/>
      <w:bookmarkStart w:id="51" w:name="_Toc513029203"/>
      <w:r/>
      <w:bookmarkStart w:id="52" w:name="_Toc120614214"/>
      <w:r/>
      <w:bookmarkStart w:id="53" w:name="_Toc20823275"/>
      <w:r>
        <w:rPr>
          <w:rFonts w:hint="eastAsia" w:ascii="宋体" w:hAnsi="宋体" w:eastAsia="宋体" w:cs="宋体"/>
          <w:b/>
          <w:bCs/>
          <w:color w:val="auto"/>
          <w:sz w:val="32"/>
          <w:szCs w:val="32"/>
          <w:highlight w:val="none"/>
        </w:rPr>
        <w:t xml:space="preserve">一、总则</w:t>
      </w:r>
      <w:bookmarkEnd w:id="50"/>
      <w:r/>
      <w:bookmarkEnd w:id="51"/>
      <w:r/>
      <w:bookmarkEnd w:id="52"/>
      <w:r/>
      <w:bookmarkEnd w:id="53"/>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54" w:name="_Hlt16619475"/>
      <w:r/>
      <w:bookmarkEnd w:id="54"/>
      <w:r/>
      <w:bookmarkStart w:id="55" w:name="_Toc458694821"/>
      <w:r/>
      <w:bookmarkStart w:id="56" w:name="_Toc20823276"/>
      <w:r/>
      <w:bookmarkStart w:id="57" w:name="_Toc16938520"/>
      <w:r/>
      <w:bookmarkStart w:id="58" w:name="_Toc513029204"/>
      <w:r>
        <w:rPr>
          <w:rFonts w:hint="eastAsia" w:ascii="宋体" w:hAnsi="宋体" w:eastAsia="宋体" w:cs="宋体"/>
          <w:color w:val="auto"/>
          <w:sz w:val="28"/>
          <w:szCs w:val="28"/>
          <w:highlight w:val="none"/>
        </w:rPr>
        <w:t xml:space="preserve">1</w:t>
      </w:r>
      <w:bookmarkEnd w:id="55"/>
      <w:r>
        <w:rPr>
          <w:rFonts w:hint="eastAsia" w:ascii="宋体" w:hAnsi="宋体" w:eastAsia="宋体" w:cs="宋体"/>
          <w:color w:val="auto"/>
          <w:sz w:val="28"/>
          <w:szCs w:val="28"/>
          <w:highlight w:val="none"/>
        </w:rPr>
        <w:t xml:space="preserve">、采购方式</w:t>
      </w:r>
      <w:bookmarkEnd w:id="56"/>
      <w:r/>
      <w:bookmarkEnd w:id="57"/>
      <w:r/>
      <w:bookmarkEnd w:id="58"/>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本次政府采购活动采取竞争性磋商(以下简称磋商)方式，本磋商文件仅适用于磋商公告中所述项目。</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59" w:name="_Toc20823277"/>
      <w:r/>
      <w:bookmarkStart w:id="60" w:name="_Toc16938521"/>
      <w:r/>
      <w:bookmarkStart w:id="61" w:name="_Toc513029205"/>
      <w:r>
        <w:rPr>
          <w:rFonts w:hint="eastAsia" w:ascii="宋体" w:hAnsi="宋体" w:eastAsia="宋体" w:cs="宋体"/>
          <w:color w:val="auto"/>
          <w:sz w:val="28"/>
          <w:szCs w:val="28"/>
          <w:highlight w:val="none"/>
        </w:rPr>
        <w:t xml:space="preserve">2、合格的</w:t>
      </w:r>
      <w:bookmarkEnd w:id="59"/>
      <w:r/>
      <w:bookmarkEnd w:id="60"/>
      <w:r/>
      <w:bookmarkEnd w:id="61"/>
      <w:r>
        <w:rPr>
          <w:rFonts w:hint="eastAsia" w:ascii="宋体" w:hAnsi="宋体" w:eastAsia="宋体" w:cs="宋体"/>
          <w:color w:val="auto"/>
          <w:sz w:val="28"/>
          <w:szCs w:val="28"/>
          <w:highlight w:val="none"/>
        </w:rPr>
        <w:t xml:space="preserve">供应商</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2.1满足磋商公告中供应商资格要求的规定。</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 满足本磋商文件实质性要求和条件的规定。</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62" w:name="_Toc16938522"/>
      <w:r/>
      <w:bookmarkStart w:id="63" w:name="_Toc513029206"/>
      <w:r/>
      <w:bookmarkStart w:id="64" w:name="_Toc20823278"/>
      <w:r>
        <w:rPr>
          <w:rFonts w:hint="eastAsia" w:ascii="宋体" w:hAnsi="宋体" w:eastAsia="宋体" w:cs="宋体"/>
          <w:color w:val="auto"/>
          <w:sz w:val="28"/>
          <w:szCs w:val="28"/>
          <w:highlight w:val="none"/>
        </w:rPr>
        <w:t xml:space="preserve">3、适用法律</w:t>
      </w:r>
      <w:bookmarkEnd w:id="62"/>
      <w:r/>
      <w:bookmarkEnd w:id="63"/>
      <w:r/>
      <w:bookmarkEnd w:id="64"/>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65" w:name="_Toc462564067"/>
      <w:r/>
      <w:bookmarkStart w:id="66" w:name="_Toc20823279"/>
      <w:r/>
      <w:bookmarkStart w:id="67" w:name="_Toc513029207"/>
      <w:r/>
      <w:bookmarkStart w:id="68" w:name="_Toc16938523"/>
      <w:r>
        <w:rPr>
          <w:rFonts w:hint="eastAsia" w:ascii="宋体" w:hAnsi="宋体" w:eastAsia="宋体" w:cs="宋体"/>
          <w:color w:val="auto"/>
          <w:sz w:val="28"/>
          <w:szCs w:val="28"/>
          <w:highlight w:val="none"/>
        </w:rPr>
        <w:t xml:space="preserve">4、磋商费用</w:t>
      </w:r>
      <w:bookmarkEnd w:id="65"/>
      <w:r/>
      <w:bookmarkEnd w:id="66"/>
      <w:r/>
      <w:bookmarkEnd w:id="67"/>
      <w:r/>
      <w:bookmarkEnd w:id="68"/>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4.2代理费用收取方式及标准：按以下第</w:t>
      </w:r>
      <w:r>
        <w:rPr>
          <w:rFonts w:hint="eastAsia" w:ascii="宋体" w:hAnsi="宋体" w:eastAsia="宋体" w:cs="宋体"/>
          <w:color w:val="auto"/>
          <w:sz w:val="24"/>
          <w:szCs w:val="21"/>
          <w:highlight w:val="none"/>
          <w:u w:val="single"/>
          <w:lang w:val="en-US" w:eastAsia="zh-CN"/>
        </w:rPr>
        <w:t xml:space="preserve">4.2.2</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种方式执行</w:t>
      </w:r>
      <w:r/>
    </w:p>
    <w:p>
      <w:pPr>
        <w:ind w:firstLine="480"/>
        <w:pageBreakBefore w:val="0"/>
        <w:spacing w:line="56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4.2.1无需支付；</w:t>
      </w:r>
      <w:r/>
    </w:p>
    <w:p>
      <w:pPr>
        <w:ind w:firstLine="480"/>
        <w:pageBreakBefore w:val="0"/>
        <w:spacing w:line="56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zh-CN"/>
        </w:rPr>
        <w:t xml:space="preserve">4.2.2采购人支付，具体方式及标准为：</w:t>
      </w:r>
      <w:r>
        <w:rPr>
          <w:rFonts w:hint="eastAsia" w:ascii="宋体" w:hAnsi="宋体" w:eastAsia="宋体" w:cs="宋体"/>
          <w:color w:val="auto"/>
          <w:sz w:val="24"/>
          <w:szCs w:val="21"/>
          <w:highlight w:val="none"/>
          <w:u w:val="single"/>
          <w:lang w:val="zh-CN" w:eastAsia="zh-CN"/>
        </w:rPr>
        <w:t xml:space="preserve">按国家计委计价格[2002]1980号收费标准*</w:t>
      </w:r>
      <w:r>
        <w:rPr>
          <w:rFonts w:hint="eastAsia" w:ascii="宋体" w:hAnsi="宋体" w:eastAsia="宋体" w:cs="宋体"/>
          <w:color w:val="auto"/>
          <w:sz w:val="24"/>
          <w:szCs w:val="21"/>
          <w:highlight w:val="none"/>
          <w:u w:val="single"/>
          <w:lang w:val="en-US" w:eastAsia="zh-CN"/>
        </w:rPr>
        <w:t xml:space="preserve">60</w:t>
      </w:r>
      <w:r>
        <w:rPr>
          <w:rFonts w:hint="eastAsia" w:ascii="宋体" w:hAnsi="宋体" w:eastAsia="宋体" w:cs="宋体"/>
          <w:color w:val="auto"/>
          <w:sz w:val="24"/>
          <w:szCs w:val="21"/>
          <w:highlight w:val="none"/>
          <w:u w:val="single"/>
          <w:lang w:val="zh-CN" w:eastAsia="zh-CN"/>
        </w:rPr>
        <w:t xml:space="preserve">%支付招标代理服务费，</w:t>
      </w:r>
      <w:r>
        <w:rPr>
          <w:rFonts w:hint="eastAsia" w:ascii="宋体" w:hAnsi="宋体" w:eastAsia="宋体" w:cs="宋体"/>
          <w:color w:val="auto"/>
          <w:sz w:val="24"/>
          <w:szCs w:val="21"/>
          <w:highlight w:val="none"/>
          <w:u w:val="single"/>
          <w:lang w:val="en-US" w:eastAsia="zh-CN"/>
        </w:rPr>
        <w:t xml:space="preserve">评审费按实支付，可使用数字人民币支付。</w:t>
      </w:r>
      <w:r>
        <w:rPr>
          <w:rFonts w:hint="eastAsia" w:ascii="宋体" w:hAnsi="宋体" w:eastAsia="宋体" w:cs="宋体"/>
          <w:color w:val="auto"/>
          <w:sz w:val="24"/>
          <w:szCs w:val="21"/>
          <w:highlight w:val="none"/>
          <w:lang w:val="en-US" w:eastAsia="zh-CN"/>
        </w:rPr>
        <w:t xml:space="preserve">             </w:t>
      </w:r>
      <w:r/>
    </w:p>
    <w:p>
      <w:pPr>
        <w:ind w:firstLine="602"/>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磋商文件的约束力</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321"/>
        <w:keepLines/>
        <w:keepNext/>
        <w:pageBreakBefore w:val="0"/>
        <w:spacing w:line="560" w:lineRule="exact"/>
        <w:widowControl w:val="off"/>
        <w:rPr>
          <w:rFonts w:hint="eastAsia" w:ascii="宋体" w:hAnsi="宋体" w:eastAsia="宋体" w:cs="宋体"/>
          <w:b/>
          <w:bCs/>
          <w:color w:val="auto"/>
          <w:sz w:val="32"/>
          <w:szCs w:val="32"/>
          <w:highlight w:val="none"/>
        </w:rPr>
        <w:outlineLvl w:val="2"/>
      </w:pPr>
      <w:r/>
      <w:bookmarkStart w:id="69" w:name="_Toc16938525"/>
      <w:r/>
      <w:bookmarkStart w:id="70" w:name="_Toc120614215"/>
      <w:r/>
      <w:bookmarkStart w:id="71" w:name="_Toc513029209"/>
      <w:r/>
      <w:bookmarkStart w:id="72" w:name="_Toc20823281"/>
      <w:r>
        <w:rPr>
          <w:rFonts w:hint="eastAsia" w:ascii="宋体" w:hAnsi="宋体" w:eastAsia="宋体" w:cs="宋体"/>
          <w:b/>
          <w:bCs/>
          <w:color w:val="auto"/>
          <w:sz w:val="32"/>
          <w:szCs w:val="32"/>
          <w:highlight w:val="none"/>
        </w:rPr>
        <w:t xml:space="preserve">二、</w:t>
      </w:r>
      <w:bookmarkEnd w:id="69"/>
      <w:r/>
      <w:bookmarkEnd w:id="70"/>
      <w:r/>
      <w:bookmarkEnd w:id="71"/>
      <w:r/>
      <w:bookmarkEnd w:id="72"/>
      <w:r>
        <w:rPr>
          <w:rFonts w:hint="eastAsia" w:ascii="宋体" w:hAnsi="宋体" w:eastAsia="宋体" w:cs="宋体"/>
          <w:b/>
          <w:bCs/>
          <w:color w:val="auto"/>
          <w:sz w:val="32"/>
          <w:szCs w:val="32"/>
          <w:highlight w:val="none"/>
        </w:rPr>
        <w:t xml:space="preserve">磋商文件</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73" w:name="_Toc16938526"/>
      <w:r/>
      <w:bookmarkStart w:id="74" w:name="_Toc513029210"/>
      <w:r/>
      <w:bookmarkStart w:id="75" w:name="_Toc20823282"/>
      <w:r>
        <w:rPr>
          <w:rFonts w:hint="eastAsia" w:ascii="宋体" w:hAnsi="宋体" w:eastAsia="宋体" w:cs="宋体"/>
          <w:color w:val="auto"/>
          <w:sz w:val="28"/>
          <w:szCs w:val="28"/>
          <w:highlight w:val="none"/>
        </w:rPr>
        <w:t xml:space="preserve">6、磋商文件构成</w:t>
      </w:r>
      <w:bookmarkEnd w:id="73"/>
      <w:r/>
      <w:bookmarkEnd w:id="74"/>
      <w:r/>
      <w:bookmarkEnd w:id="75"/>
      <w:r/>
      <w:r/>
    </w:p>
    <w:p>
      <w:pPr>
        <w:ind w:firstLine="480"/>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6.1磋商文件由以下部分组成：</w:t>
      </w:r>
      <w:r/>
    </w:p>
    <w:p>
      <w:pPr>
        <w:ind w:firstLine="480"/>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（1）磋商邀请</w:t>
      </w:r>
      <w:r/>
    </w:p>
    <w:p>
      <w:pPr>
        <w:ind w:firstLine="480"/>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（2）供应商须知</w:t>
      </w:r>
      <w:r/>
    </w:p>
    <w:p>
      <w:pPr>
        <w:ind w:firstLine="480"/>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（3）合同文本</w:t>
      </w:r>
      <w:r/>
    </w:p>
    <w:p>
      <w:pPr>
        <w:ind w:firstLine="480"/>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（4）采购需求</w:t>
      </w:r>
      <w:r/>
    </w:p>
    <w:p>
      <w:pPr>
        <w:ind w:firstLine="480"/>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（5）评审方法与评审标准</w:t>
      </w:r>
      <w:r/>
    </w:p>
    <w:p>
      <w:pPr>
        <w:ind w:firstLine="480"/>
        <w:pageBreakBefore w:val="0"/>
        <w:spacing w:line="5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（6）响应文件格式</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请仔细检查磋商文件是否齐全，如有缺漏请立即与采购代理机构联系解决。</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76" w:name="_Toc462564070"/>
      <w:r/>
      <w:bookmarkStart w:id="77" w:name="_Toc513029211"/>
      <w:r/>
      <w:bookmarkStart w:id="78" w:name="_Toc20823283"/>
      <w:r/>
      <w:bookmarkStart w:id="79" w:name="_Toc16938527"/>
      <w:r>
        <w:rPr>
          <w:rFonts w:hint="eastAsia" w:ascii="宋体" w:hAnsi="宋体" w:eastAsia="宋体" w:cs="宋体"/>
          <w:color w:val="auto"/>
          <w:sz w:val="28"/>
          <w:szCs w:val="28"/>
          <w:highlight w:val="none"/>
        </w:rPr>
        <w:t xml:space="preserve">7、磋商文件的澄清</w:t>
      </w:r>
      <w:bookmarkEnd w:id="76"/>
      <w:r/>
      <w:bookmarkEnd w:id="77"/>
      <w:r/>
      <w:bookmarkEnd w:id="78"/>
      <w:r/>
      <w:bookmarkEnd w:id="79"/>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按磋商公告中的通讯地址，以书面形式通知采购代理机构。</w:t>
      </w:r>
      <w:r/>
    </w:p>
    <w:p>
      <w:pPr>
        <w:ind w:firstLine="56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80" w:name="_Toc513029212"/>
      <w:r/>
      <w:bookmarkStart w:id="81" w:name="_Toc16938528"/>
      <w:r/>
      <w:bookmarkStart w:id="82" w:name="_Toc20823284"/>
      <w:r/>
      <w:bookmarkStart w:id="83" w:name="_Toc462564071"/>
      <w:r>
        <w:rPr>
          <w:rFonts w:hint="eastAsia" w:ascii="宋体" w:hAnsi="宋体" w:eastAsia="宋体" w:cs="宋体"/>
          <w:color w:val="auto"/>
          <w:sz w:val="28"/>
          <w:szCs w:val="28"/>
          <w:highlight w:val="none"/>
        </w:rPr>
        <w:t xml:space="preserve">8、磋商文件的澄清和修改</w:t>
      </w:r>
      <w:bookmarkEnd w:id="80"/>
      <w:r/>
      <w:bookmarkEnd w:id="81"/>
      <w:r/>
      <w:bookmarkEnd w:id="82"/>
      <w:r/>
      <w:bookmarkEnd w:id="83"/>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auto"/>
          <w:sz w:val="24"/>
          <w:szCs w:val="21"/>
          <w:highlight w:val="none"/>
        </w:rPr>
        <w:t xml:space="preserve">提交首次响应文件截止时间</w:t>
      </w:r>
      <w:r>
        <w:rPr>
          <w:rFonts w:hint="eastAsia" w:ascii="宋体" w:hAnsi="宋体" w:eastAsia="宋体" w:cs="宋体"/>
          <w:bCs/>
          <w:color w:val="auto"/>
          <w:sz w:val="24"/>
          <w:highlight w:val="none"/>
        </w:rPr>
        <w:t xml:space="preserve">至少5日前发出；不足5日的，采购代理机构应当顺延</w:t>
      </w:r>
      <w:r>
        <w:rPr>
          <w:rFonts w:hint="eastAsia" w:ascii="宋体" w:hAnsi="宋体" w:eastAsia="宋体" w:cs="宋体"/>
          <w:color w:val="auto"/>
          <w:sz w:val="24"/>
          <w:szCs w:val="21"/>
          <w:highlight w:val="none"/>
        </w:rPr>
        <w:t xml:space="preserve">提交首次响应文件截止时间</w:t>
      </w:r>
      <w:r>
        <w:rPr>
          <w:rFonts w:hint="eastAsia" w:ascii="宋体" w:hAnsi="宋体" w:eastAsia="宋体" w:cs="宋体"/>
          <w:bCs/>
          <w:color w:val="auto"/>
          <w:sz w:val="24"/>
          <w:highlight w:val="none"/>
        </w:rPr>
        <w:t xml:space="preserve">。</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8.2</w:t>
      </w:r>
      <w:r>
        <w:rPr>
          <w:rFonts w:hint="eastAsia" w:ascii="宋体" w:hAnsi="宋体" w:eastAsia="宋体" w:cs="宋体"/>
          <w:color w:val="auto"/>
          <w:sz w:val="24"/>
          <w:szCs w:val="21"/>
          <w:highlight w:val="none"/>
        </w:rPr>
        <w:t xml:space="preserve">在响应文件提交截止时间前</w:t>
      </w:r>
      <w:r>
        <w:rPr>
          <w:rFonts w:hint="eastAsia" w:ascii="宋体" w:hAnsi="宋体" w:eastAsia="宋体" w:cs="宋体"/>
          <w:bCs/>
          <w:color w:val="auto"/>
          <w:sz w:val="24"/>
          <w:highlight w:val="none"/>
        </w:rPr>
        <w:t xml:space="preserve">，采购代理机构可以对磋商文件进行修改。</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8.3采购代理机构有权按照法定的要求推迟响应文件递交截止日期和磋商日期。</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8.4磋商文件的修改将在原公告媒体上发布更正公告，</w:t>
      </w:r>
      <w:r>
        <w:rPr>
          <w:rFonts w:hint="eastAsia" w:ascii="宋体" w:hAnsi="宋体" w:eastAsia="宋体" w:cs="宋体"/>
          <w:color w:val="auto"/>
          <w:sz w:val="24"/>
          <w:szCs w:val="21"/>
          <w:highlight w:val="none"/>
        </w:rPr>
        <w:t xml:space="preserve">更正公告内容将作为磋商文件的组成部分</w:t>
      </w:r>
      <w:r>
        <w:rPr>
          <w:rFonts w:hint="eastAsia" w:ascii="宋体" w:hAnsi="宋体" w:eastAsia="宋体" w:cs="宋体"/>
          <w:bCs/>
          <w:color w:val="auto"/>
          <w:sz w:val="24"/>
          <w:highlight w:val="none"/>
        </w:rPr>
        <w:t xml:space="preserve">，并对供应商具有约束力，发布的更正公告视同为以书面形式通知所有获取招标文件的潜在投标人。</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pageBreakBefore w:val="0"/>
        <w:spacing w:line="560" w:lineRule="exact"/>
        <w:widowControl w:val="off"/>
        <w:rPr>
          <w:rFonts w:hint="eastAsia" w:ascii="宋体" w:hAnsi="宋体" w:eastAsia="宋体" w:cs="宋体"/>
          <w:b/>
          <w:bCs/>
          <w:color w:val="auto"/>
          <w:sz w:val="32"/>
          <w:szCs w:val="32"/>
          <w:highlight w:val="none"/>
        </w:rPr>
        <w:outlineLvl w:val="2"/>
      </w:pPr>
      <w:r/>
      <w:bookmarkStart w:id="84" w:name="_Toc462564072"/>
      <w:r/>
      <w:bookmarkStart w:id="85" w:name="_Toc513029213"/>
      <w:r/>
      <w:bookmarkStart w:id="86" w:name="_Toc20823285"/>
      <w:r/>
      <w:bookmarkStart w:id="87" w:name="_Toc16938529"/>
      <w:r/>
      <w:bookmarkStart w:id="88" w:name="_Toc120614216"/>
      <w:r>
        <w:rPr>
          <w:rFonts w:hint="eastAsia" w:ascii="宋体" w:hAnsi="宋体" w:eastAsia="宋体" w:cs="宋体"/>
          <w:b/>
          <w:bCs/>
          <w:color w:val="auto"/>
          <w:sz w:val="32"/>
          <w:szCs w:val="32"/>
          <w:highlight w:val="none"/>
        </w:rPr>
        <w:t xml:space="preserve">三、响应文件的编制</w:t>
      </w:r>
      <w:bookmarkEnd w:id="84"/>
      <w:r/>
      <w:bookmarkEnd w:id="85"/>
      <w:r/>
      <w:bookmarkEnd w:id="86"/>
      <w:r/>
      <w:bookmarkEnd w:id="87"/>
      <w:r/>
      <w:bookmarkEnd w:id="88"/>
      <w:r/>
      <w:r/>
    </w:p>
    <w:p>
      <w:pPr>
        <w:ind w:firstLine="560"/>
        <w:keepLines/>
        <w:keepNext/>
        <w:pageBreakBefore w:val="0"/>
        <w:spacing w:line="560" w:lineRule="exact"/>
        <w:widowControl w:val="off"/>
        <w:rPr>
          <w:rFonts w:hint="eastAsia" w:ascii="宋体" w:hAnsi="宋体" w:eastAsia="宋体" w:cs="宋体"/>
          <w:b/>
          <w:color w:val="auto"/>
          <w:sz w:val="28"/>
          <w:szCs w:val="28"/>
          <w:highlight w:val="none"/>
        </w:rPr>
        <w:outlineLvl w:val="3"/>
      </w:pPr>
      <w:r/>
      <w:bookmarkStart w:id="89" w:name="_Toc16938530"/>
      <w:r/>
      <w:bookmarkStart w:id="90" w:name="_Toc513029214"/>
      <w:r/>
      <w:bookmarkStart w:id="91" w:name="_Toc20823286"/>
      <w:r/>
      <w:bookmarkStart w:id="92" w:name="_Toc462564073"/>
      <w:r>
        <w:rPr>
          <w:rFonts w:hint="eastAsia" w:ascii="宋体" w:hAnsi="宋体" w:eastAsia="宋体" w:cs="宋体"/>
          <w:color w:val="auto"/>
          <w:sz w:val="28"/>
          <w:szCs w:val="28"/>
          <w:highlight w:val="none"/>
        </w:rPr>
        <w:t xml:space="preserve">9、响应文件的语言及度量衡单位</w:t>
      </w:r>
      <w:bookmarkEnd w:id="89"/>
      <w:r/>
      <w:bookmarkEnd w:id="90"/>
      <w:r/>
      <w:bookmarkEnd w:id="91"/>
      <w:r/>
      <w:bookmarkEnd w:id="92"/>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供应商提交的响应文件以及供应商与采购代理机构就有关磋商的所有来往通知、函件和文件均应使用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93" w:name="_Toc20823287"/>
      <w:r/>
      <w:bookmarkStart w:id="94" w:name="_Toc16938531"/>
      <w:r/>
      <w:bookmarkStart w:id="95" w:name="_Toc513029215"/>
      <w:r/>
      <w:bookmarkStart w:id="96" w:name="_Toc462564074"/>
      <w:r>
        <w:rPr>
          <w:rFonts w:hint="eastAsia" w:ascii="宋体" w:hAnsi="宋体" w:eastAsia="宋体" w:cs="宋体"/>
          <w:color w:val="auto"/>
          <w:sz w:val="28"/>
          <w:szCs w:val="28"/>
          <w:highlight w:val="none"/>
        </w:rPr>
        <w:t xml:space="preserve">10、响应文件构成</w:t>
      </w:r>
      <w:bookmarkEnd w:id="93"/>
      <w:r/>
      <w:bookmarkEnd w:id="94"/>
      <w:r/>
      <w:bookmarkEnd w:id="95"/>
      <w:r/>
      <w:bookmarkEnd w:id="96"/>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lang w:val="zh-CN"/>
        </w:rPr>
        <w:t xml:space="preserve">各供应商在编制</w:t>
      </w:r>
      <w:r>
        <w:rPr>
          <w:rFonts w:hint="eastAsia" w:ascii="宋体" w:hAnsi="宋体" w:eastAsia="宋体" w:cs="宋体"/>
          <w:bCs/>
          <w:color w:val="auto"/>
          <w:sz w:val="24"/>
          <w:highlight w:val="none"/>
        </w:rPr>
        <w:t xml:space="preserve">响应文件</w:t>
      </w:r>
      <w:r>
        <w:rPr>
          <w:rFonts w:hint="eastAsia" w:ascii="宋体" w:hAnsi="宋体" w:eastAsia="宋体" w:cs="宋体"/>
          <w:bCs/>
          <w:color w:val="auto"/>
          <w:sz w:val="24"/>
          <w:highlight w:val="none"/>
          <w:lang w:val="zh-CN"/>
        </w:rPr>
        <w:t xml:space="preserve">时请按照磋商文件第六</w:t>
      </w:r>
      <w:r>
        <w:rPr>
          <w:rFonts w:hint="eastAsia" w:ascii="宋体" w:hAnsi="宋体" w:eastAsia="宋体" w:cs="宋体"/>
          <w:bCs/>
          <w:color w:val="auto"/>
          <w:sz w:val="24"/>
          <w:highlight w:val="none"/>
        </w:rPr>
        <w:t xml:space="preserve">章</w:t>
      </w:r>
      <w:r>
        <w:rPr>
          <w:rFonts w:hint="eastAsia" w:ascii="宋体" w:hAnsi="宋体" w:eastAsia="宋体" w:cs="宋体"/>
          <w:bCs/>
          <w:color w:val="auto"/>
          <w:sz w:val="24"/>
          <w:highlight w:val="none"/>
          <w:lang w:val="zh-CN"/>
        </w:rPr>
        <w:t xml:space="preserve">规定的格式进行，混乱的编排导致</w:t>
      </w:r>
      <w:r>
        <w:rPr>
          <w:rFonts w:hint="eastAsia" w:ascii="宋体" w:hAnsi="宋体" w:eastAsia="宋体" w:cs="宋体"/>
          <w:bCs/>
          <w:color w:val="auto"/>
          <w:sz w:val="24"/>
          <w:highlight w:val="none"/>
        </w:rPr>
        <w:t xml:space="preserve">响应</w:t>
      </w:r>
      <w:r>
        <w:rPr>
          <w:rFonts w:hint="eastAsia" w:ascii="宋体" w:hAnsi="宋体" w:eastAsia="宋体" w:cs="宋体"/>
          <w:bCs/>
          <w:color w:val="auto"/>
          <w:sz w:val="24"/>
          <w:highlight w:val="none"/>
          <w:lang w:val="zh-CN"/>
        </w:rPr>
        <w:t xml:space="preserve">文件被误读或磋商小组查找不到有效文件是供应商的风险。</w:t>
      </w:r>
      <w:r/>
    </w:p>
    <w:p>
      <w:pPr>
        <w:ind w:firstLine="48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10.2</w:t>
      </w:r>
      <w:r>
        <w:rPr>
          <w:rFonts w:hint="eastAsia" w:ascii="宋体" w:hAnsi="宋体" w:eastAsia="宋体" w:cs="宋体"/>
          <w:color w:val="auto"/>
          <w:sz w:val="24"/>
          <w:highlight w:val="none"/>
        </w:rPr>
        <w:t xml:space="preserve">供应商编写的响应文件应包括资格证明文件、分项报价表、响应及偏离表、其他证明文件、磋商申请及声明函、开标一览表等部分。</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10.3响应文件须加盖电子签章之处，应按要求加盖</w:t>
      </w:r>
      <w:r>
        <w:rPr>
          <w:rFonts w:hint="eastAsia" w:ascii="宋体" w:hAnsi="宋体" w:eastAsia="宋体" w:cs="宋体"/>
          <w:bCs/>
          <w:color w:val="auto"/>
          <w:sz w:val="24"/>
          <w:highlight w:val="none"/>
          <w:lang w:val="zh-CN"/>
        </w:rPr>
        <w:t xml:space="preserve">供应商</w:t>
      </w:r>
      <w:r>
        <w:rPr>
          <w:rFonts w:hint="eastAsia" w:ascii="宋体" w:hAnsi="宋体" w:eastAsia="宋体" w:cs="宋体"/>
          <w:bCs/>
          <w:color w:val="auto"/>
          <w:sz w:val="24"/>
          <w:highlight w:val="none"/>
        </w:rPr>
        <w:t xml:space="preserve">数字证书的电子签章。其他需要盖章但未明确要求电子签章的，</w:t>
      </w:r>
      <w:r>
        <w:rPr>
          <w:rFonts w:hint="eastAsia" w:ascii="宋体" w:hAnsi="宋体" w:eastAsia="宋体" w:cs="宋体"/>
          <w:bCs/>
          <w:color w:val="auto"/>
          <w:sz w:val="24"/>
          <w:highlight w:val="none"/>
          <w:lang w:val="zh-CN"/>
        </w:rPr>
        <w:t xml:space="preserve">供应商</w:t>
      </w:r>
      <w:r>
        <w:rPr>
          <w:rFonts w:hint="eastAsia" w:ascii="宋体" w:hAnsi="宋体" w:eastAsia="宋体" w:cs="宋体"/>
          <w:bCs/>
          <w:color w:val="auto"/>
          <w:sz w:val="24"/>
          <w:highlight w:val="none"/>
        </w:rPr>
        <w:t xml:space="preserve">可按要求加盖公章后上传材料电子件或直接加盖电子签章。 </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10.4本项目通过“苏采云”系统进行电子招标投标，即</w:t>
      </w:r>
      <w:r>
        <w:rPr>
          <w:rFonts w:hint="eastAsia" w:ascii="宋体" w:hAnsi="宋体" w:eastAsia="宋体" w:cs="宋体"/>
          <w:bCs/>
          <w:color w:val="auto"/>
          <w:sz w:val="24"/>
          <w:highlight w:val="none"/>
          <w:lang w:val="zh-CN"/>
        </w:rPr>
        <w:t xml:space="preserve">供应商</w:t>
      </w:r>
      <w:r>
        <w:rPr>
          <w:rFonts w:hint="eastAsia" w:ascii="宋体" w:hAnsi="宋体" w:eastAsia="宋体" w:cs="宋体"/>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auto"/>
          <w:sz w:val="24"/>
          <w:highlight w:val="none"/>
          <w:lang w:val="zh-CN"/>
        </w:rPr>
        <w:t xml:space="preserve">供应商</w:t>
      </w:r>
      <w:r>
        <w:rPr>
          <w:rFonts w:hint="eastAsia" w:ascii="宋体" w:hAnsi="宋体" w:eastAsia="宋体" w:cs="宋体"/>
          <w:bCs/>
          <w:color w:val="auto"/>
          <w:sz w:val="24"/>
          <w:highlight w:val="none"/>
        </w:rPr>
        <w:t xml:space="preserve">，按照无效响应处理(因“苏采云”系统导致解密失败的除外)。</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10.5如标书制作工具中格式和内容与“宿迁市政府采购网”发布的磋商文件不一致，请以“宿迁市政府采购网”发布的磋商文件为准。</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10.6成交后按相关要求提供与电子响应文件一致的纸质打印响应文件2份。 </w:t>
      </w:r>
      <w:r/>
    </w:p>
    <w:p>
      <w:pPr>
        <w:ind w:firstLine="480"/>
        <w:pageBreakBefore w:val="0"/>
        <w:spacing w:line="560" w:lineRule="exact"/>
        <w:widowControl w:val="off"/>
        <w:rPr>
          <w:rFonts w:hint="eastAsia" w:ascii="宋体" w:hAnsi="宋体" w:eastAsia="宋体" w:cs="宋体"/>
          <w:color w:val="auto"/>
          <w:sz w:val="24"/>
          <w:highlight w:val="none"/>
        </w:rPr>
      </w:pPr>
      <w:r/>
      <w:bookmarkStart w:id="97" w:name="EBc50e2bb832bb43068403b10c1cce6141"/>
      <w:r>
        <w:rPr>
          <w:rFonts w:hint="eastAsia" w:ascii="宋体" w:hAnsi="宋体" w:eastAsia="宋体" w:cs="宋体"/>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7"/>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98" w:name="_Hlt26954838"/>
      <w:r/>
      <w:bookmarkEnd w:id="98"/>
      <w:r/>
      <w:bookmarkStart w:id="99" w:name="_Hlt26670360"/>
      <w:r/>
      <w:bookmarkEnd w:id="99"/>
      <w:r/>
      <w:bookmarkStart w:id="100" w:name="_Hlt26668975"/>
      <w:r/>
      <w:bookmarkEnd w:id="100"/>
      <w:r/>
      <w:bookmarkStart w:id="101" w:name="_Toc513029219"/>
      <w:r/>
      <w:bookmarkStart w:id="102" w:name="_Toc14577357"/>
      <w:r/>
      <w:bookmarkStart w:id="103" w:name="_Toc49090507"/>
      <w:r/>
      <w:bookmarkStart w:id="104" w:name="_Toc14577354"/>
      <w:r/>
      <w:bookmarkStart w:id="105" w:name="_Toc513029216"/>
      <w:r/>
      <w:bookmarkStart w:id="106" w:name="_Toc49090509"/>
      <w:r/>
      <w:bookmarkStart w:id="107" w:name="_Toc49090508"/>
      <w:r/>
      <w:bookmarkStart w:id="108" w:name="_Toc14577355"/>
      <w:r>
        <w:rPr>
          <w:rFonts w:hint="eastAsia" w:ascii="宋体" w:hAnsi="宋体" w:eastAsia="宋体" w:cs="宋体"/>
          <w:color w:val="auto"/>
          <w:sz w:val="28"/>
          <w:szCs w:val="28"/>
          <w:highlight w:val="none"/>
        </w:rPr>
        <w:t xml:space="preserve">11、证明磋商响应标的符合磋商文件规定的文件</w:t>
      </w:r>
      <w:bookmarkEnd w:id="101"/>
      <w:r/>
      <w:bookmarkEnd w:id="102"/>
      <w:r/>
      <w:bookmarkEnd w:id="103"/>
      <w:r/>
      <w:bookmarkEnd w:id="104"/>
      <w:r/>
      <w:bookmarkEnd w:id="105"/>
      <w:r/>
      <w:bookmarkEnd w:id="106"/>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07"/>
      <w:r/>
      <w:bookmarkEnd w:id="108"/>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12、分项报价表</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供应商应按照磋商文件规定格式填报分项报价表。</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磋商货币。响应文件中的单价和总价无特殊规定的采用人民币报价，以元为单位标注。</w:t>
      </w:r>
      <w:r>
        <w:rPr>
          <w:rFonts w:hint="eastAsia" w:ascii="宋体" w:hAnsi="宋体" w:eastAsia="宋体" w:cs="宋体"/>
          <w:color w:val="auto"/>
          <w:sz w:val="24"/>
          <w:szCs w:val="21"/>
          <w:highlight w:val="none"/>
        </w:rPr>
        <w:t xml:space="preserve">磋商文件中另有规定的按规定执行。</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highlight w:val="none"/>
        </w:rPr>
        <w:t xml:space="preserve">12.</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本项目不接受备选的投标方案或有选择的报价，只允许有一个报价。供应商响应文件中的报价作为首次报价，不公开；以最后报价作为评审价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投标报价内容包括：服务本身、服务费、税率、人工及车辆费用及服务交付使用过程中涉及到的其他一切费用。</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09" w:name="_Hlt26954731"/>
      <w:r/>
      <w:bookmarkEnd w:id="109"/>
      <w:r/>
      <w:bookmarkStart w:id="110" w:name="_Hlt26954848"/>
      <w:r/>
      <w:bookmarkEnd w:id="110"/>
      <w:r/>
      <w:bookmarkStart w:id="111" w:name="_Hlt26670486"/>
      <w:r/>
      <w:bookmarkEnd w:id="111"/>
      <w:r/>
      <w:bookmarkStart w:id="112" w:name="_Hlt26954846"/>
      <w:r/>
      <w:bookmarkEnd w:id="112"/>
      <w:r/>
      <w:bookmarkStart w:id="113" w:name="_Hlt26670482"/>
      <w:r/>
      <w:bookmarkEnd w:id="113"/>
      <w:r>
        <w:rPr>
          <w:rFonts w:hint="eastAsia" w:ascii="宋体" w:hAnsi="宋体" w:eastAsia="宋体" w:cs="宋体"/>
          <w:color w:val="auto"/>
          <w:sz w:val="28"/>
          <w:szCs w:val="28"/>
          <w:highlight w:val="none"/>
        </w:rPr>
        <w:t xml:space="preserve">13、技术要求响应及偏离表、商务要求响应及偏离表</w:t>
      </w:r>
      <w:r/>
    </w:p>
    <w:p>
      <w:pPr>
        <w:ind w:firstLine="480"/>
        <w:pageBreakBefore w:val="0"/>
        <w:spacing w:line="56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w:t>
      </w:r>
      <w:r>
        <w:rPr>
          <w:rFonts w:hint="eastAsia" w:ascii="宋体" w:hAnsi="宋体" w:eastAsia="宋体" w:cs="宋体"/>
          <w:color w:val="auto"/>
          <w:sz w:val="24"/>
          <w:szCs w:val="21"/>
          <w:highlight w:val="none"/>
          <w:lang w:val="zh-CN"/>
        </w:rPr>
        <w:t xml:space="preserve">供应商需对磋商文件中的技术要求与商务要求逐项作出响应或偏离，并说明原因。</w:t>
      </w:r>
      <w:r/>
    </w:p>
    <w:p>
      <w:pPr>
        <w:ind w:firstLine="480"/>
        <w:pageBreakBefore w:val="0"/>
        <w:spacing w:line="56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13.2供应商可在响应文件中提供认为需要的其他技术文件或说明。</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14、服务承诺、培训计划、人员安排及其他</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w:t>
      </w:r>
      <w:r>
        <w:rPr>
          <w:rFonts w:hint="eastAsia" w:ascii="宋体" w:hAnsi="宋体" w:eastAsia="宋体" w:cs="宋体"/>
          <w:color w:val="auto"/>
          <w:sz w:val="24"/>
          <w:szCs w:val="21"/>
          <w:highlight w:val="none"/>
          <w:lang w:val="zh-CN"/>
        </w:rPr>
        <w:t xml:space="preserve">磋商响应标的的主要组成部分、功能设计、实现思路及关键技术等。</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14" w:name="_Toc49090510"/>
      <w:r/>
      <w:bookmarkStart w:id="115" w:name="_Toc14577359"/>
      <w:r>
        <w:rPr>
          <w:rFonts w:hint="eastAsia" w:ascii="宋体" w:hAnsi="宋体" w:eastAsia="宋体" w:cs="宋体"/>
          <w:color w:val="auto"/>
          <w:sz w:val="28"/>
          <w:szCs w:val="28"/>
          <w:highlight w:val="none"/>
        </w:rPr>
        <w:t xml:space="preserve">15、磋商响应函</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供应商应按照磋商文件中提供的格式完整、正确填写磋商响应函。</w:t>
      </w:r>
      <w:bookmarkEnd w:id="114"/>
      <w:r/>
      <w:bookmarkEnd w:id="115"/>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16" w:name="_Toc14577360"/>
      <w:r/>
      <w:bookmarkStart w:id="117" w:name="_Toc49090511"/>
      <w:r>
        <w:rPr>
          <w:rFonts w:hint="eastAsia" w:ascii="宋体" w:hAnsi="宋体" w:eastAsia="宋体" w:cs="宋体"/>
          <w:color w:val="auto"/>
          <w:sz w:val="28"/>
          <w:szCs w:val="28"/>
          <w:highlight w:val="none"/>
        </w:rPr>
        <w:t xml:space="preserve">16、磋商有效期</w:t>
      </w:r>
      <w:bookmarkEnd w:id="116"/>
      <w:r/>
      <w:bookmarkEnd w:id="117"/>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16.1磋商有效期为提交响应文件截止之日后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17、磋商有效期的延长</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w:t>
      </w:r>
      <w:r>
        <w:rPr>
          <w:rFonts w:hint="eastAsia" w:ascii="宋体" w:hAnsi="宋体" w:eastAsia="宋体" w:cs="宋体"/>
          <w:color w:val="auto"/>
          <w:sz w:val="24"/>
          <w:szCs w:val="21"/>
          <w:highlight w:val="none"/>
        </w:rPr>
        <w:t xml:space="preserve">采购代理机构</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1"/>
          <w:highlight w:val="none"/>
        </w:rPr>
        <w:t xml:space="preserve">采购代理机构</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17.2</w:t>
      </w:r>
      <w:r>
        <w:rPr>
          <w:rFonts w:hint="eastAsia" w:ascii="宋体" w:hAnsi="宋体" w:eastAsia="宋体" w:cs="宋体"/>
          <w:color w:val="auto"/>
          <w:sz w:val="24"/>
          <w:highlight w:val="none"/>
        </w:rPr>
        <w:t xml:space="preserve">成交人的响应文件作为项目合同的附件，其有效期至成交人全部合同义务履行完毕为止。</w:t>
      </w:r>
      <w:r/>
    </w:p>
    <w:p>
      <w:pPr>
        <w:ind w:firstLine="482"/>
        <w:keepLines/>
        <w:keepNext/>
        <w:pageBreakBefore w:val="0"/>
        <w:spacing w:line="560" w:lineRule="exact"/>
        <w:widowControl w:val="off"/>
        <w:rPr>
          <w:rFonts w:hint="eastAsia" w:ascii="宋体" w:hAnsi="宋体" w:eastAsia="宋体" w:cs="宋体"/>
          <w:b/>
          <w:bCs/>
          <w:color w:val="auto"/>
          <w:sz w:val="32"/>
          <w:szCs w:val="32"/>
          <w:highlight w:val="none"/>
        </w:rPr>
        <w:outlineLvl w:val="2"/>
      </w:pPr>
      <w:r/>
      <w:bookmarkStart w:id="118" w:name="_Hlt26954739"/>
      <w:r/>
      <w:bookmarkEnd w:id="118"/>
      <w:r/>
      <w:bookmarkStart w:id="119" w:name="_Hlt26954852"/>
      <w:r/>
      <w:bookmarkEnd w:id="119"/>
      <w:r/>
      <w:bookmarkStart w:id="120" w:name="_Toc16938540"/>
      <w:r/>
      <w:bookmarkStart w:id="121" w:name="_Toc120614217"/>
      <w:r/>
      <w:bookmarkStart w:id="122" w:name="_Toc20823296"/>
      <w:r/>
      <w:bookmarkStart w:id="123" w:name="_Toc513029224"/>
      <w:r>
        <w:rPr>
          <w:rFonts w:hint="eastAsia" w:ascii="宋体" w:hAnsi="宋体" w:eastAsia="宋体" w:cs="宋体"/>
          <w:b/>
          <w:bCs/>
          <w:color w:val="auto"/>
          <w:sz w:val="32"/>
          <w:szCs w:val="32"/>
          <w:highlight w:val="none"/>
        </w:rPr>
        <w:t xml:space="preserve">四、响应文件的递交</w:t>
      </w:r>
      <w:bookmarkEnd w:id="120"/>
      <w:r/>
      <w:bookmarkEnd w:id="121"/>
      <w:r/>
      <w:bookmarkEnd w:id="122"/>
      <w:r/>
      <w:bookmarkEnd w:id="123"/>
      <w:r/>
      <w:r/>
    </w:p>
    <w:p>
      <w:pPr>
        <w:ind w:firstLine="56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24" w:name="_Toc20823297"/>
      <w:r/>
      <w:bookmarkStart w:id="125" w:name="_Toc513029225"/>
      <w:r/>
      <w:bookmarkStart w:id="126" w:name="_Toc462564084"/>
      <w:r/>
      <w:bookmarkStart w:id="127" w:name="_Toc16938541"/>
      <w:r>
        <w:rPr>
          <w:rFonts w:hint="eastAsia" w:ascii="宋体" w:hAnsi="宋体" w:eastAsia="宋体" w:cs="宋体"/>
          <w:color w:val="auto"/>
          <w:sz w:val="28"/>
          <w:szCs w:val="28"/>
          <w:highlight w:val="none"/>
        </w:rPr>
        <w:t xml:space="preserve">18、电子磋商</w:t>
      </w:r>
      <w:bookmarkEnd w:id="124"/>
      <w:r/>
      <w:bookmarkEnd w:id="125"/>
      <w:r/>
      <w:bookmarkEnd w:id="126"/>
      <w:r/>
      <w:bookmarkEnd w:id="127"/>
      <w:r>
        <w:rPr>
          <w:rFonts w:hint="eastAsia" w:ascii="宋体" w:hAnsi="宋体" w:eastAsia="宋体" w:cs="宋体"/>
          <w:color w:val="auto"/>
          <w:sz w:val="28"/>
          <w:szCs w:val="28"/>
          <w:highlight w:val="none"/>
        </w:rPr>
        <w:t xml:space="preserve">响应文件的递交</w:t>
      </w:r>
      <w:r/>
    </w:p>
    <w:p>
      <w:pPr>
        <w:ind w:firstLine="60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18.1供应商应当按照《操作手册》规定，在提交响应文件截止时间前制作并上传电子响应文件。</w:t>
      </w:r>
      <w:bookmarkStart w:id="128" w:name="_Toc16938542"/>
      <w:r/>
      <w:bookmarkStart w:id="129" w:name="_Toc513029226"/>
      <w:r/>
      <w:bookmarkStart w:id="130" w:name="_Toc20823298"/>
      <w:r/>
      <w:r/>
    </w:p>
    <w:p>
      <w:pPr>
        <w:ind w:firstLine="48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18.2投标人通过“苏采云”系统不见面开标大厅在线参与开标活动。（具体操作详见《“苏采云”系统投标人操作手册》，网址链接</w:t>
      </w:r>
      <w:r>
        <w:rPr>
          <w:rFonts w:hint="eastAsia" w:ascii="宋体" w:hAnsi="宋体" w:eastAsia="宋体" w:cs="宋体"/>
          <w:color w:val="auto"/>
          <w:sz w:val="24"/>
          <w:szCs w:val="22"/>
          <w:highlight w:val="none"/>
        </w:rPr>
        <w:t xml:space="preserve">http://www.ccgp-jiangsu.gov.cn//webfile/jiangsu/202311/1699268553318052447.pdf）</w:t>
      </w:r>
      <w:r/>
    </w:p>
    <w:p>
      <w:pPr>
        <w:ind w:firstLine="560"/>
        <w:keepLines/>
        <w:keepNext/>
        <w:pageBreakBefore w:val="0"/>
        <w:spacing w:line="560" w:lineRule="exact"/>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19、提交响应文件截止时间</w:t>
      </w:r>
      <w:bookmarkEnd w:id="128"/>
      <w:r/>
      <w:bookmarkEnd w:id="129"/>
      <w:r/>
      <w:bookmarkEnd w:id="130"/>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19.1供应商上传电子响应文件的时间不得迟于磋商公告中规定的提交响应文件截止时间。</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19.2采购代理机构</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31" w:name="_Toc16938543"/>
      <w:r/>
      <w:bookmarkStart w:id="132" w:name="_Toc20823299"/>
      <w:r/>
      <w:bookmarkStart w:id="133" w:name="_Toc513029227"/>
      <w:r>
        <w:rPr>
          <w:rFonts w:hint="eastAsia" w:ascii="宋体" w:hAnsi="宋体" w:eastAsia="宋体" w:cs="宋体"/>
          <w:color w:val="auto"/>
          <w:sz w:val="28"/>
          <w:szCs w:val="28"/>
          <w:highlight w:val="none"/>
        </w:rPr>
        <w:t xml:space="preserve">20、响应文件</w:t>
      </w:r>
      <w:bookmarkEnd w:id="131"/>
      <w:r/>
      <w:bookmarkEnd w:id="132"/>
      <w:r/>
      <w:bookmarkEnd w:id="133"/>
      <w:r>
        <w:rPr>
          <w:rFonts w:hint="eastAsia" w:ascii="宋体" w:hAnsi="宋体" w:eastAsia="宋体" w:cs="宋体"/>
          <w:color w:val="auto"/>
          <w:sz w:val="28"/>
          <w:szCs w:val="28"/>
          <w:highlight w:val="none"/>
        </w:rPr>
        <w:t xml:space="preserve">的拒收</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 </w:t>
      </w:r>
      <w:r>
        <w:rPr>
          <w:rFonts w:hint="eastAsia" w:ascii="宋体" w:hAnsi="宋体" w:eastAsia="宋体" w:cs="宋体"/>
          <w:color w:val="auto"/>
          <w:sz w:val="24"/>
          <w:szCs w:val="21"/>
          <w:highlight w:val="none"/>
        </w:rPr>
        <w:t xml:space="preserve">采购代理机构</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rPr>
          <w:rFonts w:hint="eastAsia" w:ascii="宋体" w:hAnsi="宋体" w:eastAsia="宋体" w:cs="宋体"/>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34" w:name="_Toc16938544"/>
      <w:r/>
      <w:bookmarkStart w:id="135" w:name="_Toc20823300"/>
      <w:r/>
      <w:bookmarkStart w:id="136" w:name="_Toc513029228"/>
      <w:r>
        <w:rPr>
          <w:rFonts w:hint="eastAsia" w:ascii="宋体" w:hAnsi="宋体" w:eastAsia="宋体" w:cs="宋体"/>
          <w:color w:val="auto"/>
          <w:sz w:val="28"/>
          <w:szCs w:val="28"/>
          <w:highlight w:val="none"/>
        </w:rPr>
        <w:t xml:space="preserve">21、响应文件的撤回和修改</w:t>
      </w:r>
      <w:bookmarkEnd w:id="134"/>
      <w:r/>
      <w:bookmarkEnd w:id="135"/>
      <w:r/>
      <w:bookmarkEnd w:id="136"/>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21.1响应文件的撤回</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21.1.1电子响应文件的撤回</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pageBreakBefore w:val="0"/>
        <w:spacing w:line="56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.1供应商可在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bCs/>
          <w:color w:val="auto"/>
          <w:sz w:val="24"/>
          <w:szCs w:val="21"/>
          <w:highlight w:val="none"/>
        </w:rPr>
        <w:t xml:space="preserve">在提交响应文件截止时间至磋商文件中规定的磋商有效期满之间的这段时间内，供应商不得撤回其响应文件。</w:t>
      </w:r>
      <w:r/>
    </w:p>
    <w:p>
      <w:pPr>
        <w:ind w:firstLine="482"/>
        <w:keepLines/>
        <w:keepNext/>
        <w:pageBreakBefore w:val="0"/>
        <w:spacing w:line="560" w:lineRule="exact"/>
        <w:widowControl w:val="off"/>
        <w:rPr>
          <w:rFonts w:hint="eastAsia" w:ascii="宋体" w:hAnsi="宋体" w:eastAsia="宋体" w:cs="宋体"/>
          <w:b/>
          <w:bCs/>
          <w:color w:val="auto"/>
          <w:sz w:val="32"/>
          <w:szCs w:val="32"/>
          <w:highlight w:val="none"/>
        </w:rPr>
        <w:outlineLvl w:val="2"/>
      </w:pPr>
      <w:r/>
      <w:bookmarkStart w:id="137" w:name="_Toc20823301"/>
      <w:r/>
      <w:bookmarkStart w:id="138" w:name="_Toc120614218"/>
      <w:r/>
      <w:bookmarkStart w:id="139" w:name="_Toc16938545"/>
      <w:r/>
      <w:bookmarkStart w:id="140" w:name="_Toc513029229"/>
      <w:r>
        <w:rPr>
          <w:rFonts w:hint="eastAsia" w:ascii="宋体" w:hAnsi="宋体" w:eastAsia="宋体" w:cs="宋体"/>
          <w:b/>
          <w:bCs/>
          <w:color w:val="auto"/>
          <w:sz w:val="32"/>
          <w:szCs w:val="32"/>
          <w:highlight w:val="none"/>
        </w:rPr>
        <w:t xml:space="preserve">五、响应文件的解密与评审</w:t>
      </w:r>
      <w:bookmarkEnd w:id="137"/>
      <w:r/>
      <w:bookmarkEnd w:id="138"/>
      <w:r/>
      <w:bookmarkEnd w:id="139"/>
      <w:r/>
      <w:bookmarkEnd w:id="140"/>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41" w:name="_Toc16938546"/>
      <w:r/>
      <w:bookmarkStart w:id="142" w:name="_Toc513029230"/>
      <w:r/>
      <w:bookmarkStart w:id="143" w:name="_Toc20823302"/>
      <w:r>
        <w:rPr>
          <w:rFonts w:hint="eastAsia" w:ascii="宋体" w:hAnsi="宋体" w:eastAsia="宋体" w:cs="宋体"/>
          <w:color w:val="auto"/>
          <w:sz w:val="28"/>
          <w:szCs w:val="28"/>
          <w:highlight w:val="none"/>
        </w:rPr>
        <w:t xml:space="preserve">22、</w:t>
      </w:r>
      <w:bookmarkEnd w:id="141"/>
      <w:r/>
      <w:bookmarkEnd w:id="142"/>
      <w:r/>
      <w:bookmarkEnd w:id="143"/>
      <w:r>
        <w:rPr>
          <w:rFonts w:hint="eastAsia" w:ascii="宋体" w:hAnsi="宋体" w:eastAsia="宋体" w:cs="宋体"/>
          <w:color w:val="auto"/>
          <w:sz w:val="28"/>
          <w:szCs w:val="28"/>
          <w:highlight w:val="none"/>
        </w:rPr>
        <w:t xml:space="preserve">响应文件解密</w:t>
      </w:r>
      <w:r/>
    </w:p>
    <w:p>
      <w:pPr>
        <w:ind w:firstLine="360"/>
        <w:pageBreakBefore w:val="0"/>
        <w:spacing w:line="56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color w:val="auto"/>
          <w:sz w:val="24"/>
          <w:szCs w:val="24"/>
          <w:highlight w:val="none"/>
        </w:rPr>
        <w:t xml:space="preserve">供应商应当</w:t>
      </w:r>
      <w:r>
        <w:rPr>
          <w:rFonts w:hint="eastAsia" w:ascii="宋体" w:hAnsi="宋体" w:eastAsia="宋体" w:cs="宋体"/>
          <w:color w:val="auto"/>
          <w:sz w:val="24"/>
          <w:szCs w:val="21"/>
          <w:highlight w:val="none"/>
        </w:rPr>
        <w:t xml:space="preserve">按照《“苏采云”系统供应商操作手册》规定</w:t>
      </w:r>
      <w:r>
        <w:rPr>
          <w:rFonts w:hint="eastAsia" w:ascii="宋体" w:hAnsi="宋体" w:eastAsia="宋体" w:cs="宋体"/>
          <w:color w:val="auto"/>
          <w:sz w:val="24"/>
          <w:szCs w:val="24"/>
          <w:highlight w:val="none"/>
        </w:rPr>
        <w:t xml:space="preserve">，参加磋商活动和在苏采云系统规定的时间内对磋商响应文件进行解密。</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44" w:name="_Toc16938547"/>
      <w:r/>
      <w:bookmarkStart w:id="145" w:name="_Toc20823303"/>
      <w:r/>
      <w:bookmarkStart w:id="146" w:name="_Toc513029231"/>
      <w:r>
        <w:rPr>
          <w:rFonts w:hint="eastAsia" w:ascii="宋体" w:hAnsi="宋体" w:eastAsia="宋体" w:cs="宋体"/>
          <w:color w:val="auto"/>
          <w:sz w:val="28"/>
          <w:szCs w:val="28"/>
          <w:highlight w:val="none"/>
        </w:rPr>
        <w:t xml:space="preserve">23、磋商小组</w:t>
      </w:r>
      <w:r/>
    </w:p>
    <w:p>
      <w:pPr>
        <w:ind w:firstLine="480"/>
        <w:pageBreakBefore w:val="0"/>
        <w:spacing w:line="56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23.2磋商小组独立工作，负责评审所有响应文件并确定成交侯选人。</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24、评审过程的保密与公正</w:t>
      </w:r>
      <w:bookmarkEnd w:id="144"/>
      <w:r/>
      <w:bookmarkEnd w:id="145"/>
      <w:r/>
      <w:bookmarkEnd w:id="146"/>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磋商小组、采购人和</w:t>
      </w:r>
      <w:r>
        <w:rPr>
          <w:rFonts w:hint="eastAsia" w:ascii="宋体" w:hAnsi="宋体" w:eastAsia="宋体" w:cs="宋体"/>
          <w:color w:val="auto"/>
          <w:sz w:val="24"/>
          <w:szCs w:val="21"/>
          <w:highlight w:val="none"/>
        </w:rPr>
        <w:t xml:space="preserve">采购代理机构</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47" w:name="_Toc16938548"/>
      <w:r/>
      <w:bookmarkStart w:id="148" w:name="_Toc20823304"/>
      <w:r/>
      <w:bookmarkStart w:id="149" w:name="_Toc513029232"/>
      <w:r>
        <w:rPr>
          <w:rFonts w:hint="eastAsia" w:ascii="宋体" w:hAnsi="宋体" w:eastAsia="宋体" w:cs="宋体"/>
          <w:color w:val="auto"/>
          <w:sz w:val="28"/>
          <w:szCs w:val="28"/>
          <w:highlight w:val="none"/>
        </w:rPr>
        <w:t xml:space="preserve">25、评审过程中的的澄清</w:t>
      </w:r>
      <w:bookmarkEnd w:id="147"/>
      <w:r/>
      <w:bookmarkEnd w:id="148"/>
      <w:r/>
      <w:bookmarkEnd w:id="149"/>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接到磋商小组澄清、说明和更正要求的供应商如未按规定做出澄清、说明和 更正，其风险由供应商自行承担。</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bookmarkStart w:id="150" w:name="_Toc513029233"/>
      <w:r/>
      <w:bookmarkStart w:id="151" w:name="_Toc16938549"/>
      <w:r/>
      <w:bookmarkStart w:id="152" w:name="_Toc20823305"/>
      <w:r>
        <w:rPr>
          <w:rFonts w:hint="eastAsia" w:ascii="宋体" w:hAnsi="宋体" w:eastAsia="宋体" w:cs="宋体"/>
          <w:color w:val="auto"/>
          <w:sz w:val="28"/>
          <w:szCs w:val="28"/>
          <w:highlight w:val="none"/>
        </w:rPr>
        <w:t xml:space="preserve">26、对响应文件的审</w:t>
      </w:r>
      <w:bookmarkEnd w:id="150"/>
      <w:r/>
      <w:bookmarkEnd w:id="151"/>
      <w:r/>
      <w:bookmarkEnd w:id="152"/>
      <w:r>
        <w:rPr>
          <w:rFonts w:hint="eastAsia" w:ascii="宋体" w:hAnsi="宋体" w:eastAsia="宋体" w:cs="宋体"/>
          <w:color w:val="auto"/>
          <w:sz w:val="28"/>
          <w:szCs w:val="28"/>
          <w:highlight w:val="none"/>
        </w:rPr>
        <w:t xml:space="preserve">查</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26.3未实质性响应磋商文件的情形</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26.3.2供应商未按照磋商文件要求上传电子响应文件的。</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26.3.4供应商不具备磋商文件中规定资格要求的。</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26.3.5供应商的最后报价超过了采购预算。</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26.3.6不符合磋商文件中规定的实质性要求和条件的</w:t>
      </w:r>
      <w:r>
        <w:rPr>
          <w:rFonts w:hint="eastAsia" w:ascii="宋体" w:hAnsi="宋体" w:eastAsia="宋体" w:cs="宋体"/>
          <w:bCs/>
          <w:caps w:val="0"/>
          <w:color w:val="auto"/>
          <w:sz w:val="24"/>
          <w:highlight w:val="none"/>
        </w:rPr>
        <w:t xml:space="preserve">（</w:t>
      </w:r>
      <w:r>
        <w:rPr>
          <w:rFonts w:hint="eastAsia" w:ascii="宋体" w:hAnsi="宋体" w:eastAsia="宋体" w:cs="宋体"/>
          <w:bCs/>
          <w:i/>
          <w:caps w:val="0"/>
          <w:color w:val="auto"/>
          <w:sz w:val="24"/>
          <w:highlight w:val="none"/>
          <w:u w:val="single"/>
        </w:rPr>
        <w:t xml:space="preserve">加斜体下划线内容或打“★”内容</w:t>
      </w:r>
      <w:r>
        <w:rPr>
          <w:rFonts w:hint="eastAsia" w:ascii="宋体" w:hAnsi="宋体" w:eastAsia="宋体" w:cs="宋体"/>
          <w:bCs/>
          <w:i/>
          <w:caps w:val="0"/>
          <w:color w:val="auto"/>
          <w:sz w:val="24"/>
          <w:highlight w:val="none"/>
          <w:u w:val="single"/>
          <w:lang w:val="en-US" w:eastAsia="zh-CN"/>
        </w:rPr>
        <w:t xml:space="preserve">为实质性</w:t>
      </w:r>
      <w:r>
        <w:rPr>
          <w:rFonts w:hint="eastAsia" w:ascii="宋体" w:hAnsi="宋体" w:eastAsia="宋体" w:cs="宋体"/>
          <w:bCs/>
          <w:i/>
          <w:caps w:val="0"/>
          <w:color w:val="auto"/>
          <w:sz w:val="24"/>
          <w:highlight w:val="none"/>
          <w:u w:val="single"/>
        </w:rPr>
        <w:t xml:space="preserve">要求和条件）。</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26.3.8响应文件含有采购人不能接受的附加条件的。</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26.3.10响应文件未按照磋商文件要求加盖CA电子公章的。</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26.4未实质性响应磋商文件的响应文件按无效响应处理。</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560" w:lineRule="exact"/>
        <w:widowControl w:val="off"/>
        <w:rPr>
          <w:rFonts w:hint="eastAsia" w:ascii="宋体" w:hAnsi="宋体" w:eastAsia="宋体" w:cs="宋体"/>
          <w:color w:val="auto"/>
          <w:sz w:val="24"/>
          <w:szCs w:val="21"/>
          <w:highlight w:val="none"/>
        </w:rPr>
      </w:pPr>
      <w:r/>
      <w:bookmarkStart w:id="153" w:name="_Toc20823306"/>
      <w:r/>
      <w:bookmarkStart w:id="154" w:name="_Toc16938550"/>
      <w:r/>
      <w:bookmarkStart w:id="155" w:name="_Toc513029234"/>
      <w:r>
        <w:rPr>
          <w:rFonts w:hint="eastAsia" w:ascii="宋体" w:hAnsi="宋体" w:eastAsia="宋体" w:cs="宋体"/>
          <w:color w:val="auto"/>
          <w:sz w:val="24"/>
          <w:szCs w:val="21"/>
          <w:highlight w:val="none"/>
        </w:rPr>
        <w:t xml:space="preserve">26.6供应商在项目评审全过程中应保持通讯畅通，并安排专人与采购代理机构及磋商小组联系。</w:t>
      </w:r>
      <w:r/>
    </w:p>
    <w:p>
      <w:pPr>
        <w:ind w:firstLine="420"/>
        <w:keepLines/>
        <w:keepNext/>
        <w:pageBreakBefore w:val="0"/>
        <w:spacing w:line="56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27、</w:t>
      </w:r>
      <w:bookmarkEnd w:id="153"/>
      <w:r/>
      <w:bookmarkEnd w:id="154"/>
      <w:r/>
      <w:bookmarkEnd w:id="155"/>
      <w:r>
        <w:rPr>
          <w:rFonts w:hint="eastAsia" w:ascii="宋体" w:hAnsi="宋体" w:eastAsia="宋体" w:cs="宋体"/>
          <w:color w:val="auto"/>
          <w:sz w:val="28"/>
          <w:szCs w:val="28"/>
          <w:highlight w:val="none"/>
        </w:rPr>
        <w:t xml:space="preserve">磋商程序及评审方法和评审标准</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27.2异常低价响应审查</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27.2.1评审过程中出现下列情形之一的，磋商小组应当启动异常低价响应审查程序：</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（1）投标（响应）报价低于全部通过符合性审查供应商投标（响应）报价平均值的50%的，即投标（响应）报价＜全部通过符合性审查供应商投标（响应）报价平均值×50%；</w:t>
      </w:r>
      <w:r/>
    </w:p>
    <w:p>
      <w:pPr>
        <w:ind w:firstLine="480"/>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（3）投标（响应）报价低于采购项目最高限价45%的，即投标（响应）报价＜采购项目最高限价×45%；</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7"/>
        <w:pageBreakBefore w:val="0"/>
        <w:spacing w:line="560" w:lineRule="exact"/>
        <w:widowControl w:val="off"/>
        <w:tabs>
          <w:tab w:val="left" w:pos="900" w:leader="none"/>
        </w:tabs>
        <w:rPr>
          <w:rFonts w:hint="default" w:ascii="Calibri" w:hAnsi="Calibri" w:eastAsia="宋体" w:cs="Times New Roman"/>
          <w:color w:val="auto"/>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评审方法和评审标准</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.2评审标准</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采购活动终止的情况</w:t>
      </w:r>
      <w:r/>
    </w:p>
    <w:p>
      <w:pPr>
        <w:ind w:firstLine="360"/>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360"/>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360"/>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.4在苏采云系统规定时间内成功解密电子响应文件的供应商不足3家的。</w:t>
      </w:r>
      <w:r/>
    </w:p>
    <w:p>
      <w:pPr>
        <w:ind w:firstLine="482"/>
        <w:keepLines/>
        <w:keepNext/>
        <w:pageBreakBefore w:val="0"/>
        <w:spacing w:line="560" w:lineRule="exact"/>
        <w:widowControl w:val="off"/>
        <w:rPr>
          <w:rFonts w:hint="eastAsia" w:ascii="宋体" w:hAnsi="宋体" w:eastAsia="宋体" w:cs="宋体"/>
          <w:b/>
          <w:bCs/>
          <w:color w:val="auto"/>
          <w:sz w:val="32"/>
          <w:szCs w:val="32"/>
          <w:highlight w:val="none"/>
        </w:rPr>
        <w:outlineLvl w:val="2"/>
      </w:pPr>
      <w:r/>
      <w:bookmarkStart w:id="156" w:name="_Toc20823307"/>
      <w:r/>
      <w:bookmarkStart w:id="157" w:name="_Toc16938551"/>
      <w:r/>
      <w:bookmarkStart w:id="158" w:name="_Toc513029235"/>
      <w:r/>
      <w:bookmarkStart w:id="159" w:name="_Toc120614219"/>
      <w:r>
        <w:rPr>
          <w:rFonts w:hint="eastAsia" w:ascii="宋体" w:hAnsi="宋体" w:eastAsia="宋体" w:cs="宋体"/>
          <w:b/>
          <w:bCs/>
          <w:color w:val="auto"/>
          <w:sz w:val="32"/>
          <w:szCs w:val="32"/>
          <w:highlight w:val="none"/>
        </w:rPr>
        <w:t xml:space="preserve">六、</w:t>
      </w:r>
      <w:bookmarkEnd w:id="156"/>
      <w:r/>
      <w:bookmarkEnd w:id="157"/>
      <w:r/>
      <w:bookmarkEnd w:id="158"/>
      <w:r/>
      <w:bookmarkEnd w:id="159"/>
      <w:r>
        <w:rPr>
          <w:rFonts w:hint="eastAsia" w:ascii="宋体" w:hAnsi="宋体" w:eastAsia="宋体" w:cs="宋体"/>
          <w:b/>
          <w:bCs/>
          <w:color w:val="auto"/>
          <w:sz w:val="32"/>
          <w:szCs w:val="32"/>
          <w:highlight w:val="none"/>
        </w:rPr>
        <w:t xml:space="preserve">成交</w:t>
      </w:r>
      <w:r/>
    </w:p>
    <w:p>
      <w:pPr>
        <w:ind w:firstLine="600"/>
        <w:keepLines/>
        <w:keepNext/>
        <w:pageBreakBefore w:val="0"/>
        <w:spacing w:line="560" w:lineRule="exact"/>
        <w:widowControl w:val="off"/>
        <w:rPr>
          <w:rFonts w:hint="eastAsia" w:ascii="宋体" w:hAnsi="宋体" w:eastAsia="宋体" w:cs="宋体"/>
          <w:bCs/>
          <w:color w:val="auto"/>
          <w:sz w:val="30"/>
          <w:szCs w:val="30"/>
          <w:highlight w:val="none"/>
        </w:rPr>
        <w:outlineLvl w:val="3"/>
      </w:pPr>
      <w:r/>
      <w:bookmarkStart w:id="160" w:name="_Toc513029238"/>
      <w:r/>
      <w:bookmarkStart w:id="161" w:name="_Toc20823310"/>
      <w:r/>
      <w:bookmarkStart w:id="162" w:name="_Toc16938554"/>
      <w:r>
        <w:rPr>
          <w:rFonts w:hint="eastAsia" w:ascii="宋体" w:hAnsi="宋体" w:eastAsia="宋体" w:cs="宋体"/>
          <w:bCs/>
          <w:color w:val="auto"/>
          <w:sz w:val="30"/>
          <w:szCs w:val="30"/>
          <w:highlight w:val="none"/>
        </w:rPr>
        <w:t xml:space="preserve">28、</w:t>
      </w:r>
      <w:bookmarkEnd w:id="160"/>
      <w:r>
        <w:rPr>
          <w:rFonts w:hint="eastAsia" w:ascii="宋体" w:hAnsi="宋体" w:eastAsia="宋体" w:cs="宋体"/>
          <w:bCs/>
          <w:color w:val="auto"/>
          <w:sz w:val="30"/>
          <w:szCs w:val="30"/>
          <w:highlight w:val="none"/>
        </w:rPr>
        <w:t xml:space="preserve">确定</w:t>
      </w:r>
      <w:bookmarkEnd w:id="161"/>
      <w:r/>
      <w:bookmarkEnd w:id="162"/>
      <w:r>
        <w:rPr>
          <w:rFonts w:hint="eastAsia" w:ascii="宋体" w:hAnsi="宋体" w:eastAsia="宋体" w:cs="宋体"/>
          <w:bCs/>
          <w:color w:val="auto"/>
          <w:sz w:val="30"/>
          <w:szCs w:val="30"/>
          <w:highlight w:val="none"/>
        </w:rPr>
        <w:t xml:space="preserve">成交单位</w:t>
      </w:r>
      <w:r/>
    </w:p>
    <w:p>
      <w:pPr>
        <w:ind w:firstLine="477"/>
        <w:pageBreakBefore w:val="0"/>
        <w:spacing w:line="560" w:lineRule="exact"/>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28.1</w:t>
      </w:r>
      <w:r>
        <w:rPr>
          <w:rFonts w:hint="eastAsia" w:ascii="宋体" w:hAnsi="宋体" w:eastAsia="宋体" w:cs="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pageBreakBefore w:val="0"/>
        <w:spacing w:line="560" w:lineRule="exact"/>
        <w:widowControl w:val="off"/>
        <w:tabs>
          <w:tab w:val="left" w:pos="90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pageBreakBefore w:val="0"/>
        <w:spacing w:line="560" w:lineRule="exact"/>
        <w:widowControl w:val="off"/>
        <w:tabs>
          <w:tab w:val="left" w:pos="90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28.2采购人从评审报告提出的成交候选供应商中，按照排序由高到低的原则确定成交供应商。</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按以下第</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u w:val="single"/>
          <w:lang w:val="en-US" w:eastAsia="zh-CN"/>
        </w:rPr>
        <w:t xml:space="preserve">2</w:t>
      </w:r>
      <w:r>
        <w:rPr>
          <w:rFonts w:hint="eastAsia" w:ascii="宋体" w:hAnsi="宋体" w:eastAsia="宋体" w:cs="宋体"/>
          <w:bCs/>
          <w:color w:val="auto"/>
          <w:sz w:val="24"/>
          <w:highlight w:val="none"/>
          <w:u w:val="single"/>
          <w:lang w:val="zh-CN"/>
        </w:rPr>
        <w:t xml:space="preserve">）</w:t>
      </w:r>
      <w:r>
        <w:rPr>
          <w:rFonts w:hint="eastAsia" w:ascii="宋体" w:hAnsi="宋体" w:eastAsia="宋体" w:cs="宋体"/>
          <w:bCs/>
          <w:color w:val="auto"/>
          <w:sz w:val="24"/>
          <w:highlight w:val="none"/>
          <w:lang w:val="zh-CN"/>
        </w:rPr>
        <w:t xml:space="preserve">种方式确定成交供应商</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（1）磋商小组直接确定排名第一的</w:t>
      </w:r>
      <w:r>
        <w:rPr>
          <w:rFonts w:hint="eastAsia" w:ascii="宋体" w:hAnsi="宋体" w:eastAsia="宋体" w:cs="宋体"/>
          <w:bCs/>
          <w:color w:val="auto"/>
          <w:sz w:val="24"/>
          <w:szCs w:val="21"/>
          <w:highlight w:val="none"/>
        </w:rPr>
        <w:t xml:space="preserve">成交候选供应商</w:t>
      </w:r>
      <w:r>
        <w:rPr>
          <w:rFonts w:hint="eastAsia" w:ascii="宋体" w:hAnsi="宋体" w:eastAsia="宋体" w:cs="宋体"/>
          <w:bCs/>
          <w:color w:val="auto"/>
          <w:sz w:val="24"/>
          <w:highlight w:val="none"/>
          <w:lang w:val="zh-CN"/>
        </w:rPr>
        <w:t xml:space="preserve">为成交供应商；</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（2）采购人</w:t>
      </w:r>
      <w:r>
        <w:rPr>
          <w:rFonts w:hint="eastAsia" w:ascii="宋体" w:hAnsi="宋体" w:eastAsia="宋体" w:cs="宋体"/>
          <w:bCs/>
          <w:color w:val="auto"/>
          <w:sz w:val="24"/>
          <w:szCs w:val="21"/>
          <w:highlight w:val="none"/>
        </w:rPr>
        <w:t xml:space="preserve">从评审报告提出</w:t>
      </w:r>
      <w:r>
        <w:rPr>
          <w:rFonts w:hint="eastAsia" w:ascii="宋体" w:hAnsi="宋体" w:eastAsia="宋体" w:cs="宋体"/>
          <w:bCs/>
          <w:color w:val="auto"/>
          <w:sz w:val="24"/>
          <w:highlight w:val="none"/>
          <w:lang w:val="zh-CN"/>
        </w:rPr>
        <w:t xml:space="preserve">的</w:t>
      </w:r>
      <w:r>
        <w:rPr>
          <w:rFonts w:hint="eastAsia" w:ascii="宋体" w:hAnsi="宋体" w:eastAsia="宋体" w:cs="宋体"/>
          <w:bCs/>
          <w:color w:val="auto"/>
          <w:sz w:val="24"/>
          <w:szCs w:val="21"/>
          <w:highlight w:val="none"/>
        </w:rPr>
        <w:t xml:space="preserve">成交候选供应商</w:t>
      </w:r>
      <w:r>
        <w:rPr>
          <w:rFonts w:hint="eastAsia" w:ascii="宋体" w:hAnsi="宋体" w:eastAsia="宋体" w:cs="宋体"/>
          <w:bCs/>
          <w:color w:val="auto"/>
          <w:sz w:val="24"/>
          <w:highlight w:val="none"/>
          <w:lang w:val="zh-CN"/>
        </w:rPr>
        <w:t xml:space="preserve">中按顺序确定成交供应商。</w:t>
      </w:r>
      <w:r/>
    </w:p>
    <w:p>
      <w:pPr>
        <w:ind w:firstLine="477"/>
        <w:pageBreakBefore w:val="0"/>
        <w:spacing w:line="560" w:lineRule="exact"/>
        <w:widowControl w:val="off"/>
        <w:tabs>
          <w:tab w:val="left" w:pos="90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highlight w:val="none"/>
          <w:lang w:val="zh-CN"/>
        </w:rPr>
        <w:t xml:space="preserve">按第</w:t>
      </w: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zh-CN"/>
        </w:rPr>
        <w:t xml:space="preserve">种方式确定成交供应商的，</w:t>
      </w:r>
      <w:r>
        <w:rPr>
          <w:rFonts w:hint="eastAsia" w:ascii="宋体" w:hAnsi="宋体" w:eastAsia="宋体" w:cs="宋体"/>
          <w:bCs/>
          <w:color w:val="auto"/>
          <w:sz w:val="24"/>
          <w:highlight w:val="none"/>
        </w:rPr>
        <w:t xml:space="preserve">采购代理机构</w:t>
      </w:r>
      <w:r>
        <w:rPr>
          <w:rFonts w:hint="eastAsia" w:ascii="宋体" w:hAnsi="宋体" w:eastAsia="宋体" w:cs="宋体"/>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auto"/>
          <w:sz w:val="24"/>
          <w:szCs w:val="21"/>
          <w:highlight w:val="none"/>
        </w:rPr>
        <w:t xml:space="preserve">成交候选供应商</w:t>
      </w:r>
      <w:r>
        <w:rPr>
          <w:rFonts w:hint="eastAsia" w:ascii="宋体" w:hAnsi="宋体" w:eastAsia="宋体" w:cs="宋体"/>
          <w:bCs/>
          <w:color w:val="auto"/>
          <w:sz w:val="24"/>
          <w:highlight w:val="none"/>
          <w:lang w:val="zh-CN"/>
        </w:rPr>
        <w:t xml:space="preserve">中按顺序确定成交供应商。</w:t>
      </w:r>
      <w:r/>
    </w:p>
    <w:p>
      <w:pPr>
        <w:ind w:firstLine="477"/>
        <w:pageBreakBefore w:val="0"/>
        <w:spacing w:line="560" w:lineRule="exact"/>
        <w:widowControl w:val="off"/>
        <w:tabs>
          <w:tab w:val="left" w:pos="90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28.3成交供应商确定后，采购代理机构将在“宿迁市政府采购网”发布成交结果公告，公告期限为1个工作日。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28.4若有充分证据证明，成交供应商出现下列情况之一的，一经查实，将被取消成交资格：</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28.4.1提供虚假材料谋取成交的。</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28.4.2与评审专家、采购人、其他供应商或者</w:t>
      </w:r>
      <w:r>
        <w:rPr>
          <w:rFonts w:hint="eastAsia" w:ascii="宋体" w:hAnsi="宋体" w:eastAsia="宋体" w:cs="宋体"/>
          <w:color w:val="auto"/>
          <w:sz w:val="24"/>
          <w:szCs w:val="21"/>
          <w:highlight w:val="none"/>
        </w:rPr>
        <w:t xml:space="preserve">采购代理机构</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28.4.3向评审专家、采购人或</w:t>
      </w:r>
      <w:r>
        <w:rPr>
          <w:rFonts w:hint="eastAsia" w:ascii="宋体" w:hAnsi="宋体" w:eastAsia="宋体" w:cs="宋体"/>
          <w:color w:val="auto"/>
          <w:sz w:val="24"/>
          <w:szCs w:val="21"/>
          <w:highlight w:val="none"/>
        </w:rPr>
        <w:t xml:space="preserve">采购代理机构</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28.4.4恶意竞争，最后报价明显低于其自身合理成本且又无法提供证明的。</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28.4.5不满足本磋商文件规定的实质性要求，但在评审过程中又未被磋商小组发现的。</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28.4.6成交后无正当理由拒不与采购人签订政府采购合同或者未按照磋商文件确定的事项签订政府采购合同的。</w:t>
      </w:r>
      <w:r/>
    </w:p>
    <w:p>
      <w:pPr>
        <w:ind w:firstLine="480"/>
        <w:pageBreakBefore w:val="0"/>
        <w:spacing w:line="56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28.4.7将政府采购合同转包的。</w:t>
      </w:r>
      <w:r/>
    </w:p>
    <w:p>
      <w:pPr>
        <w:ind w:firstLine="600"/>
        <w:keepLines/>
        <w:keepNext/>
        <w:pageBreakBefore w:val="0"/>
        <w:spacing w:line="560" w:lineRule="exact"/>
        <w:widowControl w:val="off"/>
        <w:rPr>
          <w:rFonts w:hint="eastAsia" w:ascii="宋体" w:hAnsi="宋体" w:eastAsia="宋体" w:cs="宋体"/>
          <w:bCs/>
          <w:color w:val="auto"/>
          <w:sz w:val="30"/>
          <w:szCs w:val="30"/>
          <w:highlight w:val="none"/>
        </w:rPr>
        <w:outlineLvl w:val="3"/>
      </w:pPr>
      <w:r/>
      <w:bookmarkStart w:id="163" w:name="_Toc200451960"/>
      <w:r>
        <w:rPr>
          <w:rFonts w:hint="eastAsia" w:ascii="宋体" w:hAnsi="宋体" w:eastAsia="宋体" w:cs="宋体"/>
          <w:bCs/>
          <w:color w:val="auto"/>
          <w:sz w:val="30"/>
          <w:szCs w:val="30"/>
          <w:highlight w:val="none"/>
        </w:rPr>
        <w:t xml:space="preserve">29、质疑处理</w:t>
      </w:r>
      <w:bookmarkEnd w:id="163"/>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w:t>
      </w:r>
      <w:r>
        <w:rPr>
          <w:rFonts w:hint="eastAsia" w:ascii="宋体" w:hAnsi="宋体" w:eastAsia="宋体" w:cs="宋体"/>
          <w:color w:val="auto"/>
          <w:sz w:val="24"/>
          <w:szCs w:val="24"/>
          <w:highlight w:val="none"/>
        </w:rPr>
        <w:t xml:space="preserve">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w:t>
      </w:r>
      <w:r>
        <w:rPr>
          <w:rFonts w:hint="eastAsia" w:ascii="宋体" w:hAnsi="宋体" w:eastAsia="宋体" w:cs="宋体"/>
          <w:color w:val="auto"/>
          <w:sz w:val="24"/>
          <w:szCs w:val="24"/>
          <w:highlight w:val="none"/>
        </w:rPr>
        <w:t xml:space="preserve">对采购过程提出质疑的，为各采购程序环节结束之日。</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w:t>
      </w:r>
      <w:r>
        <w:rPr>
          <w:rFonts w:hint="eastAsia" w:ascii="宋体" w:hAnsi="宋体" w:eastAsia="宋体" w:cs="宋体"/>
          <w:color w:val="auto"/>
          <w:sz w:val="24"/>
          <w:szCs w:val="24"/>
          <w:highlight w:val="none"/>
        </w:rPr>
        <w:t xml:space="preserve">对成交结果提出质疑的，为成交结果公告期限届满之日。</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w:t>
      </w:r>
      <w:r>
        <w:rPr>
          <w:rFonts w:hint="eastAsia" w:ascii="宋体" w:hAnsi="宋体" w:eastAsia="宋体" w:cs="宋体"/>
          <w:color w:val="auto"/>
          <w:sz w:val="24"/>
          <w:szCs w:val="24"/>
          <w:highlight w:val="none"/>
          <w:lang w:val="en-US" w:eastAsia="zh-CN"/>
        </w:rPr>
        <w:t xml:space="preserve">供应商应以书面形式向采购人或者其委托的采购代理机构提出质疑。质疑超出采购机构代理范围的，供应商应当向采购人提出。</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pageBreakBefore w:val="0"/>
        <w:spacing w:line="56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联系部门： </w:t>
      </w:r>
      <w:r>
        <w:rPr>
          <w:rFonts w:hint="eastAsia" w:ascii="宋体" w:hAnsi="宋体" w:eastAsia="宋体" w:cs="宋体"/>
          <w:color w:val="auto"/>
          <w:sz w:val="24"/>
          <w:szCs w:val="24"/>
          <w:highlight w:val="none"/>
          <w:u w:val="single"/>
          <w:lang w:eastAsia="zh-CN"/>
        </w:rPr>
        <w:t xml:space="preserve">宿迁市市场监督管理局、宿迁市楚润数据集团有限公司</w:t>
      </w:r>
      <w:r>
        <w:rPr>
          <w:rFonts w:hint="eastAsia" w:ascii="宋体" w:hAnsi="宋体" w:eastAsia="宋体" w:cs="宋体"/>
          <w:color w:val="auto"/>
          <w:sz w:val="24"/>
          <w:szCs w:val="24"/>
          <w:highlight w:val="none"/>
          <w:u w:val="single"/>
          <w:lang w:val="en-US" w:eastAsia="zh-CN"/>
        </w:rPr>
        <w:t xml:space="preserve">、江苏宝恒项目管理咨询有限公司</w:t>
      </w:r>
      <w:r/>
    </w:p>
    <w:p>
      <w:pPr>
        <w:ind w:left="1079" w:hanging="30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eastAsia="zh-CN"/>
        </w:rPr>
        <w:t xml:space="preserve">13809099905、19805274985</w:t>
      </w:r>
      <w:r>
        <w:rPr>
          <w:rFonts w:hint="eastAsia" w:ascii="宋体" w:hAnsi="宋体" w:eastAsia="宋体" w:cs="宋体"/>
          <w:color w:val="auto"/>
          <w:sz w:val="24"/>
          <w:szCs w:val="24"/>
          <w:highlight w:val="none"/>
          <w:u w:val="single"/>
          <w:lang w:val="en-US" w:eastAsia="zh-CN"/>
        </w:rPr>
        <w:t xml:space="preserve">、15695271018</w:t>
      </w:r>
      <w:r/>
    </w:p>
    <w:p>
      <w:pPr>
        <w:ind w:firstLine="480"/>
        <w:pageBreakBefore w:val="0"/>
        <w:spacing w:line="56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通讯地址： </w:t>
      </w:r>
      <w:r>
        <w:rPr>
          <w:rFonts w:hint="eastAsia" w:ascii="宋体" w:hAnsi="宋体" w:eastAsia="宋体" w:cs="宋体"/>
          <w:color w:val="auto"/>
          <w:sz w:val="24"/>
          <w:szCs w:val="24"/>
          <w:highlight w:val="none"/>
          <w:u w:val="single"/>
          <w:lang w:eastAsia="zh-CN"/>
        </w:rPr>
        <w:t xml:space="preserve">宿城区洪泽湖路730号、宿迁市宿城区发展大道2496号二楼、</w:t>
      </w:r>
      <w:r>
        <w:rPr>
          <w:rFonts w:hint="eastAsia" w:ascii="宋体" w:hAnsi="宋体" w:eastAsia="宋体" w:cs="宋体"/>
          <w:color w:val="auto"/>
          <w:sz w:val="24"/>
          <w:szCs w:val="24"/>
          <w:highlight w:val="none"/>
          <w:u w:val="single"/>
          <w:lang w:val="en-US" w:eastAsia="zh-CN"/>
        </w:rPr>
        <w:t xml:space="preserve">宿豫区金融财富广场C栋15楼1501</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68"/>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auto"/>
          <w:sz w:val="24"/>
          <w:szCs w:val="21"/>
          <w:highlight w:val="none"/>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68"/>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600"/>
        <w:keepLines/>
        <w:keepNext/>
        <w:pageBreakBefore w:val="0"/>
        <w:spacing w:line="56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30、成交通知书</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eastAsia="宋体" w:cs="宋体"/>
          <w:b/>
          <w:bCs/>
          <w:color w:val="auto"/>
          <w:sz w:val="32"/>
          <w:szCs w:val="32"/>
          <w:highlight w:val="none"/>
        </w:rPr>
        <w:outlineLvl w:val="2"/>
      </w:pPr>
      <w:r/>
      <w:bookmarkStart w:id="164" w:name="_Toc120614220"/>
      <w:r/>
      <w:bookmarkStart w:id="165" w:name="_Toc513029236"/>
      <w:r/>
      <w:bookmarkStart w:id="166" w:name="_Toc20823308"/>
      <w:r/>
      <w:bookmarkStart w:id="167" w:name="_Toc16938552"/>
      <w:r>
        <w:rPr>
          <w:rFonts w:hint="eastAsia" w:ascii="宋体" w:hAnsi="宋体" w:eastAsia="宋体" w:cs="宋体"/>
          <w:b/>
          <w:bCs/>
          <w:color w:val="auto"/>
          <w:sz w:val="32"/>
          <w:szCs w:val="32"/>
          <w:highlight w:val="none"/>
        </w:rPr>
        <w:t xml:space="preserve">七、授予合同</w:t>
      </w:r>
      <w:bookmarkEnd w:id="164"/>
      <w:r/>
      <w:bookmarkEnd w:id="165"/>
      <w:r/>
      <w:bookmarkEnd w:id="166"/>
      <w:r/>
      <w:bookmarkEnd w:id="167"/>
      <w:r/>
      <w:r/>
    </w:p>
    <w:p>
      <w:pPr>
        <w:ind w:firstLine="600"/>
        <w:keepLines/>
        <w:keepNext/>
        <w:pageBreakBefore w:val="0"/>
        <w:spacing w:line="560" w:lineRule="exact"/>
        <w:widowControl w:val="off"/>
        <w:rPr>
          <w:rFonts w:hint="eastAsia" w:ascii="宋体" w:hAnsi="宋体" w:eastAsia="宋体" w:cs="宋体"/>
          <w:bCs/>
          <w:color w:val="auto"/>
          <w:sz w:val="30"/>
          <w:szCs w:val="30"/>
          <w:highlight w:val="none"/>
        </w:rPr>
        <w:outlineLvl w:val="3"/>
      </w:pPr>
      <w:r/>
      <w:bookmarkStart w:id="168" w:name="_Toc16938553"/>
      <w:r/>
      <w:bookmarkStart w:id="169" w:name="_Toc20823309"/>
      <w:r/>
      <w:bookmarkStart w:id="170" w:name="_Toc513029237"/>
      <w:r>
        <w:rPr>
          <w:rFonts w:hint="eastAsia" w:ascii="宋体" w:hAnsi="宋体" w:eastAsia="宋体" w:cs="宋体"/>
          <w:bCs/>
          <w:color w:val="auto"/>
          <w:sz w:val="30"/>
          <w:szCs w:val="30"/>
          <w:highlight w:val="none"/>
        </w:rPr>
        <w:t xml:space="preserve">31. 签订合同</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.l成交供应商应当在成交通知书发出之日起15日内，按照磋商文件确定的事项与采购人签订政府采购合同。</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种方式确定：</w:t>
      </w:r>
      <w:r/>
    </w:p>
    <w:p>
      <w:pPr>
        <w:ind w:firstLine="720"/>
        <w:pageBreakBefore w:val="0"/>
        <w:spacing w:line="5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允许分包，允许大中型企业向一家或者多家小微企业分包，分包具体内容、金额或比例：</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 xml:space="preserve">不允许分包。未经采购人同意，成交供应商也不得采用分包形式履行合同,否则采购人有权终止合同。转包或分包造成采购人损失的，成交供应商应承担相应赔偿责任。</w:t>
      </w:r>
      <w:r/>
    </w:p>
    <w:p>
      <w:pPr>
        <w:ind w:firstLine="480"/>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.5履约保证金</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按照以下第</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lang w:val="en-US" w:eastAsia="zh-CN"/>
        </w:rPr>
        <w:t xml:space="preserve">1</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lang w:val="zh-CN"/>
        </w:rPr>
        <w:t xml:space="preserve">方式确定履约保证收取方式。</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(1)不收取履约保证金。</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(2)履约保证金应在采购合同签订前提交，履约保证金的金额</w:t>
      </w:r>
      <w:r>
        <w:rPr>
          <w:rFonts w:hint="eastAsia" w:ascii="宋体" w:hAnsi="宋体" w:eastAsia="宋体" w:cs="宋体"/>
          <w:bCs/>
          <w:color w:val="auto"/>
          <w:sz w:val="24"/>
          <w:highlight w:val="none"/>
          <w:u w:val="single"/>
          <w:lang w:val="en-US" w:eastAsia="zh-CN"/>
        </w:rPr>
        <w:t xml:space="preserve">/</w:t>
      </w:r>
      <w:r>
        <w:rPr>
          <w:rFonts w:hint="eastAsia" w:ascii="宋体" w:hAnsi="宋体" w:eastAsia="宋体" w:cs="宋体"/>
          <w:bCs/>
          <w:color w:val="auto"/>
          <w:sz w:val="24"/>
          <w:highlight w:val="none"/>
          <w:lang w:val="zh-CN"/>
        </w:rPr>
        <w:t xml:space="preserve">：按采购合同总价的</w:t>
      </w:r>
      <w:r>
        <w:rPr>
          <w:rFonts w:hint="eastAsia" w:ascii="宋体" w:hAnsi="宋体" w:eastAsia="宋体" w:cs="宋体"/>
          <w:bCs/>
          <w:caps w:val="0"/>
          <w:color w:val="auto"/>
          <w:sz w:val="24"/>
          <w:highlight w:val="none"/>
          <w:u w:val="single"/>
          <w:lang w:val="en-US" w:eastAsia="zh-CN"/>
        </w:rPr>
        <w:t xml:space="preserve">/</w:t>
      </w:r>
      <w:r>
        <w:rPr>
          <w:rFonts w:hint="eastAsia" w:ascii="宋体" w:hAnsi="宋体" w:eastAsia="宋体" w:cs="宋体"/>
          <w:bCs/>
          <w:caps w:val="0"/>
          <w:color w:val="auto"/>
          <w:sz w:val="24"/>
          <w:highlight w:val="none"/>
          <w:lang w:val="zh-CN"/>
        </w:rPr>
        <w:t xml:space="preserve">%计取</w:t>
      </w:r>
      <w:r>
        <w:rPr>
          <w:rFonts w:hint="eastAsia" w:ascii="宋体" w:hAnsi="宋体" w:eastAsia="宋体" w:cs="宋体"/>
          <w:bCs/>
          <w:color w:val="auto"/>
          <w:sz w:val="24"/>
          <w:highlight w:val="none"/>
          <w:lang w:val="zh-CN"/>
        </w:rPr>
        <w:t xml:space="preserve">。除银行电汇、网上银行、数字人民币外，供应商还可选用银行保函、担保公司的保证担保或保险公司的保证保险等多种形式向采购人缴纳；</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履约保证金退还的条件：按以下第 b 种方式实行：</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a、货物类项目，项目验收合格，出具验收报告及履约保证金收据申请退付；</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b、服务类项目，项目履约期满评价合格，出具履约评价报告及履约保证金收据申请退付；</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c、工程类项目，项目完工验收合格，出具完工证明及履约保证金收据申请退付；</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履约保证金退还时间：采购单位收到供应商退付申请后5个工作日内退还；</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560" w:lineRule="exac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pageBreakBefore w:val="0"/>
        <w:spacing w:line="56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32、标的物的追加</w:t>
      </w:r>
      <w:r/>
    </w:p>
    <w:p>
      <w:pPr>
        <w:ind w:firstLine="48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8"/>
      <w:r/>
      <w:bookmarkEnd w:id="169"/>
      <w:r/>
      <w:bookmarkEnd w:id="170"/>
      <w:r/>
      <w:r/>
    </w:p>
    <w:p>
      <w:pPr>
        <w:ind w:firstLine="600"/>
        <w:keepLines/>
        <w:keepNext/>
        <w:pageBreakBefore w:val="0"/>
        <w:spacing w:line="560" w:lineRule="exact"/>
        <w:widowControl w:val="off"/>
        <w:rPr>
          <w:rFonts w:hint="eastAsia" w:ascii="宋体" w:hAnsi="宋体" w:eastAsia="宋体" w:cs="宋体"/>
          <w:bCs/>
          <w:color w:val="auto"/>
          <w:sz w:val="30"/>
          <w:szCs w:val="30"/>
          <w:highlight w:val="none"/>
        </w:rPr>
        <w:outlineLvl w:val="3"/>
      </w:pPr>
      <w:r/>
      <w:bookmarkStart w:id="171" w:name="_Toc120614221"/>
      <w:r/>
      <w:bookmarkStart w:id="172" w:name="_Toc513029242"/>
      <w:r/>
      <w:bookmarkStart w:id="173" w:name="_Toc479757207"/>
      <w:r/>
      <w:bookmarkStart w:id="174" w:name="_Toc20823314"/>
      <w:r/>
      <w:bookmarkStart w:id="175" w:name="_Toc16938558"/>
      <w:r>
        <w:rPr>
          <w:rFonts w:hint="eastAsia" w:ascii="宋体" w:hAnsi="宋体" w:eastAsia="宋体" w:cs="宋体"/>
          <w:bCs/>
          <w:color w:val="auto"/>
          <w:sz w:val="30"/>
          <w:szCs w:val="30"/>
          <w:highlight w:val="none"/>
        </w:rPr>
        <w:t xml:space="preserve">33、政府采购履约资金扶持政策</w:t>
      </w:r>
      <w:r/>
    </w:p>
    <w:p>
      <w:pPr>
        <w:ind w:firstLine="420"/>
        <w:pageBreakBefore w:val="0"/>
        <w:spacing w:line="560" w:lineRule="exact"/>
        <w:widowControl w:val="off"/>
        <w:rPr>
          <w:rFonts w:hint="eastAsia" w:ascii="宋体" w:hAnsi="宋体" w:eastAsia="宋体" w:cs="宋体"/>
          <w:color w:val="auto"/>
          <w:szCs w:val="21"/>
          <w:highlight w:val="none"/>
        </w:rPr>
      </w:pPr>
      <w:r>
        <w:rPr>
          <w:rFonts w:hint="eastAsia" w:ascii="宋体" w:hAnsi="宋体" w:eastAsia="宋体" w:cs="宋体"/>
          <w:bCs/>
          <w:color w:val="auto"/>
          <w:sz w:val="24"/>
          <w:highlight w:val="none"/>
          <w:lang w:val="en-US" w:eastAsia="zh-CN"/>
        </w:rPr>
        <w:t xml:space="preserve">33.1</w:t>
      </w:r>
      <w:r>
        <w:rPr>
          <w:rFonts w:hint="eastAsia" w:ascii="宋体" w:hAnsi="宋体" w:eastAsia="宋体" w:cs="宋体"/>
          <w:bCs/>
          <w:color w:val="auto"/>
          <w:sz w:val="24"/>
          <w:highlight w:val="none"/>
        </w:rPr>
        <w:t xml:space="preserve">依</w:t>
      </w:r>
      <w:r>
        <w:rPr>
          <w:rFonts w:hint="eastAsia" w:ascii="宋体" w:hAnsi="宋体" w:eastAsia="宋体" w:cs="宋体"/>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857"/>
        <w:ind w:firstLine="602"/>
        <w:pageBreakBefore w:val="0"/>
        <w:spacing w:before="0" w:after="0" w:line="56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34、验收及付款</w:t>
      </w:r>
      <w:r/>
    </w:p>
    <w:p>
      <w:pPr>
        <w:ind w:firstLine="482"/>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34.2采购人可以邀请参加本项目的其他供应商或者第三方机构参与验收。参与验收的供应商或者第三方机构的意见作为验收书的参考资料一并存档。</w:t>
      </w:r>
      <w:r/>
    </w:p>
    <w:p>
      <w:pPr>
        <w:ind w:firstLine="482"/>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采购人应当及时报告本级财政部门。</w:t>
      </w:r>
      <w:r/>
    </w:p>
    <w:p>
      <w:pPr>
        <w:ind w:firstLine="482"/>
        <w:pageBreakBefore w:val="0"/>
        <w:spacing w:line="56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35、付款</w:t>
      </w:r>
      <w:r/>
    </w:p>
    <w:p>
      <w:pPr>
        <w:ind w:firstLine="482"/>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bookmarkStart w:id="176" w:name="EBec7f529f50594afd871ea9378869e456"/>
      <w:r>
        <w:rPr>
          <w:rFonts w:hint="eastAsia" w:ascii="宋体" w:hAnsi="宋体" w:eastAsia="宋体" w:cs="宋体"/>
          <w:bCs/>
          <w:color w:val="auto"/>
          <w:sz w:val="24"/>
          <w:highlight w:val="none"/>
        </w:rPr>
        <w:t xml:space="preserve">按照以下</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lang w:val="en-US" w:eastAsia="zh-CN"/>
        </w:rPr>
        <w:t xml:space="preserve">2</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76"/>
      <w:r/>
      <w:r/>
    </w:p>
    <w:p>
      <w:pPr>
        <w:ind w:firstLine="482"/>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（1）货物类项目</w:t>
      </w:r>
      <w:r/>
    </w:p>
    <w:p>
      <w:pPr>
        <w:ind w:firstLine="482"/>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预付款：合同金额的</w:t>
      </w:r>
      <w:r>
        <w:rPr>
          <w:rFonts w:hint="eastAsia" w:ascii="宋体" w:hAnsi="宋体" w:eastAsia="宋体" w:cs="宋体"/>
          <w:bCs/>
          <w:color w:val="auto"/>
          <w:sz w:val="24"/>
          <w:highlight w:val="none"/>
          <w:u w:val="single"/>
          <w:lang w:val="en-US" w:eastAsia="zh-CN"/>
        </w:rPr>
        <w:t xml:space="preserve">/</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，合同签订后按规定支付； </w:t>
      </w:r>
      <w:r/>
    </w:p>
    <w:p>
      <w:pPr>
        <w:ind w:firstLine="482"/>
        <w:pageBreakBefore w:val="0"/>
        <w:spacing w:line="560" w:lineRule="exact"/>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进度款：</w:t>
      </w:r>
      <w:bookmarkStart w:id="177" w:name="EBf1f8b954f7504a2cb44cef25707c76a6"/>
      <w:r/>
      <w:bookmarkEnd w:id="177"/>
      <w:r>
        <w:rPr>
          <w:rFonts w:hint="eastAsia" w:ascii="宋体" w:hAnsi="宋体" w:eastAsia="宋体" w:cs="宋体"/>
          <w:bCs/>
          <w:color w:val="auto"/>
          <w:sz w:val="24"/>
          <w:highlight w:val="none"/>
          <w:u w:val="single"/>
          <w:lang w:val="en-US" w:eastAsia="zh-CN"/>
        </w:rPr>
        <w:t xml:space="preserve">/</w:t>
      </w:r>
      <w:r>
        <w:rPr>
          <w:rFonts w:hint="eastAsia" w:ascii="宋体" w:hAnsi="宋体" w:eastAsia="宋体" w:cs="宋体"/>
          <w:bCs/>
          <w:color w:val="auto"/>
          <w:sz w:val="24"/>
          <w:highlight w:val="none"/>
          <w:u w:val="single"/>
        </w:rPr>
        <w:t xml:space="preserve">。</w:t>
      </w:r>
      <w:r/>
    </w:p>
    <w:p>
      <w:pPr>
        <w:ind w:firstLine="482"/>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（2）服务类项目</w:t>
      </w:r>
      <w:r/>
    </w:p>
    <w:p>
      <w:pPr>
        <w:ind w:firstLine="482"/>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预付款：合同金额的</w:t>
      </w:r>
      <w:bookmarkStart w:id="178" w:name="EBe373fd05aa034cc3a1a41aadf8509e01"/>
      <w:r>
        <w:rPr>
          <w:rFonts w:hint="eastAsia" w:ascii="宋体" w:hAnsi="宋体" w:eastAsia="宋体" w:cs="宋体"/>
          <w:bCs/>
          <w:color w:val="auto"/>
          <w:sz w:val="24"/>
          <w:highlight w:val="none"/>
          <w:u w:val="single"/>
          <w:lang w:val="en-US" w:eastAsia="zh-CN"/>
        </w:rPr>
        <w:t xml:space="preserve">3</w:t>
      </w:r>
      <w:r>
        <w:rPr>
          <w:rFonts w:hint="eastAsia" w:ascii="宋体" w:hAnsi="宋体" w:eastAsia="宋体" w:cs="宋体"/>
          <w:bCs/>
          <w:color w:val="auto"/>
          <w:sz w:val="24"/>
          <w:highlight w:val="none"/>
          <w:u w:val="single"/>
          <w:lang w:val="en-US" w:eastAsia="zh-CN"/>
        </w:rPr>
        <w:t xml:space="preserve">0</w:t>
      </w:r>
      <w:r>
        <w:rPr>
          <w:rFonts w:hint="eastAsia" w:ascii="宋体" w:hAnsi="宋体" w:eastAsia="宋体" w:cs="宋体"/>
          <w:bCs/>
          <w:color w:val="auto"/>
          <w:sz w:val="24"/>
          <w:highlight w:val="none"/>
        </w:rPr>
        <w:t xml:space="preserve">%</w:t>
      </w:r>
      <w:bookmarkEnd w:id="178"/>
      <w:r>
        <w:rPr>
          <w:rFonts w:hint="eastAsia" w:ascii="宋体" w:hAnsi="宋体" w:eastAsia="宋体" w:cs="宋体"/>
          <w:bCs/>
          <w:color w:val="auto"/>
          <w:sz w:val="24"/>
          <w:highlight w:val="none"/>
        </w:rPr>
        <w:t xml:space="preserve">，合同签订后按规定支付；</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Cs/>
          <w:color w:val="auto"/>
          <w:sz w:val="24"/>
          <w:highlight w:val="none"/>
        </w:rPr>
        <w:t xml:space="preserve">进度款：</w:t>
      </w:r>
      <w:bookmarkStart w:id="179" w:name="EB5e42c1c1be704ecfa15d9f8f317e8f12"/>
      <w:r/>
      <w:bookmarkEnd w:id="179"/>
      <w:r>
        <w:rPr>
          <w:rFonts w:hint="eastAsia" w:ascii="宋体" w:hAnsi="宋体" w:eastAsia="宋体" w:cs="宋体"/>
          <w:b w:val="0"/>
          <w:bCs/>
          <w:color w:val="auto"/>
          <w:sz w:val="24"/>
          <w:szCs w:val="24"/>
          <w:highlight w:val="none"/>
          <w:shd w:val="clear" w:color="auto" w:fill="auto"/>
          <w:lang w:val="en-US" w:eastAsia="zh-CN" w:bidi="ar-SA"/>
        </w:rPr>
        <w:t xml:space="preserve">服务至2026年10月31日，乙方对工作情况形成书面报告报甲方，经甲方考核确认合同规定的服务内容均完成后，甲方支付合同价款的27%；服务至2027年3月31日，乙方对工作情况形成书面报告报甲方，经甲方考核确认合同规定的服务内容均完成后，甲方支付合同价款的20%；乙方履约结束并提交成果资料后，甲方在10日内组织项目验收，并根据考核结果支付合同价款的23%。</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val="0"/>
          <w:bCs/>
          <w:color w:val="auto"/>
          <w:sz w:val="24"/>
          <w:szCs w:val="24"/>
          <w:highlight w:val="none"/>
          <w:shd w:val="clear" w:color="auto" w:fill="auto"/>
          <w:lang w:val="en-US" w:eastAsia="zh-CN" w:bidi="ar-SA"/>
        </w:rPr>
        <w:t xml:space="preserve">在分阶段考核及项目验收时</w:t>
      </w:r>
      <w:r>
        <w:rPr>
          <w:rFonts w:hint="eastAsia" w:ascii="宋体" w:hAnsi="宋体" w:eastAsia="宋体" w:cs="宋体"/>
          <w:b/>
          <w:bCs w:val="0"/>
          <w:color w:val="auto"/>
          <w:sz w:val="24"/>
          <w:szCs w:val="24"/>
          <w:highlight w:val="none"/>
          <w:shd w:val="clear" w:color="auto" w:fill="auto"/>
          <w:lang w:val="en-US" w:eastAsia="zh-CN" w:bidi="ar-SA"/>
        </w:rPr>
        <w:t xml:space="preserve">，如发生扣分情况，甲方按考核方案规定扣除</w:t>
      </w:r>
      <w:r>
        <w:rPr>
          <w:rFonts w:hint="eastAsia" w:ascii="Times New Roman" w:hAnsi="Times New Roman" w:eastAsia="宋体" w:cs="Times New Roman"/>
          <w:b w:val="0"/>
          <w:color w:val="auto"/>
          <w:sz w:val="24"/>
          <w:highlight w:val="none"/>
        </w:rPr>
        <w:t xml:space="preserve">违约金</w:t>
      </w:r>
      <w:r>
        <w:rPr>
          <w:rFonts w:hint="eastAsia" w:ascii="Times New Roman" w:hAnsi="Times New Roman" w:eastAsia="宋体" w:cs="Times New Roman"/>
          <w:b w:val="0"/>
          <w:color w:val="auto"/>
          <w:sz w:val="24"/>
          <w:highlight w:val="none"/>
          <w:lang w:eastAsia="zh-CN"/>
        </w:rPr>
        <w:t xml:space="preserve">后付款。</w:t>
      </w:r>
      <w:r>
        <w:rPr>
          <w:rFonts w:hint="eastAsia" w:ascii="宋体" w:hAnsi="宋体" w:eastAsia="宋体" w:cs="宋体"/>
          <w:b/>
          <w:bCs w:val="0"/>
          <w:color w:val="auto"/>
          <w:sz w:val="24"/>
          <w:szCs w:val="24"/>
          <w:highlight w:val="none"/>
          <w:shd w:val="clear" w:color="auto" w:fill="auto"/>
          <w:lang w:val="en-US" w:eastAsia="zh-CN" w:bidi="ar-SA"/>
        </w:rPr>
        <w:t xml:space="preserve">  </w:t>
      </w:r>
      <w:r/>
    </w:p>
    <w:p>
      <w:pPr>
        <w:numPr>
          <w:ilvl w:val="0"/>
          <w:numId w:val="4"/>
        </w:numPr>
        <w:ind w:firstLine="482"/>
        <w:pageBreakBefore w:val="0"/>
        <w:spacing w:line="56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工程类项目</w:t>
      </w:r>
      <w:r/>
    </w:p>
    <w:p>
      <w:pPr>
        <w:ind w:firstLine="482"/>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预付款：合同金额的</w:t>
      </w:r>
      <w:r>
        <w:rPr>
          <w:rFonts w:hint="eastAsia" w:ascii="宋体" w:hAnsi="宋体" w:eastAsia="宋体" w:cs="宋体"/>
          <w:bCs/>
          <w:color w:val="auto"/>
          <w:sz w:val="24"/>
          <w:highlight w:val="none"/>
          <w:u w:val="single"/>
          <w:lang w:val="en-US" w:eastAsia="zh-CN"/>
        </w:rPr>
        <w:t xml:space="preserve">/</w:t>
      </w:r>
      <w:r>
        <w:rPr>
          <w:rFonts w:hint="eastAsia" w:ascii="宋体" w:hAnsi="宋体" w:eastAsia="宋体" w:cs="宋体"/>
          <w:bCs/>
          <w:color w:val="auto"/>
          <w:sz w:val="24"/>
          <w:highlight w:val="none"/>
        </w:rPr>
        <w:t xml:space="preserve">%，合同签订后按规定支付；</w:t>
      </w:r>
      <w:r>
        <w:rPr>
          <w:rFonts w:hint="eastAsia" w:ascii="宋体" w:hAnsi="宋体" w:eastAsia="宋体" w:cs="宋体"/>
          <w:color w:val="auto"/>
          <w:sz w:val="24"/>
          <w:highlight w:val="none"/>
        </w:rPr>
        <w:t xml:space="preserve"> </w:t>
      </w:r>
      <w:r/>
    </w:p>
    <w:p>
      <w:pPr>
        <w:ind w:firstLine="482"/>
        <w:pageBreakBefore w:val="0"/>
        <w:spacing w:line="5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进度款：</w:t>
      </w:r>
      <w:r>
        <w:rPr>
          <w:rFonts w:hint="eastAsia" w:ascii="宋体" w:hAnsi="宋体" w:eastAsia="宋体" w:cs="宋体"/>
          <w:bCs/>
          <w:color w:val="auto"/>
          <w:sz w:val="24"/>
          <w:highlight w:val="none"/>
          <w:u w:val="single"/>
          <w:lang w:val="en-US" w:eastAsia="zh-CN"/>
        </w:rPr>
        <w:t xml:space="preserve">/</w:t>
      </w:r>
      <w:r>
        <w:rPr>
          <w:rFonts w:hint="eastAsia" w:ascii="宋体" w:hAnsi="宋体" w:eastAsia="宋体" w:cs="宋体"/>
          <w:bCs/>
          <w:color w:val="auto"/>
          <w:sz w:val="24"/>
          <w:highlight w:val="none"/>
        </w:rPr>
        <w:t xml:space="preserve">。</w:t>
      </w:r>
      <w:r/>
    </w:p>
    <w:p>
      <w:pPr>
        <w:ind w:firstLine="480"/>
        <w:pageBreakBefore w:val="0"/>
        <w:spacing w:line="560" w:lineRule="exact"/>
        <w:widowControl w:val="off"/>
        <w:rPr>
          <w:rFonts w:hint="eastAsia" w:ascii="宋体" w:hAnsi="宋体" w:eastAsia="宋体" w:cs="宋体"/>
          <w:bCs/>
          <w:color w:val="auto"/>
          <w:sz w:val="24"/>
          <w:szCs w:val="24"/>
          <w:highlight w:val="none"/>
        </w:rPr>
      </w:pPr>
      <w:r/>
      <w:bookmarkStart w:id="180" w:name="EB11398ec6946f4019bc4c35221e27b04f"/>
      <w:r>
        <w:rPr>
          <w:rFonts w:hint="eastAsia" w:ascii="宋体" w:hAnsi="宋体" w:eastAsia="宋体" w:cs="宋体"/>
          <w:bCs/>
          <w:color w:val="auto"/>
          <w:sz w:val="24"/>
          <w:highlight w:val="none"/>
        </w:rPr>
        <w:t xml:space="preserve">注：在签订合同时，</w:t>
      </w:r>
      <w:r>
        <w:rPr>
          <w:rFonts w:hint="eastAsia" w:ascii="宋体" w:hAnsi="宋体" w:eastAsia="宋体" w:cs="宋体"/>
          <w:bCs/>
          <w:color w:val="auto"/>
          <w:sz w:val="24"/>
          <w:highlight w:val="none"/>
          <w:lang w:val="en-US" w:eastAsia="zh-CN"/>
        </w:rPr>
        <w:t xml:space="preserve">成交人</w:t>
      </w:r>
      <w:r>
        <w:rPr>
          <w:rFonts w:hint="eastAsia" w:ascii="宋体" w:hAnsi="宋体" w:eastAsia="宋体" w:cs="宋体"/>
          <w:bCs/>
          <w:color w:val="auto"/>
          <w:sz w:val="24"/>
          <w:highlight w:val="none"/>
        </w:rPr>
        <w:t xml:space="preserve">明确表示无需预付款或者主动要求降低预付款比例的金额，采购人可不适用预付款规定。</w:t>
      </w:r>
      <w:bookmarkEnd w:id="180"/>
      <w:r/>
      <w:r/>
    </w:p>
    <w:p>
      <w:pPr>
        <w:jc w:val="center"/>
        <w:keepNext/>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44"/>
          <w:szCs w:val="28"/>
          <w:highlight w:val="none"/>
        </w:rPr>
        <w:br w:type="page" w:clear="all"/>
      </w:r>
      <w:bookmarkStart w:id="181" w:name="_Toc5369"/>
      <w:r>
        <w:rPr>
          <w:rFonts w:hint="eastAsia" w:ascii="黑体" w:hAnsi="黑体" w:eastAsia="黑体" w:cs="黑体"/>
          <w:color w:val="auto"/>
          <w:sz w:val="44"/>
          <w:szCs w:val="44"/>
          <w:highlight w:val="none"/>
        </w:rPr>
        <w:t xml:space="preserve">第三章  合同</w:t>
      </w:r>
      <w:bookmarkEnd w:id="171"/>
      <w:r/>
      <w:bookmarkEnd w:id="172"/>
      <w:r/>
      <w:bookmarkEnd w:id="173"/>
      <w:r/>
      <w:bookmarkEnd w:id="174"/>
      <w:r/>
      <w:bookmarkEnd w:id="175"/>
      <w:r>
        <w:rPr>
          <w:rFonts w:hint="eastAsia" w:ascii="黑体" w:hAnsi="黑体" w:eastAsia="黑体" w:cs="黑体"/>
          <w:color w:val="auto"/>
          <w:sz w:val="44"/>
          <w:szCs w:val="44"/>
          <w:highlight w:val="none"/>
        </w:rPr>
        <w:t xml:space="preserve">文本</w:t>
      </w:r>
      <w:bookmarkEnd w:id="181"/>
      <w:r/>
      <w:r/>
    </w:p>
    <w:p>
      <w:pPr>
        <w:ind w:firstLine="480"/>
        <w:spacing w:line="500" w:lineRule="exact"/>
        <w:rPr>
          <w:rFonts w:hint="eastAsia" w:ascii="宋体" w:hAnsi="宋体" w:eastAsia="宋体" w:cs="宋体"/>
          <w:bCs/>
          <w:color w:val="auto"/>
          <w:sz w:val="24"/>
          <w:szCs w:val="21"/>
          <w:highlight w:val="none"/>
        </w:rPr>
      </w:pPr>
      <w:r/>
      <w:bookmarkStart w:id="182" w:name="_Toc513029243"/>
      <w:r/>
      <w:bookmarkStart w:id="183" w:name="_Toc16938559"/>
      <w:r/>
      <w:bookmarkStart w:id="184" w:name="_Toc20823315"/>
      <w:r>
        <w:rPr>
          <w:rFonts w:hint="eastAsia" w:ascii="宋体" w:hAnsi="宋体" w:eastAsia="宋体" w:cs="宋体"/>
          <w:bCs/>
          <w:color w:val="auto"/>
          <w:sz w:val="24"/>
          <w:szCs w:val="21"/>
          <w:highlight w:val="none"/>
        </w:rPr>
        <w:t xml:space="preserve">以下为成交后签定本项目合同的通用条款，成交供应商不得提出实质性的修改。</w:t>
      </w:r>
      <w:bookmarkEnd w:id="182"/>
      <w:r/>
      <w:bookmarkEnd w:id="183"/>
      <w:r/>
      <w:bookmarkEnd w:id="184"/>
      <w:r/>
      <w:r/>
    </w:p>
    <w:p>
      <w:pPr>
        <w:jc w:val="center"/>
        <w:rPr>
          <w:rFonts w:hint="eastAsia" w:ascii="黑体" w:hAnsi="黑体" w:eastAsia="黑体" w:cs="黑体"/>
          <w:color w:val="auto"/>
          <w:sz w:val="32"/>
          <w:szCs w:val="32"/>
          <w:highlight w:val="none"/>
        </w:rPr>
      </w:pPr>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cs="黑体"/>
          <w:color w:val="auto"/>
          <w:sz w:val="32"/>
          <w:szCs w:val="32"/>
          <w:highlight w:val="none"/>
        </w:rPr>
        <w:t xml:space="preserve">江苏省政府采购合同（服务）（合同编号）</w:t>
      </w:r>
      <w:r/>
    </w:p>
    <w:p>
      <w:pPr>
        <w:pStyle w:val="877"/>
        <w:spacing w:before="120" w:after="12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项目名称：</w:t>
      </w:r>
      <w:r>
        <w:rPr>
          <w:rFonts w:hint="eastAsia" w:hAnsi="宋体" w:cs="宋体"/>
          <w:caps w:val="0"/>
          <w:color w:val="auto"/>
          <w:sz w:val="24"/>
          <w:szCs w:val="24"/>
          <w:highlight w:val="none"/>
          <w:lang w:eastAsia="zh-CN"/>
        </w:rPr>
        <w:t xml:space="preserve">宿迁市市场监督管理局2026年度12315投诉举报热线暨96333电梯应急救援处置中心服务外包项目</w:t>
      </w:r>
      <w:r>
        <w:rPr>
          <w:rFonts w:hint="eastAsia" w:ascii="宋体" w:hAnsi="宋体" w:eastAsia="宋体" w:cs="宋体"/>
          <w:caps w:val="0"/>
          <w:color w:val="auto"/>
          <w:sz w:val="24"/>
          <w:szCs w:val="24"/>
          <w:highlight w:val="none"/>
        </w:rPr>
        <w:t xml:space="preserve">              </w:t>
      </w:r>
      <w:r/>
    </w:p>
    <w:p>
      <w:pPr>
        <w:pStyle w:val="877"/>
        <w:spacing w:before="120" w:after="12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项目编号：</w:t>
      </w:r>
      <w:r/>
    </w:p>
    <w:p>
      <w:pPr>
        <w:pStyle w:val="877"/>
        <w:spacing w:before="120" w:after="120"/>
        <w:rPr>
          <w:rFonts w:hint="eastAsia" w:ascii="宋体" w:hAnsi="宋体" w:eastAsia="宋体" w:cs="宋体"/>
          <w:caps w:val="0"/>
          <w:color w:val="auto"/>
          <w:sz w:val="24"/>
          <w:szCs w:val="24"/>
          <w:highlight w:val="none"/>
          <w:lang w:eastAsia="zh-CN"/>
        </w:rPr>
      </w:pPr>
      <w:r>
        <w:rPr>
          <w:rFonts w:hint="eastAsia" w:ascii="宋体" w:hAnsi="宋体" w:eastAsia="宋体" w:cs="宋体"/>
          <w:caps w:val="0"/>
          <w:color w:val="auto"/>
          <w:sz w:val="24"/>
          <w:szCs w:val="24"/>
          <w:highlight w:val="none"/>
        </w:rPr>
        <w:t xml:space="preserve">甲方：（买方）</w:t>
      </w:r>
      <w:r>
        <w:rPr>
          <w:rFonts w:hint="eastAsia" w:hAnsi="宋体" w:cs="宋体"/>
          <w:caps w:val="0"/>
          <w:color w:val="auto"/>
          <w:sz w:val="24"/>
          <w:szCs w:val="24"/>
          <w:highlight w:val="none"/>
          <w:lang w:eastAsia="zh-CN"/>
        </w:rPr>
        <w:t xml:space="preserve">宿迁市市场监督管理局、宿迁市楚润数据集团有限公司</w:t>
      </w:r>
      <w:r/>
    </w:p>
    <w:p>
      <w:pPr>
        <w:pStyle w:val="877"/>
        <w:spacing w:before="120" w:after="12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乙方：（卖方）_________</w:t>
      </w:r>
      <w:r/>
    </w:p>
    <w:p>
      <w:pPr>
        <w:pStyle w:val="877"/>
        <w:spacing w:before="120" w:after="120"/>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   </w:t>
      </w:r>
      <w:r>
        <w:rPr>
          <w:rFonts w:hint="eastAsia" w:ascii="宋体" w:hAnsi="宋体" w:eastAsia="宋体" w:cs="宋体"/>
          <w:caps w:val="0"/>
          <w:color w:val="auto"/>
          <w:sz w:val="24"/>
          <w:szCs w:val="24"/>
          <w:highlight w:val="none"/>
        </w:rPr>
        <w:t xml:space="preserve">甲、乙双方根据</w:t>
      </w:r>
      <w:r>
        <w:rPr>
          <w:rFonts w:hint="eastAsia" w:hAnsi="宋体" w:cs="宋体"/>
          <w:caps w:val="0"/>
          <w:color w:val="auto"/>
          <w:sz w:val="24"/>
          <w:szCs w:val="24"/>
          <w:highlight w:val="none"/>
          <w:u w:val="single"/>
          <w:lang w:eastAsia="zh-CN"/>
        </w:rPr>
        <w:t xml:space="preserve">宿迁市市场监督管理局2026年度12315投诉举报热线暨96333电梯应急救援处置中心服务外包项目</w:t>
      </w:r>
      <w:r>
        <w:rPr>
          <w:rFonts w:hint="eastAsia" w:hAnsi="宋体" w:cs="宋体"/>
          <w:caps w:val="0"/>
          <w:color w:val="auto"/>
          <w:sz w:val="24"/>
          <w:szCs w:val="24"/>
          <w:highlight w:val="none"/>
          <w:lang w:val="en-US" w:eastAsia="zh-CN"/>
        </w:rPr>
        <w:t xml:space="preserve">竞争性磋商</w:t>
      </w:r>
      <w:r>
        <w:rPr>
          <w:rFonts w:hint="eastAsia" w:ascii="宋体" w:hAnsi="宋体" w:eastAsia="宋体" w:cs="宋体"/>
          <w:caps w:val="0"/>
          <w:color w:val="auto"/>
          <w:sz w:val="24"/>
          <w:szCs w:val="24"/>
          <w:highlight w:val="none"/>
        </w:rPr>
        <w:t xml:space="preserve">的结果，签署本合同。</w:t>
      </w:r>
      <w:r/>
    </w:p>
    <w:p>
      <w:pPr>
        <w:pStyle w:val="877"/>
        <w:spacing w:before="120" w:after="120"/>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一、合同内容</w:t>
      </w:r>
      <w:r/>
    </w:p>
    <w:p>
      <w:pPr>
        <w:pStyle w:val="877"/>
        <w:ind w:firstLine="480"/>
        <w:spacing w:before="120" w:after="120"/>
        <w:rPr>
          <w:rFonts w:hint="eastAsia" w:ascii="宋体" w:hAnsi="宋体" w:eastAsia="宋体" w:cs="宋体"/>
          <w:caps w:val="0"/>
          <w:color w:val="auto"/>
          <w:sz w:val="24"/>
          <w:szCs w:val="24"/>
          <w:highlight w:val="none"/>
          <w:lang w:val="zh-CN" w:eastAsia="zh-CN" w:bidi="ar-SA"/>
        </w:rPr>
      </w:pPr>
      <w:r>
        <w:rPr>
          <w:rFonts w:hint="eastAsia" w:ascii="宋体" w:hAnsi="宋体" w:eastAsia="宋体" w:cs="宋体"/>
          <w:caps w:val="0"/>
          <w:color w:val="auto"/>
          <w:sz w:val="24"/>
          <w:szCs w:val="24"/>
          <w:highlight w:val="none"/>
          <w:lang w:val="zh-CN" w:eastAsia="zh-CN" w:bidi="ar-SA"/>
        </w:rPr>
        <w:t xml:space="preserve">1.1 标的名称：</w:t>
      </w:r>
      <w:r>
        <w:rPr>
          <w:rFonts w:hint="eastAsia" w:hAnsi="宋体" w:cs="宋体"/>
          <w:caps w:val="0"/>
          <w:color w:val="auto"/>
          <w:sz w:val="24"/>
          <w:szCs w:val="24"/>
          <w:highlight w:val="none"/>
          <w:lang w:val="zh-CN" w:eastAsia="zh-CN" w:bidi="ar-SA"/>
        </w:rPr>
        <w:t xml:space="preserve">宿迁市市场监督管理局2026年度12315投诉举报热线暨96333电梯应急救援处置中心服务外包项目。</w:t>
      </w:r>
      <w:r/>
    </w:p>
    <w:p>
      <w:pPr>
        <w:pStyle w:val="877"/>
        <w:ind w:firstLine="480"/>
        <w:spacing w:before="120" w:after="120"/>
        <w:rPr>
          <w:rFonts w:hint="eastAsia" w:ascii="宋体" w:hAnsi="宋体" w:eastAsia="宋体" w:cs="宋体"/>
          <w:caps w:val="0"/>
          <w:color w:val="auto"/>
          <w:sz w:val="24"/>
          <w:szCs w:val="24"/>
          <w:highlight w:val="none"/>
          <w:lang w:val="zh-CN" w:eastAsia="zh-CN" w:bidi="ar-SA"/>
        </w:rPr>
      </w:pPr>
      <w:r>
        <w:rPr>
          <w:rFonts w:hint="eastAsia" w:ascii="宋体" w:hAnsi="宋体" w:eastAsia="宋体" w:cs="宋体"/>
          <w:caps w:val="0"/>
          <w:color w:val="auto"/>
          <w:sz w:val="24"/>
          <w:szCs w:val="24"/>
          <w:highlight w:val="none"/>
          <w:lang w:val="zh-CN" w:eastAsia="zh-CN" w:bidi="ar-SA"/>
        </w:rPr>
        <w:t xml:space="preserve">1.2</w:t>
      </w:r>
      <w:r>
        <w:rPr>
          <w:rFonts w:hint="eastAsia" w:ascii="宋体" w:hAnsi="宋体" w:eastAsia="宋体" w:cs="宋体"/>
          <w:caps w:val="0"/>
          <w:color w:val="auto"/>
          <w:sz w:val="24"/>
          <w:szCs w:val="24"/>
          <w:highlight w:val="none"/>
          <w:lang w:val="en-US" w:eastAsia="zh-CN" w:bidi="ar-SA"/>
        </w:rPr>
        <w:t xml:space="preserve"> </w:t>
      </w:r>
      <w:r>
        <w:rPr>
          <w:rFonts w:hint="eastAsia" w:ascii="宋体" w:hAnsi="宋体" w:eastAsia="宋体" w:cs="宋体"/>
          <w:caps w:val="0"/>
          <w:color w:val="auto"/>
          <w:sz w:val="24"/>
          <w:szCs w:val="24"/>
          <w:highlight w:val="none"/>
          <w:lang w:val="zh-CN" w:eastAsia="zh-CN" w:bidi="ar-SA"/>
        </w:rPr>
        <w:t xml:space="preserve">标的质量：符合国家技术规范、标准及规程要求。</w:t>
      </w:r>
      <w:r/>
    </w:p>
    <w:p>
      <w:pPr>
        <w:pStyle w:val="877"/>
        <w:ind w:firstLine="480"/>
        <w:spacing w:before="120" w:after="120"/>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zh-CN" w:eastAsia="zh-CN" w:bidi="ar-SA"/>
        </w:rPr>
        <w:t xml:space="preserve">1.3 标的数量（规模）：</w:t>
      </w:r>
      <w:r>
        <w:rPr>
          <w:rFonts w:hint="eastAsia" w:ascii="宋体" w:hAnsi="宋体" w:eastAsia="宋体" w:cs="宋体"/>
          <w:caps w:val="0"/>
          <w:color w:val="auto"/>
          <w:sz w:val="24"/>
          <w:szCs w:val="24"/>
          <w:highlight w:val="none"/>
          <w:lang w:val="en-US" w:eastAsia="zh-CN" w:bidi="ar-SA"/>
        </w:rPr>
        <w:t xml:space="preserve">1项</w:t>
      </w:r>
      <w:r/>
    </w:p>
    <w:p>
      <w:pPr>
        <w:pStyle w:val="877"/>
        <w:ind w:firstLine="480"/>
        <w:spacing w:before="120" w:after="120"/>
        <w:rPr>
          <w:rFonts w:hint="eastAsia" w:hAnsi="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zh-CN" w:eastAsia="zh-CN" w:bidi="ar-SA"/>
        </w:rPr>
        <w:t xml:space="preserve">1.4 </w:t>
      </w:r>
      <w:r>
        <w:rPr>
          <w:rFonts w:hint="eastAsia" w:ascii="宋体" w:hAnsi="宋体" w:eastAsia="宋体" w:cs="宋体"/>
          <w:caps w:val="0"/>
          <w:color w:val="auto"/>
          <w:sz w:val="24"/>
          <w:szCs w:val="24"/>
          <w:highlight w:val="none"/>
          <w:lang w:val="en-US" w:eastAsia="zh-CN" w:bidi="ar-SA"/>
        </w:rPr>
        <w:t xml:space="preserve">合同履行期限</w:t>
      </w:r>
      <w:r>
        <w:rPr>
          <w:rFonts w:hint="eastAsia" w:ascii="宋体" w:hAnsi="宋体" w:eastAsia="宋体" w:cs="宋体"/>
          <w:caps w:val="0"/>
          <w:color w:val="auto"/>
          <w:sz w:val="24"/>
          <w:szCs w:val="24"/>
          <w:highlight w:val="none"/>
          <w:lang w:val="zh-CN" w:eastAsia="zh-CN" w:bidi="ar-SA"/>
        </w:rPr>
        <w:t xml:space="preserve">：</w:t>
      </w:r>
      <w:r>
        <w:rPr>
          <w:rFonts w:hint="eastAsia" w:hAnsi="宋体" w:cs="宋体"/>
          <w:caps w:val="0"/>
          <w:color w:val="auto"/>
          <w:sz w:val="24"/>
          <w:szCs w:val="24"/>
          <w:highlight w:val="none"/>
          <w:lang w:val="en-US" w:eastAsia="zh-CN" w:bidi="ar-SA"/>
        </w:rPr>
        <w:t xml:space="preserve">一年</w:t>
      </w:r>
      <w:r/>
    </w:p>
    <w:p>
      <w:pPr>
        <w:pStyle w:val="877"/>
        <w:ind w:firstLine="480"/>
        <w:spacing w:before="120" w:after="120"/>
        <w:rPr>
          <w:rFonts w:hint="eastAsia" w:ascii="宋体" w:hAnsi="宋体" w:eastAsia="宋体" w:cs="宋体"/>
          <w:caps w:val="0"/>
          <w:color w:val="auto"/>
          <w:sz w:val="24"/>
          <w:szCs w:val="24"/>
          <w:highlight w:val="none"/>
          <w:lang w:val="en-US" w:eastAsia="zh-CN" w:bidi="ar-SA"/>
        </w:rPr>
      </w:pPr>
      <w:r>
        <w:rPr>
          <w:rFonts w:hint="eastAsia" w:ascii="宋体" w:hAnsi="宋体" w:eastAsia="宋体" w:cs="宋体"/>
          <w:caps w:val="0"/>
          <w:color w:val="auto"/>
          <w:sz w:val="24"/>
          <w:szCs w:val="24"/>
          <w:highlight w:val="none"/>
          <w:lang w:val="zh-CN" w:eastAsia="zh-CN" w:bidi="ar-SA"/>
        </w:rPr>
        <w:t xml:space="preserve">1.5 履行地点：</w:t>
      </w:r>
      <w:r>
        <w:rPr>
          <w:rFonts w:hint="eastAsia" w:ascii="宋体" w:hAnsi="宋体" w:eastAsia="宋体" w:cs="宋体"/>
          <w:caps w:val="0"/>
          <w:color w:val="auto"/>
          <w:sz w:val="24"/>
          <w:szCs w:val="24"/>
          <w:highlight w:val="none"/>
          <w:lang w:val="en-US" w:eastAsia="zh-CN" w:bidi="ar-SA"/>
        </w:rPr>
        <w:t xml:space="preserve">宿迁市中心城区，具体由采购人指定。</w:t>
      </w:r>
      <w:r/>
    </w:p>
    <w:p>
      <w:pPr>
        <w:pStyle w:val="877"/>
        <w:spacing w:before="120" w:after="120"/>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二、合同金额</w:t>
      </w:r>
      <w:r/>
    </w:p>
    <w:p>
      <w:pPr>
        <w:pStyle w:val="877"/>
        <w:ind w:left="410" w:hanging="410"/>
        <w:spacing w:before="120" w:after="120"/>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本合同金额为（大写）：</w:t>
      </w:r>
      <w:r>
        <w:rPr>
          <w:rFonts w:hint="eastAsia" w:hAnsi="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人民币。</w:t>
      </w:r>
      <w:r/>
    </w:p>
    <w:p>
      <w:pPr>
        <w:pStyle w:val="877"/>
        <w:spacing w:before="120" w:after="120"/>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三、技术资料</w:t>
      </w:r>
      <w:r/>
    </w:p>
    <w:p>
      <w:pPr>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lang w:val="zh-CN" w:eastAsia="zh-CN"/>
        </w:rPr>
      </w:pPr>
      <w:r>
        <w:rPr>
          <w:rFonts w:hint="eastAsia" w:ascii="宋体" w:hAnsi="宋体" w:eastAsia="宋体" w:cs="宋体"/>
          <w:caps w:val="0"/>
          <w:color w:val="auto"/>
          <w:sz w:val="24"/>
          <w:szCs w:val="24"/>
          <w:highlight w:val="none"/>
          <w:lang w:val="zh-CN" w:eastAsia="zh-CN"/>
        </w:rPr>
        <w:t xml:space="preserve">3.1乙方应按招标文件规定的时间向甲方提供服务（包含与服务相关的货物）的有关技术资料。</w:t>
      </w:r>
      <w:r/>
    </w:p>
    <w:p>
      <w:pPr>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lang w:val="zh-CN" w:eastAsia="zh-CN"/>
        </w:rPr>
      </w:pPr>
      <w:r>
        <w:rPr>
          <w:rFonts w:hint="eastAsia" w:ascii="宋体" w:hAnsi="宋体" w:eastAsia="宋体" w:cs="宋体"/>
          <w:caps w:val="0"/>
          <w:color w:val="auto"/>
          <w:sz w:val="24"/>
          <w:szCs w:val="24"/>
          <w:highlight w:val="none"/>
          <w:lang w:val="zh-CN"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7"/>
        <w:spacing w:before="120" w:after="120"/>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四、知识产权</w:t>
      </w:r>
      <w:r/>
    </w:p>
    <w:p>
      <w:pPr>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lang w:val="zh-CN" w:eastAsia="zh-CN"/>
        </w:rPr>
      </w:pPr>
      <w:r>
        <w:rPr>
          <w:rFonts w:hint="eastAsia" w:ascii="宋体" w:hAnsi="宋体" w:eastAsia="宋体" w:cs="宋体"/>
          <w:caps w:val="0"/>
          <w:color w:val="auto"/>
          <w:sz w:val="24"/>
          <w:szCs w:val="24"/>
          <w:highlight w:val="none"/>
          <w:lang w:val="zh-CN" w:eastAsia="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877"/>
        <w:spacing w:before="120" w:after="120"/>
        <w:rPr>
          <w:rFonts w:hint="eastAsia" w:ascii="宋体" w:hAnsi="宋体" w:eastAsia="宋体" w:cs="宋体"/>
          <w:b/>
          <w:caps w:val="0"/>
          <w:color w:val="auto"/>
          <w:sz w:val="24"/>
          <w:szCs w:val="24"/>
          <w:highlight w:val="none"/>
          <w:lang w:val="en-US" w:eastAsia="zh-CN"/>
        </w:rPr>
      </w:pPr>
      <w:r>
        <w:rPr>
          <w:rFonts w:hint="eastAsia" w:ascii="宋体" w:hAnsi="宋体" w:eastAsia="宋体" w:cs="宋体"/>
          <w:b/>
          <w:caps w:val="0"/>
          <w:color w:val="auto"/>
          <w:sz w:val="24"/>
          <w:szCs w:val="24"/>
          <w:highlight w:val="none"/>
          <w:lang w:val="en-US" w:eastAsia="zh-CN"/>
        </w:rPr>
        <w:t xml:space="preserve">五、考核方案</w:t>
      </w:r>
      <w:r/>
    </w:p>
    <w:p>
      <w:pPr>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lang w:val="zh-CN" w:eastAsia="zh-CN"/>
        </w:rPr>
      </w:pPr>
      <w:r>
        <w:rPr>
          <w:rFonts w:hint="eastAsia" w:ascii="宋体" w:hAnsi="宋体" w:eastAsia="宋体" w:cs="宋体"/>
          <w:caps w:val="0"/>
          <w:color w:val="auto"/>
          <w:sz w:val="24"/>
          <w:szCs w:val="24"/>
          <w:highlight w:val="none"/>
          <w:lang w:val="zh-CN" w:eastAsia="zh-CN"/>
        </w:rPr>
        <w:t xml:space="preserve">见采购需求。</w:t>
      </w:r>
      <w:r/>
    </w:p>
    <w:p>
      <w:pPr>
        <w:pStyle w:val="877"/>
        <w:ind w:left="410" w:hanging="410"/>
        <w:spacing w:before="120" w:after="120"/>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六、履约保证金</w:t>
      </w:r>
      <w:r/>
    </w:p>
    <w:p>
      <w:pPr>
        <w:ind w:firstLine="480"/>
        <w:rPr>
          <w:rFonts w:hint="eastAsia" w:ascii="宋体" w:hAnsi="宋体" w:eastAsia="宋体" w:cs="宋体"/>
          <w:bCs/>
          <w:caps w:val="0"/>
          <w:color w:val="auto"/>
          <w:sz w:val="24"/>
          <w:highlight w:val="none"/>
          <w:lang w:val="en-US" w:eastAsia="zh-CN"/>
        </w:rPr>
      </w:pPr>
      <w:r>
        <w:rPr>
          <w:rFonts w:hint="eastAsia" w:ascii="宋体" w:hAnsi="宋体" w:eastAsia="宋体" w:cs="宋体"/>
          <w:bCs/>
          <w:caps w:val="0"/>
          <w:color w:val="auto"/>
          <w:sz w:val="24"/>
          <w:highlight w:val="none"/>
          <w:lang w:val="en-US" w:eastAsia="zh-CN"/>
        </w:rPr>
        <w:t xml:space="preserve">本项目不收取履约保证金。</w:t>
      </w:r>
      <w:r/>
    </w:p>
    <w:p>
      <w:pPr>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七、合同转包或分包</w:t>
      </w:r>
      <w:r/>
    </w:p>
    <w:p>
      <w:pPr>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7.1乙方不得将合同标的转包给他人履行。</w:t>
      </w:r>
      <w:r/>
    </w:p>
    <w:p>
      <w:pPr>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7.2乙方不得将合同标的分包给他人履行。</w:t>
      </w:r>
      <w:r/>
    </w:p>
    <w:p>
      <w:pPr>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7.3乙方如有转包或未经甲方同意的分包行为，甲方有权解除合同。</w:t>
      </w:r>
      <w:r/>
    </w:p>
    <w:p>
      <w:pPr>
        <w:pStyle w:val="877"/>
        <w:spacing w:before="120" w:after="120"/>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八、合同款项支付</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合同签订后10日内，甲方支付合同价款30%作为预付款；服务至2026年10月31日，乙方对工作情况形成书面报告报甲方，经甲方考核确认合同规定的服务内容均完成后，甲方支付合同价款的27%；服务至2027年3月31日，乙方对工作情况形成书面报告报甲方，经甲方考核确认合同规定的服务内容均完成后，甲方支付合同价款的20%；乙方履约结束并提交成果资料后，甲方在10日内组织项目验收，并根据考核结果支付合同价款的23%。</w:t>
      </w:r>
      <w:r/>
    </w:p>
    <w:p>
      <w:pPr>
        <w:numPr>
          <w:ilvl w:val="0"/>
          <w:numId w:val="0"/>
        </w:numPr>
        <w:ind w:firstLine="480"/>
        <w:keepLines w:val="0"/>
        <w:keepNext w:val="0"/>
        <w:pageBreakBefore w:val="0"/>
        <w:spacing w:line="360" w:lineRule="auto"/>
        <w:widowControl w:val="off"/>
        <w:rPr>
          <w:rFonts w:hint="eastAsia" w:ascii="宋体" w:hAnsi="宋体" w:eastAsia="宋体" w:cs="宋体"/>
          <w:b/>
          <w:bCs/>
          <w:caps w:val="0"/>
          <w:color w:val="auto"/>
          <w:sz w:val="24"/>
          <w:szCs w:val="24"/>
          <w:highlight w:val="none"/>
        </w:rPr>
      </w:pPr>
      <w:r>
        <w:rPr>
          <w:rFonts w:hint="eastAsia" w:ascii="宋体" w:hAnsi="宋体" w:eastAsia="宋体" w:cs="宋体"/>
          <w:b w:val="0"/>
          <w:bCs/>
          <w:color w:val="auto"/>
          <w:sz w:val="24"/>
          <w:szCs w:val="24"/>
          <w:highlight w:val="none"/>
          <w:shd w:val="clear" w:color="auto" w:fill="auto"/>
          <w:lang w:val="en-US" w:eastAsia="zh-CN" w:bidi="ar-SA"/>
        </w:rPr>
        <w:t xml:space="preserve">在分阶段考核及项目验收时</w:t>
      </w:r>
      <w:r>
        <w:rPr>
          <w:rFonts w:hint="eastAsia" w:ascii="宋体" w:hAnsi="宋体" w:eastAsia="宋体" w:cs="宋体"/>
          <w:b/>
          <w:bCs w:val="0"/>
          <w:color w:val="auto"/>
          <w:sz w:val="24"/>
          <w:szCs w:val="24"/>
          <w:highlight w:val="none"/>
          <w:shd w:val="clear" w:color="auto" w:fill="auto"/>
          <w:lang w:val="en-US" w:eastAsia="zh-CN" w:bidi="ar-SA"/>
        </w:rPr>
        <w:t xml:space="preserve">，如发生扣分情况，甲方按考核方案规定扣除</w:t>
      </w:r>
      <w:r>
        <w:rPr>
          <w:rFonts w:hint="eastAsia" w:ascii="Times New Roman" w:hAnsi="Times New Roman" w:eastAsia="宋体" w:cs="Times New Roman"/>
          <w:b w:val="0"/>
          <w:color w:val="auto"/>
          <w:sz w:val="24"/>
          <w:highlight w:val="none"/>
        </w:rPr>
        <w:t xml:space="preserve">违约金</w:t>
      </w:r>
      <w:r>
        <w:rPr>
          <w:rFonts w:hint="eastAsia" w:ascii="Times New Roman" w:hAnsi="Times New Roman" w:eastAsia="宋体" w:cs="Times New Roman"/>
          <w:b w:val="0"/>
          <w:color w:val="auto"/>
          <w:sz w:val="24"/>
          <w:highlight w:val="none"/>
          <w:lang w:eastAsia="zh-CN"/>
        </w:rPr>
        <w:t xml:space="preserve">后付款。</w:t>
      </w:r>
      <w:r>
        <w:rPr>
          <w:rFonts w:hint="eastAsia" w:ascii="宋体" w:hAnsi="宋体" w:eastAsia="宋体" w:cs="宋体"/>
          <w:b/>
          <w:bCs w:val="0"/>
          <w:color w:val="auto"/>
          <w:sz w:val="24"/>
          <w:szCs w:val="24"/>
          <w:highlight w:val="none"/>
          <w:shd w:val="clear" w:color="auto" w:fill="auto"/>
          <w:lang w:val="en-US" w:eastAsia="zh-CN" w:bidi="ar-SA"/>
        </w:rPr>
        <w:t xml:space="preserve">  </w:t>
      </w:r>
      <w:r/>
    </w:p>
    <w:p>
      <w:pPr>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九、税费</w:t>
      </w:r>
      <w:r/>
    </w:p>
    <w:p>
      <w:pPr>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本合同执行中相关的一切税费均由乙方负担。</w:t>
      </w:r>
      <w:r/>
    </w:p>
    <w:p>
      <w:pPr>
        <w:pStyle w:val="877"/>
        <w:spacing w:before="120" w:after="120"/>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十、项目验收</w:t>
      </w:r>
      <w:r/>
    </w:p>
    <w:p>
      <w:pPr>
        <w:pStyle w:val="877"/>
        <w:ind w:left="479" w:firstLine="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10.1 甲方依法组织履约验收工作。</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7"/>
        <w:ind w:left="479" w:firstLine="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10.3 对于实际使用人和甲方分离的项目，甲方邀请实际使用人参与验收。</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10.4如有必要，甲方邀请参加本项目的其他</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或第三方专业机构及专家参与验收，相关意见将作为验收书的参考资料。</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77"/>
        <w:spacing w:before="120" w:after="120"/>
        <w:rPr>
          <w:rFonts w:hint="eastAsia" w:hAnsi="宋体" w:cs="宋体"/>
          <w:b/>
          <w:caps w:val="0"/>
          <w:color w:val="auto"/>
          <w:sz w:val="24"/>
          <w:szCs w:val="24"/>
          <w:highlight w:val="none"/>
          <w:lang w:val="en-US" w:eastAsia="zh-CN"/>
        </w:rPr>
      </w:pPr>
      <w:r>
        <w:rPr>
          <w:rFonts w:hint="eastAsia" w:ascii="宋体" w:hAnsi="宋体" w:eastAsia="宋体" w:cs="宋体"/>
          <w:b/>
          <w:caps w:val="0"/>
          <w:color w:val="auto"/>
          <w:sz w:val="24"/>
          <w:szCs w:val="24"/>
          <w:highlight w:val="none"/>
        </w:rPr>
        <w:t xml:space="preserve">十一、</w:t>
      </w:r>
      <w:r>
        <w:rPr>
          <w:rFonts w:hint="eastAsia" w:hAnsi="宋体" w:cs="宋体"/>
          <w:b/>
          <w:caps w:val="0"/>
          <w:color w:val="auto"/>
          <w:sz w:val="24"/>
          <w:szCs w:val="24"/>
          <w:highlight w:val="none"/>
          <w:lang w:val="en-US" w:eastAsia="zh-CN"/>
        </w:rPr>
        <w:t xml:space="preserve">甲方权利和义务</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11.</w:t>
      </w:r>
      <w:r>
        <w:rPr>
          <w:rFonts w:hint="eastAsia" w:hAnsi="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配置12315热线与省12345平台（民生智慧听）、全国12315平台对接的专线、坐席等软硬件，保障线路畅通。配备12315热线座席线路不少于6条，配备话务员账号不少于8个，包含1个管理账号。</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11.</w:t>
      </w:r>
      <w:r>
        <w:rPr>
          <w:rFonts w:hint="eastAsia" w:hAnsi="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保障中博96333应急处置平台畅通，并配置专线、坐席等必需的软硬件，配备话务员账号不少于6个，包含1个管理账号。</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11.</w:t>
      </w:r>
      <w:r>
        <w:rPr>
          <w:rFonts w:hint="eastAsia"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对服务方工作纪律与工作质量进行监督，提供业务培训指导和帮助。</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11.</w:t>
      </w:r>
      <w:r>
        <w:rPr>
          <w:rFonts w:hint="eastAsia" w:hAnsi="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按合同预定，按时对服务方履约效能进行考核、评价并按合同约定支付服务费用。</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lang w:val="zh-CN"/>
        </w:rPr>
      </w:pPr>
      <w:r>
        <w:rPr>
          <w:rFonts w:hint="eastAsia" w:ascii="宋体" w:hAnsi="宋体" w:eastAsia="宋体" w:cs="宋体"/>
          <w:caps w:val="0"/>
          <w:color w:val="auto"/>
          <w:sz w:val="24"/>
          <w:szCs w:val="24"/>
          <w:highlight w:val="none"/>
          <w:lang w:val="en-US" w:eastAsia="zh-CN"/>
        </w:rPr>
        <w:t xml:space="preserve">11.</w:t>
      </w:r>
      <w:r>
        <w:rPr>
          <w:rFonts w:hint="eastAsia" w:hAnsi="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lang w:val="zh-CN"/>
        </w:rPr>
        <w:t xml:space="preserve">对合同规定范围内乙方的服务行为进行监督和检查，拥有监管权。有权定期核对乙方提供服务所配备的人员数量。对不符合本合同约定的部分有权下达整改通知书，并要求乙方限期整改。</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lang w:val="zh-CN"/>
        </w:rPr>
      </w:pPr>
      <w:r>
        <w:rPr>
          <w:rFonts w:hint="eastAsia" w:ascii="宋体" w:hAnsi="宋体" w:eastAsia="宋体" w:cs="宋体"/>
          <w:caps w:val="0"/>
          <w:color w:val="auto"/>
          <w:sz w:val="24"/>
          <w:szCs w:val="24"/>
          <w:highlight w:val="none"/>
          <w:lang w:val="en-US" w:eastAsia="zh-CN"/>
        </w:rPr>
        <w:t xml:space="preserve">11.</w:t>
      </w:r>
      <w:r>
        <w:rPr>
          <w:rFonts w:hint="eastAsia" w:hAnsi="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lang w:val="zh-CN"/>
        </w:rPr>
        <w:t xml:space="preserve">国家法律、法规所规定由甲方承担的其它责任。</w:t>
      </w:r>
      <w:r/>
    </w:p>
    <w:p>
      <w:pPr>
        <w:pStyle w:val="877"/>
        <w:numPr>
          <w:ilvl w:val="0"/>
          <w:numId w:val="5"/>
        </w:numPr>
        <w:spacing w:before="120" w:after="120"/>
        <w:rPr>
          <w:rFonts w:hint="eastAsia" w:hAnsi="宋体" w:cs="宋体"/>
          <w:b/>
          <w:caps w:val="0"/>
          <w:color w:val="auto"/>
          <w:sz w:val="24"/>
          <w:szCs w:val="24"/>
          <w:highlight w:val="none"/>
          <w:lang w:val="en-US" w:eastAsia="zh-CN"/>
        </w:rPr>
      </w:pPr>
      <w:r>
        <w:rPr>
          <w:rFonts w:hint="eastAsia" w:hAnsi="宋体" w:cs="宋体"/>
          <w:b/>
          <w:caps w:val="0"/>
          <w:color w:val="auto"/>
          <w:sz w:val="24"/>
          <w:szCs w:val="24"/>
          <w:highlight w:val="none"/>
          <w:lang w:val="en-US" w:eastAsia="zh-CN"/>
        </w:rPr>
        <w:t xml:space="preserve">乙方权利和义务</w:t>
      </w:r>
      <w:r/>
    </w:p>
    <w:p>
      <w:pPr>
        <w:pStyle w:val="877"/>
        <w:ind w:firstLine="480"/>
        <w:keepLines w:val="0"/>
        <w:keepNext w:val="0"/>
        <w:pageBreakBefore w:val="0"/>
        <w:spacing w:line="360" w:lineRule="auto"/>
        <w:widowControl w:val="off"/>
        <w:rPr>
          <w:rFonts w:hint="default" w:ascii="宋体" w:hAnsi="宋体" w:eastAsia="宋体" w:cs="宋体"/>
          <w:caps w:val="0"/>
          <w:color w:val="auto"/>
          <w:sz w:val="24"/>
          <w:szCs w:val="24"/>
          <w:highlight w:val="none"/>
          <w:lang w:val="en-US" w:eastAsia="zh-CN"/>
        </w:rPr>
      </w:pPr>
      <w:r>
        <w:rPr>
          <w:rFonts w:hint="eastAsia" w:hAnsi="宋体" w:cs="宋体"/>
          <w:caps w:val="0"/>
          <w:color w:val="auto"/>
          <w:sz w:val="24"/>
          <w:szCs w:val="24"/>
          <w:highlight w:val="none"/>
          <w:lang w:val="en-US" w:eastAsia="zh-CN"/>
        </w:rPr>
        <w:t xml:space="preserve">12.1配备满足采购需求人员不少于11人。</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lang w:val="zh-CN"/>
        </w:rPr>
      </w:pPr>
      <w:r>
        <w:rPr>
          <w:rFonts w:hint="eastAsia" w:ascii="宋体" w:hAnsi="宋体" w:eastAsia="宋体" w:cs="宋体"/>
          <w:caps w:val="0"/>
          <w:color w:val="auto"/>
          <w:sz w:val="24"/>
          <w:szCs w:val="24"/>
          <w:highlight w:val="none"/>
          <w:lang w:val="en-US" w:eastAsia="zh-CN"/>
        </w:rPr>
        <w:t xml:space="preserve">12.</w:t>
      </w:r>
      <w:r>
        <w:rPr>
          <w:rFonts w:hint="eastAsia" w:hAnsi="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lang w:val="zh-CN"/>
        </w:rPr>
        <w:t xml:space="preserve">对本合同规定的委托服务范围内的项目享有管理权及服务义务。</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lang w:val="zh-CN"/>
        </w:rPr>
      </w:pPr>
      <w:r>
        <w:rPr>
          <w:rFonts w:hint="eastAsia" w:ascii="宋体" w:hAnsi="宋体" w:eastAsia="宋体" w:cs="宋体"/>
          <w:caps w:val="0"/>
          <w:color w:val="auto"/>
          <w:sz w:val="24"/>
          <w:szCs w:val="24"/>
          <w:highlight w:val="none"/>
          <w:lang w:val="en-US" w:eastAsia="zh-CN"/>
        </w:rPr>
        <w:t xml:space="preserve">12.</w:t>
      </w:r>
      <w:r>
        <w:rPr>
          <w:rFonts w:hint="eastAsia"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lang w:val="zh-CN"/>
        </w:rPr>
        <w:t xml:space="preserve">根据本合同的规定向甲方收取相关服务费用，并有权在本项目管理范围内管理及合理使用。</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lang w:val="zh-CN"/>
        </w:rPr>
      </w:pPr>
      <w:r>
        <w:rPr>
          <w:rFonts w:hint="eastAsia" w:ascii="宋体" w:hAnsi="宋体" w:eastAsia="宋体" w:cs="宋体"/>
          <w:caps w:val="0"/>
          <w:color w:val="auto"/>
          <w:sz w:val="24"/>
          <w:szCs w:val="24"/>
          <w:highlight w:val="none"/>
          <w:lang w:val="en-US" w:eastAsia="zh-CN"/>
        </w:rPr>
        <w:t xml:space="preserve">12.</w:t>
      </w:r>
      <w:r>
        <w:rPr>
          <w:rFonts w:hint="eastAsia" w:hAnsi="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lang w:val="zh-CN"/>
        </w:rPr>
        <w:t xml:space="preserve">及时向甲方通告本项目服务范围内有关服务的重大事项，及时配合处理投诉。</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lang w:val="zh-CN"/>
        </w:rPr>
      </w:pPr>
      <w:r>
        <w:rPr>
          <w:rFonts w:hint="eastAsia" w:ascii="宋体" w:hAnsi="宋体" w:eastAsia="宋体" w:cs="宋体"/>
          <w:caps w:val="0"/>
          <w:color w:val="auto"/>
          <w:sz w:val="24"/>
          <w:szCs w:val="24"/>
          <w:highlight w:val="none"/>
          <w:lang w:val="en-US" w:eastAsia="zh-CN"/>
        </w:rPr>
        <w:t xml:space="preserve">12.</w:t>
      </w:r>
      <w:r>
        <w:rPr>
          <w:rFonts w:hint="eastAsia" w:hAnsi="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lang w:val="zh-CN"/>
        </w:rPr>
        <w:t xml:space="preserve">接受项目行业管理部门及政府有关部门的指导，接受甲方的监督。</w:t>
      </w:r>
      <w:r/>
    </w:p>
    <w:p>
      <w:pPr>
        <w:pStyle w:val="877"/>
        <w:ind w:firstLine="480"/>
        <w:keepLines w:val="0"/>
        <w:keepNext w:val="0"/>
        <w:pageBreakBefore w:val="0"/>
        <w:spacing w:line="360" w:lineRule="auto"/>
        <w:widowControl w:val="off"/>
        <w:rPr>
          <w:rFonts w:hint="default" w:hAnsi="宋体" w:cs="宋体"/>
          <w:b/>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12.</w:t>
      </w:r>
      <w:r>
        <w:rPr>
          <w:rFonts w:hint="eastAsia" w:hAnsi="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lang w:val="zh-CN"/>
        </w:rPr>
        <w:t xml:space="preserve">国家法律、法规所规定由乙方承担的其它责任。</w:t>
      </w:r>
      <w:r/>
    </w:p>
    <w:p>
      <w:pPr>
        <w:pStyle w:val="877"/>
        <w:spacing w:before="120" w:after="120"/>
        <w:rPr>
          <w:rFonts w:hint="eastAsia" w:ascii="宋体" w:hAnsi="宋体" w:eastAsia="宋体" w:cs="宋体"/>
          <w:b/>
          <w:caps w:val="0"/>
          <w:color w:val="auto"/>
          <w:sz w:val="24"/>
          <w:szCs w:val="24"/>
          <w:highlight w:val="none"/>
        </w:rPr>
      </w:pPr>
      <w:r>
        <w:rPr>
          <w:rFonts w:hint="eastAsia" w:hAnsi="宋体" w:cs="宋体"/>
          <w:b/>
          <w:caps w:val="0"/>
          <w:color w:val="auto"/>
          <w:sz w:val="24"/>
          <w:szCs w:val="24"/>
          <w:highlight w:val="none"/>
          <w:lang w:val="en-US" w:eastAsia="zh-CN"/>
        </w:rPr>
        <w:t xml:space="preserve">十三、</w:t>
      </w:r>
      <w:r>
        <w:rPr>
          <w:rFonts w:hint="eastAsia" w:ascii="宋体" w:hAnsi="宋体" w:eastAsia="宋体" w:cs="宋体"/>
          <w:b/>
          <w:caps w:val="0"/>
          <w:color w:val="auto"/>
          <w:sz w:val="24"/>
          <w:szCs w:val="24"/>
          <w:highlight w:val="none"/>
        </w:rPr>
        <w:t xml:space="preserve">违约责任</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.1 甲方无正当理由拒绝接受乙方提供服务的，甲方向乙方偿付拒绝接受服务合同价款总值</w:t>
      </w:r>
      <w:r>
        <w:rPr>
          <w:rFonts w:hint="eastAsia" w:hAnsi="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的违约金。</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.2 甲方无故逾期验收和办理合同款项支付手续的,甲方应按逾期付款总额</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    每日向乙方支付违约金。</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aps w:val="0"/>
          <w:color w:val="auto"/>
          <w:sz w:val="24"/>
          <w:szCs w:val="24"/>
          <w:highlight w:val="none"/>
          <w:lang w:val="en-US" w:eastAsia="zh-CN"/>
        </w:rPr>
        <w:t xml:space="preserve">10%</w:t>
      </w:r>
      <w:r>
        <w:rPr>
          <w:rFonts w:hint="eastAsia" w:ascii="宋体" w:hAnsi="宋体" w:eastAsia="宋体" w:cs="宋体"/>
          <w:caps w:val="0"/>
          <w:color w:val="auto"/>
          <w:sz w:val="24"/>
          <w:szCs w:val="24"/>
          <w:highlight w:val="none"/>
        </w:rPr>
        <w:t xml:space="preserve">的违约金，如造成甲方损失超过违约金的，超出部分由乙方继续承担赔偿责任。 </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.4乙方所提供服务的标准不符合合同规定及招标文件规定标准的，甲方有权拒绝接受服务，并可单方面解除合同。</w:t>
      </w:r>
      <w:r/>
    </w:p>
    <w:p>
      <w:pPr>
        <w:pStyle w:val="877"/>
        <w:spacing w:before="120" w:after="120"/>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w:t>
      </w:r>
      <w:r>
        <w:rPr>
          <w:rFonts w:hint="eastAsia" w:hAnsi="宋体" w:cs="宋体"/>
          <w:b/>
          <w:caps w:val="0"/>
          <w:color w:val="auto"/>
          <w:sz w:val="24"/>
          <w:szCs w:val="24"/>
          <w:highlight w:val="none"/>
          <w:lang w:val="en-US" w:eastAsia="zh-CN"/>
        </w:rPr>
        <w:t xml:space="preserve">四</w:t>
      </w:r>
      <w:r>
        <w:rPr>
          <w:rFonts w:hint="eastAsia" w:ascii="宋体" w:hAnsi="宋体" w:eastAsia="宋体" w:cs="宋体"/>
          <w:b/>
          <w:caps w:val="0"/>
          <w:color w:val="auto"/>
          <w:sz w:val="24"/>
          <w:szCs w:val="24"/>
          <w:highlight w:val="none"/>
        </w:rPr>
        <w:t xml:space="preserve">、知识产权</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14.1</w:t>
      </w:r>
      <w:r>
        <w:rPr>
          <w:rFonts w:hint="eastAsia" w:ascii="宋体" w:hAnsi="宋体" w:eastAsia="宋体" w:cs="宋体"/>
          <w:caps w:val="0"/>
          <w:color w:val="auto"/>
          <w:sz w:val="24"/>
          <w:szCs w:val="24"/>
          <w:highlight w:val="none"/>
        </w:rPr>
        <w:t xml:space="preserve">乙方为本项目开发的相关人工智能系统的知识产权等归甲方所有，并享有合同期满后无偿继续使用权。</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14.2</w:t>
      </w:r>
      <w:r>
        <w:rPr>
          <w:rFonts w:hint="eastAsia" w:ascii="宋体" w:hAnsi="宋体" w:eastAsia="宋体" w:cs="宋体"/>
          <w:caps w:val="0"/>
          <w:color w:val="auto"/>
          <w:sz w:val="24"/>
          <w:szCs w:val="24"/>
          <w:highlight w:val="none"/>
        </w:rPr>
        <w:t xml:space="preserve">乙方应保证甲方免除并承担由于甲方在其本国使用该项目时而引起第三方提出的侵犯专利权、知识产权或设计权的起诉、行政程序索赔、请求等产生的损失。如甲方因接受乙方该服务引起第三方提出的侵犯专利权、知识产权或设计权的起诉、行政程序索赔、请求等，乙方应赔偿甲方因此而产生的损失和损害、费用和支出（包括但不限于诉讼费、律师费、实执费等）并承担合同总价款10%的违约金。</w:t>
      </w:r>
      <w:r/>
    </w:p>
    <w:p>
      <w:pPr>
        <w:pStyle w:val="877"/>
        <w:spacing w:before="120" w:after="120"/>
        <w:rPr>
          <w:rFonts w:hint="eastAsia" w:ascii="宋体" w:hAnsi="宋体" w:eastAsia="宋体" w:cs="宋体"/>
          <w:b/>
          <w:caps w:val="0"/>
          <w:color w:val="auto"/>
          <w:sz w:val="24"/>
          <w:szCs w:val="24"/>
          <w:highlight w:val="none"/>
        </w:rPr>
      </w:pPr>
      <w:r>
        <w:rPr>
          <w:rFonts w:hint="eastAsia" w:hAnsi="宋体" w:cs="宋体"/>
          <w:b/>
          <w:caps w:val="0"/>
          <w:color w:val="auto"/>
          <w:sz w:val="24"/>
          <w:szCs w:val="24"/>
          <w:highlight w:val="none"/>
          <w:lang w:val="en-US" w:eastAsia="zh-CN"/>
        </w:rPr>
        <w:t xml:space="preserve">十五、</w:t>
      </w:r>
      <w:r>
        <w:rPr>
          <w:rFonts w:hint="eastAsia" w:ascii="宋体" w:hAnsi="宋体" w:eastAsia="宋体" w:cs="宋体"/>
          <w:b/>
          <w:caps w:val="0"/>
          <w:color w:val="auto"/>
          <w:sz w:val="24"/>
          <w:szCs w:val="24"/>
          <w:highlight w:val="none"/>
        </w:rPr>
        <w:t xml:space="preserve">不可抗力事件处理</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hAnsi="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.1在合同有效期内，任何一方因不可抗力事件导致不能履行合同，则合同履行期可延长，其延长期与不可抗力影响 期相同。</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hAnsi="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.2不可抗力事件发生后，应立即通知对方，并寄送有关权威机构出具的证明。</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hAnsi="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.3不可抗力事件延续120天以上，双方应通过友好协商，确定是否继续履行合同。</w:t>
      </w:r>
      <w:r/>
    </w:p>
    <w:p>
      <w:pPr>
        <w:pStyle w:val="877"/>
        <w:spacing w:before="120" w:after="120"/>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w:t>
      </w:r>
      <w:r>
        <w:rPr>
          <w:rFonts w:hint="eastAsia" w:hAnsi="宋体" w:cs="宋体"/>
          <w:b/>
          <w:caps w:val="0"/>
          <w:color w:val="auto"/>
          <w:sz w:val="24"/>
          <w:szCs w:val="24"/>
          <w:highlight w:val="none"/>
          <w:lang w:val="en-US" w:eastAsia="zh-CN"/>
        </w:rPr>
        <w:t xml:space="preserve">六</w:t>
      </w:r>
      <w:r>
        <w:rPr>
          <w:rFonts w:hint="eastAsia" w:ascii="宋体" w:hAnsi="宋体" w:eastAsia="宋体" w:cs="宋体"/>
          <w:b/>
          <w:caps w:val="0"/>
          <w:color w:val="auto"/>
          <w:sz w:val="24"/>
          <w:szCs w:val="24"/>
          <w:highlight w:val="none"/>
        </w:rPr>
        <w:t xml:space="preserve">、解决争议的方法</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双方在签订、履行合同中所发生的一切争议，应通过友好协商解决。如协商不成，由甲方住所地人民法院管辖。</w:t>
      </w:r>
      <w:r/>
    </w:p>
    <w:p>
      <w:pPr>
        <w:pStyle w:val="877"/>
        <w:spacing w:before="120" w:after="120"/>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w:t>
      </w:r>
      <w:r>
        <w:rPr>
          <w:rFonts w:hint="eastAsia" w:hAnsi="宋体" w:cs="宋体"/>
          <w:b/>
          <w:caps w:val="0"/>
          <w:color w:val="auto"/>
          <w:sz w:val="24"/>
          <w:szCs w:val="24"/>
          <w:highlight w:val="none"/>
          <w:lang w:val="en-US" w:eastAsia="zh-CN"/>
        </w:rPr>
        <w:t xml:space="preserve">七</w:t>
      </w:r>
      <w:r>
        <w:rPr>
          <w:rFonts w:hint="eastAsia" w:ascii="宋体" w:hAnsi="宋体" w:eastAsia="宋体" w:cs="宋体"/>
          <w:b/>
          <w:caps w:val="0"/>
          <w:color w:val="auto"/>
          <w:sz w:val="24"/>
          <w:szCs w:val="24"/>
          <w:highlight w:val="none"/>
        </w:rPr>
        <w:t xml:space="preserve">、合同生效及其它</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hAnsi="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.1 合同经双方法定代表人或授权委托代表人签字并加盖单位公章后生效。</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hAnsi="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.2本合同未尽事宜，遵照《</w:t>
      </w:r>
      <w:r>
        <w:rPr>
          <w:rFonts w:hint="eastAsia" w:ascii="宋体" w:hAnsi="宋体" w:eastAsia="宋体" w:cs="宋体"/>
          <w:caps w:val="0"/>
          <w:color w:val="auto"/>
          <w:sz w:val="24"/>
          <w:szCs w:val="24"/>
          <w:highlight w:val="none"/>
        </w:rPr>
        <w:t xml:space="preserve">中华</w:t>
      </w:r>
      <w:r>
        <w:rPr>
          <w:rFonts w:hint="eastAsia" w:ascii="宋体" w:hAnsi="宋体" w:eastAsia="宋体" w:cs="宋体"/>
          <w:caps w:val="0"/>
          <w:color w:val="auto"/>
          <w:sz w:val="24"/>
          <w:szCs w:val="24"/>
          <w:highlight w:val="none"/>
        </w:rPr>
        <w:t xml:space="preserve">人民</w:t>
      </w:r>
      <w:r>
        <w:rPr>
          <w:rFonts w:hint="eastAsia" w:ascii="宋体" w:hAnsi="宋体" w:eastAsia="宋体" w:cs="宋体"/>
          <w:caps w:val="0"/>
          <w:color w:val="auto"/>
          <w:sz w:val="24"/>
          <w:szCs w:val="24"/>
          <w:highlight w:val="none"/>
        </w:rPr>
        <w:t xml:space="preserve">共</w:t>
      </w:r>
      <w:r>
        <w:rPr>
          <w:rFonts w:hint="eastAsia" w:ascii="宋体" w:hAnsi="宋体" w:eastAsia="宋体" w:cs="宋体"/>
          <w:caps w:val="0"/>
          <w:color w:val="auto"/>
          <w:sz w:val="24"/>
          <w:szCs w:val="24"/>
          <w:highlight w:val="none"/>
        </w:rPr>
        <w:t xml:space="preserve">和</w:t>
      </w:r>
      <w:r>
        <w:rPr>
          <w:rFonts w:hint="eastAsia" w:ascii="宋体" w:hAnsi="宋体" w:eastAsia="宋体" w:cs="宋体"/>
          <w:caps w:val="0"/>
          <w:color w:val="auto"/>
          <w:sz w:val="24"/>
          <w:szCs w:val="24"/>
          <w:highlight w:val="none"/>
        </w:rPr>
        <w:t xml:space="preserve">国</w:t>
      </w:r>
      <w:r>
        <w:rPr>
          <w:rFonts w:hint="eastAsia" w:ascii="宋体" w:hAnsi="宋体" w:eastAsia="宋体" w:cs="宋体"/>
          <w:caps w:val="0"/>
          <w:color w:val="auto"/>
          <w:sz w:val="24"/>
          <w:szCs w:val="24"/>
          <w:highlight w:val="none"/>
        </w:rPr>
        <w:t xml:space="preserve">民法典》</w:t>
      </w:r>
      <w:r>
        <w:rPr>
          <w:rFonts w:hint="eastAsia" w:hAnsi="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rPr>
        <w:t xml:space="preserve">中华</w:t>
      </w:r>
      <w:r>
        <w:rPr>
          <w:rFonts w:hint="eastAsia" w:ascii="宋体" w:hAnsi="宋体" w:eastAsia="宋体" w:cs="宋体"/>
          <w:caps w:val="0"/>
          <w:color w:val="auto"/>
          <w:sz w:val="24"/>
          <w:szCs w:val="24"/>
          <w:highlight w:val="none"/>
        </w:rPr>
        <w:t xml:space="preserve">人民</w:t>
      </w:r>
      <w:r>
        <w:rPr>
          <w:rFonts w:hint="eastAsia" w:ascii="宋体" w:hAnsi="宋体" w:eastAsia="宋体" w:cs="宋体"/>
          <w:caps w:val="0"/>
          <w:color w:val="auto"/>
          <w:sz w:val="24"/>
          <w:szCs w:val="24"/>
          <w:highlight w:val="none"/>
        </w:rPr>
        <w:t xml:space="preserve">共</w:t>
      </w:r>
      <w:r>
        <w:rPr>
          <w:rFonts w:hint="eastAsia" w:ascii="宋体" w:hAnsi="宋体" w:eastAsia="宋体" w:cs="宋体"/>
          <w:caps w:val="0"/>
          <w:color w:val="auto"/>
          <w:sz w:val="24"/>
          <w:szCs w:val="24"/>
          <w:highlight w:val="none"/>
        </w:rPr>
        <w:t xml:space="preserve">和</w:t>
      </w:r>
      <w:r>
        <w:rPr>
          <w:rFonts w:hint="eastAsia" w:ascii="宋体" w:hAnsi="宋体" w:eastAsia="宋体" w:cs="宋体"/>
          <w:caps w:val="0"/>
          <w:color w:val="auto"/>
          <w:sz w:val="24"/>
          <w:szCs w:val="24"/>
          <w:highlight w:val="none"/>
        </w:rPr>
        <w:t xml:space="preserve">国</w:t>
      </w:r>
      <w:r>
        <w:rPr>
          <w:rFonts w:hint="eastAsia" w:ascii="宋体" w:hAnsi="宋体" w:eastAsia="宋体" w:cs="宋体"/>
          <w:caps w:val="0"/>
          <w:color w:val="auto"/>
          <w:sz w:val="24"/>
          <w:szCs w:val="24"/>
          <w:highlight w:val="none"/>
        </w:rPr>
        <w:t xml:space="preserve">政府采购法》有关条文执行。</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hAnsi="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.3 本合同正本一式两份，具有同等法律效力，甲方、乙方各执一份。</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甲方：                        乙方： </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地址：                        地址： </w:t>
      </w:r>
      <w:r/>
    </w:p>
    <w:p>
      <w:pPr>
        <w:pStyle w:val="877"/>
        <w:ind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法定代表人或授权代表：        法定代表人或授权代表：</w:t>
      </w:r>
      <w:r/>
    </w:p>
    <w:p>
      <w:pPr>
        <w:pStyle w:val="877"/>
        <w:ind w:firstLine="72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联系电话：                    联系电话：          </w:t>
      </w:r>
      <w:r/>
    </w:p>
    <w:p>
      <w:pPr>
        <w:jc w:val="center"/>
        <w:spacing w:before="120" w:after="120" w:line="0" w:lineRule="atLeast"/>
        <w:rPr>
          <w:rFonts w:hint="eastAsia" w:ascii="宋体" w:hAnsi="宋体" w:eastAsia="宋体" w:cs="宋体"/>
          <w:bCs/>
          <w:color w:val="auto"/>
          <w:sz w:val="44"/>
          <w:szCs w:val="21"/>
          <w:highlight w:val="none"/>
        </w:rPr>
      </w:pPr>
      <w:r>
        <w:rPr>
          <w:rFonts w:hint="eastAsia"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签订日期：      年    月   日</w:t>
      </w:r>
      <w:bookmarkStart w:id="191" w:name="_Hlt16619369"/>
      <w:r/>
      <w:bookmarkEnd w:id="191"/>
      <w:r/>
      <w:r/>
    </w:p>
    <w:p>
      <w:pPr>
        <w:rPr>
          <w:rFonts w:hint="eastAsia" w:eastAsia="宋体"/>
          <w:color w:val="auto"/>
          <w:highlight w:val="none"/>
          <w:lang w:val="en-US" w:eastAsia="zh-CN"/>
        </w:rPr>
      </w:pPr>
      <w:r>
        <w:rPr>
          <w:rFonts w:hint="eastAsia" w:ascii="宋体" w:hAnsi="宋体" w:eastAsia="宋体" w:cs="宋体"/>
          <w:bCs/>
          <w:color w:val="auto"/>
          <w:sz w:val="44"/>
          <w:szCs w:val="21"/>
          <w:highlight w:val="none"/>
        </w:rPr>
        <w:br w:type="page" w:clear="all"/>
      </w:r>
      <w:bookmarkEnd w:id="185"/>
      <w:r/>
      <w:bookmarkEnd w:id="186"/>
      <w:r/>
      <w:bookmarkEnd w:id="187"/>
      <w:r/>
      <w:bookmarkEnd w:id="188"/>
      <w:r/>
      <w:bookmarkStart w:id="192" w:name="_Toc26554093"/>
      <w:r/>
      <w:bookmarkStart w:id="193" w:name="_Toc120614281"/>
      <w:r/>
      <w:bookmarkStart w:id="194" w:name="_Toc49090575"/>
      <w:r>
        <w:rPr>
          <w:rFonts w:hint="eastAsia" w:ascii="宋体" w:hAnsi="宋体" w:eastAsia="宋体" w:cs="宋体"/>
          <w:bCs/>
          <w:color w:val="auto"/>
          <w:sz w:val="44"/>
          <w:szCs w:val="21"/>
          <w:highlight w:val="none"/>
          <w:lang w:val="en-US" w:eastAsia="zh-CN"/>
        </w:rPr>
        <w:t xml:space="preserve"> </w:t>
      </w:r>
      <w:r/>
    </w:p>
    <w:p>
      <w:pPr>
        <w:ind w:firstLine="420"/>
        <w:jc w:val="both"/>
        <w:widowControl w:val="off"/>
        <w:rPr>
          <w:rFonts w:hint="eastAsia" w:ascii="宋体" w:hAnsi="宋体" w:eastAsia="宋体" w:cs="宋体"/>
          <w:bCs/>
          <w:color w:val="auto"/>
          <w:sz w:val="44"/>
          <w:szCs w:val="21"/>
          <w:highlight w:val="none"/>
          <w:lang w:val="en-US" w:eastAsia="zh-CN" w:bidi="ar-SA"/>
        </w:rPr>
      </w:pPr>
      <w:r>
        <w:rPr>
          <w:rFonts w:hint="eastAsia" w:ascii="宋体" w:hAnsi="宋体" w:eastAsia="宋体" w:cs="宋体"/>
          <w:bCs/>
          <w:color w:val="auto"/>
          <w:sz w:val="44"/>
          <w:szCs w:val="21"/>
          <w:highlight w:val="none"/>
          <w:lang w:val="en-US" w:eastAsia="zh-CN" w:bidi="ar-SA"/>
        </w:rPr>
      </w:r>
      <w:r/>
    </w:p>
    <w:p>
      <w:pPr>
        <w:jc w:val="center"/>
        <w:keepNext/>
        <w:rPr>
          <w:rFonts w:hint="eastAsia" w:ascii="黑体" w:hAnsi="黑体" w:eastAsia="黑体" w:cs="黑体"/>
          <w:color w:val="auto"/>
          <w:sz w:val="44"/>
          <w:szCs w:val="44"/>
          <w:highlight w:val="none"/>
        </w:rPr>
        <w:outlineLvl w:val="0"/>
      </w:pPr>
      <w:r/>
      <w:bookmarkStart w:id="195" w:name="_Toc1248"/>
      <w:r>
        <w:rPr>
          <w:rFonts w:hint="eastAsia" w:ascii="黑体" w:hAnsi="黑体" w:eastAsia="黑体" w:cs="黑体"/>
          <w:color w:val="auto"/>
          <w:sz w:val="44"/>
          <w:szCs w:val="44"/>
          <w:highlight w:val="none"/>
        </w:rPr>
        <w:t xml:space="preserve">第四章 采购需求</w:t>
      </w:r>
      <w:bookmarkEnd w:id="195"/>
      <w:r/>
      <w:r/>
    </w:p>
    <w:p>
      <w:pPr>
        <w:spacing w:before="120" w:after="12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项目属性：服务类项目</w:t>
      </w:r>
      <w:r/>
    </w:p>
    <w:p>
      <w:pPr>
        <w:spacing w:before="120" w:after="12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本项目采购标的对应的中小企业划分标准所属行业：其他未列明行业</w:t>
      </w:r>
      <w:r/>
    </w:p>
    <w:p>
      <w:pPr>
        <w:spacing w:before="120" w:after="120" w:line="0" w:lineRule="atLeast"/>
        <w:rPr>
          <w:rFonts w:hint="eastAsia" w:ascii="宋体" w:hAnsi="宋体" w:eastAsia="宋体" w:cs="宋体"/>
          <w:bCs/>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本项目不接受进口产品。</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bidi="ar-SA"/>
        </w:rPr>
      </w:pPr>
      <w:r/>
      <w:bookmarkStart w:id="196" w:name="EB7816f6fdbc96408ea7b735c177a21493"/>
      <w:r>
        <w:rPr>
          <w:rFonts w:hint="eastAsia" w:ascii="宋体" w:hAnsi="宋体" w:eastAsia="宋体" w:cs="宋体"/>
          <w:b/>
          <w:bCs w:val="0"/>
          <w:color w:val="auto"/>
          <w:sz w:val="24"/>
          <w:szCs w:val="24"/>
          <w:highlight w:val="none"/>
          <w:shd w:val="clear" w:color="auto" w:fill="auto"/>
          <w:lang w:val="en-US" w:eastAsia="zh-CN" w:bidi="ar-SA"/>
        </w:rPr>
        <w:t xml:space="preserve">一、项目概况</w:t>
      </w:r>
      <w:r/>
    </w:p>
    <w:p>
      <w:pPr>
        <w:ind w:firstLine="480"/>
        <w:keepLines w:val="0"/>
        <w:keepNext w:val="0"/>
        <w:pageBreakBefore w:val="0"/>
        <w:spacing w:line="360" w:lineRule="auto"/>
        <w:widowControl w:val="off"/>
        <w:rPr>
          <w:rFonts w:hint="default"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为保证工作持续推进，统筹人员使用、提升处置效能，2026年起将12315热线运行、96333电梯应急救援处置两项服务合并采购。 </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bidi="ar-SA"/>
        </w:rPr>
      </w:pPr>
      <w:r>
        <w:rPr>
          <w:rFonts w:hint="eastAsia" w:ascii="宋体" w:hAnsi="宋体" w:eastAsia="宋体" w:cs="宋体"/>
          <w:b/>
          <w:bCs w:val="0"/>
          <w:color w:val="auto"/>
          <w:sz w:val="24"/>
          <w:szCs w:val="24"/>
          <w:highlight w:val="none"/>
          <w:shd w:val="clear" w:color="auto" w:fill="auto"/>
          <w:lang w:val="en-US" w:eastAsia="zh-CN" w:bidi="ar-SA"/>
        </w:rPr>
        <w:t xml:space="preserve">二、合同履行期限及地点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服务期：一年。</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服务地点：宿迁市，具体由采购人指定。</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bidi="ar-SA"/>
        </w:rPr>
      </w:pPr>
      <w:r>
        <w:rPr>
          <w:rFonts w:hint="eastAsia" w:ascii="宋体" w:hAnsi="宋体" w:eastAsia="宋体" w:cs="宋体"/>
          <w:b/>
          <w:bCs w:val="0"/>
          <w:color w:val="auto"/>
          <w:sz w:val="24"/>
          <w:szCs w:val="24"/>
          <w:highlight w:val="none"/>
          <w:shd w:val="clear" w:color="auto" w:fill="auto"/>
          <w:lang w:val="en-US" w:eastAsia="zh-CN" w:bidi="ar-SA"/>
        </w:rPr>
        <w:t xml:space="preserve">三、付款方式</w:t>
      </w:r>
      <w:bookmarkEnd w:id="196"/>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合同签订后10日内，甲方支付合同价款30%作为预付款；服务至2026年10月31日，乙方对工作情况形成书面报告报甲方，经甲方考核确认合同规定的服务内容均完成后，甲方支付合同价款的27%；服务至2027年3月31日，乙方对工作情况形成书面报告报甲方，经甲方考核确认合同规定的服务内容均完成后，甲方支付合同价款的20%；乙方履约结束并提交成果资料后，甲方在10日内组织项目验收，并根据考核结果支付合同价款的23%。</w:t>
      </w:r>
      <w:r/>
    </w:p>
    <w:p>
      <w:pPr>
        <w:numPr>
          <w:ilvl w:val="0"/>
          <w:numId w:val="0"/>
        </w:num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在分阶段考核及项目验收时</w:t>
      </w:r>
      <w:r>
        <w:rPr>
          <w:rFonts w:hint="eastAsia" w:ascii="宋体" w:hAnsi="宋体" w:eastAsia="宋体" w:cs="宋体"/>
          <w:b w:val="0"/>
          <w:bCs w:val="0"/>
          <w:color w:val="auto"/>
          <w:sz w:val="24"/>
          <w:szCs w:val="24"/>
          <w:highlight w:val="none"/>
          <w:shd w:val="clear" w:color="auto" w:fill="auto"/>
          <w:lang w:val="en-US" w:eastAsia="zh-CN" w:bidi="ar-SA"/>
        </w:rPr>
        <w:t xml:space="preserve">，</w:t>
      </w:r>
      <w:r>
        <w:rPr>
          <w:rFonts w:hint="eastAsia" w:ascii="宋体" w:hAnsi="宋体" w:eastAsia="宋体" w:cs="宋体"/>
          <w:b/>
          <w:bCs w:val="0"/>
          <w:color w:val="auto"/>
          <w:sz w:val="24"/>
          <w:szCs w:val="24"/>
          <w:highlight w:val="none"/>
          <w:shd w:val="clear" w:color="auto" w:fill="auto"/>
          <w:lang w:val="en-US" w:eastAsia="zh-CN" w:bidi="ar-SA"/>
        </w:rPr>
        <w:t xml:space="preserve">如发生扣分情况，甲方按考核方案规定扣除</w:t>
      </w:r>
      <w:r>
        <w:rPr>
          <w:rFonts w:hint="eastAsia" w:ascii="Times New Roman" w:hAnsi="Times New Roman" w:eastAsia="宋体" w:cs="Times New Roman"/>
          <w:b w:val="0"/>
          <w:color w:val="auto"/>
          <w:sz w:val="24"/>
          <w:highlight w:val="none"/>
        </w:rPr>
        <w:t xml:space="preserve">违约金</w:t>
      </w:r>
      <w:r>
        <w:rPr>
          <w:rFonts w:hint="eastAsia" w:ascii="Times New Roman" w:hAnsi="Times New Roman" w:eastAsia="宋体" w:cs="Times New Roman"/>
          <w:b w:val="0"/>
          <w:color w:val="auto"/>
          <w:sz w:val="24"/>
          <w:highlight w:val="none"/>
          <w:lang w:eastAsia="zh-CN"/>
        </w:rPr>
        <w:t xml:space="preserve">后付款。</w:t>
      </w:r>
      <w:r>
        <w:rPr>
          <w:rFonts w:hint="eastAsia" w:ascii="宋体" w:hAnsi="宋体" w:eastAsia="宋体" w:cs="宋体"/>
          <w:b/>
          <w:bCs w:val="0"/>
          <w:color w:val="auto"/>
          <w:sz w:val="24"/>
          <w:szCs w:val="24"/>
          <w:highlight w:val="none"/>
          <w:shd w:val="clear" w:color="auto" w:fill="auto"/>
          <w:lang w:val="en-US" w:eastAsia="zh-CN" w:bidi="ar-SA"/>
        </w:rPr>
        <w:t xml:space="preserve">  </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bidi="ar-SA"/>
        </w:rPr>
      </w:pPr>
      <w:r>
        <w:rPr>
          <w:rFonts w:hint="eastAsia" w:ascii="宋体" w:hAnsi="宋体" w:eastAsia="宋体" w:cs="宋体"/>
          <w:b/>
          <w:bCs w:val="0"/>
          <w:color w:val="auto"/>
          <w:sz w:val="24"/>
          <w:szCs w:val="24"/>
          <w:highlight w:val="none"/>
          <w:shd w:val="clear" w:color="auto" w:fill="auto"/>
          <w:lang w:val="en-US" w:eastAsia="zh-CN" w:bidi="ar-SA"/>
        </w:rPr>
        <w:t xml:space="preserve">  四、服务要求</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（一）12315热线需求</w:t>
      </w:r>
      <w:r/>
    </w:p>
    <w:p>
      <w:pPr>
        <w:ind w:firstLine="56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仿宋" w:hAnsi="仿宋" w:eastAsia="仿宋" w:cs="仿宋"/>
          <w:color w:val="auto"/>
          <w:sz w:val="28"/>
          <w:szCs w:val="28"/>
          <w:highlight w:val="none"/>
        </w:rPr>
        <w:t xml:space="preserve">★</w:t>
      </w:r>
      <w:r>
        <w:rPr>
          <w:rFonts w:hint="eastAsia" w:ascii="宋体" w:hAnsi="宋体" w:eastAsia="宋体" w:cs="宋体"/>
          <w:b w:val="0"/>
          <w:bCs/>
          <w:color w:val="auto"/>
          <w:sz w:val="24"/>
          <w:szCs w:val="24"/>
          <w:highlight w:val="none"/>
          <w:shd w:val="clear" w:color="auto" w:fill="auto"/>
          <w:lang w:val="en-US" w:eastAsia="zh-CN" w:bidi="ar-SA"/>
        </w:rPr>
        <w:t xml:space="preserve">1.配备能够保证热线接通率98%以上的话务人员不少于4名，数据统计与分析人员1名，确保不少于4个座席365天*8小时/天人工同时接听12315热线，接收处理与消费者权益保护、质量监督、食品、药品、价格、知识产权等有关的市场监管业务来电投诉、举报与咨询，对投诉、举报进行分流转办、跟踪和信息统计分析。</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2.做好员工业务理论培训和业务能力提升工作，每年至少开展文明用语、服务礼仪和市场监管领域业务等能力提升培训2次。</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3.配合做好宿迁市12345热线平台与全国12315平台对接技术服务，提供相关网络线路、硬件设备的维护保障服务，做好相关安全防范工作，确保不发生网络安全事件，对12315热线平台使用中出现的故障及时报修，并做好宿迁市市场监管局需要协助完成的相关工作。</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4.开发运用投诉举报信息人工智能辅助录入工单、人工智能辅助分流系统：</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a.人工智能辅助录入工单。</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（1）实时对话转译：利用语音识别与对话人员分离技术，将群众与座席的实时语音对话转为文字并滚动呈现，辅助座席高效记录沟通内容。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（2）知识推荐与引用：对话过程中实时推荐相关知识，支持将推荐内容一键引用至工单，并与工单自动关联，提升信息录入的准确性和完整性。</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（3）要素提取与工单小结：自动从对话中提取群众姓名、联系方式等关键信息；通话结束后，借助大模型理解上下文，快速生成工单摘要，精准概括核心问题与需求，简化工单录入流程。</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（4）报告生成：结合大模型，通过智能分析引擎深度解析提问要素，展示模型思考过程，并生成图文并茂的业务报告（默认柱状图，支持用户选择图表类型后重新生成）。</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（5）近期热点分析：基于全量诉求数据，利用大模型进行热点事项分析，辅助座席把握趋势，提升录入工单的针对性。</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（6）历史报告管理：支持查看所有已生成的报告，便于回溯与复用。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（7）实时质检，对座席服务用语、市民情绪等进行监测与展示，超过阈值记录异常。</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b.人工智能辅助分流。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（1）派单数据预处理：抽取业务系统中沉淀的历史工单派单数据，进行针对性预处理，确保数据质量满足智能派单AI模型的训练与运行要求。</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2）派单模型构建与优化：根据业务派单数量及划分维度，灵活提供适配的算法与集成模型。系统根据自动生成的工单内容，智能识别并匹配对应属地（9个县区市场监管局），自动将工单分流至相应县区局账号。通过数据测试确定准确率最高、适配性最好的算法模型后进行训练；支持定期拉取新数据，持续对派单模型进行再训练与优化。</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（3）派单数据收集：当触发智能派单模型优化条件时，系统自动收集当前智能派单的最新使用数据，作为后续模型更新所需的训练数据与检验数据。</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c.与12345平台无缝对接。</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（1）数据互通：系统需与现有12345平台实现双向数据对接，能够实时获取群众与座席的语音对话流、历史工单派单数据等信息，并将智能生成的工单、要素摘要、工单小结及分流结果自动回传至12345平台。</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（2）工单流转同步：支持智能派单后的工单状态同步，自动将分派至各县区市场监管局账号的工单信息推送至12345平台，确保平台内工单流转闭环无缝衔接。</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（3）接口兼容性：遵循12345平台数据标准与接口规范，保证实时对话转译、知识引用、工单录入、报告生成、热点分析等功能与平台原有业务流程无缝集成，无需人工二次录入或导出。</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（二） 96333热线需求</w:t>
      </w:r>
      <w:r/>
    </w:p>
    <w:p>
      <w:pPr>
        <w:ind w:firstLine="56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仿宋" w:hAnsi="仿宋" w:eastAsia="仿宋" w:cs="仿宋"/>
          <w:color w:val="auto"/>
          <w:sz w:val="28"/>
          <w:szCs w:val="28"/>
          <w:highlight w:val="none"/>
        </w:rPr>
        <w:t xml:space="preserve">★</w:t>
      </w:r>
      <w:r>
        <w:rPr>
          <w:rFonts w:hint="eastAsia" w:ascii="宋体" w:hAnsi="宋体" w:eastAsia="宋体" w:cs="宋体"/>
          <w:b w:val="0"/>
          <w:bCs/>
          <w:color w:val="auto"/>
          <w:sz w:val="24"/>
          <w:szCs w:val="24"/>
          <w:highlight w:val="none"/>
          <w:shd w:val="clear" w:color="auto" w:fill="auto"/>
          <w:lang w:val="en-US" w:eastAsia="zh-CN" w:bidi="ar-SA"/>
        </w:rPr>
        <w:t xml:space="preserve">1.熟练使用中博96333应急处置平台，配备不少于6名话务人员，确保不少于2个座席365天*24小时/天人工接听热线。</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2.工作人员在做好救援电话接处的同时，要准确记录电梯故障原因，每季度向市市场监管局反馈一次情况，重大隐患应于24小时内向市市场监管局反馈，反馈内容包括但不限于故障率高的电梯及相关维保单位目录、高故障发生率排名、维保单位应急救援情况及电梯安全隐患等。</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3.提供相关网络线路、硬件设备的维护保障服务，做好相关安全防范工作，确保不发生网络安全事件，对96333热线平台使用中出现的故障及时报修，并做好宿迁市市场监管局需要协助完成的相关工作。</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4.做好员工业务理论培训和业务能力提升工作，每年至少开展文明用语、服务礼仪和电梯应急处置业务等方面能力提升培训2次。</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5.开发、运用人工智能辅助派单，及时发出安全提示，规范回访并记录救援情况和故障原因：</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a.人工智能辅助派单。</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（1）多语言方言识别：支持准确识别来电报警语音，包括宿迁地区方言以及英语、日语、韩语等外语，确保各类人群的报警信息被完整获取。</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（2）报警类型智能区分：自动判断来电内容属于一般咨询还是电梯困人报警电话，针对咨询类来电可引导至知识库或人工座席。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3）电梯困人自动定位与救援触发：对于电梯困人报警电话，系统能够根据来电提供的电梯编码，自动确定电梯所在具体位置及一级救援单位，并主动拨打救援电话，告知困人电梯相关情况（如位置、困人人数等）。</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（4）三级救援联动：在一级救援无法实施（如救援单位未响应或无法及时到达）时，系统自动依次启动二级、三级救援流程，确保救援覆盖无死角。</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（5）人工兜底转接：当人工智能无法解决实际问题（如识别失败、定位异常、救援流程卡顿等）时，系统应自动将通话转接至人工服务，由人工座席介入处理。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b.发出安全提示。</w:t>
      </w:r>
      <w:r/>
    </w:p>
    <w:p>
      <w:pPr>
        <w:ind w:firstLine="480"/>
        <w:keepLines w:val="0"/>
        <w:keepNext w:val="0"/>
        <w:pageBreakBefore w:val="0"/>
        <w:spacing w:line="360" w:lineRule="auto"/>
        <w:widowControl w:val="off"/>
        <w:rPr>
          <w:rFonts w:hint="default"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（1）自动安全提醒：在拨出救援电话的同时，系统自动向被困人员播放或发送安全提示语音/信息，提醒被困人员保持镇静、安心等待救援，切勿自行扒门、蹦跳或采取危险动作，防止二次伤害。</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c.回访并记录救援情况和故障原因。在收到救援完成提示后，能够主动回拨报警电话和救援人员电话，对救援情况进行回访，准确记录救援情况和故障原因。</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（1）主动回访：在收到救援完成指令或确认救援结束后，系统能够自动回拨报警电话及救援人员电话，对救援过程进行回访。</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（2）准确记录：通过回访收集救援响应时间、救援结果、被困人员状态等信息，并同步记录电梯故障原因（如断电、门锁故障、控制系统异常等），形成完整的救援档案，便于后续统计分析及维保改进。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（三）服务进度要求</w:t>
      </w:r>
      <w:r/>
    </w:p>
    <w:p>
      <w:pPr>
        <w:ind w:firstLine="48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1、供应商需在合同生效之日起，确保有满足采购需求的人员和岗位开展服务。</w:t>
      </w:r>
      <w:r/>
    </w:p>
    <w:p>
      <w:pPr>
        <w:ind w:firstLine="480"/>
        <w:keepLines w:val="0"/>
        <w:keepNext w:val="0"/>
        <w:pageBreakBefore w:val="0"/>
        <w:spacing w:line="360" w:lineRule="auto"/>
        <w:widowControl w:val="off"/>
        <w:rPr>
          <w:rFonts w:hint="default"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2、人工智能项目开发运用：自合同签订之日起 2个月内，完成本项目全部功能（包括12315热线人工智能辅助录入与分流系统、96333热线人工智能辅助派单系统及相关硬件、网络、接口对接等）的开发、部署、集成与联调工作，达到可试运行状态。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试运行期间，成交供应商应确保系统功能稳定、性能满足实际工作需求，配合采购方完成业务验证、数据比对及用户培训等工作，并对发现的问题及时修复优化。</w:t>
      </w:r>
      <w:r/>
    </w:p>
    <w:p>
      <w:pPr>
        <w:numPr>
          <w:ilvl w:val="0"/>
          <w:numId w:val="6"/>
        </w:numPr>
        <w:ind w:firstLine="241"/>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bidi="ar-SA"/>
        </w:rPr>
      </w:pPr>
      <w:r>
        <w:rPr>
          <w:rFonts w:hint="eastAsia" w:ascii="宋体" w:hAnsi="宋体" w:eastAsia="宋体" w:cs="宋体"/>
          <w:b/>
          <w:bCs w:val="0"/>
          <w:color w:val="auto"/>
          <w:sz w:val="24"/>
          <w:szCs w:val="24"/>
          <w:highlight w:val="none"/>
          <w:shd w:val="clear" w:color="auto" w:fill="auto"/>
          <w:lang w:val="en-US" w:eastAsia="zh-CN" w:bidi="ar-SA"/>
        </w:rPr>
        <w:t xml:space="preserve">其他要求</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1、服务人员配备要求：</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（1）大专学历以上，熟练使用普通话；</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（2）汉字录入速度不低于40字/分钟；</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（3）具有一定的市场监管、电梯应急救援基本业务知识；</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（4）具备较强的服务意识和良好的语言表达能力、沟通能力、记忆能力、心理承受能力和学习能力；</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（5）身体健康。</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2、服务人员工作作风要求：</w:t>
      </w:r>
      <w:r/>
    </w:p>
    <w:p>
      <w:pPr>
        <w:ind w:firstLine="560"/>
        <w:jc w:val="both"/>
        <w:spacing w:line="520" w:lineRule="exact"/>
        <w:widowControl w:val="off"/>
        <w:rPr>
          <w:rFonts w:hint="default"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（1）遵纪守法、秉公办事，严格遵守从业规范，严格遵守采购人管理制度，按照工作程序和规范开展工作，落实安全和保密要求，不得出现因话务人员服务态度、业务能力等主观原因引起的诉求人的投诉。</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自觉遵守采购人的管理规定。</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（2）衣冠整洁，形象得体规范。</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（3）工作期间应坚守岗位、尽职尽责，不得擅离职守，不得闲聊、打闹，不得干私活，不得下棋、打牌，不得私自会客，不得酗酒、抽烟、打瞌睡；</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（4）服务期间应严格遵守作息制度，不得迟到、早退，不得脱岗、旷工；</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（5）服务期间应坚持文明服务、礼貌用语；</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lang w:val="en-US" w:eastAsia="zh-CN" w:bidi="ar-SA"/>
        </w:rPr>
        <w:t xml:space="preserve">成交人负责对从事本项目服务的所有人员进行管理，并承担所有法律责任；</w:t>
      </w:r>
      <w:r>
        <w:rPr>
          <w:rFonts w:hint="eastAsia" w:ascii="宋体" w:hAnsi="宋体" w:eastAsia="宋体" w:cs="宋体"/>
          <w:b w:val="0"/>
          <w:bCs/>
          <w:color w:val="auto"/>
          <w:sz w:val="24"/>
          <w:szCs w:val="24"/>
          <w:highlight w:val="none"/>
          <w:shd w:val="clear" w:color="auto" w:fill="auto"/>
          <w:lang w:val="en-US" w:eastAsia="zh-CN" w:bidi="ar-SA"/>
        </w:rPr>
        <w:t xml:space="preserve">所有从事本项目的服务人员的劳务关系或劳动关系隶属于乙方，工作人员的工资、福利、社保等均由乙方负责，支付标准不得低于国家法律法规规定。</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4、履约期内发生软硬件故障，应立即安排专人联系相关供应商予以解决，不得出现长时间断线、断网情况；</w:t>
      </w:r>
      <w:r/>
    </w:p>
    <w:p>
      <w:pPr>
        <w:ind w:firstLine="560"/>
        <w:jc w:val="both"/>
        <w:spacing w:line="520" w:lineRule="exact"/>
        <w:widowControl w:val="off"/>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5、人工坐席接通电话率要达到99%以上；</w:t>
      </w:r>
      <w:r/>
    </w:p>
    <w:p>
      <w:pPr>
        <w:ind w:firstLine="560"/>
        <w:jc w:val="both"/>
        <w:spacing w:line="520" w:lineRule="exact"/>
        <w:widowControl w:val="off"/>
        <w:rPr>
          <w:rFonts w:hint="default"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t xml:space="preserve">6、人工智能辅助系统准确率应达90%以上。</w:t>
      </w:r>
      <w:r/>
    </w:p>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shd w:val="clear" w:color="auto" w:fill="auto"/>
          <w:lang w:val="en-US" w:eastAsia="zh-CN" w:bidi="ar-SA"/>
        </w:rPr>
      </w:pPr>
      <w:r>
        <w:rPr>
          <w:rFonts w:hint="eastAsia" w:ascii="宋体" w:hAnsi="宋体" w:eastAsia="宋体" w:cs="宋体"/>
          <w:b/>
          <w:bCs w:val="0"/>
          <w:color w:val="auto"/>
          <w:sz w:val="24"/>
          <w:szCs w:val="24"/>
          <w:highlight w:val="none"/>
          <w:shd w:val="clear" w:color="auto" w:fill="auto"/>
          <w:lang w:val="en-US" w:eastAsia="zh-CN" w:bidi="ar-SA"/>
        </w:rPr>
        <w:t xml:space="preserve">六、考核方案</w:t>
      </w:r>
      <w:r/>
    </w:p>
    <w:p>
      <w:pPr>
        <w:ind w:firstLine="480"/>
        <w:spacing w:line="500" w:lineRule="exact"/>
        <w:rPr>
          <w:rFonts w:hint="default" w:ascii="Times New Roman" w:hAnsi="Times New Roman" w:eastAsia="宋体" w:cs="Times New Roman"/>
          <w:b w:val="0"/>
          <w:color w:val="auto"/>
          <w:sz w:val="24"/>
          <w:szCs w:val="24"/>
          <w:highlight w:val="none"/>
          <w:lang w:val="en-US" w:eastAsia="zh-CN" w:bidi="ar-SA"/>
        </w:rPr>
      </w:pPr>
      <w:r>
        <w:rPr>
          <w:rFonts w:hint="eastAsia" w:ascii="Times New Roman" w:hAnsi="Times New Roman" w:eastAsia="宋体" w:cs="Times New Roman"/>
          <w:b w:val="0"/>
          <w:color w:val="auto"/>
          <w:sz w:val="24"/>
          <w:szCs w:val="24"/>
          <w:highlight w:val="none"/>
          <w:lang w:val="en-US" w:eastAsia="zh-CN" w:bidi="ar-SA"/>
        </w:rPr>
        <w:t xml:space="preserve">（一）考核目标</w:t>
      </w:r>
      <w:r/>
    </w:p>
    <w:p>
      <w:pPr>
        <w:ind w:firstLine="480"/>
        <w:spacing w:line="500" w:lineRule="exact"/>
        <w:rPr>
          <w:rFonts w:hint="default" w:ascii="Times New Roman" w:hAnsi="Times New Roman" w:eastAsia="宋体" w:cs="Times New Roman"/>
          <w:b w:val="0"/>
          <w:color w:val="auto"/>
          <w:sz w:val="24"/>
          <w:szCs w:val="24"/>
          <w:highlight w:val="none"/>
          <w:lang w:val="en-US" w:eastAsia="zh-CN" w:bidi="ar-SA"/>
        </w:rPr>
      </w:pPr>
      <w:r>
        <w:rPr>
          <w:rFonts w:hint="eastAsia" w:ascii="Times New Roman" w:hAnsi="Times New Roman" w:eastAsia="宋体" w:cs="Times New Roman"/>
          <w:b w:val="0"/>
          <w:color w:val="auto"/>
          <w:sz w:val="24"/>
          <w:szCs w:val="24"/>
          <w:highlight w:val="none"/>
          <w:lang w:val="en-US" w:eastAsia="zh-CN" w:bidi="ar-SA"/>
        </w:rPr>
        <w:t xml:space="preserve">供应商应配备满足项目需求的工作人员，加强12315热线、96333电梯应急处置服务平台工作人员的管理，严格工作作风和工作纪律，提高服务质量，保证维持良好的运行秩序，实现“两个号码对外、一个平台调度、一支队伍响应”，为群众提供满意服务。</w:t>
      </w:r>
      <w:r/>
    </w:p>
    <w:p>
      <w:pPr>
        <w:ind w:firstLine="480"/>
        <w:spacing w:line="500" w:lineRule="exact"/>
        <w:rPr>
          <w:rFonts w:hint="eastAsia" w:ascii="Times New Roman" w:hAnsi="Times New Roman" w:eastAsia="宋体" w:cs="Times New Roman"/>
          <w:b w:val="0"/>
          <w:color w:val="auto"/>
          <w:sz w:val="24"/>
          <w:szCs w:val="24"/>
          <w:highlight w:val="none"/>
          <w:lang w:val="en-US" w:eastAsia="zh-CN" w:bidi="ar-SA"/>
        </w:rPr>
      </w:pPr>
      <w:r>
        <w:rPr>
          <w:rFonts w:hint="eastAsia" w:ascii="Times New Roman" w:hAnsi="Times New Roman" w:eastAsia="宋体" w:cs="Times New Roman"/>
          <w:b w:val="0"/>
          <w:color w:val="auto"/>
          <w:sz w:val="24"/>
          <w:szCs w:val="24"/>
          <w:highlight w:val="none"/>
          <w:lang w:val="en-US" w:eastAsia="zh-CN" w:bidi="ar-SA"/>
        </w:rPr>
        <w:t xml:space="preserve">（二）考核按照付款方式约定的付款时段进行分阶段进行，考核得分满分100分。</w:t>
      </w:r>
      <w:r/>
    </w:p>
    <w:p>
      <w:pPr>
        <w:ind w:firstLine="480"/>
        <w:spacing w:line="500" w:lineRule="exact"/>
        <w:rPr>
          <w:rFonts w:hint="default" w:ascii="Times New Roman" w:hAnsi="Times New Roman" w:eastAsia="宋体" w:cs="Times New Roman"/>
          <w:b w:val="0"/>
          <w:color w:val="auto"/>
          <w:sz w:val="24"/>
          <w:szCs w:val="24"/>
          <w:highlight w:val="none"/>
          <w:lang w:val="en-US" w:eastAsia="zh-CN" w:bidi="ar-SA"/>
        </w:rPr>
      </w:pPr>
      <w:r>
        <w:rPr>
          <w:rFonts w:hint="eastAsia" w:ascii="Times New Roman" w:hAnsi="Times New Roman" w:eastAsia="宋体" w:cs="Times New Roman"/>
          <w:b w:val="0"/>
          <w:color w:val="auto"/>
          <w:sz w:val="24"/>
          <w:szCs w:val="24"/>
          <w:highlight w:val="none"/>
          <w:lang w:val="en-US" w:eastAsia="zh-CN" w:bidi="ar-SA"/>
        </w:rPr>
        <w:t xml:space="preserve">1、验收前每次考核得分低于90分的，扣除该时段服务费10%作为违约金；</w:t>
      </w:r>
      <w:r/>
    </w:p>
    <w:p>
      <w:pPr>
        <w:ind w:firstLine="480"/>
        <w:spacing w:line="500" w:lineRule="exact"/>
        <w:rPr>
          <w:rFonts w:hint="default" w:ascii="Times New Roman" w:hAnsi="Times New Roman" w:eastAsia="宋体" w:cs="Times New Roman"/>
          <w:b w:val="0"/>
          <w:color w:val="auto"/>
          <w:sz w:val="24"/>
          <w:szCs w:val="24"/>
          <w:highlight w:val="none"/>
          <w:lang w:val="en-US" w:eastAsia="zh-CN" w:bidi="ar-SA"/>
        </w:rPr>
      </w:pPr>
      <w:r>
        <w:rPr>
          <w:rFonts w:hint="eastAsia" w:ascii="Times New Roman" w:hAnsi="Times New Roman" w:eastAsia="宋体" w:cs="Times New Roman"/>
          <w:b w:val="0"/>
          <w:color w:val="auto"/>
          <w:sz w:val="24"/>
          <w:szCs w:val="24"/>
          <w:highlight w:val="none"/>
          <w:lang w:val="en-US" w:eastAsia="zh-CN" w:bidi="ar-SA"/>
        </w:rPr>
        <w:t xml:space="preserve">2、验收前每次考核得分低于80分的，扣除该时段服务费20%作为违约金；</w:t>
      </w:r>
      <w:r/>
    </w:p>
    <w:p>
      <w:pPr>
        <w:ind w:firstLine="480"/>
        <w:spacing w:line="500" w:lineRule="exact"/>
        <w:rPr>
          <w:rFonts w:hint="eastAsia" w:ascii="Times New Roman" w:hAnsi="Times New Roman" w:eastAsia="宋体" w:cs="Times New Roman"/>
          <w:b w:val="0"/>
          <w:color w:val="auto"/>
          <w:sz w:val="24"/>
          <w:szCs w:val="24"/>
          <w:highlight w:val="none"/>
          <w:lang w:val="en-US" w:eastAsia="zh-CN" w:bidi="ar-SA"/>
        </w:rPr>
      </w:pPr>
      <w:r>
        <w:rPr>
          <w:rFonts w:hint="eastAsia" w:ascii="Times New Roman" w:hAnsi="Times New Roman" w:eastAsia="宋体" w:cs="Times New Roman"/>
          <w:b w:val="0"/>
          <w:color w:val="auto"/>
          <w:sz w:val="24"/>
          <w:szCs w:val="24"/>
          <w:highlight w:val="none"/>
          <w:lang w:val="en-US" w:eastAsia="zh-CN" w:bidi="ar-SA"/>
        </w:rPr>
        <w:t xml:space="preserve">3、验收前连续两次考核得分低于80分采购人可以单方解除合同，并有权要求成交供应商再按照合同总价20%承担违约金；</w:t>
      </w:r>
      <w:r/>
    </w:p>
    <w:p>
      <w:pPr>
        <w:ind w:firstLine="480"/>
        <w:spacing w:line="500" w:lineRule="exact"/>
        <w:rPr>
          <w:rFonts w:hint="eastAsia" w:ascii="Times New Roman" w:hAnsi="Times New Roman" w:eastAsia="宋体" w:cs="Times New Roman"/>
          <w:b w:val="0"/>
          <w:color w:val="auto"/>
          <w:sz w:val="24"/>
          <w:szCs w:val="24"/>
          <w:highlight w:val="none"/>
          <w:lang w:val="en-US" w:eastAsia="zh-CN" w:bidi="ar-SA"/>
        </w:rPr>
      </w:pPr>
      <w:r>
        <w:rPr>
          <w:rFonts w:hint="eastAsia" w:ascii="Times New Roman" w:hAnsi="Times New Roman" w:eastAsia="宋体" w:cs="Times New Roman"/>
          <w:b w:val="0"/>
          <w:color w:val="auto"/>
          <w:sz w:val="24"/>
          <w:szCs w:val="24"/>
          <w:highlight w:val="none"/>
          <w:lang w:val="en-US" w:eastAsia="zh-CN" w:bidi="ar-SA"/>
        </w:rPr>
        <w:t xml:space="preserve">4、项目验收得分低于90分的，扣除合同金额20%作为违约金；得分低于80分的，扣除合同金额30%作为违约金，并有权要求成交供应商继续完成合同约定的服务内容。</w:t>
      </w:r>
      <w:r/>
    </w:p>
    <w:p>
      <w:pPr>
        <w:ind w:firstLine="480"/>
        <w:spacing w:line="500" w:lineRule="exact"/>
        <w:rPr>
          <w:rFonts w:hint="eastAsia" w:ascii="宋体" w:hAnsi="宋体" w:eastAsia="宋体" w:cs="宋体"/>
          <w:b/>
          <w:bCs/>
          <w:color w:val="auto"/>
          <w:sz w:val="22"/>
          <w:szCs w:val="24"/>
          <w:highlight w:val="none"/>
          <w:lang w:val="en-US" w:eastAsia="zh-CN" w:bidi="ar-SA"/>
        </w:rPr>
      </w:pPr>
      <w:r>
        <w:rPr>
          <w:rFonts w:hint="eastAsia" w:ascii="宋体" w:hAnsi="宋体" w:eastAsia="黑体" w:cs="宋体"/>
          <w:b/>
          <w:bCs/>
          <w:color w:val="auto"/>
          <w:sz w:val="22"/>
          <w:szCs w:val="24"/>
          <w:highlight w:val="none"/>
          <w:lang w:val="en-US" w:eastAsia="zh-CN" w:bidi="ar-SA"/>
        </w:rPr>
        <w:t xml:space="preserve">1、平台话务服务考核办法（60分）</w:t>
      </w:r>
      <w:r/>
    </w:p>
    <w:tbl>
      <w:tblPr>
        <w:tblStyle w:val="864"/>
        <w:tblW w:w="91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1129"/>
        <w:gridCol w:w="1694"/>
        <w:gridCol w:w="1897"/>
        <w:gridCol w:w="1897"/>
        <w:gridCol w:w="1897"/>
      </w:tblGrid>
      <w:tr>
        <w:trPr>
          <w:trHeight w:val="429"/>
        </w:trPr>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考核项目</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考核内容</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jc w:val="center"/>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评分标准</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jc w:val="center"/>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考核结果</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jc w:val="center"/>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得分</w:t>
            </w:r>
            <w:r/>
          </w:p>
        </w:tc>
      </w:tr>
      <w:tr>
        <w:trPr>
          <w:trHeight w:val="1616"/>
        </w:trPr>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440" w:lineRule="exact"/>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220" w:hanging="220"/>
              <w:jc w:val="both"/>
              <w:spacing w:line="440" w:lineRule="exact"/>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制度建设10分</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both"/>
              <w:spacing w:line="320" w:lineRule="exact"/>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1.制定必需的工作职责、管理制度和工作流程、工作规范并公示上墙；</w:t>
            </w:r>
            <w:r/>
          </w:p>
          <w:p>
            <w:pPr>
              <w:jc w:val="both"/>
              <w:spacing w:line="320" w:lineRule="exact"/>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2.编制各大电梯维保单位通讯联络表。</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jc w:val="left"/>
              <w:spacing w:line="320" w:lineRule="exact"/>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1、缺少值班表、制度、职责或没有规范上墙的，少一项扣 2分。</w:t>
            </w:r>
            <w:r/>
          </w:p>
          <w:p>
            <w:pPr>
              <w:jc w:val="left"/>
              <w:spacing w:line="320" w:lineRule="exact"/>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2.各大电梯维保单位通讯联络表，少一家扣 3分。</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jc w:val="left"/>
              <w:spacing w:line="3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jc w:val="left"/>
              <w:spacing w:line="3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440" w:lineRule="exact"/>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ind w:left="220" w:hanging="220"/>
              <w:jc w:val="both"/>
              <w:spacing w:line="440" w:lineRule="exact"/>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队伍建设20分</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991"/>
              <w:spacing w:line="32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1.</w:t>
            </w:r>
            <w:r>
              <w:rPr>
                <w:rFonts w:hint="eastAsia" w:ascii="宋体" w:hAnsi="宋体" w:cs="宋体"/>
                <w:color w:val="auto"/>
                <w:sz w:val="22"/>
                <w:highlight w:val="none"/>
                <w:lang w:eastAsia="zh-CN"/>
              </w:rPr>
              <w:t xml:space="preserve">配备满足采购需求的人员不少于</w:t>
            </w:r>
            <w:r>
              <w:rPr>
                <w:rFonts w:hint="eastAsia" w:ascii="宋体" w:hAnsi="宋体" w:cs="宋体"/>
                <w:color w:val="auto"/>
                <w:sz w:val="22"/>
                <w:highlight w:val="none"/>
                <w:lang w:val="en-US" w:eastAsia="zh-CN"/>
              </w:rPr>
              <w:t xml:space="preserve">11名</w:t>
            </w:r>
            <w:r>
              <w:rPr>
                <w:rFonts w:hint="eastAsia" w:ascii="宋体" w:hAnsi="宋体" w:cs="宋体"/>
                <w:color w:val="auto"/>
                <w:sz w:val="22"/>
                <w:highlight w:val="none"/>
                <w:lang w:eastAsia="zh-CN"/>
              </w:rPr>
              <w:t xml:space="preserve">；</w:t>
            </w:r>
            <w:r/>
          </w:p>
          <w:p>
            <w:pPr>
              <w:pStyle w:val="991"/>
              <w:spacing w:line="320" w:lineRule="exact"/>
              <w:rPr>
                <w:rFonts w:ascii="宋体" w:hAnsi="宋体" w:cs="宋体"/>
                <w:color w:val="auto"/>
                <w:sz w:val="22"/>
                <w:highlight w:val="none"/>
              </w:rPr>
            </w:pPr>
            <w:r>
              <w:rPr>
                <w:rFonts w:hint="eastAsia" w:ascii="宋体" w:hAnsi="宋体" w:cs="宋体"/>
                <w:color w:val="auto"/>
                <w:sz w:val="22"/>
                <w:highlight w:val="none"/>
              </w:rPr>
              <w:t xml:space="preserve">2.配备符合业务要求的工位；</w:t>
            </w:r>
            <w:r/>
          </w:p>
          <w:p>
            <w:pPr>
              <w:pStyle w:val="991"/>
              <w:spacing w:line="320" w:lineRule="exact"/>
              <w:rPr>
                <w:rFonts w:ascii="宋体" w:hAnsi="宋体" w:eastAsia="宋体" w:cs="宋体"/>
                <w:color w:val="auto"/>
                <w:sz w:val="22"/>
                <w:szCs w:val="22"/>
                <w:highlight w:val="none"/>
                <w:lang w:val="en-US" w:eastAsia="zh-CN" w:bidi="ar-SA"/>
              </w:rPr>
            </w:pPr>
            <w:r>
              <w:rPr>
                <w:rFonts w:hint="eastAsia" w:ascii="宋体" w:hAnsi="宋体" w:cs="宋体"/>
                <w:color w:val="auto"/>
                <w:sz w:val="22"/>
                <w:highlight w:val="none"/>
              </w:rPr>
              <w:t xml:space="preserve">3.办公设备运行正常。</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pStyle w:val="991"/>
              <w:spacing w:line="320" w:lineRule="exact"/>
              <w:rPr>
                <w:rFonts w:ascii="宋体" w:hAnsi="宋体" w:cs="宋体"/>
                <w:color w:val="auto"/>
                <w:sz w:val="22"/>
                <w:highlight w:val="none"/>
              </w:rPr>
            </w:pPr>
            <w:r>
              <w:rPr>
                <w:rFonts w:hint="eastAsia" w:ascii="宋体" w:hAnsi="宋体" w:cs="宋体"/>
                <w:color w:val="auto"/>
                <w:sz w:val="22"/>
                <w:highlight w:val="none"/>
              </w:rPr>
              <w:t xml:space="preserve">1.未</w:t>
            </w:r>
            <w:r>
              <w:rPr>
                <w:rFonts w:hint="eastAsia" w:ascii="宋体" w:hAnsi="宋体" w:cs="宋体"/>
                <w:color w:val="auto"/>
                <w:sz w:val="22"/>
                <w:highlight w:val="none"/>
                <w:lang w:eastAsia="zh-CN"/>
              </w:rPr>
              <w:t xml:space="preserve">配备满足要求工作人员，缺少</w:t>
            </w:r>
            <w:r>
              <w:rPr>
                <w:rFonts w:hint="eastAsia" w:ascii="宋体" w:hAnsi="宋体" w:cs="宋体"/>
                <w:color w:val="auto"/>
                <w:sz w:val="22"/>
                <w:highlight w:val="none"/>
                <w:lang w:val="en-US" w:eastAsia="zh-CN"/>
              </w:rPr>
              <w:t xml:space="preserve">1名扣3</w:t>
            </w:r>
            <w:r>
              <w:rPr>
                <w:rFonts w:hint="eastAsia" w:ascii="宋体" w:hAnsi="宋体" w:cs="宋体"/>
                <w:color w:val="auto"/>
                <w:sz w:val="22"/>
                <w:highlight w:val="none"/>
              </w:rPr>
              <w:t xml:space="preserve">分；</w:t>
            </w:r>
            <w:r/>
          </w:p>
          <w:p>
            <w:pPr>
              <w:pStyle w:val="991"/>
              <w:spacing w:line="320" w:lineRule="exact"/>
              <w:rPr>
                <w:rFonts w:ascii="宋体" w:hAnsi="宋体" w:cs="宋体"/>
                <w:color w:val="auto"/>
                <w:sz w:val="22"/>
                <w:highlight w:val="none"/>
              </w:rPr>
            </w:pPr>
            <w:r>
              <w:rPr>
                <w:rFonts w:hint="eastAsia" w:ascii="宋体" w:hAnsi="宋体" w:cs="宋体"/>
                <w:color w:val="auto"/>
                <w:sz w:val="22"/>
                <w:highlight w:val="none"/>
              </w:rPr>
              <w:t xml:space="preserve">2.未配备符合业务要求的工位的扣 </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rPr>
              <w:t xml:space="preserve">分；</w:t>
            </w:r>
            <w:r/>
          </w:p>
          <w:p>
            <w:pPr>
              <w:pStyle w:val="991"/>
              <w:spacing w:line="320" w:lineRule="exact"/>
              <w:rPr>
                <w:rFonts w:ascii="宋体" w:hAnsi="宋体" w:eastAsia="宋体" w:cs="宋体"/>
                <w:color w:val="auto"/>
                <w:sz w:val="22"/>
                <w:szCs w:val="22"/>
                <w:highlight w:val="none"/>
                <w:lang w:val="en-US" w:eastAsia="zh-CN" w:bidi="ar-SA"/>
              </w:rPr>
            </w:pPr>
            <w:r>
              <w:rPr>
                <w:rFonts w:hint="eastAsia" w:ascii="宋体" w:hAnsi="宋体" w:cs="宋体"/>
                <w:color w:val="auto"/>
                <w:sz w:val="22"/>
                <w:highlight w:val="none"/>
              </w:rPr>
              <w:t xml:space="preserve">3.办公设备运行不正常的扣 </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分。</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jc w:val="both"/>
              <w:spacing w:line="3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jc w:val="both"/>
              <w:spacing w:line="32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376"/>
        </w:trPr>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firstLine="220"/>
              <w:jc w:val="both"/>
              <w:spacing w:line="440" w:lineRule="exact"/>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991"/>
              <w:spacing w:line="440" w:lineRule="exact"/>
              <w:rPr>
                <w:rFonts w:ascii="宋体" w:hAnsi="宋体" w:cs="宋体"/>
                <w:color w:val="auto"/>
                <w:sz w:val="22"/>
                <w:highlight w:val="none"/>
              </w:rPr>
            </w:pPr>
            <w:r>
              <w:rPr>
                <w:rFonts w:hint="eastAsia" w:ascii="宋体" w:hAnsi="宋体" w:cs="宋体"/>
                <w:color w:val="auto"/>
                <w:sz w:val="22"/>
                <w:highlight w:val="none"/>
              </w:rPr>
              <w:t xml:space="preserve">平台服务</w:t>
            </w:r>
            <w:r/>
          </w:p>
          <w:p>
            <w:pPr>
              <w:ind w:firstLine="220"/>
              <w:jc w:val="both"/>
              <w:spacing w:line="440" w:lineRule="exact"/>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30 分</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both"/>
              <w:spacing w:line="320" w:lineRule="exact"/>
              <w:widowControl w:val="off"/>
              <w:rPr>
                <w:rFonts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严格执行工作规范和程序，遵守工作纪律，热情、规范开展服务。</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numPr>
                <w:ilvl w:val="0"/>
                <w:numId w:val="7"/>
              </w:numPr>
              <w:spacing w:line="240" w:lineRule="atLeast"/>
              <w:rPr>
                <w:rFonts w:ascii="宋体" w:hAnsi="宋体" w:eastAsia="宋体" w:cs="宋体"/>
                <w:color w:val="auto"/>
                <w:sz w:val="22"/>
                <w:highlight w:val="none"/>
              </w:rPr>
            </w:pPr>
            <w:r>
              <w:rPr>
                <w:rFonts w:hint="eastAsia" w:ascii="宋体" w:hAnsi="宋体" w:eastAsia="宋体" w:cs="宋体"/>
                <w:color w:val="auto"/>
                <w:sz w:val="22"/>
                <w:highlight w:val="none"/>
              </w:rPr>
              <w:t xml:space="preserve">严格遵守考勤制度，按时上下班打卡，发现违规一次扣</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分；</w:t>
            </w:r>
            <w:r/>
          </w:p>
          <w:p>
            <w:pPr>
              <w:spacing w:line="240" w:lineRule="atLeast"/>
              <w:rPr>
                <w:rFonts w:ascii="宋体" w:hAnsi="宋体" w:eastAsia="宋体" w:cs="宋体"/>
                <w:color w:val="auto"/>
                <w:sz w:val="22"/>
                <w:highlight w:val="none"/>
              </w:rPr>
            </w:pPr>
            <w:r>
              <w:rPr>
                <w:rFonts w:hint="eastAsia" w:ascii="宋体" w:hAnsi="宋体" w:eastAsia="宋体" w:cs="宋体"/>
                <w:color w:val="auto"/>
                <w:sz w:val="22"/>
                <w:highlight w:val="none"/>
              </w:rPr>
              <w:t xml:space="preserve">2. 必须规范、整洁着装并淡妆，随时按要求着统一工作服，发现违规一次扣</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分；</w:t>
            </w:r>
            <w:r>
              <w:rPr>
                <w:rFonts w:hint="eastAsia" w:ascii="宋体" w:hAnsi="宋体" w:eastAsia="宋体" w:cs="宋体"/>
                <w:color w:val="auto"/>
                <w:sz w:val="22"/>
                <w:highlight w:val="none"/>
              </w:rPr>
              <w:br/>
            </w:r>
            <w:r>
              <w:rPr>
                <w:rFonts w:hint="eastAsia" w:ascii="宋体" w:hAnsi="宋体" w:eastAsia="宋体" w:cs="宋体"/>
                <w:color w:val="auto"/>
                <w:sz w:val="22"/>
                <w:highlight w:val="none"/>
              </w:rPr>
              <w:t xml:space="preserve">3.必须精神饱满，工作热情，文明用语，一律普通话，规范话术，发现违规一次扣</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分；</w:t>
            </w:r>
            <w:r>
              <w:rPr>
                <w:rFonts w:hint="eastAsia" w:ascii="宋体" w:hAnsi="宋体" w:eastAsia="宋体" w:cs="宋体"/>
                <w:color w:val="auto"/>
                <w:sz w:val="22"/>
                <w:highlight w:val="none"/>
              </w:rPr>
              <w:br/>
            </w:r>
            <w:r>
              <w:rPr>
                <w:rFonts w:hint="eastAsia" w:ascii="宋体" w:hAnsi="宋体" w:eastAsia="宋体" w:cs="宋体"/>
                <w:color w:val="auto"/>
                <w:sz w:val="22"/>
                <w:highlight w:val="none"/>
              </w:rPr>
              <w:t xml:space="preserve">4.坚守工作岗位，任何情况下必须至少</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人在岗，临时离岗仅限中餐、处理与工作相关必须处理的突发紧急事件、去卫生间，否则需向上级请示同意，发现违规一次扣</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分；</w:t>
            </w:r>
            <w:r>
              <w:rPr>
                <w:rFonts w:hint="eastAsia" w:ascii="宋体" w:hAnsi="宋体" w:eastAsia="宋体" w:cs="宋体"/>
                <w:color w:val="auto"/>
                <w:sz w:val="22"/>
                <w:highlight w:val="none"/>
              </w:rPr>
              <w:br/>
            </w:r>
            <w:r>
              <w:rPr>
                <w:rFonts w:hint="eastAsia" w:ascii="宋体" w:hAnsi="宋体" w:eastAsia="宋体" w:cs="宋体"/>
                <w:color w:val="auto"/>
                <w:sz w:val="22"/>
                <w:highlight w:val="none"/>
              </w:rPr>
              <w:t xml:space="preserve">5.不得在办公电脑或手机下载与工作无关的软件、浏览与工作无关的网站；不得抽烟，不得不在饭时吃零食（饮品及降温品除外），禁止长时间做与聊和工作无关的事，发现违规一次扣</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分；</w:t>
            </w:r>
            <w:r>
              <w:rPr>
                <w:rFonts w:hint="eastAsia" w:ascii="宋体" w:hAnsi="宋体" w:eastAsia="宋体" w:cs="宋体"/>
                <w:color w:val="auto"/>
                <w:sz w:val="22"/>
                <w:highlight w:val="none"/>
              </w:rPr>
              <w:br/>
            </w:r>
            <w:r>
              <w:rPr>
                <w:rFonts w:hint="eastAsia" w:ascii="宋体" w:hAnsi="宋体" w:eastAsia="宋体" w:cs="宋体"/>
                <w:color w:val="auto"/>
                <w:sz w:val="22"/>
                <w:highlight w:val="none"/>
              </w:rPr>
              <w:t xml:space="preserve">6.认真处理</w:t>
            </w:r>
            <w:r>
              <w:rPr>
                <w:rFonts w:hint="eastAsia" w:ascii="宋体" w:hAnsi="宋体" w:eastAsia="宋体" w:cs="宋体"/>
                <w:color w:val="auto"/>
                <w:sz w:val="22"/>
                <w:highlight w:val="none"/>
                <w:lang w:val="en-US" w:eastAsia="zh-CN"/>
              </w:rPr>
              <w:t xml:space="preserve">相关</w:t>
            </w:r>
            <w:r>
              <w:rPr>
                <w:rFonts w:hint="eastAsia" w:ascii="宋体" w:hAnsi="宋体" w:eastAsia="宋体" w:cs="宋体"/>
                <w:color w:val="auto"/>
                <w:sz w:val="22"/>
                <w:highlight w:val="none"/>
              </w:rPr>
              <w:t xml:space="preserve">电话，对工单信息及问题做好记录，确保完整及规范，接警工单按规定正确填写、不得漏填漏报，重大或特殊事件，除做好记录外，应及时向上级报告，确保领导知晓，同时规范做好正常的交接班手续，发现违规一次扣</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分；</w:t>
            </w:r>
            <w:r/>
          </w:p>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7.办公区域环境卫生、绿化、桌椅、用具摆置等原则上由当班人负责，总体按兼职分工负责，发现一次卫生不到位扣</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分；</w:t>
            </w:r>
            <w:r/>
          </w:p>
          <w:p>
            <w:pPr>
              <w:spacing w:line="240" w:lineRule="atLeast"/>
              <w:rPr>
                <w:rFonts w:ascii="宋体" w:hAnsi="宋体" w:eastAsia="宋体" w:cs="宋体"/>
                <w:color w:val="auto"/>
                <w:sz w:val="22"/>
                <w:highlight w:val="none"/>
              </w:rPr>
            </w:pPr>
            <w:r>
              <w:rPr>
                <w:rFonts w:hint="eastAsia" w:ascii="宋体" w:hAnsi="宋体" w:eastAsia="宋体" w:cs="宋体"/>
                <w:color w:val="auto"/>
                <w:sz w:val="22"/>
                <w:highlight w:val="none"/>
              </w:rPr>
              <w:t xml:space="preserve">8.认真加强自身学习，不断提升能力，积极参加和应对上级的能力考核，考核不合格一次扣</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分；</w:t>
            </w:r>
            <w:r/>
          </w:p>
          <w:p>
            <w:pPr>
              <w:rPr>
                <w:rFonts w:ascii="宋体" w:hAnsi="宋体" w:eastAsia="宋体" w:cs="宋体"/>
                <w:color w:val="auto"/>
                <w:sz w:val="22"/>
                <w:highlight w:val="none"/>
              </w:rPr>
            </w:pPr>
            <w:r>
              <w:rPr>
                <w:rFonts w:hint="eastAsia" w:ascii="宋体" w:hAnsi="宋体" w:eastAsia="宋体" w:cs="宋体"/>
                <w:color w:val="auto"/>
                <w:sz w:val="22"/>
                <w:highlight w:val="none"/>
              </w:rPr>
              <w:t xml:space="preserve">9.积极认真做好领导交办的当班或不当班的其他工作，并将办理结果及时、准确、完整回复，发现违规一次扣</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分。</w:t>
            </w:r>
            <w:r/>
          </w:p>
          <w:p>
            <w:pP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10.积极主动参与工作改进及合理化建议，参加单位团体活动，未执行扣</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分。</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r>
      <w:tr>
        <w:trPr>
          <w:trHeight w:val="376"/>
        </w:trPr>
        <w:tc>
          <w:tcPr>
            <w:gridSpan w:val="5"/>
            <w:tcBorders>
              <w:top w:val="single" w:color="auto" w:sz="4" w:space="0"/>
              <w:left w:val="single" w:color="auto" w:sz="4" w:space="0"/>
              <w:bottom w:val="single" w:color="auto" w:sz="4" w:space="0"/>
              <w:right w:val="single" w:color="auto" w:sz="4" w:space="0"/>
            </w:tcBorders>
            <w:tcW w:w="7269" w:type="dxa"/>
            <w:vAlign w:val="center"/>
            <w:textDirection w:val="lrTb"/>
            <w:noWrap w:val="false"/>
          </w:tcPr>
          <w:p>
            <w:pPr>
              <w:ind w:firstLine="33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 xml:space="preserve">总得分</w:t>
            </w:r>
            <w:r/>
          </w:p>
        </w:tc>
        <w:tc>
          <w:tcPr>
            <w:tcBorders>
              <w:top w:val="single" w:color="auto" w:sz="4" w:space="0"/>
              <w:left w:val="single" w:color="auto" w:sz="4" w:space="0"/>
              <w:bottom w:val="single" w:color="auto" w:sz="4" w:space="0"/>
              <w:right w:val="single" w:color="auto" w:sz="4" w:space="0"/>
            </w:tcBorders>
            <w:tcW w:w="1897" w:type="dxa"/>
            <w:vAlign w:val="center"/>
            <w:textDirection w:val="lrTb"/>
            <w:noWrap w:val="false"/>
          </w:tcPr>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r>
    </w:tbl>
    <w:p>
      <w:pPr>
        <w:numPr>
          <w:ilvl w:val="0"/>
          <w:numId w:val="8"/>
        </w:numPr>
        <w:ind w:firstLine="480"/>
        <w:keepLines w:val="0"/>
        <w:keepNext w:val="0"/>
        <w:pageBreakBefore w:val="0"/>
        <w:spacing w:line="540" w:lineRule="exact"/>
        <w:widowControl w:val="off"/>
        <w:rPr>
          <w:rFonts w:hint="eastAsia" w:ascii="宋体" w:hAnsi="宋体" w:eastAsia="宋体" w:cs="宋体"/>
          <w:b/>
          <w:bCs w:val="0"/>
          <w:color w:val="auto"/>
          <w:sz w:val="24"/>
          <w:szCs w:val="24"/>
          <w:highlight w:val="none"/>
          <w:shd w:val="clear" w:color="auto" w:fill="auto"/>
          <w:lang w:val="en-US" w:eastAsia="zh-CN" w:bidi="ar-SA"/>
        </w:rPr>
      </w:pPr>
      <w:r>
        <w:rPr>
          <w:rFonts w:hint="eastAsia" w:ascii="宋体" w:hAnsi="宋体" w:eastAsia="宋体" w:cs="宋体"/>
          <w:b/>
          <w:bCs w:val="0"/>
          <w:color w:val="auto"/>
          <w:sz w:val="24"/>
          <w:szCs w:val="24"/>
          <w:highlight w:val="none"/>
          <w:shd w:val="clear" w:color="auto" w:fill="auto"/>
          <w:lang w:val="en-US" w:eastAsia="zh-CN" w:bidi="ar-SA"/>
        </w:rPr>
        <w:t xml:space="preserve">人工智能开发运用考核办法（40分）：</w:t>
      </w:r>
      <w:r/>
    </w:p>
    <w:p>
      <w:pPr>
        <w:numPr>
          <w:ilvl w:val="0"/>
          <w:numId w:val="0"/>
        </w:numPr>
        <w:keepLines w:val="0"/>
        <w:keepNext w:val="0"/>
        <w:pageBreakBefore w:val="0"/>
        <w:spacing w:line="540" w:lineRule="exact"/>
        <w:widowControl w:val="off"/>
        <w:rPr>
          <w:rFonts w:hint="default" w:ascii="宋体" w:hAnsi="宋体" w:eastAsia="宋体" w:cs="宋体"/>
          <w:b/>
          <w:bCs w:val="0"/>
          <w:color w:val="auto"/>
          <w:sz w:val="24"/>
          <w:szCs w:val="24"/>
          <w:highlight w:val="none"/>
          <w:shd w:val="clear" w:color="auto" w:fill="auto"/>
          <w:lang w:val="en-US" w:eastAsia="zh-CN" w:bidi="ar-SA"/>
        </w:rPr>
      </w:pPr>
      <w:r>
        <w:rPr>
          <w:rFonts w:hint="eastAsia" w:ascii="宋体" w:hAnsi="宋体" w:eastAsia="宋体" w:cs="宋体"/>
          <w:b/>
          <w:bCs w:val="0"/>
          <w:color w:val="auto"/>
          <w:sz w:val="24"/>
          <w:szCs w:val="24"/>
          <w:highlight w:val="none"/>
          <w:shd w:val="clear" w:color="auto" w:fill="auto"/>
          <w:lang w:val="en-US" w:eastAsia="zh-CN" w:bidi="ar-SA"/>
        </w:rPr>
        <w:t xml:space="preserve">    对照服务进度要求，供应商需提供各考核、验收阶段工作成果的证明材料，出现一项未能完成要求的扣5分。</w:t>
      </w:r>
      <w:r/>
    </w:p>
    <w:p>
      <w:pPr>
        <w:ind w:firstLine="480"/>
        <w:keepLines w:val="0"/>
        <w:keepNext w:val="0"/>
        <w:pageBreakBefore w:val="0"/>
        <w:spacing w:line="5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shd w:val="clear" w:color="auto" w:fill="auto"/>
          <w:lang w:val="en-US" w:eastAsia="zh-CN" w:bidi="ar-SA"/>
        </w:rPr>
        <w:t xml:space="preserve">七、</w:t>
      </w:r>
      <w:r>
        <w:rPr>
          <w:rFonts w:hint="eastAsia" w:ascii="宋体" w:hAnsi="宋体" w:eastAsia="宋体" w:cs="宋体"/>
          <w:b/>
          <w:bCs/>
          <w:color w:val="auto"/>
          <w:sz w:val="24"/>
          <w:szCs w:val="24"/>
          <w:highlight w:val="none"/>
        </w:rPr>
        <w:t xml:space="preserve">人员培训要求</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供应商对</w:t>
      </w:r>
      <w:r>
        <w:rPr>
          <w:rFonts w:hint="eastAsia" w:ascii="宋体" w:hAnsi="宋体" w:eastAsia="宋体" w:cs="宋体"/>
          <w:color w:val="auto"/>
          <w:sz w:val="24"/>
          <w:szCs w:val="24"/>
          <w:highlight w:val="none"/>
          <w:lang w:val="en-US" w:eastAsia="zh-CN"/>
        </w:rPr>
        <w:t xml:space="preserve">话务</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lang w:eastAsia="zh-CN"/>
        </w:rPr>
        <w:t xml:space="preserve">开展</w:t>
      </w:r>
      <w:r>
        <w:rPr>
          <w:rFonts w:hint="eastAsia" w:ascii="宋体" w:hAnsi="宋体" w:eastAsia="宋体" w:cs="宋体"/>
          <w:color w:val="auto"/>
          <w:sz w:val="24"/>
          <w:szCs w:val="24"/>
          <w:highlight w:val="none"/>
        </w:rPr>
        <w:t xml:space="preserve">技能培训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提升群众</w:t>
      </w:r>
      <w:r>
        <w:rPr>
          <w:rFonts w:hint="eastAsia" w:ascii="宋体" w:hAnsi="宋体" w:eastAsia="宋体" w:cs="宋体"/>
          <w:color w:val="auto"/>
          <w:sz w:val="24"/>
          <w:szCs w:val="24"/>
          <w:highlight w:val="none"/>
          <w:lang w:eastAsia="zh-CN"/>
        </w:rPr>
        <w:t xml:space="preserve">来电</w:t>
      </w:r>
      <w:r>
        <w:rPr>
          <w:rFonts w:hint="eastAsia" w:ascii="宋体" w:hAnsi="宋体" w:eastAsia="宋体" w:cs="宋体"/>
          <w:color w:val="auto"/>
          <w:sz w:val="24"/>
          <w:szCs w:val="24"/>
          <w:highlight w:val="none"/>
        </w:rPr>
        <w:t xml:space="preserve">体验，确保服务稳定、易用，提供日常服务监控、综合分析及应急处理，保障服务稳定、可靠，服务不中断。人员招聘及培训所需费用由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岗前培训：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必须有专业的话务培训团队及培训方案，并负责提供培训场所，进行热线话务工作的基础性培训</w:t>
      </w:r>
      <w:r>
        <w:rPr>
          <w:rFonts w:hint="eastAsia" w:ascii="宋体" w:hAnsi="宋体" w:eastAsia="宋体" w:cs="宋体"/>
          <w:color w:val="auto"/>
          <w:sz w:val="24"/>
          <w:szCs w:val="24"/>
          <w:highlight w:val="none"/>
          <w:lang w:eastAsia="zh-CN"/>
        </w:rPr>
        <w:t xml:space="preserve">（包括</w:t>
      </w:r>
      <w:r>
        <w:rPr>
          <w:rFonts w:hint="eastAsia" w:ascii="宋体" w:hAnsi="宋体" w:eastAsia="宋体" w:cs="宋体"/>
          <w:color w:val="auto"/>
          <w:sz w:val="24"/>
          <w:szCs w:val="24"/>
          <w:highlight w:val="none"/>
        </w:rPr>
        <w:t xml:space="preserve">服务禁忌、服务规范、质检标准、信息安全</w:t>
      </w:r>
      <w:r>
        <w:rPr>
          <w:rFonts w:hint="eastAsia" w:ascii="宋体" w:hAnsi="宋体" w:eastAsia="宋体" w:cs="宋体"/>
          <w:color w:val="auto"/>
          <w:sz w:val="24"/>
          <w:szCs w:val="24"/>
          <w:highlight w:val="none"/>
          <w:lang w:eastAsia="zh-CN"/>
        </w:rPr>
        <w:t xml:space="preserve">及市场监管领域相关业务知识等内容），</w:t>
      </w:r>
      <w:r>
        <w:rPr>
          <w:rFonts w:hint="eastAsia" w:ascii="宋体" w:hAnsi="宋体" w:eastAsia="宋体" w:cs="宋体"/>
          <w:color w:val="auto"/>
          <w:sz w:val="24"/>
          <w:szCs w:val="24"/>
          <w:highlight w:val="none"/>
        </w:rPr>
        <w:t xml:space="preserve">原则上项目</w:t>
      </w:r>
      <w:r>
        <w:rPr>
          <w:rFonts w:hint="eastAsia" w:ascii="宋体" w:hAnsi="宋体" w:eastAsia="宋体" w:cs="宋体"/>
          <w:color w:val="auto"/>
          <w:sz w:val="24"/>
          <w:szCs w:val="24"/>
          <w:highlight w:val="none"/>
          <w:lang w:eastAsia="zh-CN"/>
        </w:rPr>
        <w:t xml:space="preserve">新入职人员</w:t>
      </w:r>
      <w:r>
        <w:rPr>
          <w:rFonts w:hint="eastAsia" w:ascii="宋体" w:hAnsi="宋体" w:eastAsia="宋体" w:cs="宋体"/>
          <w:color w:val="auto"/>
          <w:sz w:val="24"/>
          <w:szCs w:val="24"/>
          <w:highlight w:val="none"/>
        </w:rPr>
        <w:t xml:space="preserve">培训周期不少于10天；</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解释本项目所需的业务内容、政策法规、办事指南、工作流程、软件操作、工作规范、联系方式等信息。</w:t>
      </w:r>
      <w:r/>
    </w:p>
    <w:p>
      <w:pPr>
        <w:ind w:firstLine="480"/>
        <w:keepLines w:val="0"/>
        <w:keepNext w:val="0"/>
        <w:pageBreakBefore w:val="0"/>
        <w:spacing w:line="5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中期培训：</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负责在项目进行过程中对热线接听人员进行持续的业务培训和工作所需的软件平台操作培训；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要积极配合</w:t>
      </w:r>
      <w:r>
        <w:rPr>
          <w:rFonts w:hint="eastAsia" w:ascii="宋体" w:hAnsi="宋体" w:eastAsia="宋体" w:cs="宋体"/>
          <w:color w:val="auto"/>
          <w:sz w:val="24"/>
          <w:szCs w:val="24"/>
          <w:highlight w:val="none"/>
          <w:lang w:eastAsia="zh-CN"/>
        </w:rPr>
        <w:t xml:space="preserve">采购方</w:t>
      </w:r>
      <w:r>
        <w:rPr>
          <w:rFonts w:hint="eastAsia" w:ascii="宋体" w:hAnsi="宋体" w:eastAsia="宋体" w:cs="宋体"/>
          <w:color w:val="auto"/>
          <w:sz w:val="24"/>
          <w:szCs w:val="24"/>
          <w:highlight w:val="none"/>
        </w:rPr>
        <w:t xml:space="preserve">开展的培训工作，督促及检查热线接听人员学习情况；</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在项目进行过程中，要定期组织</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职业素养、服务态度、沟通技巧</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培训，保证服务质量。</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期间，国家颁布新的法律法规和服务标准，双方共同对工作人员进行新的法律法规和服务标准培训。</w:t>
      </w:r>
      <w:r/>
    </w:p>
    <w:p>
      <w:pPr>
        <w:jc w:val="left"/>
        <w:spacing w:before="120" w:after="120" w:line="400" w:lineRule="exact"/>
        <w:widowControl w:val="off"/>
        <w:tabs>
          <w:tab w:val="right" w:pos="8720" w:leader="dot"/>
        </w:tabs>
        <w:rPr>
          <w:rFonts w:hint="eastAsia" w:ascii="宋体" w:hAnsi="宋体" w:eastAsia="宋体" w:cs="宋体"/>
          <w:b w:val="0"/>
          <w:bCs/>
          <w:caps/>
          <w:color w:val="auto"/>
          <w:sz w:val="24"/>
          <w:szCs w:val="24"/>
          <w:highlight w:val="none"/>
          <w:shd w:val="clear" w:color="auto" w:fill="auto"/>
          <w:lang w:val="en-US" w:eastAsia="zh-CN" w:bidi="ar-SA"/>
        </w:rPr>
      </w:pPr>
      <w:r>
        <w:rPr>
          <w:rFonts w:hint="eastAsia" w:ascii="宋体" w:hAnsi="宋体" w:eastAsia="宋体" w:cs="宋体"/>
          <w:b w:val="0"/>
          <w:bCs/>
          <w:caps/>
          <w:color w:val="auto"/>
          <w:sz w:val="24"/>
          <w:szCs w:val="24"/>
          <w:highlight w:val="none"/>
          <w:shd w:val="clear" w:color="auto" w:fill="auto"/>
          <w:lang w:val="en-US" w:eastAsia="zh-CN" w:bidi="ar-SA"/>
        </w:rPr>
      </w:r>
      <w:r/>
    </w:p>
    <w:p>
      <w:pPr>
        <w:rPr>
          <w:rFonts w:ascii="Times New Roman" w:hAnsi="Times New Roman" w:eastAsia="宋体" w:cs="Times New Roman"/>
        </w:rPr>
      </w:pPr>
      <w:r>
        <w:rPr>
          <w:rFonts w:ascii="Times New Roman" w:hAnsi="Times New Roman" w:eastAsia="宋体" w:cs="Times New Roman"/>
        </w:rPr>
      </w:r>
      <w:r/>
    </w:p>
    <w:p>
      <w:pPr>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r>
      <w:r/>
    </w:p>
    <w:p>
      <w:pPr>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r>
      <w:r/>
    </w:p>
    <w:p>
      <w:pPr>
        <w:rPr>
          <w:rFonts w:hint="eastAsia" w:ascii="宋体" w:hAnsi="宋体" w:eastAsia="宋体" w:cs="宋体"/>
          <w:b w:val="0"/>
          <w:bCs/>
          <w:color w:val="auto"/>
          <w:sz w:val="24"/>
          <w:szCs w:val="24"/>
          <w:highlight w:val="none"/>
          <w:shd w:val="clear" w:color="auto" w:fill="auto"/>
          <w:lang w:val="en-US" w:eastAsia="zh-CN" w:bidi="ar-SA"/>
        </w:rPr>
      </w:pPr>
      <w:r>
        <w:rPr>
          <w:rFonts w:hint="eastAsia" w:ascii="宋体" w:hAnsi="宋体" w:eastAsia="宋体" w:cs="宋体"/>
          <w:b w:val="0"/>
          <w:bCs/>
          <w:color w:val="auto"/>
          <w:sz w:val="24"/>
          <w:szCs w:val="24"/>
          <w:highlight w:val="none"/>
          <w:shd w:val="clear" w:color="auto" w:fill="auto"/>
          <w:lang w:val="en-US" w:eastAsia="zh-CN" w:bidi="ar-SA"/>
        </w:rPr>
      </w:r>
      <w:r/>
    </w:p>
    <w:p>
      <w:pPr>
        <w:jc w:val="center"/>
        <w:keepNext/>
        <w:rPr>
          <w:rFonts w:hint="eastAsia" w:ascii="黑体" w:hAnsi="黑体" w:eastAsia="黑体" w:cs="黑体"/>
          <w:color w:val="auto"/>
          <w:sz w:val="44"/>
          <w:szCs w:val="44"/>
          <w:highlight w:val="none"/>
        </w:rPr>
        <w:outlineLvl w:val="0"/>
      </w:pPr>
      <w:r/>
      <w:bookmarkStart w:id="197" w:name="_Toc4410"/>
      <w:r>
        <w:rPr>
          <w:rFonts w:hint="eastAsia" w:ascii="黑体" w:hAnsi="黑体" w:eastAsia="黑体" w:cs="黑体"/>
          <w:color w:val="auto"/>
          <w:sz w:val="44"/>
          <w:szCs w:val="44"/>
          <w:highlight w:val="none"/>
        </w:rPr>
        <w:t xml:space="preserve">第五章  评审方法与评审标准</w:t>
      </w:r>
      <w:bookmarkEnd w:id="197"/>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numPr>
          <w:ilvl w:val="0"/>
          <w:numId w:val="0"/>
        </w:numPr>
        <w:ind w:firstLine="56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szCs w:val="22"/>
          <w:highlight w:val="none"/>
          <w:lang w:val="en-US" w:eastAsia="zh-CN"/>
        </w:rPr>
        <w:t xml:space="preserve">一、资格审查。</w:t>
      </w:r>
      <w:r>
        <w:rPr>
          <w:rFonts w:hint="eastAsia" w:ascii="宋体" w:hAnsi="宋体" w:eastAsia="宋体" w:cs="宋体"/>
          <w:color w:val="auto"/>
          <w:sz w:val="24"/>
          <w:highlight w:val="none"/>
        </w:rPr>
        <w:t xml:space="preserve">资格审查人员按照下列指标对各供应商的资格进行审查，未通过审查的为无效标，不参与评审。</w:t>
      </w:r>
      <w:r/>
    </w:p>
    <w:tbl>
      <w:tblPr>
        <w:tblStyle w:val="864"/>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符合磋商文件要求</w:t>
            </w:r>
            <w:r/>
          </w:p>
        </w:tc>
      </w:tr>
    </w:tbl>
    <w:p>
      <w:pPr>
        <w:numPr>
          <w:ilvl w:val="0"/>
          <w:numId w:val="0"/>
        </w:numPr>
        <w:ind w:firstLine="56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szCs w:val="22"/>
          <w:highlight w:val="none"/>
          <w:lang w:val="en-US" w:eastAsia="zh-CN"/>
        </w:rPr>
        <w:t xml:space="preserve">二、</w:t>
      </w:r>
      <w:r>
        <w:rPr>
          <w:rFonts w:hint="eastAsia" w:ascii="宋体" w:hAnsi="宋体" w:eastAsia="宋体" w:cs="宋体"/>
          <w:b/>
          <w:color w:val="auto"/>
          <w:sz w:val="28"/>
          <w:szCs w:val="22"/>
          <w:highlight w:val="none"/>
        </w:rPr>
        <w:t xml:space="preserve">符合性审查。</w:t>
      </w:r>
      <w:r>
        <w:rPr>
          <w:rFonts w:hint="eastAsia" w:ascii="宋体" w:hAnsi="宋体" w:eastAsia="宋体" w:cs="宋体"/>
          <w:color w:val="auto"/>
          <w:sz w:val="24"/>
          <w:highlight w:val="none"/>
        </w:rPr>
        <w:t xml:space="preserve">磋商小组首先按照下列指标对各供应商进行初步评审，未通过评审的为无效标，不再参与评审。</w:t>
      </w:r>
      <w:r/>
    </w:p>
    <w:tbl>
      <w:tblPr>
        <w:tblStyle w:val="864"/>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bl>
    <w:p>
      <w:pPr>
        <w:ind w:firstLine="562"/>
        <w:jc w:val="both"/>
        <w:spacing w:line="500" w:lineRule="exact"/>
        <w:rPr>
          <w:rFonts w:hint="eastAsia" w:ascii="宋体" w:hAnsi="宋体" w:eastAsia="宋体" w:cs="宋体"/>
          <w:b/>
          <w:color w:val="auto"/>
          <w:sz w:val="28"/>
          <w:szCs w:val="22"/>
          <w:highlight w:val="none"/>
          <w:lang w:val="en-US" w:eastAsia="zh-CN"/>
        </w:rPr>
      </w:pPr>
      <w:r>
        <w:rPr>
          <w:rFonts w:hint="eastAsia" w:ascii="宋体" w:hAnsi="宋体" w:eastAsia="宋体" w:cs="宋体"/>
          <w:b/>
          <w:color w:val="auto"/>
          <w:sz w:val="28"/>
          <w:szCs w:val="22"/>
          <w:highlight w:val="none"/>
          <w:lang w:val="en-US" w:eastAsia="zh-CN"/>
        </w:rPr>
        <w:t xml:space="preserve">三、评分办法—综合评分法</w:t>
      </w:r>
      <w:r/>
    </w:p>
    <w:p>
      <w:pPr>
        <w:numPr>
          <w:ilvl w:val="0"/>
          <w:numId w:val="0"/>
        </w:numPr>
        <w:ind w:firstLine="48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评标办法：</w:t>
      </w:r>
      <w:r>
        <w:rPr>
          <w:rFonts w:hint="eastAsia" w:ascii="宋体" w:hAnsi="宋体" w:eastAsia="宋体" w:cs="宋体"/>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磋商小组根据评审后</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排序推荐</w:t>
      </w:r>
      <w:r>
        <w:rPr>
          <w:rFonts w:hint="eastAsia" w:ascii="宋体" w:hAnsi="宋体" w:eastAsia="宋体" w:cs="宋体"/>
          <w:color w:val="auto"/>
          <w:sz w:val="24"/>
          <w:highlight w:val="none"/>
          <w:lang w:val="en-US" w:eastAsia="zh-CN"/>
        </w:rPr>
        <w:t xml:space="preserve">3名成交</w:t>
      </w:r>
      <w:r>
        <w:rPr>
          <w:rFonts w:hint="eastAsia" w:ascii="宋体" w:hAnsi="宋体" w:eastAsia="宋体" w:cs="宋体"/>
          <w:color w:val="auto"/>
          <w:sz w:val="24"/>
          <w:highlight w:val="none"/>
        </w:rPr>
        <w:t xml:space="preserve">候选人。</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文件满足</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文件全部实质性要求，且评审后排序第一的</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为第一</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候选人，依次类推。</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 </w:t>
      </w:r>
      <w:r/>
    </w:p>
    <w:p>
      <w:pPr>
        <w:numPr>
          <w:ilvl w:val="0"/>
          <w:numId w:val="9"/>
        </w:numPr>
        <w:ind w:firstLine="482"/>
        <w:jc w:val="left"/>
        <w:spacing w:line="500" w:lineRule="exact"/>
        <w:rPr>
          <w:rFonts w:ascii="仿宋" w:hAnsi="仿宋" w:eastAsia="仿宋" w:cs="仿宋"/>
          <w:color w:val="auto"/>
          <w:sz w:val="28"/>
          <w:highlight w:val="none"/>
        </w:rPr>
      </w:pPr>
      <w:r>
        <w:rPr>
          <w:rFonts w:hint="eastAsia" w:ascii="宋体" w:hAnsi="宋体" w:eastAsia="宋体" w:cs="宋体"/>
          <w:b/>
          <w:color w:val="auto"/>
          <w:sz w:val="24"/>
          <w:highlight w:val="none"/>
        </w:rPr>
        <w:t xml:space="preserve">详细评审。</w:t>
      </w:r>
      <w:r>
        <w:rPr>
          <w:rFonts w:hint="eastAsia" w:ascii="宋体" w:hAnsi="宋体" w:eastAsia="宋体" w:cs="宋体"/>
          <w:color w:val="auto"/>
          <w:sz w:val="24"/>
          <w:highlight w:val="none"/>
        </w:rPr>
        <w:t xml:space="preserve">磋商小组按照竞争性磋商文件规定的评分标准，对各响应文件进行详细评审打分。磋商小组组长对各评审专家的打分情况进行复核无误后汇总。</w:t>
      </w:r>
      <w:r/>
    </w:p>
    <w:tbl>
      <w:tblPr>
        <w:tblStyle w:val="864"/>
        <w:tblW w:w="8955"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77"/>
        <w:gridCol w:w="1377"/>
        <w:gridCol w:w="1006"/>
        <w:gridCol w:w="5595"/>
      </w:tblGrid>
      <w:tr>
        <w:trPr>
          <w:jc w:val="center"/>
        </w:trPr>
        <w:tc>
          <w:tcPr>
            <w:gridSpan w:val="2"/>
            <w:tcBorders>
              <w:top w:val="single" w:color="auto" w:sz="6" w:space="0"/>
              <w:left w:val="single" w:color="auto" w:sz="6" w:space="0"/>
              <w:bottom w:val="single" w:color="auto" w:sz="6" w:space="0"/>
              <w:right w:val="single" w:color="auto" w:sz="6" w:space="0"/>
            </w:tcBorders>
            <w:tcW w:w="2354"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评审因素</w:t>
            </w:r>
            <w:r/>
          </w:p>
        </w:tc>
        <w:tc>
          <w:tcPr>
            <w:tcBorders>
              <w:top w:val="single" w:color="auto" w:sz="6" w:space="0"/>
              <w:left w:val="single" w:color="auto" w:sz="6" w:space="0"/>
              <w:bottom w:val="single" w:color="auto" w:sz="6" w:space="0"/>
              <w:right w:val="single" w:color="auto" w:sz="6" w:space="0"/>
            </w:tcBorders>
            <w:tcW w:w="1006"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分数</w:t>
            </w:r>
            <w:r/>
          </w:p>
        </w:tc>
        <w:tc>
          <w:tcPr>
            <w:tcBorders>
              <w:top w:val="single" w:color="auto" w:sz="6" w:space="0"/>
              <w:left w:val="single" w:color="auto" w:sz="6" w:space="0"/>
              <w:bottom w:val="single" w:color="auto" w:sz="6" w:space="0"/>
              <w:right w:val="single" w:color="auto" w:sz="6" w:space="0"/>
            </w:tcBorders>
            <w:tcW w:w="5595"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评审标准</w:t>
            </w:r>
            <w:r/>
          </w:p>
        </w:tc>
      </w:tr>
      <w:tr>
        <w:trPr>
          <w:jc w:val="center"/>
          <w:trHeight w:val="759"/>
        </w:trPr>
        <w:tc>
          <w:tcPr>
            <w:tcBorders>
              <w:top w:val="single" w:color="auto" w:sz="6" w:space="0"/>
              <w:left w:val="single" w:color="auto" w:sz="6" w:space="0"/>
              <w:bottom w:val="single" w:color="auto" w:sz="6" w:space="0"/>
              <w:right w:val="single" w:color="auto" w:sz="6" w:space="0"/>
            </w:tcBorders>
            <w:tcW w:w="977"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报价分</w:t>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投标报价</w:t>
            </w:r>
            <w:r/>
          </w:p>
        </w:tc>
        <w:tc>
          <w:tcPr>
            <w:tcBorders>
              <w:top w:val="single" w:color="auto" w:sz="6" w:space="0"/>
              <w:left w:val="single" w:color="auto" w:sz="6" w:space="0"/>
              <w:bottom w:val="single" w:color="auto" w:sz="6" w:space="0"/>
              <w:right w:val="single" w:color="auto" w:sz="6" w:space="0"/>
            </w:tcBorders>
            <w:tcW w:w="1006"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10</w:t>
            </w:r>
            <w:r>
              <w:rPr>
                <w:rFonts w:hint="eastAsia" w:ascii="宋体" w:hAnsi="宋体" w:eastAsia="宋体" w:cs="宋体"/>
                <w:color w:val="auto"/>
                <w:sz w:val="22"/>
                <w:highlight w:val="none"/>
              </w:rPr>
              <w:t xml:space="preserve">.00</w:t>
            </w:r>
            <w:r/>
          </w:p>
        </w:tc>
        <w:tc>
          <w:tcPr>
            <w:tcBorders>
              <w:top w:val="single" w:color="auto" w:sz="6" w:space="0"/>
              <w:left w:val="single" w:color="auto" w:sz="6" w:space="0"/>
              <w:bottom w:val="single" w:color="auto" w:sz="6" w:space="0"/>
              <w:right w:val="single" w:color="auto" w:sz="6" w:space="0"/>
            </w:tcBorders>
            <w:tcW w:w="5595" w:type="dxa"/>
            <w:vAlign w:val="center"/>
            <w:textDirection w:val="lrTb"/>
            <w:noWrap w:val="false"/>
          </w:tcPr>
          <w:p>
            <w:pPr>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所有通过评审的有效投标报价的最低报价为评标基准价。投标报价得分＝（评标基准价/投标报价）*</w:t>
            </w:r>
            <w:r>
              <w:rPr>
                <w:rFonts w:hint="eastAsia" w:ascii="宋体" w:hAnsi="宋体" w:eastAsia="宋体" w:cs="宋体"/>
                <w:color w:val="auto"/>
                <w:sz w:val="22"/>
                <w:highlight w:val="none"/>
                <w:lang w:val="en-US" w:eastAsia="zh-CN"/>
              </w:rPr>
              <w:t xml:space="preserve">10</w:t>
            </w:r>
            <w:r>
              <w:rPr>
                <w:rFonts w:hint="eastAsia" w:ascii="宋体" w:hAnsi="宋体" w:eastAsia="宋体" w:cs="宋体"/>
                <w:color w:val="auto"/>
                <w:sz w:val="22"/>
                <w:highlight w:val="none"/>
              </w:rPr>
              <w:t xml:space="preserve">。</w:t>
            </w:r>
            <w:r/>
          </w:p>
        </w:tc>
      </w:tr>
      <w:tr>
        <w:trPr>
          <w:jc w:val="center"/>
          <w:trHeight w:val="335"/>
        </w:trPr>
        <w:tc>
          <w:tcPr>
            <w:tcBorders>
              <w:top w:val="single" w:color="auto" w:sz="6" w:space="0"/>
              <w:left w:val="single" w:color="auto" w:sz="6" w:space="0"/>
              <w:right w:val="single" w:color="auto" w:sz="6" w:space="0"/>
            </w:tcBorders>
            <w:tcW w:w="977" w:type="dxa"/>
            <w:vAlign w:val="center"/>
            <w:vMerge w:val="restart"/>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企业经营业绩、荣誉</w:t>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企业业绩</w:t>
            </w:r>
            <w:r/>
          </w:p>
        </w:tc>
        <w:tc>
          <w:tcPr>
            <w:tcBorders>
              <w:top w:val="single" w:color="auto" w:sz="6" w:space="0"/>
              <w:left w:val="single" w:color="auto" w:sz="6" w:space="0"/>
              <w:bottom w:val="single" w:color="auto" w:sz="6" w:space="0"/>
              <w:right w:val="single" w:color="auto" w:sz="6" w:space="0"/>
            </w:tcBorders>
            <w:tcW w:w="1006"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15</w:t>
            </w:r>
            <w:r>
              <w:rPr>
                <w:rFonts w:hint="eastAsia" w:ascii="宋体" w:hAnsi="宋体" w:eastAsia="宋体" w:cs="宋体"/>
                <w:color w:val="auto"/>
                <w:sz w:val="22"/>
                <w:highlight w:val="none"/>
              </w:rPr>
              <w:t xml:space="preserve">.00</w:t>
            </w:r>
            <w:r/>
          </w:p>
        </w:tc>
        <w:tc>
          <w:tcPr>
            <w:tcBorders>
              <w:top w:val="single" w:color="auto" w:sz="6" w:space="0"/>
              <w:left w:val="single" w:color="auto" w:sz="6" w:space="0"/>
              <w:bottom w:val="single" w:color="auto" w:sz="6" w:space="0"/>
              <w:right w:val="single" w:color="auto" w:sz="6" w:space="0"/>
            </w:tcBorders>
            <w:tcW w:w="5595" w:type="dxa"/>
            <w:vAlign w:val="center"/>
            <w:textDirection w:val="lrTb"/>
            <w:noWrap w:val="false"/>
          </w:tcPr>
          <w:p>
            <w:pPr>
              <w:numPr>
                <w:ilvl w:val="0"/>
                <w:numId w:val="0"/>
              </w:numPr>
              <w:jc w:val="both"/>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供应商</w:t>
            </w:r>
            <w:r>
              <w:rPr>
                <w:rFonts w:hint="eastAsia" w:ascii="宋体" w:hAnsi="宋体" w:eastAsia="宋体" w:cs="宋体"/>
                <w:color w:val="auto"/>
                <w:sz w:val="22"/>
                <w:highlight w:val="none"/>
              </w:rPr>
              <w:t xml:space="preserve">自202</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年</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月1日（以合同签订时间准）以来，承担过类似话务</w:t>
            </w:r>
            <w:r>
              <w:rPr>
                <w:rFonts w:hint="eastAsia" w:ascii="宋体" w:hAnsi="宋体" w:eastAsia="宋体" w:cs="宋体"/>
                <w:color w:val="auto"/>
                <w:sz w:val="22"/>
                <w:highlight w:val="none"/>
                <w:lang w:eastAsia="zh-CN"/>
              </w:rPr>
              <w:t xml:space="preserve">接转服务</w:t>
            </w:r>
            <w:r>
              <w:rPr>
                <w:rFonts w:hint="eastAsia" w:ascii="宋体" w:hAnsi="宋体" w:eastAsia="宋体" w:cs="宋体"/>
                <w:color w:val="auto"/>
                <w:sz w:val="22"/>
                <w:highlight w:val="none"/>
              </w:rPr>
              <w:t xml:space="preserve">或人工智能开发相关项目业绩的，每有一个得</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分，本项最高得</w:t>
            </w:r>
            <w:r>
              <w:rPr>
                <w:rFonts w:hint="eastAsia" w:ascii="宋体" w:hAnsi="宋体" w:eastAsia="宋体" w:cs="宋体"/>
                <w:color w:val="auto"/>
                <w:sz w:val="22"/>
                <w:highlight w:val="none"/>
                <w:lang w:val="en-US" w:eastAsia="zh-CN"/>
              </w:rPr>
              <w:t xml:space="preserve">15</w:t>
            </w:r>
            <w:r>
              <w:rPr>
                <w:rFonts w:hint="eastAsia" w:ascii="宋体" w:hAnsi="宋体" w:eastAsia="宋体" w:cs="宋体"/>
                <w:color w:val="auto"/>
                <w:sz w:val="22"/>
                <w:highlight w:val="none"/>
              </w:rPr>
              <w:t xml:space="preserve">分。 </w:t>
            </w:r>
            <w:r/>
          </w:p>
          <w:p>
            <w:pPr>
              <w:numPr>
                <w:ilvl w:val="0"/>
                <w:numId w:val="0"/>
              </w:numPr>
              <w:jc w:val="both"/>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注：投标文件中业绩需提供合同和中标（成交）通知书原件</w:t>
            </w:r>
            <w:r>
              <w:rPr>
                <w:rFonts w:hint="eastAsia" w:ascii="宋体" w:hAnsi="宋体" w:eastAsia="宋体" w:cs="宋体"/>
                <w:color w:val="auto"/>
                <w:sz w:val="22"/>
                <w:highlight w:val="none"/>
                <w:lang w:val="en-US" w:eastAsia="zh-CN"/>
              </w:rPr>
              <w:t xml:space="preserve">扫描</w:t>
            </w:r>
            <w:r>
              <w:rPr>
                <w:rFonts w:hint="eastAsia" w:ascii="宋体" w:hAnsi="宋体" w:eastAsia="宋体" w:cs="宋体"/>
                <w:color w:val="auto"/>
                <w:sz w:val="22"/>
                <w:highlight w:val="none"/>
              </w:rPr>
              <w:t xml:space="preserve">件，（业绩合同主要内容、金额等需清晰可见）</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否则</w:t>
            </w:r>
            <w:r>
              <w:rPr>
                <w:rFonts w:hint="eastAsia" w:ascii="宋体" w:hAnsi="宋体" w:eastAsia="宋体" w:cs="宋体"/>
                <w:color w:val="auto"/>
                <w:sz w:val="22"/>
                <w:highlight w:val="none"/>
              </w:rPr>
              <w:t xml:space="preserve">不得分。</w:t>
            </w:r>
            <w:r/>
          </w:p>
        </w:tc>
      </w:tr>
      <w:tr>
        <w:trPr>
          <w:jc w:val="center"/>
          <w:trHeight w:val="353"/>
        </w:trPr>
        <w:tc>
          <w:tcPr>
            <w:tcBorders>
              <w:left w:val="single" w:color="auto" w:sz="6" w:space="0"/>
              <w:right w:val="single" w:color="auto" w:sz="6" w:space="0"/>
            </w:tcBorders>
            <w:tcW w:w="977"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话务人员能力</w:t>
            </w:r>
            <w:r/>
          </w:p>
        </w:tc>
        <w:tc>
          <w:tcPr>
            <w:tcBorders>
              <w:top w:val="single" w:color="auto" w:sz="6" w:space="0"/>
              <w:left w:val="single" w:color="auto" w:sz="6" w:space="0"/>
              <w:bottom w:val="single" w:color="auto" w:sz="6" w:space="0"/>
              <w:right w:val="single" w:color="auto" w:sz="6" w:space="0"/>
            </w:tcBorders>
            <w:tcW w:w="1006"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32</w:t>
            </w:r>
            <w:r>
              <w:rPr>
                <w:rFonts w:hint="eastAsia" w:ascii="宋体" w:hAnsi="宋体" w:eastAsia="宋体" w:cs="宋体"/>
                <w:color w:val="auto"/>
                <w:sz w:val="22"/>
                <w:highlight w:val="none"/>
              </w:rPr>
              <w:t xml:space="preserve">.00</w:t>
            </w:r>
            <w:r/>
          </w:p>
        </w:tc>
        <w:tc>
          <w:tcPr>
            <w:tcBorders>
              <w:top w:val="single" w:color="auto" w:sz="6" w:space="0"/>
              <w:left w:val="single" w:color="auto" w:sz="6" w:space="0"/>
              <w:bottom w:val="single" w:color="auto" w:sz="6" w:space="0"/>
              <w:right w:val="single" w:color="auto" w:sz="6" w:space="0"/>
            </w:tcBorders>
            <w:tcW w:w="5595" w:type="dxa"/>
            <w:vAlign w:val="center"/>
            <w:textDirection w:val="lrTb"/>
            <w:noWrap w:val="false"/>
          </w:tcPr>
          <w:p>
            <w:pPr>
              <w:numPr>
                <w:ilvl w:val="0"/>
                <w:numId w:val="0"/>
              </w:numPr>
              <w:jc w:val="left"/>
              <w:rPr>
                <w:rFonts w:hint="default" w:ascii="宋体" w:hAnsi="宋体" w:eastAsia="宋体" w:cs="宋体"/>
                <w:color w:val="auto"/>
                <w:sz w:val="22"/>
                <w:highlight w:val="none"/>
                <w:lang w:val="en-US" w:eastAsia="zh-CN"/>
              </w:rPr>
            </w:pPr>
            <w:r>
              <w:rPr>
                <w:rFonts w:hint="default" w:ascii="宋体" w:hAnsi="宋体" w:eastAsia="宋体" w:cs="宋体"/>
                <w:color w:val="auto"/>
                <w:sz w:val="22"/>
                <w:highlight w:val="none"/>
                <w:lang w:val="en-US" w:eastAsia="zh-CN"/>
              </w:rPr>
              <w:t xml:space="preserve">1、提供11名工作人员的姓名身份证号码和普通话水平等级证书、本科及以上学历证书，以上材料提供齐全的得2</w:t>
            </w:r>
            <w:r>
              <w:rPr>
                <w:rFonts w:hint="eastAsia" w:ascii="宋体" w:hAnsi="宋体" w:eastAsia="宋体" w:cs="宋体"/>
                <w:color w:val="auto"/>
                <w:sz w:val="22"/>
                <w:highlight w:val="none"/>
                <w:lang w:val="en-US" w:eastAsia="zh-CN"/>
              </w:rPr>
              <w:t xml:space="preserve">2</w:t>
            </w:r>
            <w:r>
              <w:rPr>
                <w:rFonts w:hint="default" w:ascii="宋体" w:hAnsi="宋体" w:eastAsia="宋体" w:cs="宋体"/>
                <w:color w:val="auto"/>
                <w:sz w:val="22"/>
                <w:highlight w:val="none"/>
                <w:lang w:val="en-US" w:eastAsia="zh-CN"/>
              </w:rPr>
              <w:t xml:space="preserve">分。每缺少1名工作人员扣</w:t>
            </w:r>
            <w:r>
              <w:rPr>
                <w:rFonts w:hint="eastAsia" w:ascii="宋体" w:hAnsi="宋体" w:eastAsia="宋体" w:cs="宋体"/>
                <w:color w:val="auto"/>
                <w:sz w:val="22"/>
                <w:highlight w:val="none"/>
                <w:lang w:val="en-US" w:eastAsia="zh-CN"/>
              </w:rPr>
              <w:t xml:space="preserve">2</w:t>
            </w:r>
            <w:r>
              <w:rPr>
                <w:rFonts w:hint="default" w:ascii="宋体" w:hAnsi="宋体" w:eastAsia="宋体" w:cs="宋体"/>
                <w:color w:val="auto"/>
                <w:sz w:val="22"/>
                <w:highlight w:val="none"/>
                <w:lang w:val="en-US" w:eastAsia="zh-CN"/>
              </w:rPr>
              <w:t xml:space="preserve">分，每</w:t>
            </w:r>
            <w:r>
              <w:rPr>
                <w:rFonts w:hint="default" w:ascii="宋体" w:hAnsi="宋体" w:eastAsia="宋体" w:cs="宋体"/>
                <w:color w:val="auto"/>
                <w:sz w:val="22"/>
                <w:highlight w:val="none"/>
                <w:lang w:val="en-US" w:eastAsia="zh-CN"/>
              </w:rPr>
              <w:t xml:space="preserve">有</w:t>
            </w:r>
            <w:r>
              <w:rPr>
                <w:rFonts w:hint="default" w:ascii="宋体" w:hAnsi="宋体" w:eastAsia="宋体" w:cs="宋体"/>
                <w:color w:val="auto"/>
                <w:sz w:val="22"/>
                <w:highlight w:val="none"/>
                <w:lang w:val="en-US" w:eastAsia="zh-CN"/>
              </w:rPr>
              <w:t xml:space="preserve">1名工作人员缺少普通话水平等级证书或本科及以上学历证书扣1分</w:t>
            </w:r>
            <w:r>
              <w:rPr>
                <w:rFonts w:hint="eastAsia" w:ascii="宋体" w:hAnsi="宋体" w:eastAsia="宋体" w:cs="宋体"/>
                <w:color w:val="auto"/>
                <w:sz w:val="22"/>
                <w:highlight w:val="none"/>
                <w:lang w:val="en-US" w:eastAsia="zh-CN"/>
              </w:rPr>
              <w:t xml:space="preserve">，扣完为止</w:t>
            </w:r>
            <w:r>
              <w:rPr>
                <w:rFonts w:hint="default" w:ascii="宋体" w:hAnsi="宋体" w:eastAsia="宋体" w:cs="宋体"/>
                <w:color w:val="auto"/>
                <w:sz w:val="22"/>
                <w:highlight w:val="none"/>
                <w:lang w:val="en-US" w:eastAsia="zh-CN"/>
              </w:rPr>
              <w:t xml:space="preserve">。</w:t>
            </w:r>
            <w:r/>
          </w:p>
          <w:p>
            <w:pPr>
              <w:numPr>
                <w:ilvl w:val="0"/>
                <w:numId w:val="0"/>
              </w:numPr>
              <w:jc w:val="left"/>
              <w:rPr>
                <w:rFonts w:hint="default" w:ascii="宋体" w:hAnsi="宋体" w:eastAsia="宋体" w:cs="宋体"/>
                <w:color w:val="auto"/>
                <w:sz w:val="22"/>
                <w:highlight w:val="none"/>
                <w:lang w:val="en-US" w:eastAsia="zh-CN"/>
              </w:rPr>
            </w:pPr>
            <w:r>
              <w:rPr>
                <w:rFonts w:hint="default" w:ascii="宋体" w:hAnsi="宋体" w:eastAsia="宋体" w:cs="宋体"/>
                <w:color w:val="auto"/>
                <w:sz w:val="22"/>
                <w:highlight w:val="none"/>
                <w:lang w:val="en-US" w:eastAsia="zh-CN"/>
              </w:rPr>
              <w:t xml:space="preserve">2、具有英语、日语等语言类等级证书的，每有一个得</w:t>
            </w:r>
            <w:r>
              <w:rPr>
                <w:rFonts w:hint="eastAsia" w:ascii="宋体" w:hAnsi="宋体" w:eastAsia="宋体" w:cs="宋体"/>
                <w:color w:val="auto"/>
                <w:sz w:val="22"/>
                <w:highlight w:val="none"/>
                <w:lang w:val="en-US" w:eastAsia="zh-CN"/>
              </w:rPr>
              <w:t xml:space="preserve">1</w:t>
            </w:r>
            <w:r>
              <w:rPr>
                <w:rFonts w:hint="default" w:ascii="宋体" w:hAnsi="宋体" w:eastAsia="宋体" w:cs="宋体"/>
                <w:color w:val="auto"/>
                <w:sz w:val="22"/>
                <w:highlight w:val="none"/>
                <w:lang w:val="en-US" w:eastAsia="zh-CN"/>
              </w:rPr>
              <w:t xml:space="preserve">分，本项最高得</w:t>
            </w:r>
            <w:r>
              <w:rPr>
                <w:rFonts w:hint="eastAsia" w:ascii="宋体" w:hAnsi="宋体" w:eastAsia="宋体" w:cs="宋体"/>
                <w:color w:val="auto"/>
                <w:sz w:val="22"/>
                <w:highlight w:val="none"/>
                <w:lang w:val="en-US" w:eastAsia="zh-CN"/>
              </w:rPr>
              <w:t xml:space="preserve">4</w:t>
            </w:r>
            <w:r>
              <w:rPr>
                <w:rFonts w:hint="default" w:ascii="宋体" w:hAnsi="宋体" w:eastAsia="宋体" w:cs="宋体"/>
                <w:color w:val="auto"/>
                <w:sz w:val="22"/>
                <w:highlight w:val="none"/>
                <w:lang w:val="en-US" w:eastAsia="zh-CN"/>
              </w:rPr>
              <w:t xml:space="preserve">分；</w:t>
            </w:r>
            <w:r/>
          </w:p>
          <w:p>
            <w:pPr>
              <w:numPr>
                <w:ilvl w:val="0"/>
                <w:numId w:val="0"/>
              </w:numPr>
              <w:jc w:val="left"/>
              <w:rPr>
                <w:rFonts w:hint="default" w:ascii="宋体" w:hAnsi="宋体" w:eastAsia="宋体" w:cs="宋体"/>
                <w:color w:val="auto"/>
                <w:sz w:val="22"/>
                <w:highlight w:val="none"/>
                <w:lang w:val="en-US" w:eastAsia="zh-CN"/>
              </w:rPr>
            </w:pPr>
            <w:r>
              <w:rPr>
                <w:rFonts w:hint="default" w:ascii="宋体" w:hAnsi="宋体" w:eastAsia="宋体" w:cs="宋体"/>
                <w:color w:val="auto"/>
                <w:sz w:val="22"/>
                <w:highlight w:val="none"/>
                <w:lang w:val="en-US" w:eastAsia="zh-CN"/>
              </w:rPr>
              <w:t xml:space="preserve">3、具有心理咨询师等级证书的，三级得1分，二级及以上得2分，最高得6分。</w:t>
            </w:r>
            <w:r/>
          </w:p>
          <w:p>
            <w:pPr>
              <w:numPr>
                <w:ilvl w:val="0"/>
                <w:numId w:val="0"/>
              </w:numPr>
              <w:jc w:val="left"/>
              <w:rPr>
                <w:rFonts w:hint="default" w:ascii="宋体" w:hAnsi="宋体" w:eastAsia="宋体" w:cs="宋体"/>
                <w:color w:val="auto"/>
                <w:sz w:val="22"/>
                <w:highlight w:val="none"/>
                <w:lang w:val="en-US" w:eastAsia="zh-CN"/>
              </w:rPr>
            </w:pPr>
            <w:r>
              <w:rPr>
                <w:rFonts w:hint="default" w:ascii="宋体" w:hAnsi="宋体" w:eastAsia="宋体" w:cs="宋体"/>
                <w:color w:val="auto"/>
                <w:sz w:val="22"/>
                <w:highlight w:val="none"/>
                <w:lang w:val="en-US" w:eastAsia="zh-CN"/>
              </w:rPr>
              <w:t xml:space="preserve">注：提供相关证书、身份证、学历以及</w:t>
            </w:r>
            <w:r>
              <w:rPr>
                <w:rFonts w:hint="eastAsia" w:ascii="宋体" w:hAnsi="宋体" w:eastAsia="宋体" w:cs="宋体"/>
                <w:color w:val="auto"/>
                <w:sz w:val="22"/>
                <w:highlight w:val="none"/>
                <w:lang w:val="en-US" w:eastAsia="zh-CN"/>
              </w:rPr>
              <w:t xml:space="preserve">投标截止时间前六个月任意一月的投标人为相关人员</w:t>
            </w:r>
            <w:r>
              <w:rPr>
                <w:rFonts w:hint="default" w:ascii="宋体" w:hAnsi="宋体" w:eastAsia="宋体" w:cs="宋体"/>
                <w:color w:val="auto"/>
                <w:sz w:val="22"/>
                <w:highlight w:val="none"/>
                <w:lang w:val="en-US" w:eastAsia="zh-CN"/>
              </w:rPr>
              <w:t xml:space="preserve">缴纳</w:t>
            </w:r>
            <w:r>
              <w:rPr>
                <w:rFonts w:hint="eastAsia" w:ascii="宋体" w:hAnsi="宋体" w:eastAsia="宋体" w:cs="宋体"/>
                <w:color w:val="auto"/>
                <w:sz w:val="22"/>
                <w:highlight w:val="none"/>
                <w:lang w:val="en-US" w:eastAsia="zh-CN"/>
              </w:rPr>
              <w:t xml:space="preserve">的社保证明材料</w:t>
            </w:r>
            <w:r>
              <w:rPr>
                <w:rFonts w:hint="default" w:ascii="宋体" w:hAnsi="宋体" w:eastAsia="宋体" w:cs="宋体"/>
                <w:color w:val="auto"/>
                <w:sz w:val="22"/>
                <w:highlight w:val="none"/>
                <w:lang w:val="en-US" w:eastAsia="zh-CN"/>
              </w:rPr>
              <w:t xml:space="preserve">，未提供不得分。</w:t>
            </w:r>
            <w:r/>
          </w:p>
        </w:tc>
      </w:tr>
      <w:tr>
        <w:trPr>
          <w:jc w:val="center"/>
          <w:trHeight w:val="551"/>
        </w:trPr>
        <w:tc>
          <w:tcPr>
            <w:tcBorders>
              <w:left w:val="single" w:color="auto" w:sz="6" w:space="0"/>
              <w:right w:val="single" w:color="auto" w:sz="6" w:space="0"/>
            </w:tcBorders>
            <w:tcW w:w="977" w:type="dxa"/>
            <w:vAlign w:val="center"/>
            <w:vMerge w:val="continue"/>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人工智能开发运用人员能力</w:t>
            </w:r>
            <w:r/>
          </w:p>
        </w:tc>
        <w:tc>
          <w:tcPr>
            <w:tcBorders>
              <w:top w:val="single" w:color="auto" w:sz="6" w:space="0"/>
              <w:left w:val="single" w:color="auto" w:sz="6" w:space="0"/>
              <w:bottom w:val="single" w:color="auto" w:sz="6" w:space="0"/>
              <w:right w:val="single" w:color="auto" w:sz="6" w:space="0"/>
            </w:tcBorders>
            <w:tcW w:w="1006"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.00</w:t>
            </w:r>
            <w:r/>
          </w:p>
        </w:tc>
        <w:tc>
          <w:tcPr>
            <w:tcBorders>
              <w:top w:val="single" w:color="auto" w:sz="6" w:space="0"/>
              <w:left w:val="single" w:color="auto" w:sz="6" w:space="0"/>
              <w:bottom w:val="single" w:color="auto" w:sz="6" w:space="0"/>
              <w:right w:val="single" w:color="auto" w:sz="6" w:space="0"/>
            </w:tcBorders>
            <w:tcW w:w="5595" w:type="dxa"/>
            <w:vAlign w:val="center"/>
            <w:textDirection w:val="lrTb"/>
            <w:noWrap w:val="false"/>
          </w:tcPr>
          <w:p>
            <w:pPr>
              <w:numPr>
                <w:ilvl w:val="0"/>
                <w:numId w:val="0"/>
              </w:numPr>
              <w:jc w:val="lef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拟派的技术人员具有CISAW信息安全保障人员证书、通信工程师、信息系统项目管理师、系统分析师、系统架构设计师证书、软件设计师证书的，每有一类证书得1分，本项最高得5分。</w:t>
            </w:r>
            <w:r/>
          </w:p>
          <w:p>
            <w:pPr>
              <w:numPr>
                <w:ilvl w:val="0"/>
                <w:numId w:val="0"/>
              </w:numPr>
              <w:jc w:val="lef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注：提供有效期内的证书复印件及投标截止时间前六个月任意一月的投标人为相关人员</w:t>
            </w:r>
            <w:r>
              <w:rPr>
                <w:rFonts w:hint="default" w:ascii="宋体" w:hAnsi="宋体" w:eastAsia="宋体" w:cs="宋体"/>
                <w:color w:val="auto"/>
                <w:sz w:val="22"/>
                <w:highlight w:val="none"/>
                <w:lang w:val="en-US" w:eastAsia="zh-CN"/>
              </w:rPr>
              <w:t xml:space="preserve">缴纳</w:t>
            </w:r>
            <w:r>
              <w:rPr>
                <w:rFonts w:hint="eastAsia" w:ascii="宋体" w:hAnsi="宋体" w:eastAsia="宋体" w:cs="宋体"/>
                <w:color w:val="auto"/>
                <w:sz w:val="22"/>
                <w:highlight w:val="none"/>
                <w:lang w:val="en-US" w:eastAsia="zh-CN"/>
              </w:rPr>
              <w:t xml:space="preserve">的社保证明材料</w:t>
            </w:r>
            <w:r>
              <w:rPr>
                <w:rFonts w:hint="default" w:ascii="宋体" w:hAnsi="宋体" w:eastAsia="宋体" w:cs="宋体"/>
                <w:color w:val="auto"/>
                <w:sz w:val="22"/>
                <w:highlight w:val="none"/>
                <w:lang w:val="en-US" w:eastAsia="zh-CN"/>
              </w:rPr>
              <w:t xml:space="preserve">，未提供不得分。</w:t>
            </w:r>
            <w:r/>
          </w:p>
        </w:tc>
      </w:tr>
      <w:tr>
        <w:trPr>
          <w:jc w:val="center"/>
          <w:trHeight w:val="551"/>
        </w:trPr>
        <w:tc>
          <w:tcPr>
            <w:tcBorders>
              <w:left w:val="single" w:color="auto" w:sz="6" w:space="0"/>
              <w:right w:val="single" w:color="auto" w:sz="6" w:space="0"/>
            </w:tcBorders>
            <w:tcW w:w="977"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企业能力</w:t>
            </w:r>
            <w:r/>
          </w:p>
        </w:tc>
        <w:tc>
          <w:tcPr>
            <w:tcBorders>
              <w:top w:val="single" w:color="auto" w:sz="6" w:space="0"/>
              <w:left w:val="single" w:color="auto" w:sz="6" w:space="0"/>
              <w:bottom w:val="single" w:color="auto" w:sz="6" w:space="0"/>
              <w:right w:val="single" w:color="auto" w:sz="6" w:space="0"/>
            </w:tcBorders>
            <w:tcW w:w="1006" w:type="dxa"/>
            <w:vAlign w:val="center"/>
            <w:textDirection w:val="lrTb"/>
            <w:noWrap w:val="false"/>
          </w:tcPr>
          <w:p>
            <w:pPr>
              <w:jc w:val="cente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4.00</w:t>
            </w:r>
            <w:r/>
          </w:p>
        </w:tc>
        <w:tc>
          <w:tcPr>
            <w:tcBorders>
              <w:top w:val="single" w:color="auto" w:sz="6" w:space="0"/>
              <w:left w:val="single" w:color="auto" w:sz="6" w:space="0"/>
              <w:bottom w:val="single" w:color="auto" w:sz="6" w:space="0"/>
              <w:right w:val="single" w:color="auto" w:sz="6" w:space="0"/>
            </w:tcBorders>
            <w:tcW w:w="5595" w:type="dxa"/>
            <w:vAlign w:val="center"/>
            <w:textDirection w:val="lrTb"/>
            <w:noWrap w:val="false"/>
          </w:tcPr>
          <w:p>
            <w:pPr>
              <w:numPr>
                <w:ilvl w:val="0"/>
                <w:numId w:val="0"/>
              </w:numPr>
              <w:jc w:val="lef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供应商具有ISO27001信息安全管理体系认证证书得2分，没有不得分；</w:t>
            </w:r>
            <w:r/>
          </w:p>
          <w:p>
            <w:pPr>
              <w:numPr>
                <w:ilvl w:val="0"/>
                <w:numId w:val="0"/>
              </w:numPr>
              <w:jc w:val="lef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供应商具有ISO20000信息技术服务管理体系认证证书得2分，没有不得分。</w:t>
            </w:r>
            <w:r/>
          </w:p>
          <w:p>
            <w:pPr>
              <w:numPr>
                <w:ilvl w:val="0"/>
                <w:numId w:val="0"/>
              </w:numPr>
              <w:jc w:val="lef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注：提供相关证书扫描件，未提供不得分。</w:t>
            </w:r>
            <w:r/>
          </w:p>
        </w:tc>
      </w:tr>
      <w:tr>
        <w:trPr>
          <w:jc w:val="center"/>
          <w:trHeight w:val="90"/>
        </w:trPr>
        <w:tc>
          <w:tcPr>
            <w:tcBorders>
              <w:top w:val="single" w:color="auto" w:sz="6" w:space="0"/>
              <w:left w:val="single" w:color="auto" w:sz="6" w:space="0"/>
              <w:right w:val="single" w:color="auto" w:sz="6" w:space="0"/>
            </w:tcBorders>
            <w:tcW w:w="977" w:type="dxa"/>
            <w:vAlign w:val="center"/>
            <w:vMerge w:val="restart"/>
            <w:textDirection w:val="lrTb"/>
            <w:noWrap w:val="false"/>
          </w:tcPr>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1006"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9</w:t>
            </w:r>
            <w:r>
              <w:rPr>
                <w:rFonts w:hint="eastAsia" w:ascii="宋体" w:hAnsi="宋体" w:eastAsia="宋体" w:cs="宋体"/>
                <w:color w:val="auto"/>
                <w:sz w:val="22"/>
                <w:highlight w:val="none"/>
              </w:rPr>
              <w:t xml:space="preserve">.00</w:t>
            </w:r>
            <w:r/>
          </w:p>
        </w:tc>
        <w:tc>
          <w:tcPr>
            <w:tcBorders>
              <w:top w:val="single" w:color="auto" w:sz="6" w:space="0"/>
              <w:left w:val="single" w:color="auto" w:sz="6" w:space="0"/>
              <w:bottom w:val="single" w:color="auto" w:sz="6" w:space="0"/>
              <w:right w:val="single" w:color="auto" w:sz="6" w:space="0"/>
            </w:tcBorders>
            <w:tcW w:w="5595" w:type="dxa"/>
            <w:vAlign w:val="center"/>
            <w:textDirection w:val="lrTb"/>
            <w:noWrap w:val="false"/>
          </w:tcPr>
          <w:p>
            <w:pPr>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根据供应商</w:t>
            </w:r>
            <w:r>
              <w:rPr>
                <w:rFonts w:hint="eastAsia" w:ascii="宋体" w:hAnsi="宋体" w:eastAsia="宋体" w:cs="宋体"/>
                <w:color w:val="auto"/>
                <w:sz w:val="22"/>
                <w:highlight w:val="none"/>
                <w:lang w:eastAsia="zh-CN"/>
              </w:rPr>
              <w:t xml:space="preserve">按照本项目服务要求</w:t>
            </w:r>
            <w:r>
              <w:rPr>
                <w:rFonts w:hint="eastAsia" w:ascii="宋体" w:hAnsi="宋体" w:eastAsia="宋体" w:cs="宋体"/>
                <w:color w:val="auto"/>
                <w:sz w:val="22"/>
                <w:highlight w:val="none"/>
                <w:lang w:val="en-US" w:eastAsia="zh-CN"/>
              </w:rPr>
              <w:t xml:space="preserve">提供的实施方案进行综合评审</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bidi="ar"/>
              </w:rPr>
              <w:t xml:space="preserve">方案结构严谨，</w:t>
            </w:r>
            <w:r>
              <w:rPr>
                <w:rFonts w:hint="eastAsia" w:ascii="宋体" w:hAnsi="宋体" w:eastAsia="宋体" w:cs="宋体"/>
                <w:color w:val="auto"/>
                <w:sz w:val="22"/>
                <w:highlight w:val="none"/>
                <w:lang w:eastAsia="zh-CN" w:bidi="ar"/>
              </w:rPr>
              <w:t xml:space="preserve">进度安排合理，</w:t>
            </w:r>
            <w:r>
              <w:rPr>
                <w:rFonts w:hint="eastAsia" w:ascii="宋体" w:hAnsi="宋体" w:eastAsia="宋体" w:cs="宋体"/>
                <w:color w:val="auto"/>
                <w:sz w:val="22"/>
                <w:highlight w:val="none"/>
                <w:lang w:bidi="ar"/>
              </w:rPr>
              <w:t xml:space="preserve">内容完整详实，能够针对平台服务内容要求而细化制定，项目管理运行机制健全，应急救援处置</w:t>
            </w:r>
            <w:r>
              <w:rPr>
                <w:rFonts w:hint="eastAsia" w:ascii="宋体" w:hAnsi="宋体" w:eastAsia="宋体" w:cs="宋体"/>
                <w:color w:val="auto"/>
                <w:sz w:val="22"/>
                <w:highlight w:val="none"/>
                <w:lang w:eastAsia="zh-CN" w:bidi="ar"/>
              </w:rPr>
              <w:t xml:space="preserve">等</w:t>
            </w:r>
            <w:r>
              <w:rPr>
                <w:rFonts w:hint="eastAsia" w:ascii="宋体" w:hAnsi="宋体" w:eastAsia="宋体" w:cs="宋体"/>
                <w:color w:val="auto"/>
                <w:sz w:val="22"/>
                <w:highlight w:val="none"/>
                <w:lang w:bidi="ar"/>
              </w:rPr>
              <w:t xml:space="preserve">服务安全、稳定、高效</w:t>
            </w:r>
            <w:r>
              <w:rPr>
                <w:rFonts w:hint="eastAsia" w:ascii="宋体" w:hAnsi="宋体" w:eastAsia="宋体" w:cs="宋体"/>
                <w:color w:val="auto"/>
                <w:sz w:val="22"/>
                <w:highlight w:val="none"/>
                <w:lang w:val="en-US" w:eastAsia="zh-CN" w:bidi="ar"/>
              </w:rPr>
              <w:t xml:space="preserve">的</w:t>
            </w:r>
            <w:r>
              <w:rPr>
                <w:rFonts w:hint="eastAsia" w:ascii="宋体" w:hAnsi="宋体" w:eastAsia="宋体" w:cs="宋体"/>
                <w:color w:val="auto"/>
                <w:sz w:val="22"/>
                <w:highlight w:val="none"/>
                <w:lang w:bidi="ar"/>
              </w:rPr>
              <w:t xml:space="preserve">得</w:t>
            </w:r>
            <w:r>
              <w:rPr>
                <w:rFonts w:hint="eastAsia" w:ascii="宋体" w:hAnsi="宋体" w:eastAsia="宋体" w:cs="宋体"/>
                <w:color w:val="auto"/>
                <w:sz w:val="22"/>
                <w:highlight w:val="none"/>
                <w:lang w:val="en-US" w:eastAsia="zh-CN" w:bidi="ar"/>
              </w:rPr>
              <w:t xml:space="preserve">9</w:t>
            </w:r>
            <w:r>
              <w:rPr>
                <w:rFonts w:hint="eastAsia" w:ascii="宋体" w:hAnsi="宋体" w:eastAsia="宋体" w:cs="宋体"/>
                <w:color w:val="auto"/>
                <w:sz w:val="22"/>
                <w:highlight w:val="none"/>
                <w:lang w:bidi="ar"/>
              </w:rPr>
              <w:t xml:space="preserve">分；项目实施方案比较完整，为本项目的实施要求而制定的措施较齐全，方案表述小有偏差，但不影响实质性意思表达，能够满足平台服务的基本要求</w:t>
            </w:r>
            <w:r>
              <w:rPr>
                <w:rFonts w:hint="eastAsia" w:ascii="宋体" w:hAnsi="宋体" w:eastAsia="宋体" w:cs="宋体"/>
                <w:color w:val="auto"/>
                <w:sz w:val="22"/>
                <w:highlight w:val="none"/>
                <w:lang w:val="en-US" w:eastAsia="zh-CN" w:bidi="ar"/>
              </w:rPr>
              <w:t xml:space="preserve">的</w:t>
            </w:r>
            <w:r>
              <w:rPr>
                <w:rFonts w:hint="eastAsia" w:ascii="宋体" w:hAnsi="宋体" w:eastAsia="宋体" w:cs="宋体"/>
                <w:color w:val="auto"/>
                <w:sz w:val="22"/>
                <w:highlight w:val="none"/>
                <w:lang w:bidi="ar"/>
              </w:rPr>
              <w:t xml:space="preserve">得</w:t>
            </w:r>
            <w:r>
              <w:rPr>
                <w:rFonts w:hint="eastAsia" w:ascii="宋体" w:hAnsi="宋体" w:eastAsia="宋体" w:cs="宋体"/>
                <w:color w:val="auto"/>
                <w:sz w:val="22"/>
                <w:highlight w:val="none"/>
                <w:lang w:val="en-US" w:eastAsia="zh-CN" w:bidi="ar"/>
              </w:rPr>
              <w:t xml:space="preserve">7</w:t>
            </w:r>
            <w:r>
              <w:rPr>
                <w:rFonts w:hint="eastAsia" w:ascii="宋体" w:hAnsi="宋体" w:eastAsia="宋体" w:cs="宋体"/>
                <w:color w:val="auto"/>
                <w:sz w:val="22"/>
                <w:highlight w:val="none"/>
                <w:lang w:bidi="ar"/>
              </w:rPr>
              <w:t xml:space="preserve">分；</w:t>
            </w:r>
            <w:r>
              <w:rPr>
                <w:rFonts w:hint="eastAsia" w:ascii="宋体" w:hAnsi="宋体" w:eastAsia="宋体" w:cs="宋体"/>
                <w:color w:val="auto"/>
                <w:sz w:val="22"/>
                <w:highlight w:val="none"/>
              </w:rPr>
              <w:t xml:space="preserve">有</w:t>
            </w:r>
            <w:r>
              <w:rPr>
                <w:rFonts w:hint="eastAsia" w:ascii="宋体" w:hAnsi="宋体" w:eastAsia="宋体" w:cs="宋体"/>
                <w:color w:val="auto"/>
                <w:sz w:val="22"/>
                <w:highlight w:val="none"/>
                <w:lang w:bidi="ar"/>
              </w:rPr>
              <w:t xml:space="preserve">项目实施方案，但方案内容笼统，没有针对本项目细化制定，承诺经过优化可实现平台服务需求</w:t>
            </w:r>
            <w:r>
              <w:rPr>
                <w:rFonts w:hint="eastAsia" w:ascii="宋体" w:hAnsi="宋体" w:eastAsia="宋体" w:cs="宋体"/>
                <w:color w:val="auto"/>
                <w:sz w:val="22"/>
                <w:highlight w:val="none"/>
                <w:lang w:val="en-US" w:eastAsia="zh-CN" w:bidi="ar"/>
              </w:rPr>
              <w:t xml:space="preserve">的</w:t>
            </w:r>
            <w:r>
              <w:rPr>
                <w:rFonts w:hint="eastAsia" w:ascii="宋体" w:hAnsi="宋体" w:eastAsia="宋体" w:cs="宋体"/>
                <w:color w:val="auto"/>
                <w:sz w:val="22"/>
                <w:highlight w:val="none"/>
                <w:lang w:bidi="ar"/>
              </w:rPr>
              <w:t xml:space="preserve">得</w:t>
            </w:r>
            <w:r>
              <w:rPr>
                <w:rFonts w:hint="eastAsia" w:ascii="宋体" w:hAnsi="宋体" w:eastAsia="宋体" w:cs="宋体"/>
                <w:color w:val="auto"/>
                <w:sz w:val="22"/>
                <w:highlight w:val="none"/>
                <w:lang w:val="en-US" w:eastAsia="zh-CN" w:bidi="ar"/>
              </w:rPr>
              <w:t xml:space="preserve">5</w:t>
            </w:r>
            <w:r>
              <w:rPr>
                <w:rFonts w:hint="eastAsia" w:ascii="宋体" w:hAnsi="宋体" w:eastAsia="宋体" w:cs="宋体"/>
                <w:color w:val="auto"/>
                <w:sz w:val="22"/>
                <w:highlight w:val="none"/>
                <w:lang w:bidi="ar"/>
              </w:rPr>
              <w:t xml:space="preserve">分；没有内容不得分。</w:t>
            </w:r>
            <w:r/>
          </w:p>
        </w:tc>
      </w:tr>
      <w:tr>
        <w:trPr>
          <w:jc w:val="center"/>
        </w:trPr>
        <w:tc>
          <w:tcPr>
            <w:tcBorders>
              <w:left w:val="single" w:color="auto" w:sz="6" w:space="0"/>
              <w:right w:val="single" w:color="auto" w:sz="6" w:space="0"/>
            </w:tcBorders>
            <w:tcW w:w="977" w:type="dxa"/>
            <w:vAlign w:val="center"/>
            <w:vMerge w:val="continue"/>
            <w:textDirection w:val="lrTb"/>
            <w:noWrap w:val="false"/>
          </w:tcPr>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管理制度</w:t>
            </w:r>
            <w:r/>
          </w:p>
        </w:tc>
        <w:tc>
          <w:tcPr>
            <w:tcBorders>
              <w:top w:val="single" w:color="auto" w:sz="6" w:space="0"/>
              <w:left w:val="single" w:color="auto" w:sz="6" w:space="0"/>
              <w:bottom w:val="single" w:color="auto" w:sz="6" w:space="0"/>
              <w:right w:val="single" w:color="auto" w:sz="6" w:space="0"/>
            </w:tcBorders>
            <w:tcW w:w="1006" w:type="dxa"/>
            <w:vAlign w:val="center"/>
            <w:textDirection w:val="lrTb"/>
            <w:noWrap w:val="false"/>
          </w:tcPr>
          <w:p>
            <w:pPr>
              <w:jc w:val="cente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5.00</w:t>
            </w:r>
            <w:r/>
          </w:p>
        </w:tc>
        <w:tc>
          <w:tcPr>
            <w:tcBorders>
              <w:top w:val="single" w:color="auto" w:sz="6" w:space="0"/>
              <w:left w:val="single" w:color="auto" w:sz="6" w:space="0"/>
              <w:bottom w:val="single" w:color="auto" w:sz="6" w:space="0"/>
              <w:right w:val="single" w:color="auto" w:sz="6" w:space="0"/>
            </w:tcBorders>
            <w:tcW w:w="5595" w:type="dxa"/>
            <w:vAlign w:val="center"/>
            <w:textDirection w:val="lrTb"/>
            <w:noWrap w:val="false"/>
          </w:tcPr>
          <w:p>
            <w:pPr>
              <w:jc w:val="lef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针对本项目提供的管理制度（包括但不限于服务管理制度、坐席设置及排班制度、奖惩管理办法等）进行综合评审。内容全面、职责清晰、流程规范，针对性强、可操作性强的得5分；内容较全面，流程基本规范，针对性和可操作性较强，能够满足本项目管理需要的得3分；管理制度不完整、内容简单、未结合项目实际制定，难以有效保障项目的得1分；没有内容不得分。</w:t>
            </w:r>
            <w:r/>
          </w:p>
        </w:tc>
      </w:tr>
      <w:tr>
        <w:trPr>
          <w:jc w:val="center"/>
        </w:trPr>
        <w:tc>
          <w:tcPr>
            <w:tcBorders>
              <w:left w:val="single" w:color="auto" w:sz="6" w:space="0"/>
              <w:right w:val="single" w:color="auto" w:sz="6" w:space="0"/>
            </w:tcBorders>
            <w:tcW w:w="977" w:type="dxa"/>
            <w:vAlign w:val="center"/>
            <w:vMerge w:val="continue"/>
            <w:textDirection w:val="lrTb"/>
            <w:noWrap w:val="false"/>
          </w:tcPr>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eastAsia="zh-CN"/>
              </w:rPr>
              <w:t xml:space="preserve">人员培训方案</w:t>
            </w:r>
            <w:r/>
          </w:p>
        </w:tc>
        <w:tc>
          <w:tcPr>
            <w:tcBorders>
              <w:top w:val="single" w:color="auto" w:sz="6" w:space="0"/>
              <w:left w:val="single" w:color="auto" w:sz="6" w:space="0"/>
              <w:bottom w:val="single" w:color="auto" w:sz="6" w:space="0"/>
              <w:right w:val="single" w:color="auto" w:sz="6" w:space="0"/>
            </w:tcBorders>
            <w:tcW w:w="1006" w:type="dxa"/>
            <w:vAlign w:val="center"/>
            <w:textDirection w:val="lrTb"/>
            <w:noWrap w:val="false"/>
          </w:tcPr>
          <w:p>
            <w:pPr>
              <w:jc w:val="cente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5.00</w:t>
            </w:r>
            <w:r/>
          </w:p>
        </w:tc>
        <w:tc>
          <w:tcPr>
            <w:tcBorders>
              <w:top w:val="single" w:color="auto" w:sz="6" w:space="0"/>
              <w:left w:val="single" w:color="auto" w:sz="6" w:space="0"/>
              <w:bottom w:val="single" w:color="auto" w:sz="6" w:space="0"/>
              <w:right w:val="single" w:color="auto" w:sz="6" w:space="0"/>
            </w:tcBorders>
            <w:tcW w:w="5595" w:type="dxa"/>
            <w:vAlign w:val="center"/>
            <w:textDirection w:val="lrTb"/>
            <w:noWrap w:val="false"/>
          </w:tcPr>
          <w:p>
            <w:pPr>
              <w:jc w:val="lef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根据供应商提供的人员培训方案（包括培训内容（基础业务培训、话务礼仪、沟通技巧、情绪管理等）、培训层次、培训形式、培训师资等方面）进行</w:t>
            </w:r>
            <w:r>
              <w:rPr>
                <w:rFonts w:hint="eastAsia" w:ascii="宋体" w:hAnsi="宋体" w:eastAsia="宋体" w:cs="宋体"/>
                <w:color w:val="auto"/>
                <w:sz w:val="22"/>
                <w:szCs w:val="22"/>
                <w:highlight w:val="none"/>
                <w:lang w:val="en-US" w:eastAsia="zh-CN" w:bidi="ar-SA"/>
              </w:rPr>
              <w:t xml:space="preserve">综合评审</w:t>
            </w:r>
            <w:r>
              <w:rPr>
                <w:rFonts w:hint="eastAsia" w:ascii="宋体" w:hAnsi="宋体" w:eastAsia="宋体" w:cs="宋体"/>
                <w:color w:val="auto"/>
                <w:sz w:val="22"/>
                <w:highlight w:val="none"/>
                <w:lang w:val="en-US" w:eastAsia="zh-CN"/>
              </w:rPr>
              <w:t xml:space="preserve">。培训方案科学完善，能涵盖热线服务各项培训需求，针对性强、可操作性高的得5分；培训方案较为完整，但未能涵盖热线服务具体培训内容，针对性、可操作性一般的得3分；培训方案空洞，针对性、可操作性差的得1分。</w:t>
            </w:r>
            <w:r>
              <w:rPr>
                <w:rFonts w:hint="eastAsia" w:ascii="宋体" w:hAnsi="宋体" w:eastAsia="宋体" w:cs="宋体"/>
                <w:color w:val="auto"/>
                <w:sz w:val="22"/>
                <w:szCs w:val="22"/>
                <w:highlight w:val="none"/>
                <w:lang w:val="en-US" w:eastAsia="zh-CN" w:bidi="ar-SA"/>
              </w:rPr>
              <w:t xml:space="preserve">没有内容不得分。</w:t>
            </w:r>
            <w:r/>
          </w:p>
        </w:tc>
      </w:tr>
      <w:tr>
        <w:trPr>
          <w:jc w:val="center"/>
        </w:trPr>
        <w:tc>
          <w:tcPr>
            <w:tcBorders>
              <w:left w:val="single" w:color="auto" w:sz="6" w:space="0"/>
              <w:right w:val="single" w:color="auto" w:sz="6" w:space="0"/>
            </w:tcBorders>
            <w:tcW w:w="977" w:type="dxa"/>
            <w:vAlign w:val="center"/>
            <w:vMerge w:val="continue"/>
            <w:textDirection w:val="lrTb"/>
            <w:noWrap w:val="false"/>
          </w:tcPr>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应急处置预案</w:t>
            </w:r>
            <w:r/>
          </w:p>
        </w:tc>
        <w:tc>
          <w:tcPr>
            <w:tcBorders>
              <w:top w:val="single" w:color="auto" w:sz="6" w:space="0"/>
              <w:left w:val="single" w:color="auto" w:sz="6" w:space="0"/>
              <w:bottom w:val="single" w:color="auto" w:sz="6" w:space="0"/>
              <w:right w:val="single" w:color="auto" w:sz="6" w:space="0"/>
            </w:tcBorders>
            <w:tcW w:w="1006" w:type="dxa"/>
            <w:vAlign w:val="center"/>
            <w:textDirection w:val="lrTb"/>
            <w:noWrap w:val="false"/>
          </w:tcPr>
          <w:p>
            <w:pPr>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.00</w:t>
            </w:r>
            <w:r/>
          </w:p>
        </w:tc>
        <w:tc>
          <w:tcPr>
            <w:tcBorders>
              <w:top w:val="single" w:color="auto" w:sz="6" w:space="0"/>
              <w:left w:val="single" w:color="auto" w:sz="6" w:space="0"/>
              <w:bottom w:val="single" w:color="auto" w:sz="6" w:space="0"/>
              <w:right w:val="single" w:color="auto" w:sz="6" w:space="0"/>
            </w:tcBorders>
            <w:tcW w:w="5595" w:type="dxa"/>
            <w:vAlign w:val="center"/>
            <w:textDirection w:val="lrTb"/>
            <w:noWrap w:val="false"/>
          </w:tcPr>
          <w:p>
            <w:pPr>
              <w:jc w:val="lef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根据供应商提供的突发事件应急处置预案（包括但不限于响应机制、处置流程、责任分工、信息上报、处理措施等）进行综合评审。应急预案体系完整、针对性强，突发事件分类清晰、响应流程规范的得5分；应急预案较为完善，能够结合热线服务实际制定相应处置措施，突发事件应对流程基本规范的得3分；应急预案内容简单、针对性不强，应急措施不完善，难以有效应对突发情况的得1分；没有内容不得分。</w:t>
            </w:r>
            <w:r/>
          </w:p>
        </w:tc>
      </w:tr>
      <w:tr>
        <w:trPr>
          <w:jc w:val="center"/>
          <w:trHeight w:val="1734"/>
        </w:trPr>
        <w:tc>
          <w:tcPr>
            <w:tcBorders>
              <w:left w:val="single" w:color="auto" w:sz="6" w:space="0"/>
              <w:right w:val="single" w:color="auto" w:sz="6" w:space="0"/>
            </w:tcBorders>
            <w:tcW w:w="977" w:type="dxa"/>
            <w:vAlign w:val="center"/>
            <w:textDirection w:val="lrTb"/>
            <w:noWrap w:val="false"/>
          </w:tcPr>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eastAsia="zh-CN"/>
              </w:rPr>
              <w:t xml:space="preserve">与原服务供应商交接方案</w:t>
            </w:r>
            <w:r/>
          </w:p>
        </w:tc>
        <w:tc>
          <w:tcPr>
            <w:tcBorders>
              <w:top w:val="single" w:color="auto" w:sz="6" w:space="0"/>
              <w:left w:val="single" w:color="auto" w:sz="6" w:space="0"/>
              <w:bottom w:val="single" w:color="auto" w:sz="6" w:space="0"/>
              <w:right w:val="single" w:color="auto" w:sz="6" w:space="0"/>
            </w:tcBorders>
            <w:tcW w:w="1006" w:type="dxa"/>
            <w:vAlign w:val="center"/>
            <w:textDirection w:val="lrTb"/>
            <w:noWrap w:val="false"/>
          </w:tcPr>
          <w:p>
            <w:pPr>
              <w:jc w:val="cente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5.00</w:t>
            </w:r>
            <w:r/>
          </w:p>
        </w:tc>
        <w:tc>
          <w:tcPr>
            <w:tcBorders>
              <w:top w:val="single" w:color="auto" w:sz="6" w:space="0"/>
              <w:left w:val="single" w:color="auto" w:sz="6" w:space="0"/>
              <w:bottom w:val="single" w:color="auto" w:sz="6" w:space="0"/>
              <w:right w:val="single" w:color="auto" w:sz="6" w:space="0"/>
            </w:tcBorders>
            <w:tcW w:w="5595" w:type="dxa"/>
            <w:vAlign w:val="center"/>
            <w:textDirection w:val="lrTb"/>
            <w:noWrap w:val="false"/>
          </w:tcPr>
          <w:p>
            <w:pPr>
              <w:jc w:val="lef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能够在合同签订之日起5天内，完全具备承接能力，人员全部到位，与前期业务无缝对接得5分；能够在合同签订之日起10天内，完全具备承接能力，人员全部到位，与前期业务无缝对接，得3分；合同签订之日起11—15天，才能完全具备承接能力，保障人员全部到位的得1分。不符合项目需求或未提供方案的不得分。</w:t>
            </w:r>
            <w:r/>
          </w:p>
        </w:tc>
      </w:tr>
      <w:tr>
        <w:trPr>
          <w:jc w:val="center"/>
        </w:trPr>
        <w:tc>
          <w:tcPr>
            <w:tcBorders>
              <w:left w:val="single" w:color="auto" w:sz="6" w:space="0"/>
              <w:right w:val="single" w:color="auto" w:sz="6" w:space="0"/>
            </w:tcBorders>
            <w:tcW w:w="977" w:type="dxa"/>
            <w:vAlign w:val="center"/>
            <w:textDirection w:val="lrTb"/>
            <w:noWrap w:val="false"/>
          </w:tcPr>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Borders>
              <w:top w:val="single" w:color="auto" w:sz="6" w:space="0"/>
              <w:left w:val="single" w:color="auto" w:sz="6" w:space="0"/>
              <w:bottom w:val="single" w:color="auto" w:sz="6" w:space="0"/>
              <w:right w:val="single" w:color="auto" w:sz="6" w:space="0"/>
            </w:tcBorders>
            <w:tcW w:w="1377" w:type="dxa"/>
            <w:vAlign w:val="center"/>
            <w:textDirection w:val="lrTb"/>
            <w:noWrap w:val="false"/>
          </w:tcPr>
          <w:p>
            <w:pPr>
              <w:jc w:val="center"/>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个性化服务</w:t>
            </w:r>
            <w:r/>
          </w:p>
        </w:tc>
        <w:tc>
          <w:tcPr>
            <w:tcBorders>
              <w:top w:val="single" w:color="auto" w:sz="6" w:space="0"/>
              <w:left w:val="single" w:color="auto" w:sz="6" w:space="0"/>
              <w:bottom w:val="single" w:color="auto" w:sz="6" w:space="0"/>
              <w:right w:val="single" w:color="auto" w:sz="6" w:space="0"/>
            </w:tcBorders>
            <w:tcW w:w="1006" w:type="dxa"/>
            <w:vAlign w:val="center"/>
            <w:textDirection w:val="lrTb"/>
            <w:noWrap w:val="false"/>
          </w:tcPr>
          <w:p>
            <w:pPr>
              <w:jc w:val="center"/>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5.00</w:t>
            </w:r>
            <w:r/>
          </w:p>
        </w:tc>
        <w:tc>
          <w:tcPr>
            <w:tcBorders>
              <w:top w:val="single" w:color="auto" w:sz="6" w:space="0"/>
              <w:left w:val="single" w:color="auto" w:sz="6" w:space="0"/>
              <w:bottom w:val="single" w:color="auto" w:sz="6" w:space="0"/>
              <w:right w:val="single" w:color="auto" w:sz="6" w:space="0"/>
            </w:tcBorders>
            <w:tcW w:w="5595" w:type="dxa"/>
            <w:vAlign w:val="center"/>
            <w:textDirection w:val="lrTb"/>
            <w:noWrap w:val="false"/>
          </w:tcPr>
          <w:p>
            <w:pPr>
              <w:jc w:val="lef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结合甲方需求，提供创新举措、方式、方法。方案内容详细、表述准确、条理清晰、可操作性强、切实可行的得5分；方案较详细、表述较准确、条理较清晰、可操作性较强的得3分；方案表述一般的得1分。没有内容不得分。</w:t>
            </w:r>
            <w:r/>
          </w:p>
        </w:tc>
      </w:tr>
    </w:tbl>
    <w:p>
      <w:pPr>
        <w:keepLines w:val="0"/>
        <w:keepNext w:val="0"/>
        <w:pageBreakBefore w:val="0"/>
        <w:spacing w:afterAutospacing="0" w:line="5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lang w:val="en-US" w:eastAsia="zh-CN"/>
        </w:rPr>
        <w:t xml:space="preserve">（三）评</w:t>
      </w:r>
      <w:r>
        <w:rPr>
          <w:rFonts w:hint="eastAsia" w:ascii="宋体" w:hAnsi="宋体" w:eastAsia="宋体" w:cs="宋体"/>
          <w:b/>
          <w:color w:val="auto"/>
          <w:sz w:val="24"/>
          <w:highlight w:val="none"/>
        </w:rPr>
        <w:t xml:space="preserve">标结果。</w:t>
      </w:r>
      <w:r>
        <w:rPr>
          <w:rFonts w:hint="eastAsia" w:ascii="宋体" w:hAnsi="宋体" w:eastAsia="宋体" w:cs="宋体"/>
          <w:color w:val="auto"/>
          <w:sz w:val="24"/>
          <w:highlight w:val="none"/>
        </w:rPr>
        <w:t xml:space="preserve">磋商小组按照本办法规定推荐成交候选人，并形成评标报告。</w:t>
      </w:r>
      <w:r/>
    </w:p>
    <w:p>
      <w:pPr>
        <w:numPr>
          <w:ilvl w:val="0"/>
          <w:numId w:val="0"/>
        </w:numPr>
        <w:keepLines w:val="0"/>
        <w:keepNext w:val="0"/>
        <w:pageBreakBefore w:val="0"/>
        <w:spacing w:afterAutospacing="0" w:line="560" w:lineRule="exact"/>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（四）政府采购政策功能落实</w:t>
      </w:r>
      <w:r/>
    </w:p>
    <w:p>
      <w:pPr>
        <w:numPr>
          <w:ilvl w:val="0"/>
          <w:numId w:val="0"/>
        </w:numPr>
        <w:ind w:firstLine="241"/>
        <w:keepLines w:val="0"/>
        <w:keepNext w:val="0"/>
        <w:pageBreakBefore w:val="0"/>
        <w:spacing w:line="440" w:lineRule="exact"/>
        <w:widowControl w:val="off"/>
        <w:rPr>
          <w:rFonts w:hint="default" w:ascii="宋体" w:hAnsi="宋体" w:eastAsia="宋体" w:cs="宋体"/>
          <w:b/>
          <w:color w:val="auto"/>
          <w:sz w:val="24"/>
          <w:highlight w:val="none"/>
          <w:lang w:val="en-US"/>
        </w:rPr>
      </w:pPr>
      <w:r>
        <w:rPr>
          <w:rFonts w:hint="eastAsia" w:ascii="宋体" w:hAnsi="宋体" w:eastAsia="宋体" w:cs="宋体"/>
          <w:b/>
          <w:bCs/>
          <w:color w:val="auto"/>
          <w:sz w:val="24"/>
          <w:highlight w:val="none"/>
        </w:rPr>
        <w:t xml:space="preserve">本项目落实的政府采购政策</w:t>
      </w:r>
      <w:r>
        <w:rPr>
          <w:rFonts w:hint="eastAsia" w:ascii="宋体" w:hAnsi="宋体" w:eastAsia="宋体" w:cs="宋体"/>
          <w:b/>
          <w:bCs/>
          <w:color w:val="auto"/>
          <w:sz w:val="24"/>
          <w:highlight w:val="none"/>
          <w:lang w:val="en-US" w:eastAsia="zh-CN"/>
        </w:rPr>
        <w:t xml:space="preserve">对应以下序号为</w:t>
      </w:r>
      <w:r>
        <w:rPr>
          <w:rFonts w:hint="eastAsia" w:ascii="宋体" w:hAnsi="宋体" w:eastAsia="宋体" w:cs="宋体"/>
          <w:b/>
          <w:bCs/>
          <w:color w:val="auto"/>
          <w:sz w:val="24"/>
          <w:highlight w:val="none"/>
          <w:u w:val="single"/>
          <w:lang w:val="en-US" w:eastAsia="zh-CN"/>
        </w:rPr>
        <w:t xml:space="preserve">1、2</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采购本国货物、工程和服务</w:t>
      </w:r>
      <w:r/>
    </w:p>
    <w:p>
      <w:pPr>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olor w:val="auto"/>
          <w:sz w:val="24"/>
          <w:highlight w:val="none"/>
          <w:lang w:val="en-US" w:eastAsia="zh-CN"/>
        </w:rPr>
        <w:t xml:space="preserve">是否采购进口产品以采购需求中确定的为准。</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中小企业政策</w:t>
      </w:r>
      <w:r/>
    </w:p>
    <w:p>
      <w:pPr>
        <w:ind w:firstLine="480"/>
        <w:keepLines w:val="0"/>
        <w:keepNext w:val="0"/>
        <w:pageBreakBefore w:val="0"/>
        <w:spacing w:line="44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本项目按以下第</w:t>
      </w:r>
      <w:r>
        <w:rPr>
          <w:rFonts w:hint="eastAsia" w:ascii="宋体" w:hAnsi="宋体" w:eastAsia="宋体" w:cs="宋体"/>
          <w:b/>
          <w:bCs/>
          <w:color w:val="auto"/>
          <w:sz w:val="24"/>
          <w:highlight w:val="none"/>
          <w:u w:val="single"/>
          <w:lang w:val="en-US" w:eastAsia="zh-CN"/>
        </w:rPr>
        <w:t xml:space="preserve">（2）</w:t>
      </w:r>
      <w:r>
        <w:rPr>
          <w:rFonts w:hint="eastAsia" w:ascii="宋体" w:hAnsi="宋体" w:eastAsia="宋体" w:cs="宋体"/>
          <w:color w:val="auto"/>
          <w:sz w:val="24"/>
          <w:highlight w:val="none"/>
          <w:lang w:val="en-US" w:eastAsia="zh-CN"/>
        </w:rPr>
        <w:t xml:space="preserve">种政策确定本项目落实的中小企业政策：</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本项目专门面向中小企业</w:t>
      </w:r>
      <w:r>
        <w:rPr>
          <w:rFonts w:hint="eastAsia" w:ascii="宋体" w:hAnsi="宋体" w:eastAsia="宋体" w:cs="宋体"/>
          <w:color w:val="auto"/>
          <w:sz w:val="24"/>
          <w:highlight w:val="none"/>
        </w:rPr>
        <w:t xml:space="preserve">（含监狱企业、残疾人福利企业）采购。</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投标人提供的货物、工程或者服务符合下列情形的，对小微企业报价给予</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（二）在工程采购项目中，工程由中小企业承建，即工程施工单位为中小企业；</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（三）在服务采购项目中，服务由中小企业承接，即提供服务的人员为中小企业依照《中华人民共和国民法典》订立劳动合同的从业人员。</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供应商须知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商品包装、快递包装政府采购需求标准（试行）</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olor w:val="auto"/>
          <w:sz w:val="24"/>
          <w:highlight w:val="none"/>
          <w:lang w:val="en-US" w:eastAsia="zh-CN"/>
        </w:rPr>
        <w:t xml:space="preserve">章</w:t>
      </w:r>
      <w:r>
        <w:rPr>
          <w:rFonts w:hint="eastAsia" w:ascii="宋体" w:hAnsi="宋体" w:eastAsia="宋体" w:cs="宋体"/>
          <w:color w:val="auto"/>
          <w:sz w:val="24"/>
          <w:highlight w:val="none"/>
        </w:rPr>
        <w:t xml:space="preserve">采购需求。</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绿色数据中心政府采购需求标准（试行）</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olor w:val="auto"/>
          <w:sz w:val="24"/>
          <w:highlight w:val="none"/>
          <w:lang w:val="en-US" w:eastAsia="zh-CN"/>
        </w:rPr>
        <w:t xml:space="preserve">章</w:t>
      </w:r>
      <w:r>
        <w:rPr>
          <w:rFonts w:hint="eastAsia" w:ascii="宋体" w:hAnsi="宋体" w:eastAsia="宋体" w:cs="宋体"/>
          <w:color w:val="auto"/>
          <w:sz w:val="24"/>
          <w:highlight w:val="none"/>
        </w:rPr>
        <w:t xml:space="preserve">采购需求。</w:t>
      </w:r>
      <w:r/>
    </w:p>
    <w:p>
      <w:pPr>
        <w:jc w:val="center"/>
        <w:rPr>
          <w:rFonts w:hint="eastAsia" w:ascii="黑体" w:hAnsi="黑体" w:eastAsia="黑体" w:cs="黑体"/>
          <w:color w:val="auto"/>
          <w:sz w:val="44"/>
          <w:szCs w:val="44"/>
          <w:highlight w:val="none"/>
        </w:rPr>
      </w:pPr>
      <w:r>
        <w:rPr>
          <w:rFonts w:hint="eastAsia" w:ascii="宋体" w:hAnsi="宋体" w:eastAsia="宋体" w:cs="宋体"/>
          <w:color w:val="auto"/>
          <w:szCs w:val="21"/>
          <w:highlight w:val="none"/>
        </w:rPr>
        <w:br w:type="page" w:clear="all"/>
      </w:r>
      <w:r>
        <w:rPr>
          <w:rFonts w:hint="eastAsia" w:ascii="黑体" w:hAnsi="黑体" w:eastAsia="黑体" w:cs="黑体"/>
          <w:color w:val="auto"/>
          <w:sz w:val="44"/>
          <w:szCs w:val="44"/>
          <w:highlight w:val="none"/>
        </w:rPr>
        <w:t xml:space="preserve">第六章  </w:t>
      </w:r>
      <w:bookmarkEnd w:id="192"/>
      <w:r/>
      <w:bookmarkEnd w:id="193"/>
      <w:r/>
      <w:bookmarkEnd w:id="194"/>
      <w:r>
        <w:rPr>
          <w:rFonts w:hint="eastAsia" w:ascii="黑体" w:hAnsi="黑体" w:eastAsia="黑体" w:cs="黑体"/>
          <w:color w:val="auto"/>
          <w:sz w:val="44"/>
          <w:szCs w:val="44"/>
          <w:highlight w:val="none"/>
        </w:rPr>
        <w:t xml:space="preserve">响应文件格式</w:t>
      </w:r>
      <w:r/>
    </w:p>
    <w:p>
      <w:pPr>
        <w:jc w:val="center"/>
        <w:rPr>
          <w:rFonts w:hint="eastAsia" w:ascii="宋体" w:hAnsi="宋体" w:eastAsia="宋体" w:cs="宋体"/>
          <w:b/>
          <w:color w:val="auto"/>
          <w:sz w:val="72"/>
          <w:szCs w:val="21"/>
          <w:highlight w:val="none"/>
        </w:rPr>
      </w:pPr>
      <w:r/>
      <w:bookmarkStart w:id="198" w:name="_Hlt26671244"/>
      <w:r/>
      <w:bookmarkEnd w:id="198"/>
      <w:r/>
      <w:bookmarkStart w:id="199" w:name="_Hlt26955039"/>
      <w:r/>
      <w:bookmarkEnd w:id="199"/>
      <w:r/>
      <w:bookmarkStart w:id="200" w:name="_Toc120614282"/>
      <w:r/>
      <w:bookmarkStart w:id="201" w:name="_Toc49090576"/>
      <w:r/>
      <w:bookmarkStart w:id="202"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10"/>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磋商申请及声明</w:t>
      </w:r>
      <w:r/>
    </w:p>
    <w:p>
      <w:pPr>
        <w:numPr>
          <w:ilvl w:val="0"/>
          <w:numId w:val="10"/>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供应商基本信息</w:t>
      </w:r>
      <w:r/>
    </w:p>
    <w:p>
      <w:pPr>
        <w:numPr>
          <w:ilvl w:val="0"/>
          <w:numId w:val="10"/>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特定资格要求的证明文件</w:t>
      </w:r>
      <w:r/>
    </w:p>
    <w:p>
      <w:pPr>
        <w:numPr>
          <w:ilvl w:val="0"/>
          <w:numId w:val="10"/>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法人授权书</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中小</w:t>
      </w:r>
      <w:r>
        <w:rPr>
          <w:rFonts w:hint="eastAsia" w:ascii="宋体" w:hAnsi="宋体" w:eastAsia="宋体" w:cs="宋体"/>
          <w:color w:val="auto"/>
          <w:sz w:val="24"/>
          <w:szCs w:val="21"/>
          <w:highlight w:val="none"/>
        </w:rPr>
        <w:t xml:space="preserve">企业声明函</w:t>
      </w:r>
      <w:r/>
    </w:p>
    <w:p>
      <w:pPr>
        <w:ind w:firstLine="480"/>
        <w:spacing w:line="440" w:lineRule="exact"/>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开标一览表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七</w:t>
      </w:r>
      <w:r>
        <w:rPr>
          <w:rFonts w:hint="eastAsia" w:ascii="宋体" w:hAnsi="宋体" w:eastAsia="宋体" w:cs="宋体"/>
          <w:color w:val="auto"/>
          <w:sz w:val="24"/>
          <w:szCs w:val="21"/>
          <w:highlight w:val="none"/>
        </w:rPr>
        <w:t xml:space="preserve">、分项报价表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八、</w:t>
      </w:r>
      <w:r>
        <w:rPr>
          <w:rFonts w:hint="eastAsia" w:ascii="宋体" w:hAnsi="宋体" w:eastAsia="宋体" w:cs="宋体"/>
          <w:color w:val="auto"/>
          <w:sz w:val="24"/>
          <w:szCs w:val="21"/>
          <w:highlight w:val="none"/>
        </w:rPr>
        <w:t xml:space="preserve">项目实施方案</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项目组人员</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十、企业业绩</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w:t>
      </w:r>
      <w:r>
        <w:rPr>
          <w:rFonts w:hint="eastAsia" w:ascii="宋体" w:hAnsi="宋体" w:eastAsia="宋体" w:cs="宋体"/>
          <w:color w:val="auto"/>
          <w:sz w:val="24"/>
          <w:szCs w:val="21"/>
          <w:highlight w:val="none"/>
          <w:lang w:val="en-US" w:eastAsia="zh-CN"/>
        </w:rPr>
        <w:t xml:space="preserve">一</w:t>
      </w:r>
      <w:r>
        <w:rPr>
          <w:rFonts w:hint="eastAsia" w:ascii="宋体" w:hAnsi="宋体" w:eastAsia="宋体" w:cs="宋体"/>
          <w:color w:val="auto"/>
          <w:sz w:val="24"/>
          <w:szCs w:val="21"/>
          <w:highlight w:val="none"/>
        </w:rPr>
        <w:t xml:space="preserve">、磋商所需其他材料</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98"/>
        <w:keepLines/>
        <w:keepNext/>
        <w:pageBreakBefore w:val="0"/>
        <w:spacing w:line="560" w:lineRule="exact"/>
        <w:widowControl w:val="off"/>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一、磋商申请及声明</w:t>
      </w:r>
      <w:r/>
    </w:p>
    <w:p>
      <w:pPr>
        <w:pStyle w:val="97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响应声明及承诺函</w:t>
      </w:r>
      <w:r/>
    </w:p>
    <w:p>
      <w:pPr>
        <w:pStyle w:val="970"/>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97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项目的竞争性磋商文件，我单位在参加本项目竞争性磋商活动中，特做出如下承诺：</w:t>
      </w:r>
      <w:r/>
    </w:p>
    <w:p>
      <w:pPr>
        <w:pStyle w:val="97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7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7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97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97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97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97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0"/>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00"/>
      <w:r/>
      <w:bookmarkEnd w:id="201"/>
      <w:r/>
      <w:bookmarkEnd w:id="202"/>
      <w:r/>
      <w:r/>
    </w:p>
    <w:p>
      <w:pPr>
        <w:ind w:firstLine="498"/>
        <w:keepLines/>
        <w:keepNext/>
        <w:pageBreakBefore w:val="0"/>
        <w:spacing w:line="560" w:lineRule="exact"/>
        <w:widowControl w:val="off"/>
        <w:rPr>
          <w:rFonts w:hint="eastAsia" w:ascii="宋体" w:hAnsi="宋体" w:eastAsia="宋体" w:cs="宋体"/>
          <w:b/>
          <w:bCs/>
          <w:color w:val="auto"/>
          <w:sz w:val="32"/>
          <w:szCs w:val="32"/>
          <w:highlight w:val="none"/>
        </w:rPr>
        <w:outlineLvl w:val="2"/>
      </w:pPr>
      <w:r/>
      <w:bookmarkStart w:id="203" w:name="_Toc27399"/>
      <w:r/>
      <w:bookmarkStart w:id="204" w:name="_Toc120614284"/>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、供应商基本信息</w:t>
      </w:r>
      <w:bookmarkEnd w:id="203"/>
      <w:r/>
      <w:r/>
    </w:p>
    <w:p>
      <w:pPr>
        <w:pStyle w:val="984"/>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供应商基本情况表</w:t>
      </w:r>
      <w:r/>
    </w:p>
    <w:tbl>
      <w:tblPr>
        <w:tblStyle w:val="864"/>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84"/>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98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984"/>
              <w:ind w:firstLine="1433"/>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984"/>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84"/>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i/>
          <w:caps w:val="0"/>
          <w:color w:val="auto"/>
          <w:sz w:val="32"/>
          <w:szCs w:val="32"/>
          <w:highlight w:val="none"/>
          <w:u w:val="single"/>
        </w:rPr>
      </w:pPr>
      <w:r>
        <w:rPr>
          <w:rFonts w:hint="eastAsia" w:ascii="宋体" w:hAnsi="宋体" w:eastAsia="宋体" w:cs="宋体"/>
          <w:i w:val="0"/>
          <w:iCs/>
          <w:color w:val="auto"/>
          <w:sz w:val="32"/>
          <w:szCs w:val="32"/>
          <w:highlight w:val="none"/>
          <w:u w:val="none"/>
        </w:rPr>
        <w:br w:type="page" w:clear="all"/>
      </w:r>
      <w:r>
        <w:rPr>
          <w:rFonts w:hint="eastAsia" w:ascii="Times New Roman" w:hAnsi="Times New Roman" w:eastAsia="黑体" w:cs="Times New Roman"/>
          <w:b/>
          <w:i w:val="0"/>
          <w:iCs/>
          <w:color w:val="auto"/>
          <w:sz w:val="32"/>
          <w:szCs w:val="32"/>
          <w:highlight w:val="none"/>
          <w:u w:val="none"/>
          <w:lang w:val="en-US" w:eastAsia="zh-CN"/>
        </w:rPr>
        <w:t xml:space="preserve">三、特定资格要求的证明文件</w:t>
      </w:r>
      <w:r/>
    </w:p>
    <w:p>
      <w:pPr>
        <w:spacing w:line="460" w:lineRule="exact"/>
        <w:rPr>
          <w:rFonts w:hint="eastAsia" w:ascii="宋体" w:hAnsi="宋体" w:eastAsia="宋体" w:cs="宋体"/>
          <w:bCs/>
          <w:caps w:val="0"/>
          <w:color w:val="auto"/>
          <w:sz w:val="24"/>
          <w:highlight w:val="none"/>
        </w:rPr>
      </w:pPr>
      <w:r>
        <w:rPr>
          <w:rFonts w:hint="eastAsia" w:ascii="宋体" w:hAnsi="宋体" w:eastAsia="宋体" w:cs="宋体"/>
          <w:caps w:val="0"/>
          <w:color w:val="auto"/>
          <w:sz w:val="24"/>
          <w:highlight w:val="none"/>
        </w:rPr>
        <w:t xml:space="preserve">    如果本项目申请人的特定资格要求中要求提供的，必须提供。</w:t>
      </w:r>
      <w:r/>
    </w:p>
    <w:p>
      <w:pPr>
        <w:rPr>
          <w:rFonts w:hint="eastAsia" w:ascii="宋体" w:hAnsi="宋体" w:eastAsia="宋体" w:cs="宋体"/>
          <w:i w:val="0"/>
          <w:iCs/>
          <w:color w:val="auto"/>
          <w:sz w:val="32"/>
          <w:szCs w:val="32"/>
          <w:highlight w:val="none"/>
          <w:u w:val="none"/>
        </w:rPr>
      </w:pPr>
      <w:r>
        <w:rPr>
          <w:rFonts w:hint="eastAsia" w:ascii="宋体" w:hAnsi="宋体" w:eastAsia="宋体" w:cs="宋体"/>
          <w:i w:val="0"/>
          <w:iCs/>
          <w:color w:val="auto"/>
          <w:sz w:val="32"/>
          <w:szCs w:val="32"/>
          <w:highlight w:val="none"/>
          <w:u w:val="none"/>
        </w:rPr>
        <w:br w:type="page" w:clear="all"/>
      </w:r>
      <w:r>
        <w:rPr>
          <w:rFonts w:hint="eastAsia" w:ascii="Times New Roman" w:hAnsi="Times New Roman" w:eastAsia="黑体" w:cs="Times New Roman"/>
          <w:b/>
          <w:i w:val="0"/>
          <w:iCs/>
          <w:color w:val="auto"/>
          <w:sz w:val="32"/>
          <w:szCs w:val="32"/>
          <w:highlight w:val="none"/>
          <w:u w:val="none"/>
          <w:lang w:val="en-US" w:eastAsia="zh-CN"/>
        </w:rPr>
        <w:t xml:space="preserve">四、法人授权书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205" w:name="_Hlt26671380"/>
      <w:r/>
      <w:bookmarkEnd w:id="205"/>
      <w:r/>
      <w:bookmarkStart w:id="206" w:name="_格式3__银行出具的资信证明"/>
      <w:r/>
      <w:bookmarkEnd w:id="206"/>
      <w:r/>
      <w:bookmarkStart w:id="207" w:name="_Hlt26955070"/>
      <w:r/>
      <w:bookmarkEnd w:id="207"/>
      <w:r>
        <w:rPr>
          <w:rFonts w:hint="eastAsia" w:ascii="宋体" w:hAnsi="宋体" w:eastAsia="宋体" w:cs="宋体"/>
          <w:color w:val="auto"/>
          <w:sz w:val="24"/>
          <w:szCs w:val="24"/>
          <w:highlight w:val="none"/>
          <w:u w:val="singl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60" w:lineRule="exact"/>
        <w:rPr>
          <w:rFonts w:hint="eastAsia" w:ascii="宋体" w:hAnsi="宋体" w:eastAsia="宋体" w:cs="宋体"/>
          <w:i w:val="0"/>
          <w:iCs/>
          <w:color w:val="auto"/>
          <w:sz w:val="32"/>
          <w:szCs w:val="32"/>
          <w:highlight w:val="none"/>
          <w:u w:val="none"/>
        </w:rPr>
      </w:pPr>
      <w:r>
        <w:rPr>
          <w:rFonts w:hint="eastAsia" w:ascii="宋体" w:hAnsi="宋体" w:eastAsia="宋体" w:cs="宋体"/>
          <w:b/>
          <w:color w:val="auto"/>
          <w:sz w:val="24"/>
          <w:szCs w:val="44"/>
          <w:highlight w:val="none"/>
        </w:rPr>
        <w:br w:type="page" w:clear="all"/>
      </w:r>
      <w:r>
        <w:rPr>
          <w:rFonts w:hint="eastAsia" w:ascii="Times New Roman" w:hAnsi="Times New Roman" w:eastAsia="黑体" w:cs="Times New Roman"/>
          <w:b/>
          <w:i w:val="0"/>
          <w:iCs/>
          <w:color w:val="auto"/>
          <w:sz w:val="32"/>
          <w:szCs w:val="32"/>
          <w:highlight w:val="none"/>
          <w:u w:val="none"/>
          <w:lang w:val="en-US" w:eastAsia="zh-CN"/>
        </w:rPr>
        <w:t xml:space="preserve">五、中小（微）企业声明函（服务）</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（项目名称）（分包号：**）</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（小型企业、微型企业）；</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（小型企业、微型企业）；</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备注2：供应商如不提供此声明函，价格将不做相应扣除。</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t xml:space="preserve">六、开标一览表</w:t>
      </w:r>
      <w:r/>
    </w:p>
    <w:p>
      <w:pPr>
        <w:ind w:firstLine="48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投标人全称（加盖CA电子签章）：</w:t>
      </w:r>
      <w:r/>
    </w:p>
    <w:p>
      <w:pPr>
        <w:ind w:firstLine="480"/>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项目名称：</w:t>
      </w:r>
      <w:r/>
    </w:p>
    <w:p>
      <w:pPr>
        <w:ind w:firstLine="480"/>
        <w:rPr>
          <w:rFonts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招标编号：                                   分包号：</w:t>
      </w:r>
      <w:r/>
    </w:p>
    <w:tbl>
      <w:tblPr>
        <w:tblStyle w:val="8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caps w:val="0"/>
                <w:color w:val="auto"/>
                <w:sz w:val="24"/>
                <w:szCs w:val="24"/>
                <w:highlight w:val="none"/>
              </w:rPr>
            </w:pPr>
            <w:r>
              <w:rPr>
                <w:rFonts w:hint="eastAsia" w:ascii="Times New Roman" w:hAnsi="Times New Roman" w:cs="宋体"/>
                <w:caps w:val="0"/>
                <w:color w:val="auto"/>
                <w:sz w:val="24"/>
                <w:szCs w:val="24"/>
                <w:highlight w:val="none"/>
              </w:rPr>
              <w:t xml:space="preserve">                      </w:t>
            </w:r>
            <w:r>
              <w:rPr>
                <w:rFonts w:hint="eastAsia" w:ascii="Times New Roman" w:hAnsi="Times New Roman"/>
                <w:caps w:val="0"/>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939"/>
              <w:ind w:firstLine="0"/>
              <w:spacing w:before="0" w:after="0" w:line="500" w:lineRule="exact"/>
              <w:rPr>
                <w:rFonts w:hint="eastAsia" w:ascii="Times New Roman" w:hAnsi="Times New Roman"/>
                <w:caps w:val="0"/>
                <w:color w:val="auto"/>
                <w:szCs w:val="21"/>
                <w:highlight w:val="none"/>
              </w:rPr>
            </w:pPr>
            <w:r>
              <w:rPr>
                <w:rFonts w:hint="eastAsia" w:ascii="Times New Roman" w:hAnsi="Times New Roman" w:cs="宋体"/>
                <w:caps w:val="0"/>
                <w:color w:val="auto"/>
                <w:highlight w:val="none"/>
              </w:rPr>
              <w:t xml:space="preserve">小写：                             （人民币：元）</w:t>
            </w:r>
            <w:r/>
          </w:p>
        </w:tc>
      </w:tr>
    </w:tbl>
    <w:p>
      <w:pPr>
        <w:rPr>
          <w:rFonts w:ascii="Times New Roman" w:hAnsi="Times New Roman"/>
          <w:caps w:val="0"/>
          <w:color w:val="auto"/>
          <w:sz w:val="24"/>
          <w:szCs w:val="24"/>
          <w:highlight w:val="none"/>
        </w:rPr>
      </w:pPr>
      <w:r>
        <w:rPr>
          <w:rFonts w:ascii="Times New Roman" w:hAnsi="Times New Roman"/>
          <w:caps w:val="0"/>
          <w:color w:val="auto"/>
          <w:sz w:val="24"/>
          <w:szCs w:val="24"/>
          <w:highlight w:val="none"/>
        </w:rPr>
      </w:r>
      <w:r/>
    </w:p>
    <w:p>
      <w:pPr>
        <w:ind w:firstLine="48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t xml:space="preserve">                                              日期：  </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年</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月</w:t>
      </w:r>
      <w:r>
        <w:rPr>
          <w:rFonts w:hint="eastAsia" w:ascii="Times New Roman" w:hAnsi="Times New Roman"/>
          <w:caps w:val="0"/>
          <w:color w:val="auto"/>
          <w:sz w:val="24"/>
          <w:szCs w:val="24"/>
          <w:highlight w:val="none"/>
          <w:u w:val="single"/>
        </w:rPr>
        <w:t xml:space="preserve">   </w:t>
      </w:r>
      <w:r>
        <w:rPr>
          <w:rFonts w:hint="eastAsia" w:ascii="Times New Roman" w:hAnsi="Times New Roman"/>
          <w:caps w:val="0"/>
          <w:color w:val="auto"/>
          <w:sz w:val="24"/>
          <w:szCs w:val="24"/>
          <w:highlight w:val="none"/>
        </w:rPr>
        <w:t xml:space="preserve">日</w:t>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spacing w:line="560" w:lineRule="exact"/>
        <w:rPr>
          <w:rFonts w:hint="eastAsia" w:ascii="Times New Roman" w:hAnsi="Times New Roman" w:eastAsia="黑体" w:cs="Times New Roman"/>
          <w:b/>
          <w:i w:val="0"/>
          <w:iCs/>
          <w:color w:val="auto"/>
          <w:sz w:val="32"/>
          <w:szCs w:val="32"/>
          <w:highlight w:val="none"/>
          <w:u w:val="none"/>
          <w:lang w:val="en-US" w:eastAsia="zh-CN"/>
        </w:rPr>
      </w:pPr>
      <w:r>
        <w:rPr>
          <w:rFonts w:hint="eastAsia" w:ascii="Times New Roman" w:hAnsi="Times New Roman" w:eastAsia="黑体" w:cs="Times New Roman"/>
          <w:b/>
          <w:i w:val="0"/>
          <w:iCs/>
          <w:color w:val="auto"/>
          <w:sz w:val="32"/>
          <w:szCs w:val="32"/>
          <w:highlight w:val="none"/>
          <w:u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、分项报价表（分包号：**）（服务类）</w:t>
      </w:r>
      <w:r/>
    </w:p>
    <w:tbl>
      <w:tblPr>
        <w:tblStyle w:val="864"/>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总报价（人民币：元）</w:t>
            </w:r>
            <w:r/>
          </w:p>
        </w:tc>
        <w:tc>
          <w:tcPr>
            <w:tcW w:w="1798" w:type="dxa"/>
            <w:vAlign w:val="top"/>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 磋商报价采用总承包方式，投标人的“总报价”应包括采购人需求的服务（包含与服务相关的产品）价格、培训费用及售后服务费用，项目在指定地点、环境交付、安装、调试、验收所需费用和所有相关税金费用及为完成整个项目所产生的其它所有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04"/>
      <w:r/>
      <w:r/>
    </w:p>
    <w:p>
      <w:pPr>
        <w:ind w:firstLine="498"/>
        <w:keepLines/>
        <w:keepNext/>
        <w:pageBreakBefore w:val="0"/>
        <w:spacing w:line="560" w:lineRule="exact"/>
        <w:widowControl w:val="off"/>
        <w:rPr>
          <w:rFonts w:hint="eastAsia" w:ascii="宋体" w:hAnsi="宋体" w:eastAsia="宋体" w:cs="宋体"/>
          <w:b/>
          <w:bCs/>
          <w:color w:val="auto"/>
          <w:sz w:val="32"/>
          <w:szCs w:val="32"/>
          <w:highlight w:val="none"/>
          <w:lang w:val="en-US" w:eastAsia="zh-CN"/>
        </w:rPr>
        <w:outlineLvl w:val="2"/>
      </w:pPr>
      <w:r>
        <w:rPr>
          <w:rFonts w:hint="eastAsia" w:ascii="宋体" w:hAnsi="宋体" w:eastAsia="宋体" w:cs="宋体"/>
          <w:b/>
          <w:bCs/>
          <w:color w:val="auto"/>
          <w:sz w:val="32"/>
          <w:szCs w:val="32"/>
          <w:highlight w:val="none"/>
          <w:lang w:val="en-US" w:eastAsia="zh-CN"/>
        </w:rPr>
        <w:t xml:space="preserve">八、</w:t>
      </w:r>
      <w:bookmarkStart w:id="208" w:name="_Toc158117322"/>
      <w:r>
        <w:rPr>
          <w:rFonts w:hint="eastAsia" w:ascii="宋体" w:hAnsi="宋体" w:eastAsia="宋体" w:cs="宋体"/>
          <w:b/>
          <w:bCs/>
          <w:color w:val="auto"/>
          <w:sz w:val="32"/>
          <w:szCs w:val="32"/>
          <w:highlight w:val="none"/>
          <w:lang w:val="en-US" w:eastAsia="zh-CN"/>
        </w:rPr>
        <w:t xml:space="preserve">项目实施方案</w:t>
      </w:r>
      <w:bookmarkEnd w:id="208"/>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color w:val="auto"/>
          <w:sz w:val="24"/>
          <w:szCs w:val="21"/>
          <w:highlight w:val="none"/>
        </w:rPr>
      </w:pPr>
      <w:r/>
      <w:bookmarkStart w:id="209" w:name="_Hlt26609389"/>
      <w:r/>
      <w:bookmarkEnd w:id="209"/>
      <w:r/>
      <w:bookmarkStart w:id="210" w:name="_Hlt26955066"/>
      <w:r/>
      <w:bookmarkEnd w:id="210"/>
      <w:r/>
      <w:bookmarkStart w:id="211" w:name="_Hlt26671374"/>
      <w:r/>
      <w:bookmarkEnd w:id="211"/>
      <w:r/>
      <w:bookmarkStart w:id="212" w:name="_Toc462564146"/>
      <w:r/>
      <w:bookmarkEnd w:id="189"/>
      <w:r/>
      <w:bookmarkEnd w:id="190"/>
      <w:r/>
      <w:bookmarkEnd w:id="212"/>
      <w:r/>
      <w:r/>
    </w:p>
    <w:p>
      <w:pPr>
        <w:ind w:firstLine="498"/>
        <w:keepLines/>
        <w:keepNext/>
        <w:pageBreakBefore w:val="0"/>
        <w:spacing w:line="560" w:lineRule="exact"/>
        <w:widowControl w:val="off"/>
        <w:rPr>
          <w:rFonts w:hint="eastAsia" w:ascii="宋体" w:hAnsi="宋体" w:eastAsia="宋体" w:cs="宋体"/>
          <w:color w:val="auto"/>
          <w:highlight w:val="none"/>
        </w:rPr>
        <w:outlineLvl w:val="2"/>
      </w:pPr>
      <w:r/>
      <w:bookmarkStart w:id="213" w:name="_格式2__法定代表人授权书"/>
      <w:r/>
      <w:bookmarkEnd w:id="213"/>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lang w:val="en-US" w:eastAsia="zh-CN"/>
        </w:rPr>
        <w:t xml:space="preserve">九、项目组人员</w:t>
      </w:r>
      <w:r/>
    </w:p>
    <w:p>
      <w:pPr>
        <w:pStyle w:val="89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864"/>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7"/>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7"/>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7"/>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7"/>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7"/>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7"/>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2"/>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2"/>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2"/>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9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77"/>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892"/>
        <w:ind w:firstLine="398"/>
        <w:spacing w:line="460" w:lineRule="exact"/>
        <w:rPr>
          <w:rFonts w:hint="eastAsia" w:ascii="宋体" w:hAnsi="宋体" w:eastAsia="宋体" w:cs="宋体"/>
          <w:color w:val="auto"/>
          <w:szCs w:val="24"/>
          <w:highlight w:val="none"/>
        </w:rPr>
      </w:pPr>
      <w:r>
        <w:rPr>
          <w:rFonts w:hint="eastAsia" w:ascii="宋体" w:hAnsi="宋体" w:eastAsia="宋体" w:cs="宋体"/>
          <w:b/>
          <w:color w:val="auto"/>
          <w:szCs w:val="24"/>
          <w:highlight w:val="none"/>
          <w:lang w:bidi="ar"/>
        </w:rPr>
        <w:t xml:space="preserve">注：如供应商</w:t>
      </w:r>
      <w:r>
        <w:rPr>
          <w:rFonts w:hint="eastAsia" w:ascii="宋体" w:hAnsi="宋体" w:eastAsia="宋体" w:cs="宋体"/>
          <w:b/>
          <w:color w:val="auto"/>
          <w:szCs w:val="24"/>
          <w:highlight w:val="none"/>
          <w:lang w:val="en-US" w:eastAsia="zh-CN" w:bidi="ar"/>
        </w:rPr>
        <w:t xml:space="preserve">成交</w:t>
      </w:r>
      <w:r>
        <w:rPr>
          <w:rFonts w:hint="eastAsia" w:ascii="宋体" w:hAnsi="宋体" w:eastAsia="宋体" w:cs="宋体"/>
          <w:b/>
          <w:color w:val="auto"/>
          <w:szCs w:val="24"/>
          <w:highlight w:val="none"/>
          <w:lang w:bidi="ar"/>
        </w:rPr>
        <w:t xml:space="preserve">，项目组成员必须按本表承诺人员操作，不得随意更换。按</w:t>
      </w:r>
      <w:r>
        <w:rPr>
          <w:rFonts w:hint="eastAsia" w:ascii="宋体" w:hAnsi="宋体" w:eastAsia="宋体" w:cs="宋体"/>
          <w:b/>
          <w:color w:val="auto"/>
          <w:szCs w:val="24"/>
          <w:highlight w:val="none"/>
          <w:lang w:val="en-US" w:eastAsia="zh-CN" w:bidi="ar"/>
        </w:rPr>
        <w:t xml:space="preserve">磋商</w:t>
      </w:r>
      <w:r>
        <w:rPr>
          <w:rFonts w:hint="eastAsia" w:ascii="宋体" w:hAnsi="宋体" w:eastAsia="宋体" w:cs="宋体"/>
          <w:b/>
          <w:color w:val="auto"/>
          <w:szCs w:val="24"/>
          <w:highlight w:val="none"/>
          <w:lang w:bidi="ar"/>
        </w:rPr>
        <w:t xml:space="preserve">文件要求附相关人员证书。</w:t>
      </w:r>
      <w:r/>
    </w:p>
    <w:p>
      <w:pPr>
        <w:pStyle w:val="892"/>
        <w:ind w:firstLine="2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78"/>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214" w:name="_Toc11176"/>
      <w:r>
        <w:rPr>
          <w:rFonts w:hint="eastAsia" w:ascii="宋体" w:hAnsi="宋体" w:eastAsia="宋体" w:cs="宋体"/>
          <w:b/>
          <w:color w:val="auto"/>
          <w:sz w:val="32"/>
          <w:highlight w:val="none"/>
          <w:lang w:val="en-US" w:eastAsia="zh-CN"/>
        </w:rPr>
        <w:t xml:space="preserve">十</w:t>
      </w:r>
      <w:r>
        <w:rPr>
          <w:rFonts w:hint="eastAsia" w:ascii="宋体" w:hAnsi="宋体" w:eastAsia="宋体" w:cs="宋体"/>
          <w:b/>
          <w:color w:val="auto"/>
          <w:sz w:val="32"/>
          <w:highlight w:val="none"/>
        </w:rPr>
        <w:t xml:space="preserve">、</w:t>
      </w:r>
      <w:bookmarkEnd w:id="214"/>
      <w:r>
        <w:rPr>
          <w:rFonts w:hint="eastAsia" w:ascii="宋体" w:hAnsi="宋体" w:eastAsia="宋体" w:cs="宋体"/>
          <w:b/>
          <w:color w:val="auto"/>
          <w:sz w:val="32"/>
          <w:highlight w:val="none"/>
        </w:rPr>
        <w:t xml:space="preserve">企业业绩</w:t>
      </w:r>
      <w:r/>
    </w:p>
    <w:p>
      <w:pPr>
        <w:pStyle w:val="979"/>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86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8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8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8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8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8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79"/>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jc w:val="both"/>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bookmarkStart w:id="215" w:name="_Toc28140"/>
      <w:r>
        <w:rPr>
          <w:rFonts w:hint="eastAsia" w:ascii="宋体" w:hAnsi="宋体" w:eastAsia="宋体" w:cs="宋体"/>
          <w:b/>
          <w:color w:val="auto"/>
          <w:sz w:val="32"/>
          <w:szCs w:val="24"/>
          <w:highlight w:val="none"/>
          <w:lang w:val="en-US" w:eastAsia="zh-CN" w:bidi="ar-SA"/>
        </w:rPr>
        <w:t xml:space="preserve">十一、磋商所需其他材料</w:t>
      </w:r>
      <w:bookmarkEnd w:id="215"/>
      <w:r/>
      <w:r/>
    </w:p>
    <w:p>
      <w:pPr>
        <w:pStyle w:val="975"/>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w:t>
      </w:r>
      <w:r>
        <w:rPr>
          <w:rFonts w:hint="eastAsia" w:ascii="宋体" w:hAnsi="宋体" w:eastAsia="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所需其他相关内容（包括资格要求、评分办法、采购需求中涉及的证件证明及其它投标人认为有必要提供的资料），如没有请将此空文档上传。</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Adobe 仿宋 Std R">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99"/>
        <w:rFonts w:ascii="宋体" w:hAnsi="宋体"/>
      </w:rPr>
      <w:framePr w:wrap="around" w:vAnchor="text" w:hAnchor="margin" w:xAlign="center" w:y="1"/>
    </w:pPr>
    <w:r>
      <w:rPr>
        <w:rFonts w:ascii="宋体" w:hAnsi="宋体"/>
      </w:rPr>
      <w:fldChar w:fldCharType="begin"/>
    </w:r>
    <w:r>
      <w:rPr>
        <w:rStyle w:val="899"/>
        <w:rFonts w:ascii="宋体" w:hAnsi="宋体"/>
      </w:rPr>
      <w:instrText xml:space="preserve">PAGE  </w:instrText>
    </w:r>
    <w:r>
      <w:rPr>
        <w:rFonts w:ascii="宋体" w:hAnsi="宋体"/>
      </w:rPr>
      <w:fldChar w:fldCharType="separate"/>
    </w:r>
    <w:r>
      <w:rPr>
        <w:rStyle w:val="899"/>
        <w:rFonts w:ascii="宋体" w:hAnsi="宋体"/>
      </w:rPr>
      <w:t xml:space="preserve">３９</w:t>
    </w:r>
    <w:r>
      <w:rPr>
        <w:rFonts w:ascii="宋体" w:hAnsi="宋体"/>
      </w:rPr>
      <w:fldChar w:fldCharType="end"/>
    </w:r>
    <w:r/>
  </w:p>
  <w:p>
    <w:pPr>
      <w:pStyle w:val="88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899"/>
      </w:rPr>
      <w:framePr w:wrap="around" w:vAnchor="text" w:hAnchor="margin" w:xAlign="center" w:y="1"/>
    </w:pPr>
    <w:r>
      <w:fldChar w:fldCharType="begin"/>
    </w:r>
    <w:r>
      <w:rPr>
        <w:rStyle w:val="899"/>
      </w:rPr>
      <w:instrText xml:space="preserve">PAGE  </w:instrText>
    </w:r>
    <w:r>
      <w:fldChar w:fldCharType="separate"/>
    </w:r>
    <w:r>
      <w:rPr>
        <w:rStyle w:val="899"/>
      </w:rPr>
      <w:t xml:space="preserve">1</w:t>
    </w:r>
    <w:r>
      <w:fldChar w:fldCharType="end"/>
    </w:r>
    <w:r/>
  </w:p>
  <w:p>
    <w:pPr>
      <w:pStyle w:val="8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9"/>
      <w:isLgl w:val="false"/>
      <w:suff w:val="nothing"/>
      <w:lvlText w:val=""/>
      <w:lvlJc w:val="left"/>
      <w:pPr>
        <w:ind w:left="0" w:firstLine="0"/>
      </w:pPr>
      <w:rPr>
        <w:rFonts w:hint="eastAsia"/>
      </w:rPr>
    </w:lvl>
    <w:lvl w:ilvl="6">
      <w:start w:val="1"/>
      <w:numFmt w:val="none"/>
      <w:pStyle w:val="860"/>
      <w:isLgl w:val="false"/>
      <w:suff w:val="nothing"/>
      <w:lvlText w:val=""/>
      <w:lvlJc w:val="left"/>
      <w:pPr>
        <w:ind w:left="0" w:firstLine="0"/>
      </w:pPr>
      <w:rPr>
        <w:rFonts w:hint="eastAsia"/>
      </w:rPr>
    </w:lvl>
    <w:lvl w:ilvl="7">
      <w:start w:val="1"/>
      <w:numFmt w:val="none"/>
      <w:pStyle w:val="861"/>
      <w:isLgl w:val="false"/>
      <w:suff w:val="nothing"/>
      <w:lvlText w:val=""/>
      <w:lvlJc w:val="left"/>
      <w:pPr>
        <w:ind w:left="0" w:firstLine="0"/>
      </w:pPr>
      <w:rPr>
        <w:rFonts w:hint="eastAsia"/>
      </w:rPr>
    </w:lvl>
    <w:lvl w:ilvl="8">
      <w:start w:val="1"/>
      <w:numFmt w:val="none"/>
      <w:pStyle w:val="862"/>
      <w:isLgl w:val="false"/>
      <w:suff w:val="nothing"/>
      <w:lvlText w:val=""/>
      <w:lvlJc w:val="left"/>
      <w:pPr>
        <w:ind w:left="0" w:firstLine="0"/>
      </w:pPr>
      <w:rPr>
        <w:rFonts w:hint="eastAsia"/>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7"/>
  </w:num>
  <w:num w:numId="4">
    <w:abstractNumId w:val="0"/>
  </w:num>
  <w:num w:numId="5">
    <w:abstractNumId w:val="3"/>
  </w:num>
  <w:num w:numId="6">
    <w:abstractNumId w:val="4"/>
  </w:num>
  <w:num w:numId="7">
    <w:abstractNumId w:val="6"/>
  </w:num>
  <w:num w:numId="8">
    <w:abstractNumId w:val="9"/>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63"/>
    <w:link w:val="854"/>
    <w:uiPriority w:val="9"/>
    <w:rPr>
      <w:rFonts w:ascii="Arial" w:hAnsi="Arial" w:eastAsia="Arial" w:cs="Arial"/>
      <w:sz w:val="40"/>
      <w:szCs w:val="40"/>
    </w:rPr>
  </w:style>
  <w:style w:type="character" w:styleId="701">
    <w:name w:val="Heading 2 Char"/>
    <w:basedOn w:val="863"/>
    <w:link w:val="855"/>
    <w:uiPriority w:val="9"/>
    <w:rPr>
      <w:rFonts w:ascii="Arial" w:hAnsi="Arial" w:eastAsia="Arial" w:cs="Arial"/>
      <w:sz w:val="34"/>
    </w:rPr>
  </w:style>
  <w:style w:type="character" w:styleId="702">
    <w:name w:val="Heading 3 Char"/>
    <w:basedOn w:val="863"/>
    <w:link w:val="856"/>
    <w:uiPriority w:val="9"/>
    <w:rPr>
      <w:rFonts w:ascii="Arial" w:hAnsi="Arial" w:eastAsia="Arial" w:cs="Arial"/>
      <w:sz w:val="30"/>
      <w:szCs w:val="30"/>
    </w:rPr>
  </w:style>
  <w:style w:type="character" w:styleId="703">
    <w:name w:val="Heading 4 Char"/>
    <w:basedOn w:val="863"/>
    <w:link w:val="857"/>
    <w:uiPriority w:val="9"/>
    <w:rPr>
      <w:rFonts w:ascii="Arial" w:hAnsi="Arial" w:eastAsia="Arial" w:cs="Arial"/>
      <w:b/>
      <w:bCs/>
      <w:sz w:val="26"/>
      <w:szCs w:val="26"/>
    </w:rPr>
  </w:style>
  <w:style w:type="character" w:styleId="704">
    <w:name w:val="Heading 5 Char"/>
    <w:basedOn w:val="863"/>
    <w:link w:val="858"/>
    <w:uiPriority w:val="9"/>
    <w:rPr>
      <w:rFonts w:ascii="Arial" w:hAnsi="Arial" w:eastAsia="Arial" w:cs="Arial"/>
      <w:b/>
      <w:bCs/>
      <w:sz w:val="24"/>
      <w:szCs w:val="24"/>
    </w:rPr>
  </w:style>
  <w:style w:type="character" w:styleId="705">
    <w:name w:val="Heading 6 Char"/>
    <w:basedOn w:val="863"/>
    <w:link w:val="859"/>
    <w:uiPriority w:val="9"/>
    <w:rPr>
      <w:rFonts w:ascii="Arial" w:hAnsi="Arial" w:eastAsia="Arial" w:cs="Arial"/>
      <w:b/>
      <w:bCs/>
      <w:sz w:val="22"/>
      <w:szCs w:val="22"/>
    </w:rPr>
  </w:style>
  <w:style w:type="character" w:styleId="706">
    <w:name w:val="Heading 7 Char"/>
    <w:basedOn w:val="863"/>
    <w:link w:val="860"/>
    <w:uiPriority w:val="9"/>
    <w:rPr>
      <w:rFonts w:ascii="Arial" w:hAnsi="Arial" w:eastAsia="Arial" w:cs="Arial"/>
      <w:b/>
      <w:bCs/>
      <w:i/>
      <w:iCs/>
      <w:sz w:val="22"/>
      <w:szCs w:val="22"/>
    </w:rPr>
  </w:style>
  <w:style w:type="character" w:styleId="707">
    <w:name w:val="Heading 8 Char"/>
    <w:basedOn w:val="863"/>
    <w:link w:val="861"/>
    <w:uiPriority w:val="9"/>
    <w:rPr>
      <w:rFonts w:ascii="Arial" w:hAnsi="Arial" w:eastAsia="Arial" w:cs="Arial"/>
      <w:i/>
      <w:iCs/>
      <w:sz w:val="22"/>
      <w:szCs w:val="22"/>
    </w:rPr>
  </w:style>
  <w:style w:type="character" w:styleId="708">
    <w:name w:val="Heading 9 Char"/>
    <w:basedOn w:val="863"/>
    <w:link w:val="862"/>
    <w:uiPriority w:val="9"/>
    <w:rPr>
      <w:rFonts w:ascii="Arial" w:hAnsi="Arial" w:eastAsia="Arial" w:cs="Arial"/>
      <w:i/>
      <w:iCs/>
      <w:sz w:val="21"/>
      <w:szCs w:val="21"/>
    </w:rPr>
  </w:style>
  <w:style w:type="paragraph" w:styleId="709">
    <w:name w:val="Title"/>
    <w:basedOn w:val="853"/>
    <w:next w:val="853"/>
    <w:link w:val="710"/>
    <w:uiPriority w:val="10"/>
    <w:qFormat/>
    <w:pPr>
      <w:contextualSpacing/>
      <w:spacing w:before="300" w:after="200"/>
    </w:pPr>
    <w:rPr>
      <w:sz w:val="48"/>
      <w:szCs w:val="48"/>
    </w:rPr>
  </w:style>
  <w:style w:type="character" w:styleId="710">
    <w:name w:val="Title Char"/>
    <w:basedOn w:val="863"/>
    <w:link w:val="709"/>
    <w:uiPriority w:val="10"/>
    <w:rPr>
      <w:sz w:val="48"/>
      <w:szCs w:val="48"/>
    </w:rPr>
  </w:style>
  <w:style w:type="paragraph" w:styleId="711">
    <w:name w:val="Subtitle"/>
    <w:basedOn w:val="853"/>
    <w:next w:val="853"/>
    <w:link w:val="712"/>
    <w:uiPriority w:val="11"/>
    <w:qFormat/>
    <w:pPr>
      <w:spacing w:before="200" w:after="200"/>
    </w:pPr>
    <w:rPr>
      <w:sz w:val="24"/>
      <w:szCs w:val="24"/>
    </w:rPr>
  </w:style>
  <w:style w:type="character" w:styleId="712">
    <w:name w:val="Subtitle Char"/>
    <w:basedOn w:val="863"/>
    <w:link w:val="711"/>
    <w:uiPriority w:val="11"/>
    <w:rPr>
      <w:sz w:val="24"/>
      <w:szCs w:val="24"/>
    </w:rPr>
  </w:style>
  <w:style w:type="paragraph" w:styleId="713">
    <w:name w:val="Quote"/>
    <w:basedOn w:val="853"/>
    <w:next w:val="853"/>
    <w:link w:val="714"/>
    <w:uiPriority w:val="29"/>
    <w:qFormat/>
    <w:pPr>
      <w:ind w:left="720" w:right="720"/>
    </w:pPr>
    <w:rPr>
      <w:i/>
    </w:rPr>
  </w:style>
  <w:style w:type="character" w:styleId="714">
    <w:name w:val="Quote Char"/>
    <w:link w:val="713"/>
    <w:uiPriority w:val="29"/>
    <w:rPr>
      <w:i/>
    </w:rPr>
  </w:style>
  <w:style w:type="paragraph" w:styleId="715">
    <w:name w:val="Intense Quote"/>
    <w:basedOn w:val="853"/>
    <w:next w:val="853"/>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3"/>
    <w:link w:val="883"/>
    <w:uiPriority w:val="99"/>
  </w:style>
  <w:style w:type="character" w:styleId="718">
    <w:name w:val="Footer Char"/>
    <w:basedOn w:val="863"/>
    <w:link w:val="882"/>
    <w:uiPriority w:val="99"/>
  </w:style>
  <w:style w:type="paragraph" w:styleId="719">
    <w:name w:val="Caption"/>
    <w:basedOn w:val="853"/>
    <w:next w:val="853"/>
    <w:uiPriority w:val="35"/>
    <w:semiHidden/>
    <w:unhideWhenUsed/>
    <w:qFormat/>
    <w:pPr>
      <w:spacing w:line="276" w:lineRule="auto"/>
    </w:pPr>
    <w:rPr>
      <w:b/>
      <w:bCs/>
      <w:color w:val="4f81bd" w:themeColor="accent1"/>
      <w:sz w:val="18"/>
      <w:szCs w:val="18"/>
    </w:rPr>
  </w:style>
  <w:style w:type="character" w:styleId="720">
    <w:name w:val="Caption Char"/>
    <w:basedOn w:val="719"/>
    <w:link w:val="882"/>
    <w:uiPriority w:val="99"/>
  </w:style>
  <w:style w:type="table" w:styleId="721">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5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3"/>
    <w:uiPriority w:val="99"/>
    <w:unhideWhenUsed/>
    <w:rPr>
      <w:vertAlign w:val="superscript"/>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uiPriority w:val="0"/>
    <w:qFormat/>
    <w:pPr>
      <w:jc w:val="both"/>
      <w:widowControl w:val="off"/>
    </w:pPr>
    <w:rPr>
      <w:sz w:val="21"/>
      <w:szCs w:val="22"/>
      <w:lang w:val="en-US" w:eastAsia="zh-CN" w:bidi="ar-SA"/>
    </w:rPr>
  </w:style>
  <w:style w:type="paragraph" w:styleId="854">
    <w:name w:val="Heading 1"/>
    <w:basedOn w:val="853"/>
    <w:next w:val="853"/>
    <w:link w:val="903"/>
    <w:uiPriority w:val="0"/>
    <w:qFormat/>
    <w:pPr>
      <w:jc w:val="center"/>
      <w:keepNext/>
      <w:outlineLvl w:val="0"/>
    </w:pPr>
    <w:rPr>
      <w:rFonts w:ascii="楷体_GB2312" w:hAnsi="Times New Roman" w:eastAsia="楷体_GB2312" w:cs="Times New Roman"/>
      <w:sz w:val="28"/>
      <w:szCs w:val="28"/>
    </w:rPr>
  </w:style>
  <w:style w:type="paragraph" w:styleId="855">
    <w:name w:val="Heading 2"/>
    <w:basedOn w:val="853"/>
    <w:next w:val="865"/>
    <w:link w:val="9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65"/>
    <w:link w:val="90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7">
    <w:name w:val="Heading 4"/>
    <w:basedOn w:val="853"/>
    <w:next w:val="865"/>
    <w:link w:val="907"/>
    <w:uiPriority w:val="0"/>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65"/>
    <w:link w:val="908"/>
    <w:uiPriority w:val="0"/>
    <w:qFormat/>
    <w:pPr>
      <w:keepNext/>
      <w:outlineLvl w:val="4"/>
    </w:pPr>
    <w:rPr>
      <w:rFonts w:ascii="宋体" w:hAnsi="Times New Roman" w:eastAsia="宋体" w:cs="Times New Roman"/>
      <w:color w:val="000000"/>
      <w:sz w:val="28"/>
      <w:szCs w:val="28"/>
    </w:rPr>
  </w:style>
  <w:style w:type="paragraph" w:styleId="859">
    <w:name w:val="Heading 6"/>
    <w:basedOn w:val="853"/>
    <w:next w:val="853"/>
    <w:link w:val="90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0">
    <w:name w:val="Heading 7"/>
    <w:basedOn w:val="853"/>
    <w:next w:val="853"/>
    <w:link w:val="91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1">
    <w:name w:val="Heading 8"/>
    <w:basedOn w:val="853"/>
    <w:next w:val="853"/>
    <w:link w:val="91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2">
    <w:name w:val="Heading 9"/>
    <w:basedOn w:val="853"/>
    <w:next w:val="853"/>
    <w:link w:val="91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3" w:default="1">
    <w:name w:val="Default Paragraph Font"/>
    <w:uiPriority w:val="1"/>
    <w:unhideWhenUsed/>
  </w:style>
  <w:style w:type="table" w:styleId="864" w:default="1">
    <w:name w:val="Normal Table"/>
    <w:uiPriority w:val="99"/>
    <w:unhideWhenUsed/>
    <w:tblPr>
      <w:tblCellMar>
        <w:left w:w="108" w:type="dxa"/>
        <w:top w:w="0" w:type="dxa"/>
        <w:right w:w="108" w:type="dxa"/>
        <w:bottom w:w="0" w:type="dxa"/>
      </w:tblCellMar>
    </w:tblPr>
  </w:style>
  <w:style w:type="paragraph" w:styleId="865">
    <w:name w:val="Normal Indent"/>
    <w:basedOn w:val="853"/>
    <w:link w:val="905"/>
    <w:uiPriority w:val="0"/>
    <w:pPr>
      <w:ind w:firstLine="420"/>
    </w:pPr>
    <w:rPr>
      <w:szCs w:val="21"/>
    </w:rPr>
  </w:style>
  <w:style w:type="paragraph" w:styleId="866">
    <w:name w:val="List 3"/>
    <w:basedOn w:val="853"/>
    <w:uiPriority w:val="0"/>
    <w:pPr>
      <w:ind w:left="100" w:hanging="200"/>
    </w:pPr>
    <w:rPr>
      <w:rFonts w:ascii="Times New Roman" w:hAnsi="Times New Roman" w:eastAsia="宋体" w:cs="Times New Roman"/>
      <w:szCs w:val="21"/>
    </w:rPr>
  </w:style>
  <w:style w:type="paragraph" w:styleId="867">
    <w:name w:val="toc 7"/>
    <w:basedOn w:val="853"/>
    <w:next w:val="853"/>
    <w:uiPriority w:val="0"/>
    <w:semiHidden/>
    <w:pPr>
      <w:ind w:left="1260"/>
      <w:jc w:val="left"/>
    </w:pPr>
    <w:rPr>
      <w:rFonts w:ascii="Times New Roman" w:hAnsi="Times New Roman" w:eastAsia="宋体" w:cs="Times New Roman"/>
      <w:szCs w:val="21"/>
    </w:rPr>
  </w:style>
  <w:style w:type="paragraph" w:styleId="868">
    <w:name w:val="Document Map"/>
    <w:basedOn w:val="853"/>
    <w:link w:val="913"/>
    <w:uiPriority w:val="0"/>
    <w:semiHidden/>
    <w:pPr>
      <w:shd w:val="clear" w:color="auto" w:fill="000080"/>
    </w:pPr>
    <w:rPr>
      <w:rFonts w:ascii="Times New Roman" w:hAnsi="Times New Roman" w:eastAsia="宋体" w:cs="Times New Roman"/>
      <w:szCs w:val="21"/>
    </w:rPr>
  </w:style>
  <w:style w:type="paragraph" w:styleId="869">
    <w:name w:val="annotation text"/>
    <w:basedOn w:val="853"/>
    <w:link w:val="914"/>
    <w:uiPriority w:val="0"/>
    <w:unhideWhenUsed/>
    <w:pPr>
      <w:jc w:val="left"/>
    </w:pPr>
  </w:style>
  <w:style w:type="paragraph" w:styleId="870">
    <w:name w:val="Body Text 3"/>
    <w:basedOn w:val="853"/>
    <w:link w:val="915"/>
    <w:uiPriority w:val="0"/>
    <w:rPr>
      <w:rFonts w:ascii="仿宋_GB2312" w:hAnsi="Arial" w:eastAsia="仿宋_GB2312" w:cs="Times New Roman"/>
      <w:sz w:val="32"/>
      <w:szCs w:val="32"/>
    </w:rPr>
  </w:style>
  <w:style w:type="paragraph" w:styleId="871">
    <w:name w:val="Body Text"/>
    <w:basedOn w:val="853"/>
    <w:next w:val="872"/>
    <w:link w:val="916"/>
    <w:uiPriority w:val="0"/>
    <w:rPr>
      <w:rFonts w:ascii="楷体_GB2312" w:hAnsi="Arial" w:eastAsia="楷体_GB2312" w:cs="Times New Roman"/>
      <w:sz w:val="28"/>
      <w:szCs w:val="28"/>
    </w:rPr>
  </w:style>
  <w:style w:type="paragraph" w:styleId="872">
    <w:name w:val="toc 2"/>
    <w:basedOn w:val="853"/>
    <w:next w:val="853"/>
    <w:uiPriority w:val="0"/>
    <w:semiHidden/>
    <w:pPr>
      <w:ind w:left="210"/>
      <w:jc w:val="left"/>
    </w:pPr>
    <w:rPr>
      <w:rFonts w:ascii="Times New Roman" w:hAnsi="Times New Roman" w:eastAsia="宋体" w:cs="Times New Roman"/>
      <w:smallCaps/>
      <w:szCs w:val="24"/>
    </w:rPr>
  </w:style>
  <w:style w:type="paragraph" w:styleId="873">
    <w:name w:val="Body Text Indent"/>
    <w:basedOn w:val="853"/>
    <w:link w:val="917"/>
    <w:uiPriority w:val="0"/>
    <w:unhideWhenUsed/>
    <w:pPr>
      <w:ind w:left="420"/>
      <w:spacing w:after="120"/>
    </w:pPr>
  </w:style>
  <w:style w:type="paragraph" w:styleId="874">
    <w:name w:val="List 2"/>
    <w:basedOn w:val="853"/>
    <w:uiPriority w:val="0"/>
    <w:pPr>
      <w:ind w:left="100" w:hanging="200"/>
    </w:pPr>
    <w:rPr>
      <w:rFonts w:ascii="Times New Roman" w:hAnsi="Times New Roman" w:eastAsia="宋体" w:cs="Times New Roman"/>
      <w:szCs w:val="21"/>
    </w:rPr>
  </w:style>
  <w:style w:type="paragraph" w:styleId="875">
    <w:name w:val="toc 5"/>
    <w:basedOn w:val="853"/>
    <w:next w:val="853"/>
    <w:uiPriority w:val="0"/>
    <w:semiHidden/>
    <w:pPr>
      <w:ind w:left="840"/>
      <w:jc w:val="left"/>
    </w:pPr>
    <w:rPr>
      <w:rFonts w:ascii="Times New Roman" w:hAnsi="Times New Roman" w:eastAsia="宋体" w:cs="Times New Roman"/>
      <w:szCs w:val="21"/>
    </w:rPr>
  </w:style>
  <w:style w:type="paragraph" w:styleId="876">
    <w:name w:val="toc 3"/>
    <w:basedOn w:val="853"/>
    <w:next w:val="853"/>
    <w:uiPriority w:val="0"/>
    <w:semiHidden/>
    <w:pPr>
      <w:ind w:left="420"/>
      <w:jc w:val="left"/>
    </w:pPr>
    <w:rPr>
      <w:rFonts w:ascii="Times New Roman" w:hAnsi="Times New Roman" w:eastAsia="宋体" w:cs="Times New Roman"/>
      <w:i/>
      <w:iCs/>
      <w:szCs w:val="24"/>
    </w:rPr>
  </w:style>
  <w:style w:type="paragraph" w:styleId="877">
    <w:name w:val="Plain Text"/>
    <w:basedOn w:val="853"/>
    <w:link w:val="918"/>
    <w:uiPriority w:val="0"/>
    <w:rPr>
      <w:rFonts w:ascii="宋体" w:hAnsi="Courier New" w:eastAsia="宋体" w:cs="Courier New"/>
      <w:szCs w:val="21"/>
    </w:rPr>
  </w:style>
  <w:style w:type="paragraph" w:styleId="878">
    <w:name w:val="toc 8"/>
    <w:basedOn w:val="853"/>
    <w:next w:val="853"/>
    <w:uiPriority w:val="0"/>
    <w:semiHidden/>
    <w:pPr>
      <w:ind w:left="1470"/>
      <w:jc w:val="left"/>
    </w:pPr>
    <w:rPr>
      <w:rFonts w:ascii="Times New Roman" w:hAnsi="Times New Roman" w:eastAsia="宋体" w:cs="Times New Roman"/>
      <w:szCs w:val="21"/>
    </w:rPr>
  </w:style>
  <w:style w:type="paragraph" w:styleId="879">
    <w:name w:val="Date"/>
    <w:basedOn w:val="853"/>
    <w:next w:val="853"/>
    <w:link w:val="919"/>
    <w:uiPriority w:val="0"/>
    <w:rPr>
      <w:rFonts w:ascii="Times New Roman" w:hAnsi="Times New Roman" w:eastAsia="宋体" w:cs="Times New Roman"/>
      <w:sz w:val="24"/>
      <w:szCs w:val="24"/>
    </w:rPr>
  </w:style>
  <w:style w:type="paragraph" w:styleId="880">
    <w:name w:val="Body Text Indent 2"/>
    <w:basedOn w:val="853"/>
    <w:link w:val="920"/>
    <w:uiPriority w:val="0"/>
    <w:pPr>
      <w:ind w:left="630" w:firstLine="645"/>
    </w:pPr>
    <w:rPr>
      <w:rFonts w:ascii="Arial" w:hAnsi="Arial" w:eastAsia="仿宋_GB2312" w:cs="Arial"/>
      <w:sz w:val="32"/>
      <w:szCs w:val="32"/>
    </w:rPr>
  </w:style>
  <w:style w:type="paragraph" w:styleId="881">
    <w:name w:val="Balloon Text"/>
    <w:basedOn w:val="853"/>
    <w:link w:val="921"/>
    <w:uiPriority w:val="0"/>
    <w:semiHidden/>
    <w:rPr>
      <w:rFonts w:ascii="Times New Roman" w:hAnsi="Times New Roman" w:eastAsia="宋体" w:cs="Times New Roman"/>
      <w:sz w:val="18"/>
      <w:szCs w:val="18"/>
    </w:rPr>
  </w:style>
  <w:style w:type="paragraph" w:styleId="882">
    <w:name w:val="Footer"/>
    <w:basedOn w:val="853"/>
    <w:link w:val="922"/>
    <w:uiPriority w:val="0"/>
    <w:pPr>
      <w:jc w:val="left"/>
      <w:tabs>
        <w:tab w:val="center" w:pos="4153" w:leader="none"/>
        <w:tab w:val="right" w:pos="8306" w:leader="none"/>
      </w:tabs>
    </w:pPr>
    <w:rPr>
      <w:rFonts w:ascii="Times New Roman" w:hAnsi="Times New Roman" w:eastAsia="宋体" w:cs="Times New Roman"/>
      <w:sz w:val="18"/>
      <w:szCs w:val="18"/>
    </w:rPr>
  </w:style>
  <w:style w:type="paragraph" w:styleId="883">
    <w:name w:val="Header"/>
    <w:basedOn w:val="853"/>
    <w:link w:val="923"/>
    <w:uiPriority w:val="0"/>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84">
    <w:name w:val="toc 1"/>
    <w:basedOn w:val="853"/>
    <w:next w:val="853"/>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85">
    <w:name w:val="toc 4"/>
    <w:basedOn w:val="853"/>
    <w:next w:val="853"/>
    <w:uiPriority w:val="0"/>
    <w:semiHidden/>
    <w:pPr>
      <w:ind w:left="630"/>
      <w:jc w:val="left"/>
    </w:pPr>
    <w:rPr>
      <w:rFonts w:ascii="Times New Roman" w:hAnsi="Times New Roman" w:eastAsia="宋体" w:cs="Times New Roman"/>
      <w:szCs w:val="21"/>
    </w:rPr>
  </w:style>
  <w:style w:type="paragraph" w:styleId="886">
    <w:name w:val="List"/>
    <w:basedOn w:val="853"/>
    <w:uiPriority w:val="0"/>
    <w:pPr>
      <w:ind w:left="200" w:hanging="200"/>
    </w:pPr>
    <w:rPr>
      <w:rFonts w:ascii="Times New Roman" w:hAnsi="Times New Roman" w:eastAsia="宋体" w:cs="Times New Roman"/>
      <w:szCs w:val="21"/>
    </w:rPr>
  </w:style>
  <w:style w:type="paragraph" w:styleId="887">
    <w:name w:val="toc 6"/>
    <w:basedOn w:val="853"/>
    <w:next w:val="853"/>
    <w:uiPriority w:val="0"/>
    <w:semiHidden/>
    <w:pPr>
      <w:ind w:left="1050"/>
      <w:jc w:val="left"/>
    </w:pPr>
    <w:rPr>
      <w:rFonts w:ascii="Times New Roman" w:hAnsi="Times New Roman" w:eastAsia="宋体" w:cs="Times New Roman"/>
      <w:szCs w:val="21"/>
    </w:rPr>
  </w:style>
  <w:style w:type="paragraph" w:styleId="888">
    <w:name w:val="Body Text Indent 3"/>
    <w:basedOn w:val="853"/>
    <w:link w:val="924"/>
    <w:uiPriority w:val="0"/>
    <w:pPr>
      <w:ind w:left="645" w:firstLine="645"/>
    </w:pPr>
    <w:rPr>
      <w:rFonts w:ascii="Arial" w:hAnsi="Arial" w:eastAsia="仿宋_GB2312" w:cs="Arial"/>
      <w:color w:val="ffff00"/>
      <w:sz w:val="32"/>
      <w:szCs w:val="32"/>
    </w:rPr>
  </w:style>
  <w:style w:type="paragraph" w:styleId="889">
    <w:name w:val="table of figures"/>
    <w:basedOn w:val="853"/>
    <w:next w:val="853"/>
    <w:uiPriority w:val="0"/>
    <w:semiHidden/>
    <w:pPr>
      <w:ind w:left="840" w:hanging="420"/>
    </w:pPr>
    <w:rPr>
      <w:rFonts w:ascii="Times New Roman" w:hAnsi="Times New Roman" w:eastAsia="宋体" w:cs="Times New Roman"/>
      <w:szCs w:val="21"/>
    </w:rPr>
  </w:style>
  <w:style w:type="paragraph" w:styleId="890">
    <w:name w:val="toc 9"/>
    <w:basedOn w:val="853"/>
    <w:next w:val="853"/>
    <w:uiPriority w:val="0"/>
    <w:semiHidden/>
    <w:pPr>
      <w:ind w:left="1680"/>
      <w:jc w:val="left"/>
    </w:pPr>
    <w:rPr>
      <w:rFonts w:ascii="Times New Roman" w:hAnsi="Times New Roman" w:eastAsia="宋体" w:cs="Times New Roman"/>
      <w:szCs w:val="21"/>
    </w:rPr>
  </w:style>
  <w:style w:type="paragraph" w:styleId="891">
    <w:name w:val="Body Text 2"/>
    <w:basedOn w:val="853"/>
    <w:link w:val="925"/>
    <w:uiPriority w:val="0"/>
    <w:pPr>
      <w:jc w:val="center"/>
      <w:widowControl/>
    </w:pPr>
    <w:rPr>
      <w:rFonts w:ascii="楷体_GB2312" w:hAnsi="Times New Roman" w:eastAsia="楷体_GB2312" w:cs="Times New Roman"/>
      <w:sz w:val="28"/>
      <w:szCs w:val="28"/>
    </w:rPr>
  </w:style>
  <w:style w:type="paragraph" w:styleId="892">
    <w:name w:val="Normal (Web)"/>
    <w:basedOn w:val="853"/>
    <w:uiPriority w:val="99"/>
    <w:pPr>
      <w:jc w:val="left"/>
      <w:spacing w:before="100" w:beforeAutospacing="1" w:after="100" w:afterAutospacing="1"/>
      <w:widowControl/>
    </w:pPr>
    <w:rPr>
      <w:rFonts w:ascii="宋体" w:hAnsi="宋体" w:eastAsia="宋体" w:cs="宋体"/>
      <w:sz w:val="24"/>
      <w:szCs w:val="24"/>
    </w:rPr>
  </w:style>
  <w:style w:type="paragraph" w:styleId="893">
    <w:name w:val="index 1"/>
    <w:basedOn w:val="853"/>
    <w:next w:val="853"/>
    <w:uiPriority w:val="0"/>
    <w:semiHidden/>
    <w:pPr>
      <w:spacing w:line="240" w:lineRule="atLeast"/>
    </w:pPr>
    <w:rPr>
      <w:rFonts w:ascii="Times New Roman" w:hAnsi="Times New Roman" w:eastAsia="宋体" w:cs="Times New Roman"/>
      <w:b/>
      <w:bCs/>
      <w:szCs w:val="21"/>
    </w:rPr>
  </w:style>
  <w:style w:type="paragraph" w:styleId="894">
    <w:name w:val="annotation subject"/>
    <w:basedOn w:val="869"/>
    <w:next w:val="869"/>
    <w:link w:val="926"/>
    <w:uiPriority w:val="0"/>
    <w:semiHidden/>
    <w:rPr>
      <w:rFonts w:ascii="Times New Roman" w:hAnsi="Times New Roman" w:eastAsia="宋体" w:cs="Times New Roman"/>
      <w:b/>
      <w:bCs/>
      <w:szCs w:val="21"/>
    </w:rPr>
  </w:style>
  <w:style w:type="paragraph" w:styleId="895">
    <w:name w:val="Body Text First Indent"/>
    <w:basedOn w:val="853"/>
    <w:link w:val="927"/>
    <w:uiPriority w:val="0"/>
    <w:pPr>
      <w:ind w:firstLine="200"/>
      <w:spacing w:line="360" w:lineRule="auto"/>
    </w:pPr>
    <w:rPr>
      <w:rFonts w:ascii="仿宋_GB2312" w:hAnsi="Times New Roman" w:eastAsia="仿宋_GB2312" w:cs="Times New Roman"/>
      <w:sz w:val="30"/>
      <w:szCs w:val="30"/>
    </w:rPr>
  </w:style>
  <w:style w:type="paragraph" w:styleId="896">
    <w:name w:val="Body Text First Indent 2"/>
    <w:basedOn w:val="873"/>
    <w:link w:val="928"/>
    <w:uiPriority w:val="0"/>
    <w:pPr>
      <w:ind w:left="0" w:firstLine="420"/>
      <w:spacing w:after="0" w:line="360" w:lineRule="auto"/>
    </w:pPr>
    <w:rPr>
      <w:rFonts w:ascii="宋体" w:hAnsi="宋体" w:eastAsia="宋体" w:cs="Times New Roman"/>
      <w:szCs w:val="20"/>
    </w:rPr>
  </w:style>
  <w:style w:type="table" w:styleId="897">
    <w:name w:val="Table Grid"/>
    <w:basedOn w:val="864"/>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Strong"/>
    <w:uiPriority w:val="0"/>
    <w:qFormat/>
    <w:rPr>
      <w:b/>
      <w:bCs/>
    </w:rPr>
  </w:style>
  <w:style w:type="character" w:styleId="899">
    <w:name w:val="page number"/>
    <w:uiPriority w:val="0"/>
  </w:style>
  <w:style w:type="character" w:styleId="900">
    <w:name w:val="FollowedHyperlink"/>
    <w:uiPriority w:val="0"/>
    <w:rPr>
      <w:color w:val="800080"/>
      <w:u w:val="single"/>
    </w:rPr>
  </w:style>
  <w:style w:type="character" w:styleId="901">
    <w:name w:val="Hyperlink"/>
    <w:uiPriority w:val="0"/>
    <w:rPr>
      <w:color w:val="0000ff"/>
      <w:u w:val="single"/>
    </w:rPr>
  </w:style>
  <w:style w:type="character" w:styleId="902">
    <w:name w:val="annotation reference"/>
    <w:uiPriority w:val="0"/>
    <w:semiHidden/>
    <w:rPr>
      <w:sz w:val="21"/>
      <w:szCs w:val="21"/>
    </w:rPr>
  </w:style>
  <w:style w:type="character" w:styleId="903" w:customStyle="1">
    <w:name w:val="标题 1 Char"/>
    <w:link w:val="854"/>
    <w:uiPriority w:val="0"/>
    <w:rPr>
      <w:rFonts w:ascii="楷体_GB2312" w:hAnsi="Times New Roman" w:eastAsia="楷体_GB2312" w:cs="Times New Roman"/>
      <w:sz w:val="28"/>
      <w:szCs w:val="28"/>
    </w:rPr>
  </w:style>
  <w:style w:type="character" w:styleId="904" w:customStyle="1">
    <w:name w:val="标题 2 Char"/>
    <w:link w:val="855"/>
    <w:uiPriority w:val="0"/>
    <w:rPr>
      <w:rFonts w:ascii="Arial" w:hAnsi="Arial" w:eastAsia="幼圆" w:cs="Arial"/>
      <w:b/>
      <w:bCs/>
      <w:sz w:val="44"/>
      <w:szCs w:val="44"/>
    </w:rPr>
  </w:style>
  <w:style w:type="character" w:styleId="905" w:customStyle="1">
    <w:name w:val="正文缩进 Char"/>
    <w:link w:val="865"/>
    <w:uiPriority w:val="0"/>
    <w:rPr>
      <w:szCs w:val="21"/>
    </w:rPr>
  </w:style>
  <w:style w:type="character" w:styleId="906" w:customStyle="1">
    <w:name w:val="标题 3 Char"/>
    <w:link w:val="856"/>
    <w:uiPriority w:val="0"/>
    <w:rPr>
      <w:rFonts w:ascii="Times New Roman" w:hAnsi="Times New Roman" w:eastAsia="宋体" w:cs="Times New Roman"/>
      <w:b/>
      <w:bCs/>
      <w:sz w:val="32"/>
      <w:szCs w:val="32"/>
    </w:rPr>
  </w:style>
  <w:style w:type="character" w:styleId="907" w:customStyle="1">
    <w:name w:val="标题 4 Char"/>
    <w:link w:val="857"/>
    <w:uiPriority w:val="0"/>
    <w:rPr>
      <w:rFonts w:ascii="Arial" w:hAnsi="Arial" w:eastAsia="黑体" w:cs="Arial"/>
      <w:b/>
      <w:bCs/>
      <w:sz w:val="28"/>
      <w:szCs w:val="28"/>
    </w:rPr>
  </w:style>
  <w:style w:type="character" w:styleId="908" w:customStyle="1">
    <w:name w:val="标题 5 Char"/>
    <w:link w:val="858"/>
    <w:uiPriority w:val="0"/>
    <w:rPr>
      <w:rFonts w:ascii="宋体" w:hAnsi="Times New Roman" w:eastAsia="宋体" w:cs="Times New Roman"/>
      <w:color w:val="000000"/>
      <w:sz w:val="28"/>
      <w:szCs w:val="28"/>
    </w:rPr>
  </w:style>
  <w:style w:type="character" w:styleId="909" w:customStyle="1">
    <w:name w:val="标题 6 Char"/>
    <w:link w:val="859"/>
    <w:uiPriority w:val="0"/>
    <w:rPr>
      <w:rFonts w:ascii="Arial" w:hAnsi="Arial" w:eastAsia="黑体" w:cs="Times New Roman"/>
      <w:b/>
      <w:bCs/>
      <w:sz w:val="24"/>
      <w:szCs w:val="24"/>
    </w:rPr>
  </w:style>
  <w:style w:type="character" w:styleId="910" w:customStyle="1">
    <w:name w:val="标题 7 Char"/>
    <w:link w:val="860"/>
    <w:uiPriority w:val="0"/>
    <w:rPr>
      <w:rFonts w:ascii="Times New Roman" w:hAnsi="Times New Roman" w:eastAsia="宋体" w:cs="Times New Roman"/>
      <w:b/>
      <w:bCs/>
      <w:sz w:val="24"/>
      <w:szCs w:val="24"/>
    </w:rPr>
  </w:style>
  <w:style w:type="character" w:styleId="911" w:customStyle="1">
    <w:name w:val="标题 8 Char"/>
    <w:link w:val="861"/>
    <w:uiPriority w:val="0"/>
    <w:rPr>
      <w:rFonts w:ascii="Arial" w:hAnsi="Arial" w:eastAsia="黑体" w:cs="Times New Roman"/>
      <w:sz w:val="24"/>
      <w:szCs w:val="24"/>
    </w:rPr>
  </w:style>
  <w:style w:type="character" w:styleId="912" w:customStyle="1">
    <w:name w:val="标题 9 Char"/>
    <w:link w:val="862"/>
    <w:uiPriority w:val="0"/>
    <w:rPr>
      <w:rFonts w:ascii="Arial" w:hAnsi="Arial" w:eastAsia="黑体" w:cs="Times New Roman"/>
      <w:szCs w:val="21"/>
    </w:rPr>
  </w:style>
  <w:style w:type="character" w:styleId="913" w:customStyle="1">
    <w:name w:val="文档结构图 Char"/>
    <w:link w:val="868"/>
    <w:uiPriority w:val="0"/>
    <w:semiHidden/>
    <w:rPr>
      <w:rFonts w:ascii="Times New Roman" w:hAnsi="Times New Roman" w:eastAsia="宋体" w:cs="Times New Roman"/>
      <w:szCs w:val="21"/>
      <w:shd w:val="clear" w:color="auto" w:fill="000080"/>
    </w:rPr>
  </w:style>
  <w:style w:type="character" w:styleId="914" w:customStyle="1">
    <w:name w:val="批注文字 Char"/>
    <w:basedOn w:val="863"/>
    <w:link w:val="869"/>
    <w:uiPriority w:val="99"/>
    <w:semiHidden/>
  </w:style>
  <w:style w:type="character" w:styleId="915" w:customStyle="1">
    <w:name w:val="正文文本 3 Char"/>
    <w:link w:val="870"/>
    <w:uiPriority w:val="0"/>
    <w:rPr>
      <w:rFonts w:ascii="仿宋_GB2312" w:hAnsi="Arial" w:eastAsia="仿宋_GB2312" w:cs="Times New Roman"/>
      <w:sz w:val="32"/>
      <w:szCs w:val="32"/>
    </w:rPr>
  </w:style>
  <w:style w:type="character" w:styleId="916" w:customStyle="1">
    <w:name w:val="正文文本 Char"/>
    <w:link w:val="871"/>
    <w:uiPriority w:val="0"/>
    <w:rPr>
      <w:rFonts w:ascii="楷体_GB2312" w:hAnsi="Arial" w:eastAsia="楷体_GB2312" w:cs="Times New Roman"/>
      <w:sz w:val="28"/>
      <w:szCs w:val="28"/>
    </w:rPr>
  </w:style>
  <w:style w:type="character" w:styleId="917" w:customStyle="1">
    <w:name w:val="正文文本缩进 Char"/>
    <w:basedOn w:val="863"/>
    <w:link w:val="873"/>
    <w:uiPriority w:val="99"/>
    <w:semiHidden/>
  </w:style>
  <w:style w:type="character" w:styleId="918" w:customStyle="1">
    <w:name w:val="纯文本 Char"/>
    <w:link w:val="877"/>
    <w:uiPriority w:val="0"/>
    <w:rPr>
      <w:rFonts w:ascii="宋体" w:hAnsi="Courier New" w:eastAsia="宋体" w:cs="Courier New"/>
      <w:szCs w:val="21"/>
    </w:rPr>
  </w:style>
  <w:style w:type="character" w:styleId="919" w:customStyle="1">
    <w:name w:val="日期 Char"/>
    <w:link w:val="879"/>
    <w:uiPriority w:val="0"/>
    <w:rPr>
      <w:rFonts w:ascii="Times New Roman" w:hAnsi="Times New Roman" w:eastAsia="宋体" w:cs="Times New Roman"/>
      <w:sz w:val="24"/>
      <w:szCs w:val="24"/>
    </w:rPr>
  </w:style>
  <w:style w:type="character" w:styleId="920" w:customStyle="1">
    <w:name w:val="正文文本缩进 2 Char"/>
    <w:link w:val="880"/>
    <w:uiPriority w:val="0"/>
    <w:rPr>
      <w:rFonts w:ascii="Arial" w:hAnsi="Arial" w:eastAsia="仿宋_GB2312" w:cs="Arial"/>
      <w:sz w:val="32"/>
      <w:szCs w:val="32"/>
    </w:rPr>
  </w:style>
  <w:style w:type="character" w:styleId="921" w:customStyle="1">
    <w:name w:val="批注框文本 Char"/>
    <w:link w:val="881"/>
    <w:uiPriority w:val="0"/>
    <w:semiHidden/>
    <w:rPr>
      <w:rFonts w:ascii="Times New Roman" w:hAnsi="Times New Roman" w:eastAsia="宋体" w:cs="Times New Roman"/>
      <w:sz w:val="18"/>
      <w:szCs w:val="18"/>
    </w:rPr>
  </w:style>
  <w:style w:type="character" w:styleId="922" w:customStyle="1">
    <w:name w:val="页脚 Char"/>
    <w:link w:val="882"/>
    <w:uiPriority w:val="0"/>
    <w:rPr>
      <w:rFonts w:ascii="Times New Roman" w:hAnsi="Times New Roman" w:eastAsia="宋体" w:cs="Times New Roman"/>
      <w:sz w:val="18"/>
      <w:szCs w:val="18"/>
    </w:rPr>
  </w:style>
  <w:style w:type="character" w:styleId="923" w:customStyle="1">
    <w:name w:val="页眉 Char"/>
    <w:link w:val="883"/>
    <w:uiPriority w:val="0"/>
    <w:rPr>
      <w:rFonts w:ascii="Times New Roman" w:hAnsi="Times New Roman" w:eastAsia="宋体" w:cs="Times New Roman"/>
      <w:sz w:val="18"/>
      <w:szCs w:val="18"/>
    </w:rPr>
  </w:style>
  <w:style w:type="character" w:styleId="924" w:customStyle="1">
    <w:name w:val="正文文本缩进 3 Char"/>
    <w:link w:val="888"/>
    <w:uiPriority w:val="0"/>
    <w:rPr>
      <w:rFonts w:ascii="Arial" w:hAnsi="Arial" w:eastAsia="仿宋_GB2312" w:cs="Arial"/>
      <w:color w:val="ffff00"/>
      <w:sz w:val="32"/>
      <w:szCs w:val="32"/>
    </w:rPr>
  </w:style>
  <w:style w:type="character" w:styleId="925" w:customStyle="1">
    <w:name w:val="正文文本 2 Char"/>
    <w:link w:val="891"/>
    <w:uiPriority w:val="0"/>
    <w:rPr>
      <w:rFonts w:ascii="楷体_GB2312" w:hAnsi="Times New Roman" w:eastAsia="楷体_GB2312" w:cs="Times New Roman"/>
      <w:sz w:val="28"/>
      <w:szCs w:val="28"/>
    </w:rPr>
  </w:style>
  <w:style w:type="character" w:styleId="926" w:customStyle="1">
    <w:name w:val="批注主题 Char"/>
    <w:link w:val="894"/>
    <w:uiPriority w:val="0"/>
    <w:semiHidden/>
    <w:rPr>
      <w:rFonts w:ascii="Times New Roman" w:hAnsi="Times New Roman" w:eastAsia="宋体" w:cs="Times New Roman"/>
      <w:b/>
      <w:bCs/>
      <w:szCs w:val="21"/>
    </w:rPr>
  </w:style>
  <w:style w:type="character" w:styleId="927" w:customStyle="1">
    <w:name w:val="正文首行缩进 Char"/>
    <w:link w:val="895"/>
    <w:uiPriority w:val="0"/>
    <w:rPr>
      <w:rFonts w:ascii="仿宋_GB2312" w:hAnsi="Times New Roman" w:eastAsia="仿宋_GB2312" w:cs="Times New Roman"/>
      <w:sz w:val="30"/>
      <w:szCs w:val="30"/>
    </w:rPr>
  </w:style>
  <w:style w:type="character" w:styleId="928" w:customStyle="1">
    <w:name w:val="正文首行缩进 2 Char"/>
    <w:link w:val="896"/>
    <w:uiPriority w:val="0"/>
    <w:rPr>
      <w:rFonts w:ascii="宋体" w:hAnsi="宋体" w:eastAsia="宋体" w:cs="Times New Roman"/>
      <w:szCs w:val="20"/>
    </w:rPr>
  </w:style>
  <w:style w:type="character" w:styleId="929" w:customStyle="1">
    <w:name w:val="font5 Char"/>
    <w:uiPriority w:val="0"/>
    <w:rPr>
      <w:rFonts w:ascii="宋体" w:hAnsi="宋体" w:eastAsia="宋体"/>
      <w:sz w:val="28"/>
      <w:szCs w:val="28"/>
      <w:lang w:val="en-US" w:eastAsia="zh-CN" w:bidi="ar-SA"/>
    </w:rPr>
  </w:style>
  <w:style w:type="character" w:styleId="930" w:customStyle="1">
    <w:name w:val="二级目录 Char"/>
    <w:link w:val="931"/>
    <w:uiPriority w:val="0"/>
    <w:rPr>
      <w:b/>
      <w:sz w:val="30"/>
      <w:szCs w:val="28"/>
    </w:rPr>
  </w:style>
  <w:style w:type="paragraph" w:styleId="931" w:customStyle="1">
    <w:name w:val="二级目录"/>
    <w:next w:val="853"/>
    <w:link w:val="930"/>
    <w:uiPriority w:val="0"/>
    <w:pPr>
      <w:numPr>
        <w:ilvl w:val="0"/>
        <w:numId w:val="2"/>
      </w:numPr>
      <w:tabs>
        <w:tab w:val="left" w:pos="1145" w:leader="none"/>
      </w:tabs>
      <w:outlineLvl w:val="1"/>
    </w:pPr>
    <w:rPr>
      <w:b/>
      <w:sz w:val="30"/>
      <w:szCs w:val="28"/>
      <w:lang w:val="en-US" w:eastAsia="zh-CN" w:bidi="ar-SA"/>
    </w:rPr>
  </w:style>
  <w:style w:type="character" w:styleId="932" w:customStyle="1">
    <w:name w:val="列出段落 Char"/>
    <w:link w:val="933"/>
    <w:uiPriority w:val="0"/>
    <w:rPr>
      <w:rFonts w:ascii="Calibri" w:hAnsi="Calibri"/>
      <w:sz w:val="24"/>
      <w:szCs w:val="24"/>
      <w:lang w:eastAsia="en-US" w:bidi="en-US"/>
    </w:rPr>
  </w:style>
  <w:style w:type="paragraph" w:styleId="933" w:customStyle="1">
    <w:name w:val="列出段落1"/>
    <w:basedOn w:val="853"/>
    <w:link w:val="932"/>
    <w:uiPriority w:val="0"/>
    <w:qFormat/>
    <w:pPr>
      <w:contextualSpacing/>
      <w:ind w:left="720"/>
      <w:jc w:val="left"/>
      <w:widowControl/>
    </w:pPr>
    <w:rPr>
      <w:rFonts w:ascii="Calibri" w:hAnsi="Calibri"/>
      <w:sz w:val="24"/>
      <w:szCs w:val="24"/>
      <w:lang w:eastAsia="en-US" w:bidi="en-US"/>
    </w:rPr>
  </w:style>
  <w:style w:type="paragraph" w:styleId="934" w:customStyle="1">
    <w:name w:val="Body Text(ch)"/>
    <w:basedOn w:val="853"/>
    <w:next w:val="871"/>
    <w:uiPriority w:val="0"/>
    <w:pPr>
      <w:spacing w:after="120"/>
    </w:pPr>
    <w:rPr>
      <w:rFonts w:ascii="宋体" w:hAnsi="Arial" w:eastAsia="宋体" w:cs="Times New Roman"/>
      <w:bCs/>
      <w:iCs/>
      <w:szCs w:val="24"/>
    </w:rPr>
  </w:style>
  <w:style w:type="paragraph" w:styleId="935" w:customStyle="1">
    <w:name w:val="xl27"/>
    <w:basedOn w:val="853"/>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6" w:customStyle="1">
    <w:name w:val="xl26"/>
    <w:basedOn w:val="85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7" w:customStyle="1">
    <w:name w:val="Char"/>
    <w:basedOn w:val="853"/>
    <w:uiPriority w:val="0"/>
    <w:pPr>
      <w:ind w:firstLine="200"/>
      <w:tabs>
        <w:tab w:val="left" w:pos="360" w:leader="none"/>
      </w:tabs>
    </w:pPr>
    <w:rPr>
      <w:rFonts w:ascii="Times New Roman" w:hAnsi="Times New Roman" w:eastAsia="宋体" w:cs="Times New Roman"/>
      <w:sz w:val="28"/>
      <w:szCs w:val="30"/>
    </w:rPr>
  </w:style>
  <w:style w:type="paragraph" w:styleId="938" w:customStyle="1">
    <w:name w:val=" Char"/>
    <w:basedOn w:val="868"/>
    <w:uiPriority w:val="0"/>
    <w:rPr>
      <w:rFonts w:ascii="Tahoma" w:hAnsi="Tahoma"/>
      <w:sz w:val="24"/>
      <w:szCs w:val="24"/>
    </w:rPr>
  </w:style>
  <w:style w:type="paragraph" w:styleId="939" w:customStyle="1">
    <w:name w:val="普通正文"/>
    <w:basedOn w:val="853"/>
    <w:uiPriority w:val="0"/>
    <w:pPr>
      <w:ind w:firstLine="480"/>
      <w:jc w:val="left"/>
      <w:spacing w:before="120" w:after="120" w:line="360" w:lineRule="auto"/>
    </w:pPr>
    <w:rPr>
      <w:rFonts w:ascii="Arial" w:hAnsi="Arial" w:eastAsia="宋体" w:cs="Times New Roman"/>
      <w:sz w:val="24"/>
      <w:szCs w:val="24"/>
    </w:rPr>
  </w:style>
  <w:style w:type="paragraph" w:styleId="940" w:customStyle="1">
    <w:name w:val="table_lines"/>
    <w:basedOn w:val="853"/>
    <w:uiPriority w:val="0"/>
    <w:pPr>
      <w:jc w:val="left"/>
      <w:widowControl/>
    </w:pPr>
    <w:rPr>
      <w:rFonts w:ascii="Times New Roman" w:hAnsi="Times New Roman" w:eastAsia="宋体" w:cs="Times New Roman"/>
      <w:sz w:val="20"/>
      <w:szCs w:val="20"/>
      <w:lang w:val="de-DE" w:eastAsia="de-DE"/>
    </w:rPr>
  </w:style>
  <w:style w:type="paragraph" w:styleId="941" w:customStyle="1">
    <w:name w:val="附录1"/>
    <w:uiPriority w:val="0"/>
    <w:pPr>
      <w:numPr>
        <w:ilvl w:val="0"/>
        <w:numId w:val="2"/>
      </w:numPr>
      <w:spacing w:before="240" w:line="600" w:lineRule="atLeast"/>
    </w:pPr>
    <w:rPr>
      <w:rFonts w:ascii="Times New Roman" w:hAnsi="Times New Roman"/>
      <w:b/>
      <w:i/>
      <w:sz w:val="28"/>
      <w:lang w:val="en-US" w:eastAsia="zh-CN" w:bidi="ar-SA"/>
    </w:rPr>
  </w:style>
  <w:style w:type="paragraph" w:styleId="942" w:customStyle="1">
    <w:name w:val="font7"/>
    <w:basedOn w:val="853"/>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43" w:customStyle="1">
    <w:name w:val=" Char Char Char Char"/>
    <w:basedOn w:val="868"/>
    <w:uiPriority w:val="0"/>
    <w:pPr>
      <w:spacing w:line="360" w:lineRule="auto"/>
    </w:pPr>
    <w:rPr>
      <w:rFonts w:ascii="Tahoma" w:hAnsi="Tahoma"/>
      <w:sz w:val="24"/>
      <w:szCs w:val="24"/>
    </w:rPr>
  </w:style>
  <w:style w:type="paragraph" w:styleId="944">
    <w:name w:val="List Paragraph"/>
    <w:basedOn w:val="853"/>
    <w:uiPriority w:val="0"/>
    <w:qFormat/>
    <w:pPr>
      <w:contextualSpacing/>
      <w:ind w:left="720"/>
      <w:jc w:val="left"/>
      <w:widowControl/>
    </w:pPr>
    <w:rPr>
      <w:rFonts w:ascii="Calibri" w:hAnsi="Calibri" w:eastAsia="宋体" w:cs="Times New Roman"/>
      <w:sz w:val="24"/>
      <w:szCs w:val="24"/>
      <w:lang w:eastAsia="en-US" w:bidi="en-US"/>
    </w:rPr>
  </w:style>
  <w:style w:type="paragraph" w:styleId="945" w:customStyle="1">
    <w:name w:val="4"/>
    <w:basedOn w:val="853"/>
    <w:next w:val="888"/>
    <w:uiPriority w:val="0"/>
    <w:pPr>
      <w:ind w:firstLine="420"/>
      <w:spacing w:line="360" w:lineRule="auto"/>
    </w:pPr>
    <w:rPr>
      <w:rFonts w:ascii="Times New Roman" w:hAnsi="Times New Roman" w:eastAsia="宋体" w:cs="Times New Roman"/>
      <w:color w:val="ff0000"/>
      <w:sz w:val="24"/>
      <w:szCs w:val="24"/>
    </w:rPr>
  </w:style>
  <w:style w:type="paragraph" w:styleId="946" w:customStyle="1">
    <w:name w:val="普通 (Web)"/>
    <w:basedOn w:val="853"/>
    <w:uiPriority w:val="0"/>
    <w:pPr>
      <w:jc w:val="left"/>
      <w:spacing w:before="100" w:beforeAutospacing="1" w:after="100" w:afterAutospacing="1"/>
      <w:widowControl/>
    </w:pPr>
    <w:rPr>
      <w:rFonts w:ascii="宋体" w:hAnsi="宋体" w:eastAsia="宋体" w:cs="Times New Roman"/>
      <w:sz w:val="24"/>
      <w:szCs w:val="24"/>
    </w:rPr>
  </w:style>
  <w:style w:type="paragraph" w:styleId="947" w:customStyle="1">
    <w:name w:val=" Char Char Char Char Char Char Char Char Char Char"/>
    <w:basedOn w:val="853"/>
    <w:uiPriority w:val="0"/>
    <w:pPr>
      <w:spacing w:line="360" w:lineRule="auto"/>
    </w:pPr>
    <w:rPr>
      <w:rFonts w:ascii="Times New Roman" w:hAnsi="Times New Roman" w:eastAsia="宋体" w:cs="Times New Roman"/>
      <w:sz w:val="24"/>
      <w:szCs w:val="20"/>
    </w:rPr>
  </w:style>
  <w:style w:type="paragraph" w:styleId="948" w:customStyle="1">
    <w:name w:val="样式1"/>
    <w:basedOn w:val="853"/>
    <w:uiPriority w:val="0"/>
    <w:pPr>
      <w:numPr>
        <w:ilvl w:val="0"/>
        <w:numId w:val="3"/>
      </w:numPr>
    </w:pPr>
    <w:rPr>
      <w:rFonts w:ascii="宋体" w:hAnsi="宋体" w:eastAsia="宋体" w:cs="Times New Roman"/>
      <w:szCs w:val="21"/>
    </w:rPr>
  </w:style>
  <w:style w:type="paragraph" w:styleId="949" w:customStyle="1">
    <w:name w:val="font6"/>
    <w:basedOn w:val="853"/>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50" w:customStyle="1">
    <w:name w:val="xl25"/>
    <w:basedOn w:val="853"/>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1" w:customStyle="1">
    <w:name w:val="图标"/>
    <w:basedOn w:val="853"/>
    <w:next w:val="853"/>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2" w:customStyle="1">
    <w:name w:val="标题3"/>
    <w:basedOn w:val="853"/>
    <w:next w:val="853"/>
    <w:uiPriority w:val="0"/>
    <w:pPr>
      <w:ind w:firstLine="624"/>
      <w:spacing w:line="590" w:lineRule="atLeast"/>
    </w:pPr>
    <w:rPr>
      <w:rFonts w:ascii="方正黑体_GBK" w:hAnsi="Times New Roman" w:eastAsia="方正黑体_GBK" w:cs="Times New Roman"/>
      <w:sz w:val="32"/>
      <w:szCs w:val="32"/>
    </w:rPr>
  </w:style>
  <w:style w:type="paragraph" w:styleId="953" w:customStyle="1">
    <w:name w:val="xl24"/>
    <w:basedOn w:val="853"/>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4" w:customStyle="1">
    <w:name w:val="xl29"/>
    <w:basedOn w:val="853"/>
    <w:uiPriority w:val="0"/>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55" w:customStyle="1">
    <w:name w:val="Char Char Char Char Char Char Char Char"/>
    <w:basedOn w:val="853"/>
    <w:uiPriority w:val="0"/>
    <w:pPr>
      <w:jc w:val="left"/>
      <w:spacing w:after="160" w:line="240" w:lineRule="exact"/>
      <w:widowControl/>
    </w:pPr>
    <w:rPr>
      <w:rFonts w:ascii="Verdana" w:hAnsi="Verdana" w:eastAsia="宋体" w:cs="Times New Roman"/>
      <w:sz w:val="20"/>
      <w:szCs w:val="20"/>
      <w:lang w:eastAsia="en-US"/>
    </w:rPr>
  </w:style>
  <w:style w:type="paragraph" w:styleId="956" w:customStyle="1">
    <w:name w:val="xl28"/>
    <w:basedOn w:val="853"/>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7" w:customStyle="1">
    <w:name w:val=" Char Char Char Char Char Char Char Char"/>
    <w:basedOn w:val="853"/>
    <w:uiPriority w:val="0"/>
    <w:pPr>
      <w:jc w:val="left"/>
      <w:spacing w:after="160" w:line="240" w:lineRule="exact"/>
      <w:widowControl/>
    </w:pPr>
    <w:rPr>
      <w:rFonts w:ascii="Verdana" w:hAnsi="Verdana" w:eastAsia="宋体" w:cs="Times New Roman"/>
      <w:sz w:val="20"/>
      <w:szCs w:val="20"/>
      <w:lang w:eastAsia="en-US"/>
    </w:rPr>
  </w:style>
  <w:style w:type="paragraph" w:styleId="958" w:customStyle="1">
    <w:name w:val="xl30"/>
    <w:basedOn w:val="853"/>
    <w:uiPriority w:val="0"/>
    <w:pPr>
      <w:jc w:val="center"/>
      <w:spacing w:before="100" w:beforeAutospacing="1" w:after="100" w:afterAutospacing="1"/>
      <w:widowControl/>
    </w:pPr>
    <w:rPr>
      <w:rFonts w:ascii="宋体" w:hAnsi="宋体" w:eastAsia="宋体" w:cs="Times New Roman"/>
      <w:b/>
      <w:bCs/>
      <w:sz w:val="36"/>
      <w:szCs w:val="36"/>
    </w:rPr>
  </w:style>
  <w:style w:type="paragraph" w:styleId="959" w:customStyle="1">
    <w:name w:val="Char Char Char Char"/>
    <w:basedOn w:val="868"/>
    <w:uiPriority w:val="0"/>
    <w:pPr>
      <w:spacing w:line="360" w:lineRule="auto"/>
    </w:pPr>
    <w:rPr>
      <w:rFonts w:ascii="Tahoma" w:hAnsi="Tahoma"/>
      <w:sz w:val="24"/>
      <w:szCs w:val="24"/>
    </w:rPr>
  </w:style>
  <w:style w:type="paragraph" w:styleId="960" w:customStyle="1">
    <w:name w:val="table_1stline"/>
    <w:basedOn w:val="853"/>
    <w:uiPriority w:val="0"/>
    <w:pPr>
      <w:jc w:val="left"/>
      <w:spacing w:before="120"/>
      <w:widowControl/>
    </w:pPr>
    <w:rPr>
      <w:rFonts w:ascii="Times New Roman" w:hAnsi="Times New Roman" w:eastAsia="宋体" w:cs="Times New Roman"/>
      <w:bCs/>
      <w:sz w:val="20"/>
      <w:szCs w:val="20"/>
      <w:lang w:val="de-DE" w:eastAsia="de-DE"/>
    </w:rPr>
  </w:style>
  <w:style w:type="paragraph" w:styleId="961" w:customStyle="1">
    <w:name w:val="font5"/>
    <w:basedOn w:val="853"/>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62" w:customStyle="1">
    <w:name w:val="标题1"/>
    <w:basedOn w:val="853"/>
    <w:next w:val="853"/>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3">
    <w:name w:val="StGen0"/>
    <w:uiPriority w:val="99"/>
    <w:semiHidden/>
    <w:rPr>
      <w:rFonts w:ascii="Times New Roman" w:hAnsi="Times New Roman"/>
      <w:sz w:val="21"/>
      <w:szCs w:val="21"/>
      <w:lang w:val="en-US" w:eastAsia="zh-CN" w:bidi="ar-SA"/>
    </w:rPr>
  </w:style>
  <w:style w:type="paragraph" w:styleId="964">
    <w:name w:val="No Spacing"/>
    <w:uiPriority w:val="99"/>
    <w:qFormat/>
    <w:pPr>
      <w:jc w:val="both"/>
      <w:widowControl w:val="off"/>
    </w:pPr>
    <w:rPr>
      <w:rFonts w:ascii="Times New Roman" w:hAnsi="Times New Roman"/>
      <w:sz w:val="21"/>
      <w:szCs w:val="21"/>
      <w:lang w:val="en-US" w:eastAsia="zh-CN" w:bidi="ar-SA"/>
    </w:rPr>
  </w:style>
  <w:style w:type="paragraph" w:styleId="965" w:customStyle="1">
    <w:name w:val="标题 21"/>
    <w:basedOn w:val="853"/>
    <w:next w:val="853"/>
    <w:link w:val="966"/>
    <w:uiPriority w:val="0"/>
    <w:qFormat/>
    <w:pPr>
      <w:keepLines/>
      <w:keepNext/>
      <w:spacing w:before="260" w:after="260" w:line="413" w:lineRule="auto"/>
      <w:outlineLvl w:val="1"/>
    </w:pPr>
    <w:rPr>
      <w:rFonts w:ascii="Arial" w:hAnsi="Arial" w:eastAsia="黑体"/>
      <w:b/>
      <w:sz w:val="32"/>
      <w:szCs w:val="20"/>
    </w:rPr>
  </w:style>
  <w:style w:type="character" w:styleId="966" w:customStyle="1">
    <w:name w:val="标题 2 字符"/>
    <w:link w:val="965"/>
    <w:uiPriority w:val="0"/>
    <w:qFormat/>
    <w:rPr>
      <w:rFonts w:ascii="Arial" w:hAnsi="Arial" w:eastAsia="黑体"/>
      <w:b/>
      <w:sz w:val="32"/>
    </w:rPr>
  </w:style>
  <w:style w:type="paragraph" w:styleId="967" w:customStyle="1">
    <w:name w:val="批注文字1"/>
    <w:basedOn w:val="853"/>
    <w:link w:val="968"/>
    <w:uiPriority w:val="99"/>
    <w:qFormat/>
    <w:pPr>
      <w:jc w:val="left"/>
    </w:pPr>
    <w:rPr>
      <w:szCs w:val="20"/>
    </w:rPr>
  </w:style>
  <w:style w:type="character" w:styleId="968" w:customStyle="1">
    <w:name w:val="批注文字 字符"/>
    <w:link w:val="967"/>
    <w:uiPriority w:val="99"/>
    <w:qFormat/>
    <w:rPr>
      <w:sz w:val="21"/>
    </w:rPr>
  </w:style>
  <w:style w:type="paragraph" w:styleId="969" w:customStyle="1">
    <w:name w:val="Normal_0_1"/>
    <w:uiPriority w:val="0"/>
    <w:qFormat/>
    <w:rPr>
      <w:rFonts w:ascii="黑体" w:hAnsi="黑体" w:eastAsia="黑体"/>
      <w:b/>
      <w:sz w:val="32"/>
      <w:szCs w:val="24"/>
      <w:lang w:val="en-US" w:eastAsia="zh-CN" w:bidi="ar-SA"/>
    </w:rPr>
  </w:style>
  <w:style w:type="paragraph" w:styleId="970" w:customStyle="1">
    <w:name w:val="Normal_1_1"/>
    <w:uiPriority w:val="0"/>
    <w:qFormat/>
    <w:pPr>
      <w:jc w:val="both"/>
      <w:widowControl w:val="off"/>
    </w:pPr>
    <w:rPr>
      <w:sz w:val="21"/>
      <w:szCs w:val="22"/>
      <w:lang w:val="en-US" w:eastAsia="zh-CN" w:bidi="ar-SA"/>
    </w:rPr>
  </w:style>
  <w:style w:type="paragraph" w:styleId="971" w:customStyle="1">
    <w:name w:val="正文_16"/>
    <w:uiPriority w:val="0"/>
    <w:qFormat/>
    <w:pPr>
      <w:jc w:val="both"/>
      <w:widowControl w:val="off"/>
    </w:pPr>
    <w:rPr>
      <w:sz w:val="21"/>
      <w:szCs w:val="22"/>
      <w:lang w:val="en-US" w:eastAsia="zh-CN" w:bidi="ar-SA"/>
    </w:rPr>
  </w:style>
  <w:style w:type="paragraph" w:styleId="972" w:customStyle="1">
    <w:name w:val="正文空2字"/>
    <w:basedOn w:val="853"/>
    <w:uiPriority w:val="99"/>
    <w:qFormat/>
    <w:pPr>
      <w:ind w:firstLine="640"/>
      <w:jc w:val="left"/>
      <w:spacing w:line="560" w:lineRule="exact"/>
    </w:pPr>
    <w:rPr>
      <w:rFonts w:ascii="仿宋_GB2312" w:hAnsi="仿宋_GB2312" w:eastAsia="仿宋_GB2312" w:cs="仿宋_GB2312"/>
      <w:sz w:val="32"/>
      <w:szCs w:val="32"/>
      <w:lang w:val="zh-TW"/>
    </w:rPr>
  </w:style>
  <w:style w:type="character" w:styleId="973" w:customStyle="1">
    <w:name w:val="标题 4 字符"/>
    <w:uiPriority w:val="0"/>
    <w:rPr>
      <w:rFonts w:ascii="Arial" w:hAnsi="Arial" w:eastAsia="黑体" w:cs="Arial"/>
      <w:b/>
      <w:bCs/>
      <w:sz w:val="28"/>
      <w:szCs w:val="28"/>
    </w:rPr>
  </w:style>
  <w:style w:type="paragraph" w:styleId="974" w:customStyle="1">
    <w:name w:val="Normal_20"/>
    <w:uiPriority w:val="0"/>
    <w:qFormat/>
    <w:rPr>
      <w:rFonts w:hint="default" w:ascii="黑体" w:hAnsi="黑体" w:eastAsia="黑体" w:cs="黑体"/>
      <w:b/>
      <w:sz w:val="32"/>
      <w:szCs w:val="24"/>
      <w:lang w:val="en-US" w:eastAsia="zh-CN" w:bidi="ar-SA"/>
    </w:rPr>
  </w:style>
  <w:style w:type="paragraph" w:styleId="97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Normal_18_0"/>
    <w:uiPriority w:val="0"/>
    <w:qFormat/>
    <w:rPr>
      <w:rFonts w:hint="default" w:ascii="黑体" w:hAnsi="黑体" w:eastAsia="黑体" w:cs="黑体"/>
      <w:b/>
      <w:sz w:val="32"/>
      <w:szCs w:val="24"/>
      <w:lang w:val="en-US" w:eastAsia="zh-CN" w:bidi="ar-SA"/>
    </w:rPr>
  </w:style>
  <w:style w:type="paragraph" w:styleId="977" w:customStyle="1">
    <w:name w:val="正文_12_0_0_0_0"/>
    <w:basedOn w:val="853"/>
    <w:uiPriority w:val="0"/>
    <w:qFormat/>
    <w:rPr>
      <w:rFonts w:ascii="Times New Roman" w:hAnsi="Times New Roman"/>
      <w:szCs w:val="24"/>
    </w:rPr>
  </w:style>
  <w:style w:type="paragraph" w:styleId="97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8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正文1_0"/>
    <w:uiPriority w:val="0"/>
    <w:qFormat/>
    <w:pPr>
      <w:jc w:val="both"/>
      <w:widowControl w:val="off"/>
    </w:pPr>
    <w:rPr>
      <w:rFonts w:ascii="Times New Roman" w:hAnsi="Times New Roman" w:eastAsia="宋体" w:cs="Times New Roman"/>
      <w:szCs w:val="24"/>
    </w:rPr>
  </w:style>
  <w:style w:type="paragraph" w:styleId="982" w:customStyle="1">
    <w:name w:val="正文_16_0_0"/>
    <w:next w:val="981"/>
    <w:uiPriority w:val="0"/>
    <w:qFormat/>
    <w:pPr>
      <w:jc w:val="both"/>
      <w:widowControl w:val="off"/>
    </w:pPr>
    <w:rPr>
      <w:rFonts w:ascii="Calibri" w:hAnsi="Calibri" w:eastAsia="宋体" w:cs="Times New Roman"/>
      <w:sz w:val="21"/>
      <w:szCs w:val="22"/>
    </w:rPr>
  </w:style>
  <w:style w:type="paragraph" w:styleId="983" w:customStyle="1">
    <w:name w:val="Normal_3_0"/>
    <w:uiPriority w:val="0"/>
    <w:qFormat/>
    <w:rPr>
      <w:rFonts w:hint="default" w:ascii="黑体" w:hAnsi="黑体" w:eastAsia="黑体" w:cs="Times New Roman"/>
      <w:b/>
      <w:sz w:val="32"/>
      <w:szCs w:val="24"/>
    </w:rPr>
  </w:style>
  <w:style w:type="paragraph" w:styleId="984" w:customStyle="1">
    <w:name w:val="Normal_4_0"/>
    <w:uiPriority w:val="0"/>
    <w:qFormat/>
    <w:pPr>
      <w:jc w:val="both"/>
      <w:widowControl w:val="off"/>
    </w:pPr>
    <w:rPr>
      <w:rFonts w:hint="default" w:ascii="Calibri" w:hAnsi="Calibri" w:eastAsia="宋体" w:cs="Times New Roman"/>
      <w:sz w:val="21"/>
      <w:szCs w:val="22"/>
    </w:rPr>
  </w:style>
  <w:style w:type="paragraph" w:styleId="985" w:customStyle="1">
    <w:name w:val="正文_2_0"/>
    <w:uiPriority w:val="0"/>
    <w:qFormat/>
    <w:pPr>
      <w:jc w:val="both"/>
      <w:widowControl w:val="off"/>
    </w:pPr>
    <w:rPr>
      <w:rFonts w:ascii="Times New Roman" w:hAnsi="Times New Roman" w:eastAsia="宋体" w:cs="Times New Roman"/>
      <w:sz w:val="21"/>
      <w:szCs w:val="24"/>
      <w:lang w:val="en-US" w:eastAsia="zh-CN" w:bidi="ar-SA"/>
    </w:rPr>
  </w:style>
  <w:style w:type="paragraph" w:styleId="986" w:customStyle="1">
    <w:name w:val="Body Text_0"/>
    <w:basedOn w:val="853"/>
    <w:uiPriority w:val="1"/>
    <w:qFormat/>
    <w:pPr>
      <w:jc w:val="left"/>
    </w:pPr>
    <w:rPr>
      <w:rFonts w:ascii="仿宋" w:hAnsi="仿宋" w:eastAsia="Times New Roman"/>
      <w:sz w:val="24"/>
      <w:szCs w:val="24"/>
    </w:rPr>
  </w:style>
  <w:style w:type="paragraph" w:styleId="987" w:customStyle="1">
    <w:name w:val="首行缩进"/>
    <w:basedOn w:val="853"/>
    <w:uiPriority w:val="0"/>
    <w:qFormat/>
    <w:pPr>
      <w:ind w:firstLine="480"/>
      <w:spacing w:line="360" w:lineRule="auto"/>
    </w:pPr>
    <w:rPr>
      <w:sz w:val="24"/>
    </w:rPr>
  </w:style>
  <w:style w:type="paragraph" w:styleId="988"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989" w:customStyle="1">
    <w:name w:val="正文_3_0"/>
    <w:uiPriority w:val="0"/>
    <w:qFormat/>
    <w:pPr>
      <w:ind w:firstLine="480"/>
      <w:jc w:val="both"/>
      <w:spacing w:line="360" w:lineRule="auto"/>
      <w:widowControl w:val="off"/>
    </w:pPr>
    <w:rPr>
      <w:rFonts w:ascii="仿宋" w:hAnsi="仿宋" w:eastAsia="仿宋" w:cs="仿宋"/>
      <w:bCs/>
      <w:sz w:val="24"/>
      <w:szCs w:val="22"/>
      <w:lang w:val="en-US" w:eastAsia="zh-CN" w:bidi="ar-SA"/>
    </w:rPr>
  </w:style>
  <w:style w:type="paragraph" w:styleId="990" w:customStyle="1">
    <w:name w:val="List Paragraph_0"/>
    <w:basedOn w:val="971"/>
    <w:uiPriority w:val="0"/>
    <w:qFormat/>
    <w:pPr>
      <w:ind w:firstLine="420"/>
    </w:pPr>
    <w:rPr>
      <w:rFonts w:eastAsia="微软雅黑"/>
      <w:szCs w:val="20"/>
    </w:rPr>
  </w:style>
  <w:style w:type="paragraph" w:styleId="991" w:customStyle="1">
    <w:name w:val="正文_2"/>
    <w:uiPriority w:val="99"/>
    <w:qFormat/>
    <w:pPr>
      <w:jc w:val="both"/>
      <w:widowControl w:val="off"/>
    </w:pPr>
    <w:rPr>
      <w:rFonts w:ascii="Calibri" w:hAnsi="Calibri" w:eastAsia="宋体" w:cs="Times New Roman"/>
      <w:sz w:val="21"/>
      <w:szCs w:val="22"/>
      <w:lang w:val="en-US" w:eastAsia="zh-CN" w:bidi="ar-SA"/>
    </w:rPr>
  </w:style>
  <w:style w:type="paragraph" w:styleId="992" w:customStyle="1">
    <w:name w:val="表格文字"/>
    <w:next w:val="871"/>
    <w:uiPriority w:val="0"/>
    <w:qFormat/>
    <w:pPr>
      <w:jc w:val="both"/>
      <w:spacing w:before="120"/>
      <w:widowControl w:val="off"/>
    </w:pPr>
    <w:rPr>
      <w:rFonts w:hint="default" w:ascii="Calibri" w:hAnsi="Calibri" w:eastAsia="楷体_GB2312" w:cs="Times New Roman"/>
      <w:sz w:val="30"/>
      <w:lang w:bidi="he-IL"/>
    </w:rPr>
  </w:style>
  <w:style w:type="paragraph" w:styleId="993" w:customStyle="1">
    <w:name w:val="正文1"/>
    <w:basedOn w:val="948"/>
    <w:uiPriority w:val="0"/>
    <w:qFormat/>
    <w:pPr>
      <w:contextualSpacing/>
      <w:ind w:firstLine="200"/>
      <w:spacing w:before="120" w:after="120" w:line="180" w:lineRule="auto"/>
    </w:pPr>
    <w:rPr>
      <w:rFonts w:eastAsia="Adobe 仿宋 Std R"/>
      <w:sz w:val="21"/>
    </w:rPr>
  </w:style>
  <w:style w:type="paragraph" w:styleId="994" w:customStyle="1">
    <w:name w:val="正文文本 21"/>
    <w:basedOn w:val="853"/>
    <w:uiPriority w:val="0"/>
    <w:qFormat/>
    <w:pPr>
      <w:spacing w:line="440" w:lineRule="exact"/>
    </w:pPr>
    <w:rPr>
      <w:rFonts w:ascii="楷体_GB2312" w:eastAsia="楷体_GB2312"/>
      <w:sz w:val="28"/>
      <w:lang w:eastAsia="en-US"/>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陆雯</cp:lastModifiedBy>
  <cp:revision>22</cp:revision>
  <dcterms:created xsi:type="dcterms:W3CDTF">2023-03-31T07:28:00Z</dcterms:created>
  <dcterms:modified xsi:type="dcterms:W3CDTF">2026-07-14T08:38:13Z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3D3468C9D6314E3CAEFEEA494C48F9C8_13</vt:lpwstr>
  </property>
  <property fmtid="{D5CDD505-2E9C-101B-9397-08002B2CF9AE}" pid="4" name="KSOTemplateDocerSaveRecord">
    <vt:lpwstr>eyJoZGlkIjoiYTdmODBmY2U0YTY5YzAyZjE5NTZjZjk3YTYzYjU5YjUiLCJ1c2VySWQiOiI0MTE0NTUwMjMifQ==</vt:lpwstr>
  </property>
</Properties>
</file>