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4DE229">
      <w:pPr>
        <w:pStyle w:val="78"/>
        <w:outlineLvl w:val="9"/>
        <w:rPr>
          <w:color w:val="auto"/>
          <w:highlight w:val="none"/>
        </w:rPr>
      </w:pPr>
    </w:p>
    <w:p w14:paraId="6DEA101D">
      <w:pPr>
        <w:pStyle w:val="73"/>
        <w:rPr>
          <w:rStyle w:val="272"/>
          <w:rFonts w:hAnsi="宋体" w:cs="宋体"/>
          <w:color w:val="auto"/>
          <w:sz w:val="80"/>
          <w:szCs w:val="80"/>
          <w:highlight w:val="none"/>
        </w:rPr>
      </w:pPr>
    </w:p>
    <w:p w14:paraId="477924D7">
      <w:pPr>
        <w:pStyle w:val="74"/>
        <w:rPr>
          <w:rFonts w:ascii="宋体" w:hAnsi="宋体" w:eastAsia="宋体" w:cs="宋体"/>
          <w:color w:val="auto"/>
          <w:highlight w:val="none"/>
        </w:rPr>
      </w:pPr>
    </w:p>
    <w:p w14:paraId="0D873323">
      <w:pPr>
        <w:pStyle w:val="78"/>
        <w:outlineLvl w:val="9"/>
        <w:rPr>
          <w:rFonts w:ascii="宋体" w:hAnsi="宋体" w:cs="宋体"/>
          <w:color w:val="auto"/>
          <w:highlight w:val="none"/>
        </w:rPr>
      </w:pPr>
    </w:p>
    <w:p w14:paraId="16C16FD4">
      <w:pPr>
        <w:pStyle w:val="73"/>
        <w:rPr>
          <w:rFonts w:ascii="宋体" w:hAnsi="宋体" w:cs="宋体"/>
          <w:color w:val="auto"/>
          <w:highlight w:val="none"/>
        </w:rPr>
      </w:pPr>
    </w:p>
    <w:p w14:paraId="15EBCEA4">
      <w:pPr>
        <w:pStyle w:val="74"/>
        <w:rPr>
          <w:rFonts w:ascii="宋体" w:hAnsi="宋体" w:eastAsia="宋体" w:cs="宋体"/>
          <w:color w:val="auto"/>
          <w:highlight w:val="none"/>
        </w:rPr>
      </w:pPr>
    </w:p>
    <w:p w14:paraId="12632D04">
      <w:pPr>
        <w:pStyle w:val="78"/>
        <w:outlineLvl w:val="9"/>
        <w:rPr>
          <w:rFonts w:ascii="宋体" w:hAnsi="宋体" w:cs="宋体"/>
          <w:color w:val="auto"/>
          <w:highlight w:val="none"/>
        </w:rPr>
      </w:pPr>
    </w:p>
    <w:p w14:paraId="01C2B837">
      <w:pPr>
        <w:pStyle w:val="73"/>
        <w:rPr>
          <w:rFonts w:ascii="宋体" w:hAnsi="宋体" w:cs="宋体"/>
          <w:color w:val="auto"/>
          <w:highlight w:val="none"/>
        </w:rPr>
      </w:pPr>
    </w:p>
    <w:p w14:paraId="2621CD94">
      <w:pPr>
        <w:pStyle w:val="73"/>
        <w:widowControl w:val="0"/>
        <w:spacing w:line="360" w:lineRule="auto"/>
        <w:jc w:val="center"/>
        <w:rPr>
          <w:rStyle w:val="272"/>
          <w:rFonts w:hAnsi="宋体" w:cs="宋体"/>
          <w:color w:val="auto"/>
          <w:sz w:val="110"/>
          <w:highlight w:val="none"/>
        </w:rPr>
      </w:pPr>
      <w:r>
        <w:rPr>
          <w:rStyle w:val="272"/>
          <w:rFonts w:hint="eastAsia" w:hAnsi="宋体" w:cs="宋体"/>
          <w:color w:val="auto"/>
          <w:sz w:val="110"/>
          <w:highlight w:val="none"/>
        </w:rPr>
        <w:t>竞争性磋商文件</w:t>
      </w:r>
    </w:p>
    <w:p w14:paraId="79D87810">
      <w:pPr>
        <w:pStyle w:val="73"/>
        <w:widowControl w:val="0"/>
        <w:jc w:val="left"/>
        <w:rPr>
          <w:rStyle w:val="272"/>
          <w:rFonts w:hAnsi="宋体" w:cs="宋体"/>
          <w:b/>
          <w:color w:val="auto"/>
          <w:sz w:val="32"/>
          <w:highlight w:val="none"/>
        </w:rPr>
      </w:pPr>
    </w:p>
    <w:p w14:paraId="0082F1BB">
      <w:pPr>
        <w:pStyle w:val="74"/>
        <w:rPr>
          <w:rStyle w:val="272"/>
          <w:rFonts w:hAnsi="宋体" w:eastAsia="宋体" w:cs="宋体"/>
          <w:b/>
          <w:color w:val="auto"/>
          <w:sz w:val="32"/>
          <w:highlight w:val="none"/>
        </w:rPr>
      </w:pPr>
    </w:p>
    <w:p w14:paraId="3A804669">
      <w:pPr>
        <w:pStyle w:val="78"/>
        <w:outlineLvl w:val="9"/>
        <w:rPr>
          <w:rFonts w:ascii="宋体" w:hAnsi="宋体" w:cs="宋体"/>
          <w:color w:val="auto"/>
          <w:highlight w:val="none"/>
        </w:rPr>
      </w:pPr>
    </w:p>
    <w:p w14:paraId="6619FBD1">
      <w:pPr>
        <w:pStyle w:val="73"/>
        <w:widowControl w:val="0"/>
        <w:jc w:val="left"/>
        <w:rPr>
          <w:rStyle w:val="272"/>
          <w:rFonts w:hAnsi="宋体" w:cs="宋体"/>
          <w:b/>
          <w:color w:val="auto"/>
          <w:sz w:val="32"/>
          <w:highlight w:val="none"/>
        </w:rPr>
      </w:pPr>
    </w:p>
    <w:p w14:paraId="0DDE65C8">
      <w:pPr>
        <w:pStyle w:val="73"/>
        <w:widowControl w:val="0"/>
        <w:ind w:firstLine="630"/>
        <w:jc w:val="left"/>
        <w:rPr>
          <w:rStyle w:val="272"/>
          <w:rFonts w:hAnsi="宋体" w:cs="宋体"/>
          <w:color w:val="auto"/>
          <w:sz w:val="32"/>
          <w:highlight w:val="none"/>
        </w:rPr>
      </w:pPr>
    </w:p>
    <w:p w14:paraId="27F36FDE">
      <w:pPr>
        <w:pStyle w:val="73"/>
        <w:widowControl w:val="0"/>
        <w:spacing w:line="360" w:lineRule="auto"/>
        <w:ind w:left="840" w:firstLine="420"/>
        <w:jc w:val="left"/>
        <w:rPr>
          <w:rStyle w:val="272"/>
          <w:rFonts w:hAnsi="宋体" w:cs="宋体"/>
          <w:color w:val="auto"/>
          <w:sz w:val="32"/>
          <w:highlight w:val="none"/>
        </w:rPr>
      </w:pPr>
      <w:r>
        <w:rPr>
          <w:rStyle w:val="272"/>
          <w:rFonts w:hint="eastAsia" w:hAnsi="宋体" w:cs="宋体"/>
          <w:color w:val="auto"/>
          <w:sz w:val="32"/>
          <w:highlight w:val="none"/>
        </w:rPr>
        <w:t>项目名称：毕业生房间粉刷维修及宿舍八组团维修改造工程</w:t>
      </w:r>
    </w:p>
    <w:p w14:paraId="411752B1">
      <w:pPr>
        <w:pStyle w:val="73"/>
        <w:widowControl w:val="0"/>
        <w:spacing w:line="360" w:lineRule="auto"/>
        <w:ind w:left="840" w:firstLine="420"/>
        <w:jc w:val="left"/>
        <w:rPr>
          <w:rStyle w:val="272"/>
          <w:rFonts w:hAnsi="宋体" w:cs="宋体"/>
          <w:color w:val="auto"/>
          <w:sz w:val="32"/>
          <w:highlight w:val="none"/>
        </w:rPr>
      </w:pPr>
      <w:r>
        <w:rPr>
          <w:rStyle w:val="272"/>
          <w:rFonts w:hint="eastAsia" w:hAnsi="宋体" w:cs="宋体"/>
          <w:color w:val="auto"/>
          <w:sz w:val="32"/>
          <w:highlight w:val="none"/>
        </w:rPr>
        <w:t>项目编号：</w:t>
      </w:r>
      <w:r>
        <w:rPr>
          <w:rStyle w:val="272"/>
          <w:rFonts w:hint="eastAsia" w:hAnsi="宋体" w:cs="宋体"/>
          <w:color w:val="auto"/>
          <w:sz w:val="32"/>
          <w:szCs w:val="22"/>
          <w:highlight w:val="none"/>
        </w:rPr>
        <w:t>JSZC-320300-JSKJ-C2026-0027</w:t>
      </w:r>
    </w:p>
    <w:p w14:paraId="36CC2F3C">
      <w:pPr>
        <w:pStyle w:val="73"/>
        <w:widowControl w:val="0"/>
        <w:spacing w:line="360" w:lineRule="auto"/>
        <w:ind w:left="840" w:firstLine="420"/>
        <w:jc w:val="left"/>
        <w:rPr>
          <w:rStyle w:val="272"/>
          <w:rFonts w:hAnsi="宋体" w:cs="宋体"/>
          <w:color w:val="auto"/>
          <w:sz w:val="32"/>
          <w:highlight w:val="none"/>
        </w:rPr>
      </w:pPr>
      <w:r>
        <w:rPr>
          <w:rStyle w:val="272"/>
          <w:rFonts w:hint="eastAsia" w:hAnsi="宋体" w:cs="宋体"/>
          <w:color w:val="auto"/>
          <w:sz w:val="32"/>
          <w:highlight w:val="none"/>
        </w:rPr>
        <w:t>采 购 人：江苏师范大学</w:t>
      </w:r>
    </w:p>
    <w:p w14:paraId="523CEFF4">
      <w:pPr>
        <w:pStyle w:val="73"/>
        <w:widowControl w:val="0"/>
        <w:ind w:firstLine="960"/>
        <w:jc w:val="left"/>
        <w:rPr>
          <w:rStyle w:val="272"/>
          <w:rFonts w:hAnsi="宋体" w:cs="宋体"/>
          <w:color w:val="auto"/>
          <w:sz w:val="32"/>
          <w:highlight w:val="none"/>
        </w:rPr>
      </w:pPr>
    </w:p>
    <w:p w14:paraId="06CE57B5">
      <w:pPr>
        <w:pStyle w:val="74"/>
        <w:rPr>
          <w:rStyle w:val="272"/>
          <w:rFonts w:hAnsi="宋体" w:eastAsia="宋体" w:cs="宋体"/>
          <w:color w:val="auto"/>
          <w:sz w:val="32"/>
          <w:highlight w:val="none"/>
        </w:rPr>
      </w:pPr>
    </w:p>
    <w:p w14:paraId="35077C18">
      <w:pPr>
        <w:pStyle w:val="73"/>
        <w:widowControl w:val="0"/>
        <w:ind w:firstLine="960"/>
        <w:jc w:val="left"/>
        <w:rPr>
          <w:rStyle w:val="272"/>
          <w:rFonts w:hAnsi="宋体" w:cs="宋体"/>
          <w:color w:val="auto"/>
          <w:sz w:val="32"/>
          <w:highlight w:val="none"/>
        </w:rPr>
      </w:pPr>
      <w:r>
        <w:rPr>
          <w:rFonts w:hint="eastAsia" w:ascii="宋体" w:hAnsi="宋体" w:cs="宋体"/>
          <w:color w:val="auto"/>
          <w:sz w:val="32"/>
          <w:highlight w:val="none"/>
        </w:rPr>
        <w:t xml:space="preserve">  </w:t>
      </w:r>
      <w:r>
        <w:rPr>
          <w:rFonts w:hint="eastAsia" w:ascii="宋体" w:hAnsi="宋体" w:cs="宋体"/>
          <w:color w:val="auto"/>
          <w:sz w:val="32"/>
          <w:highlight w:val="none"/>
        </w:rPr>
        <w:drawing>
          <wp:inline distT="0" distB="0" distL="0" distR="0">
            <wp:extent cx="4776470" cy="685800"/>
            <wp:effectExtent l="0" t="0" r="508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3"/>
                    <a:stretch>
                      <a:fillRect/>
                    </a:stretch>
                  </pic:blipFill>
                  <pic:spPr>
                    <a:xfrm>
                      <a:off x="0" y="0"/>
                      <a:ext cx="4776470" cy="685800"/>
                    </a:xfrm>
                    <a:prstGeom prst="rect">
                      <a:avLst/>
                    </a:prstGeom>
                    <a:noFill/>
                    <a:ln>
                      <a:noFill/>
                    </a:ln>
                  </pic:spPr>
                </pic:pic>
              </a:graphicData>
            </a:graphic>
          </wp:inline>
        </w:drawing>
      </w:r>
    </w:p>
    <w:p w14:paraId="7B30672D">
      <w:pPr>
        <w:pStyle w:val="74"/>
        <w:ind w:left="0" w:right="0" w:firstLine="0"/>
        <w:rPr>
          <w:rFonts w:ascii="宋体" w:hAnsi="宋体" w:eastAsia="宋体" w:cs="宋体"/>
          <w:color w:val="auto"/>
          <w:highlight w:val="none"/>
        </w:rPr>
      </w:pPr>
    </w:p>
    <w:p w14:paraId="0AF32DF9">
      <w:pPr>
        <w:pStyle w:val="74"/>
        <w:ind w:left="0" w:right="0" w:firstLine="560"/>
        <w:rPr>
          <w:rFonts w:ascii="宋体" w:hAnsi="宋体" w:eastAsia="宋体" w:cs="宋体"/>
          <w:color w:val="auto"/>
          <w:highlight w:val="none"/>
        </w:rPr>
      </w:pPr>
    </w:p>
    <w:p w14:paraId="2E37706A">
      <w:pPr>
        <w:pStyle w:val="73"/>
        <w:widowControl w:val="0"/>
        <w:jc w:val="center"/>
        <w:rPr>
          <w:rStyle w:val="272"/>
          <w:rFonts w:hAnsi="宋体" w:cs="宋体"/>
          <w:color w:val="auto"/>
          <w:sz w:val="32"/>
          <w:highlight w:val="none"/>
        </w:rPr>
      </w:pPr>
      <w:r>
        <w:rPr>
          <w:rStyle w:val="272"/>
          <w:rFonts w:hint="eastAsia" w:hAnsi="宋体" w:cs="宋体"/>
          <w:color w:val="auto"/>
          <w:sz w:val="32"/>
          <w:highlight w:val="none"/>
        </w:rPr>
        <w:t xml:space="preserve">二〇二六年七月 </w:t>
      </w:r>
    </w:p>
    <w:p w14:paraId="1FE06CE0">
      <w:pPr>
        <w:pStyle w:val="367"/>
        <w:keepNext w:val="0"/>
        <w:keepLines w:val="0"/>
        <w:widowControl w:val="0"/>
        <w:ind w:firstLine="4498"/>
        <w:jc w:val="both"/>
        <w:rPr>
          <w:rStyle w:val="272"/>
          <w:rFonts w:hAnsi="宋体" w:eastAsia="宋体" w:cs="宋体"/>
          <w:b/>
          <w:color w:val="auto"/>
          <w:sz w:val="52"/>
          <w:szCs w:val="48"/>
          <w:highlight w:val="none"/>
        </w:rPr>
        <w:sectPr>
          <w:headerReference r:id="rId3" w:type="default"/>
          <w:pgSz w:w="11906" w:h="16838"/>
          <w:pgMar w:top="1440" w:right="1134" w:bottom="1440" w:left="1080" w:header="851" w:footer="992" w:gutter="0"/>
          <w:pgNumType w:start="1"/>
          <w:cols w:space="1701" w:num="1"/>
          <w:docGrid w:linePitch="360" w:charSpace="0"/>
        </w:sectPr>
      </w:pPr>
    </w:p>
    <w:p w14:paraId="7FBD8318">
      <w:pPr>
        <w:pStyle w:val="73"/>
        <w:rPr>
          <w:rFonts w:ascii="宋体" w:hAnsi="宋体" w:cs="宋体"/>
          <w:color w:val="auto"/>
          <w:highlight w:val="none"/>
        </w:rPr>
      </w:pPr>
    </w:p>
    <w:sdt>
      <w:sdtPr>
        <w:rPr>
          <w:rFonts w:hint="eastAsia" w:ascii="宋体" w:hAnsi="宋体" w:eastAsia="仿宋_GB2312" w:cs="宋体"/>
          <w:color w:val="auto"/>
          <w:sz w:val="24"/>
          <w:szCs w:val="22"/>
          <w:highlight w:val="none"/>
        </w:rPr>
        <w:id w:val="147477275"/>
        <w15:color w:val="DBDBDB"/>
        <w:docPartObj>
          <w:docPartGallery w:val="Table of Contents"/>
          <w:docPartUnique/>
        </w:docPartObj>
      </w:sdtPr>
      <w:sdtEndPr>
        <w:rPr>
          <w:rFonts w:hint="eastAsia" w:ascii="宋体" w:hAnsi="宋体" w:eastAsia="仿宋_GB2312" w:cs="宋体"/>
          <w:color w:val="auto"/>
          <w:sz w:val="24"/>
          <w:szCs w:val="22"/>
          <w:highlight w:val="none"/>
        </w:rPr>
      </w:sdtEndPr>
      <w:sdtContent>
        <w:p w14:paraId="245B38FD">
          <w:pPr>
            <w:spacing w:line="360" w:lineRule="auto"/>
            <w:jc w:val="center"/>
            <w:rPr>
              <w:rFonts w:ascii="宋体" w:hAnsi="宋体" w:eastAsia="仿宋_GB2312" w:cs="宋体"/>
              <w:color w:val="auto"/>
              <w:sz w:val="24"/>
              <w:szCs w:val="22"/>
              <w:highlight w:val="none"/>
            </w:rPr>
          </w:pPr>
        </w:p>
        <w:p w14:paraId="5AA612C2">
          <w:pPr>
            <w:spacing w:line="360" w:lineRule="auto"/>
            <w:jc w:val="center"/>
            <w:rPr>
              <w:rFonts w:ascii="宋体" w:hAnsi="宋体" w:cs="宋体"/>
              <w:color w:val="auto"/>
              <w:sz w:val="36"/>
              <w:szCs w:val="36"/>
              <w:highlight w:val="none"/>
            </w:rPr>
          </w:pPr>
          <w:r>
            <w:rPr>
              <w:rFonts w:hint="eastAsia" w:ascii="宋体" w:hAnsi="宋体" w:cs="宋体"/>
              <w:color w:val="auto"/>
              <w:sz w:val="36"/>
              <w:szCs w:val="36"/>
              <w:highlight w:val="none"/>
            </w:rPr>
            <w:t>目录</w:t>
          </w:r>
        </w:p>
        <w:p w14:paraId="302A75F1">
          <w:pPr>
            <w:pStyle w:val="29"/>
            <w:tabs>
              <w:tab w:val="right" w:leader="dot" w:pos="9692"/>
            </w:tabs>
            <w:spacing w:after="0" w:line="360" w:lineRule="auto"/>
            <w:rPr>
              <w:rFonts w:ascii="宋体" w:hAnsi="宋体" w:cs="宋体"/>
              <w:color w:val="auto"/>
              <w:sz w:val="24"/>
              <w:szCs w:val="24"/>
              <w:highlight w:val="none"/>
            </w:rPr>
          </w:pPr>
          <w:r>
            <w:rPr>
              <w:rFonts w:hint="eastAsia" w:ascii="宋体" w:hAnsi="宋体" w:cs="宋体"/>
              <w:color w:val="auto"/>
              <w:sz w:val="32"/>
              <w:szCs w:val="32"/>
              <w:highlight w:val="none"/>
            </w:rPr>
            <w:fldChar w:fldCharType="begin"/>
          </w:r>
          <w:r>
            <w:rPr>
              <w:rFonts w:hint="eastAsia" w:ascii="宋体" w:hAnsi="宋体" w:cs="宋体"/>
              <w:color w:val="auto"/>
              <w:sz w:val="32"/>
              <w:szCs w:val="32"/>
              <w:highlight w:val="none"/>
            </w:rPr>
            <w:instrText xml:space="preserve">TOC \o "1-2" \h \u </w:instrText>
          </w:r>
          <w:r>
            <w:rPr>
              <w:rFonts w:hint="eastAsia" w:ascii="宋体" w:hAnsi="宋体"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"_Toc4852" </w:instrText>
          </w:r>
          <w:r>
            <w:rPr>
              <w:color w:val="auto"/>
              <w:highlight w:val="none"/>
            </w:rPr>
            <w:fldChar w:fldCharType="separate"/>
          </w:r>
          <w:r>
            <w:rPr>
              <w:rFonts w:hint="eastAsia" w:ascii="宋体" w:hAnsi="宋体" w:cs="宋体"/>
              <w:color w:val="auto"/>
              <w:sz w:val="24"/>
              <w:szCs w:val="24"/>
              <w:highlight w:val="none"/>
            </w:rPr>
            <w:t>竞争性磋商文件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_Toc4852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7FB73BE">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"_Toc21022" </w:instrText>
          </w:r>
          <w:r>
            <w:rPr>
              <w:color w:val="auto"/>
              <w:highlight w:val="none"/>
            </w:rPr>
            <w:fldChar w:fldCharType="separate"/>
          </w:r>
          <w:r>
            <w:rPr>
              <w:rFonts w:hint="eastAsia" w:ascii="宋体" w:hAnsi="宋体" w:cs="宋体"/>
              <w:color w:val="auto"/>
              <w:sz w:val="24"/>
              <w:szCs w:val="24"/>
              <w:highlight w:val="none"/>
            </w:rPr>
            <w:t>第一章 项目说明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_Toc21022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4942E05">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"_Toc18375" </w:instrText>
          </w:r>
          <w:r>
            <w:rPr>
              <w:color w:val="auto"/>
              <w:highlight w:val="none"/>
            </w:rPr>
            <w:fldChar w:fldCharType="separate"/>
          </w:r>
          <w:r>
            <w:rPr>
              <w:rFonts w:hint="eastAsia" w:ascii="宋体" w:hAnsi="宋体" w:cs="宋体"/>
              <w:color w:val="auto"/>
              <w:sz w:val="24"/>
              <w:szCs w:val="24"/>
              <w:highlight w:val="none"/>
            </w:rPr>
            <w:t>第二章 响应文件要求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_Toc18375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3B6422B">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"_Toc6508" </w:instrText>
          </w:r>
          <w:r>
            <w:rPr>
              <w:color w:val="auto"/>
              <w:highlight w:val="none"/>
            </w:rPr>
            <w:fldChar w:fldCharType="separate"/>
          </w:r>
          <w:r>
            <w:rPr>
              <w:rFonts w:hint="eastAsia" w:ascii="宋体" w:hAnsi="宋体" w:cs="宋体"/>
              <w:color w:val="auto"/>
              <w:sz w:val="24"/>
              <w:szCs w:val="24"/>
              <w:highlight w:val="none"/>
            </w:rPr>
            <w:t>第三章 磋商相关说明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_Toc6508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21548FB">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"_Toc29488" </w:instrText>
          </w:r>
          <w:r>
            <w:rPr>
              <w:color w:val="auto"/>
              <w:highlight w:val="none"/>
            </w:rPr>
            <w:fldChar w:fldCharType="separate"/>
          </w:r>
          <w:r>
            <w:rPr>
              <w:rFonts w:hint="eastAsia" w:ascii="宋体" w:hAnsi="宋体" w:cs="宋体"/>
              <w:bCs/>
              <w:color w:val="auto"/>
              <w:sz w:val="24"/>
              <w:szCs w:val="24"/>
              <w:highlight w:val="none"/>
            </w:rPr>
            <w:t>第四章 确定成交供应商及合同签订等</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_Toc29488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359DAB76">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"_Toc22848" </w:instrText>
          </w:r>
          <w:r>
            <w:rPr>
              <w:color w:val="auto"/>
              <w:highlight w:val="none"/>
            </w:rPr>
            <w:fldChar w:fldCharType="separate"/>
          </w:r>
          <w:r>
            <w:rPr>
              <w:rFonts w:hint="eastAsia" w:ascii="宋体" w:hAnsi="宋体" w:cs="宋体"/>
              <w:bCs/>
              <w:color w:val="auto"/>
              <w:sz w:val="24"/>
              <w:szCs w:val="24"/>
              <w:highlight w:val="none"/>
            </w:rPr>
            <w:t>第五章 磋商文件的澄清或者修改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_Toc22848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CC7A574">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"_Toc28328" </w:instrText>
          </w:r>
          <w:r>
            <w:rPr>
              <w:color w:val="auto"/>
              <w:highlight w:val="none"/>
            </w:rPr>
            <w:fldChar w:fldCharType="separate"/>
          </w:r>
          <w:r>
            <w:rPr>
              <w:rFonts w:hint="eastAsia" w:ascii="宋体" w:hAnsi="宋体" w:cs="宋体"/>
              <w:bCs/>
              <w:color w:val="auto"/>
              <w:sz w:val="24"/>
              <w:szCs w:val="24"/>
              <w:highlight w:val="none"/>
            </w:rPr>
            <w:t>第六章 询问和质疑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_Toc28328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223604F">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"_Toc12947" </w:instrText>
          </w:r>
          <w:r>
            <w:rPr>
              <w:color w:val="auto"/>
              <w:highlight w:val="none"/>
            </w:rPr>
            <w:fldChar w:fldCharType="separate"/>
          </w:r>
          <w:r>
            <w:rPr>
              <w:rFonts w:hint="eastAsia" w:ascii="宋体" w:hAnsi="宋体" w:cs="宋体"/>
              <w:bCs/>
              <w:color w:val="auto"/>
              <w:sz w:val="24"/>
              <w:szCs w:val="24"/>
              <w:highlight w:val="none"/>
            </w:rPr>
            <w:t>第七章 其他说明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_Toc12947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2327244">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"_Toc2460" </w:instrText>
          </w:r>
          <w:r>
            <w:rPr>
              <w:color w:val="auto"/>
              <w:highlight w:val="none"/>
            </w:rPr>
            <w:fldChar w:fldCharType="separate"/>
          </w:r>
          <w:r>
            <w:rPr>
              <w:rFonts w:hint="eastAsia" w:ascii="宋体" w:hAnsi="宋体" w:cs="宋体"/>
              <w:color w:val="auto"/>
              <w:sz w:val="24"/>
              <w:szCs w:val="24"/>
              <w:highlight w:val="none"/>
            </w:rPr>
            <w:t>第八章 评分细则（综合评分法）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_Toc2460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1456840E">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"_Toc20116" </w:instrText>
          </w:r>
          <w:r>
            <w:rPr>
              <w:color w:val="auto"/>
              <w:highlight w:val="none"/>
            </w:rPr>
            <w:fldChar w:fldCharType="separate"/>
          </w:r>
          <w:r>
            <w:rPr>
              <w:rFonts w:hint="eastAsia" w:ascii="宋体" w:hAnsi="宋体" w:cs="宋体"/>
              <w:color w:val="auto"/>
              <w:sz w:val="24"/>
              <w:szCs w:val="24"/>
              <w:highlight w:val="none"/>
            </w:rPr>
            <w:t>第九章 项目要求（采购需求）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_Toc20116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5614CF8C">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"_Toc29389" </w:instrText>
          </w:r>
          <w:r>
            <w:rPr>
              <w:color w:val="auto"/>
              <w:highlight w:val="none"/>
            </w:rPr>
            <w:fldChar w:fldCharType="separate"/>
          </w:r>
          <w:r>
            <w:rPr>
              <w:rFonts w:hint="eastAsia" w:ascii="宋体" w:hAnsi="宋体" w:cs="宋体"/>
              <w:color w:val="auto"/>
              <w:sz w:val="24"/>
              <w:szCs w:val="24"/>
              <w:highlight w:val="none"/>
            </w:rPr>
            <w:t>第十章 响应文件相关格式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_Toc29389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776B0C1E">
          <w:pPr>
            <w:pStyle w:val="29"/>
            <w:tabs>
              <w:tab w:val="right" w:leader="dot" w:pos="9692"/>
            </w:tabs>
            <w:spacing w:after="0" w:line="360" w:lineRule="auto"/>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"_Toc11649" </w:instrText>
          </w:r>
          <w:r>
            <w:rPr>
              <w:color w:val="auto"/>
              <w:highlight w:val="none"/>
            </w:rPr>
            <w:fldChar w:fldCharType="separate"/>
          </w:r>
          <w:r>
            <w:rPr>
              <w:rFonts w:hint="eastAsia" w:ascii="宋体" w:hAnsi="宋体" w:cs="宋体"/>
              <w:color w:val="auto"/>
              <w:sz w:val="24"/>
              <w:szCs w:val="24"/>
              <w:highlight w:val="none"/>
            </w:rPr>
            <w:t>第十一章 拟签订的合同文本</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_Toc11649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60BCC811">
          <w:pPr>
            <w:pStyle w:val="29"/>
            <w:tabs>
              <w:tab w:val="right" w:leader="dot" w:pos="9692"/>
            </w:tabs>
            <w:spacing w:after="0" w:line="360" w:lineRule="auto"/>
            <w:rPr>
              <w:rFonts w:ascii="宋体" w:hAnsi="宋体" w:cs="宋体"/>
              <w:color w:val="auto"/>
              <w:highlight w:val="none"/>
            </w:rPr>
          </w:pPr>
        </w:p>
        <w:p w14:paraId="4554270A">
          <w:pPr>
            <w:pStyle w:val="74"/>
            <w:spacing w:line="360" w:lineRule="auto"/>
            <w:rPr>
              <w:rFonts w:ascii="宋体" w:hAnsi="宋体" w:eastAsia="宋体" w:cs="宋体"/>
              <w:b/>
              <w:color w:val="auto"/>
              <w:highlight w:val="none"/>
            </w:rPr>
          </w:pPr>
          <w:r>
            <w:rPr>
              <w:rFonts w:hint="eastAsia" w:ascii="宋体" w:hAnsi="宋体" w:eastAsia="宋体" w:cs="宋体"/>
              <w:color w:val="auto"/>
              <w:szCs w:val="40"/>
              <w:highlight w:val="none"/>
            </w:rPr>
            <w:fldChar w:fldCharType="end"/>
          </w:r>
        </w:p>
      </w:sdtContent>
    </w:sdt>
    <w:p w14:paraId="486A95EE">
      <w:pPr>
        <w:pStyle w:val="78"/>
        <w:outlineLvl w:val="9"/>
        <w:rPr>
          <w:rFonts w:ascii="宋体" w:hAnsi="宋体" w:cs="宋体"/>
          <w:color w:val="auto"/>
          <w:highlight w:val="none"/>
        </w:rPr>
      </w:pPr>
    </w:p>
    <w:p w14:paraId="3C06A97F">
      <w:pPr>
        <w:rPr>
          <w:rFonts w:ascii="宋体" w:hAnsi="宋体" w:cs="宋体"/>
          <w:color w:val="auto"/>
          <w:highlight w:val="none"/>
        </w:rPr>
      </w:pPr>
    </w:p>
    <w:p w14:paraId="66A14566">
      <w:pPr>
        <w:rPr>
          <w:rFonts w:ascii="宋体" w:hAnsi="宋体" w:cs="宋体"/>
          <w:color w:val="auto"/>
          <w:highlight w:val="none"/>
        </w:rPr>
      </w:pPr>
    </w:p>
    <w:p w14:paraId="53F05935">
      <w:pPr>
        <w:tabs>
          <w:tab w:val="left" w:pos="2844"/>
        </w:tabs>
        <w:jc w:val="left"/>
        <w:rPr>
          <w:rFonts w:ascii="宋体" w:hAnsi="宋体" w:cs="宋体"/>
          <w:color w:val="auto"/>
          <w:highlight w:val="none"/>
        </w:rPr>
        <w:sectPr>
          <w:footerReference r:id="rId4" w:type="default"/>
          <w:pgSz w:w="11906" w:h="16838"/>
          <w:pgMar w:top="1440" w:right="1134" w:bottom="1440" w:left="1080" w:header="851" w:footer="992" w:gutter="0"/>
          <w:pgNumType w:start="1"/>
          <w:cols w:space="1701" w:num="1"/>
          <w:docGrid w:linePitch="360" w:charSpace="0"/>
        </w:sectPr>
      </w:pPr>
      <w:r>
        <w:rPr>
          <w:rFonts w:hint="eastAsia" w:ascii="宋体" w:hAnsi="宋体" w:cs="宋体"/>
          <w:color w:val="auto"/>
          <w:highlight w:val="none"/>
        </w:rPr>
        <w:tab/>
      </w:r>
    </w:p>
    <w:p w14:paraId="469B2975">
      <w:pPr>
        <w:pStyle w:val="73"/>
        <w:widowControl w:val="0"/>
        <w:jc w:val="center"/>
        <w:outlineLvl w:val="0"/>
        <w:rPr>
          <w:rStyle w:val="272"/>
          <w:rFonts w:hAnsi="宋体" w:cs="宋体"/>
          <w:b/>
          <w:color w:val="auto"/>
          <w:sz w:val="36"/>
          <w:highlight w:val="none"/>
        </w:rPr>
      </w:pPr>
      <w:bookmarkStart w:id="0" w:name="_Toc11405"/>
      <w:bookmarkStart w:id="1" w:name="_Toc4852"/>
      <w:bookmarkStart w:id="2" w:name="_Toc16237"/>
      <w:bookmarkStart w:id="3" w:name="_Toc15000"/>
      <w:bookmarkStart w:id="4" w:name="_Toc23268"/>
      <w:r>
        <w:rPr>
          <w:rStyle w:val="272"/>
          <w:rFonts w:hint="eastAsia" w:hAnsi="宋体" w:cs="宋体"/>
          <w:b/>
          <w:color w:val="auto"/>
          <w:sz w:val="36"/>
          <w:highlight w:val="none"/>
        </w:rPr>
        <w:t>竞争性磋商文件</w:t>
      </w:r>
      <w:bookmarkEnd w:id="0"/>
      <w:bookmarkEnd w:id="1"/>
      <w:bookmarkEnd w:id="2"/>
      <w:bookmarkEnd w:id="3"/>
      <w:bookmarkEnd w:id="4"/>
    </w:p>
    <w:p w14:paraId="49925A39">
      <w:pPr>
        <w:pStyle w:val="73"/>
        <w:widowControl w:val="0"/>
        <w:spacing w:line="308" w:lineRule="auto"/>
        <w:jc w:val="center"/>
        <w:rPr>
          <w:rStyle w:val="272"/>
          <w:rFonts w:hAnsi="宋体" w:cs="宋体"/>
          <w:color w:val="auto"/>
          <w:szCs w:val="24"/>
          <w:highlight w:val="none"/>
        </w:rPr>
      </w:pPr>
      <w:r>
        <w:rPr>
          <w:rStyle w:val="272"/>
          <w:rFonts w:hint="eastAsia" w:hAnsi="宋体" w:cs="宋体"/>
          <w:color w:val="auto"/>
          <w:szCs w:val="24"/>
          <w:highlight w:val="none"/>
        </w:rPr>
        <w:t xml:space="preserve">项目编号：JSZC-320300-JSKJ-C2026-0027 </w:t>
      </w:r>
    </w:p>
    <w:p w14:paraId="0E9C2C0E">
      <w:pPr>
        <w:pStyle w:val="73"/>
        <w:widowControl w:val="0"/>
        <w:tabs>
          <w:tab w:val="left" w:pos="3240"/>
        </w:tabs>
        <w:spacing w:line="308" w:lineRule="auto"/>
        <w:jc w:val="lef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（供应商）：</w:t>
      </w:r>
    </w:p>
    <w:p w14:paraId="1852C56B">
      <w:pPr>
        <w:pStyle w:val="73"/>
        <w:widowControl w:val="0"/>
        <w:spacing w:line="308" w:lineRule="auto"/>
        <w:ind w:firstLine="499"/>
        <w:jc w:val="left"/>
        <w:rPr>
          <w:rStyle w:val="272"/>
          <w:rFonts w:hAnsi="宋体" w:cs="宋体"/>
          <w:color w:val="auto"/>
          <w:szCs w:val="24"/>
          <w:highlight w:val="none"/>
        </w:rPr>
      </w:pPr>
      <w:r>
        <w:rPr>
          <w:rStyle w:val="272"/>
          <w:rFonts w:hint="eastAsia" w:hAnsi="宋体" w:cs="宋体"/>
          <w:color w:val="auto"/>
          <w:szCs w:val="24"/>
          <w:highlight w:val="none"/>
        </w:rPr>
        <w:t>按照《中华人民共和国政府采购法》、《中华人民共和国政府采购法实施条例》及《政府采购竞争性磋商采购方式管理暂行办法》的规定，</w:t>
      </w:r>
      <w:r>
        <w:rPr>
          <w:rFonts w:hint="eastAsia" w:ascii="宋体" w:hAnsi="宋体" w:cs="宋体"/>
          <w:color w:val="auto"/>
          <w:sz w:val="24"/>
          <w:szCs w:val="24"/>
          <w:highlight w:val="none"/>
          <w:u w:val="single"/>
        </w:rPr>
        <w:t>江苏科建工程项目管理有限公司</w:t>
      </w:r>
      <w:r>
        <w:rPr>
          <w:rStyle w:val="272"/>
          <w:rFonts w:hint="eastAsia" w:hAnsi="宋体" w:cs="宋体"/>
          <w:color w:val="auto"/>
          <w:szCs w:val="24"/>
          <w:highlight w:val="none"/>
        </w:rPr>
        <w:t>对</w:t>
      </w:r>
      <w:r>
        <w:rPr>
          <w:rFonts w:hint="eastAsia" w:ascii="宋体" w:hAnsi="宋体" w:cs="宋体"/>
          <w:color w:val="auto"/>
          <w:sz w:val="24"/>
          <w:szCs w:val="24"/>
          <w:highlight w:val="none"/>
          <w:u w:val="single"/>
        </w:rPr>
        <w:t>毕业生房间粉刷维修及宿舍八组团维修改造工程</w:t>
      </w:r>
      <w:r>
        <w:rPr>
          <w:rStyle w:val="272"/>
          <w:rFonts w:hint="eastAsia" w:hAnsi="宋体" w:cs="宋体"/>
          <w:color w:val="auto"/>
          <w:szCs w:val="24"/>
          <w:highlight w:val="none"/>
        </w:rPr>
        <w:t>采取竞争性磋商采购方式进行采购。如贵单位有意与本公司合作，请按以下竞争性磋商文件（以下简称磋商文件）要求参加磋商。</w:t>
      </w:r>
    </w:p>
    <w:p w14:paraId="3A6C536B">
      <w:pPr>
        <w:pStyle w:val="88"/>
        <w:keepNext w:val="0"/>
        <w:keepLines w:val="0"/>
        <w:widowControl w:val="0"/>
        <w:spacing w:before="0" w:after="0" w:line="308" w:lineRule="auto"/>
        <w:jc w:val="center"/>
        <w:rPr>
          <w:rStyle w:val="272"/>
          <w:rFonts w:hAnsi="宋体" w:cs="宋体"/>
          <w:color w:val="auto"/>
          <w:szCs w:val="24"/>
          <w:highlight w:val="none"/>
        </w:rPr>
      </w:pPr>
      <w:bookmarkStart w:id="5" w:name="_Toc470"/>
      <w:bookmarkStart w:id="6" w:name="_Toc21022"/>
      <w:bookmarkStart w:id="7" w:name="_Toc28128"/>
      <w:r>
        <w:rPr>
          <w:rStyle w:val="272"/>
          <w:rFonts w:hint="eastAsia" w:hAnsi="宋体" w:cs="宋体"/>
          <w:color w:val="auto"/>
          <w:szCs w:val="24"/>
          <w:highlight w:val="none"/>
        </w:rPr>
        <w:t>第一章 项目说明</w:t>
      </w:r>
      <w:bookmarkEnd w:id="5"/>
      <w:bookmarkEnd w:id="6"/>
      <w:bookmarkEnd w:id="7"/>
    </w:p>
    <w:p w14:paraId="68C8F687">
      <w:pPr>
        <w:pStyle w:val="73"/>
        <w:widowControl w:val="0"/>
        <w:spacing w:line="308" w:lineRule="auto"/>
        <w:jc w:val="left"/>
        <w:outlineLvl w:val="1"/>
        <w:rPr>
          <w:rStyle w:val="272"/>
          <w:rFonts w:hAnsi="宋体" w:cs="宋体"/>
          <w:color w:val="auto"/>
          <w:szCs w:val="24"/>
          <w:highlight w:val="none"/>
        </w:rPr>
      </w:pPr>
      <w:bookmarkStart w:id="8" w:name="_Toc2991"/>
      <w:bookmarkStart w:id="9" w:name="_Toc30499"/>
      <w:bookmarkStart w:id="10" w:name="_Toc24541"/>
      <w:r>
        <w:rPr>
          <w:rStyle w:val="272"/>
          <w:rFonts w:hint="eastAsia" w:hAnsi="宋体" w:cs="宋体"/>
          <w:color w:val="auto"/>
          <w:szCs w:val="24"/>
          <w:highlight w:val="none"/>
        </w:rPr>
        <w:t>一、项目概况</w:t>
      </w:r>
      <w:bookmarkEnd w:id="8"/>
      <w:bookmarkEnd w:id="9"/>
      <w:bookmarkEnd w:id="10"/>
    </w:p>
    <w:p w14:paraId="00A67DE7">
      <w:pPr>
        <w:pStyle w:val="73"/>
        <w:widowControl w:val="0"/>
        <w:spacing w:line="308" w:lineRule="auto"/>
        <w:ind w:firstLine="480"/>
        <w:jc w:val="left"/>
        <w:rPr>
          <w:rFonts w:ascii="宋体" w:hAnsi="宋体" w:cs="宋体"/>
          <w:b/>
          <w:color w:val="auto"/>
          <w:sz w:val="24"/>
          <w:szCs w:val="24"/>
          <w:highlight w:val="none"/>
        </w:rPr>
      </w:pPr>
      <w:r>
        <w:rPr>
          <w:rFonts w:hint="eastAsia" w:ascii="宋体" w:hAnsi="宋体" w:cs="宋体"/>
          <w:color w:val="auto"/>
          <w:sz w:val="24"/>
          <w:szCs w:val="24"/>
          <w:highlight w:val="none"/>
        </w:rPr>
        <w:t>1、采 购 人：江苏师范大学</w:t>
      </w:r>
    </w:p>
    <w:p w14:paraId="0E38A6C4">
      <w:pPr>
        <w:pStyle w:val="73"/>
        <w:widowControl w:val="0"/>
        <w:spacing w:line="308" w:lineRule="auto"/>
        <w:ind w:firstLine="480"/>
        <w:jc w:val="left"/>
        <w:rPr>
          <w:rStyle w:val="272"/>
          <w:rFonts w:hAnsi="宋体" w:cs="宋体"/>
          <w:color w:val="auto"/>
          <w:szCs w:val="24"/>
          <w:highlight w:val="none"/>
        </w:rPr>
      </w:pPr>
      <w:r>
        <w:rPr>
          <w:rFonts w:hint="eastAsia" w:ascii="宋体" w:hAnsi="宋体" w:cs="宋体"/>
          <w:bCs/>
          <w:color w:val="auto"/>
          <w:sz w:val="24"/>
          <w:szCs w:val="24"/>
          <w:highlight w:val="none"/>
        </w:rPr>
        <w:t>2、项目名称</w:t>
      </w:r>
      <w:r>
        <w:rPr>
          <w:rFonts w:hint="eastAsia" w:ascii="宋体" w:hAnsi="宋体" w:cs="宋体"/>
          <w:color w:val="auto"/>
          <w:sz w:val="24"/>
          <w:szCs w:val="24"/>
          <w:highlight w:val="none"/>
        </w:rPr>
        <w:t>：</w:t>
      </w:r>
      <w:r>
        <w:rPr>
          <w:rStyle w:val="272"/>
          <w:rFonts w:hint="eastAsia" w:hAnsi="宋体" w:cs="宋体"/>
          <w:color w:val="auto"/>
          <w:szCs w:val="24"/>
          <w:highlight w:val="none"/>
        </w:rPr>
        <w:t>毕业生房间粉刷维修及宿舍八组团维修改造工程</w:t>
      </w:r>
    </w:p>
    <w:p w14:paraId="2E626840">
      <w:pPr>
        <w:pStyle w:val="73"/>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3、项目编号：</w:t>
      </w:r>
      <w:r>
        <w:rPr>
          <w:rStyle w:val="272"/>
          <w:rFonts w:hint="eastAsia" w:hAnsi="宋体" w:cs="宋体"/>
          <w:color w:val="auto"/>
          <w:szCs w:val="24"/>
          <w:highlight w:val="none"/>
        </w:rPr>
        <w:t>JSZC-320300-JSKJ-C2026-0027</w:t>
      </w:r>
    </w:p>
    <w:p w14:paraId="10462353">
      <w:pPr>
        <w:pStyle w:val="73"/>
        <w:widowControl w:val="0"/>
        <w:spacing w:line="308" w:lineRule="auto"/>
        <w:rPr>
          <w:rFonts w:ascii="宋体" w:hAnsi="宋体" w:cs="宋体"/>
          <w:color w:val="auto"/>
          <w:sz w:val="24"/>
          <w:szCs w:val="24"/>
          <w:highlight w:val="none"/>
        </w:rPr>
      </w:pPr>
      <w:r>
        <w:rPr>
          <w:rFonts w:hint="eastAsia" w:ascii="宋体" w:hAnsi="宋体" w:cs="宋体"/>
          <w:color w:val="auto"/>
          <w:sz w:val="24"/>
          <w:szCs w:val="24"/>
          <w:highlight w:val="none"/>
        </w:rPr>
        <w:t>二、采购预算（采购项目最高限价）：详见《项目要求（采购需求）》。</w:t>
      </w:r>
      <w:bookmarkStart w:id="11" w:name="_Toc3385"/>
      <w:bookmarkStart w:id="12" w:name="_Toc16581"/>
    </w:p>
    <w:p w14:paraId="6DC5EE98">
      <w:pPr>
        <w:pStyle w:val="73"/>
        <w:widowControl w:val="0"/>
        <w:spacing w:line="308" w:lineRule="auto"/>
        <w:rPr>
          <w:rStyle w:val="272"/>
          <w:rFonts w:hAnsi="宋体" w:cs="宋体"/>
          <w:color w:val="auto"/>
          <w:szCs w:val="24"/>
          <w:highlight w:val="none"/>
        </w:rPr>
      </w:pPr>
      <w:r>
        <w:rPr>
          <w:rFonts w:hint="eastAsia" w:ascii="宋体" w:hAnsi="宋体" w:cs="宋体"/>
          <w:color w:val="auto"/>
          <w:sz w:val="24"/>
          <w:szCs w:val="24"/>
          <w:highlight w:val="none"/>
        </w:rPr>
        <w:t>三</w:t>
      </w:r>
      <w:r>
        <w:rPr>
          <w:rStyle w:val="272"/>
          <w:rFonts w:hint="eastAsia" w:hAnsi="宋体" w:cs="宋体"/>
          <w:color w:val="auto"/>
          <w:szCs w:val="24"/>
          <w:highlight w:val="none"/>
        </w:rPr>
        <w:t>、采购需求</w:t>
      </w:r>
      <w:bookmarkEnd w:id="11"/>
    </w:p>
    <w:p w14:paraId="5D5F31B1">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详见第九章《项目要求（采购需求）》。</w:t>
      </w:r>
      <w:bookmarkEnd w:id="12"/>
    </w:p>
    <w:p w14:paraId="28024E43">
      <w:pPr>
        <w:pStyle w:val="73"/>
        <w:widowControl w:val="0"/>
        <w:spacing w:line="308" w:lineRule="auto"/>
        <w:jc w:val="left"/>
        <w:outlineLvl w:val="1"/>
        <w:rPr>
          <w:rStyle w:val="272"/>
          <w:rFonts w:hAnsi="宋体" w:cs="宋体"/>
          <w:color w:val="auto"/>
          <w:szCs w:val="24"/>
          <w:highlight w:val="none"/>
        </w:rPr>
      </w:pPr>
      <w:bookmarkStart w:id="13" w:name="_Toc30070"/>
      <w:bookmarkStart w:id="14" w:name="_Toc16296"/>
      <w:r>
        <w:rPr>
          <w:rStyle w:val="272"/>
          <w:rFonts w:hint="eastAsia" w:hAnsi="宋体" w:cs="宋体"/>
          <w:color w:val="auto"/>
          <w:szCs w:val="24"/>
          <w:highlight w:val="none"/>
        </w:rPr>
        <w:t>四、采购方式</w:t>
      </w:r>
      <w:bookmarkEnd w:id="13"/>
      <w:bookmarkEnd w:id="14"/>
    </w:p>
    <w:p w14:paraId="7B811696">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1、采购人确定的采购项目属性：工程。</w:t>
      </w:r>
    </w:p>
    <w:p w14:paraId="224C65D1">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2、</w:t>
      </w:r>
      <w:r>
        <w:rPr>
          <w:rFonts w:hint="eastAsia" w:ascii="宋体" w:hAnsi="宋体" w:cs="宋体"/>
          <w:color w:val="auto"/>
          <w:sz w:val="24"/>
          <w:highlight w:val="none"/>
        </w:rPr>
        <w:t>采购方式：</w:t>
      </w:r>
      <w:r>
        <w:rPr>
          <w:rStyle w:val="272"/>
          <w:rFonts w:hint="eastAsia" w:hAnsi="宋体" w:cs="宋体"/>
          <w:color w:val="auto"/>
          <w:szCs w:val="24"/>
          <w:highlight w:val="none"/>
        </w:rPr>
        <w:t>本项目采用竞争性磋商采购方式。</w:t>
      </w:r>
    </w:p>
    <w:p w14:paraId="67EAB700">
      <w:pPr>
        <w:pStyle w:val="73"/>
        <w:widowControl w:val="0"/>
        <w:spacing w:line="308" w:lineRule="auto"/>
        <w:jc w:val="left"/>
        <w:outlineLvl w:val="1"/>
        <w:rPr>
          <w:rStyle w:val="272"/>
          <w:rFonts w:hAnsi="宋体" w:cs="宋体"/>
          <w:color w:val="auto"/>
          <w:szCs w:val="24"/>
          <w:highlight w:val="none"/>
        </w:rPr>
      </w:pPr>
      <w:bookmarkStart w:id="15" w:name="_Toc20795"/>
      <w:bookmarkStart w:id="16" w:name="_Toc20340"/>
      <w:r>
        <w:rPr>
          <w:rStyle w:val="272"/>
          <w:rFonts w:hint="eastAsia" w:hAnsi="宋体" w:cs="宋体"/>
          <w:color w:val="auto"/>
          <w:szCs w:val="24"/>
          <w:highlight w:val="none"/>
        </w:rPr>
        <w:t>五、采购邀请：通过发布公告的方式邀请符合相应资格条件的供应商参与竞争性磋商采购活动。</w:t>
      </w:r>
      <w:bookmarkEnd w:id="15"/>
      <w:bookmarkEnd w:id="16"/>
    </w:p>
    <w:p w14:paraId="327B5E0E">
      <w:pPr>
        <w:pStyle w:val="73"/>
        <w:widowControl w:val="0"/>
        <w:spacing w:line="308" w:lineRule="auto"/>
        <w:jc w:val="left"/>
        <w:outlineLvl w:val="1"/>
        <w:rPr>
          <w:rStyle w:val="272"/>
          <w:rFonts w:hAnsi="宋体" w:cs="宋体"/>
          <w:color w:val="auto"/>
          <w:szCs w:val="24"/>
          <w:highlight w:val="none"/>
        </w:rPr>
      </w:pPr>
      <w:bookmarkStart w:id="17" w:name="_Toc4815"/>
      <w:bookmarkStart w:id="18" w:name="_Toc16321"/>
      <w:bookmarkStart w:id="19" w:name="_Toc30535"/>
      <w:r>
        <w:rPr>
          <w:rStyle w:val="272"/>
          <w:rFonts w:hint="eastAsia" w:hAnsi="宋体" w:cs="宋体"/>
          <w:color w:val="auto"/>
          <w:szCs w:val="24"/>
          <w:highlight w:val="none"/>
        </w:rPr>
        <w:t>六、合同草案条款：见《磋商文件》第十一章《拟签订的合同文本》。</w:t>
      </w:r>
      <w:bookmarkEnd w:id="17"/>
      <w:bookmarkEnd w:id="18"/>
      <w:bookmarkEnd w:id="19"/>
    </w:p>
    <w:p w14:paraId="41D41DDF">
      <w:pPr>
        <w:pStyle w:val="73"/>
        <w:widowControl w:val="0"/>
        <w:spacing w:line="308" w:lineRule="auto"/>
        <w:jc w:val="left"/>
        <w:outlineLvl w:val="1"/>
        <w:rPr>
          <w:rStyle w:val="272"/>
          <w:rFonts w:hAnsi="宋体" w:cs="宋体"/>
          <w:color w:val="auto"/>
          <w:szCs w:val="24"/>
          <w:highlight w:val="none"/>
        </w:rPr>
      </w:pPr>
      <w:bookmarkStart w:id="20" w:name="_Toc30830"/>
      <w:bookmarkStart w:id="21" w:name="_Toc24736"/>
      <w:r>
        <w:rPr>
          <w:rStyle w:val="272"/>
          <w:rFonts w:hint="eastAsia" w:hAnsi="宋体" w:cs="宋体"/>
          <w:color w:val="auto"/>
          <w:szCs w:val="24"/>
          <w:highlight w:val="none"/>
        </w:rPr>
        <w:t>七、供应商资格条件：详见竞争性磋商公告（项目编号：JSZC-320300-JSKJ-C2026-0027）。</w:t>
      </w:r>
      <w:bookmarkEnd w:id="20"/>
      <w:bookmarkEnd w:id="21"/>
    </w:p>
    <w:p w14:paraId="018AC53D">
      <w:pPr>
        <w:pStyle w:val="73"/>
        <w:widowControl w:val="0"/>
        <w:spacing w:line="308" w:lineRule="auto"/>
        <w:ind w:firstLine="480" w:firstLineChars="200"/>
        <w:jc w:val="left"/>
        <w:rPr>
          <w:rStyle w:val="272"/>
          <w:rFonts w:hAnsi="宋体" w:cs="宋体"/>
          <w:color w:val="auto"/>
          <w:szCs w:val="24"/>
          <w:highlight w:val="none"/>
        </w:rPr>
      </w:pPr>
      <w:bookmarkStart w:id="22" w:name="_Toc18821"/>
      <w:bookmarkStart w:id="23" w:name="_Toc3437"/>
      <w:bookmarkStart w:id="24" w:name="_Toc30240"/>
      <w:r>
        <w:rPr>
          <w:rStyle w:val="272"/>
          <w:rFonts w:hint="eastAsia" w:hAnsi="宋体" w:cs="宋体"/>
          <w:color w:val="auto"/>
          <w:szCs w:val="24"/>
          <w:highlight w:val="none"/>
        </w:rPr>
        <w:t>说明：</w:t>
      </w:r>
      <w:bookmarkEnd w:id="22"/>
      <w:bookmarkEnd w:id="23"/>
      <w:bookmarkEnd w:id="24"/>
    </w:p>
    <w:p w14:paraId="43BD64BD">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1、本项目不接受联合体参与采购活动。</w:t>
      </w:r>
    </w:p>
    <w:p w14:paraId="53CE8D9D">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2、单位负责人为同一人或者存在直接控股、管理关系的不同供应商，不得参加同一合同项下的政府采购活动。</w:t>
      </w:r>
    </w:p>
    <w:p w14:paraId="361B9501">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3、为本采购项目提供整体设计、规范编制或者项目管理、审查等服务的供应商，不得再参加本采购项目的采购活动。</w:t>
      </w:r>
    </w:p>
    <w:p w14:paraId="5B302074">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4、查询及使用供应商信用记录：</w:t>
      </w:r>
    </w:p>
    <w:p w14:paraId="6059DADB">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⑴由采购人查询信用信息。</w:t>
      </w:r>
    </w:p>
    <w:p w14:paraId="722DDFCB">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⑵查询渠道包括：</w:t>
      </w:r>
    </w:p>
    <w:p w14:paraId="64EF5F96">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①“信用中国”网（www.creditchina.gov.cn）；</w:t>
      </w:r>
    </w:p>
    <w:p w14:paraId="4E32EC9C">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②中国政府采购网（www.ccgp.gov.cn）；</w:t>
      </w:r>
    </w:p>
    <w:p w14:paraId="12AC04D3">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③“信用中国（江苏）”网（http://credit.jiangsu.gov.cn/）；</w:t>
      </w:r>
    </w:p>
    <w:p w14:paraId="6C41D88F">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④“信用中国（徐州）”网（www.xuzhoucredit.gov.cn）。</w:t>
      </w:r>
    </w:p>
    <w:p w14:paraId="351DD1D9">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(3)截止时点（查询环节）：首次响应文件递交后资格审查结束前。</w:t>
      </w:r>
    </w:p>
    <w:p w14:paraId="54083AE3">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⑷信用信息查询记录和证据留存的具体方式：网页截屏打印，与其他采购文件一并保存。</w:t>
      </w:r>
    </w:p>
    <w:p w14:paraId="5AC7F420">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⑸信用信息的使用规则：</w:t>
      </w:r>
    </w:p>
    <w:p w14:paraId="43ED4B6A">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0172E88B">
      <w:pPr>
        <w:pStyle w:val="73"/>
        <w:widowControl w:val="0"/>
        <w:spacing w:line="308" w:lineRule="auto"/>
        <w:jc w:val="left"/>
        <w:outlineLvl w:val="1"/>
        <w:rPr>
          <w:rStyle w:val="272"/>
          <w:rFonts w:hAnsi="宋体" w:cs="宋体"/>
          <w:b/>
          <w:bCs/>
          <w:color w:val="auto"/>
          <w:szCs w:val="24"/>
          <w:highlight w:val="none"/>
        </w:rPr>
      </w:pPr>
      <w:bookmarkStart w:id="25" w:name="_Toc15877"/>
      <w:bookmarkStart w:id="26" w:name="_Toc19161"/>
      <w:bookmarkStart w:id="27" w:name="_Toc21748"/>
      <w:r>
        <w:rPr>
          <w:rStyle w:val="272"/>
          <w:rFonts w:hint="eastAsia" w:hAnsi="宋体" w:cs="宋体"/>
          <w:b/>
          <w:bCs/>
          <w:color w:val="auto"/>
          <w:szCs w:val="24"/>
          <w:highlight w:val="none"/>
        </w:rPr>
        <w:t>八、报价要求</w:t>
      </w:r>
      <w:bookmarkEnd w:id="25"/>
      <w:bookmarkEnd w:id="26"/>
      <w:bookmarkEnd w:id="27"/>
    </w:p>
    <w:p w14:paraId="304FD777">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1、供应商报价为要约，采购人无承诺表示时视为未成交，采购人认为必要时可重新进行竞争性磋商采购或采取其它方式采购。</w:t>
      </w:r>
    </w:p>
    <w:p w14:paraId="0209C834">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2、按照《磋商报价表》要求填写首次报价。</w:t>
      </w:r>
    </w:p>
    <w:p w14:paraId="4C5214F2">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3、报价包含本项目范围内的全部费用（含税）。供应商有漏报或不报的，采购人将视为有关费用已包括在本项目的报价中而不予支付。采购人不再支付报价以外的任何费用。</w:t>
      </w:r>
    </w:p>
    <w:p w14:paraId="03FA63E5">
      <w:pPr>
        <w:pStyle w:val="73"/>
        <w:widowControl w:val="0"/>
        <w:spacing w:line="308" w:lineRule="auto"/>
        <w:jc w:val="left"/>
        <w:outlineLvl w:val="1"/>
        <w:rPr>
          <w:rStyle w:val="272"/>
          <w:rFonts w:hAnsi="宋体" w:cs="宋体"/>
          <w:color w:val="auto"/>
          <w:szCs w:val="24"/>
          <w:highlight w:val="none"/>
        </w:rPr>
      </w:pPr>
      <w:bookmarkStart w:id="28" w:name="_Toc872"/>
      <w:bookmarkStart w:id="29" w:name="_Toc29159"/>
      <w:bookmarkStart w:id="30" w:name="_Toc23024"/>
      <w:r>
        <w:rPr>
          <w:rStyle w:val="272"/>
          <w:rFonts w:hint="eastAsia" w:hAnsi="宋体" w:cs="宋体"/>
          <w:color w:val="auto"/>
          <w:szCs w:val="24"/>
          <w:highlight w:val="none"/>
        </w:rPr>
        <w:t>九、磋商保证金：不需交纳。</w:t>
      </w:r>
      <w:bookmarkEnd w:id="28"/>
      <w:bookmarkEnd w:id="29"/>
      <w:bookmarkEnd w:id="30"/>
    </w:p>
    <w:p w14:paraId="37D6FE11">
      <w:pPr>
        <w:pStyle w:val="88"/>
        <w:keepNext w:val="0"/>
        <w:keepLines w:val="0"/>
        <w:widowControl w:val="0"/>
        <w:spacing w:before="0" w:after="0" w:line="308" w:lineRule="auto"/>
        <w:jc w:val="center"/>
        <w:rPr>
          <w:rStyle w:val="272"/>
          <w:rFonts w:hAnsi="宋体" w:cs="宋体"/>
          <w:color w:val="auto"/>
          <w:szCs w:val="24"/>
          <w:highlight w:val="none"/>
        </w:rPr>
      </w:pPr>
      <w:bookmarkStart w:id="31" w:name="_Toc18375"/>
      <w:bookmarkStart w:id="32" w:name="_Toc19300"/>
      <w:bookmarkStart w:id="33" w:name="_Toc1409"/>
      <w:r>
        <w:rPr>
          <w:rStyle w:val="272"/>
          <w:rFonts w:hint="eastAsia" w:hAnsi="宋体" w:cs="宋体"/>
          <w:color w:val="auto"/>
          <w:szCs w:val="24"/>
          <w:highlight w:val="none"/>
        </w:rPr>
        <w:t>第二章 响应文件要求</w:t>
      </w:r>
      <w:bookmarkEnd w:id="31"/>
      <w:bookmarkEnd w:id="32"/>
      <w:bookmarkEnd w:id="33"/>
    </w:p>
    <w:p w14:paraId="4DDD9CA7">
      <w:pPr>
        <w:spacing w:line="308" w:lineRule="auto"/>
        <w:jc w:val="left"/>
        <w:rPr>
          <w:rFonts w:ascii="宋体" w:hAnsi="宋体" w:cs="宋体"/>
          <w:color w:val="auto"/>
          <w:sz w:val="24"/>
          <w:szCs w:val="24"/>
          <w:highlight w:val="none"/>
        </w:rPr>
      </w:pPr>
      <w:bookmarkStart w:id="34" w:name="_Toc5287"/>
      <w:r>
        <w:rPr>
          <w:rFonts w:hint="eastAsia" w:ascii="宋体" w:hAnsi="宋体" w:cs="宋体"/>
          <w:color w:val="auto"/>
          <w:sz w:val="24"/>
          <w:szCs w:val="24"/>
          <w:highlight w:val="none"/>
        </w:rPr>
        <w:t>十、获取竞争性磋商文件：详见本项目竞争性磋商公告。</w:t>
      </w:r>
      <w:bookmarkEnd w:id="34"/>
    </w:p>
    <w:p w14:paraId="49CFA1A3">
      <w:pPr>
        <w:spacing w:line="308" w:lineRule="auto"/>
        <w:jc w:val="left"/>
        <w:rPr>
          <w:rFonts w:ascii="宋体" w:hAnsi="宋体" w:cs="宋体"/>
          <w:b/>
          <w:bCs/>
          <w:color w:val="auto"/>
          <w:sz w:val="24"/>
          <w:szCs w:val="24"/>
          <w:highlight w:val="none"/>
        </w:rPr>
      </w:pPr>
      <w:bookmarkStart w:id="35" w:name="_Toc4299"/>
      <w:r>
        <w:rPr>
          <w:rFonts w:hint="eastAsia" w:ascii="宋体" w:hAnsi="宋体" w:cs="宋体"/>
          <w:color w:val="auto"/>
          <w:sz w:val="24"/>
          <w:szCs w:val="24"/>
          <w:highlight w:val="none"/>
        </w:rPr>
        <w:t>十一、提交响应文件要求</w:t>
      </w:r>
      <w:bookmarkEnd w:id="35"/>
    </w:p>
    <w:p w14:paraId="3D78C46E">
      <w:pPr>
        <w:spacing w:line="308" w:lineRule="auto"/>
        <w:jc w:val="center"/>
        <w:rPr>
          <w:rFonts w:ascii="宋体" w:hAnsi="宋体" w:cs="宋体"/>
          <w:bCs/>
          <w:color w:val="auto"/>
          <w:sz w:val="24"/>
          <w:szCs w:val="24"/>
          <w:highlight w:val="none"/>
        </w:rPr>
      </w:pPr>
      <w:bookmarkStart w:id="36" w:name="_Toc6948"/>
      <w:r>
        <w:rPr>
          <w:rFonts w:hint="eastAsia" w:ascii="宋体" w:hAnsi="宋体" w:cs="宋体"/>
          <w:b/>
          <w:color w:val="auto"/>
          <w:sz w:val="24"/>
          <w:szCs w:val="24"/>
          <w:highlight w:val="none"/>
        </w:rPr>
        <w:t>第一部分 基本要求</w:t>
      </w:r>
      <w:bookmarkEnd w:id="36"/>
    </w:p>
    <w:p w14:paraId="5D147E1C">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（一）本项目通过“苏采云”系统进行电子采购，即供应商响应文件从政府采购客户端工具制作并通过“苏采云”系统提交。</w:t>
      </w:r>
    </w:p>
    <w:p w14:paraId="7636E351">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1、供应商应当通过“苏采云”系统提交数据电文形式的响应文件（即电子投标）。未进行线上响应文件提交并解密(因“苏采云”系统导致解密失败的除外)的供应商，响应无效。</w:t>
      </w:r>
    </w:p>
    <w:p w14:paraId="32BB90E3">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2、“CA数字证书”的获</w:t>
      </w:r>
      <w:r>
        <w:rPr>
          <w:rStyle w:val="272"/>
          <w:rFonts w:hint="eastAsia" w:hAnsi="宋体" w:cs="宋体"/>
          <w:color w:val="auto"/>
          <w:szCs w:val="24"/>
          <w:highlight w:val="none"/>
        </w:rPr>
        <w:t>取：</w:t>
      </w:r>
      <w:r>
        <w:rPr>
          <w:rFonts w:hint="eastAsia" w:ascii="宋体" w:hAnsi="宋体" w:cs="宋体"/>
          <w:color w:val="auto"/>
          <w:sz w:val="24"/>
          <w:highlight w:val="none"/>
        </w:rPr>
        <w:t>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rFonts w:hint="eastAsia" w:ascii="宋体" w:hAnsi="宋体" w:cs="宋体"/>
          <w:bCs/>
          <w:color w:val="auto"/>
          <w:sz w:val="24"/>
          <w:szCs w:val="24"/>
          <w:highlight w:val="none"/>
        </w:rPr>
        <w:t>。</w:t>
      </w:r>
    </w:p>
    <w:p w14:paraId="60B2350C">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3、</w:t>
      </w:r>
      <w:r>
        <w:rPr>
          <w:rStyle w:val="272"/>
          <w:rFonts w:hint="eastAsia" w:hAnsi="宋体" w:cs="宋体"/>
          <w:color w:val="auto"/>
          <w:szCs w:val="24"/>
          <w:highlight w:val="none"/>
        </w:rPr>
        <w:t>使用需要第三方认证的电子签名、数据电文，通过互联网方式提交首次响应文件。即：使用“电子签名认证证书（CA数字证书）”登录“苏采云”系统</w:t>
      </w:r>
      <w:r>
        <w:rPr>
          <w:rFonts w:hint="eastAsia" w:ascii="宋体" w:hAnsi="宋体" w:cs="宋体"/>
          <w:bCs/>
          <w:color w:val="auto"/>
          <w:sz w:val="24"/>
          <w:szCs w:val="24"/>
          <w:highlight w:val="none"/>
        </w:rPr>
        <w:t>（网址：http://jszfcg.jsczt.cn/jszc/login；或进入徐州政府采购网（网址：https://czj.xz.gov.cn/zfcg/index.html），点击“苏采云”进入系统），按照要求通过互联网方式提交首次响应文件。</w:t>
      </w:r>
    </w:p>
    <w:p w14:paraId="2FA9EC5F">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4、“苏采云”系统使用要求：</w:t>
      </w:r>
    </w:p>
    <w:p w14:paraId="24DDB847">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4.1使用谷歌浏览器参与不见面开标及磋商环节。</w:t>
      </w:r>
    </w:p>
    <w:p w14:paraId="68F3455F">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4.2电脑需提前准备好麦克风、音响，摄像头，提前检查保证能够正常使用。</w:t>
      </w:r>
    </w:p>
    <w:p w14:paraId="57B93596">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4.3操作系统至少win7以上，建议使用win10操作系统。</w:t>
      </w:r>
    </w:p>
    <w:p w14:paraId="7749A0CB">
      <w:pPr>
        <w:spacing w:line="308" w:lineRule="auto"/>
        <w:ind w:firstLine="480"/>
        <w:jc w:val="left"/>
        <w:rPr>
          <w:rFonts w:ascii="宋体" w:hAnsi="宋体" w:cs="宋体"/>
          <w:bCs/>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bCs/>
          <w:color w:val="auto"/>
          <w:sz w:val="24"/>
          <w:szCs w:val="24"/>
          <w:highlight w:val="none"/>
        </w:rPr>
        <w:t>）首次响应文件提交时间、地点：</w:t>
      </w:r>
    </w:p>
    <w:p w14:paraId="5EAA7BC3">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1、首次响应文件提交的截止时间：</w:t>
      </w:r>
      <w:r>
        <w:rPr>
          <w:rFonts w:hint="eastAsia" w:ascii="宋体" w:hAnsi="宋体" w:cs="宋体"/>
          <w:b/>
          <w:color w:val="auto"/>
          <w:sz w:val="24"/>
          <w:szCs w:val="24"/>
          <w:highlight w:val="none"/>
        </w:rPr>
        <w:t>2026年07月21日09：30（北京时间）</w:t>
      </w:r>
      <w:r>
        <w:rPr>
          <w:rFonts w:hint="eastAsia" w:ascii="宋体" w:hAnsi="宋体" w:cs="宋体"/>
          <w:bCs/>
          <w:color w:val="auto"/>
          <w:sz w:val="24"/>
          <w:szCs w:val="24"/>
          <w:highlight w:val="none"/>
        </w:rPr>
        <w:t>，截止时间后提交的响应文件为无效文件将被拒收。</w:t>
      </w:r>
    </w:p>
    <w:p w14:paraId="4D5AD6F5">
      <w:pPr>
        <w:spacing w:line="308" w:lineRule="auto"/>
        <w:ind w:firstLine="480"/>
        <w:jc w:val="left"/>
        <w:rPr>
          <w:rFonts w:ascii="宋体" w:hAnsi="宋体" w:cs="宋体"/>
          <w:color w:val="auto"/>
          <w:sz w:val="24"/>
          <w:szCs w:val="24"/>
          <w:highlight w:val="none"/>
        </w:rPr>
      </w:pPr>
      <w:r>
        <w:rPr>
          <w:rFonts w:hint="eastAsia" w:ascii="宋体" w:hAnsi="宋体" w:cs="宋体"/>
          <w:bCs/>
          <w:color w:val="auto"/>
          <w:sz w:val="24"/>
          <w:szCs w:val="24"/>
          <w:highlight w:val="none"/>
        </w:rPr>
        <w:t>2、提交首次响应文</w:t>
      </w:r>
      <w:r>
        <w:rPr>
          <w:rFonts w:hint="eastAsia" w:ascii="宋体" w:hAnsi="宋体" w:cs="宋体"/>
          <w:color w:val="auto"/>
          <w:sz w:val="24"/>
          <w:szCs w:val="24"/>
          <w:highlight w:val="none"/>
        </w:rPr>
        <w:t>件地点：“苏采云”系统（网址：http://jszfcg.jsczt.cn/jszc/login）“开标大厅”或进入徐州政府采购网（网址：https://czj.xz.gov.cn/zfcg/index.html），点击“苏采云”进入系统“开标大厅”。</w:t>
      </w:r>
    </w:p>
    <w:p w14:paraId="30F55D28">
      <w:pPr>
        <w:spacing w:line="308" w:lineRule="auto"/>
        <w:ind w:firstLine="480"/>
        <w:jc w:val="left"/>
        <w:rPr>
          <w:rFonts w:ascii="宋体" w:hAnsi="宋体" w:cs="宋体"/>
          <w:b/>
          <w:bCs/>
          <w:color w:val="auto"/>
          <w:sz w:val="24"/>
          <w:szCs w:val="24"/>
          <w:highlight w:val="none"/>
        </w:rPr>
      </w:pPr>
      <w:r>
        <w:rPr>
          <w:rFonts w:hint="eastAsia" w:ascii="宋体" w:hAnsi="宋体" w:cs="宋体"/>
          <w:color w:val="auto"/>
          <w:sz w:val="24"/>
          <w:szCs w:val="24"/>
          <w:highlight w:val="none"/>
        </w:rPr>
        <w:t>3、首次响应文件开启时间：</w:t>
      </w:r>
      <w:r>
        <w:rPr>
          <w:rFonts w:hint="eastAsia" w:ascii="宋体" w:hAnsi="宋体" w:cs="宋体"/>
          <w:b/>
          <w:color w:val="auto"/>
          <w:sz w:val="24"/>
          <w:szCs w:val="24"/>
          <w:highlight w:val="none"/>
        </w:rPr>
        <w:t>2026年07月21日09：30</w:t>
      </w:r>
      <w:r>
        <w:rPr>
          <w:rFonts w:hint="eastAsia" w:ascii="宋体" w:hAnsi="宋体" w:cs="宋体"/>
          <w:b/>
          <w:bCs/>
          <w:color w:val="auto"/>
          <w:sz w:val="24"/>
          <w:szCs w:val="24"/>
          <w:highlight w:val="none"/>
        </w:rPr>
        <w:t>（北京时间）</w:t>
      </w:r>
    </w:p>
    <w:p w14:paraId="50038D70">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4、首次响应文件开启地点：“苏采云”系统（网址：http://jszfcg.jsczt.cn/jszc/login）“开标大厅”或进入徐州政府采购网（网址：https://czj.xz.gov.cn/zfcg/index.html），点击“苏采云”进入系统“开标大厅”。</w:t>
      </w:r>
    </w:p>
    <w:p w14:paraId="3355ED96">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三）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02885C8D">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（四）不接受不按要求加盖公章（电子签章）的首次响应文件。电子签章相关要求见“苏采云”系统。</w:t>
      </w:r>
    </w:p>
    <w:p w14:paraId="44534485">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（五）首次响应文件解密：到达开启时间，“苏采云”系统自动提取所有响应文件，供应商按磋商文件规定方式按时在线解密。本项目磋商文件规定的供应商按时在线解密方式：</w:t>
      </w:r>
      <w:r>
        <w:rPr>
          <w:rFonts w:hint="eastAsia" w:ascii="宋体" w:hAnsi="宋体" w:cs="宋体"/>
          <w:b/>
          <w:color w:val="auto"/>
          <w:sz w:val="24"/>
          <w:szCs w:val="24"/>
          <w:highlight w:val="none"/>
        </w:rPr>
        <w:t>开启后“苏采云”系统提示解密30分钟内，通过“苏采云”系统</w:t>
      </w:r>
      <w:r>
        <w:rPr>
          <w:rFonts w:hint="eastAsia" w:ascii="宋体" w:hAnsi="宋体" w:cs="宋体"/>
          <w:color w:val="auto"/>
          <w:sz w:val="24"/>
          <w:szCs w:val="24"/>
          <w:highlight w:val="none"/>
        </w:rPr>
        <w:t>（使用“CA数字证书”）解密。</w:t>
      </w:r>
    </w:p>
    <w:p w14:paraId="49787E1B">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（六）磋商文件（后缀名为“.kedt”）、供应商操作手册及政府采购客户端工具可通过“苏采云”系统（网址：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45"/>
          <w:rFonts w:hint="eastAsia" w:ascii="宋体" w:hAnsi="宋体" w:cs="宋体"/>
          <w:color w:val="auto"/>
          <w:sz w:val="24"/>
          <w:szCs w:val="24"/>
          <w:highlight w:val="none"/>
        </w:rPr>
        <w:t>http://jszfcg.jsczt.cn/jszc/login</w:t>
      </w:r>
      <w:r>
        <w:rPr>
          <w:rStyle w:val="45"/>
          <w:rFonts w:ascii="宋体" w:hAnsi="宋体" w:cs="宋体"/>
          <w:color w:val="auto"/>
          <w:sz w:val="24"/>
          <w:szCs w:val="24"/>
          <w:highlight w:val="none"/>
        </w:rPr>
        <w:fldChar w:fldCharType="end"/>
      </w:r>
      <w:r>
        <w:rPr>
          <w:rFonts w:hint="eastAsia" w:ascii="宋体" w:hAnsi="宋体" w:cs="宋体"/>
          <w:color w:val="auto"/>
          <w:sz w:val="24"/>
          <w:szCs w:val="24"/>
          <w:highlight w:val="none"/>
        </w:rPr>
        <w:t>）--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2E8AAFD8">
      <w:pPr>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（七）相关说明： 供应商在“苏采云”系统中提交首次响应文件的时间即为数据电文（响应文件，下同）的发送时间和接收时间。</w:t>
      </w:r>
    </w:p>
    <w:p w14:paraId="1988C9BD">
      <w:pPr>
        <w:spacing w:line="308" w:lineRule="auto"/>
        <w:jc w:val="center"/>
        <w:rPr>
          <w:rFonts w:ascii="宋体" w:hAnsi="宋体" w:cs="宋体"/>
          <w:b/>
          <w:color w:val="auto"/>
          <w:sz w:val="24"/>
          <w:szCs w:val="20"/>
          <w:highlight w:val="none"/>
        </w:rPr>
      </w:pPr>
      <w:bookmarkStart w:id="37" w:name="_Toc1524"/>
      <w:r>
        <w:rPr>
          <w:rFonts w:hint="eastAsia" w:ascii="宋体" w:hAnsi="宋体" w:cs="宋体"/>
          <w:b/>
          <w:color w:val="auto"/>
          <w:sz w:val="24"/>
          <w:szCs w:val="20"/>
          <w:highlight w:val="none"/>
        </w:rPr>
        <w:t>第二部分 响应文件组成</w:t>
      </w:r>
      <w:bookmarkEnd w:id="37"/>
    </w:p>
    <w:p w14:paraId="2FB00A17">
      <w:pPr>
        <w:spacing w:line="308" w:lineRule="auto"/>
        <w:jc w:val="left"/>
        <w:rPr>
          <w:rFonts w:ascii="宋体" w:hAnsi="宋体" w:cs="宋体"/>
          <w:b/>
          <w:bCs/>
          <w:color w:val="auto"/>
          <w:sz w:val="24"/>
          <w:szCs w:val="20"/>
          <w:highlight w:val="none"/>
        </w:rPr>
      </w:pPr>
      <w:bookmarkStart w:id="38" w:name="_Toc8681"/>
      <w:r>
        <w:rPr>
          <w:rFonts w:hint="eastAsia" w:ascii="宋体" w:hAnsi="宋体" w:cs="宋体"/>
          <w:b/>
          <w:bCs/>
          <w:color w:val="auto"/>
          <w:sz w:val="24"/>
          <w:szCs w:val="20"/>
          <w:highlight w:val="none"/>
        </w:rPr>
        <w:t>十二、响应文件编制要求，请按照以下要求（包括但不限于以下要求）制作：</w:t>
      </w:r>
      <w:bookmarkEnd w:id="38"/>
    </w:p>
    <w:p w14:paraId="0F7FD133">
      <w:pPr>
        <w:spacing w:line="308" w:lineRule="auto"/>
        <w:jc w:val="left"/>
        <w:rPr>
          <w:rFonts w:ascii="宋体" w:hAnsi="宋体" w:cs="宋体"/>
          <w:b/>
          <w:color w:val="auto"/>
          <w:sz w:val="24"/>
          <w:szCs w:val="20"/>
          <w:highlight w:val="none"/>
        </w:rPr>
      </w:pPr>
      <w:r>
        <w:rPr>
          <w:rFonts w:hint="eastAsia" w:ascii="宋体" w:hAnsi="宋体" w:cs="宋体"/>
          <w:b/>
          <w:color w:val="auto"/>
          <w:sz w:val="24"/>
          <w:szCs w:val="20"/>
          <w:highlight w:val="none"/>
        </w:rPr>
        <w:t>（一）基本目录</w:t>
      </w:r>
    </w:p>
    <w:p w14:paraId="358957E3">
      <w:pPr>
        <w:spacing w:line="308" w:lineRule="auto"/>
        <w:ind w:firstLine="480"/>
        <w:jc w:val="left"/>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szCs w:val="20"/>
          <w:highlight w:val="none"/>
        </w:rPr>
        <w:t>《磋商报价表》（加盖电子签章，格式见磋商文件《响应文件相关格式》。</w:t>
      </w:r>
      <w:r>
        <w:rPr>
          <w:rFonts w:hint="eastAsia" w:ascii="宋体" w:hAnsi="宋体" w:cs="宋体"/>
          <w:bCs/>
          <w:color w:val="auto"/>
          <w:sz w:val="24"/>
          <w:szCs w:val="20"/>
          <w:highlight w:val="none"/>
        </w:rPr>
        <w:t>政府采购客户端工具输入报价自动生成）；</w:t>
      </w:r>
    </w:p>
    <w:p w14:paraId="70FD6871">
      <w:pPr>
        <w:spacing w:line="308" w:lineRule="auto"/>
        <w:ind w:firstLine="480"/>
        <w:jc w:val="left"/>
        <w:rPr>
          <w:rFonts w:ascii="宋体" w:hAnsi="宋体" w:cs="宋体"/>
          <w:bCs/>
          <w:color w:val="auto"/>
          <w:sz w:val="24"/>
          <w:szCs w:val="20"/>
          <w:highlight w:val="none"/>
        </w:rPr>
      </w:pPr>
      <w:r>
        <w:rPr>
          <w:rFonts w:hint="eastAsia" w:ascii="宋体" w:hAnsi="宋体" w:cs="宋体"/>
          <w:bCs/>
          <w:color w:val="auto"/>
          <w:sz w:val="24"/>
          <w:szCs w:val="20"/>
          <w:highlight w:val="none"/>
        </w:rPr>
        <w:t>2、供应商认为需要提供的其他资料的扫描件（如有）。</w:t>
      </w:r>
    </w:p>
    <w:p w14:paraId="449CB41B">
      <w:pPr>
        <w:spacing w:line="308" w:lineRule="auto"/>
        <w:jc w:val="left"/>
        <w:rPr>
          <w:rFonts w:ascii="宋体" w:hAnsi="宋体" w:cs="宋体"/>
          <w:bCs/>
          <w:color w:val="auto"/>
          <w:sz w:val="24"/>
          <w:szCs w:val="20"/>
          <w:highlight w:val="none"/>
        </w:rPr>
      </w:pPr>
      <w:r>
        <w:rPr>
          <w:rFonts w:hint="eastAsia" w:ascii="宋体" w:hAnsi="宋体" w:cs="宋体"/>
          <w:b/>
          <w:bCs/>
          <w:color w:val="auto"/>
          <w:sz w:val="24"/>
          <w:szCs w:val="20"/>
          <w:highlight w:val="none"/>
        </w:rPr>
        <w:t>（二）资格审查条件（1-7项必须提供，加盖电子签章，否则</w:t>
      </w:r>
      <w:r>
        <w:rPr>
          <w:rFonts w:hint="eastAsia" w:ascii="宋体" w:hAnsi="宋体" w:cs="宋体"/>
          <w:b/>
          <w:color w:val="auto"/>
          <w:sz w:val="24"/>
          <w:szCs w:val="20"/>
          <w:highlight w:val="none"/>
        </w:rPr>
        <w:t>响应无效）</w:t>
      </w:r>
    </w:p>
    <w:p w14:paraId="4AB64FCB">
      <w:pPr>
        <w:spacing w:line="308" w:lineRule="auto"/>
        <w:ind w:firstLine="480"/>
        <w:jc w:val="left"/>
        <w:rPr>
          <w:rFonts w:ascii="宋体" w:hAnsi="宋体" w:cs="宋体"/>
          <w:b/>
          <w:color w:val="auto"/>
          <w:sz w:val="24"/>
          <w:szCs w:val="24"/>
          <w:highlight w:val="none"/>
        </w:rPr>
      </w:pPr>
      <w:r>
        <w:rPr>
          <w:rFonts w:hint="eastAsia" w:ascii="宋体" w:hAnsi="宋体" w:cs="宋体"/>
          <w:b/>
          <w:color w:val="auto"/>
          <w:sz w:val="24"/>
          <w:szCs w:val="24"/>
          <w:highlight w:val="none"/>
        </w:rPr>
        <w:t>1、具有独立承担民事责任的能力</w:t>
      </w:r>
    </w:p>
    <w:p w14:paraId="4F1FEC5F">
      <w:pPr>
        <w:spacing w:line="308"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提供合法有效的法人的营业执照（或事业法人证或其他组织应提供合法证明文件）扫描件。</w:t>
      </w:r>
      <w:r>
        <w:rPr>
          <w:rFonts w:hint="eastAsia" w:ascii="宋体" w:hAnsi="宋体" w:cs="宋体"/>
          <w:b/>
          <w:color w:val="auto"/>
          <w:sz w:val="24"/>
          <w:szCs w:val="24"/>
          <w:highlight w:val="none"/>
        </w:rPr>
        <w:t>（加盖电子签章）。</w:t>
      </w:r>
    </w:p>
    <w:p w14:paraId="16BBD93F">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2、具有良好的商业信誉和健全的财务会计制度</w:t>
      </w:r>
      <w:r>
        <w:rPr>
          <w:rFonts w:hint="eastAsia" w:ascii="宋体" w:hAnsi="宋体" w:cs="宋体"/>
          <w:bCs/>
          <w:color w:val="auto"/>
          <w:sz w:val="24"/>
          <w:szCs w:val="24"/>
          <w:highlight w:val="none"/>
        </w:rPr>
        <w:t>，至少提供：</w:t>
      </w:r>
    </w:p>
    <w:p w14:paraId="3F8A0C78">
      <w:pPr>
        <w:spacing w:line="308"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供应商的提交首次响应文件时间前六个月内任何一月的资产负债表和利润表月报表扫描件；或供应商基本开户银行出具的有效的资信证明扫描件；或财政部门认可的政府采购专业担保机构出具的有效的担保函扫描件；</w:t>
      </w:r>
      <w:r>
        <w:rPr>
          <w:rFonts w:hint="eastAsia" w:ascii="宋体" w:hAnsi="宋体" w:cs="宋体"/>
          <w:color w:val="auto"/>
          <w:sz w:val="24"/>
          <w:szCs w:val="24"/>
          <w:highlight w:val="none"/>
        </w:rPr>
        <w:t>或提供供应商（2025年度）经审计的财务报告扫描件</w:t>
      </w:r>
      <w:r>
        <w:rPr>
          <w:rFonts w:hint="eastAsia" w:ascii="宋体" w:hAnsi="宋体" w:cs="宋体"/>
          <w:bCs/>
          <w:color w:val="auto"/>
          <w:sz w:val="24"/>
          <w:szCs w:val="24"/>
          <w:highlight w:val="none"/>
        </w:rPr>
        <w:t>。</w:t>
      </w:r>
    </w:p>
    <w:p w14:paraId="2E0D357B">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3、有依法缴纳税收和社会保障资金的良好记录</w:t>
      </w:r>
      <w:r>
        <w:rPr>
          <w:rFonts w:hint="eastAsia" w:ascii="宋体" w:hAnsi="宋体" w:cs="宋体"/>
          <w:bCs/>
          <w:color w:val="auto"/>
          <w:sz w:val="24"/>
          <w:szCs w:val="24"/>
          <w:highlight w:val="none"/>
        </w:rPr>
        <w:t>，至少提供：</w:t>
      </w:r>
    </w:p>
    <w:p w14:paraId="4BC97A03">
      <w:pPr>
        <w:spacing w:line="308"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p>
    <w:p w14:paraId="0B5AA620">
      <w:pPr>
        <w:spacing w:line="308" w:lineRule="auto"/>
        <w:jc w:val="left"/>
        <w:rPr>
          <w:rFonts w:ascii="宋体" w:hAnsi="宋体" w:cs="宋体"/>
          <w:bCs/>
          <w:color w:val="auto"/>
          <w:sz w:val="24"/>
          <w:szCs w:val="24"/>
          <w:highlight w:val="none"/>
        </w:rPr>
      </w:pPr>
      <w:r>
        <w:rPr>
          <w:rFonts w:hint="eastAsia" w:ascii="宋体" w:hAnsi="宋体" w:cs="宋体"/>
          <w:b/>
          <w:color w:val="auto"/>
          <w:sz w:val="24"/>
          <w:szCs w:val="24"/>
          <w:highlight w:val="none"/>
        </w:rPr>
        <w:t xml:space="preserve">    4、具备履行合同所必需的设备和专业技术能力，</w:t>
      </w:r>
      <w:r>
        <w:rPr>
          <w:rFonts w:hint="eastAsia" w:ascii="宋体" w:hAnsi="宋体" w:cs="宋体"/>
          <w:bCs/>
          <w:color w:val="auto"/>
          <w:sz w:val="24"/>
          <w:szCs w:val="24"/>
          <w:highlight w:val="none"/>
        </w:rPr>
        <w:t>提供《具备履行合同所必需的设备和专业技术能力的书面声明（附证明材料扫描件）》，</w:t>
      </w:r>
      <w:r>
        <w:rPr>
          <w:rFonts w:hint="eastAsia" w:ascii="宋体" w:hAnsi="宋体" w:cs="宋体"/>
          <w:b/>
          <w:color w:val="auto"/>
          <w:sz w:val="24"/>
          <w:szCs w:val="24"/>
          <w:highlight w:val="none"/>
        </w:rPr>
        <w:t>加盖电子签章</w:t>
      </w:r>
      <w:r>
        <w:rPr>
          <w:rFonts w:hint="eastAsia" w:ascii="宋体" w:hAnsi="宋体" w:cs="宋体"/>
          <w:bCs/>
          <w:color w:val="auto"/>
          <w:sz w:val="24"/>
          <w:szCs w:val="24"/>
          <w:highlight w:val="none"/>
        </w:rPr>
        <w:t>，格式见磋商文件《响应文件相关格式》,所附证明材料扫描件可不加盖电子签章。</w:t>
      </w:r>
    </w:p>
    <w:p w14:paraId="2FA3D5B8">
      <w:pPr>
        <w:spacing w:line="308" w:lineRule="auto"/>
        <w:ind w:firstLine="482"/>
        <w:jc w:val="left"/>
        <w:rPr>
          <w:rFonts w:ascii="宋体" w:hAnsi="宋体" w:cs="宋体"/>
          <w:bCs/>
          <w:color w:val="auto"/>
          <w:sz w:val="24"/>
          <w:szCs w:val="24"/>
          <w:highlight w:val="none"/>
        </w:rPr>
      </w:pPr>
      <w:r>
        <w:rPr>
          <w:rFonts w:hint="eastAsia" w:ascii="宋体" w:hAnsi="宋体" w:cs="宋体"/>
          <w:b/>
          <w:color w:val="auto"/>
          <w:sz w:val="24"/>
          <w:szCs w:val="24"/>
          <w:highlight w:val="none"/>
        </w:rPr>
        <w:t>5、供应商参加政府采购活动前三年内在经营活动中没有重大违法记录的书面声明（加盖电子签章，</w:t>
      </w:r>
      <w:r>
        <w:rPr>
          <w:rFonts w:hint="eastAsia" w:ascii="宋体" w:hAnsi="宋体" w:cs="宋体"/>
          <w:bCs/>
          <w:color w:val="auto"/>
          <w:sz w:val="24"/>
          <w:szCs w:val="24"/>
          <w:highlight w:val="none"/>
        </w:rPr>
        <w:t>格式见磋商文件《响应文件相关格式》</w:t>
      </w:r>
      <w:r>
        <w:rPr>
          <w:rFonts w:hint="eastAsia" w:ascii="宋体" w:hAnsi="宋体" w:cs="宋体"/>
          <w:b/>
          <w:color w:val="auto"/>
          <w:sz w:val="24"/>
          <w:szCs w:val="24"/>
          <w:highlight w:val="none"/>
        </w:rPr>
        <w:t>）。</w:t>
      </w:r>
    </w:p>
    <w:p w14:paraId="3B4AC13F">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6、本项目特定资格要求：提供以下资料的原件扫描件，加盖电子签章：</w:t>
      </w:r>
    </w:p>
    <w:p w14:paraId="3DE459B7">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采购包1、采购包2：</w:t>
      </w:r>
    </w:p>
    <w:p w14:paraId="7C52946C">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①供应商须具备建设行政主管部门核发的有效的建筑装修装饰工程专业承包</w:t>
      </w:r>
      <w:r>
        <w:rPr>
          <w:rFonts w:hint="eastAsia" w:ascii="宋体" w:hAnsi="宋体" w:cs="宋体"/>
          <w:color w:val="auto"/>
          <w:highlight w:val="none"/>
          <w:lang w:eastAsia="zh-CN"/>
        </w:rPr>
        <w:t>二级</w:t>
      </w:r>
      <w:r>
        <w:rPr>
          <w:rFonts w:hint="eastAsia" w:ascii="宋体" w:hAnsi="宋体" w:cs="宋体"/>
          <w:color w:val="auto"/>
          <w:highlight w:val="none"/>
        </w:rPr>
        <w:t>及以上资质，同时具备有效的《安全生产许可证》证书；</w:t>
      </w:r>
    </w:p>
    <w:p w14:paraId="0714F65D">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②供应商拟派的项目负责人（注册建造师）须具备建筑工程专业</w:t>
      </w:r>
      <w:r>
        <w:rPr>
          <w:rFonts w:hint="eastAsia" w:ascii="宋体" w:hAnsi="宋体" w:cs="宋体"/>
          <w:color w:val="auto"/>
          <w:highlight w:val="none"/>
          <w:lang w:eastAsia="zh-CN"/>
        </w:rPr>
        <w:t>二级</w:t>
      </w:r>
      <w:r>
        <w:rPr>
          <w:rFonts w:hint="eastAsia" w:ascii="宋体" w:hAnsi="宋体" w:cs="宋体"/>
          <w:color w:val="auto"/>
          <w:highlight w:val="none"/>
        </w:rPr>
        <w:t>（含）以上建造师资格，《建筑施工企业安全生产考核合格证书》（B证），</w:t>
      </w:r>
      <w:r>
        <w:rPr>
          <w:rFonts w:hint="eastAsia" w:ascii="宋体" w:hAnsi="宋体" w:cs="宋体"/>
          <w:b/>
          <w:bCs/>
          <w:color w:val="auto"/>
          <w:highlight w:val="none"/>
        </w:rPr>
        <w:t>提供无在建工程承诺书或证明，格式自拟</w:t>
      </w:r>
      <w:r>
        <w:rPr>
          <w:rFonts w:hint="eastAsia" w:ascii="宋体" w:hAnsi="宋体" w:cs="宋体"/>
          <w:color w:val="auto"/>
          <w:highlight w:val="none"/>
        </w:rPr>
        <w:t>。</w:t>
      </w:r>
    </w:p>
    <w:p w14:paraId="4A3BFC77">
      <w:pPr>
        <w:spacing w:line="308"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7、本项目属于专门面向中小微企业采购的项目，供应商应为中小微企业、监狱企业、残疾人福利性单位。</w:t>
      </w:r>
    </w:p>
    <w:p w14:paraId="7A514149">
      <w:pPr>
        <w:spacing w:line="308" w:lineRule="auto"/>
        <w:ind w:firstLine="482"/>
        <w:jc w:val="left"/>
        <w:rPr>
          <w:rFonts w:ascii="宋体" w:hAnsi="宋体" w:cs="宋体"/>
          <w:bCs/>
          <w:color w:val="auto"/>
          <w:sz w:val="24"/>
          <w:szCs w:val="24"/>
          <w:highlight w:val="none"/>
        </w:rPr>
      </w:pPr>
      <w:r>
        <w:rPr>
          <w:rFonts w:hint="eastAsia" w:ascii="宋体" w:hAnsi="宋体" w:cs="宋体"/>
          <w:bCs/>
          <w:color w:val="auto"/>
          <w:sz w:val="24"/>
          <w:szCs w:val="24"/>
          <w:highlight w:val="none"/>
        </w:rPr>
        <w:t>供应商为中小微企业（含中型、小型、微型企业，下同）的，</w:t>
      </w:r>
      <w:r>
        <w:rPr>
          <w:rFonts w:hint="eastAsia" w:ascii="宋体" w:hAnsi="宋体" w:cs="宋体"/>
          <w:b/>
          <w:color w:val="auto"/>
          <w:sz w:val="24"/>
          <w:szCs w:val="24"/>
          <w:highlight w:val="none"/>
        </w:rPr>
        <w:t>提供《中小企业声明函》原件（电子签章，填写完整。</w:t>
      </w:r>
      <w:r>
        <w:rPr>
          <w:rFonts w:hint="eastAsia" w:ascii="宋体" w:hAnsi="宋体" w:cs="宋体"/>
          <w:bCs/>
          <w:color w:val="auto"/>
          <w:sz w:val="24"/>
          <w:szCs w:val="24"/>
          <w:highlight w:val="none"/>
        </w:rPr>
        <w:t>格式见磋商文件《响应文件相关格式》</w:t>
      </w:r>
      <w:r>
        <w:rPr>
          <w:rFonts w:hint="eastAsia" w:ascii="宋体" w:hAnsi="宋体" w:cs="宋体"/>
          <w:b/>
          <w:color w:val="auto"/>
          <w:sz w:val="24"/>
          <w:szCs w:val="24"/>
          <w:highlight w:val="none"/>
        </w:rPr>
        <w:t>）</w:t>
      </w:r>
      <w:r>
        <w:rPr>
          <w:rFonts w:hint="eastAsia" w:ascii="宋体" w:hAnsi="宋体" w:cs="宋体"/>
          <w:bCs/>
          <w:color w:val="auto"/>
          <w:sz w:val="24"/>
          <w:szCs w:val="24"/>
          <w:highlight w:val="none"/>
        </w:rPr>
        <w:t>。《中小企业声明函》查询渠道用微信搜索“中小企业规模类型自测小程序”；</w:t>
      </w:r>
    </w:p>
    <w:p w14:paraId="1A42887B">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注：中小微企业，应当符合以下条件：</w:t>
      </w:r>
    </w:p>
    <w:p w14:paraId="057A8D03">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498053A7">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供应商为残疾人福利性单位的，视同小微企业，提供《残疾人福利性单位声明函》（电子签章，格式见附件》）。具体以《关于促进残疾人就业政府采购政策的通知》（财库〔2017〕141号）的规定为准。</w:t>
      </w:r>
    </w:p>
    <w:p w14:paraId="5B1603E9">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6505ACCD">
      <w:pPr>
        <w:spacing w:line="308"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（三）符合性审查条件（必须提供，否则</w:t>
      </w:r>
      <w:r>
        <w:rPr>
          <w:rFonts w:hint="eastAsia" w:ascii="宋体" w:hAnsi="宋体" w:cs="宋体"/>
          <w:b/>
          <w:color w:val="auto"/>
          <w:sz w:val="24"/>
          <w:szCs w:val="24"/>
          <w:highlight w:val="none"/>
        </w:rPr>
        <w:t>响应无效</w:t>
      </w:r>
      <w:r>
        <w:rPr>
          <w:rFonts w:hint="eastAsia" w:ascii="宋体" w:hAnsi="宋体" w:cs="宋体"/>
          <w:b/>
          <w:bCs/>
          <w:color w:val="auto"/>
          <w:sz w:val="24"/>
          <w:szCs w:val="24"/>
          <w:highlight w:val="none"/>
        </w:rPr>
        <w:t>）</w:t>
      </w:r>
    </w:p>
    <w:p w14:paraId="25C33401">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1、《承诺书》（加盖电子签章，格式见磋商文件《响应文件相关格式》）（必须提供，否则响应无效）；</w:t>
      </w:r>
    </w:p>
    <w:p w14:paraId="4CAEC3AF">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2、《磋商报价表》（加盖电子签章，格式见《响应文件相关格式》）（必须提供，否则响应无效）；（磋商文件格式与客户端格式不同，以《响应文件相关格式》为准，但首次报价必须相同）；</w:t>
      </w:r>
    </w:p>
    <w:p w14:paraId="6795E8B0">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3、《分项价格表》（具有标价的工程量清单与报价表）（必须提供，否则响应无效）（加盖电子签章，格式见磋商文件《响应文件相关格式》）；</w:t>
      </w:r>
    </w:p>
    <w:p w14:paraId="7D0C9927">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4、《偏离表》（必须提供，否则响应无效）（加盖电子签章，格式见磋商文件《响应文件相关格式》）；</w:t>
      </w:r>
    </w:p>
    <w:p w14:paraId="675C589D">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5、《授权委托书》（加盖电子签章，格式见磋商文件《响应文件相关格式》）（必须提供，否则响应无效）；授权委托书中受托人身份证复印件（必须提供，否则响应无效）；</w:t>
      </w:r>
    </w:p>
    <w:p w14:paraId="5CC06B28">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6、</w:t>
      </w:r>
      <w:r>
        <w:rPr>
          <w:rFonts w:hint="eastAsia" w:ascii="宋体" w:hAnsi="宋体" w:cs="宋体"/>
          <w:b/>
          <w:bCs/>
          <w:color w:val="auto"/>
          <w:highlight w:val="none"/>
        </w:rPr>
        <w:t>项目负责人无在建工程，提供《项目负责人无在建工程承诺书》（加盖电子签章，格式见磋商文件《响应文件相关格式》）（必须提供，否则响应无效）</w:t>
      </w:r>
      <w:r>
        <w:rPr>
          <w:rFonts w:hint="eastAsia" w:ascii="宋体" w:hAnsi="宋体" w:cs="宋体"/>
          <w:color w:val="auto"/>
          <w:highlight w:val="none"/>
        </w:rPr>
        <w:t>。</w:t>
      </w:r>
    </w:p>
    <w:p w14:paraId="5CDBBB7D">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7、《投标承诺书》</w:t>
      </w:r>
      <w:bookmarkStart w:id="39" w:name="OLE_LINK1"/>
      <w:r>
        <w:rPr>
          <w:rFonts w:hint="eastAsia" w:ascii="宋体" w:hAnsi="宋体" w:cs="宋体"/>
          <w:color w:val="auto"/>
          <w:highlight w:val="none"/>
        </w:rPr>
        <w:t>（加盖电子签章，格式见磋商文件《响应文件相关格式》）（必须提供，否则响应无效）</w:t>
      </w:r>
      <w:bookmarkEnd w:id="39"/>
      <w:r>
        <w:rPr>
          <w:rFonts w:hint="eastAsia" w:ascii="宋体" w:hAnsi="宋体" w:cs="宋体"/>
          <w:color w:val="auto"/>
          <w:highlight w:val="none"/>
        </w:rPr>
        <w:t>。</w:t>
      </w:r>
    </w:p>
    <w:p w14:paraId="74B4A211">
      <w:pPr>
        <w:pStyle w:val="37"/>
        <w:spacing w:line="308" w:lineRule="auto"/>
        <w:ind w:firstLine="480"/>
        <w:jc w:val="left"/>
        <w:rPr>
          <w:rFonts w:ascii="宋体" w:hAnsi="宋体" w:cs="宋体"/>
          <w:b/>
          <w:bCs/>
          <w:color w:val="auto"/>
          <w:highlight w:val="none"/>
        </w:rPr>
      </w:pPr>
      <w:r>
        <w:rPr>
          <w:rFonts w:hint="eastAsia" w:ascii="宋体" w:hAnsi="宋体" w:cs="宋体"/>
          <w:color w:val="auto"/>
          <w:highlight w:val="none"/>
        </w:rPr>
        <w:t>8、《无不良行为承诺书》 供应商近三年内没有被司法部门或行业管理部门查处；没有处于被责令停业、财产被接管、冻结、破产等状态；企业没有骗取中标或者严重违约以及质量安全责任事故；企业没有拖欠工人工资等问题；没有被有关部门暂停投标资格或行贿受贿等不良行为记录。</w:t>
      </w:r>
      <w:bookmarkStart w:id="40" w:name="OLE_LINK4"/>
      <w:r>
        <w:rPr>
          <w:rFonts w:hint="eastAsia" w:ascii="宋体" w:hAnsi="宋体" w:cs="宋体"/>
          <w:b/>
          <w:bCs/>
          <w:color w:val="auto"/>
          <w:highlight w:val="none"/>
        </w:rPr>
        <w:t>（加盖电子签章，格式见磋商文件《响应文件相关格式》）（必须提供，否则响应无效）</w:t>
      </w:r>
      <w:bookmarkEnd w:id="40"/>
      <w:r>
        <w:rPr>
          <w:rFonts w:hint="eastAsia" w:ascii="宋体" w:hAnsi="宋体" w:cs="宋体"/>
          <w:b/>
          <w:bCs/>
          <w:color w:val="auto"/>
          <w:highlight w:val="none"/>
        </w:rPr>
        <w:t>。</w:t>
      </w:r>
    </w:p>
    <w:p w14:paraId="50BA6973">
      <w:pPr>
        <w:pStyle w:val="37"/>
        <w:spacing w:line="308" w:lineRule="auto"/>
        <w:ind w:firstLine="480"/>
        <w:jc w:val="left"/>
        <w:rPr>
          <w:rFonts w:hint="eastAsia" w:ascii="宋体" w:hAnsi="宋体" w:cs="宋体"/>
          <w:color w:val="auto"/>
          <w:highlight w:val="none"/>
        </w:rPr>
      </w:pPr>
      <w:r>
        <w:rPr>
          <w:rFonts w:hint="eastAsia" w:ascii="宋体" w:hAnsi="宋体" w:cs="宋体"/>
          <w:b/>
          <w:bCs/>
          <w:color w:val="auto"/>
          <w:highlight w:val="none"/>
        </w:rPr>
        <w:t>9、承包人主要施工管理人员表</w:t>
      </w:r>
      <w:r>
        <w:rPr>
          <w:rFonts w:hint="eastAsia" w:ascii="宋体" w:hAnsi="宋体" w:cs="宋体"/>
          <w:color w:val="auto"/>
          <w:highlight w:val="none"/>
        </w:rPr>
        <w:t>（加盖电子签章，格式见磋商文件《响应文件相关格式》）。</w:t>
      </w:r>
    </w:p>
    <w:p w14:paraId="4AF3700E">
      <w:pPr>
        <w:pStyle w:val="73"/>
        <w:widowControl w:val="0"/>
        <w:spacing w:line="308" w:lineRule="auto"/>
        <w:ind w:firstLine="480" w:firstLineChars="200"/>
        <w:jc w:val="left"/>
        <w:rPr>
          <w:rStyle w:val="272"/>
          <w:rFonts w:hAnsi="宋体" w:cs="宋体"/>
          <w:color w:val="auto"/>
          <w:szCs w:val="24"/>
          <w:highlight w:val="none"/>
        </w:rPr>
      </w:pPr>
      <w:r>
        <w:rPr>
          <w:rStyle w:val="272"/>
          <w:rFonts w:hint="eastAsia" w:hAnsi="宋体" w:cs="宋体"/>
          <w:color w:val="auto"/>
          <w:szCs w:val="24"/>
          <w:highlight w:val="none"/>
        </w:rPr>
        <w:t>说明：</w:t>
      </w:r>
    </w:p>
    <w:p w14:paraId="4444940D">
      <w:pPr>
        <w:pStyle w:val="73"/>
        <w:widowControl w:val="0"/>
        <w:spacing w:line="308"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1、本项目不接受联合体参与采购活动。</w:t>
      </w:r>
    </w:p>
    <w:p w14:paraId="11684B05">
      <w:pPr>
        <w:adjustRightInd w:val="0"/>
        <w:snapToGrid w:val="0"/>
        <w:spacing w:line="312" w:lineRule="auto"/>
        <w:ind w:firstLine="480" w:firstLineChars="200"/>
        <w:jc w:val="left"/>
        <w:rPr>
          <w:rFonts w:ascii="宋体" w:hAnsi="宋体" w:cs="宋体"/>
          <w:b/>
          <w:bCs/>
          <w:color w:val="auto"/>
          <w:sz w:val="24"/>
          <w:szCs w:val="24"/>
          <w:highlight w:val="none"/>
        </w:rPr>
      </w:pPr>
      <w:r>
        <w:rPr>
          <w:rStyle w:val="272"/>
          <w:rFonts w:hint="eastAsia" w:hAnsi="宋体" w:cs="宋体"/>
          <w:color w:val="auto"/>
          <w:szCs w:val="24"/>
          <w:highlight w:val="none"/>
        </w:rPr>
        <w:t>2、单位负责人为同一人或者存在直接控股、管理关系的不同供应商，不得参加同一合同项下的政府采购活动。</w:t>
      </w:r>
      <w:r>
        <w:rPr>
          <w:rFonts w:hint="eastAsia" w:ascii="宋体" w:hAnsi="宋体" w:cs="宋体"/>
          <w:b/>
          <w:bCs/>
          <w:color w:val="auto"/>
          <w:sz w:val="24"/>
          <w:szCs w:val="24"/>
          <w:highlight w:val="none"/>
        </w:rPr>
        <w:t>（提供《承诺书》格式自拟，加盖电子签章）</w:t>
      </w:r>
    </w:p>
    <w:p w14:paraId="54F5CCC6">
      <w:pPr>
        <w:adjustRightInd w:val="0"/>
        <w:snapToGrid w:val="0"/>
        <w:spacing w:line="312" w:lineRule="auto"/>
        <w:ind w:firstLine="480" w:firstLineChars="200"/>
        <w:jc w:val="left"/>
        <w:rPr>
          <w:rFonts w:hint="eastAsia" w:ascii="宋体" w:hAnsi="宋体" w:cs="宋体"/>
          <w:color w:val="auto"/>
          <w:highlight w:val="none"/>
        </w:rPr>
      </w:pPr>
      <w:r>
        <w:rPr>
          <w:rStyle w:val="272"/>
          <w:rFonts w:hint="eastAsia" w:hAnsi="宋体" w:cs="宋体"/>
          <w:color w:val="auto"/>
          <w:szCs w:val="24"/>
          <w:highlight w:val="none"/>
        </w:rPr>
        <w:t>3、为本采购项目提供整体设计、规范编制或者项目管理、审查等服务的供应商，不得再参加本采购项目的采购活动。</w:t>
      </w:r>
      <w:r>
        <w:rPr>
          <w:rFonts w:hint="eastAsia" w:ascii="宋体" w:hAnsi="宋体" w:cs="宋体"/>
          <w:b/>
          <w:bCs/>
          <w:color w:val="auto"/>
          <w:sz w:val="24"/>
          <w:szCs w:val="24"/>
          <w:highlight w:val="none"/>
        </w:rPr>
        <w:t>（提供《承诺书》格式自拟，加盖电子签章）</w:t>
      </w:r>
    </w:p>
    <w:p w14:paraId="1A6C439C">
      <w:pPr>
        <w:spacing w:line="308"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（四）综合评审评分项</w:t>
      </w:r>
    </w:p>
    <w:p w14:paraId="466A818D">
      <w:pPr>
        <w:spacing w:line="308"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1、技术部分</w:t>
      </w:r>
    </w:p>
    <w:p w14:paraId="7EF8DBCE">
      <w:pPr>
        <w:spacing w:line="308"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要求见《磋商文件》第八章《评分细则》及第九章《项目要求（采购需求）》。</w:t>
      </w:r>
    </w:p>
    <w:p w14:paraId="2C156905">
      <w:pPr>
        <w:spacing w:line="308"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2、商务部分</w:t>
      </w:r>
    </w:p>
    <w:p w14:paraId="4C6AAFF8">
      <w:pPr>
        <w:spacing w:line="308"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要求见《磋商文件》第八章《评分细则》及第九章《项目要求（采购需求）》。</w:t>
      </w:r>
    </w:p>
    <w:p w14:paraId="33ED9E0D">
      <w:pPr>
        <w:spacing w:line="308"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3、评分细则中评分得分需提供的相关证明文件扫描件或供应商认为需要提供的其他资料扫描件。</w:t>
      </w:r>
    </w:p>
    <w:p w14:paraId="3DD53436">
      <w:pPr>
        <w:spacing w:line="308" w:lineRule="auto"/>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（五）价格折扣文件</w:t>
      </w:r>
      <w:r>
        <w:rPr>
          <w:rFonts w:hint="eastAsia" w:ascii="宋体" w:hAnsi="宋体" w:cs="宋体"/>
          <w:color w:val="auto"/>
          <w:sz w:val="24"/>
          <w:szCs w:val="24"/>
          <w:highlight w:val="none"/>
        </w:rPr>
        <w:t xml:space="preserve"> ： 企业报价折扣证明：无。</w:t>
      </w:r>
    </w:p>
    <w:p w14:paraId="3740CD24">
      <w:pPr>
        <w:spacing w:line="308" w:lineRule="auto"/>
        <w:jc w:val="left"/>
        <w:rPr>
          <w:rFonts w:ascii="宋体" w:hAnsi="宋体" w:cs="宋体"/>
          <w:b/>
          <w:color w:val="auto"/>
          <w:sz w:val="24"/>
          <w:szCs w:val="24"/>
          <w:highlight w:val="none"/>
        </w:rPr>
      </w:pPr>
      <w:bookmarkStart w:id="41" w:name="_Toc16925"/>
      <w:r>
        <w:rPr>
          <w:rFonts w:hint="eastAsia" w:ascii="宋体" w:hAnsi="宋体" w:cs="宋体"/>
          <w:b/>
          <w:color w:val="auto"/>
          <w:sz w:val="24"/>
          <w:szCs w:val="24"/>
          <w:highlight w:val="none"/>
        </w:rPr>
        <w:t>十三、提交的首次响应文件的密封、签署、盖章要求：</w:t>
      </w:r>
      <w:bookmarkEnd w:id="41"/>
    </w:p>
    <w:p w14:paraId="4C0AA988">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1、密封（加密）要求：</w:t>
      </w:r>
    </w:p>
    <w:p w14:paraId="50169CDF">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供应商应当按照《磋商文件》和“苏采云”系统的要求编制并加密响应文件。本项目供应商须通过“苏采云”系统提供的政府采购客户端工具（使用“CA数字证书”）对其数据电文形式的响应文件加密。</w:t>
      </w:r>
    </w:p>
    <w:p w14:paraId="0E8D0862">
      <w:pPr>
        <w:spacing w:line="308" w:lineRule="auto"/>
        <w:ind w:firstLine="482"/>
        <w:jc w:val="left"/>
        <w:rPr>
          <w:rFonts w:ascii="宋体" w:hAnsi="宋体" w:cs="宋体"/>
          <w:bCs/>
          <w:color w:val="auto"/>
          <w:sz w:val="24"/>
          <w:szCs w:val="24"/>
          <w:highlight w:val="none"/>
        </w:rPr>
      </w:pPr>
      <w:r>
        <w:rPr>
          <w:rFonts w:hint="eastAsia" w:ascii="宋体" w:hAnsi="宋体" w:cs="宋体"/>
          <w:b/>
          <w:color w:val="auto"/>
          <w:sz w:val="24"/>
          <w:szCs w:val="24"/>
          <w:highlight w:val="none"/>
        </w:rPr>
        <w:t>2、签署要求：</w:t>
      </w:r>
      <w:r>
        <w:rPr>
          <w:rFonts w:hint="eastAsia" w:ascii="宋体" w:hAnsi="宋体" w:cs="宋体"/>
          <w:bCs/>
          <w:color w:val="auto"/>
          <w:sz w:val="24"/>
          <w:szCs w:val="24"/>
          <w:highlight w:val="none"/>
        </w:rPr>
        <w:t>见《磋商文件》第十章《响应文件相关格式》要求。</w:t>
      </w:r>
    </w:p>
    <w:p w14:paraId="53874442">
      <w:pPr>
        <w:spacing w:line="308" w:lineRule="auto"/>
        <w:ind w:firstLine="482"/>
        <w:jc w:val="left"/>
        <w:rPr>
          <w:rFonts w:ascii="宋体" w:hAnsi="宋体" w:cs="宋体"/>
          <w:b/>
          <w:color w:val="auto"/>
          <w:sz w:val="24"/>
          <w:szCs w:val="24"/>
          <w:highlight w:val="none"/>
        </w:rPr>
      </w:pPr>
      <w:r>
        <w:rPr>
          <w:rFonts w:hint="eastAsia" w:ascii="宋体" w:hAnsi="宋体" w:cs="宋体"/>
          <w:b/>
          <w:bCs/>
          <w:color w:val="auto"/>
          <w:sz w:val="24"/>
          <w:szCs w:val="24"/>
          <w:highlight w:val="none"/>
        </w:rPr>
        <w:t>特别提醒：竞争性磋商文件中如需“被授权代表签字或盖章”，供应商可打印成文档，签字或盖章后再扫描上传，最后再电子签章。</w:t>
      </w:r>
    </w:p>
    <w:p w14:paraId="07527BB6">
      <w:pPr>
        <w:spacing w:line="308" w:lineRule="auto"/>
        <w:ind w:firstLine="482"/>
        <w:jc w:val="left"/>
        <w:rPr>
          <w:rFonts w:ascii="宋体" w:hAnsi="宋体" w:cs="宋体"/>
          <w:bCs/>
          <w:color w:val="auto"/>
          <w:sz w:val="24"/>
          <w:szCs w:val="24"/>
          <w:highlight w:val="none"/>
        </w:rPr>
      </w:pPr>
      <w:r>
        <w:rPr>
          <w:rFonts w:hint="eastAsia" w:ascii="宋体" w:hAnsi="宋体" w:cs="宋体"/>
          <w:b/>
          <w:color w:val="auto"/>
          <w:sz w:val="24"/>
          <w:szCs w:val="24"/>
          <w:highlight w:val="none"/>
        </w:rPr>
        <w:t>3、盖章要求：</w:t>
      </w:r>
      <w:r>
        <w:rPr>
          <w:rFonts w:hint="eastAsia" w:ascii="宋体" w:hAnsi="宋体" w:cs="宋体"/>
          <w:bCs/>
          <w:color w:val="auto"/>
          <w:sz w:val="24"/>
          <w:szCs w:val="24"/>
          <w:highlight w:val="none"/>
        </w:rPr>
        <w:t>见《磋商文件》第十章《响应文件相关格式》要求。供应商须通过“苏采云”系统提供的政府采购客户端工具（使用“CA数字证书”）加盖电子签章。</w:t>
      </w:r>
    </w:p>
    <w:p w14:paraId="02609F88">
      <w:pPr>
        <w:spacing w:line="308" w:lineRule="auto"/>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4、说明：通过“苏采云”系统提交政府采购客户端工具导出加密的响应文件（后缀名为zip）。响应文件不得超</w:t>
      </w:r>
      <w:r>
        <w:rPr>
          <w:rFonts w:hint="eastAsia" w:ascii="宋体" w:hAnsi="宋体" w:cs="宋体"/>
          <w:b/>
          <w:bCs/>
          <w:color w:val="auto"/>
          <w:sz w:val="24"/>
          <w:szCs w:val="24"/>
          <w:highlight w:val="none"/>
        </w:rPr>
        <w:t xml:space="preserve">过150M！（以系统为准） </w:t>
      </w:r>
    </w:p>
    <w:p w14:paraId="4FD4D08A">
      <w:pPr>
        <w:spacing w:line="308"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5、特别说明：</w:t>
      </w:r>
    </w:p>
    <w:p w14:paraId="32511773">
      <w:pPr>
        <w:spacing w:line="308"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5.1供应商应当按照《磋商文件》的要求编制响应文件，并对其提交的响应文件的真实性、合法性承担法律责任。</w:t>
      </w:r>
    </w:p>
    <w:p w14:paraId="6BFD7509">
      <w:pPr>
        <w:spacing w:line="308" w:lineRule="auto"/>
        <w:ind w:firstLine="480"/>
        <w:jc w:val="left"/>
        <w:rPr>
          <w:rFonts w:ascii="宋体" w:hAnsi="宋体" w:cs="宋体"/>
          <w:bCs/>
          <w:color w:val="auto"/>
          <w:sz w:val="24"/>
          <w:szCs w:val="24"/>
          <w:highlight w:val="none"/>
        </w:rPr>
      </w:pPr>
      <w:r>
        <w:rPr>
          <w:rFonts w:hint="eastAsia" w:ascii="宋体" w:hAnsi="宋体" w:cs="宋体"/>
          <w:b/>
          <w:color w:val="auto"/>
          <w:sz w:val="24"/>
          <w:szCs w:val="24"/>
          <w:highlight w:val="none"/>
        </w:rPr>
        <w:t>5.2纸质响应文件：供应商中标（成交）后，须在领取中标通知书前向代理机构提供</w:t>
      </w:r>
      <w:bookmarkStart w:id="42" w:name="_Hlk105221193"/>
      <w:r>
        <w:rPr>
          <w:rFonts w:hint="eastAsia" w:ascii="宋体" w:hAnsi="宋体" w:cs="宋体"/>
          <w:b/>
          <w:color w:val="auto"/>
          <w:sz w:val="24"/>
          <w:szCs w:val="24"/>
          <w:highlight w:val="none"/>
        </w:rPr>
        <w:t>纸质版响应文件正本一份（和上传的电子投标文件一致，并加盖鲜章），副本四份（可以是正本的复印件）及电子响应文件1份（U盘形式，和上传的电子投标文件一致）</w:t>
      </w:r>
      <w:bookmarkEnd w:id="42"/>
      <w:r>
        <w:rPr>
          <w:rFonts w:hint="eastAsia" w:ascii="宋体" w:hAnsi="宋体" w:cs="宋体"/>
          <w:bCs/>
          <w:color w:val="auto"/>
          <w:sz w:val="24"/>
          <w:szCs w:val="24"/>
          <w:highlight w:val="none"/>
        </w:rPr>
        <w:t>。采购人索取成交供应商的响应文件，须在双方签订政府采购合同后，由采购代理机构提供给采购人。</w:t>
      </w:r>
    </w:p>
    <w:p w14:paraId="757FC770">
      <w:pPr>
        <w:pStyle w:val="88"/>
        <w:keepNext w:val="0"/>
        <w:keepLines w:val="0"/>
        <w:widowControl w:val="0"/>
        <w:spacing w:before="0" w:after="0" w:line="308" w:lineRule="auto"/>
        <w:jc w:val="center"/>
        <w:rPr>
          <w:rStyle w:val="272"/>
          <w:rFonts w:hAnsi="宋体" w:cs="宋体"/>
          <w:color w:val="auto"/>
          <w:szCs w:val="40"/>
          <w:highlight w:val="none"/>
        </w:rPr>
      </w:pPr>
      <w:bookmarkStart w:id="43" w:name="_Toc11073"/>
      <w:bookmarkStart w:id="44" w:name="_Toc6508"/>
      <w:bookmarkStart w:id="45" w:name="_Toc7628"/>
      <w:r>
        <w:rPr>
          <w:rStyle w:val="272"/>
          <w:rFonts w:hint="eastAsia" w:hAnsi="宋体" w:cs="宋体"/>
          <w:color w:val="auto"/>
          <w:szCs w:val="40"/>
          <w:highlight w:val="none"/>
        </w:rPr>
        <w:t>第三章 磋商相关说明</w:t>
      </w:r>
      <w:bookmarkEnd w:id="43"/>
      <w:bookmarkEnd w:id="44"/>
      <w:bookmarkEnd w:id="45"/>
    </w:p>
    <w:p w14:paraId="4213068E">
      <w:pPr>
        <w:widowControl w:val="0"/>
        <w:spacing w:line="308" w:lineRule="auto"/>
        <w:jc w:val="left"/>
        <w:rPr>
          <w:rFonts w:ascii="宋体" w:hAnsi="宋体" w:cs="宋体"/>
          <w:color w:val="auto"/>
          <w:sz w:val="24"/>
          <w:szCs w:val="24"/>
          <w:highlight w:val="none"/>
        </w:rPr>
      </w:pPr>
      <w:bookmarkStart w:id="46" w:name="_Toc25648"/>
      <w:bookmarkStart w:id="47" w:name="_Toc3370"/>
      <w:r>
        <w:rPr>
          <w:rFonts w:hint="eastAsia" w:ascii="宋体" w:hAnsi="宋体" w:cs="宋体"/>
          <w:color w:val="auto"/>
          <w:sz w:val="24"/>
          <w:szCs w:val="24"/>
          <w:highlight w:val="none"/>
        </w:rPr>
        <w:t>十四、磋商</w:t>
      </w:r>
      <w:bookmarkEnd w:id="46"/>
      <w:bookmarkEnd w:id="47"/>
      <w:r>
        <w:rPr>
          <w:rFonts w:hint="eastAsia" w:ascii="宋体" w:hAnsi="宋体" w:cs="宋体"/>
          <w:color w:val="auto"/>
          <w:sz w:val="24"/>
          <w:szCs w:val="24"/>
          <w:highlight w:val="none"/>
        </w:rPr>
        <w:t>程序</w:t>
      </w:r>
    </w:p>
    <w:p w14:paraId="6EEF3A98">
      <w:pPr>
        <w:widowControl w:val="0"/>
        <w:spacing w:line="312" w:lineRule="auto"/>
        <w:ind w:firstLine="480"/>
        <w:jc w:val="left"/>
        <w:rPr>
          <w:rFonts w:ascii="宋体" w:hAnsi="宋体" w:cs="宋体"/>
          <w:color w:val="auto"/>
          <w:sz w:val="24"/>
          <w:szCs w:val="24"/>
          <w:highlight w:val="none"/>
        </w:rPr>
      </w:pPr>
      <w:bookmarkStart w:id="48" w:name="_Toc20817"/>
      <w:bookmarkStart w:id="49" w:name="_Toc29195"/>
      <w:r>
        <w:rPr>
          <w:rFonts w:hint="eastAsia" w:ascii="宋体" w:hAnsi="宋体" w:cs="宋体"/>
          <w:color w:val="auto"/>
          <w:sz w:val="24"/>
          <w:szCs w:val="24"/>
          <w:highlight w:val="none"/>
        </w:rPr>
        <w:t>（一）磋商要求</w:t>
      </w:r>
    </w:p>
    <w:p w14:paraId="6AA7BE38">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1、被邀请参与磋商的供应商需按本竞争性磋商文件要求的截止时间、方式（地点）提交首次响应文件，同时派人通过“苏采云”系统在“开标大厅”等待磋商。</w:t>
      </w:r>
    </w:p>
    <w:p w14:paraId="403964DA">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2、供应商可通过CA数字证书，在首次响应文件开启时间后，使用CA数字证书在规定时间内解密各自响应文件。</w:t>
      </w:r>
    </w:p>
    <w:p w14:paraId="74DED85B">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3、磋商顺序按照电子标书解密先后时间进行，解密时间相同的，不分先后顺序。</w:t>
      </w:r>
    </w:p>
    <w:p w14:paraId="241F211B">
      <w:pPr>
        <w:spacing w:line="312" w:lineRule="auto"/>
        <w:ind w:firstLine="482"/>
        <w:rPr>
          <w:rFonts w:ascii="宋体" w:hAnsi="宋体" w:cs="宋体"/>
          <w:color w:val="auto"/>
          <w:highlight w:val="none"/>
        </w:rPr>
      </w:pPr>
      <w:r>
        <w:rPr>
          <w:rFonts w:hint="eastAsia" w:ascii="宋体" w:hAnsi="宋体" w:cs="宋体"/>
          <w:color w:val="auto"/>
          <w:sz w:val="24"/>
          <w:szCs w:val="24"/>
          <w:highlight w:val="none"/>
        </w:rPr>
        <w:t>4、磋商方式：本次磋商采用“苏采云”系统中的视频会议，供应商自行选择任意地点参加远程磋商会议。请供应商在磋商前等候在开标大厅，随时接听磋商小组发出的磋商视频邀请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sz w:val="24"/>
          <w:szCs w:val="24"/>
          <w:highlight w:val="none"/>
        </w:rPr>
        <w:t>（所有邀请等待时间2分钟，2分钟内所邀请供应商无响应，视同放弃磋商的权利，由解密顺序下一家进行磋商，不再后补）</w:t>
      </w:r>
      <w:r>
        <w:rPr>
          <w:rFonts w:hint="eastAsia" w:ascii="宋体" w:hAnsi="宋体" w:cs="宋体"/>
          <w:color w:val="auto"/>
          <w:sz w:val="24"/>
          <w:szCs w:val="24"/>
          <w:highlight w:val="none"/>
        </w:rPr>
        <w:t>。</w:t>
      </w:r>
    </w:p>
    <w:p w14:paraId="5945E0FF">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5、未在规定时间内进行答疑澄清的，视同放弃澄清。</w:t>
      </w:r>
    </w:p>
    <w:p w14:paraId="68D58ED2">
      <w:pPr>
        <w:spacing w:line="312" w:lineRule="auto"/>
        <w:ind w:firstLine="482"/>
        <w:jc w:val="left"/>
        <w:rPr>
          <w:rFonts w:ascii="宋体" w:hAnsi="宋体" w:cs="宋体"/>
          <w:b/>
          <w:bCs/>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bCs/>
          <w:color w:val="auto"/>
          <w:sz w:val="24"/>
          <w:szCs w:val="24"/>
          <w:highlight w:val="none"/>
        </w:rPr>
        <w:t>未在规定时间内进行报价的，视为响应无效。</w:t>
      </w:r>
    </w:p>
    <w:p w14:paraId="63D4F59D">
      <w:pPr>
        <w:spacing w:line="312" w:lineRule="auto"/>
        <w:ind w:firstLine="48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注：各供应商在未进行第二次报价前，请不要离开开标系统，随时接受评标委员会提出的二次报价，因供应商未能及时二次报价而引起的废标及损失，由供应商负责。</w:t>
      </w:r>
    </w:p>
    <w:p w14:paraId="7BDF7461">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7、被邀请参与磋商的供应商如未按上述磋商要求执行，</w:t>
      </w:r>
      <w:r>
        <w:rPr>
          <w:rFonts w:hint="eastAsia" w:ascii="宋体" w:hAnsi="宋体" w:cs="宋体"/>
          <w:b/>
          <w:bCs/>
          <w:color w:val="auto"/>
          <w:sz w:val="24"/>
          <w:szCs w:val="24"/>
          <w:highlight w:val="none"/>
        </w:rPr>
        <w:t>视同放弃磋商的权利</w:t>
      </w:r>
      <w:r>
        <w:rPr>
          <w:rFonts w:hint="eastAsia" w:ascii="宋体" w:hAnsi="宋体" w:cs="宋体"/>
          <w:color w:val="auto"/>
          <w:sz w:val="24"/>
          <w:szCs w:val="24"/>
          <w:highlight w:val="none"/>
        </w:rPr>
        <w:t>。</w:t>
      </w:r>
    </w:p>
    <w:p w14:paraId="4680A01A">
      <w:pPr>
        <w:pStyle w:val="73"/>
        <w:widowControl w:val="0"/>
        <w:spacing w:line="312" w:lineRule="auto"/>
        <w:ind w:firstLine="480"/>
        <w:jc w:val="left"/>
        <w:rPr>
          <w:rStyle w:val="272"/>
          <w:rFonts w:hAnsi="宋体" w:cs="宋体"/>
          <w:color w:val="auto"/>
          <w:szCs w:val="24"/>
          <w:highlight w:val="none"/>
        </w:rPr>
      </w:pPr>
      <w:r>
        <w:rPr>
          <w:rFonts w:hint="eastAsia" w:ascii="宋体" w:hAnsi="宋体" w:cs="宋体"/>
          <w:color w:val="auto"/>
          <w:sz w:val="24"/>
          <w:szCs w:val="24"/>
          <w:highlight w:val="none"/>
        </w:rPr>
        <w:t xml:space="preserve">（二） </w:t>
      </w:r>
      <w:r>
        <w:rPr>
          <w:rStyle w:val="272"/>
          <w:rFonts w:hint="eastAsia" w:hAnsi="宋体" w:cs="宋体"/>
          <w:color w:val="auto"/>
          <w:szCs w:val="24"/>
          <w:highlight w:val="none"/>
        </w:rPr>
        <w:t>查询及使用供应商信用记录：</w:t>
      </w:r>
    </w:p>
    <w:p w14:paraId="4F8AF0D1">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⑴由采购人查询信用信息。</w:t>
      </w:r>
    </w:p>
    <w:p w14:paraId="204566EE">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⑵查询渠道包括：</w:t>
      </w:r>
    </w:p>
    <w:p w14:paraId="218A8C9C">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①“信用中国”网（www.creditchina.gov.cn）；</w:t>
      </w:r>
    </w:p>
    <w:p w14:paraId="5B40EF79">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②中国政府采购网（www.ccgp.gov.cn）；</w:t>
      </w:r>
    </w:p>
    <w:p w14:paraId="652FD4A3">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③“信用江苏”网（http://www.jscredit.gov.cn/）；</w:t>
      </w:r>
    </w:p>
    <w:p w14:paraId="76FD6FB1">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④“信用中国（江苏徐州）”网（ http://</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Style w:val="272"/>
          <w:rFonts w:hint="eastAsia" w:hAnsi="宋体" w:cs="宋体"/>
          <w:color w:val="auto"/>
          <w:szCs w:val="24"/>
          <w:highlight w:val="none"/>
        </w:rPr>
        <w:t>www.xuzhoucredit.gov.cn）。</w:t>
      </w:r>
      <w:r>
        <w:rPr>
          <w:rStyle w:val="272"/>
          <w:rFonts w:hint="eastAsia" w:hAnsi="宋体" w:cs="宋体"/>
          <w:color w:val="auto"/>
          <w:szCs w:val="24"/>
          <w:highlight w:val="none"/>
        </w:rPr>
        <w:fldChar w:fldCharType="end"/>
      </w:r>
    </w:p>
    <w:p w14:paraId="73B2CA84">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⑶截止时点（查询环节）：首次响应文件开启后资格审查结束前。</w:t>
      </w:r>
    </w:p>
    <w:p w14:paraId="2D10157A">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⑷信用信息查询记录和证据留存的具体方式：网页截屏打印，与其他竞争性磋商文件一并保存。</w:t>
      </w:r>
    </w:p>
    <w:p w14:paraId="5D14B5F8">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⑸信用信息的使用规则：</w:t>
      </w:r>
    </w:p>
    <w:p w14:paraId="7E95E453">
      <w:pPr>
        <w:pStyle w:val="73"/>
        <w:widowControl w:val="0"/>
        <w:spacing w:line="312" w:lineRule="auto"/>
        <w:ind w:firstLine="480"/>
        <w:jc w:val="left"/>
        <w:rPr>
          <w:rStyle w:val="272"/>
          <w:rFonts w:hAnsi="宋体" w:cs="宋体"/>
          <w:color w:val="auto"/>
          <w:szCs w:val="24"/>
          <w:highlight w:val="none"/>
        </w:rPr>
      </w:pPr>
      <w:r>
        <w:rPr>
          <w:rStyle w:val="272"/>
          <w:rFonts w:hint="eastAsia" w:hAnsi="宋体" w:cs="宋体"/>
          <w:color w:val="auto"/>
          <w:szCs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5765404F">
      <w:pPr>
        <w:widowControl w:val="0"/>
        <w:spacing w:line="308"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十五、评审方法和评审标准</w:t>
      </w:r>
      <w:bookmarkEnd w:id="48"/>
      <w:bookmarkEnd w:id="49"/>
    </w:p>
    <w:p w14:paraId="6260EFCA">
      <w:pPr>
        <w:widowControl w:val="0"/>
        <w:spacing w:line="308" w:lineRule="auto"/>
        <w:ind w:firstLine="478"/>
        <w:jc w:val="left"/>
        <w:rPr>
          <w:rFonts w:ascii="宋体" w:hAnsi="宋体" w:cs="宋体"/>
          <w:color w:val="auto"/>
          <w:sz w:val="24"/>
          <w:szCs w:val="24"/>
          <w:highlight w:val="none"/>
        </w:rPr>
      </w:pPr>
      <w:r>
        <w:rPr>
          <w:rFonts w:hint="eastAsia" w:ascii="宋体" w:hAnsi="宋体" w:cs="宋体"/>
          <w:color w:val="auto"/>
          <w:sz w:val="24"/>
          <w:szCs w:val="24"/>
          <w:highlight w:val="none"/>
        </w:rPr>
        <w:t>1、评审方法：综合评估法</w:t>
      </w:r>
    </w:p>
    <w:p w14:paraId="3BDBF119">
      <w:pPr>
        <w:widowControl w:val="0"/>
        <w:spacing w:line="308" w:lineRule="auto"/>
        <w:ind w:firstLine="478"/>
        <w:jc w:val="left"/>
        <w:rPr>
          <w:rFonts w:ascii="宋体" w:hAnsi="宋体" w:cs="宋体"/>
          <w:color w:val="auto"/>
          <w:sz w:val="24"/>
          <w:szCs w:val="24"/>
          <w:highlight w:val="none"/>
        </w:rPr>
      </w:pPr>
      <w:r>
        <w:rPr>
          <w:rFonts w:hint="eastAsia" w:ascii="宋体" w:hAnsi="宋体" w:cs="宋体"/>
          <w:color w:val="auto"/>
          <w:sz w:val="24"/>
          <w:szCs w:val="24"/>
          <w:highlight w:val="none"/>
        </w:rPr>
        <w:t>2、评审标准：详见《评分细则》</w:t>
      </w:r>
    </w:p>
    <w:p w14:paraId="7FBD2851">
      <w:pPr>
        <w:widowControl w:val="0"/>
        <w:spacing w:line="308" w:lineRule="auto"/>
        <w:jc w:val="left"/>
        <w:rPr>
          <w:rFonts w:ascii="宋体" w:hAnsi="宋体" w:cs="宋体"/>
          <w:color w:val="auto"/>
          <w:sz w:val="24"/>
          <w:szCs w:val="24"/>
          <w:highlight w:val="none"/>
        </w:rPr>
      </w:pPr>
      <w:bookmarkStart w:id="50" w:name="_Toc16788"/>
      <w:bookmarkStart w:id="51" w:name="_Toc17674"/>
      <w:r>
        <w:rPr>
          <w:rFonts w:hint="eastAsia" w:ascii="宋体" w:hAnsi="宋体" w:cs="宋体"/>
          <w:color w:val="auto"/>
          <w:sz w:val="24"/>
          <w:szCs w:val="24"/>
          <w:highlight w:val="none"/>
        </w:rPr>
        <w:t>十六、评审程序</w:t>
      </w:r>
      <w:bookmarkEnd w:id="50"/>
      <w:bookmarkEnd w:id="51"/>
    </w:p>
    <w:p w14:paraId="16C09C45">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1、磋商评审小组的组建：磋商小组成员构成：3 人。磋商小组确定方式：采购人评委</w:t>
      </w:r>
      <w:r>
        <w:rPr>
          <w:rFonts w:hint="eastAsia" w:ascii="宋体" w:hAnsi="宋体" w:cs="宋体"/>
          <w:color w:val="auto"/>
          <w:sz w:val="24"/>
          <w:szCs w:val="24"/>
          <w:highlight w:val="none"/>
          <w:lang w:val="en-US" w:eastAsia="zh-CN"/>
        </w:rPr>
        <w:t>1人</w:t>
      </w:r>
      <w:r>
        <w:rPr>
          <w:rFonts w:hint="eastAsia" w:ascii="宋体" w:hAnsi="宋体" w:cs="宋体"/>
          <w:color w:val="auto"/>
          <w:sz w:val="24"/>
          <w:szCs w:val="24"/>
          <w:highlight w:val="none"/>
        </w:rPr>
        <w:t>和政府采购专家</w:t>
      </w:r>
      <w:r>
        <w:rPr>
          <w:rFonts w:hint="eastAsia" w:ascii="宋体" w:hAnsi="宋体" w:cs="宋体"/>
          <w:color w:val="auto"/>
          <w:sz w:val="24"/>
          <w:szCs w:val="24"/>
          <w:highlight w:val="none"/>
          <w:lang w:val="en-US" w:eastAsia="zh-CN"/>
        </w:rPr>
        <w:t>2人</w:t>
      </w:r>
      <w:r>
        <w:rPr>
          <w:rFonts w:hint="eastAsia" w:ascii="宋体" w:hAnsi="宋体" w:cs="宋体"/>
          <w:color w:val="auto"/>
          <w:sz w:val="24"/>
          <w:szCs w:val="24"/>
          <w:highlight w:val="none"/>
        </w:rPr>
        <w:t xml:space="preserve">组成（从《江苏省政府采购专家库》随机抽取）。    </w:t>
      </w:r>
    </w:p>
    <w:p w14:paraId="7637CBD2">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5931F70">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2.1磋商小组要求供应商澄清、说明或者更正响应文件应当以书面形式作出。供应商的澄清、说明或者更正应当由法定代表人或其授权代表签字或者加盖公章。</w:t>
      </w:r>
    </w:p>
    <w:p w14:paraId="0829F81D">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3、磋商小组所有成员应当集中与单一供应商分别进行磋商，并给予所有参加磋商的供应商平等的磋商机会。</w:t>
      </w:r>
    </w:p>
    <w:p w14:paraId="4D201DA4">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4、在磋商过程中，磋商小组可以根据磋商文件和磋商情况实质性变动采购需求中的技术、服务要求以及拟签订的合同条款，但不得变动磋商文件中的其他内容。实质性变动的内容，须经采购人代表确认。</w:t>
      </w:r>
    </w:p>
    <w:p w14:paraId="641E03C1">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4.1对磋商文件作出的实质性变动是磋商文件的有效组成部分，磋商小组应当及时以书面形式同时通知所有参加磋商的供应商。</w:t>
      </w:r>
    </w:p>
    <w:p w14:paraId="6E82E185">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4.2供应商应当按照磋商文件的变动情况和磋商小组的要求重新提交响应文件，并由其法定代表人或授权代表签字或者加盖公章。</w:t>
      </w:r>
    </w:p>
    <w:p w14:paraId="2E12A66D">
      <w:pPr>
        <w:spacing w:line="308" w:lineRule="auto"/>
        <w:ind w:firstLine="482"/>
        <w:jc w:val="left"/>
        <w:rPr>
          <w:rFonts w:ascii="宋体" w:hAnsi="宋体" w:cs="宋体"/>
          <w:b/>
          <w:bCs/>
          <w:color w:val="auto"/>
          <w:sz w:val="24"/>
          <w:szCs w:val="24"/>
          <w:highlight w:val="none"/>
        </w:rPr>
      </w:pPr>
      <w:r>
        <w:rPr>
          <w:rFonts w:hint="eastAsia" w:ascii="宋体" w:hAnsi="宋体" w:cs="宋体"/>
          <w:color w:val="auto"/>
          <w:sz w:val="24"/>
          <w:szCs w:val="24"/>
          <w:highlight w:val="none"/>
        </w:rPr>
        <w:t>5、磋商结束后，磋商进入报价环节，磋商小组应当要求所有参加磋商的供应商在规定时间内进行最后报价。</w:t>
      </w:r>
      <w:r>
        <w:rPr>
          <w:rFonts w:hint="eastAsia" w:ascii="宋体" w:hAnsi="宋体" w:cs="宋体"/>
          <w:b/>
          <w:bCs/>
          <w:color w:val="auto"/>
          <w:sz w:val="24"/>
          <w:szCs w:val="24"/>
          <w:highlight w:val="none"/>
        </w:rPr>
        <w:t>本项目二次报价为最后报价。规定时间内未进行最后报价的供应商视同放弃磋商。</w:t>
      </w:r>
    </w:p>
    <w:p w14:paraId="1C8767DC">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6、已提交响应文件的供应商，在提交最后报价之前，可以根据磋商情况退出磋商。</w:t>
      </w:r>
    </w:p>
    <w:p w14:paraId="11A8289C">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7、经磋商确定最终采购需求和提交最后报价的供应商后，由磋商小组采用综合评分法对提交最后报价的供应商的响应文件和最后报价进行综合评分。</w:t>
      </w:r>
    </w:p>
    <w:p w14:paraId="7B2A994C">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p>
    <w:p w14:paraId="2C47F464">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p>
    <w:p w14:paraId="5F777CDD">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实施政府采购异常低价审查的有关要求：</w:t>
      </w:r>
    </w:p>
    <w:p w14:paraId="05FE10A4">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（一）评审中出现下列情形之一的，评审（评标）委员会应当启动异常低价投标（响应）审查程序：</w:t>
      </w:r>
    </w:p>
    <w:p w14:paraId="7ED11BB2">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1.投标（响应）报价低于全部通过符合性审查供应商投标（响应）报价平均值50%的，即投标（响应）报价&lt;全部通过符合性审查供应商投标（响应）报价平均值×50%；</w:t>
      </w:r>
    </w:p>
    <w:p w14:paraId="37207DBE">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2.投标（响应）报价低于通过符合性审查的次低报价供应商投标（响应）报价50%的，即投标（响应）报价&lt;通过符合性审查的次低报价供应商投标（响应）报价×50%；</w:t>
      </w:r>
    </w:p>
    <w:p w14:paraId="7484A216">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3.投标（响应）报价低于采购项目最高限价（未设定最高限价的采购项目，以采购项目预算金额作为最高限价）45%的，即投标（响应）报价&lt;采购项目最高限价×45%；</w:t>
      </w:r>
    </w:p>
    <w:p w14:paraId="1F4B0B73">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4.评审（评标）委员会基于专业判断，认为供应商报价过低，有可能影响产品质量或者不能诚信履约的其他情形。</w:t>
      </w:r>
    </w:p>
    <w:p w14:paraId="1D02EC28">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相关法律法规对供应商报价有规定的，从其规定。</w:t>
      </w:r>
    </w:p>
    <w:p w14:paraId="142A88E9">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ED305F9">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4098E531">
      <w:pPr>
        <w:spacing w:line="312"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49D6A6F">
      <w:pPr>
        <w:spacing w:line="312" w:lineRule="auto"/>
        <w:ind w:firstLine="482"/>
        <w:jc w:val="left"/>
        <w:rPr>
          <w:rFonts w:ascii="宋体" w:hAnsi="宋体" w:cs="宋体"/>
          <w:color w:val="auto"/>
          <w:highlight w:val="none"/>
        </w:rPr>
      </w:pPr>
      <w:r>
        <w:rPr>
          <w:rFonts w:hint="eastAsia" w:ascii="宋体" w:hAnsi="宋体" w:cs="宋体"/>
          <w:color w:val="auto"/>
          <w:sz w:val="24"/>
          <w:szCs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6608F1CC">
      <w:pPr>
        <w:spacing w:line="308" w:lineRule="auto"/>
        <w:ind w:firstLine="482"/>
        <w:jc w:val="left"/>
        <w:rPr>
          <w:rFonts w:ascii="宋体" w:hAnsi="宋体" w:cs="宋体"/>
          <w:color w:val="auto"/>
          <w:sz w:val="24"/>
          <w:szCs w:val="24"/>
          <w:highlight w:val="none"/>
        </w:rPr>
      </w:pPr>
      <w:r>
        <w:rPr>
          <w:rFonts w:hint="eastAsia" w:ascii="宋体" w:hAnsi="宋体" w:cs="宋体"/>
          <w:color w:val="auto"/>
          <w:sz w:val="24"/>
          <w:szCs w:val="24"/>
          <w:highlight w:val="none"/>
        </w:rPr>
        <w:t>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p>
    <w:p w14:paraId="00311846">
      <w:pPr>
        <w:widowControl w:val="0"/>
        <w:spacing w:line="308" w:lineRule="auto"/>
        <w:rPr>
          <w:rFonts w:ascii="宋体" w:hAnsi="宋体" w:cs="宋体"/>
          <w:color w:val="auto"/>
          <w:sz w:val="24"/>
          <w:szCs w:val="24"/>
          <w:highlight w:val="none"/>
        </w:rPr>
      </w:pPr>
      <w:bookmarkStart w:id="52" w:name="_Toc24855"/>
      <w:bookmarkStart w:id="53" w:name="_Toc8396"/>
      <w:r>
        <w:rPr>
          <w:rFonts w:hint="eastAsia" w:ascii="宋体" w:hAnsi="宋体" w:cs="宋体"/>
          <w:b/>
          <w:bCs/>
          <w:color w:val="auto"/>
          <w:sz w:val="24"/>
          <w:szCs w:val="24"/>
          <w:highlight w:val="none"/>
        </w:rPr>
        <w:t>十七、有下列情形之一的，其响应无效：</w:t>
      </w:r>
      <w:bookmarkEnd w:id="52"/>
      <w:bookmarkEnd w:id="53"/>
    </w:p>
    <w:p w14:paraId="767CDDE3">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1、电子响应文件未按规定期限提交的； </w:t>
      </w:r>
    </w:p>
    <w:p w14:paraId="2F5950F8">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2、电子响应文件未按磋商文件要求签章的；</w:t>
      </w:r>
    </w:p>
    <w:p w14:paraId="1083F391">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3、供应商未在规定时间内解密电子响应文件的；</w:t>
      </w:r>
    </w:p>
    <w:p w14:paraId="3123C15E">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4、供应商的法定代表人授权代表，无法定代表人授权委托书的；</w:t>
      </w:r>
    </w:p>
    <w:p w14:paraId="43BDF5C3">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5、不具备磋商文件中规定的资格要求或未按磋商文件规定的要求提供资格、资信证明文件的；</w:t>
      </w:r>
    </w:p>
    <w:p w14:paraId="6989FFAC">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6、被列入“信用中国”网站（www.creditchina.gov.cn）失信被执行人、重大税收违法案件当事人名单、政府采购严重违法失信行为记录名单的；</w:t>
      </w:r>
    </w:p>
    <w:p w14:paraId="6E224E69">
      <w:pPr>
        <w:widowControl w:val="0"/>
        <w:spacing w:line="308" w:lineRule="auto"/>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7、响应文件未按磋商文件规定的内容和要求填写的；没有在投标系统指定位置上传对应文件、材料的；</w:t>
      </w:r>
    </w:p>
    <w:p w14:paraId="352705AF">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8、响应文件中有磋商文件未允许提供的选择性内容；</w:t>
      </w:r>
    </w:p>
    <w:p w14:paraId="3511E803">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9、不同供应商委托同一单位或者个人办理投标事宜的；</w:t>
      </w:r>
    </w:p>
    <w:p w14:paraId="0AFE81FA">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10、不同供应商的单位负责人为同一人或者存在直接控股、管理关系的；</w:t>
      </w:r>
    </w:p>
    <w:p w14:paraId="60CD00DA">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11、不同供应商的响应文件的装订形式、纸张情况、目录序号、排版格式、文字风格等存在明显的相似性或一致性，特征显示由同一单位或者同一个人编制的；</w:t>
      </w:r>
    </w:p>
    <w:p w14:paraId="33A68B68">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12、不同供应商响应文件内容存在非正常一致、项目组成员出现同一人、响应文件中错误（ 或异常）一致或雷同、电子文档信息一致或雷同的、响应报价呈规律性差异的；</w:t>
      </w:r>
    </w:p>
    <w:p w14:paraId="173ED0F4">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13、不同供应商的委托代理人、项目负责人以及其他相关人员有在同一个单位缴纳社会保险 、同一响应文件中单位名称落款与公章不是同一单位的；</w:t>
      </w:r>
    </w:p>
    <w:p w14:paraId="5FE2CEA5">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14、项目（标段）投标总价超过本项目（标段）预算或最高限价的；</w:t>
      </w:r>
    </w:p>
    <w:p w14:paraId="1B1E7E03">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15、提供虚假材料的（包括工商营业执照、财务报表、资格证明文件等）；</w:t>
      </w:r>
    </w:p>
    <w:p w14:paraId="7BD50C68">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16、响应文件含有采购人不能接受的附加条件的；</w:t>
      </w:r>
    </w:p>
    <w:p w14:paraId="3749F163">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2ABE2354">
      <w:pPr>
        <w:widowControl w:val="0"/>
        <w:spacing w:line="308"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18、除单一来源采购项目外，为采购项目提供整体设计、规范编制或者项目管理、监理、检测等服务的；</w:t>
      </w:r>
    </w:p>
    <w:p w14:paraId="5B5E287A">
      <w:pPr>
        <w:widowControl w:val="0"/>
        <w:spacing w:line="308" w:lineRule="auto"/>
        <w:jc w:val="center"/>
        <w:rPr>
          <w:rFonts w:ascii="宋体" w:hAnsi="宋体" w:cs="宋体"/>
          <w:color w:val="auto"/>
          <w:sz w:val="24"/>
          <w:szCs w:val="24"/>
          <w:highlight w:val="none"/>
        </w:rPr>
      </w:pPr>
      <w:bookmarkStart w:id="54" w:name="_Toc13579"/>
      <w:bookmarkStart w:id="55" w:name="_Toc13764"/>
      <w:r>
        <w:rPr>
          <w:rFonts w:hint="eastAsia" w:ascii="宋体" w:hAnsi="宋体" w:cs="宋体"/>
          <w:color w:val="auto"/>
          <w:sz w:val="24"/>
          <w:szCs w:val="24"/>
          <w:highlight w:val="none"/>
        </w:rPr>
        <w:t xml:space="preserve">    19、与采购文件提供的工程量清单中项目名称、项目特征、计量单位、工程量不一致的；</w:t>
      </w:r>
    </w:p>
    <w:p w14:paraId="4643BDCA">
      <w:pPr>
        <w:widowControl w:val="0"/>
        <w:spacing w:line="308" w:lineRule="auto"/>
        <w:ind w:firstLine="480"/>
        <w:rPr>
          <w:rFonts w:ascii="宋体" w:hAnsi="宋体" w:cs="宋体"/>
          <w:color w:val="auto"/>
          <w:sz w:val="24"/>
          <w:szCs w:val="24"/>
          <w:highlight w:val="none"/>
        </w:rPr>
      </w:pPr>
      <w:bookmarkStart w:id="56" w:name="_Toc32348"/>
      <w:r>
        <w:rPr>
          <w:rFonts w:hint="eastAsia" w:ascii="宋体" w:hAnsi="宋体" w:cs="宋体"/>
          <w:color w:val="auto"/>
          <w:sz w:val="24"/>
          <w:szCs w:val="24"/>
          <w:highlight w:val="none"/>
        </w:rPr>
        <w:t>20、响应文件内容不全或不符合磋商文件中规定的其它实质性要求的；</w:t>
      </w:r>
      <w:bookmarkEnd w:id="56"/>
    </w:p>
    <w:p w14:paraId="2FD4D6AF">
      <w:pPr>
        <w:widowControl w:val="0"/>
        <w:spacing w:line="308" w:lineRule="auto"/>
        <w:ind w:firstLine="480"/>
        <w:rPr>
          <w:rFonts w:ascii="宋体" w:hAnsi="宋体" w:cs="宋体"/>
          <w:color w:val="auto"/>
          <w:sz w:val="24"/>
          <w:szCs w:val="24"/>
          <w:highlight w:val="none"/>
        </w:rPr>
      </w:pPr>
      <w:bookmarkStart w:id="57" w:name="_Toc3346"/>
      <w:r>
        <w:rPr>
          <w:rFonts w:hint="eastAsia" w:ascii="宋体" w:hAnsi="宋体" w:cs="宋体"/>
          <w:color w:val="auto"/>
          <w:sz w:val="24"/>
          <w:szCs w:val="24"/>
          <w:highlight w:val="none"/>
        </w:rPr>
        <w:t>21、法律法规和磋商文件规定的其它无效情形。</w:t>
      </w:r>
      <w:bookmarkEnd w:id="57"/>
    </w:p>
    <w:p w14:paraId="133CCB6C">
      <w:pPr>
        <w:widowControl w:val="0"/>
        <w:spacing w:line="308" w:lineRule="auto"/>
        <w:jc w:val="center"/>
        <w:outlineLvl w:val="0"/>
        <w:rPr>
          <w:rFonts w:ascii="宋体" w:hAnsi="宋体" w:cs="宋体"/>
          <w:b/>
          <w:bCs/>
          <w:color w:val="auto"/>
          <w:sz w:val="24"/>
          <w:szCs w:val="24"/>
          <w:highlight w:val="none"/>
        </w:rPr>
      </w:pPr>
      <w:bookmarkStart w:id="58" w:name="_Toc29488"/>
      <w:r>
        <w:rPr>
          <w:rFonts w:hint="eastAsia" w:ascii="宋体" w:hAnsi="宋体" w:cs="宋体"/>
          <w:b/>
          <w:bCs/>
          <w:color w:val="auto"/>
          <w:sz w:val="24"/>
          <w:szCs w:val="24"/>
          <w:highlight w:val="none"/>
        </w:rPr>
        <w:t>第四章 确定成交供应商及合同签订等</w:t>
      </w:r>
      <w:bookmarkEnd w:id="54"/>
      <w:bookmarkEnd w:id="55"/>
      <w:bookmarkEnd w:id="58"/>
    </w:p>
    <w:p w14:paraId="1E54AB87">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p>
    <w:p w14:paraId="314523D9">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p>
    <w:p w14:paraId="447D1273">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放弃成交的供应商不得参加对该项目重新开展的采购活动。</w:t>
      </w:r>
    </w:p>
    <w:p w14:paraId="0D399EB8">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采购人对未成交的供应商不做未成交原因的解释。</w:t>
      </w:r>
    </w:p>
    <w:p w14:paraId="768AC39F">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十九、采购人有权对供应商的响应文件的真实性进行核实。如供应商不能提供有效文件，采购人将根据客观事实，有权取消成交供应商，同时供应商承担相应的法律责任。</w:t>
      </w:r>
    </w:p>
    <w:p w14:paraId="447F8F3E">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二十、采购人与成交供应商应当在成交通知书发出之日起</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日内，按照磋商文件确定的合同文本以及采购标的、规格型号、采购金额、采购数量、技术和服务要求等事项签订政府采购合同。</w:t>
      </w:r>
    </w:p>
    <w:p w14:paraId="6CA70753">
      <w:pPr>
        <w:widowControl w:val="0"/>
        <w:spacing w:line="30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特别说明： 按照《政府采购法》及其实施条例以及相关规定，中标或者成交后无正当理由拒不与采购人签订政府采购合同的，在一至三年内禁止参加政府采购活动，列入政府采购严重违法失信行为记录名单。</w:t>
      </w:r>
    </w:p>
    <w:p w14:paraId="6F06325B">
      <w:pPr>
        <w:widowControl w:val="0"/>
        <w:spacing w:line="308" w:lineRule="auto"/>
        <w:ind w:firstLine="49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二十一、</w:t>
      </w:r>
      <w:r>
        <w:rPr>
          <w:rStyle w:val="272"/>
          <w:rFonts w:hint="eastAsia" w:hAnsi="宋体" w:cs="宋体"/>
          <w:color w:val="auto"/>
          <w:highlight w:val="none"/>
        </w:rPr>
        <w:t>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color w:val="auto"/>
          <w:sz w:val="24"/>
          <w:szCs w:val="24"/>
          <w:highlight w:val="none"/>
        </w:rPr>
        <w:t>。</w:t>
      </w:r>
    </w:p>
    <w:p w14:paraId="2EF89ED5">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成交供应商在签订合同前须向采购人缴纳成交金额的3%作为履约保证金。履约保证金的缴纳形式：履约保证金可以采取支票、汇票等方式，也可以根据采购人所同意接受的商业银行、保险公司或担保公司等出具的保函等非现金形式。履约保证金的返还:待缺陷责任期满后按甲方支付流程启动履约保证金返还程序无息退还。</w:t>
      </w:r>
    </w:p>
    <w:p w14:paraId="11CC094B">
      <w:pPr>
        <w:widowControl w:val="0"/>
        <w:spacing w:line="308" w:lineRule="auto"/>
        <w:jc w:val="center"/>
        <w:outlineLvl w:val="0"/>
        <w:rPr>
          <w:rFonts w:ascii="宋体" w:hAnsi="宋体" w:cs="宋体"/>
          <w:b/>
          <w:bCs/>
          <w:color w:val="auto"/>
          <w:sz w:val="24"/>
          <w:szCs w:val="24"/>
          <w:highlight w:val="none"/>
        </w:rPr>
      </w:pPr>
      <w:bookmarkStart w:id="59" w:name="_Toc12506"/>
      <w:bookmarkStart w:id="60" w:name="_Toc22848"/>
      <w:bookmarkStart w:id="61" w:name="_Toc7653"/>
      <w:r>
        <w:rPr>
          <w:rFonts w:hint="eastAsia" w:ascii="宋体" w:hAnsi="宋体" w:cs="宋体"/>
          <w:b/>
          <w:bCs/>
          <w:color w:val="auto"/>
          <w:sz w:val="24"/>
          <w:szCs w:val="24"/>
          <w:highlight w:val="none"/>
        </w:rPr>
        <w:t>第五章 磋商文件的澄清或者修改</w:t>
      </w:r>
      <w:bookmarkEnd w:id="59"/>
      <w:bookmarkEnd w:id="60"/>
      <w:bookmarkEnd w:id="61"/>
    </w:p>
    <w:p w14:paraId="5B8D4D06">
      <w:pPr>
        <w:widowControl w:val="0"/>
        <w:spacing w:line="308" w:lineRule="auto"/>
        <w:ind w:firstLine="480"/>
        <w:jc w:val="left"/>
        <w:rPr>
          <w:rFonts w:ascii="宋体" w:hAnsi="宋体" w:cs="宋体"/>
          <w:color w:val="auto"/>
          <w:sz w:val="24"/>
          <w:szCs w:val="24"/>
          <w:highlight w:val="none"/>
        </w:rPr>
      </w:pPr>
      <w:bookmarkStart w:id="62" w:name="_Toc24551"/>
      <w:bookmarkStart w:id="63" w:name="_Toc11772"/>
      <w:r>
        <w:rPr>
          <w:rFonts w:hint="eastAsia" w:ascii="宋体" w:hAnsi="宋体" w:cs="宋体"/>
          <w:color w:val="auto"/>
          <w:sz w:val="24"/>
          <w:szCs w:val="24"/>
          <w:highlight w:val="none"/>
        </w:rPr>
        <w:t>二十二、竞争性磋商文件的澄清或者修改</w:t>
      </w:r>
      <w:bookmarkEnd w:id="62"/>
      <w:bookmarkEnd w:id="63"/>
    </w:p>
    <w:p w14:paraId="56D0C3A8">
      <w:pPr>
        <w:widowControl w:val="0"/>
        <w:spacing w:line="308" w:lineRule="auto"/>
        <w:ind w:firstLine="480"/>
        <w:jc w:val="left"/>
        <w:rPr>
          <w:rFonts w:ascii="宋体" w:hAnsi="宋体" w:cs="宋体"/>
          <w:b/>
          <w:bCs/>
          <w:color w:val="auto"/>
          <w:sz w:val="24"/>
          <w:szCs w:val="24"/>
          <w:highlight w:val="none"/>
        </w:rPr>
      </w:pPr>
      <w:r>
        <w:rPr>
          <w:rFonts w:hint="eastAsia" w:ascii="宋体" w:hAnsi="宋体" w:cs="宋体"/>
          <w:color w:val="auto"/>
          <w:sz w:val="24"/>
          <w:szCs w:val="24"/>
          <w:highlight w:val="none"/>
        </w:rPr>
        <w:t>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p>
    <w:p w14:paraId="21EEF420">
      <w:pPr>
        <w:widowControl w:val="0"/>
        <w:spacing w:line="308" w:lineRule="auto"/>
        <w:jc w:val="center"/>
        <w:outlineLvl w:val="0"/>
        <w:rPr>
          <w:rFonts w:ascii="宋体" w:hAnsi="宋体" w:cs="宋体"/>
          <w:b/>
          <w:bCs/>
          <w:color w:val="auto"/>
          <w:sz w:val="24"/>
          <w:szCs w:val="24"/>
          <w:highlight w:val="none"/>
        </w:rPr>
      </w:pPr>
      <w:bookmarkStart w:id="64" w:name="_Toc7603"/>
      <w:bookmarkStart w:id="65" w:name="_Toc28328"/>
      <w:bookmarkStart w:id="66" w:name="_Toc29174"/>
      <w:r>
        <w:rPr>
          <w:rFonts w:hint="eastAsia" w:ascii="宋体" w:hAnsi="宋体" w:cs="宋体"/>
          <w:b/>
          <w:bCs/>
          <w:color w:val="auto"/>
          <w:sz w:val="24"/>
          <w:szCs w:val="24"/>
          <w:highlight w:val="none"/>
        </w:rPr>
        <w:t>第六章 询问和质疑</w:t>
      </w:r>
      <w:bookmarkEnd w:id="64"/>
      <w:bookmarkEnd w:id="65"/>
      <w:bookmarkEnd w:id="66"/>
    </w:p>
    <w:p w14:paraId="67183F46">
      <w:pPr>
        <w:widowControl w:val="0"/>
        <w:spacing w:line="308" w:lineRule="auto"/>
        <w:ind w:firstLine="480"/>
        <w:jc w:val="left"/>
        <w:rPr>
          <w:rFonts w:ascii="宋体" w:hAnsi="宋体" w:cs="宋体"/>
          <w:color w:val="auto"/>
          <w:sz w:val="24"/>
          <w:szCs w:val="24"/>
          <w:highlight w:val="none"/>
        </w:rPr>
      </w:pPr>
      <w:bookmarkStart w:id="67" w:name="_Toc19103"/>
      <w:bookmarkStart w:id="68" w:name="_Toc16162"/>
      <w:r>
        <w:rPr>
          <w:rFonts w:hint="eastAsia" w:ascii="宋体" w:hAnsi="宋体" w:cs="宋体"/>
          <w:color w:val="auto"/>
          <w:sz w:val="24"/>
          <w:szCs w:val="24"/>
          <w:highlight w:val="none"/>
        </w:rPr>
        <w:t>二十三、询问和质疑</w:t>
      </w:r>
      <w:bookmarkEnd w:id="67"/>
      <w:bookmarkEnd w:id="68"/>
    </w:p>
    <w:p w14:paraId="28403D7E">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根据采购代理机构与采购人签订的本采购项目的《委托代理协议》，供应商对政府采购活动事项有疑问的，可以向采购人或采购代理机构提出询问；供应商认为磋商文件、采购过程、中标或成交结果使自己的权益受到损害的，可以在知道或者应知其权益受到损害之日起七个工作日内，以书面形式向采购人或采购代理机构提出质疑，由采购人或采购代理机构依法处理。 </w:t>
      </w:r>
    </w:p>
    <w:p w14:paraId="4383D52D">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2、质疑和投诉按《政府采购质疑和投诉办法》执行。 供应商对同一采购程序环节的质疑应在质疑期内一次性提出。</w:t>
      </w:r>
    </w:p>
    <w:p w14:paraId="33960759">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质疑接收人：朱文颖 朱柄昱     联系电话：0516-85610680</w:t>
      </w:r>
    </w:p>
    <w:p w14:paraId="1DA4BFAB">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接收地址：徐州市泉山区软件园路2号</w:t>
      </w:r>
    </w:p>
    <w:p w14:paraId="5459D0E5">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3、供应商对评审过程、成交结果提出质疑的，采购人、采购代理机构可以组织原评审委员会协助答复质疑。</w:t>
      </w:r>
    </w:p>
    <w:p w14:paraId="14AFCFDD">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4、采购人或采购代理机构在收到供应商的书面质疑后7个工作日内予以答复，并告知本项目的有关供应商。</w:t>
      </w:r>
    </w:p>
    <w:p w14:paraId="37C60FA0">
      <w:pPr>
        <w:widowControl w:val="0"/>
        <w:spacing w:line="308" w:lineRule="auto"/>
        <w:ind w:firstLine="492"/>
        <w:jc w:val="left"/>
        <w:rPr>
          <w:rFonts w:ascii="宋体" w:hAnsi="宋体" w:cs="宋体"/>
          <w:color w:val="auto"/>
          <w:sz w:val="24"/>
          <w:szCs w:val="24"/>
          <w:highlight w:val="none"/>
        </w:rPr>
      </w:pPr>
      <w:r>
        <w:rPr>
          <w:rFonts w:hint="eastAsia" w:ascii="宋体" w:hAnsi="宋体" w:cs="宋体"/>
          <w:color w:val="auto"/>
          <w:sz w:val="24"/>
          <w:szCs w:val="24"/>
          <w:highlight w:val="none"/>
        </w:rPr>
        <w:t>二十四、质疑时效期间的计算：（1）对磋商文件提出质疑的，为收到磋商文件之日或磋商文件公告期限届满之日；（2）对磋商过程提出质疑的，为磋商程序各环节结束之日；（3）对成交结果提出质疑的，为成交公告期限届满之日。</w:t>
      </w:r>
    </w:p>
    <w:p w14:paraId="44524BC2">
      <w:pPr>
        <w:widowControl w:val="0"/>
        <w:spacing w:line="308" w:lineRule="auto"/>
        <w:ind w:firstLine="480"/>
        <w:jc w:val="center"/>
        <w:outlineLvl w:val="0"/>
        <w:rPr>
          <w:rFonts w:ascii="宋体" w:hAnsi="宋体" w:cs="宋体"/>
          <w:color w:val="auto"/>
          <w:sz w:val="24"/>
          <w:szCs w:val="24"/>
          <w:highlight w:val="none"/>
        </w:rPr>
      </w:pPr>
      <w:bookmarkStart w:id="69" w:name="_Toc25972"/>
      <w:bookmarkStart w:id="70" w:name="_Toc18468"/>
      <w:bookmarkStart w:id="71" w:name="_Toc12947"/>
      <w:r>
        <w:rPr>
          <w:rFonts w:hint="eastAsia" w:ascii="宋体" w:hAnsi="宋体" w:cs="宋体"/>
          <w:b/>
          <w:bCs/>
          <w:color w:val="auto"/>
          <w:sz w:val="24"/>
          <w:szCs w:val="24"/>
          <w:highlight w:val="none"/>
        </w:rPr>
        <w:t>第七章 其他说明</w:t>
      </w:r>
      <w:bookmarkEnd w:id="69"/>
      <w:bookmarkEnd w:id="70"/>
      <w:bookmarkEnd w:id="71"/>
    </w:p>
    <w:p w14:paraId="24313B21">
      <w:pPr>
        <w:widowControl w:val="0"/>
        <w:spacing w:line="28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十五、本项目采购预算金额已包含招标代理服务费，成交供应商领取成交通知书时，须向江苏科建工程项目管理有限公司一次性支付招标代理服务费，以上费用不单独列支，投标报价包含以上费用，供应商编制响应文件时应考虑到报价中。收费标准见附件。</w:t>
      </w:r>
    </w:p>
    <w:p w14:paraId="0FB618D0">
      <w:pPr>
        <w:widowControl w:val="0"/>
        <w:spacing w:line="288"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二十六、成交结果在徐州政府采购网http：//218.3.177.171：8088/Home/HomeIndex/上公布。</w:t>
      </w:r>
    </w:p>
    <w:p w14:paraId="2CA376F8">
      <w:pPr>
        <w:pStyle w:val="73"/>
        <w:widowControl w:val="0"/>
        <w:spacing w:line="288" w:lineRule="auto"/>
        <w:ind w:firstLine="480"/>
        <w:jc w:val="left"/>
        <w:rPr>
          <w:rFonts w:ascii="宋体" w:hAnsi="宋体" w:cs="宋体"/>
          <w:color w:val="auto"/>
          <w:sz w:val="24"/>
          <w:highlight w:val="none"/>
        </w:rPr>
      </w:pPr>
      <w:bookmarkStart w:id="72" w:name="_Toc6318"/>
      <w:bookmarkStart w:id="73" w:name="_Toc15915"/>
      <w:r>
        <w:rPr>
          <w:rFonts w:hint="eastAsia" w:ascii="宋体" w:hAnsi="宋体" w:cs="宋体"/>
          <w:color w:val="auto"/>
          <w:sz w:val="24"/>
          <w:highlight w:val="none"/>
        </w:rPr>
        <w:t>二十七、联系方式</w:t>
      </w:r>
      <w:bookmarkEnd w:id="72"/>
      <w:bookmarkEnd w:id="73"/>
    </w:p>
    <w:p w14:paraId="1617C5B0">
      <w:pPr>
        <w:pStyle w:val="73"/>
        <w:widowControl w:val="0"/>
        <w:spacing w:line="288" w:lineRule="auto"/>
        <w:ind w:firstLine="48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bCs/>
          <w:color w:val="auto"/>
          <w:sz w:val="24"/>
          <w:highlight w:val="none"/>
        </w:rPr>
        <w:t>、采购人</w:t>
      </w:r>
    </w:p>
    <w:p w14:paraId="2907B041">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名称：江苏师范大学</w:t>
      </w:r>
    </w:p>
    <w:p w14:paraId="270173BF">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地址：徐州市铜山区上海路101号 </w:t>
      </w:r>
    </w:p>
    <w:p w14:paraId="7DC240D2">
      <w:pPr>
        <w:spacing w:line="288" w:lineRule="auto"/>
        <w:ind w:left="256" w:right="6" w:firstLine="624"/>
        <w:rPr>
          <w:rFonts w:ascii="宋体" w:hAnsi="宋体" w:cs="宋体"/>
          <w:color w:val="auto"/>
          <w:sz w:val="24"/>
          <w:szCs w:val="24"/>
          <w:highlight w:val="none"/>
        </w:rPr>
      </w:pPr>
      <w:r>
        <w:rPr>
          <w:rFonts w:hint="eastAsia" w:ascii="宋体" w:hAnsi="宋体" w:cs="宋体"/>
          <w:color w:val="auto"/>
          <w:sz w:val="24"/>
          <w:szCs w:val="24"/>
          <w:highlight w:val="none"/>
        </w:rPr>
        <w:t>联系人：黄老师</w:t>
      </w:r>
    </w:p>
    <w:p w14:paraId="203DC1B6">
      <w:pPr>
        <w:spacing w:line="288" w:lineRule="auto"/>
        <w:ind w:left="256" w:right="6" w:firstLine="624"/>
        <w:rPr>
          <w:rFonts w:ascii="宋体" w:hAnsi="宋体" w:cs="宋体"/>
          <w:color w:val="auto"/>
          <w:sz w:val="24"/>
          <w:szCs w:val="24"/>
          <w:highlight w:val="none"/>
        </w:rPr>
      </w:pPr>
      <w:r>
        <w:rPr>
          <w:rFonts w:hint="eastAsia" w:ascii="宋体" w:hAnsi="宋体" w:cs="宋体"/>
          <w:color w:val="auto"/>
          <w:sz w:val="24"/>
          <w:szCs w:val="24"/>
          <w:highlight w:val="none"/>
        </w:rPr>
        <w:t>联系电话：0516-83656298</w:t>
      </w:r>
    </w:p>
    <w:p w14:paraId="7C3D1BAF">
      <w:pPr>
        <w:pStyle w:val="73"/>
        <w:widowControl w:val="0"/>
        <w:numPr>
          <w:ilvl w:val="0"/>
          <w:numId w:val="3"/>
        </w:numPr>
        <w:spacing w:line="288"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采购代理机构</w:t>
      </w:r>
    </w:p>
    <w:p w14:paraId="4F5C0E19">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名称：江苏科建工程项目管理有限公司</w:t>
      </w:r>
    </w:p>
    <w:p w14:paraId="1995A2EF">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地址：徐州市泉山区软件园路2号</w:t>
      </w:r>
    </w:p>
    <w:p w14:paraId="1C987A1A">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采购代理联系人：朱文颖 朱柄昱</w:t>
      </w:r>
    </w:p>
    <w:p w14:paraId="2090F1AB">
      <w:pPr>
        <w:pStyle w:val="73"/>
        <w:widowControl w:val="0"/>
        <w:spacing w:line="288" w:lineRule="auto"/>
        <w:ind w:firstLine="960"/>
        <w:jc w:val="left"/>
        <w:rPr>
          <w:rFonts w:ascii="宋体" w:hAnsi="宋体" w:cs="宋体"/>
          <w:color w:val="auto"/>
          <w:sz w:val="24"/>
          <w:highlight w:val="none"/>
        </w:rPr>
      </w:pPr>
      <w:r>
        <w:rPr>
          <w:rFonts w:hint="eastAsia" w:ascii="宋体" w:hAnsi="宋体" w:cs="宋体"/>
          <w:color w:val="auto"/>
          <w:sz w:val="24"/>
          <w:highlight w:val="none"/>
        </w:rPr>
        <w:t>电话：0516-85610680</w:t>
      </w:r>
    </w:p>
    <w:p w14:paraId="7393E5C4">
      <w:pPr>
        <w:pStyle w:val="265"/>
        <w:widowControl w:val="0"/>
        <w:spacing w:after="0" w:line="360" w:lineRule="auto"/>
        <w:ind w:left="0" w:firstLine="0"/>
        <w:jc w:val="center"/>
        <w:rPr>
          <w:rStyle w:val="272"/>
          <w:rFonts w:hAnsi="宋体" w:eastAsia="宋体" w:cs="宋体"/>
          <w:bCs/>
          <w:color w:val="auto"/>
          <w:szCs w:val="24"/>
          <w:highlight w:val="none"/>
        </w:rPr>
      </w:pPr>
      <w:r>
        <w:rPr>
          <w:rStyle w:val="272"/>
          <w:rFonts w:hint="eastAsia" w:hAnsi="宋体" w:cs="宋体"/>
          <w:color w:val="auto"/>
          <w:highlight w:val="none"/>
        </w:rPr>
        <w:br w:type="page" w:clear="all"/>
      </w:r>
      <w:bookmarkStart w:id="74" w:name="_Toc23127"/>
      <w:bookmarkStart w:id="75" w:name="_Toc20975"/>
      <w:r>
        <w:rPr>
          <w:rStyle w:val="272"/>
          <w:rFonts w:hint="eastAsia" w:hAnsi="宋体" w:eastAsia="宋体" w:cs="宋体"/>
          <w:color w:val="auto"/>
          <w:szCs w:val="24"/>
          <w:highlight w:val="none"/>
        </w:rPr>
        <w:t>附件： 代理服务收费标准</w:t>
      </w:r>
      <w:bookmarkEnd w:id="74"/>
      <w:bookmarkEnd w:id="75"/>
    </w:p>
    <w:p w14:paraId="0BE27655">
      <w:pPr>
        <w:pStyle w:val="12"/>
        <w:rPr>
          <w:rFonts w:ascii="宋体" w:hAnsi="宋体" w:cs="宋体"/>
          <w:b/>
          <w:bCs/>
          <w:color w:val="auto"/>
          <w:sz w:val="24"/>
          <w:szCs w:val="24"/>
          <w:highlight w:val="none"/>
        </w:rPr>
      </w:pPr>
    </w:p>
    <w:tbl>
      <w:tblPr>
        <w:tblStyle w:val="40"/>
        <w:tblpPr w:leftFromText="180" w:rightFromText="180" w:vertAnchor="text" w:horzAnchor="margin" w:tblpXSpec="center" w:tblpY="25"/>
        <w:tblW w:w="9024" w:type="dxa"/>
        <w:tblCellSpacing w:w="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0" w:type="dxa"/>
          <w:bottom w:w="0" w:type="dxa"/>
          <w:right w:w="0" w:type="dxa"/>
        </w:tblCellMar>
      </w:tblPr>
      <w:tblGrid>
        <w:gridCol w:w="3430"/>
        <w:gridCol w:w="1768"/>
        <w:gridCol w:w="1913"/>
        <w:gridCol w:w="1913"/>
      </w:tblGrid>
      <w:tr w14:paraId="4880AF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333" w:hRule="atLeast"/>
          <w:tblCellSpacing w:w="0" w:type="dxa"/>
        </w:trPr>
        <w:tc>
          <w:tcPr>
            <w:tcW w:w="3430" w:type="dxa"/>
            <w:tcBorders>
              <w:top w:val="single" w:color="auto" w:sz="4" w:space="0"/>
              <w:left w:val="single" w:color="auto" w:sz="4" w:space="0"/>
              <w:bottom w:val="single" w:color="auto" w:sz="4" w:space="0"/>
              <w:right w:val="single" w:color="auto" w:sz="4" w:space="0"/>
            </w:tcBorders>
            <w:vAlign w:val="center"/>
          </w:tcPr>
          <w:p w14:paraId="09E26489">
            <w:pPr>
              <w:pStyle w:val="523"/>
              <w:spacing w:line="360" w:lineRule="auto"/>
              <w:rPr>
                <w:b/>
                <w:bCs/>
                <w:color w:val="auto"/>
                <w:szCs w:val="24"/>
                <w:highlight w:val="none"/>
              </w:rPr>
            </w:pPr>
            <w:r>
              <w:rPr>
                <w:rFonts w:hint="eastAsia"/>
                <w:color w:val="auto"/>
                <w:szCs w:val="24"/>
                <w:highlight w:val="none"/>
              </w:rPr>
              <w:t xml:space="preserve">            </w:t>
            </w:r>
            <w:r>
              <w:rPr>
                <w:rFonts w:hint="eastAsia"/>
                <w:b/>
                <w:bCs/>
                <w:color w:val="auto"/>
                <w:szCs w:val="24"/>
                <w:highlight w:val="none"/>
              </w:rPr>
              <w:t>服务类型</w:t>
            </w:r>
          </w:p>
          <w:p w14:paraId="4D37A473">
            <w:pPr>
              <w:pStyle w:val="523"/>
              <w:spacing w:line="360" w:lineRule="auto"/>
              <w:rPr>
                <w:color w:val="auto"/>
                <w:szCs w:val="24"/>
                <w:highlight w:val="none"/>
              </w:rPr>
            </w:pPr>
            <w:r>
              <w:rPr>
                <w:rFonts w:hint="eastAsia"/>
                <w:b/>
                <w:bCs/>
                <w:color w:val="auto"/>
                <w:szCs w:val="24"/>
                <w:highlight w:val="none"/>
              </w:rPr>
              <w:t>中标金额（万元）</w:t>
            </w:r>
          </w:p>
        </w:tc>
        <w:tc>
          <w:tcPr>
            <w:tcW w:w="1768" w:type="dxa"/>
            <w:tcBorders>
              <w:top w:val="single" w:color="auto" w:sz="4" w:space="0"/>
              <w:left w:val="single" w:color="auto" w:sz="4" w:space="0"/>
              <w:bottom w:val="single" w:color="auto" w:sz="4" w:space="0"/>
              <w:right w:val="single" w:color="auto" w:sz="4" w:space="0"/>
            </w:tcBorders>
            <w:vAlign w:val="center"/>
          </w:tcPr>
          <w:p w14:paraId="6AACB0F5">
            <w:pPr>
              <w:pStyle w:val="523"/>
              <w:spacing w:line="360" w:lineRule="auto"/>
              <w:ind w:firstLine="241"/>
              <w:rPr>
                <w:color w:val="auto"/>
                <w:szCs w:val="24"/>
                <w:highlight w:val="none"/>
              </w:rPr>
            </w:pPr>
            <w:r>
              <w:rPr>
                <w:rFonts w:hint="eastAsia"/>
                <w:b/>
                <w:bCs/>
                <w:color w:val="auto"/>
                <w:szCs w:val="24"/>
                <w:highlight w:val="none"/>
              </w:rPr>
              <w:t>货物采购</w:t>
            </w:r>
          </w:p>
        </w:tc>
        <w:tc>
          <w:tcPr>
            <w:tcW w:w="1913" w:type="dxa"/>
            <w:tcBorders>
              <w:top w:val="single" w:color="auto" w:sz="4" w:space="0"/>
              <w:left w:val="single" w:color="auto" w:sz="4" w:space="0"/>
              <w:bottom w:val="single" w:color="auto" w:sz="4" w:space="0"/>
              <w:right w:val="single" w:color="auto" w:sz="4" w:space="0"/>
            </w:tcBorders>
            <w:vAlign w:val="center"/>
          </w:tcPr>
          <w:p w14:paraId="7E0D9765">
            <w:pPr>
              <w:pStyle w:val="523"/>
              <w:spacing w:line="360" w:lineRule="auto"/>
              <w:ind w:firstLine="482"/>
              <w:rPr>
                <w:color w:val="auto"/>
                <w:szCs w:val="24"/>
                <w:highlight w:val="none"/>
              </w:rPr>
            </w:pPr>
            <w:r>
              <w:rPr>
                <w:rFonts w:hint="eastAsia"/>
                <w:b/>
                <w:bCs/>
                <w:color w:val="auto"/>
                <w:szCs w:val="24"/>
                <w:highlight w:val="none"/>
              </w:rPr>
              <w:t>服务采购</w:t>
            </w:r>
          </w:p>
        </w:tc>
        <w:tc>
          <w:tcPr>
            <w:tcW w:w="1913" w:type="dxa"/>
            <w:tcBorders>
              <w:top w:val="single" w:color="auto" w:sz="4" w:space="0"/>
              <w:left w:val="single" w:color="auto" w:sz="4" w:space="0"/>
              <w:bottom w:val="single" w:color="auto" w:sz="4" w:space="0"/>
              <w:right w:val="single" w:color="auto" w:sz="4" w:space="0"/>
            </w:tcBorders>
            <w:vAlign w:val="center"/>
          </w:tcPr>
          <w:p w14:paraId="6A75E936">
            <w:pPr>
              <w:pStyle w:val="523"/>
              <w:spacing w:line="360" w:lineRule="auto"/>
              <w:ind w:firstLine="482"/>
              <w:rPr>
                <w:color w:val="auto"/>
                <w:szCs w:val="24"/>
                <w:highlight w:val="none"/>
              </w:rPr>
            </w:pPr>
            <w:r>
              <w:rPr>
                <w:rFonts w:hint="eastAsia"/>
                <w:b/>
                <w:bCs/>
                <w:color w:val="auto"/>
                <w:szCs w:val="24"/>
                <w:highlight w:val="none"/>
              </w:rPr>
              <w:t>工程采购</w:t>
            </w:r>
          </w:p>
        </w:tc>
      </w:tr>
      <w:tr w14:paraId="69A2FBE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32" w:hRule="atLeast"/>
          <w:tblCellSpacing w:w="0" w:type="dxa"/>
        </w:trPr>
        <w:tc>
          <w:tcPr>
            <w:tcW w:w="3430" w:type="dxa"/>
            <w:tcBorders>
              <w:top w:val="single" w:color="auto" w:sz="4" w:space="0"/>
              <w:left w:val="single" w:color="auto" w:sz="4" w:space="0"/>
              <w:bottom w:val="single" w:color="auto" w:sz="4" w:space="0"/>
              <w:right w:val="single" w:color="auto" w:sz="4" w:space="0"/>
            </w:tcBorders>
            <w:vAlign w:val="center"/>
          </w:tcPr>
          <w:p w14:paraId="0BDEACBA">
            <w:pPr>
              <w:pStyle w:val="523"/>
              <w:spacing w:line="360" w:lineRule="auto"/>
              <w:ind w:firstLine="480"/>
              <w:rPr>
                <w:color w:val="auto"/>
                <w:szCs w:val="24"/>
                <w:highlight w:val="none"/>
              </w:rPr>
            </w:pPr>
            <w:r>
              <w:rPr>
                <w:rFonts w:hint="eastAsia"/>
                <w:color w:val="auto"/>
                <w:szCs w:val="24"/>
                <w:highlight w:val="none"/>
              </w:rPr>
              <w:t>100以下</w:t>
            </w:r>
          </w:p>
        </w:tc>
        <w:tc>
          <w:tcPr>
            <w:tcW w:w="1768" w:type="dxa"/>
            <w:tcBorders>
              <w:top w:val="single" w:color="auto" w:sz="4" w:space="0"/>
              <w:left w:val="single" w:color="auto" w:sz="4" w:space="0"/>
              <w:bottom w:val="single" w:color="auto" w:sz="4" w:space="0"/>
              <w:right w:val="single" w:color="auto" w:sz="4" w:space="0"/>
            </w:tcBorders>
            <w:vAlign w:val="center"/>
          </w:tcPr>
          <w:p w14:paraId="78950AFF">
            <w:pPr>
              <w:pStyle w:val="523"/>
              <w:spacing w:line="360" w:lineRule="auto"/>
              <w:ind w:firstLine="480"/>
              <w:rPr>
                <w:color w:val="auto"/>
                <w:szCs w:val="24"/>
                <w:highlight w:val="none"/>
              </w:rPr>
            </w:pPr>
            <w:r>
              <w:rPr>
                <w:rFonts w:hint="eastAsia"/>
                <w:color w:val="auto"/>
                <w:szCs w:val="24"/>
                <w:highlight w:val="none"/>
              </w:rPr>
              <w:t>1.5％</w:t>
            </w:r>
          </w:p>
        </w:tc>
        <w:tc>
          <w:tcPr>
            <w:tcW w:w="1913" w:type="dxa"/>
            <w:tcBorders>
              <w:top w:val="single" w:color="auto" w:sz="4" w:space="0"/>
              <w:left w:val="single" w:color="auto" w:sz="4" w:space="0"/>
              <w:bottom w:val="single" w:color="auto" w:sz="4" w:space="0"/>
              <w:right w:val="single" w:color="auto" w:sz="4" w:space="0"/>
            </w:tcBorders>
            <w:vAlign w:val="center"/>
          </w:tcPr>
          <w:p w14:paraId="08D3D805">
            <w:pPr>
              <w:pStyle w:val="523"/>
              <w:spacing w:line="360" w:lineRule="auto"/>
              <w:ind w:firstLine="480"/>
              <w:rPr>
                <w:color w:val="auto"/>
                <w:szCs w:val="24"/>
                <w:highlight w:val="none"/>
              </w:rPr>
            </w:pPr>
            <w:r>
              <w:rPr>
                <w:rFonts w:hint="eastAsia"/>
                <w:color w:val="auto"/>
                <w:szCs w:val="24"/>
                <w:highlight w:val="none"/>
              </w:rPr>
              <w:t>1.5％</w:t>
            </w:r>
          </w:p>
        </w:tc>
        <w:tc>
          <w:tcPr>
            <w:tcW w:w="1913" w:type="dxa"/>
            <w:tcBorders>
              <w:top w:val="single" w:color="auto" w:sz="4" w:space="0"/>
              <w:left w:val="single" w:color="auto" w:sz="4" w:space="0"/>
              <w:bottom w:val="single" w:color="auto" w:sz="4" w:space="0"/>
              <w:right w:val="single" w:color="auto" w:sz="4" w:space="0"/>
            </w:tcBorders>
            <w:vAlign w:val="center"/>
          </w:tcPr>
          <w:p w14:paraId="4212E333">
            <w:pPr>
              <w:pStyle w:val="523"/>
              <w:spacing w:line="360" w:lineRule="auto"/>
              <w:ind w:firstLine="480"/>
              <w:rPr>
                <w:color w:val="auto"/>
                <w:szCs w:val="24"/>
                <w:highlight w:val="none"/>
              </w:rPr>
            </w:pPr>
            <w:r>
              <w:rPr>
                <w:rFonts w:hint="eastAsia"/>
                <w:color w:val="auto"/>
                <w:szCs w:val="24"/>
                <w:highlight w:val="none"/>
              </w:rPr>
              <w:t>1.0％</w:t>
            </w:r>
          </w:p>
        </w:tc>
      </w:tr>
      <w:tr w14:paraId="1411C1D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32" w:hRule="atLeast"/>
          <w:tblCellSpacing w:w="0" w:type="dxa"/>
        </w:trPr>
        <w:tc>
          <w:tcPr>
            <w:tcW w:w="3430" w:type="dxa"/>
            <w:tcBorders>
              <w:top w:val="single" w:color="auto" w:sz="4" w:space="0"/>
              <w:left w:val="single" w:color="auto" w:sz="4" w:space="0"/>
              <w:bottom w:val="single" w:color="auto" w:sz="4" w:space="0"/>
              <w:right w:val="single" w:color="auto" w:sz="4" w:space="0"/>
            </w:tcBorders>
            <w:vAlign w:val="center"/>
          </w:tcPr>
          <w:p w14:paraId="2CA5FD92">
            <w:pPr>
              <w:pStyle w:val="523"/>
              <w:spacing w:line="360" w:lineRule="auto"/>
              <w:ind w:firstLine="480"/>
              <w:rPr>
                <w:color w:val="auto"/>
                <w:szCs w:val="24"/>
                <w:highlight w:val="none"/>
              </w:rPr>
            </w:pPr>
            <w:r>
              <w:rPr>
                <w:rFonts w:hint="eastAsia"/>
                <w:color w:val="auto"/>
                <w:szCs w:val="24"/>
                <w:highlight w:val="none"/>
              </w:rPr>
              <w:t>100—500</w:t>
            </w:r>
          </w:p>
        </w:tc>
        <w:tc>
          <w:tcPr>
            <w:tcW w:w="1768" w:type="dxa"/>
            <w:tcBorders>
              <w:top w:val="single" w:color="auto" w:sz="4" w:space="0"/>
              <w:left w:val="single" w:color="auto" w:sz="4" w:space="0"/>
              <w:bottom w:val="single" w:color="auto" w:sz="4" w:space="0"/>
              <w:right w:val="single" w:color="auto" w:sz="4" w:space="0"/>
            </w:tcBorders>
            <w:vAlign w:val="center"/>
          </w:tcPr>
          <w:p w14:paraId="76FD962A">
            <w:pPr>
              <w:pStyle w:val="523"/>
              <w:spacing w:line="360" w:lineRule="auto"/>
              <w:ind w:firstLine="480"/>
              <w:rPr>
                <w:color w:val="auto"/>
                <w:szCs w:val="24"/>
                <w:highlight w:val="none"/>
              </w:rPr>
            </w:pPr>
            <w:r>
              <w:rPr>
                <w:rFonts w:hint="eastAsia"/>
                <w:color w:val="auto"/>
                <w:szCs w:val="24"/>
                <w:highlight w:val="none"/>
              </w:rPr>
              <w:t>1.1％</w:t>
            </w:r>
          </w:p>
        </w:tc>
        <w:tc>
          <w:tcPr>
            <w:tcW w:w="1913" w:type="dxa"/>
            <w:tcBorders>
              <w:top w:val="single" w:color="auto" w:sz="4" w:space="0"/>
              <w:left w:val="single" w:color="auto" w:sz="4" w:space="0"/>
              <w:bottom w:val="single" w:color="auto" w:sz="4" w:space="0"/>
              <w:right w:val="single" w:color="auto" w:sz="4" w:space="0"/>
            </w:tcBorders>
            <w:vAlign w:val="center"/>
          </w:tcPr>
          <w:p w14:paraId="7976B813">
            <w:pPr>
              <w:pStyle w:val="523"/>
              <w:spacing w:line="360" w:lineRule="auto"/>
              <w:ind w:firstLine="480"/>
              <w:rPr>
                <w:color w:val="auto"/>
                <w:szCs w:val="24"/>
                <w:highlight w:val="none"/>
              </w:rPr>
            </w:pPr>
            <w:r>
              <w:rPr>
                <w:rFonts w:hint="eastAsia"/>
                <w:color w:val="auto"/>
                <w:szCs w:val="24"/>
                <w:highlight w:val="none"/>
              </w:rPr>
              <w:t>0.8％</w:t>
            </w:r>
          </w:p>
        </w:tc>
        <w:tc>
          <w:tcPr>
            <w:tcW w:w="1913" w:type="dxa"/>
            <w:tcBorders>
              <w:top w:val="single" w:color="auto" w:sz="4" w:space="0"/>
              <w:left w:val="single" w:color="auto" w:sz="4" w:space="0"/>
              <w:bottom w:val="single" w:color="auto" w:sz="4" w:space="0"/>
              <w:right w:val="single" w:color="auto" w:sz="4" w:space="0"/>
            </w:tcBorders>
            <w:vAlign w:val="center"/>
          </w:tcPr>
          <w:p w14:paraId="5A80A39E">
            <w:pPr>
              <w:pStyle w:val="523"/>
              <w:spacing w:line="360" w:lineRule="auto"/>
              <w:ind w:firstLine="480"/>
              <w:rPr>
                <w:color w:val="auto"/>
                <w:szCs w:val="24"/>
                <w:highlight w:val="none"/>
              </w:rPr>
            </w:pPr>
            <w:r>
              <w:rPr>
                <w:rFonts w:hint="eastAsia"/>
                <w:color w:val="auto"/>
                <w:szCs w:val="24"/>
                <w:highlight w:val="none"/>
              </w:rPr>
              <w:t>0.7％</w:t>
            </w:r>
          </w:p>
        </w:tc>
      </w:tr>
      <w:tr w14:paraId="57206AF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32" w:hRule="atLeast"/>
          <w:tblCellSpacing w:w="0" w:type="dxa"/>
        </w:trPr>
        <w:tc>
          <w:tcPr>
            <w:tcW w:w="3430" w:type="dxa"/>
            <w:tcBorders>
              <w:top w:val="single" w:color="auto" w:sz="4" w:space="0"/>
              <w:left w:val="single" w:color="auto" w:sz="4" w:space="0"/>
              <w:bottom w:val="single" w:color="auto" w:sz="4" w:space="0"/>
              <w:right w:val="single" w:color="auto" w:sz="4" w:space="0"/>
            </w:tcBorders>
            <w:vAlign w:val="center"/>
          </w:tcPr>
          <w:p w14:paraId="0845F5A1">
            <w:pPr>
              <w:pStyle w:val="523"/>
              <w:spacing w:line="360" w:lineRule="auto"/>
              <w:ind w:firstLine="480"/>
              <w:rPr>
                <w:color w:val="auto"/>
                <w:szCs w:val="24"/>
                <w:highlight w:val="none"/>
              </w:rPr>
            </w:pPr>
            <w:r>
              <w:rPr>
                <w:rFonts w:hint="eastAsia"/>
                <w:color w:val="auto"/>
                <w:szCs w:val="24"/>
                <w:highlight w:val="none"/>
              </w:rPr>
              <w:t>500—1000</w:t>
            </w:r>
          </w:p>
        </w:tc>
        <w:tc>
          <w:tcPr>
            <w:tcW w:w="1768" w:type="dxa"/>
            <w:tcBorders>
              <w:top w:val="single" w:color="auto" w:sz="4" w:space="0"/>
              <w:left w:val="single" w:color="auto" w:sz="4" w:space="0"/>
              <w:bottom w:val="single" w:color="auto" w:sz="4" w:space="0"/>
              <w:right w:val="single" w:color="auto" w:sz="4" w:space="0"/>
            </w:tcBorders>
            <w:vAlign w:val="center"/>
          </w:tcPr>
          <w:p w14:paraId="7EECCE84">
            <w:pPr>
              <w:pStyle w:val="523"/>
              <w:spacing w:line="360" w:lineRule="auto"/>
              <w:ind w:firstLine="480"/>
              <w:rPr>
                <w:color w:val="auto"/>
                <w:szCs w:val="24"/>
                <w:highlight w:val="none"/>
              </w:rPr>
            </w:pPr>
            <w:r>
              <w:rPr>
                <w:rFonts w:hint="eastAsia"/>
                <w:color w:val="auto"/>
                <w:szCs w:val="24"/>
                <w:highlight w:val="none"/>
              </w:rPr>
              <w:t>0.8％</w:t>
            </w:r>
          </w:p>
        </w:tc>
        <w:tc>
          <w:tcPr>
            <w:tcW w:w="1913" w:type="dxa"/>
            <w:tcBorders>
              <w:top w:val="single" w:color="auto" w:sz="4" w:space="0"/>
              <w:left w:val="single" w:color="auto" w:sz="4" w:space="0"/>
              <w:bottom w:val="single" w:color="auto" w:sz="4" w:space="0"/>
              <w:right w:val="single" w:color="auto" w:sz="4" w:space="0"/>
            </w:tcBorders>
            <w:vAlign w:val="center"/>
          </w:tcPr>
          <w:p w14:paraId="5DBBA486">
            <w:pPr>
              <w:pStyle w:val="523"/>
              <w:spacing w:line="360" w:lineRule="auto"/>
              <w:ind w:firstLine="480"/>
              <w:rPr>
                <w:color w:val="auto"/>
                <w:szCs w:val="24"/>
                <w:highlight w:val="none"/>
              </w:rPr>
            </w:pPr>
            <w:r>
              <w:rPr>
                <w:rFonts w:hint="eastAsia"/>
                <w:color w:val="auto"/>
                <w:szCs w:val="24"/>
                <w:highlight w:val="none"/>
              </w:rPr>
              <w:t>0.45％</w:t>
            </w:r>
          </w:p>
        </w:tc>
        <w:tc>
          <w:tcPr>
            <w:tcW w:w="1913" w:type="dxa"/>
            <w:tcBorders>
              <w:top w:val="single" w:color="auto" w:sz="4" w:space="0"/>
              <w:left w:val="single" w:color="auto" w:sz="4" w:space="0"/>
              <w:bottom w:val="single" w:color="auto" w:sz="4" w:space="0"/>
              <w:right w:val="single" w:color="auto" w:sz="4" w:space="0"/>
            </w:tcBorders>
            <w:vAlign w:val="center"/>
          </w:tcPr>
          <w:p w14:paraId="02A38B37">
            <w:pPr>
              <w:pStyle w:val="523"/>
              <w:spacing w:line="360" w:lineRule="auto"/>
              <w:ind w:firstLine="480"/>
              <w:rPr>
                <w:color w:val="auto"/>
                <w:szCs w:val="24"/>
                <w:highlight w:val="none"/>
              </w:rPr>
            </w:pPr>
            <w:r>
              <w:rPr>
                <w:rFonts w:hint="eastAsia"/>
                <w:color w:val="auto"/>
                <w:szCs w:val="24"/>
                <w:highlight w:val="none"/>
              </w:rPr>
              <w:t>0.55％</w:t>
            </w:r>
          </w:p>
        </w:tc>
      </w:tr>
      <w:tr w14:paraId="4CE0D72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0" w:type="dxa"/>
            <w:bottom w:w="0" w:type="dxa"/>
            <w:right w:w="0" w:type="dxa"/>
          </w:tblCellMar>
        </w:tblPrEx>
        <w:trPr>
          <w:trHeight w:val="232" w:hRule="atLeast"/>
          <w:tblCellSpacing w:w="0" w:type="dxa"/>
        </w:trPr>
        <w:tc>
          <w:tcPr>
            <w:tcW w:w="3430" w:type="dxa"/>
            <w:tcBorders>
              <w:top w:val="single" w:color="auto" w:sz="4" w:space="0"/>
              <w:left w:val="single" w:color="auto" w:sz="4" w:space="0"/>
              <w:bottom w:val="single" w:color="auto" w:sz="4" w:space="0"/>
              <w:right w:val="single" w:color="auto" w:sz="4" w:space="0"/>
            </w:tcBorders>
            <w:vAlign w:val="center"/>
          </w:tcPr>
          <w:p w14:paraId="11B5339F">
            <w:pPr>
              <w:pStyle w:val="523"/>
              <w:spacing w:line="360" w:lineRule="auto"/>
              <w:ind w:firstLine="480"/>
              <w:rPr>
                <w:color w:val="auto"/>
                <w:szCs w:val="24"/>
                <w:highlight w:val="none"/>
              </w:rPr>
            </w:pPr>
            <w:r>
              <w:rPr>
                <w:rFonts w:hint="eastAsia"/>
                <w:color w:val="auto"/>
                <w:szCs w:val="24"/>
                <w:highlight w:val="none"/>
              </w:rPr>
              <w:t>1000—5000</w:t>
            </w:r>
          </w:p>
        </w:tc>
        <w:tc>
          <w:tcPr>
            <w:tcW w:w="1768" w:type="dxa"/>
            <w:tcBorders>
              <w:top w:val="single" w:color="auto" w:sz="4" w:space="0"/>
              <w:left w:val="single" w:color="auto" w:sz="4" w:space="0"/>
              <w:bottom w:val="single" w:color="auto" w:sz="4" w:space="0"/>
              <w:right w:val="single" w:color="auto" w:sz="4" w:space="0"/>
            </w:tcBorders>
            <w:vAlign w:val="center"/>
          </w:tcPr>
          <w:p w14:paraId="6F8A1EB8">
            <w:pPr>
              <w:pStyle w:val="523"/>
              <w:spacing w:line="360" w:lineRule="auto"/>
              <w:ind w:firstLine="480"/>
              <w:rPr>
                <w:color w:val="auto"/>
                <w:szCs w:val="24"/>
                <w:highlight w:val="none"/>
              </w:rPr>
            </w:pPr>
            <w:r>
              <w:rPr>
                <w:rFonts w:hint="eastAsia"/>
                <w:color w:val="auto"/>
                <w:szCs w:val="24"/>
                <w:highlight w:val="none"/>
              </w:rPr>
              <w:t>0.5％</w:t>
            </w:r>
          </w:p>
        </w:tc>
        <w:tc>
          <w:tcPr>
            <w:tcW w:w="1913" w:type="dxa"/>
            <w:tcBorders>
              <w:top w:val="single" w:color="auto" w:sz="4" w:space="0"/>
              <w:left w:val="single" w:color="auto" w:sz="4" w:space="0"/>
              <w:bottom w:val="single" w:color="auto" w:sz="4" w:space="0"/>
              <w:right w:val="single" w:color="auto" w:sz="4" w:space="0"/>
            </w:tcBorders>
            <w:vAlign w:val="center"/>
          </w:tcPr>
          <w:p w14:paraId="20C96F62">
            <w:pPr>
              <w:pStyle w:val="523"/>
              <w:spacing w:line="360" w:lineRule="auto"/>
              <w:ind w:firstLine="480"/>
              <w:rPr>
                <w:color w:val="auto"/>
                <w:szCs w:val="24"/>
                <w:highlight w:val="none"/>
              </w:rPr>
            </w:pPr>
            <w:r>
              <w:rPr>
                <w:rFonts w:hint="eastAsia"/>
                <w:color w:val="auto"/>
                <w:szCs w:val="24"/>
                <w:highlight w:val="none"/>
              </w:rPr>
              <w:t>0.25％</w:t>
            </w:r>
          </w:p>
        </w:tc>
        <w:tc>
          <w:tcPr>
            <w:tcW w:w="1913" w:type="dxa"/>
            <w:tcBorders>
              <w:top w:val="single" w:color="auto" w:sz="4" w:space="0"/>
              <w:left w:val="single" w:color="auto" w:sz="4" w:space="0"/>
              <w:bottom w:val="single" w:color="auto" w:sz="4" w:space="0"/>
              <w:right w:val="single" w:color="auto" w:sz="4" w:space="0"/>
            </w:tcBorders>
            <w:vAlign w:val="center"/>
          </w:tcPr>
          <w:p w14:paraId="6AC2C3DD">
            <w:pPr>
              <w:pStyle w:val="523"/>
              <w:spacing w:line="360" w:lineRule="auto"/>
              <w:ind w:firstLine="480"/>
              <w:rPr>
                <w:color w:val="auto"/>
                <w:szCs w:val="24"/>
                <w:highlight w:val="none"/>
              </w:rPr>
            </w:pPr>
            <w:r>
              <w:rPr>
                <w:rFonts w:hint="eastAsia"/>
                <w:color w:val="auto"/>
                <w:szCs w:val="24"/>
                <w:highlight w:val="none"/>
              </w:rPr>
              <w:t>0.35％</w:t>
            </w:r>
          </w:p>
        </w:tc>
      </w:tr>
    </w:tbl>
    <w:p w14:paraId="68AA6275">
      <w:pPr>
        <w:ind w:firstLine="480"/>
        <w:rPr>
          <w:rFonts w:ascii="宋体" w:hAnsi="宋体" w:cs="宋体"/>
          <w:color w:val="auto"/>
          <w:sz w:val="24"/>
          <w:szCs w:val="24"/>
          <w:highlight w:val="none"/>
        </w:rPr>
      </w:pPr>
    </w:p>
    <w:p w14:paraId="6B900F4C">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说明：</w:t>
      </w:r>
    </w:p>
    <w:p w14:paraId="10A7CCED">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1、按上表计算的收费为代理服务全过程的收费金额。</w:t>
      </w:r>
    </w:p>
    <w:p w14:paraId="106D4C62">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2、代理服务费按差额定率累进法计算。</w:t>
      </w:r>
    </w:p>
    <w:p w14:paraId="310350F7">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3、代理服务费基准金额（按差额定率累进法计算的）=两个标段的总中标金额（按差额定率累进法计算的）*费率（%）。</w:t>
      </w:r>
    </w:p>
    <w:p w14:paraId="51A3FCCA">
      <w:pPr>
        <w:pBdr>
          <w:top w:val="none" w:color="000000" w:sz="0" w:space="0"/>
          <w:left w:val="none" w:color="000000" w:sz="0" w:space="0"/>
          <w:bottom w:val="none" w:color="000000" w:sz="0" w:space="0"/>
          <w:right w:val="none" w:color="000000" w:sz="0" w:space="0"/>
        </w:pBdr>
        <w:spacing w:line="360" w:lineRule="auto"/>
        <w:jc w:val="left"/>
        <w:rPr>
          <w:rStyle w:val="272"/>
          <w:rFonts w:hAnsi="宋体" w:cs="宋体"/>
          <w:color w:val="auto"/>
          <w:highlight w:val="none"/>
        </w:rPr>
      </w:pPr>
      <w:r>
        <w:rPr>
          <w:rFonts w:hint="eastAsia" w:ascii="宋体" w:hAnsi="宋体" w:cs="宋体"/>
          <w:color w:val="auto"/>
          <w:highlight w:val="none"/>
        </w:rPr>
        <w:t>4、代理服务费应收取金额=代理服务费基准金额（按差额定率累进法计算的）的合计数*35%。计算出的代理服务费应收取金额如低于3千元，按3千元收取；有两个及以上中标人/成交供应商的，招标代理服务费由中标/成交供应商按相应比例分摊（四舍五入取整）。</w:t>
      </w:r>
    </w:p>
    <w:p w14:paraId="1B25A202">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ascii="宋体" w:hAnsi="宋体" w:cs="宋体"/>
          <w:color w:val="auto"/>
          <w:highlight w:val="none"/>
        </w:rPr>
        <w:t>5</w:t>
      </w:r>
      <w:r>
        <w:rPr>
          <w:rFonts w:hint="eastAsia" w:ascii="宋体" w:hAnsi="宋体" w:cs="宋体"/>
          <w:color w:val="auto"/>
          <w:highlight w:val="none"/>
        </w:rPr>
        <w:t>、账户名称：江苏科建工程项目管理有限公司徐州分公司</w:t>
      </w:r>
    </w:p>
    <w:p w14:paraId="0DC4EB4A">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开户行：中国农业银行股份有限公司徐州塔东支行</w:t>
      </w:r>
    </w:p>
    <w:p w14:paraId="56833113">
      <w:pPr>
        <w:pBdr>
          <w:top w:val="none" w:color="000000" w:sz="0" w:space="0"/>
          <w:left w:val="none" w:color="000000" w:sz="0" w:space="0"/>
          <w:bottom w:val="none" w:color="000000" w:sz="0" w:space="0"/>
          <w:right w:val="none" w:color="000000" w:sz="0" w:space="0"/>
        </w:pBdr>
        <w:spacing w:line="360" w:lineRule="auto"/>
        <w:jc w:val="left"/>
        <w:rPr>
          <w:rFonts w:ascii="宋体" w:hAnsi="宋体" w:cs="宋体"/>
          <w:color w:val="auto"/>
          <w:highlight w:val="none"/>
        </w:rPr>
      </w:pPr>
      <w:r>
        <w:rPr>
          <w:rFonts w:hint="eastAsia" w:ascii="宋体" w:hAnsi="宋体" w:cs="宋体"/>
          <w:color w:val="auto"/>
          <w:highlight w:val="none"/>
        </w:rPr>
        <w:t>银行帐号：10247401040011283</w:t>
      </w:r>
    </w:p>
    <w:p w14:paraId="01FE92C7">
      <w:pPr>
        <w:pStyle w:val="73"/>
        <w:widowControl w:val="0"/>
        <w:spacing w:line="360" w:lineRule="auto"/>
        <w:ind w:firstLine="505"/>
        <w:jc w:val="left"/>
        <w:rPr>
          <w:rFonts w:ascii="宋体" w:hAnsi="宋体" w:cs="宋体"/>
          <w:color w:val="auto"/>
          <w:spacing w:val="6"/>
          <w:sz w:val="21"/>
          <w:szCs w:val="21"/>
          <w:highlight w:val="none"/>
        </w:rPr>
      </w:pPr>
    </w:p>
    <w:p w14:paraId="1E518CD9">
      <w:pPr>
        <w:pStyle w:val="18"/>
        <w:rPr>
          <w:rFonts w:ascii="宋体" w:hAnsi="宋体" w:eastAsia="宋体" w:cs="宋体"/>
          <w:color w:val="auto"/>
          <w:highlight w:val="none"/>
        </w:rPr>
      </w:pPr>
    </w:p>
    <w:p w14:paraId="39952F49">
      <w:pPr>
        <w:rPr>
          <w:rFonts w:ascii="宋体" w:hAnsi="宋体" w:cs="宋体"/>
          <w:color w:val="auto"/>
          <w:highlight w:val="none"/>
        </w:rPr>
      </w:pPr>
    </w:p>
    <w:p w14:paraId="2B43D4D1">
      <w:pPr>
        <w:rPr>
          <w:rStyle w:val="272"/>
          <w:rFonts w:hAnsi="宋体" w:cs="宋体"/>
          <w:color w:val="auto"/>
          <w:szCs w:val="24"/>
          <w:highlight w:val="none"/>
        </w:rPr>
      </w:pPr>
      <w:bookmarkStart w:id="76" w:name="_Toc10552"/>
      <w:bookmarkStart w:id="77" w:name="_Toc5107"/>
      <w:bookmarkStart w:id="78" w:name="_Toc2460"/>
      <w:r>
        <w:rPr>
          <w:rStyle w:val="272"/>
          <w:rFonts w:hint="eastAsia" w:hAnsi="宋体" w:cs="宋体"/>
          <w:color w:val="auto"/>
          <w:sz w:val="28"/>
          <w:highlight w:val="none"/>
        </w:rPr>
        <w:br w:type="page"/>
      </w:r>
    </w:p>
    <w:p w14:paraId="644832D6">
      <w:pPr>
        <w:pStyle w:val="88"/>
        <w:keepNext w:val="0"/>
        <w:keepLines w:val="0"/>
        <w:widowControl w:val="0"/>
        <w:numPr>
          <w:ilvl w:val="0"/>
          <w:numId w:val="4"/>
        </w:numPr>
        <w:spacing w:before="0" w:after="0" w:line="312" w:lineRule="auto"/>
        <w:jc w:val="center"/>
        <w:rPr>
          <w:rStyle w:val="272"/>
          <w:rFonts w:hAnsi="宋体" w:cs="宋体"/>
          <w:color w:val="auto"/>
          <w:szCs w:val="24"/>
          <w:highlight w:val="none"/>
        </w:rPr>
      </w:pPr>
      <w:r>
        <w:rPr>
          <w:rStyle w:val="272"/>
          <w:rFonts w:hint="eastAsia" w:hAnsi="宋体" w:cs="宋体"/>
          <w:color w:val="auto"/>
          <w:sz w:val="28"/>
          <w:highlight w:val="none"/>
        </w:rPr>
        <w:t>评分细则</w:t>
      </w:r>
      <w:bookmarkEnd w:id="76"/>
      <w:bookmarkEnd w:id="77"/>
      <w:r>
        <w:rPr>
          <w:rStyle w:val="272"/>
          <w:rFonts w:hint="eastAsia" w:hAnsi="宋体" w:cs="宋体"/>
          <w:color w:val="auto"/>
          <w:szCs w:val="24"/>
          <w:highlight w:val="none"/>
        </w:rPr>
        <w:t>（综合评分法）</w:t>
      </w:r>
      <w:bookmarkEnd w:id="78"/>
    </w:p>
    <w:p w14:paraId="40D31E93">
      <w:pPr>
        <w:pStyle w:val="73"/>
        <w:jc w:val="center"/>
        <w:rPr>
          <w:rFonts w:ascii="宋体" w:hAnsi="宋体" w:cs="宋体"/>
          <w:color w:val="auto"/>
          <w:sz w:val="24"/>
          <w:szCs w:val="24"/>
          <w:highlight w:val="none"/>
        </w:rPr>
      </w:pPr>
      <w:r>
        <w:rPr>
          <w:rStyle w:val="272"/>
          <w:rFonts w:hint="eastAsia" w:hAnsi="宋体" w:cs="宋体"/>
          <w:color w:val="auto"/>
          <w:szCs w:val="24"/>
          <w:highlight w:val="none"/>
        </w:rPr>
        <w:t>采购包1、采购包2评分细则</w:t>
      </w:r>
    </w:p>
    <w:tbl>
      <w:tblPr>
        <w:tblStyle w:val="40"/>
        <w:tblW w:w="95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0"/>
        <w:gridCol w:w="1200"/>
        <w:gridCol w:w="7149"/>
      </w:tblGrid>
      <w:tr w14:paraId="54BDA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2410" w:type="dxa"/>
            <w:gridSpan w:val="2"/>
            <w:vAlign w:val="center"/>
          </w:tcPr>
          <w:p w14:paraId="7E48B747">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评审因素</w:t>
            </w:r>
          </w:p>
        </w:tc>
        <w:tc>
          <w:tcPr>
            <w:tcW w:w="7149" w:type="dxa"/>
            <w:vAlign w:val="center"/>
          </w:tcPr>
          <w:p w14:paraId="46AC22BE">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评 分 依 据</w:t>
            </w:r>
          </w:p>
        </w:tc>
      </w:tr>
      <w:tr w14:paraId="3E43E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8" w:hRule="atLeast"/>
          <w:jc w:val="center"/>
        </w:trPr>
        <w:tc>
          <w:tcPr>
            <w:tcW w:w="2410" w:type="dxa"/>
            <w:gridSpan w:val="2"/>
            <w:vAlign w:val="center"/>
          </w:tcPr>
          <w:p w14:paraId="0ADFB47F">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价格</w:t>
            </w:r>
          </w:p>
          <w:p w14:paraId="431C229C">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(50分)</w:t>
            </w:r>
          </w:p>
        </w:tc>
        <w:tc>
          <w:tcPr>
            <w:tcW w:w="7149" w:type="dxa"/>
            <w:vAlign w:val="center"/>
          </w:tcPr>
          <w:p w14:paraId="29689689">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采用低价优先法计算，即满足磋商文件要求且最后报价最低的供应商的价格为磋商基准价，其价格分为满分。其他供应商的价格分统一按照下列公式计算：</w:t>
            </w:r>
          </w:p>
          <w:p w14:paraId="2C63D3C5">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磋商报价得分=（磋商基准价/最后磋商报价）×50</w:t>
            </w:r>
          </w:p>
          <w:p w14:paraId="0CC009C8">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计算结果四舍五入保留小数点后2位。</w:t>
            </w:r>
          </w:p>
        </w:tc>
      </w:tr>
      <w:tr w14:paraId="4675E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0" w:hRule="atLeast"/>
          <w:jc w:val="center"/>
        </w:trPr>
        <w:tc>
          <w:tcPr>
            <w:tcW w:w="2410" w:type="dxa"/>
            <w:gridSpan w:val="2"/>
            <w:vAlign w:val="center"/>
          </w:tcPr>
          <w:p w14:paraId="4F4CF99C">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供应商业绩</w:t>
            </w:r>
          </w:p>
          <w:p w14:paraId="5710B4C1">
            <w:pPr>
              <w:pStyle w:val="73"/>
              <w:keepNext w:val="0"/>
              <w:keepLines w:val="0"/>
              <w:pageBreakBefore w:val="0"/>
              <w:kinsoku/>
              <w:wordWrap/>
              <w:overflowPunct/>
              <w:topLinePunct w:val="0"/>
              <w:autoSpaceDE/>
              <w:autoSpaceDN/>
              <w:bidi w:val="0"/>
              <w:adjustRightInd/>
              <w:snapToGrid/>
              <w:spacing w:line="240" w:lineRule="auto"/>
              <w:ind w:right="0" w:rightChars="0"/>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（4分）</w:t>
            </w:r>
          </w:p>
        </w:tc>
        <w:tc>
          <w:tcPr>
            <w:tcW w:w="7149" w:type="dxa"/>
            <w:vAlign w:val="center"/>
          </w:tcPr>
          <w:p w14:paraId="36F33D36">
            <w:pPr>
              <w:pStyle w:val="76"/>
              <w:keepNext w:val="0"/>
              <w:keepLines w:val="0"/>
              <w:pageBreakBefore w:val="0"/>
              <w:kinsoku/>
              <w:wordWrap/>
              <w:overflowPunct/>
              <w:topLinePunct w:val="0"/>
              <w:autoSpaceDE/>
              <w:autoSpaceDN/>
              <w:bidi w:val="0"/>
              <w:adjustRightInd/>
              <w:snapToGrid/>
              <w:spacing w:after="0" w:line="240" w:lineRule="auto"/>
              <w:ind w:left="0" w:right="0" w:rightChars="0"/>
              <w:textAlignment w:val="auto"/>
              <w:rPr>
                <w:rFonts w:hAnsi="宋体" w:cs="宋体"/>
                <w:color w:val="auto"/>
                <w:sz w:val="21"/>
                <w:szCs w:val="21"/>
                <w:highlight w:val="none"/>
              </w:rPr>
            </w:pPr>
            <w:r>
              <w:rPr>
                <w:rFonts w:hint="eastAsia" w:hAnsi="宋体" w:cs="宋体"/>
                <w:color w:val="auto"/>
                <w:sz w:val="21"/>
                <w:szCs w:val="21"/>
                <w:highlight w:val="none"/>
              </w:rPr>
              <w:t>供应商自2023年7月1日（含）以来独立承担过与本采购包相同或类似工程，以中标通知书、施工合同及竣工验收证明为准，以上必须同时具备方为有效；每提供一份业绩得2分，最高得4分。不提供不得分。</w:t>
            </w:r>
          </w:p>
          <w:p w14:paraId="2C800614">
            <w:pPr>
              <w:pStyle w:val="74"/>
              <w:keepNext w:val="0"/>
              <w:keepLines w:val="0"/>
              <w:pageBreakBefore w:val="0"/>
              <w:kinsoku/>
              <w:wordWrap/>
              <w:overflowPunct/>
              <w:topLinePunct w:val="0"/>
              <w:autoSpaceDE/>
              <w:autoSpaceDN/>
              <w:bidi w:val="0"/>
              <w:adjustRightInd/>
              <w:snapToGrid/>
              <w:spacing w:line="240" w:lineRule="auto"/>
              <w:ind w:left="0" w:right="0" w:rightChars="0" w:firstLine="0"/>
              <w:textAlignment w:val="auto"/>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hi-IN"/>
              </w:rPr>
              <w:t>注：时间以竣工验收时间为准，响应文件中提供业绩证明材料原件扫描件。</w:t>
            </w:r>
          </w:p>
        </w:tc>
      </w:tr>
      <w:tr w14:paraId="75765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0" w:type="dxa"/>
            <w:vMerge w:val="restart"/>
            <w:vAlign w:val="center"/>
          </w:tcPr>
          <w:p w14:paraId="356C317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施工组织设计（3</w:t>
            </w:r>
            <w:r>
              <w:rPr>
                <w:rFonts w:ascii="宋体" w:hAnsi="宋体" w:cs="宋体"/>
                <w:color w:val="auto"/>
                <w:sz w:val="21"/>
                <w:szCs w:val="21"/>
                <w:highlight w:val="none"/>
              </w:rPr>
              <w:t>4</w:t>
            </w:r>
            <w:r>
              <w:rPr>
                <w:rFonts w:hint="eastAsia" w:ascii="宋体" w:hAnsi="宋体" w:cs="宋体"/>
                <w:color w:val="auto"/>
                <w:sz w:val="21"/>
                <w:szCs w:val="21"/>
                <w:highlight w:val="none"/>
              </w:rPr>
              <w:t>分）</w:t>
            </w:r>
          </w:p>
        </w:tc>
        <w:tc>
          <w:tcPr>
            <w:tcW w:w="1200" w:type="dxa"/>
            <w:vAlign w:val="center"/>
          </w:tcPr>
          <w:p w14:paraId="12B2F0B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总体施工方案</w:t>
            </w:r>
          </w:p>
          <w:p w14:paraId="75CA26D9">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（6分）</w:t>
            </w:r>
          </w:p>
        </w:tc>
        <w:tc>
          <w:tcPr>
            <w:tcW w:w="7149" w:type="dxa"/>
            <w:vAlign w:val="center"/>
          </w:tcPr>
          <w:p w14:paraId="674148C4">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根据供应商提供的工程总体概述、针对重点部分施工方案及施工工艺方法等方面进行总体评价。</w:t>
            </w:r>
          </w:p>
          <w:p w14:paraId="4E9183C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3F7A78A9">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5873CAC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针对性(2分)：针对性强得2分；针对性较强得1分；针对性不强得0.5分。</w:t>
            </w:r>
          </w:p>
          <w:p w14:paraId="6D3716E5">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715A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26" w:hRule="atLeast"/>
          <w:jc w:val="center"/>
        </w:trPr>
        <w:tc>
          <w:tcPr>
            <w:tcW w:w="1210" w:type="dxa"/>
            <w:vMerge w:val="continue"/>
            <w:vAlign w:val="center"/>
          </w:tcPr>
          <w:p w14:paraId="570A24D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3B3499E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进度及保证措施</w:t>
            </w:r>
          </w:p>
          <w:p w14:paraId="6C023E63">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(5分)</w:t>
            </w:r>
          </w:p>
        </w:tc>
        <w:tc>
          <w:tcPr>
            <w:tcW w:w="7149" w:type="dxa"/>
            <w:vAlign w:val="center"/>
          </w:tcPr>
          <w:p w14:paraId="2D2050A1">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根据供应商提供的针对本项目工程特点、工程进度计划安排、计划开工竣工日期、关键工作计划及工期保证措施等方面进行总体评价。</w:t>
            </w:r>
          </w:p>
          <w:p w14:paraId="4BC20349">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6D04D65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6D9FCB1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针对性(1分)：针对性强得1分；针对性不强得0.5分。</w:t>
            </w:r>
          </w:p>
          <w:p w14:paraId="263F9C42">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761B9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62" w:hRule="atLeast"/>
          <w:jc w:val="center"/>
        </w:trPr>
        <w:tc>
          <w:tcPr>
            <w:tcW w:w="1210" w:type="dxa"/>
            <w:vMerge w:val="continue"/>
            <w:vAlign w:val="center"/>
          </w:tcPr>
          <w:p w14:paraId="3169ED54">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47C2762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安全文明施工措施</w:t>
            </w:r>
          </w:p>
          <w:p w14:paraId="0A3C5AD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(4分)</w:t>
            </w:r>
          </w:p>
        </w:tc>
        <w:tc>
          <w:tcPr>
            <w:tcW w:w="7149" w:type="dxa"/>
            <w:vAlign w:val="center"/>
          </w:tcPr>
          <w:p w14:paraId="4875B050">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根据供应商提供的安全文明施工措施中安全生产管理措施、文明施工管理措施、环境保护措施等方面进行总体评价。</w:t>
            </w:r>
          </w:p>
          <w:p w14:paraId="65F9CE78">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3B72B08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可行性(1分)：符合实际切实可行得1分；较切实可行得0.5分。</w:t>
            </w:r>
          </w:p>
          <w:p w14:paraId="39EB0A34">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针对性(1分)：针对性强得1分；针对性不强得0.5分。</w:t>
            </w:r>
          </w:p>
          <w:p w14:paraId="08F33A98">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1D2DE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509" w:hRule="atLeast"/>
          <w:jc w:val="center"/>
        </w:trPr>
        <w:tc>
          <w:tcPr>
            <w:tcW w:w="1210" w:type="dxa"/>
            <w:vMerge w:val="continue"/>
            <w:vAlign w:val="center"/>
          </w:tcPr>
          <w:p w14:paraId="1C05226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0C05F47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质量保证</w:t>
            </w:r>
          </w:p>
          <w:p w14:paraId="5B80E075">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（5分）</w:t>
            </w:r>
          </w:p>
        </w:tc>
        <w:tc>
          <w:tcPr>
            <w:tcW w:w="7149" w:type="dxa"/>
            <w:vAlign w:val="center"/>
          </w:tcPr>
          <w:p w14:paraId="7A2FD72B">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根据供应商提供的质量保证措施，对施工质量管理规划及目标、施工质量保证措施及突发情况预防方式等方面进行总体评价。</w:t>
            </w:r>
          </w:p>
          <w:p w14:paraId="185E97B1">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7FEE1991">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6C57DFB0">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针对性(1分)：针对性强得1分；针对性不强得0.5分。</w:t>
            </w:r>
          </w:p>
          <w:p w14:paraId="022D414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60BB2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54" w:hRule="atLeast"/>
          <w:jc w:val="center"/>
        </w:trPr>
        <w:tc>
          <w:tcPr>
            <w:tcW w:w="1210" w:type="dxa"/>
            <w:vMerge w:val="continue"/>
            <w:vAlign w:val="center"/>
          </w:tcPr>
          <w:p w14:paraId="0534E170">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58B9308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主要施工机具配置</w:t>
            </w:r>
          </w:p>
          <w:p w14:paraId="538840CD">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 xml:space="preserve"> (5分）</w:t>
            </w:r>
          </w:p>
        </w:tc>
        <w:tc>
          <w:tcPr>
            <w:tcW w:w="7149" w:type="dxa"/>
            <w:vAlign w:val="center"/>
          </w:tcPr>
          <w:p w14:paraId="2D2ADF6D">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根据供应商提供的施工机具配置及保障措施等方面进行总体评价。</w:t>
            </w:r>
          </w:p>
          <w:p w14:paraId="60CA221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458B208D">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056CAAA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针对性(1分)：针对性强得1分；针对性不强得0.5分。</w:t>
            </w:r>
          </w:p>
          <w:p w14:paraId="34DB6B96">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39C55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49" w:hRule="atLeast"/>
          <w:jc w:val="center"/>
        </w:trPr>
        <w:tc>
          <w:tcPr>
            <w:tcW w:w="1210" w:type="dxa"/>
            <w:vMerge w:val="continue"/>
            <w:vAlign w:val="center"/>
          </w:tcPr>
          <w:p w14:paraId="06A1ED18">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0D115384">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人员配备</w:t>
            </w:r>
          </w:p>
          <w:p w14:paraId="6CBD9F5B">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(5分）</w:t>
            </w:r>
          </w:p>
        </w:tc>
        <w:tc>
          <w:tcPr>
            <w:tcW w:w="7149" w:type="dxa"/>
            <w:vAlign w:val="center"/>
          </w:tcPr>
          <w:p w14:paraId="41974CE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根据供应商提供的项目部组成主要技术人员、劳动力配置、组织机构管理、各人员岗位职责及保障措施等方面进行总体评价。</w:t>
            </w:r>
          </w:p>
          <w:p w14:paraId="646F55C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1E3B5F4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66C41843">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针对性(1分)：针对性强得1分；针对性不强得0.5分。</w:t>
            </w:r>
          </w:p>
          <w:p w14:paraId="0BE3B5E2">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42F8B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76" w:hRule="atLeast"/>
          <w:jc w:val="center"/>
        </w:trPr>
        <w:tc>
          <w:tcPr>
            <w:tcW w:w="1210" w:type="dxa"/>
            <w:vMerge w:val="continue"/>
            <w:vAlign w:val="center"/>
          </w:tcPr>
          <w:p w14:paraId="6282037D">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30CCAE0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材料保证措施</w:t>
            </w:r>
          </w:p>
          <w:p w14:paraId="373DE1D2">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（4分）</w:t>
            </w:r>
          </w:p>
        </w:tc>
        <w:tc>
          <w:tcPr>
            <w:tcW w:w="7149" w:type="dxa"/>
            <w:vAlign w:val="center"/>
          </w:tcPr>
          <w:p w14:paraId="5C0CF880">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根据供应商提供的材料供应、来源、投入计划及保证措施、材料环保情况等方面进行总体评价。</w:t>
            </w:r>
          </w:p>
          <w:p w14:paraId="78A61DB7">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全面性(2分)：全面具体详实得2分；较全面得1分；不全面得0.5分。</w:t>
            </w:r>
          </w:p>
          <w:p w14:paraId="17CEDFCE">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可行性(1分)：符合实际切实可行得1分；较切实可行得0.5分。针对性(1分)：针对性强得1分；针对性不强得0.5分。</w:t>
            </w:r>
          </w:p>
          <w:p w14:paraId="766CB215">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未提供的得0分。</w:t>
            </w:r>
          </w:p>
        </w:tc>
      </w:tr>
      <w:tr w14:paraId="10128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76" w:hRule="atLeast"/>
          <w:jc w:val="center"/>
        </w:trPr>
        <w:tc>
          <w:tcPr>
            <w:tcW w:w="1210" w:type="dxa"/>
            <w:vMerge w:val="restart"/>
            <w:vAlign w:val="center"/>
          </w:tcPr>
          <w:p w14:paraId="3E60B3C4">
            <w:pPr>
              <w:pStyle w:val="73"/>
              <w:keepNext w:val="0"/>
              <w:keepLines w:val="0"/>
              <w:pageBreakBefore w:val="0"/>
              <w:kinsoku/>
              <w:wordWrap/>
              <w:overflowPunct/>
              <w:topLinePunct w:val="0"/>
              <w:autoSpaceDE/>
              <w:autoSpaceDN/>
              <w:bidi w:val="0"/>
              <w:adjustRightInd/>
              <w:snapToGrid/>
              <w:spacing w:line="240" w:lineRule="auto"/>
              <w:ind w:right="0" w:rightChars="0"/>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服务方案及免费质保期承诺等（</w:t>
            </w:r>
            <w:r>
              <w:rPr>
                <w:rFonts w:hint="eastAsia" w:ascii="宋体" w:hAnsi="宋体" w:cs="宋体"/>
                <w:color w:val="auto"/>
                <w:sz w:val="21"/>
                <w:szCs w:val="21"/>
                <w:highlight w:val="none"/>
                <w:lang w:val="en-US" w:eastAsia="zh-CN"/>
              </w:rPr>
              <w:t>12</w:t>
            </w:r>
            <w:r>
              <w:rPr>
                <w:rFonts w:hint="eastAsia" w:ascii="宋体" w:hAnsi="宋体" w:cs="宋体"/>
                <w:color w:val="auto"/>
                <w:sz w:val="21"/>
                <w:szCs w:val="21"/>
                <w:highlight w:val="none"/>
              </w:rPr>
              <w:t>分）</w:t>
            </w:r>
          </w:p>
        </w:tc>
        <w:tc>
          <w:tcPr>
            <w:tcW w:w="1200" w:type="dxa"/>
            <w:vAlign w:val="center"/>
          </w:tcPr>
          <w:p w14:paraId="1EDD467D">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服务方案    （5分）</w:t>
            </w:r>
          </w:p>
        </w:tc>
        <w:tc>
          <w:tcPr>
            <w:tcW w:w="7149" w:type="dxa"/>
            <w:vAlign w:val="center"/>
          </w:tcPr>
          <w:p w14:paraId="29E5EC8C">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根据响应文件中的服务方案，包含缺陷责任期内和缺陷责任期满后的服务方案进行综合评分。</w:t>
            </w:r>
          </w:p>
          <w:p w14:paraId="74B0871B">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全面性(3分)：全面具体详实得3分；较全面得2分；不太全面得1分。</w:t>
            </w:r>
          </w:p>
          <w:p w14:paraId="333C0541">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可行性（2分)：符合实际切实可行得2分；较切实可行得1分；可行性欠缺得0.5分；</w:t>
            </w:r>
          </w:p>
          <w:p w14:paraId="20A25E90">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未提供的不得分。最低得0分。</w:t>
            </w:r>
          </w:p>
        </w:tc>
      </w:tr>
      <w:tr w14:paraId="0E1E6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9" w:hRule="atLeast"/>
          <w:jc w:val="center"/>
        </w:trPr>
        <w:tc>
          <w:tcPr>
            <w:tcW w:w="1210" w:type="dxa"/>
            <w:vMerge w:val="continue"/>
            <w:vAlign w:val="center"/>
          </w:tcPr>
          <w:p w14:paraId="32B39A63">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2F368B1A">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免费质保期承诺    （2分）</w:t>
            </w:r>
          </w:p>
        </w:tc>
        <w:tc>
          <w:tcPr>
            <w:tcW w:w="7149" w:type="dxa"/>
            <w:vAlign w:val="center"/>
          </w:tcPr>
          <w:p w14:paraId="5A8334B1">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免费质保期在满足磋商文件最低要求（2年）的基础上，整体每增加1年加1分（增加不足1年不计分），本项最高得2分。</w:t>
            </w:r>
          </w:p>
          <w:p w14:paraId="768958BE">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b/>
                <w:bCs/>
                <w:color w:val="auto"/>
                <w:sz w:val="21"/>
                <w:szCs w:val="21"/>
                <w:highlight w:val="none"/>
              </w:rPr>
              <w:t>注：提供承诺函（格式自拟）并加盖公章。未提供或不符合要求的不得分。</w:t>
            </w:r>
          </w:p>
        </w:tc>
      </w:tr>
      <w:tr w14:paraId="1B373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9" w:hRule="atLeast"/>
          <w:jc w:val="center"/>
        </w:trPr>
        <w:tc>
          <w:tcPr>
            <w:tcW w:w="1210" w:type="dxa"/>
            <w:vMerge w:val="continue"/>
            <w:vAlign w:val="center"/>
          </w:tcPr>
          <w:p w14:paraId="3F696126">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p>
        </w:tc>
        <w:tc>
          <w:tcPr>
            <w:tcW w:w="1200" w:type="dxa"/>
            <w:vAlign w:val="center"/>
          </w:tcPr>
          <w:p w14:paraId="48C0B7E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工期承诺   （5分）</w:t>
            </w:r>
          </w:p>
        </w:tc>
        <w:tc>
          <w:tcPr>
            <w:tcW w:w="7149" w:type="dxa"/>
            <w:vAlign w:val="center"/>
          </w:tcPr>
          <w:p w14:paraId="245D3074">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color w:val="auto"/>
                <w:sz w:val="21"/>
                <w:szCs w:val="21"/>
                <w:highlight w:val="none"/>
              </w:rPr>
              <w:t>工期在满足磋商文件最低要求（35天）的基础上，每提前1天加1分（提前不足1天不计分），本项最高得5分。</w:t>
            </w:r>
          </w:p>
          <w:p w14:paraId="2618A9CF">
            <w:pPr>
              <w:pStyle w:val="73"/>
              <w:keepNext w:val="0"/>
              <w:keepLines w:val="0"/>
              <w:pageBreakBefore w:val="0"/>
              <w:kinsoku/>
              <w:wordWrap/>
              <w:overflowPunct/>
              <w:topLinePunct w:val="0"/>
              <w:autoSpaceDE/>
              <w:autoSpaceDN/>
              <w:bidi w:val="0"/>
              <w:adjustRightInd/>
              <w:snapToGrid/>
              <w:spacing w:line="240" w:lineRule="auto"/>
              <w:ind w:right="0" w:rightChars="0"/>
              <w:textAlignment w:val="auto"/>
              <w:rPr>
                <w:rFonts w:ascii="宋体" w:hAnsi="宋体" w:cs="宋体"/>
                <w:color w:val="auto"/>
                <w:sz w:val="21"/>
                <w:szCs w:val="21"/>
                <w:highlight w:val="none"/>
              </w:rPr>
            </w:pPr>
            <w:r>
              <w:rPr>
                <w:rFonts w:hint="eastAsia" w:ascii="宋体" w:hAnsi="宋体" w:cs="宋体"/>
                <w:b/>
                <w:bCs/>
                <w:color w:val="auto"/>
                <w:sz w:val="21"/>
                <w:szCs w:val="21"/>
                <w:highlight w:val="none"/>
              </w:rPr>
              <w:t>注：提供承诺函（格式自拟）并加盖公章。未提供或不符合要求的不得分。</w:t>
            </w:r>
          </w:p>
        </w:tc>
      </w:tr>
    </w:tbl>
    <w:p w14:paraId="2F76E51F">
      <w:pPr>
        <w:pStyle w:val="73"/>
        <w:rPr>
          <w:rFonts w:ascii="宋体" w:hAnsi="宋体" w:cs="宋体"/>
          <w:color w:val="auto"/>
          <w:highlight w:val="none"/>
        </w:rPr>
      </w:pPr>
    </w:p>
    <w:p w14:paraId="7F40999E">
      <w:pPr>
        <w:pStyle w:val="69"/>
        <w:widowControl w:val="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本章说明：</w:t>
      </w:r>
    </w:p>
    <w:p w14:paraId="6C524DEA">
      <w:pPr>
        <w:pStyle w:val="73"/>
        <w:widowControl w:val="0"/>
        <w:spacing w:line="360" w:lineRule="auto"/>
        <w:ind w:firstLine="400"/>
        <w:rPr>
          <w:rFonts w:ascii="宋体" w:hAnsi="宋体" w:cs="宋体"/>
          <w:color w:val="auto"/>
          <w:highlight w:val="none"/>
        </w:rPr>
      </w:pPr>
      <w:r>
        <w:rPr>
          <w:rFonts w:hint="eastAsia" w:ascii="宋体" w:hAnsi="宋体" w:cs="宋体"/>
          <w:color w:val="auto"/>
          <w:sz w:val="24"/>
          <w:szCs w:val="24"/>
          <w:highlight w:val="none"/>
        </w:rPr>
        <w:t>（一）本项目采用综合评分法。（供应商技术部分得分取所有评委的平均值，保留小数点后二位）。</w:t>
      </w:r>
    </w:p>
    <w:p w14:paraId="2C83EC3E">
      <w:pPr>
        <w:rPr>
          <w:rStyle w:val="272"/>
          <w:rFonts w:hAnsi="宋体" w:cs="宋体"/>
          <w:color w:val="auto"/>
          <w:sz w:val="28"/>
          <w:highlight w:val="none"/>
        </w:rPr>
      </w:pPr>
      <w:r>
        <w:rPr>
          <w:rStyle w:val="272"/>
          <w:rFonts w:hint="eastAsia" w:hAnsi="宋体" w:cs="宋体"/>
          <w:color w:val="auto"/>
          <w:sz w:val="28"/>
          <w:highlight w:val="none"/>
        </w:rPr>
        <w:br w:type="page" w:clear="all"/>
      </w:r>
      <w:bookmarkStart w:id="630" w:name="_GoBack"/>
      <w:bookmarkEnd w:id="630"/>
    </w:p>
    <w:p w14:paraId="5C0ABF18">
      <w:pPr>
        <w:pStyle w:val="88"/>
        <w:keepNext w:val="0"/>
        <w:keepLines w:val="0"/>
        <w:widowControl w:val="0"/>
        <w:spacing w:before="157" w:after="0" w:line="360" w:lineRule="auto"/>
        <w:jc w:val="center"/>
        <w:rPr>
          <w:rFonts w:ascii="宋体" w:hAnsi="宋体" w:cs="宋体"/>
          <w:color w:val="auto"/>
          <w:sz w:val="21"/>
          <w:szCs w:val="21"/>
          <w:highlight w:val="none"/>
        </w:rPr>
      </w:pPr>
      <w:bookmarkStart w:id="79" w:name="_Toc20116"/>
      <w:bookmarkStart w:id="80" w:name="_Toc13587"/>
      <w:bookmarkStart w:id="81" w:name="_Toc31523"/>
      <w:r>
        <w:rPr>
          <w:rStyle w:val="272"/>
          <w:rFonts w:hint="eastAsia" w:hAnsi="宋体" w:cs="宋体"/>
          <w:color w:val="auto"/>
          <w:sz w:val="28"/>
          <w:highlight w:val="none"/>
        </w:rPr>
        <w:t>第九章 项目要求（采购需求）</w:t>
      </w:r>
      <w:bookmarkEnd w:id="79"/>
      <w:bookmarkEnd w:id="80"/>
      <w:bookmarkEnd w:id="81"/>
    </w:p>
    <w:p w14:paraId="2351DAE1">
      <w:pPr>
        <w:pStyle w:val="73"/>
        <w:widowControl w:val="0"/>
        <w:spacing w:line="360" w:lineRule="auto"/>
        <w:outlineLvl w:val="1"/>
        <w:rPr>
          <w:rFonts w:ascii="宋体" w:hAnsi="宋体" w:cs="宋体"/>
          <w:b/>
          <w:color w:val="auto"/>
          <w:sz w:val="24"/>
          <w:szCs w:val="24"/>
          <w:highlight w:val="none"/>
        </w:rPr>
      </w:pPr>
      <w:bookmarkStart w:id="82" w:name="_Toc18980"/>
      <w:bookmarkStart w:id="83" w:name="_Toc15699"/>
      <w:bookmarkStart w:id="84" w:name="_Toc22996"/>
      <w:bookmarkStart w:id="85" w:name="_Toc80122298"/>
      <w:r>
        <w:rPr>
          <w:rFonts w:hint="eastAsia" w:ascii="宋体" w:hAnsi="宋体" w:cs="宋体"/>
          <w:b/>
          <w:color w:val="auto"/>
          <w:sz w:val="24"/>
          <w:szCs w:val="24"/>
          <w:highlight w:val="none"/>
        </w:rPr>
        <w:t>一、采购预算</w:t>
      </w:r>
      <w:bookmarkEnd w:id="82"/>
      <w:r>
        <w:rPr>
          <w:rFonts w:hint="eastAsia" w:ascii="宋体" w:hAnsi="宋体" w:cs="宋体"/>
          <w:b/>
          <w:color w:val="auto"/>
          <w:sz w:val="24"/>
          <w:szCs w:val="24"/>
          <w:highlight w:val="none"/>
        </w:rPr>
        <w:t xml:space="preserve"> </w:t>
      </w:r>
    </w:p>
    <w:bookmarkEnd w:id="83"/>
    <w:bookmarkEnd w:id="84"/>
    <w:p w14:paraId="1646B771">
      <w:pPr>
        <w:pStyle w:val="73"/>
        <w:widowControl w:val="0"/>
        <w:spacing w:line="360" w:lineRule="auto"/>
        <w:ind w:firstLine="422"/>
        <w:rPr>
          <w:rFonts w:ascii="宋体" w:hAnsi="宋体" w:cs="宋体"/>
          <w:color w:val="auto"/>
          <w:sz w:val="24"/>
          <w:szCs w:val="24"/>
          <w:highlight w:val="none"/>
        </w:rPr>
      </w:pPr>
      <w:r>
        <w:rPr>
          <w:rFonts w:hint="eastAsia" w:ascii="宋体" w:hAnsi="宋体" w:cs="宋体"/>
          <w:b/>
          <w:bCs/>
          <w:color w:val="auto"/>
          <w:sz w:val="24"/>
          <w:szCs w:val="24"/>
          <w:highlight w:val="none"/>
        </w:rPr>
        <w:t>本项目不接受超过采购</w:t>
      </w:r>
      <w:bookmarkStart w:id="86" w:name="OLE_LINK12"/>
      <w:r>
        <w:rPr>
          <w:rFonts w:hint="eastAsia" w:ascii="宋体" w:hAnsi="宋体" w:cs="宋体"/>
          <w:b/>
          <w:bCs/>
          <w:color w:val="auto"/>
          <w:sz w:val="24"/>
          <w:szCs w:val="24"/>
          <w:highlight w:val="none"/>
        </w:rPr>
        <w:t>最高限价</w:t>
      </w:r>
      <w:bookmarkEnd w:id="86"/>
      <w:r>
        <w:rPr>
          <w:rFonts w:hint="eastAsia" w:ascii="宋体" w:hAnsi="宋体" w:cs="宋体"/>
          <w:color w:val="auto"/>
          <w:sz w:val="24"/>
          <w:szCs w:val="24"/>
          <w:highlight w:val="none"/>
        </w:rPr>
        <w:t>299.15万元（其中,采购包1:176.008045万元；采购包2:123.141955万元）</w:t>
      </w:r>
      <w:r>
        <w:rPr>
          <w:rFonts w:hint="eastAsia" w:ascii="宋体" w:hAnsi="宋体" w:cs="宋体"/>
          <w:b/>
          <w:bCs/>
          <w:color w:val="auto"/>
          <w:sz w:val="24"/>
          <w:szCs w:val="24"/>
          <w:highlight w:val="none"/>
        </w:rPr>
        <w:t>的报价（最后报价）</w:t>
      </w:r>
      <w:r>
        <w:rPr>
          <w:rFonts w:hint="eastAsia" w:ascii="宋体" w:hAnsi="宋体" w:cs="宋体"/>
          <w:color w:val="auto"/>
          <w:sz w:val="24"/>
          <w:szCs w:val="24"/>
          <w:highlight w:val="none"/>
        </w:rPr>
        <w:t>。报价包含项目完成的所有费用，供应商报价时需考虑完成本项目内容所涉及的包含并不限于人工费、材料费、机械费、工具设备费、税费、保险、培训、售后服务、验收、利润等供应商认为可能发生的相关一切费用。供应商有漏报或不报的，采购人将视为有关费用已包括在本项目的报价中而不予支付，采购人不支付报价以外的任何费用。</w:t>
      </w:r>
    </w:p>
    <w:p w14:paraId="31F82B64">
      <w:pPr>
        <w:pStyle w:val="73"/>
        <w:widowControl w:val="0"/>
        <w:spacing w:line="360" w:lineRule="auto"/>
        <w:outlineLvl w:val="1"/>
        <w:rPr>
          <w:rFonts w:ascii="宋体" w:hAnsi="宋体" w:cs="宋体"/>
          <w:color w:val="auto"/>
          <w:sz w:val="24"/>
          <w:szCs w:val="24"/>
          <w:highlight w:val="none"/>
        </w:rPr>
      </w:pPr>
      <w:bookmarkStart w:id="87" w:name="_Toc5133"/>
      <w:bookmarkStart w:id="88" w:name="_Toc15867"/>
      <w:bookmarkStart w:id="89" w:name="_Toc23965"/>
      <w:r>
        <w:rPr>
          <w:rFonts w:hint="eastAsia" w:ascii="宋体" w:hAnsi="宋体" w:cs="宋体"/>
          <w:b/>
          <w:color w:val="auto"/>
          <w:sz w:val="24"/>
          <w:szCs w:val="24"/>
          <w:highlight w:val="none"/>
        </w:rPr>
        <w:t>二、项目概况</w:t>
      </w:r>
      <w:bookmarkEnd w:id="87"/>
      <w:bookmarkEnd w:id="88"/>
      <w:bookmarkEnd w:id="89"/>
    </w:p>
    <w:p w14:paraId="18A55DCB">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1、项目名称：毕业生房间粉刷维修及宿舍八组团维修改造工程</w:t>
      </w:r>
    </w:p>
    <w:p w14:paraId="1B0BECA5">
      <w:pPr>
        <w:pStyle w:val="73"/>
        <w:widowControl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项目地点：江苏师范大学校内及校外八组团</w:t>
      </w:r>
    </w:p>
    <w:p w14:paraId="33823CC0">
      <w:pPr>
        <w:pStyle w:val="73"/>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3、本项目主要内容：毕业生房间粉刷维修及宿舍八组团维修改造工程共划分2个采购包：</w:t>
      </w:r>
    </w:p>
    <w:p w14:paraId="26615E2E">
      <w:pPr>
        <w:pStyle w:val="73"/>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采购包1：毕业生房间粉刷维修及宿舍八组团维修改造工程（标段一毕业生房间粉刷），包含范围：一组团14-16#楼，三组团20-22#楼，六组团29-31#楼，学生宿舍0#楼， 云龙学生宿舍4#楼；采购包2：毕业生房间粉刷维修及宿舍八组团维修改造工程（标段二八组团宿舍维修），包含范围：八组团。</w:t>
      </w:r>
    </w:p>
    <w:p w14:paraId="0066C8AE">
      <w:pPr>
        <w:widowControl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本项目为毕业生房间粉刷维修及宿舍八组团维修改造工程，改造内容详见工程量清单所含全部内容。</w:t>
      </w:r>
    </w:p>
    <w:p w14:paraId="022D7702">
      <w:pPr>
        <w:pStyle w:val="73"/>
        <w:spacing w:line="360" w:lineRule="auto"/>
        <w:ind w:firstLine="420"/>
        <w:rPr>
          <w:rFonts w:ascii="宋体" w:hAnsi="宋体" w:cs="宋体"/>
          <w:b/>
          <w:bCs/>
          <w:color w:val="auto"/>
          <w:sz w:val="24"/>
          <w:szCs w:val="24"/>
          <w:highlight w:val="none"/>
        </w:rPr>
      </w:pPr>
      <w:r>
        <w:rPr>
          <w:rFonts w:hint="eastAsia" w:ascii="宋体" w:hAnsi="宋体" w:cs="宋体"/>
          <w:b/>
          <w:bCs/>
          <w:color w:val="auto"/>
          <w:sz w:val="24"/>
          <w:szCs w:val="24"/>
          <w:highlight w:val="none"/>
        </w:rPr>
        <w:t>特别注意事项：</w:t>
      </w:r>
    </w:p>
    <w:p w14:paraId="253B3942">
      <w:pPr>
        <w:pStyle w:val="73"/>
        <w:spacing w:line="360" w:lineRule="auto"/>
        <w:ind w:firstLine="420"/>
        <w:rPr>
          <w:rFonts w:ascii="宋体" w:hAnsi="宋体" w:cs="宋体"/>
          <w:color w:val="auto"/>
          <w:sz w:val="24"/>
          <w:szCs w:val="24"/>
          <w:highlight w:val="none"/>
        </w:rPr>
      </w:pPr>
      <w:r>
        <w:rPr>
          <w:rFonts w:hint="eastAsia" w:ascii="宋体" w:hAnsi="宋体" w:cs="宋体"/>
          <w:b/>
          <w:bCs/>
          <w:color w:val="auto"/>
          <w:sz w:val="24"/>
          <w:szCs w:val="24"/>
          <w:highlight w:val="none"/>
        </w:rPr>
        <w:t>每个供应商可以对本项目2个采购包提交响应文件及参与评审，但每个供应商只能获得一个采购包的中标（成交）资格。如果供应商同时在两个采购包中均排名第一，则确定其为前一个采购包中标（成交）人，在其他采购包中不再推荐其为中标（成交）人。评审顺序为采购包1至采购包2依次评审。</w:t>
      </w:r>
    </w:p>
    <w:p w14:paraId="6C105D4C">
      <w:pPr>
        <w:pStyle w:val="73"/>
        <w:widowControl w:val="0"/>
        <w:spacing w:line="360" w:lineRule="auto"/>
        <w:ind w:firstLine="420"/>
        <w:rPr>
          <w:rFonts w:ascii="宋体" w:hAnsi="宋体" w:cs="宋体"/>
          <w:color w:val="auto"/>
          <w:sz w:val="24"/>
          <w:szCs w:val="24"/>
          <w:highlight w:val="none"/>
        </w:rPr>
      </w:pPr>
      <w:bookmarkStart w:id="90" w:name="_Hlk105172344"/>
      <w:r>
        <w:rPr>
          <w:rFonts w:hint="eastAsia" w:ascii="宋体" w:hAnsi="宋体" w:cs="宋体"/>
          <w:color w:val="auto"/>
          <w:sz w:val="24"/>
          <w:szCs w:val="24"/>
          <w:highlight w:val="none"/>
        </w:rPr>
        <w:t>4、承包方式：包工包料，不得分包与转包。</w:t>
      </w:r>
    </w:p>
    <w:p w14:paraId="4AD81FBD">
      <w:pPr>
        <w:pStyle w:val="73"/>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5、工程质量：合格。</w:t>
      </w:r>
    </w:p>
    <w:p w14:paraId="60465FEA">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6、工期：</w:t>
      </w:r>
      <w:r>
        <w:rPr>
          <w:rFonts w:hint="eastAsia" w:ascii="宋体" w:hAnsi="宋体" w:cs="宋体"/>
          <w:color w:val="auto"/>
          <w:sz w:val="24"/>
          <w:szCs w:val="24"/>
          <w:highlight w:val="none"/>
          <w:u w:val="single"/>
        </w:rPr>
        <w:t>35</w:t>
      </w:r>
      <w:r>
        <w:rPr>
          <w:rFonts w:hint="eastAsia" w:ascii="宋体" w:hAnsi="宋体" w:cs="宋体"/>
          <w:color w:val="auto"/>
          <w:sz w:val="24"/>
          <w:szCs w:val="24"/>
          <w:highlight w:val="none"/>
        </w:rPr>
        <w:t>日历天。</w:t>
      </w:r>
      <w:bookmarkEnd w:id="90"/>
    </w:p>
    <w:p w14:paraId="06DA6E13">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7、验收标准：完成合同约定内容，满足质量标准，满足采购需求要求。</w:t>
      </w:r>
    </w:p>
    <w:p w14:paraId="04BD8F1F">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8、本工程采用的技术规范：执行国家、江苏省及徐州市颁发的现行行业规范、相关标准及相关文件。</w:t>
      </w:r>
    </w:p>
    <w:p w14:paraId="77283EEC">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9、现场自然及施工条件：具备施工条件，施工用水用电自行考虑，供应商自行踏勘现场获取，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p>
    <w:p w14:paraId="5E02D972">
      <w:pPr>
        <w:pStyle w:val="73"/>
        <w:widowControl w:val="0"/>
        <w:spacing w:line="360" w:lineRule="auto"/>
        <w:outlineLvl w:val="1"/>
        <w:rPr>
          <w:rFonts w:ascii="宋体" w:hAnsi="宋体" w:cs="宋体"/>
          <w:b/>
          <w:bCs/>
          <w:color w:val="auto"/>
          <w:sz w:val="24"/>
          <w:szCs w:val="24"/>
          <w:highlight w:val="none"/>
        </w:rPr>
      </w:pPr>
      <w:bookmarkStart w:id="91" w:name="_Toc7443"/>
      <w:bookmarkStart w:id="92" w:name="_Toc17676"/>
      <w:bookmarkStart w:id="93" w:name="_Toc6794"/>
      <w:r>
        <w:rPr>
          <w:rFonts w:hint="eastAsia" w:ascii="宋体" w:hAnsi="宋体" w:cs="宋体"/>
          <w:b/>
          <w:bCs/>
          <w:color w:val="auto"/>
          <w:sz w:val="24"/>
          <w:szCs w:val="24"/>
          <w:highlight w:val="none"/>
        </w:rPr>
        <w:t>三、现场踏勘</w:t>
      </w:r>
      <w:bookmarkEnd w:id="91"/>
      <w:bookmarkEnd w:id="92"/>
      <w:bookmarkEnd w:id="93"/>
    </w:p>
    <w:p w14:paraId="2E5CD20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1、供应商自行对施工现场进行踏勘，以获取编制响应文件所需的现场信息资料。</w:t>
      </w:r>
    </w:p>
    <w:p w14:paraId="39F2AB7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2、供应商对本磋商文件所作出的理解、推论和解释由其自己负责。</w:t>
      </w:r>
    </w:p>
    <w:p w14:paraId="2DA9BCC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3、由于现场踏勘没有进行或者不详细所导致的一切问题均由供应商自行负责。</w:t>
      </w:r>
    </w:p>
    <w:p w14:paraId="63BC7E2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4、供应商应承担现场踏勘的责任和风险，现场踏勘费用由供应商自己承担。</w:t>
      </w:r>
    </w:p>
    <w:p w14:paraId="51417AA9">
      <w:pPr>
        <w:pStyle w:val="16"/>
        <w:spacing w:after="0" w:line="360" w:lineRule="auto"/>
        <w:ind w:firstLine="480"/>
        <w:jc w:val="both"/>
        <w:rPr>
          <w:rFonts w:ascii="宋体" w:hAnsi="宋体" w:cs="宋体"/>
          <w:bCs/>
          <w:color w:val="auto"/>
          <w:sz w:val="24"/>
          <w:szCs w:val="24"/>
          <w:highlight w:val="none"/>
        </w:rPr>
      </w:pPr>
      <w:r>
        <w:rPr>
          <w:rFonts w:hint="eastAsia" w:ascii="宋体" w:hAnsi="宋体" w:cs="宋体"/>
          <w:bCs/>
          <w:color w:val="auto"/>
          <w:sz w:val="24"/>
          <w:szCs w:val="24"/>
          <w:highlight w:val="none"/>
        </w:rPr>
        <w:t>5、自行勘察时间：2026年</w:t>
      </w:r>
      <w:r>
        <w:rPr>
          <w:rFonts w:ascii="宋体" w:hAnsi="宋体" w:cs="宋体"/>
          <w:bCs/>
          <w:color w:val="auto"/>
          <w:sz w:val="24"/>
          <w:szCs w:val="24"/>
          <w:highlight w:val="none"/>
        </w:rPr>
        <w:t>7</w:t>
      </w:r>
      <w:r>
        <w:rPr>
          <w:rFonts w:hint="eastAsia" w:ascii="宋体" w:hAnsi="宋体" w:cs="宋体"/>
          <w:bCs/>
          <w:color w:val="auto"/>
          <w:sz w:val="24"/>
          <w:szCs w:val="24"/>
          <w:highlight w:val="none"/>
        </w:rPr>
        <w:t>月</w:t>
      </w:r>
      <w:r>
        <w:rPr>
          <w:rFonts w:ascii="宋体" w:hAnsi="宋体" w:cs="宋体"/>
          <w:bCs/>
          <w:color w:val="auto"/>
          <w:sz w:val="24"/>
          <w:szCs w:val="24"/>
          <w:highlight w:val="none"/>
        </w:rPr>
        <w:t>15</w:t>
      </w:r>
      <w:r>
        <w:rPr>
          <w:rFonts w:hint="eastAsia" w:ascii="宋体" w:hAnsi="宋体" w:cs="宋体"/>
          <w:bCs/>
          <w:color w:val="auto"/>
          <w:sz w:val="24"/>
          <w:szCs w:val="24"/>
          <w:highlight w:val="none"/>
        </w:rPr>
        <w:t>日前9:00-11：30，14:00-17:00，逾期不接待。</w:t>
      </w:r>
    </w:p>
    <w:p w14:paraId="580B77F7">
      <w:pPr>
        <w:pStyle w:val="16"/>
        <w:spacing w:after="0" w:line="360" w:lineRule="auto"/>
        <w:ind w:firstLine="787" w:firstLineChars="328"/>
        <w:jc w:val="both"/>
        <w:rPr>
          <w:rFonts w:ascii="宋体" w:hAnsi="宋体" w:cs="宋体"/>
          <w:color w:val="auto"/>
          <w:sz w:val="24"/>
          <w:szCs w:val="24"/>
          <w:highlight w:val="none"/>
        </w:rPr>
      </w:pPr>
      <w:r>
        <w:rPr>
          <w:rFonts w:hint="eastAsia" w:ascii="宋体" w:hAnsi="宋体" w:cs="宋体"/>
          <w:bCs/>
          <w:color w:val="auto"/>
          <w:sz w:val="24"/>
          <w:szCs w:val="24"/>
          <w:highlight w:val="none"/>
        </w:rPr>
        <w:t>联系人：王老师，联系电话：15262066066。</w:t>
      </w:r>
    </w:p>
    <w:p w14:paraId="4B061F03">
      <w:pPr>
        <w:pStyle w:val="73"/>
        <w:widowControl w:val="0"/>
        <w:spacing w:line="360" w:lineRule="auto"/>
        <w:outlineLvl w:val="1"/>
        <w:rPr>
          <w:rFonts w:ascii="宋体" w:hAnsi="宋体" w:cs="宋体"/>
          <w:b/>
          <w:color w:val="auto"/>
          <w:sz w:val="24"/>
          <w:szCs w:val="24"/>
          <w:highlight w:val="none"/>
        </w:rPr>
      </w:pPr>
      <w:bookmarkStart w:id="94" w:name="_Toc8215"/>
      <w:bookmarkStart w:id="95" w:name="_Toc25152"/>
      <w:bookmarkStart w:id="96" w:name="_Toc17759"/>
      <w:r>
        <w:rPr>
          <w:rFonts w:hint="eastAsia" w:ascii="宋体" w:hAnsi="宋体" w:cs="宋体"/>
          <w:b/>
          <w:color w:val="auto"/>
          <w:sz w:val="24"/>
          <w:szCs w:val="24"/>
          <w:highlight w:val="none"/>
        </w:rPr>
        <w:t>四、工程量清单</w:t>
      </w:r>
      <w:bookmarkEnd w:id="94"/>
      <w:bookmarkEnd w:id="95"/>
      <w:bookmarkEnd w:id="96"/>
    </w:p>
    <w:p w14:paraId="44E09F97">
      <w:pPr>
        <w:pStyle w:val="73"/>
        <w:widowControl w:val="0"/>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
          <w:color w:val="auto"/>
          <w:sz w:val="24"/>
          <w:szCs w:val="24"/>
          <w:highlight w:val="none"/>
        </w:rPr>
        <w:t>工程量清单以及图纸</w:t>
      </w:r>
      <w:r>
        <w:rPr>
          <w:rFonts w:hint="eastAsia" w:ascii="宋体" w:hAnsi="宋体" w:cs="宋体"/>
          <w:bCs/>
          <w:color w:val="auto"/>
          <w:sz w:val="24"/>
          <w:szCs w:val="24"/>
          <w:highlight w:val="none"/>
        </w:rPr>
        <w:t>详见本项目磋商公告附件；</w:t>
      </w:r>
    </w:p>
    <w:p w14:paraId="7857341A">
      <w:pPr>
        <w:pStyle w:val="73"/>
        <w:widowControl w:val="0"/>
        <w:spacing w:line="360" w:lineRule="auto"/>
        <w:ind w:firstLine="420"/>
        <w:rPr>
          <w:rFonts w:ascii="宋体" w:hAnsi="宋体" w:cs="宋体"/>
          <w:color w:val="auto"/>
          <w:sz w:val="24"/>
          <w:szCs w:val="24"/>
          <w:highlight w:val="none"/>
        </w:rPr>
      </w:pPr>
      <w:r>
        <w:rPr>
          <w:rFonts w:hint="eastAsia" w:ascii="宋体" w:hAnsi="宋体" w:cs="宋体"/>
          <w:bCs/>
          <w:color w:val="auto"/>
          <w:sz w:val="24"/>
          <w:szCs w:val="24"/>
          <w:highlight w:val="none"/>
        </w:rPr>
        <w:t>2、供应商应认真复核招标人提供的工程量清单。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应向招标人提出异议，否则认为接受工程量清单所包含的全部内容</w:t>
      </w:r>
      <w:r>
        <w:rPr>
          <w:rFonts w:hint="eastAsia" w:ascii="宋体" w:hAnsi="宋体" w:cs="宋体"/>
          <w:color w:val="auto"/>
          <w:sz w:val="24"/>
          <w:szCs w:val="24"/>
          <w:highlight w:val="none"/>
        </w:rPr>
        <w:t>。</w:t>
      </w:r>
      <w:bookmarkEnd w:id="85"/>
    </w:p>
    <w:p w14:paraId="4476B7E4">
      <w:pPr>
        <w:pStyle w:val="73"/>
        <w:widowControl w:val="0"/>
        <w:spacing w:line="360" w:lineRule="auto"/>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报价包含完成工程量清单所含全部内容，成交后不得以不熟悉现场和清单内容为由，或未进行现场踏勘等任何理由主张价格变更。</w:t>
      </w:r>
    </w:p>
    <w:p w14:paraId="197975C7">
      <w:pPr>
        <w:pStyle w:val="73"/>
        <w:widowControl w:val="0"/>
        <w:spacing w:line="360" w:lineRule="auto"/>
        <w:outlineLvl w:val="1"/>
        <w:rPr>
          <w:rFonts w:ascii="宋体" w:hAnsi="宋体" w:cs="宋体"/>
          <w:b/>
          <w:color w:val="auto"/>
          <w:sz w:val="24"/>
          <w:szCs w:val="24"/>
          <w:highlight w:val="none"/>
        </w:rPr>
      </w:pPr>
      <w:bookmarkStart w:id="97" w:name="_Toc22887"/>
      <w:bookmarkStart w:id="98" w:name="_Toc23407"/>
      <w:bookmarkStart w:id="99" w:name="_Toc19582"/>
      <w:r>
        <w:rPr>
          <w:rFonts w:hint="eastAsia" w:ascii="宋体" w:hAnsi="宋体" w:cs="宋体"/>
          <w:b/>
          <w:color w:val="auto"/>
          <w:sz w:val="24"/>
          <w:szCs w:val="24"/>
          <w:highlight w:val="none"/>
        </w:rPr>
        <w:t>五、报价要求</w:t>
      </w:r>
      <w:bookmarkEnd w:id="97"/>
      <w:bookmarkEnd w:id="98"/>
      <w:bookmarkEnd w:id="99"/>
    </w:p>
    <w:p w14:paraId="63A825D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1、工程量清单编制说明</w:t>
      </w:r>
    </w:p>
    <w:p w14:paraId="44C16F9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本工程量清单是依据现行国家标准《建设工程工程量清单计价规范》、地方规定以及采购文件中包括的图纸等编制。</w:t>
      </w:r>
    </w:p>
    <w:p w14:paraId="4BE1F72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2、响应报价编制要求</w:t>
      </w:r>
    </w:p>
    <w:p w14:paraId="36D4499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 响应报价应根据采购文件中的有关计价要求，并按照下列依据自主报价，但不得低于成本。</w:t>
      </w:r>
    </w:p>
    <w:p w14:paraId="09183AA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(1)本采购文件；</w:t>
      </w:r>
    </w:p>
    <w:p w14:paraId="018F5B9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(2)《建设工程工程量清单计价规范》 (GB50500-2013) 及其9本计算规范；</w:t>
      </w:r>
    </w:p>
    <w:p w14:paraId="73B8419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(3)国家或省级、行业建设主管部门颁发的计价办法；</w:t>
      </w:r>
    </w:p>
    <w:p w14:paraId="7EB8D9A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(4)企业定额，国家或省级、行业建设主管部门颁发的计价定额；</w:t>
      </w:r>
    </w:p>
    <w:p w14:paraId="1482D00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(5)采购文件、招标工程量清单及其补充通知、答疑纪要；</w:t>
      </w:r>
    </w:p>
    <w:p w14:paraId="7973A03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(6)建设工程设计文件及相关资料；</w:t>
      </w:r>
    </w:p>
    <w:p w14:paraId="63D5571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(7)施工现场情况、工程特点及拟定的投标施工组织设计或施工方案；</w:t>
      </w:r>
    </w:p>
    <w:p w14:paraId="0A7BA8D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(8)与建设项目相关的标准、规范等技术资料；</w:t>
      </w:r>
    </w:p>
    <w:p w14:paraId="4507ECA8">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(9)市场价格信息或工程造价管理机构发布的工程造价信息；</w:t>
      </w:r>
    </w:p>
    <w:p w14:paraId="5C0ED29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(10)其他的相关资料。</w:t>
      </w:r>
    </w:p>
    <w:p w14:paraId="3FB25B8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2.2 招标工程量清单与计价表中列明的所有需要填写单价和合价的项目，均应填写且只允许有一个报价。未填写单价和合价的项目，视为此项费用已包含在已标价工程量清单中其他项目的单价和合价之中。</w:t>
      </w:r>
    </w:p>
    <w:p w14:paraId="386E0E0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2.3 工程量清单中标价的单价或金额，应包括所需人工费、材料费、施工机具使用费、管理费和利润，以及一定范围内的风险费用。</w:t>
      </w:r>
    </w:p>
    <w:p w14:paraId="711C0C8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2.4 “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p>
    <w:p w14:paraId="5C19CB3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 分部分项工程和措施项目中的单价项目按下列要求报价：</w:t>
      </w:r>
    </w:p>
    <w:p w14:paraId="649703E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2.5.1 分部分项工程和措施项目中的单价项目，应根据采购文件和招标工程量清单确定综合单价。</w:t>
      </w:r>
    </w:p>
    <w:p w14:paraId="107CC05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2.5.2 如果分部分项工程量清单中涉及“材料（工程设备）暂估单价及调整表”中列出的材料和工程设备，将该类材料和工程设备的暂估单价计入对应的工程量清单综合单价。</w:t>
      </w:r>
    </w:p>
    <w:p w14:paraId="1CEB3E7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2.5.3 如果分部分项工程量清单中涉及“发包人供应材料和工程设备一览表”中列出的材料和工程设备，则该类材料和工程设备供应至现场指定位置的采购供应价（含材料保管费）应计入对应的工程量清单综合单价。</w:t>
      </w:r>
    </w:p>
    <w:p w14:paraId="07C74C6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2.5.4 “分部分项工程和单价措施项目清单与计价表”所列各项目的综合单价组成中，各项目的人工、材料和机械台班消耗量、管理费费率、利润费率由供应商按照其自身情况做充分的、竞争性考虑。</w:t>
      </w:r>
    </w:p>
    <w:p w14:paraId="03CB76C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p>
    <w:p w14:paraId="2F982B8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2.6 措施项目中的总价项目按下列要求报价：</w:t>
      </w:r>
    </w:p>
    <w:p w14:paraId="7BC98F5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2.6.1 总价措施项目中，以费率计算的，投标单位在响应报价时自主报价；其他总价措施项目，按项计取，综合单价按实际或可能发生的费用进行计算。</w:t>
      </w:r>
    </w:p>
    <w:p w14:paraId="7E8DAFA8">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2.6.2 措施项目清单中的安全文明施工费应按国家、省级或行业建设主管部门的规定计价，不得作为竞争性费用。</w:t>
      </w:r>
    </w:p>
    <w:p w14:paraId="1C98CE53">
      <w:pPr>
        <w:pStyle w:val="73"/>
        <w:widowControl w:val="0"/>
        <w:spacing w:line="360" w:lineRule="auto"/>
        <w:ind w:firstLine="420"/>
        <w:jc w:val="left"/>
        <w:rPr>
          <w:rFonts w:ascii="宋体" w:hAnsi="宋体" w:cs="宋体"/>
          <w:color w:val="auto"/>
          <w:sz w:val="24"/>
          <w:szCs w:val="24"/>
          <w:highlight w:val="none"/>
        </w:rPr>
      </w:pPr>
      <w:r>
        <w:rPr>
          <w:rFonts w:hint="eastAsia" w:ascii="宋体" w:hAnsi="宋体" w:cs="宋体"/>
          <w:bCs/>
          <w:color w:val="auto"/>
          <w:sz w:val="24"/>
          <w:szCs w:val="24"/>
          <w:highlight w:val="none"/>
        </w:rPr>
        <w:t>2.6.3 招标人提供的措施项目清单，供应商在报价时应充分、全面地阅读和理解采购文</w:t>
      </w:r>
      <w:r>
        <w:rPr>
          <w:rFonts w:hint="eastAsia" w:ascii="宋体" w:hAnsi="宋体" w:cs="宋体"/>
          <w:color w:val="auto"/>
          <w:sz w:val="24"/>
          <w:szCs w:val="24"/>
          <w:highlight w:val="none"/>
        </w:rPr>
        <w:t>件的相关内</w:t>
      </w:r>
      <w:r>
        <w:rPr>
          <w:rFonts w:hint="eastAsia" w:ascii="宋体" w:hAnsi="宋体" w:cs="宋体"/>
          <w:bCs/>
          <w:color w:val="auto"/>
          <w:sz w:val="24"/>
          <w:szCs w:val="24"/>
          <w:highlight w:val="none"/>
        </w:rPr>
        <w:t>容和约定，详实了解工程场地及其周围环境，充分考虑招标工程特点及拟定的施工方案和施工组织设计，供应商可根据工程实际与施工组织设计增补总价措施项目，但不应更改招标人已列措施项目。</w:t>
      </w:r>
    </w:p>
    <w:p w14:paraId="2D2FF73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2.6.4 “总价措施项目清单与计价表”中所填写的报价金额，应全面涵盖采购文件约定的供应商中标后施工、竣工、交付本工程并维修其任何缺陷所需要履行的责任和义务的全部费用。</w:t>
      </w:r>
    </w:p>
    <w:p w14:paraId="242C6B4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2.7 其他项目清单费应按下列规定报价：</w:t>
      </w:r>
    </w:p>
    <w:p w14:paraId="571D2CC8">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2.7.1 计日工按“计日工表”中列出的项目和估算数量，自主确定综合单价并计算计日工金额。。</w:t>
      </w:r>
    </w:p>
    <w:p w14:paraId="154BDD4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2.7.2 总承包服务费根据采购文件中列出的内容和要求，按“总承包服务费计价表”所列格式自主报价。</w:t>
      </w:r>
    </w:p>
    <w:p w14:paraId="1A73F65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2.8 规费和税金应按“规费、税金项目计价表”所列项目并根据国家、省级或行业建设主管部门的有关规定列项和计算，不得作为竞争性费用。</w:t>
      </w:r>
    </w:p>
    <w:p w14:paraId="6DBDEE0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2.9 除采购文件有强制性规定以及不可竞争部分以外，响应报价由供应商自主确定，但不得低于成本。</w:t>
      </w:r>
    </w:p>
    <w:p w14:paraId="2A62340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2.10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p>
    <w:p w14:paraId="1472B92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2.11 管理费应由供应商在保证不低于其成本的基础上做竞争性考虑；利润由供应商根据自身情况和综合实力做竞争性考虑。</w:t>
      </w:r>
    </w:p>
    <w:p w14:paraId="1035C10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2.12 响应报价中应考虑采购文件中要求供应商承担的风险范围以及相关的费用。</w:t>
      </w:r>
    </w:p>
    <w:p w14:paraId="793AAAF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2.13 投标总价为供应商在响应文件中提出的各项支付金额的总和（含税），为实施、完成招标工程并修补缺陷以及履行采购文件中约定的风险范围内的所有责任和义务所发生的全部费用。   </w:t>
      </w:r>
    </w:p>
    <w:p w14:paraId="5ABDB0E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 有关响应报价的其他要求：</w:t>
      </w:r>
    </w:p>
    <w:p w14:paraId="3A3777FD">
      <w:pPr>
        <w:pStyle w:val="73"/>
        <w:widowControl w:val="0"/>
        <w:spacing w:line="360" w:lineRule="auto"/>
        <w:ind w:firstLine="422"/>
        <w:jc w:val="left"/>
        <w:rPr>
          <w:rFonts w:ascii="宋体" w:hAnsi="宋体" w:cs="宋体"/>
          <w:b/>
          <w:color w:val="auto"/>
          <w:sz w:val="24"/>
          <w:szCs w:val="24"/>
          <w:highlight w:val="none"/>
        </w:rPr>
      </w:pPr>
      <w:r>
        <w:rPr>
          <w:rFonts w:hint="eastAsia" w:ascii="宋体" w:hAnsi="宋体" w:cs="宋体"/>
          <w:b/>
          <w:color w:val="auto"/>
          <w:sz w:val="24"/>
          <w:szCs w:val="24"/>
          <w:highlight w:val="none"/>
        </w:rPr>
        <w:t>2.14.1 本项目材料价格以</w:t>
      </w:r>
      <w:bookmarkStart w:id="100" w:name="OLE_LINK14"/>
      <w:r>
        <w:rPr>
          <w:rFonts w:hint="eastAsia" w:ascii="宋体" w:hAnsi="宋体" w:cs="宋体"/>
          <w:b/>
          <w:color w:val="auto"/>
          <w:sz w:val="24"/>
          <w:szCs w:val="24"/>
          <w:highlight w:val="none"/>
        </w:rPr>
        <w:t>2026年第</w:t>
      </w:r>
      <w:r>
        <w:rPr>
          <w:rFonts w:ascii="宋体" w:hAnsi="宋体" w:cs="宋体"/>
          <w:b/>
          <w:color w:val="auto"/>
          <w:sz w:val="24"/>
          <w:szCs w:val="24"/>
          <w:highlight w:val="none"/>
        </w:rPr>
        <w:t>6</w:t>
      </w:r>
      <w:r>
        <w:rPr>
          <w:rFonts w:hint="eastAsia" w:ascii="宋体" w:hAnsi="宋体" w:cs="宋体"/>
          <w:b/>
          <w:color w:val="auto"/>
          <w:sz w:val="24"/>
          <w:szCs w:val="24"/>
          <w:highlight w:val="none"/>
        </w:rPr>
        <w:t>期</w:t>
      </w:r>
      <w:bookmarkEnd w:id="100"/>
      <w:bookmarkStart w:id="101" w:name="OLE_LINK15"/>
      <w:r>
        <w:rPr>
          <w:rFonts w:hint="eastAsia" w:ascii="宋体" w:hAnsi="宋体" w:cs="宋体"/>
          <w:b/>
          <w:color w:val="auto"/>
          <w:sz w:val="24"/>
          <w:szCs w:val="24"/>
          <w:highlight w:val="none"/>
        </w:rPr>
        <w:t>《徐州工程造价信息》</w:t>
      </w:r>
      <w:bookmarkEnd w:id="101"/>
      <w:r>
        <w:rPr>
          <w:rFonts w:hint="eastAsia" w:ascii="宋体" w:hAnsi="宋体" w:cs="宋体"/>
          <w:b/>
          <w:color w:val="auto"/>
          <w:sz w:val="24"/>
          <w:szCs w:val="24"/>
          <w:highlight w:val="none"/>
        </w:rPr>
        <w:t>为准。其他详见工程量清单及预算编制说明。</w:t>
      </w:r>
    </w:p>
    <w:p w14:paraId="7D02ECF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2.14.2本项目施工过程中，如需临时拆除、现场设备移位安装等，供应商报价时候须充分考虑以上内容及施工现场实际拆除并恢复等，采购人不再另行支付费用。</w:t>
      </w:r>
    </w:p>
    <w:p w14:paraId="744A9C1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2.14.3 报价内容</w:t>
      </w:r>
    </w:p>
    <w:p w14:paraId="6D52499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⑴响应报价应包括竞争性磋商文件中所确定的范围内工程量清单中所含项目的全部内容，以及为完成上述内容所需的全部费用。其根据为供应商提交的已标价的工程量清单及附表。</w:t>
      </w:r>
    </w:p>
    <w:p w14:paraId="08DED53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⑵供应商应按采购人提供的工程量清单填报价格。填写的项目名称、项目特征、计量单位、工程量必须与采购人提供的一致。若出现与招标提供的工程量清单漏报的，则视为投标人让利。</w:t>
      </w:r>
    </w:p>
    <w:p w14:paraId="67A770D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⑶供应商应按采购人提供的工程量计算工程项目的单价和合价。工程量清单中的每一单项均需计算填写单价和合价，供应商没有填写单价和合价的项目将被认为此项费用已包括在工程量清单的其他单价和合价中。</w:t>
      </w:r>
    </w:p>
    <w:p w14:paraId="1DA075E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⑷项目实施方案所描述的技术措施所发生的费用，视为已体现在供应商报价的非实体性消耗所发生的费用中。</w:t>
      </w:r>
    </w:p>
    <w:p w14:paraId="2FD795DA">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⑸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p>
    <w:p w14:paraId="7C9CA6D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⑹安全文明施工是供应商的责任，供应商应在其响应报价时充分考虑因工地工况及任何其它足以造成的工期影响与费用增加，在报价予以考虑，采购人不接受任何由于供应商考虑不周为由而提出的任何补偿。</w:t>
      </w:r>
    </w:p>
    <w:p w14:paraId="20BA178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⑺由供应商负责办理相关建设、城管、市政、安全、环保等部门的手续，施工供应商在响应报价时应考虑这样因素，费用包含在报价中，采购人不接受供应商关于此类费用的任何诉求，不再另行支付任何费用。</w:t>
      </w:r>
    </w:p>
    <w:p w14:paraId="1E251BD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⑻垃圾外运，运距及运输方式供应商自行考虑，费用包含在报价中，工程结算时不再调整。</w:t>
      </w:r>
    </w:p>
    <w:p w14:paraId="10A8D3E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⑼投标人应认真踏勘现场并仔细核对工程量清单，如有疑义，应对特征描述以及其工程量清单项目的完整性依据本采购文件规定的提疑截止时间内提出，采购人相应做书面答复并调整。清单项目中特征描述不全的工序或施工内容、材料和设备名称，如图纸内容及技术要求已明确或已指明引用的规范、图集等或是常规工艺必须的工序，均应包括在报价中。</w:t>
      </w:r>
    </w:p>
    <w:p w14:paraId="37D525FF">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⑽供应商应认真研读竞争性磋商文件和合同内容，已明示含在投标报价中的费用供应商自行考虑，不管工程量清单是否单独列支，采购人均认为供应商已充分考虑此部分费用，应包括在报价中。</w:t>
      </w:r>
    </w:p>
    <w:p w14:paraId="071F778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⑾场地障碍物（包括地表、地下及围档增设开口）清除（包含挖填等处理）、场地内的积水处理、周边关系、第三方关系的协调及其它的一切相关配合等均在风险系数内考虑。</w:t>
      </w:r>
    </w:p>
    <w:p w14:paraId="5D38A83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⑿检验试验费：因工程需要所做的全部检验、试验及检测相关费用，由投标人（供应商）自行考虑风险并计入投标报价中，结算时不予调整。</w:t>
      </w:r>
    </w:p>
    <w:p w14:paraId="6199443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⒀本项目施工过程中，如有现场设备移位安装等，供应商报价时候须充分考虑以上内容及施工现场实际拆除并恢复等，采购人不再另行支付费用。</w:t>
      </w:r>
    </w:p>
    <w:p w14:paraId="4FDA680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特别说明：</w:t>
      </w:r>
    </w:p>
    <w:p w14:paraId="08D5353A">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a.由成交供应商负责处理施工场地及其周围成品的保护工作。成交供应商根据施工需要进行保护，所需费用含在投标报价内，施工中及结算时不得因成品保护的费用向甲方提起签证或索要费用。如在施工过程中因成交供应商原因造成成品损坏，成交供应商人应予以原样修复并承担修复费用。</w:t>
      </w:r>
    </w:p>
    <w:p w14:paraId="7667A86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b.施工完成后，成交供应商应将施工现场彻底清洁完毕达到采购人要求并撤离现场后，方能进行竣工验收。成交供应商拒绝清洁的，采购人人有权安排其他单位进行清洁，所需费用从成交供应商工程款中扣除。</w:t>
      </w:r>
    </w:p>
    <w:p w14:paraId="01B3F89F">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2.14.4 报价方式</w:t>
      </w:r>
    </w:p>
    <w:p w14:paraId="70559BA3">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①本工程采用固定单价合同（除另有规定外）。</w:t>
      </w:r>
    </w:p>
    <w:p w14:paraId="1F40BF0B">
      <w:pPr>
        <w:pStyle w:val="73"/>
        <w:widowControl w:val="0"/>
        <w:spacing w:line="360" w:lineRule="auto"/>
        <w:ind w:firstLine="420"/>
        <w:jc w:val="left"/>
        <w:rPr>
          <w:rFonts w:ascii="宋体" w:hAnsi="宋体" w:cs="宋体"/>
          <w:b/>
          <w:color w:val="auto"/>
          <w:sz w:val="24"/>
          <w:szCs w:val="24"/>
          <w:highlight w:val="none"/>
        </w:rPr>
      </w:pPr>
      <w:r>
        <w:rPr>
          <w:rFonts w:hint="eastAsia" w:ascii="宋体" w:hAnsi="宋体" w:cs="宋体"/>
          <w:bCs/>
          <w:color w:val="auto"/>
          <w:sz w:val="24"/>
          <w:szCs w:val="24"/>
          <w:highlight w:val="none"/>
        </w:rPr>
        <w:t>供应商应充分考虑施工期间各类建材的市场风险，充分考虑政策性关于人工、机械费用等方面调整，并计入总报价，</w:t>
      </w:r>
      <w:r>
        <w:rPr>
          <w:rFonts w:hint="eastAsia" w:ascii="宋体" w:hAnsi="宋体" w:cs="宋体"/>
          <w:b/>
          <w:color w:val="auto"/>
          <w:sz w:val="24"/>
          <w:szCs w:val="24"/>
          <w:highlight w:val="none"/>
        </w:rPr>
        <w:t>供应商所填写的单价和合价在合同实施期间不因市场变化因素而变动，结算不再调整。</w:t>
      </w:r>
    </w:p>
    <w:p w14:paraId="11EDD91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②本工程对材料风险约定如下：供应商应充分考虑施工期间各类建材的市场风险，并计入总报价，供应商在计算报价时应考虑一定的风险系数。</w:t>
      </w:r>
      <w:r>
        <w:rPr>
          <w:rFonts w:hint="eastAsia" w:ascii="宋体" w:hAnsi="宋体" w:cs="宋体"/>
          <w:b/>
          <w:color w:val="auto"/>
          <w:sz w:val="24"/>
          <w:szCs w:val="24"/>
          <w:highlight w:val="none"/>
        </w:rPr>
        <w:t>本工程工期较短结算时材料价格不予调整。</w:t>
      </w:r>
    </w:p>
    <w:p w14:paraId="6CAE4E3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③对于法律、法规、规章或有关政策出台导致工程税金、规费等发生变化的，应按照有关规定执行。</w:t>
      </w:r>
    </w:p>
    <w:p w14:paraId="75FBDF1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2.14.5 报价的计价方法</w:t>
      </w:r>
    </w:p>
    <w:p w14:paraId="5AAB1F7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本工程项目采用工程量清单计价。</w:t>
      </w:r>
    </w:p>
    <w:p w14:paraId="71E41B6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2.14.6 报价编制依据及要求：详见《工程量清单》。</w:t>
      </w:r>
    </w:p>
    <w:p w14:paraId="56FB6D0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2.14.7 响应文件报价要求：</w:t>
      </w:r>
    </w:p>
    <w:p w14:paraId="06933550">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①首次响应文件中提供《已标价的工程量清单》文件。</w:t>
      </w:r>
    </w:p>
    <w:p w14:paraId="5870EA4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②按照《工程量清单》编制《已标价的工程量清单》（工程量清单不得改变）。</w:t>
      </w:r>
    </w:p>
    <w:p w14:paraId="7ED8395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p>
    <w:p w14:paraId="481CF4D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3、其他说明</w:t>
      </w:r>
    </w:p>
    <w:p w14:paraId="19E95FA1">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3.1词语和定义</w:t>
      </w:r>
    </w:p>
    <w:p w14:paraId="29066B9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3.1.1 同义词语</w:t>
      </w:r>
    </w:p>
    <w:p w14:paraId="76598FD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本磋商文件中使用的词语“采购人（招标人）”和“投标人（供应商）”分别与合同条款中定义的“发包人”和“承包人”同义。</w:t>
      </w:r>
    </w:p>
    <w:p w14:paraId="64EFEFB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3.2 工程量差异调整</w:t>
      </w:r>
    </w:p>
    <w:p w14:paraId="63CD0E2F">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3.2.1 工程量清单中的项目列项、特征描述、工作内容以及“分部分项工程和单价措施项目清单与计价表”中附带的工程量都不应理解为是对承包(招标)范围以及合同工作内容的唯一的、最终的或全部的定义。</w:t>
      </w:r>
    </w:p>
    <w:p w14:paraId="4CA609D3">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3.2.2 投标人（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供应商）经过检查和复核以后认为采购人提供的工程量清单存在差异，则投标人（供应商）按磋商文件规定的程序向采购人提出异议。 成交后不得以工程量清单未进行复核及不熟悉图纸等任何理由主张价格变更。   </w:t>
      </w:r>
    </w:p>
    <w:p w14:paraId="18D3BAF2">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3.2.3 如果采购人在检查投标人（供应商）根据上文第3.2.2项提交的工程量差异问题后认为没有必要对工程量清单进行补充和(或)修改，或者采购人根据上文第3.2.2项对工程量清单进行了补充和(或)修改，但投标人（供应商）认为工程量清单中的工程量依然存在差异，则此类差异不再提交采购人答疑和修正，而是直接按采购人提供的工程量清单(包括采购人可能的补充和(或)修改)进行投标报价。投标人（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投标人（供应商）都需要对其报价，并纳入投标总价的计算。</w:t>
      </w:r>
    </w:p>
    <w:p w14:paraId="0DB7A0D9">
      <w:pPr>
        <w:pStyle w:val="73"/>
        <w:widowControl w:val="0"/>
        <w:spacing w:line="360" w:lineRule="auto"/>
        <w:ind w:firstLine="422"/>
        <w:jc w:val="left"/>
        <w:outlineLvl w:val="1"/>
        <w:rPr>
          <w:rFonts w:ascii="宋体" w:hAnsi="宋体" w:cs="宋体"/>
          <w:b/>
          <w:color w:val="auto"/>
          <w:sz w:val="24"/>
          <w:szCs w:val="24"/>
          <w:highlight w:val="none"/>
        </w:rPr>
      </w:pPr>
      <w:bookmarkStart w:id="102" w:name="_Toc4802"/>
      <w:bookmarkStart w:id="103" w:name="_Toc3413"/>
      <w:bookmarkStart w:id="104" w:name="_Toc4324"/>
      <w:r>
        <w:rPr>
          <w:rFonts w:hint="eastAsia" w:ascii="宋体" w:hAnsi="宋体" w:cs="宋体"/>
          <w:b/>
          <w:color w:val="auto"/>
          <w:sz w:val="24"/>
          <w:szCs w:val="24"/>
          <w:highlight w:val="none"/>
        </w:rPr>
        <w:t>六、低于成本报价</w:t>
      </w:r>
      <w:bookmarkEnd w:id="102"/>
      <w:bookmarkEnd w:id="103"/>
      <w:bookmarkEnd w:id="104"/>
    </w:p>
    <w:p w14:paraId="58A24A8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p>
    <w:p w14:paraId="6511B82A">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p>
    <w:p w14:paraId="73D31A04">
      <w:pPr>
        <w:pStyle w:val="73"/>
        <w:widowControl w:val="0"/>
        <w:spacing w:line="360" w:lineRule="auto"/>
        <w:ind w:firstLine="422"/>
        <w:jc w:val="left"/>
        <w:outlineLvl w:val="1"/>
        <w:rPr>
          <w:rFonts w:ascii="宋体" w:hAnsi="宋体" w:cs="宋体"/>
          <w:b/>
          <w:color w:val="auto"/>
          <w:sz w:val="24"/>
          <w:szCs w:val="24"/>
          <w:highlight w:val="none"/>
        </w:rPr>
      </w:pPr>
      <w:bookmarkStart w:id="105" w:name="_Toc8257"/>
      <w:bookmarkStart w:id="106" w:name="_Toc11583"/>
      <w:bookmarkStart w:id="107" w:name="_Toc30868"/>
      <w:r>
        <w:rPr>
          <w:rFonts w:hint="eastAsia" w:ascii="宋体" w:hAnsi="宋体" w:cs="宋体"/>
          <w:b/>
          <w:color w:val="auto"/>
          <w:sz w:val="24"/>
          <w:szCs w:val="24"/>
          <w:highlight w:val="none"/>
        </w:rPr>
        <w:t>七、实施要求</w:t>
      </w:r>
      <w:bookmarkEnd w:id="105"/>
      <w:bookmarkEnd w:id="106"/>
      <w:bookmarkEnd w:id="107"/>
    </w:p>
    <w:p w14:paraId="049A07D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1、采购人提供的资料：</w:t>
      </w:r>
    </w:p>
    <w:p w14:paraId="242B644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1.1工程量清单及图纸（另附）。</w:t>
      </w:r>
    </w:p>
    <w:p w14:paraId="2FB3A35C">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1.2其他与建设工程有关的原始资料由承包人自行勘察收集。</w:t>
      </w:r>
    </w:p>
    <w:p w14:paraId="198EBB8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2、技术标准：现行国家及本省、市的有关标准、规范及其他适用于本工程的最新技术标准、规范。</w:t>
      </w:r>
    </w:p>
    <w:p w14:paraId="13BD830A">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3、质保期</w:t>
      </w:r>
      <w:r>
        <w:rPr>
          <w:rFonts w:hint="eastAsia" w:ascii="宋体" w:hAnsi="宋体" w:cs="宋体"/>
          <w:color w:val="auto"/>
          <w:sz w:val="24"/>
          <w:szCs w:val="24"/>
          <w:highlight w:val="none"/>
        </w:rPr>
        <w:t>：</w:t>
      </w:r>
      <w:r>
        <w:rPr>
          <w:rFonts w:hint="eastAsia" w:ascii="宋体" w:hAnsi="宋体" w:cs="宋体"/>
          <w:b/>
          <w:color w:val="auto"/>
          <w:sz w:val="24"/>
          <w:szCs w:val="24"/>
          <w:highlight w:val="none"/>
        </w:rPr>
        <w:t>2年。</w:t>
      </w:r>
      <w:r>
        <w:rPr>
          <w:rFonts w:hint="eastAsia" w:ascii="宋体" w:hAnsi="宋体" w:cs="宋体"/>
          <w:bCs/>
          <w:color w:val="auto"/>
          <w:sz w:val="24"/>
          <w:szCs w:val="24"/>
          <w:highlight w:val="none"/>
        </w:rPr>
        <w:t>以供应商承诺的保修期限为准。质保期外，工程质量出现问题，中标人应主动提供维修方案，只收取材料费。</w:t>
      </w:r>
    </w:p>
    <w:p w14:paraId="6858CB4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4、施工要求</w:t>
      </w:r>
    </w:p>
    <w:p w14:paraId="317C63C7">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4.1 供应商必须遵从采购人相关安全保卫制度、安全文明施工要求。</w:t>
      </w:r>
    </w:p>
    <w:p w14:paraId="0C0C871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4.2 施工改造不得破坏现有设施设备，否则免费原样恢复，造成重大事故的由施工单位承担相关责任。</w:t>
      </w:r>
    </w:p>
    <w:p w14:paraId="57A8116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4.3重点区域或重点部位的施工要采取弹性工作时间，服从采购人的安排。</w:t>
      </w:r>
    </w:p>
    <w:p w14:paraId="65B0097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4.4拆除原设施如为保护性拆除，不得随意损坏。否则，造成损坏的要无偿修复或按工程清单中价格赔偿。赔偿款从工程款中扣除。</w:t>
      </w:r>
    </w:p>
    <w:p w14:paraId="2D67CF6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5、响应文件要求</w:t>
      </w:r>
    </w:p>
    <w:p w14:paraId="028D877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5.1首次响应文件中提供《施工组织设计》。</w:t>
      </w:r>
    </w:p>
    <w:p w14:paraId="0A92347A">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5.2《施工组织设计》包括不限于以下内容： </w:t>
      </w:r>
    </w:p>
    <w:p w14:paraId="25F3DCC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5.2.1 总体概述</w:t>
      </w:r>
    </w:p>
    <w:p w14:paraId="176A82F3">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5.2.2施工进度计划和各阶段进度的保证措施</w:t>
      </w:r>
    </w:p>
    <w:p w14:paraId="6C2E70BD">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5.2.3施工方案及质量保证措施</w:t>
      </w:r>
    </w:p>
    <w:p w14:paraId="4CA7FDA8">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5.2.4关键施工技术、工艺及工程项目实施的重点、难点和解决方案</w:t>
      </w:r>
    </w:p>
    <w:p w14:paraId="63BAE2F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5.2.5项目管理班子人员配备、素质及管理经验</w:t>
      </w:r>
    </w:p>
    <w:p w14:paraId="13A2A5EE">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5.2.6安全文明施工方案</w:t>
      </w:r>
    </w:p>
    <w:p w14:paraId="61C460C5">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5.3 供应商认为其他需要说明的内容。 </w:t>
      </w:r>
    </w:p>
    <w:p w14:paraId="45C1401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6、情况说明</w:t>
      </w:r>
    </w:p>
    <w:p w14:paraId="21C4294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6.1根据施工现场实际情况，采购人有权利对部分工程项目及工程量进行增减或调整， 供应商必须认可采购人对部分工程项目及工程量进行增减或调整的内容。 </w:t>
      </w:r>
    </w:p>
    <w:p w14:paraId="7D70D68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6.2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p>
    <w:p w14:paraId="6CE38A74">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6.3 供应商应根据本项目实际情况，合理配置人员，除项目经理外，安全员、质检员、施工员、预算员、材料员等人员应经验丰富，确保项目顺利实施。</w:t>
      </w:r>
    </w:p>
    <w:p w14:paraId="70437CFF">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7、工程质量</w:t>
      </w:r>
    </w:p>
    <w:p w14:paraId="681F4263">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p>
    <w:p w14:paraId="1242C4A2">
      <w:pPr>
        <w:pStyle w:val="73"/>
        <w:widowControl w:val="0"/>
        <w:spacing w:line="360" w:lineRule="auto"/>
        <w:ind w:firstLine="422"/>
        <w:jc w:val="left"/>
        <w:outlineLvl w:val="1"/>
        <w:rPr>
          <w:rFonts w:ascii="宋体" w:hAnsi="宋体" w:cs="宋体"/>
          <w:b/>
          <w:color w:val="auto"/>
          <w:sz w:val="24"/>
          <w:szCs w:val="24"/>
          <w:highlight w:val="none"/>
        </w:rPr>
      </w:pPr>
      <w:bookmarkStart w:id="108" w:name="_Toc26315"/>
      <w:bookmarkStart w:id="109" w:name="_Toc27310"/>
      <w:bookmarkStart w:id="110" w:name="_Toc23672"/>
      <w:r>
        <w:rPr>
          <w:rFonts w:hint="eastAsia" w:ascii="宋体" w:hAnsi="宋体" w:cs="宋体"/>
          <w:b/>
          <w:color w:val="auto"/>
          <w:sz w:val="24"/>
          <w:szCs w:val="24"/>
          <w:highlight w:val="none"/>
        </w:rPr>
        <w:t>八、履约保证金</w:t>
      </w:r>
      <w:bookmarkEnd w:id="108"/>
      <w:bookmarkEnd w:id="109"/>
      <w:bookmarkEnd w:id="110"/>
    </w:p>
    <w:p w14:paraId="267E273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1、成交供应商（中标人）应当在签订合同前，向采购人提交履约保证金。</w:t>
      </w:r>
    </w:p>
    <w:p w14:paraId="50B30A79">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2、如果成交供应商（中标人）没有提交履约保证金，采购人有权取消该中标（成交）决定。在此情况下，采购人可以与排位在成交供应商（中标人）之后第一位的中标候选人签订采购合同，以此类推。</w:t>
      </w:r>
    </w:p>
    <w:p w14:paraId="7FA5A536">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3、履约保证金缴纳：成交供应商（中标人）在签订合同前须向采购人缴纳履约保证金（金额为成交价的3%），以支票、汇票、本票、转账或者金融机构、担保机构出具的保函等非现金形式提交。</w:t>
      </w:r>
    </w:p>
    <w:p w14:paraId="10BFFFFB">
      <w:pPr>
        <w:pStyle w:val="73"/>
        <w:widowControl w:val="0"/>
        <w:spacing w:line="360" w:lineRule="auto"/>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4、履约保证金退还：待缺陷责任期满后按甲方支付流程启动履约保证金返还程序无息退还。</w:t>
      </w:r>
    </w:p>
    <w:p w14:paraId="30CC014C">
      <w:pPr>
        <w:pStyle w:val="73"/>
        <w:widowControl w:val="0"/>
        <w:spacing w:line="360" w:lineRule="auto"/>
        <w:ind w:firstLine="422"/>
        <w:jc w:val="left"/>
        <w:outlineLvl w:val="1"/>
        <w:rPr>
          <w:rFonts w:ascii="宋体" w:hAnsi="宋体" w:cs="宋体"/>
          <w:bCs/>
          <w:color w:val="auto"/>
          <w:sz w:val="21"/>
          <w:szCs w:val="21"/>
          <w:highlight w:val="none"/>
        </w:rPr>
      </w:pPr>
      <w:bookmarkStart w:id="111" w:name="_Toc18705"/>
      <w:bookmarkStart w:id="112" w:name="_Toc1686"/>
      <w:bookmarkStart w:id="113" w:name="_Toc14147"/>
      <w:r>
        <w:rPr>
          <w:rFonts w:hint="eastAsia" w:ascii="宋体" w:hAnsi="宋体" w:cs="宋体"/>
          <w:b/>
          <w:color w:val="auto"/>
          <w:sz w:val="24"/>
          <w:szCs w:val="24"/>
          <w:highlight w:val="none"/>
        </w:rPr>
        <w:t>九、其他要求：</w:t>
      </w:r>
      <w:r>
        <w:rPr>
          <w:rFonts w:hint="eastAsia" w:ascii="宋体" w:hAnsi="宋体" w:cs="宋体"/>
          <w:bCs/>
          <w:color w:val="auto"/>
          <w:sz w:val="24"/>
          <w:szCs w:val="24"/>
          <w:highlight w:val="none"/>
        </w:rPr>
        <w:t>见《磋商文件》附件《拟签订的合同文本》。</w:t>
      </w:r>
      <w:bookmarkEnd w:id="111"/>
      <w:bookmarkEnd w:id="112"/>
      <w:bookmarkEnd w:id="113"/>
    </w:p>
    <w:p w14:paraId="1D5A9488">
      <w:pPr>
        <w:pStyle w:val="88"/>
        <w:keepNext w:val="0"/>
        <w:keepLines w:val="0"/>
        <w:widowControl w:val="0"/>
        <w:spacing w:before="0" w:after="0" w:line="360" w:lineRule="auto"/>
        <w:jc w:val="center"/>
        <w:outlineLvl w:val="9"/>
        <w:rPr>
          <w:rStyle w:val="272"/>
          <w:rFonts w:hAnsi="宋体" w:cs="宋体"/>
          <w:color w:val="auto"/>
          <w:sz w:val="28"/>
          <w:highlight w:val="none"/>
        </w:rPr>
      </w:pPr>
      <w:bookmarkStart w:id="114" w:name="_Toc21050"/>
    </w:p>
    <w:p w14:paraId="3700E9AB">
      <w:pPr>
        <w:pStyle w:val="73"/>
        <w:rPr>
          <w:rFonts w:ascii="宋体" w:hAnsi="宋体" w:cs="宋体"/>
          <w:color w:val="auto"/>
          <w:highlight w:val="none"/>
        </w:rPr>
        <w:sectPr>
          <w:footerReference r:id="rId6" w:type="first"/>
          <w:footerReference r:id="rId5" w:type="default"/>
          <w:pgSz w:w="11906" w:h="16838"/>
          <w:pgMar w:top="1440" w:right="1080" w:bottom="1440" w:left="1080" w:header="851" w:footer="992" w:gutter="0"/>
          <w:pgNumType w:start="1"/>
          <w:cols w:space="720" w:num="1"/>
          <w:titlePg/>
          <w:docGrid w:linePitch="360" w:charSpace="0"/>
        </w:sectPr>
      </w:pPr>
    </w:p>
    <w:p w14:paraId="39110ACE">
      <w:pPr>
        <w:pStyle w:val="88"/>
        <w:keepNext w:val="0"/>
        <w:keepLines w:val="0"/>
        <w:widowControl w:val="0"/>
        <w:spacing w:before="0" w:after="0" w:line="360" w:lineRule="auto"/>
        <w:jc w:val="center"/>
        <w:rPr>
          <w:rStyle w:val="272"/>
          <w:rFonts w:hAnsi="宋体" w:cs="宋体"/>
          <w:color w:val="auto"/>
          <w:sz w:val="28"/>
          <w:highlight w:val="none"/>
        </w:rPr>
      </w:pPr>
      <w:r>
        <w:rPr>
          <w:rStyle w:val="272"/>
          <w:rFonts w:hint="eastAsia" w:hAnsi="宋体" w:cs="宋体"/>
          <w:color w:val="auto"/>
          <w:sz w:val="28"/>
          <w:highlight w:val="none"/>
        </w:rPr>
        <w:t xml:space="preserve"> </w:t>
      </w:r>
      <w:bookmarkStart w:id="115" w:name="_Toc29389"/>
      <w:bookmarkStart w:id="116" w:name="_Toc1514"/>
      <w:bookmarkStart w:id="117" w:name="_Toc11531"/>
      <w:r>
        <w:rPr>
          <w:rStyle w:val="272"/>
          <w:rFonts w:hint="eastAsia" w:hAnsi="宋体" w:cs="宋体"/>
          <w:color w:val="auto"/>
          <w:sz w:val="28"/>
          <w:highlight w:val="none"/>
        </w:rPr>
        <w:t>第十章 响应文件相关格式</w:t>
      </w:r>
      <w:bookmarkEnd w:id="115"/>
      <w:bookmarkEnd w:id="116"/>
      <w:bookmarkEnd w:id="117"/>
    </w:p>
    <w:p w14:paraId="5DD857D4">
      <w:pPr>
        <w:pStyle w:val="88"/>
        <w:keepNext w:val="0"/>
        <w:keepLines w:val="0"/>
        <w:widowControl w:val="0"/>
        <w:spacing w:before="0" w:after="0" w:line="360" w:lineRule="auto"/>
        <w:jc w:val="center"/>
        <w:outlineLvl w:val="9"/>
        <w:rPr>
          <w:rFonts w:ascii="宋体" w:hAnsi="宋体" w:cs="宋体"/>
          <w:b w:val="0"/>
          <w:bCs w:val="0"/>
          <w:color w:val="auto"/>
          <w:sz w:val="24"/>
          <w:szCs w:val="24"/>
          <w:highlight w:val="none"/>
        </w:rPr>
      </w:pPr>
      <w:bookmarkStart w:id="118" w:name="_Toc26435"/>
    </w:p>
    <w:p w14:paraId="4FAE356F">
      <w:pPr>
        <w:jc w:val="center"/>
        <w:rPr>
          <w:rFonts w:ascii="宋体" w:hAnsi="宋体" w:cs="宋体"/>
          <w:color w:val="auto"/>
          <w:sz w:val="24"/>
          <w:szCs w:val="24"/>
          <w:highlight w:val="none"/>
        </w:rPr>
      </w:pPr>
      <w:bookmarkStart w:id="119" w:name="_Toc16552"/>
      <w:r>
        <w:rPr>
          <w:rFonts w:hint="eastAsia" w:ascii="宋体" w:hAnsi="宋体" w:cs="宋体"/>
          <w:color w:val="auto"/>
          <w:sz w:val="24"/>
          <w:szCs w:val="24"/>
          <w:highlight w:val="none"/>
        </w:rPr>
        <w:t>（本章仅提供响应文件中的部分文件格式，不应被理解为包含了响应文件所需的全部资料）</w:t>
      </w:r>
      <w:bookmarkEnd w:id="118"/>
      <w:bookmarkEnd w:id="119"/>
    </w:p>
    <w:p w14:paraId="6944BFDC">
      <w:pPr>
        <w:pStyle w:val="73"/>
        <w:widowControl w:val="0"/>
        <w:spacing w:line="360" w:lineRule="auto"/>
        <w:ind w:firstLine="420"/>
        <w:rPr>
          <w:rFonts w:ascii="宋体" w:hAnsi="宋体" w:cs="宋体"/>
          <w:color w:val="auto"/>
          <w:sz w:val="24"/>
          <w:szCs w:val="24"/>
          <w:highlight w:val="none"/>
        </w:rPr>
      </w:pPr>
    </w:p>
    <w:p w14:paraId="0D814147">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一、承诺书</w:t>
      </w:r>
    </w:p>
    <w:p w14:paraId="32B1F8EA">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二、磋商报价表</w:t>
      </w:r>
    </w:p>
    <w:p w14:paraId="70A704B8">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三、分项价格表</w:t>
      </w:r>
    </w:p>
    <w:p w14:paraId="526CED45">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四、偏离表</w:t>
      </w:r>
    </w:p>
    <w:p w14:paraId="37D75598">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五、授权委托书</w:t>
      </w:r>
    </w:p>
    <w:p w14:paraId="5AFB86C7">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六、中小企业声明函</w:t>
      </w:r>
    </w:p>
    <w:p w14:paraId="7E6E62F8">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七、残疾人福利性单位声明函</w:t>
      </w:r>
    </w:p>
    <w:p w14:paraId="6BD7CCC3">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八、供应商参加政府采购活动前三年内在经营活动中没有重大违法记录的书面声明</w:t>
      </w:r>
    </w:p>
    <w:p w14:paraId="50D73AAB">
      <w:pPr>
        <w:pStyle w:val="73"/>
        <w:widowControl w:val="0"/>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九、具备履行合同所必需的设备和专业技术能力的书面声明</w:t>
      </w:r>
    </w:p>
    <w:p w14:paraId="6BF28643">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十、响应文件编制及评分细则要求提供的其他资料</w:t>
      </w:r>
    </w:p>
    <w:p w14:paraId="5215B7DE">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十一、投标承诺书</w:t>
      </w:r>
    </w:p>
    <w:p w14:paraId="263B9F7C">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十二、项目负责人无在建工程承诺书</w:t>
      </w:r>
    </w:p>
    <w:p w14:paraId="586217BC">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十三、《无不良行为承诺书》</w:t>
      </w:r>
    </w:p>
    <w:p w14:paraId="46357045">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十四、预付款保函支付条款模板</w:t>
      </w:r>
    </w:p>
    <w:p w14:paraId="0B20F344">
      <w:pPr>
        <w:pStyle w:val="365"/>
        <w:widowControl w:val="0"/>
        <w:spacing w:line="360" w:lineRule="auto"/>
        <w:ind w:left="0" w:right="0"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十五、承包人主要施工管理人员表</w:t>
      </w:r>
    </w:p>
    <w:p w14:paraId="0A213646">
      <w:pPr>
        <w:pStyle w:val="73"/>
        <w:widowControl w:val="0"/>
        <w:spacing w:line="360" w:lineRule="auto"/>
        <w:jc w:val="center"/>
        <w:rPr>
          <w:rStyle w:val="272"/>
          <w:rFonts w:hAnsi="宋体" w:cs="宋体"/>
          <w:bCs/>
          <w:color w:val="auto"/>
          <w:sz w:val="28"/>
          <w:highlight w:val="none"/>
        </w:rPr>
      </w:pPr>
    </w:p>
    <w:p w14:paraId="372BC23E">
      <w:pPr>
        <w:pStyle w:val="242"/>
        <w:keepNext w:val="0"/>
        <w:keepLines w:val="0"/>
        <w:widowControl w:val="0"/>
        <w:spacing w:before="0" w:after="0" w:line="240" w:lineRule="auto"/>
        <w:jc w:val="center"/>
        <w:rPr>
          <w:rStyle w:val="272"/>
          <w:rFonts w:hAnsi="宋体" w:cs="宋体"/>
          <w:color w:val="auto"/>
          <w:highlight w:val="none"/>
        </w:rPr>
      </w:pPr>
      <w:r>
        <w:rPr>
          <w:rStyle w:val="272"/>
          <w:rFonts w:hint="eastAsia" w:hAnsi="宋体" w:cs="宋体"/>
          <w:color w:val="auto"/>
          <w:sz w:val="28"/>
          <w:highlight w:val="none"/>
        </w:rPr>
        <w:br w:type="page" w:clear="all"/>
      </w:r>
      <w:bookmarkStart w:id="120" w:name="_Toc22312"/>
      <w:bookmarkStart w:id="121" w:name="_Toc11589"/>
      <w:bookmarkStart w:id="122" w:name="_Toc27299"/>
      <w:bookmarkStart w:id="123" w:name="_Toc7025"/>
      <w:r>
        <w:rPr>
          <w:rStyle w:val="272"/>
          <w:rFonts w:hint="eastAsia" w:hAnsi="宋体" w:cs="宋体"/>
          <w:color w:val="auto"/>
          <w:sz w:val="28"/>
          <w:highlight w:val="none"/>
        </w:rPr>
        <w:t>一、承诺书</w:t>
      </w:r>
      <w:bookmarkEnd w:id="120"/>
      <w:bookmarkEnd w:id="121"/>
      <w:bookmarkEnd w:id="122"/>
      <w:bookmarkEnd w:id="123"/>
    </w:p>
    <w:p w14:paraId="24C7A1D0">
      <w:pPr>
        <w:pStyle w:val="73"/>
        <w:widowControl w:val="0"/>
        <w:spacing w:line="380" w:lineRule="exact"/>
        <w:jc w:val="left"/>
        <w:rPr>
          <w:rStyle w:val="272"/>
          <w:rFonts w:hAnsi="宋体" w:cs="宋体"/>
          <w:color w:val="auto"/>
          <w:highlight w:val="none"/>
        </w:rPr>
      </w:pPr>
      <w:r>
        <w:rPr>
          <w:rStyle w:val="272"/>
          <w:rFonts w:hint="eastAsia" w:hAnsi="宋体" w:cs="宋体"/>
          <w:color w:val="auto"/>
          <w:highlight w:val="none"/>
        </w:rPr>
        <w:t>致</w:t>
      </w:r>
      <w:r>
        <w:rPr>
          <w:rStyle w:val="272"/>
          <w:rFonts w:hint="eastAsia" w:hAnsi="宋体" w:cs="宋体"/>
          <w:color w:val="auto"/>
          <w:highlight w:val="none"/>
          <w:u w:val="single"/>
        </w:rPr>
        <w:t>江苏科建工程项目管理有限公司</w:t>
      </w:r>
      <w:r>
        <w:rPr>
          <w:rStyle w:val="272"/>
          <w:rFonts w:hint="eastAsia" w:hAnsi="宋体" w:cs="宋体"/>
          <w:color w:val="auto"/>
          <w:highlight w:val="none"/>
        </w:rPr>
        <w:t>：</w:t>
      </w:r>
    </w:p>
    <w:p w14:paraId="19976183">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根据贵方《磋商文件》（项目编号：JSZC-320300-JSKJ-C2026-0027）要求，本供应商正式提交以下首次响应文件。</w:t>
      </w:r>
    </w:p>
    <w:p w14:paraId="5F8493DD">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8"/>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miter/>
                        </a:ln>
                        <a:effectLst/>
                      </wps:spPr>
                      <wps:bodyPr/>
                    </wps:wsp>
                  </a:graphicData>
                </a:graphic>
              </wp:anchor>
            </w:drawing>
          </mc:Choice>
          <mc:Fallback>
            <w:pict>
              <v:line id="直接连接符 8" o:spid="_x0000_s1026" o:spt="20" style="position:absolute;left:0pt;flip:y;margin-left:147pt;margin-top:1.3pt;height:1.3pt;width:0.05pt;z-index:251662336;mso-width-relative:page;mso-height-relative:page;" fillcolor="#FFFFFF" filled="t" stroked="t" coordsize="21600,21600" o:allowincell="f" o:gfxdata="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ydu9BdcAAAAHAQAADwAAAAAAAAABACAAAAAi&#10;AAAAZHJzL2Rvd25yZXYueG1sUEsBAhQAFAAAAAgAh07iQHxnRhfSAQAAsQMAAA4AAAAAAAAAAQAg&#10;AAAAJgEAAGRycy9lMm9Eb2MueG1sUEsFBgAAAAAGAAYAWQEAAGoFAAAAAA==&#10;">
                <v:fill on="t" focussize="0,0"/>
                <v:stroke color="#000000" joinstyle="miter"/>
                <v:imagedata o:title=""/>
                <o:lock v:ext="edit" aspectratio="f"/>
              </v:line>
            </w:pict>
          </mc:Fallback>
        </mc:AlternateContent>
      </w:r>
      <w:r>
        <w:rPr>
          <w:rStyle w:val="272"/>
          <w:rFonts w:hint="eastAsia" w:hAnsi="宋体" w:cs="宋体"/>
          <w:color w:val="auto"/>
          <w:highlight w:val="none"/>
        </w:rPr>
        <w:t xml:space="preserve">（1）承诺书； </w:t>
      </w:r>
    </w:p>
    <w:p w14:paraId="7C2964BE">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 xml:space="preserve">（2）磋商报价表； </w:t>
      </w:r>
    </w:p>
    <w:p w14:paraId="5B0AB699">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（3）偏离表；</w:t>
      </w:r>
    </w:p>
    <w:p w14:paraId="450BE2E0">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（4）磋商文件要求提供的其他响应文件。</w:t>
      </w:r>
    </w:p>
    <w:p w14:paraId="740B764D">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我单位符合《中华人民共和国政府采购法》第二十二条的规定，符合本项目供应商资格要求。</w:t>
      </w:r>
    </w:p>
    <w:p w14:paraId="76C65A63">
      <w:pPr>
        <w:pStyle w:val="73"/>
        <w:widowControl w:val="0"/>
        <w:tabs>
          <w:tab w:val="right" w:pos="4153"/>
          <w:tab w:val="left" w:leader="underscore" w:pos="8306"/>
        </w:tabs>
        <w:spacing w:line="380" w:lineRule="exact"/>
        <w:ind w:firstLine="480"/>
        <w:jc w:val="left"/>
        <w:rPr>
          <w:rStyle w:val="272"/>
          <w:rFonts w:hAnsi="宋体" w:cs="宋体"/>
          <w:color w:val="auto"/>
          <w:highlight w:val="none"/>
        </w:rPr>
      </w:pPr>
      <w:r>
        <w:rPr>
          <w:rStyle w:val="272"/>
          <w:rFonts w:hint="eastAsia" w:hAnsi="宋体" w:cs="宋体"/>
          <w:color w:val="auto"/>
          <w:highlight w:val="none"/>
        </w:rPr>
        <w:t>我单位按照磋商文件的要求编制响应文件，并对其提交的响应文件的真实性、合法性承担法律责任。</w:t>
      </w:r>
    </w:p>
    <w:p w14:paraId="32866FE4">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 xml:space="preserve">供应商兹宣布同意如下： </w:t>
      </w:r>
    </w:p>
    <w:p w14:paraId="6A7F5544">
      <w:pPr>
        <w:pStyle w:val="73"/>
        <w:widowControl w:val="0"/>
        <w:tabs>
          <w:tab w:val="right" w:pos="4153"/>
          <w:tab w:val="left" w:leader="underscore" w:pos="8306"/>
        </w:tabs>
        <w:spacing w:line="440" w:lineRule="exact"/>
        <w:ind w:firstLine="480"/>
        <w:jc w:val="left"/>
        <w:rPr>
          <w:rStyle w:val="272"/>
          <w:rFonts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2"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9" o:spid="_x0000_s1026" o:spt="20" style="position:absolute;left:0pt;margin-left:246.75pt;margin-top:23.4pt;height:0pt;width:0.05pt;z-index:251663360;mso-width-relative:page;mso-height-relative:page;" fillcolor="#FFFFFF" filled="t" stroked="t" coordsize="21600,21600" o:allowincell="f" o:gfxdata="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q3zj/XAAAACQEAAA8AAAAAAAAAAQAgAAAAIgAAAGRycy9kb3du&#10;cmV2LnhtbFBLAQIUABQAAAAIAIdO4kDKMpHlxwEAAKMDAAAOAAAAAAAAAAEAIAAAACYBAABkcnMv&#10;ZTJvRG9jLnhtbFBLBQYAAAAABgAGAFkBAABfBQAAAAA=&#10;">
                <v:fill on="t" focussize="0,0"/>
                <v:stroke color="#000000" joinstyle="miter"/>
                <v:imagedata o:title=""/>
                <o:lock v:ext="edit" aspectratio="f"/>
              </v:line>
            </w:pict>
          </mc:Fallback>
        </mc:AlternateContent>
      </w:r>
      <w:r>
        <w:rPr>
          <w:rFonts w:hint="eastAsia" w:ascii="宋体" w:hAnsi="宋体" w:cs="宋体"/>
          <w:color w:val="auto"/>
          <w:highlight w:val="none"/>
        </w:rPr>
        <mc:AlternateContent>
          <mc:Choice Requires="wps">
            <w:drawing>
              <wp:anchor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3"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10" o:spid="_x0000_s1026" o:spt="20" style="position:absolute;left:0pt;margin-left:220.5pt;margin-top:46.8pt;height:0pt;width:0.05pt;z-index:251664384;mso-width-relative:page;mso-height-relative:page;" fillcolor="#FFFFFF" filled="t" stroked="t" coordsize="21600,21600" o:allowincell="f" o:gfxdata="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hbJxY2AAAAAkBAAAPAAAAAAAAAAEAIAAAACIAAABkcnMvZG93&#10;bnJldi54bWxQSwECFAAUAAAACACHTuJA+4qJaccBAACkAwAADgAAAAAAAAABACAAAAAnAQAAZHJz&#10;L2Uyb0RvYy54bWxQSwUGAAAAAAYABgBZAQAAYAUAAAAA&#10;">
                <v:fill on="t" focussize="0,0"/>
                <v:stroke color="#000000" joinstyle="miter"/>
                <v:imagedata o:title=""/>
                <o:lock v:ext="edit" aspectratio="f"/>
              </v:line>
            </w:pict>
          </mc:Fallback>
        </mc:AlternateContent>
      </w:r>
      <w:r>
        <w:rPr>
          <w:rStyle w:val="272"/>
          <w:rFonts w:hint="eastAsia" w:hAnsi="宋体" w:cs="宋体"/>
          <w:color w:val="auto"/>
          <w:highlight w:val="none"/>
        </w:rPr>
        <w:t>一、完全承担根据《磋商文件》规定完成合同的责任和义务（如有偏离，将全部填写在偏离表中）。</w:t>
      </w:r>
    </w:p>
    <w:p w14:paraId="31F710EF">
      <w:pPr>
        <w:pStyle w:val="73"/>
        <w:widowControl w:val="0"/>
        <w:tabs>
          <w:tab w:val="right" w:pos="4153"/>
          <w:tab w:val="left" w:leader="underscore" w:pos="8306"/>
        </w:tabs>
        <w:spacing w:line="440" w:lineRule="exact"/>
        <w:ind w:firstLine="480"/>
        <w:jc w:val="left"/>
        <w:rPr>
          <w:rStyle w:val="272"/>
          <w:rFonts w:hAnsi="宋体" w:cs="宋体"/>
          <w:color w:val="auto"/>
          <w:highlight w:val="none"/>
        </w:rPr>
      </w:pPr>
      <w:r>
        <w:rPr>
          <w:rFonts w:hint="eastAsia" w:ascii="宋体" w:hAnsi="宋体" w:cs="宋体"/>
          <w:color w:val="auto"/>
          <w:highlight w:val="none"/>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11" o:spid="_x0000_s1026" o:spt="20" style="position:absolute;left:0pt;margin-left:210pt;margin-top:19.5pt;height:0pt;width:0.05pt;z-index:251665408;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IrgEwPWAAAACQEAAA8AAAAAAAAAAQAgAAAAIgAAAGRycy9kb3du&#10;cmV2LnhtbFBLAQIUABQAAAAIAIdO4kCGuR08yAEAAKQDAAAOAAAAAAAAAAEAIAAAACUBAABkcnMv&#10;ZTJvRG9jLnhtbFBLBQYAAAAABgAGAFkBAABfBQAAAAA=&#10;">
                <v:fill on="t" focussize="0,0"/>
                <v:stroke color="#000000" joinstyle="miter"/>
                <v:imagedata o:title=""/>
                <o:lock v:ext="edit" aspectratio="f"/>
              </v:line>
            </w:pict>
          </mc:Fallback>
        </mc:AlternateContent>
      </w:r>
      <w:r>
        <w:rPr>
          <w:rFonts w:hint="eastAsia" w:ascii="宋体" w:hAnsi="宋体" w:cs="宋体"/>
          <w:color w:val="auto"/>
          <w:highlight w:val="none"/>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12" o:spid="_x0000_s1026" o:spt="20" style="position:absolute;left:0pt;margin-left:210pt;margin-top:19.5pt;height:0pt;width:0.05pt;z-index:251666432;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iuATA9YAAAAJAQAADwAAAAAAAAABACAAAAAiAAAAZHJzL2Rvd25y&#10;ZXYueG1sUEsBAhQAFAAAAAgAh07iQFLrm/THAQAApAMAAA4AAAAAAAAAAQAgAAAAJQEAAGRycy9l&#10;Mm9Eb2MueG1sUEsFBgAAAAAGAAYAWQEAAF4FAAAAAA==&#10;">
                <v:fill on="t" focussize="0,0"/>
                <v:stroke color="#000000" joinstyle="miter"/>
                <v:imagedata o:title=""/>
                <o:lock v:ext="edit" aspectratio="f"/>
              </v:line>
            </w:pict>
          </mc:Fallback>
        </mc:AlternateContent>
      </w:r>
      <w:r>
        <w:rPr>
          <w:rStyle w:val="272"/>
          <w:rFonts w:hint="eastAsia" w:hAnsi="宋体" w:cs="宋体"/>
          <w:color w:val="auto"/>
          <w:highlight w:val="none"/>
        </w:rPr>
        <w:t>二、保证所提供的响应文件及所有材料的真实、合法、有效，并对其负责。</w:t>
      </w:r>
    </w:p>
    <w:p w14:paraId="6E5164A2">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三、已详细审核竞争性磋商文件（含竞争性磋商文件的澄清或者修改），本供应商完全理解并同意放弃对这方面不明及误解的权利。</w:t>
      </w:r>
    </w:p>
    <w:p w14:paraId="438E8374">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四、所供货物保证符合国家有关产品质量、性能和安全标准，无权利瑕疵。</w:t>
      </w:r>
    </w:p>
    <w:p w14:paraId="4D55C27F">
      <w:pPr>
        <w:pStyle w:val="73"/>
        <w:widowControl w:val="0"/>
        <w:spacing w:line="440" w:lineRule="exact"/>
        <w:ind w:firstLine="480"/>
        <w:jc w:val="left"/>
        <w:rPr>
          <w:rStyle w:val="272"/>
          <w:rFonts w:hAnsi="宋体" w:cs="宋体"/>
          <w:color w:val="auto"/>
          <w:highlight w:val="none"/>
        </w:rPr>
      </w:pPr>
      <w:bookmarkStart w:id="124" w:name="_Toc1386"/>
      <w:bookmarkStart w:id="125" w:name="_Toc20968"/>
      <w:r>
        <w:rPr>
          <w:rStyle w:val="272"/>
          <w:rFonts w:hint="eastAsia" w:hAnsi="宋体" w:cs="宋体"/>
          <w:color w:val="auto"/>
          <w:highlight w:val="none"/>
        </w:rPr>
        <w:t>五、报价有效期为30个工作日。</w:t>
      </w:r>
      <w:bookmarkEnd w:id="124"/>
      <w:bookmarkEnd w:id="125"/>
    </w:p>
    <w:p w14:paraId="6E13554E">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六、同意向贵方提供贵方可能要求的与本次磋商采购有关的任何证据或资料。</w:t>
      </w:r>
    </w:p>
    <w:p w14:paraId="76BC8300">
      <w:pPr>
        <w:pStyle w:val="73"/>
        <w:widowControl w:val="0"/>
        <w:spacing w:line="440" w:lineRule="exact"/>
        <w:ind w:firstLine="480"/>
        <w:jc w:val="left"/>
        <w:rPr>
          <w:rStyle w:val="272"/>
          <w:rFonts w:hAnsi="宋体" w:cs="宋体"/>
          <w:color w:val="auto"/>
          <w:highlight w:val="none"/>
        </w:rPr>
      </w:pPr>
      <w:bookmarkStart w:id="126" w:name="_Toc25618"/>
      <w:bookmarkStart w:id="127" w:name="_Toc12314"/>
      <w:r>
        <w:rPr>
          <w:rStyle w:val="272"/>
          <w:rFonts w:hint="eastAsia" w:hAnsi="宋体" w:cs="宋体"/>
          <w:color w:val="auto"/>
          <w:highlight w:val="none"/>
        </w:rPr>
        <w:t>七、完全理解贵方不一定要接受最低的报价或收到的任何报价。</w:t>
      </w:r>
      <w:bookmarkEnd w:id="126"/>
      <w:bookmarkEnd w:id="127"/>
    </w:p>
    <w:p w14:paraId="38FA85F8">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八、江苏科建工程项目管理有限公司有权将我单位本项目的《磋商报价表》和《分项价格表》予以公示，公示的方式由江苏科建工程项目管理有限公司确定。</w:t>
      </w:r>
    </w:p>
    <w:p w14:paraId="7DF25561">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九、采购人有权对供应商的响应文件的真实性</w:t>
      </w:r>
      <w:r>
        <w:rPr>
          <w:rStyle w:val="272"/>
          <w:rFonts w:hint="eastAsia" w:hAnsi="宋体" w:cs="宋体"/>
          <w:bCs/>
          <w:color w:val="auto"/>
          <w:highlight w:val="none"/>
        </w:rPr>
        <w:t>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272"/>
          <w:rFonts w:hint="eastAsia" w:hAnsi="宋体" w:cs="宋体"/>
          <w:color w:val="auto"/>
          <w:highlight w:val="none"/>
        </w:rPr>
        <w:t>。</w:t>
      </w:r>
    </w:p>
    <w:p w14:paraId="54C265B8">
      <w:pPr>
        <w:pStyle w:val="73"/>
        <w:widowControl w:val="0"/>
        <w:spacing w:line="440" w:lineRule="exact"/>
        <w:ind w:firstLine="480"/>
        <w:jc w:val="left"/>
        <w:rPr>
          <w:rStyle w:val="272"/>
          <w:rFonts w:hAnsi="宋体" w:cs="宋体"/>
          <w:color w:val="auto"/>
          <w:highlight w:val="none"/>
        </w:rPr>
      </w:pPr>
      <w:bookmarkStart w:id="128" w:name="_Toc15643"/>
      <w:bookmarkStart w:id="129" w:name="_Toc3333"/>
      <w:r>
        <w:rPr>
          <w:rStyle w:val="272"/>
          <w:rFonts w:hint="eastAsia" w:hAnsi="宋体" w:cs="宋体"/>
          <w:color w:val="auto"/>
          <w:highlight w:val="none"/>
        </w:rPr>
        <w:t>十、供应商同意按照磋商文件的有关规定支付招标代理服务费。</w:t>
      </w:r>
      <w:bookmarkEnd w:id="128"/>
      <w:bookmarkEnd w:id="129"/>
      <w:r>
        <w:rPr>
          <w:rStyle w:val="272"/>
          <w:rFonts w:hint="eastAsia" w:hAnsi="宋体" w:cs="宋体"/>
          <w:color w:val="auto"/>
          <w:highlight w:val="none"/>
        </w:rPr>
        <w:t xml:space="preserve"> </w:t>
      </w:r>
    </w:p>
    <w:p w14:paraId="40C52ADF">
      <w:pPr>
        <w:pStyle w:val="73"/>
        <w:widowControl w:val="0"/>
        <w:spacing w:line="440" w:lineRule="exact"/>
        <w:ind w:firstLine="3960"/>
        <w:jc w:val="left"/>
        <w:rPr>
          <w:rStyle w:val="272"/>
          <w:rFonts w:hAnsi="宋体" w:cs="宋体"/>
          <w:color w:val="auto"/>
          <w:highlight w:val="none"/>
        </w:rPr>
      </w:pPr>
      <w:r>
        <w:rPr>
          <w:rStyle w:val="272"/>
          <w:rFonts w:hint="eastAsia" w:hAnsi="宋体" w:cs="宋体"/>
          <w:color w:val="auto"/>
          <w:highlight w:val="none"/>
        </w:rPr>
        <w:t>供应商（</w:t>
      </w:r>
      <w:r>
        <w:rPr>
          <w:rStyle w:val="272"/>
          <w:rFonts w:hint="eastAsia" w:hAnsi="宋体" w:cs="宋体"/>
          <w:color w:val="auto"/>
          <w:szCs w:val="24"/>
          <w:highlight w:val="none"/>
        </w:rPr>
        <w:t>电子签章</w:t>
      </w:r>
      <w:r>
        <w:rPr>
          <w:rStyle w:val="272"/>
          <w:rFonts w:hint="eastAsia" w:hAnsi="宋体" w:cs="宋体"/>
          <w:color w:val="auto"/>
          <w:highlight w:val="none"/>
        </w:rPr>
        <w:t xml:space="preserve">）： </w:t>
      </w:r>
    </w:p>
    <w:p w14:paraId="670A7D7C">
      <w:pPr>
        <w:pStyle w:val="73"/>
        <w:widowControl w:val="0"/>
        <w:spacing w:line="440" w:lineRule="exact"/>
        <w:ind w:firstLine="3960"/>
        <w:jc w:val="left"/>
        <w:rPr>
          <w:rStyle w:val="272"/>
          <w:rFonts w:hAnsi="宋体" w:cs="宋体"/>
          <w:color w:val="auto"/>
          <w:highlight w:val="none"/>
        </w:rPr>
      </w:pPr>
      <w:r>
        <w:rPr>
          <w:rStyle w:val="272"/>
          <w:rFonts w:hint="eastAsia" w:hAnsi="宋体" w:cs="宋体"/>
          <w:color w:val="auto"/>
          <w:highlight w:val="none"/>
        </w:rPr>
        <w:t>联系电话：</w:t>
      </w:r>
    </w:p>
    <w:p w14:paraId="187CDB09">
      <w:pPr>
        <w:pStyle w:val="73"/>
        <w:widowControl w:val="0"/>
        <w:spacing w:line="440" w:lineRule="exact"/>
        <w:ind w:firstLine="3960"/>
        <w:jc w:val="left"/>
        <w:rPr>
          <w:rStyle w:val="272"/>
          <w:rFonts w:hAnsi="宋体" w:cs="宋体"/>
          <w:color w:val="auto"/>
          <w:highlight w:val="none"/>
        </w:rPr>
      </w:pPr>
      <w:r>
        <w:rPr>
          <w:rStyle w:val="272"/>
          <w:rFonts w:hint="eastAsia" w:hAnsi="宋体" w:cs="宋体"/>
          <w:color w:val="auto"/>
          <w:highlight w:val="none"/>
        </w:rPr>
        <w:t>日期：</w:t>
      </w:r>
    </w:p>
    <w:p w14:paraId="08EBABB5">
      <w:pPr>
        <w:pStyle w:val="73"/>
        <w:widowControl w:val="0"/>
        <w:jc w:val="center"/>
        <w:outlineLvl w:val="1"/>
        <w:rPr>
          <w:rStyle w:val="272"/>
          <w:rFonts w:hAnsi="宋体" w:cs="宋体"/>
          <w:color w:val="auto"/>
          <w:sz w:val="28"/>
          <w:highlight w:val="none"/>
        </w:rPr>
      </w:pPr>
      <w:r>
        <w:rPr>
          <w:rFonts w:hint="eastAsia" w:ascii="宋体" w:hAnsi="宋体" w:cs="宋体"/>
          <w:color w:val="auto"/>
          <w:highlight w:val="none"/>
        </w:rPr>
        <w:br w:type="page" w:clear="all"/>
      </w:r>
      <w:bookmarkStart w:id="130" w:name="_Toc6429"/>
      <w:bookmarkStart w:id="131" w:name="_Toc32709"/>
      <w:bookmarkStart w:id="132" w:name="_Toc21243"/>
      <w:bookmarkStart w:id="133" w:name="_Toc32007"/>
      <w:r>
        <w:rPr>
          <w:rStyle w:val="272"/>
          <w:rFonts w:hint="eastAsia" w:hAnsi="宋体" w:cs="宋体"/>
          <w:color w:val="auto"/>
          <w:sz w:val="28"/>
          <w:highlight w:val="none"/>
        </w:rPr>
        <w:t>二、磋商报价表</w:t>
      </w:r>
      <w:bookmarkEnd w:id="130"/>
      <w:bookmarkEnd w:id="131"/>
      <w:bookmarkEnd w:id="132"/>
      <w:bookmarkEnd w:id="133"/>
    </w:p>
    <w:p w14:paraId="54270483">
      <w:pPr>
        <w:pStyle w:val="73"/>
        <w:widowControl w:val="0"/>
        <w:spacing w:line="360" w:lineRule="auto"/>
        <w:jc w:val="left"/>
        <w:rPr>
          <w:rStyle w:val="272"/>
          <w:rFonts w:hAnsi="宋体" w:cs="宋体"/>
          <w:color w:val="auto"/>
          <w:highlight w:val="none"/>
        </w:rPr>
      </w:pPr>
      <w:r>
        <w:rPr>
          <w:rFonts w:hint="eastAsia" w:ascii="宋体" w:hAnsi="宋体" w:cs="宋体"/>
          <w:color w:val="auto"/>
          <w:sz w:val="24"/>
          <w:szCs w:val="24"/>
          <w:highlight w:val="none"/>
        </w:rPr>
        <w:t>（本次为  □首次  □终次报价）</w:t>
      </w:r>
      <w:r>
        <w:rPr>
          <w:rFonts w:hint="eastAsia" w:ascii="宋体" w:hAnsi="宋体" w:cs="宋体"/>
          <w:color w:val="auto"/>
          <w:sz w:val="24"/>
          <w:highlight w:val="none"/>
        </w:rPr>
        <w:t xml:space="preserve">                            </w:t>
      </w:r>
    </w:p>
    <w:p w14:paraId="77E4F38C">
      <w:pPr>
        <w:pStyle w:val="73"/>
        <w:widowControl w:val="0"/>
        <w:spacing w:line="360" w:lineRule="auto"/>
        <w:jc w:val="left"/>
        <w:rPr>
          <w:rStyle w:val="272"/>
          <w:rFonts w:hAnsi="宋体" w:cs="宋体"/>
          <w:color w:val="auto"/>
          <w:highlight w:val="none"/>
        </w:rPr>
      </w:pPr>
      <w:r>
        <w:rPr>
          <w:rStyle w:val="272"/>
          <w:rFonts w:hint="eastAsia" w:hAnsi="宋体" w:cs="宋体"/>
          <w:color w:val="auto"/>
          <w:highlight w:val="none"/>
        </w:rPr>
        <w:t>项目编号：JSZC-320300-JSKJ-C2026-0027                  货币单位：人民币元</w:t>
      </w:r>
    </w:p>
    <w:p w14:paraId="25603986">
      <w:pPr>
        <w:pStyle w:val="74"/>
        <w:ind w:left="0" w:firstLine="0"/>
        <w:rPr>
          <w:rStyle w:val="272"/>
          <w:rFonts w:hAnsi="宋体" w:eastAsia="宋体" w:cs="宋体"/>
          <w:color w:val="auto"/>
          <w:highlight w:val="none"/>
        </w:rPr>
      </w:pPr>
      <w:r>
        <w:rPr>
          <w:rStyle w:val="272"/>
          <w:rFonts w:hint="eastAsia" w:hAnsi="宋体" w:eastAsia="宋体" w:cs="宋体"/>
          <w:color w:val="auto"/>
          <w:highlight w:val="none"/>
        </w:rPr>
        <w:t xml:space="preserve">采购包：     </w:t>
      </w:r>
    </w:p>
    <w:p w14:paraId="778B804D">
      <w:pPr>
        <w:pStyle w:val="78"/>
        <w:outlineLvl w:val="9"/>
        <w:rPr>
          <w:rFonts w:ascii="宋体" w:hAnsi="宋体" w:cs="宋体"/>
          <w:color w:val="auto"/>
          <w:highlight w:val="none"/>
        </w:rPr>
      </w:pPr>
    </w:p>
    <w:tbl>
      <w:tblPr>
        <w:tblStyle w:val="40"/>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92"/>
        <w:gridCol w:w="1684"/>
        <w:gridCol w:w="2171"/>
        <w:gridCol w:w="1787"/>
        <w:gridCol w:w="1198"/>
        <w:gridCol w:w="1525"/>
      </w:tblGrid>
      <w:tr w14:paraId="35C5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0" w:hRule="atLeast"/>
          <w:jc w:val="center"/>
        </w:trPr>
        <w:tc>
          <w:tcPr>
            <w:tcW w:w="1792" w:type="dxa"/>
            <w:vAlign w:val="center"/>
          </w:tcPr>
          <w:p w14:paraId="3DC5F3C6">
            <w:pPr>
              <w:pStyle w:val="73"/>
              <w:widowControl w:val="0"/>
              <w:jc w:val="center"/>
              <w:rPr>
                <w:rStyle w:val="272"/>
                <w:rFonts w:hAnsi="宋体" w:cs="宋体"/>
                <w:color w:val="auto"/>
                <w:highlight w:val="none"/>
              </w:rPr>
            </w:pPr>
            <w:r>
              <w:rPr>
                <w:rStyle w:val="272"/>
                <w:rFonts w:hint="eastAsia" w:hAnsi="宋体" w:cs="宋体"/>
                <w:color w:val="auto"/>
                <w:highlight w:val="none"/>
              </w:rPr>
              <w:t>项目名称</w:t>
            </w:r>
          </w:p>
        </w:tc>
        <w:tc>
          <w:tcPr>
            <w:tcW w:w="1684" w:type="dxa"/>
            <w:vAlign w:val="center"/>
          </w:tcPr>
          <w:p w14:paraId="6E25B8AF">
            <w:pPr>
              <w:pStyle w:val="73"/>
              <w:widowControl w:val="0"/>
              <w:jc w:val="center"/>
              <w:rPr>
                <w:rStyle w:val="272"/>
                <w:rFonts w:hAnsi="宋体" w:cs="宋体"/>
                <w:color w:val="auto"/>
                <w:highlight w:val="none"/>
              </w:rPr>
            </w:pPr>
            <w:r>
              <w:rPr>
                <w:rStyle w:val="272"/>
                <w:rFonts w:hint="eastAsia" w:hAnsi="宋体" w:cs="宋体"/>
                <w:color w:val="auto"/>
                <w:highlight w:val="none"/>
              </w:rPr>
              <w:t>采购包名称</w:t>
            </w:r>
          </w:p>
        </w:tc>
        <w:tc>
          <w:tcPr>
            <w:tcW w:w="2171" w:type="dxa"/>
            <w:vAlign w:val="center"/>
          </w:tcPr>
          <w:p w14:paraId="382B15E6">
            <w:pPr>
              <w:pStyle w:val="73"/>
              <w:widowControl w:val="0"/>
              <w:jc w:val="center"/>
              <w:rPr>
                <w:rStyle w:val="272"/>
                <w:rFonts w:hAnsi="宋体" w:cs="宋体"/>
                <w:color w:val="auto"/>
                <w:highlight w:val="none"/>
              </w:rPr>
            </w:pPr>
            <w:r>
              <w:rPr>
                <w:rStyle w:val="272"/>
                <w:rFonts w:hint="eastAsia" w:hAnsi="宋体" w:cs="宋体"/>
                <w:color w:val="auto"/>
                <w:highlight w:val="none"/>
              </w:rPr>
              <w:t>项目内容</w:t>
            </w:r>
          </w:p>
        </w:tc>
        <w:tc>
          <w:tcPr>
            <w:tcW w:w="1787" w:type="dxa"/>
            <w:vAlign w:val="center"/>
          </w:tcPr>
          <w:p w14:paraId="67F3EA00">
            <w:pPr>
              <w:pStyle w:val="73"/>
              <w:widowControl w:val="0"/>
              <w:jc w:val="center"/>
              <w:rPr>
                <w:rStyle w:val="272"/>
                <w:rFonts w:hAnsi="宋体" w:cs="宋体"/>
                <w:color w:val="auto"/>
                <w:highlight w:val="none"/>
              </w:rPr>
            </w:pPr>
            <w:r>
              <w:rPr>
                <w:rStyle w:val="272"/>
                <w:rFonts w:hint="eastAsia" w:hAnsi="宋体" w:cs="宋体"/>
                <w:color w:val="auto"/>
                <w:highlight w:val="none"/>
              </w:rPr>
              <w:t>总价（小写）</w:t>
            </w:r>
          </w:p>
        </w:tc>
        <w:tc>
          <w:tcPr>
            <w:tcW w:w="1198" w:type="dxa"/>
            <w:vAlign w:val="center"/>
          </w:tcPr>
          <w:p w14:paraId="1364ECDA">
            <w:pPr>
              <w:pStyle w:val="73"/>
              <w:widowControl w:val="0"/>
              <w:jc w:val="center"/>
              <w:rPr>
                <w:rFonts w:ascii="宋体" w:hAnsi="宋体" w:cs="宋体"/>
                <w:color w:val="auto"/>
                <w:sz w:val="24"/>
                <w:highlight w:val="none"/>
              </w:rPr>
            </w:pPr>
            <w:r>
              <w:rPr>
                <w:rFonts w:hint="eastAsia" w:ascii="宋体" w:hAnsi="宋体" w:cs="宋体"/>
                <w:color w:val="auto"/>
                <w:sz w:val="24"/>
                <w:highlight w:val="none"/>
              </w:rPr>
              <w:t>工期</w:t>
            </w:r>
          </w:p>
          <w:p w14:paraId="21DF1B6C">
            <w:pPr>
              <w:pStyle w:val="73"/>
              <w:widowControl w:val="0"/>
              <w:jc w:val="center"/>
              <w:rPr>
                <w:rFonts w:ascii="宋体" w:hAnsi="宋体" w:cs="宋体"/>
                <w:color w:val="auto"/>
                <w:sz w:val="24"/>
                <w:highlight w:val="none"/>
              </w:rPr>
            </w:pPr>
            <w:r>
              <w:rPr>
                <w:rFonts w:hint="eastAsia" w:ascii="宋体" w:hAnsi="宋体" w:cs="宋体"/>
                <w:color w:val="auto"/>
                <w:sz w:val="24"/>
                <w:highlight w:val="none"/>
              </w:rPr>
              <w:t>（日历天）</w:t>
            </w:r>
          </w:p>
        </w:tc>
        <w:tc>
          <w:tcPr>
            <w:tcW w:w="1525" w:type="dxa"/>
            <w:vAlign w:val="center"/>
          </w:tcPr>
          <w:p w14:paraId="072BC8DE">
            <w:pPr>
              <w:pStyle w:val="73"/>
              <w:widowControl w:val="0"/>
              <w:jc w:val="center"/>
              <w:rPr>
                <w:rStyle w:val="272"/>
                <w:rFonts w:hAnsi="宋体" w:cs="宋体"/>
                <w:color w:val="auto"/>
                <w:highlight w:val="none"/>
              </w:rPr>
            </w:pPr>
            <w:r>
              <w:rPr>
                <w:rFonts w:hint="eastAsia" w:ascii="宋体" w:hAnsi="宋体" w:cs="宋体"/>
                <w:color w:val="auto"/>
                <w:sz w:val="24"/>
                <w:highlight w:val="none"/>
              </w:rPr>
              <w:t>备注</w:t>
            </w:r>
          </w:p>
        </w:tc>
      </w:tr>
      <w:tr w14:paraId="34AA6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0" w:hRule="atLeast"/>
          <w:jc w:val="center"/>
        </w:trPr>
        <w:tc>
          <w:tcPr>
            <w:tcW w:w="1792" w:type="dxa"/>
            <w:vAlign w:val="center"/>
          </w:tcPr>
          <w:p w14:paraId="791E42FC">
            <w:pPr>
              <w:pStyle w:val="73"/>
              <w:widowControl w:val="0"/>
              <w:jc w:val="center"/>
              <w:rPr>
                <w:rStyle w:val="272"/>
                <w:rFonts w:hAnsi="宋体" w:cs="宋体"/>
                <w:color w:val="auto"/>
                <w:highlight w:val="none"/>
              </w:rPr>
            </w:pPr>
            <w:r>
              <w:rPr>
                <w:rStyle w:val="272"/>
                <w:rFonts w:hint="eastAsia" w:hAnsi="宋体" w:cs="宋体"/>
                <w:color w:val="auto"/>
                <w:highlight w:val="none"/>
              </w:rPr>
              <w:t>毕业生房间粉刷维修及宿舍八组团维修改造工程</w:t>
            </w:r>
          </w:p>
        </w:tc>
        <w:tc>
          <w:tcPr>
            <w:tcW w:w="1684" w:type="dxa"/>
            <w:vAlign w:val="center"/>
          </w:tcPr>
          <w:p w14:paraId="18FCB2D0">
            <w:pPr>
              <w:pStyle w:val="73"/>
              <w:widowControl w:val="0"/>
              <w:jc w:val="center"/>
              <w:rPr>
                <w:rStyle w:val="272"/>
                <w:rFonts w:hAnsi="宋体" w:cs="宋体"/>
                <w:color w:val="auto"/>
                <w:highlight w:val="none"/>
              </w:rPr>
            </w:pPr>
          </w:p>
        </w:tc>
        <w:tc>
          <w:tcPr>
            <w:tcW w:w="2171" w:type="dxa"/>
            <w:vAlign w:val="center"/>
          </w:tcPr>
          <w:p w14:paraId="31649361">
            <w:pPr>
              <w:pStyle w:val="73"/>
              <w:widowControl w:val="0"/>
              <w:jc w:val="center"/>
              <w:rPr>
                <w:rStyle w:val="272"/>
                <w:rFonts w:hAnsi="宋体" w:cs="宋体"/>
                <w:color w:val="auto"/>
                <w:highlight w:val="none"/>
              </w:rPr>
            </w:pPr>
            <w:r>
              <w:rPr>
                <w:rStyle w:val="272"/>
                <w:rFonts w:hint="eastAsia" w:hAnsi="宋体" w:cs="宋体"/>
                <w:color w:val="auto"/>
                <w:highlight w:val="none"/>
              </w:rPr>
              <w:t>详见响应文件</w:t>
            </w:r>
          </w:p>
        </w:tc>
        <w:tc>
          <w:tcPr>
            <w:tcW w:w="1787" w:type="dxa"/>
            <w:vAlign w:val="center"/>
          </w:tcPr>
          <w:p w14:paraId="7A76C474">
            <w:pPr>
              <w:pStyle w:val="73"/>
              <w:widowControl w:val="0"/>
              <w:jc w:val="center"/>
              <w:rPr>
                <w:rStyle w:val="272"/>
                <w:rFonts w:hAnsi="宋体" w:cs="宋体"/>
                <w:color w:val="auto"/>
                <w:highlight w:val="none"/>
              </w:rPr>
            </w:pPr>
          </w:p>
        </w:tc>
        <w:tc>
          <w:tcPr>
            <w:tcW w:w="1198" w:type="dxa"/>
            <w:vAlign w:val="center"/>
          </w:tcPr>
          <w:p w14:paraId="395B9CA3">
            <w:pPr>
              <w:pStyle w:val="73"/>
              <w:widowControl w:val="0"/>
              <w:jc w:val="center"/>
              <w:rPr>
                <w:rFonts w:ascii="宋体" w:hAnsi="宋体" w:cs="宋体"/>
                <w:bCs/>
                <w:color w:val="auto"/>
                <w:sz w:val="24"/>
                <w:highlight w:val="none"/>
              </w:rPr>
            </w:pPr>
          </w:p>
        </w:tc>
        <w:tc>
          <w:tcPr>
            <w:tcW w:w="1525" w:type="dxa"/>
            <w:vMerge w:val="restart"/>
            <w:vAlign w:val="center"/>
          </w:tcPr>
          <w:p w14:paraId="0A94F4DB">
            <w:pPr>
              <w:pStyle w:val="73"/>
              <w:widowControl w:val="0"/>
              <w:jc w:val="center"/>
              <w:rPr>
                <w:rFonts w:ascii="宋体" w:hAnsi="宋体" w:cs="宋体"/>
                <w:bCs/>
                <w:color w:val="auto"/>
                <w:sz w:val="24"/>
                <w:highlight w:val="none"/>
              </w:rPr>
            </w:pPr>
            <w:r>
              <w:rPr>
                <w:rFonts w:hint="eastAsia" w:ascii="宋体" w:hAnsi="宋体" w:cs="宋体"/>
                <w:bCs/>
                <w:color w:val="auto"/>
                <w:sz w:val="24"/>
                <w:highlight w:val="none"/>
              </w:rPr>
              <w:t>报价为</w:t>
            </w:r>
          </w:p>
          <w:p w14:paraId="0F822EA8">
            <w:pPr>
              <w:pStyle w:val="73"/>
              <w:widowControl w:val="0"/>
              <w:jc w:val="center"/>
              <w:rPr>
                <w:rFonts w:ascii="宋体" w:hAnsi="宋体" w:cs="宋体"/>
                <w:bCs/>
                <w:color w:val="auto"/>
                <w:sz w:val="24"/>
                <w:highlight w:val="none"/>
              </w:rPr>
            </w:pPr>
            <w:r>
              <w:rPr>
                <w:rFonts w:hint="eastAsia" w:ascii="宋体" w:hAnsi="宋体" w:cs="宋体"/>
                <w:bCs/>
                <w:color w:val="auto"/>
                <w:sz w:val="24"/>
                <w:highlight w:val="none"/>
              </w:rPr>
              <w:t>《分项价格表》</w:t>
            </w:r>
          </w:p>
          <w:p w14:paraId="1044A63F">
            <w:pPr>
              <w:pStyle w:val="73"/>
              <w:widowControl w:val="0"/>
              <w:jc w:val="center"/>
              <w:rPr>
                <w:rStyle w:val="272"/>
                <w:rFonts w:hAnsi="宋体" w:cs="宋体"/>
                <w:color w:val="auto"/>
                <w:highlight w:val="none"/>
              </w:rPr>
            </w:pPr>
            <w:r>
              <w:rPr>
                <w:rFonts w:hint="eastAsia" w:ascii="宋体" w:hAnsi="宋体" w:cs="宋体"/>
                <w:bCs/>
                <w:color w:val="auto"/>
                <w:sz w:val="24"/>
                <w:highlight w:val="none"/>
              </w:rPr>
              <w:t>的</w:t>
            </w:r>
            <w:r>
              <w:rPr>
                <w:rFonts w:hint="eastAsia" w:ascii="宋体" w:hAnsi="宋体" w:cs="宋体"/>
                <w:color w:val="auto"/>
                <w:sz w:val="24"/>
                <w:highlight w:val="none"/>
              </w:rPr>
              <w:t>总价</w:t>
            </w:r>
          </w:p>
        </w:tc>
      </w:tr>
      <w:tr w14:paraId="3D5E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60" w:hRule="atLeast"/>
          <w:jc w:val="center"/>
        </w:trPr>
        <w:tc>
          <w:tcPr>
            <w:tcW w:w="1792" w:type="dxa"/>
            <w:vAlign w:val="center"/>
          </w:tcPr>
          <w:p w14:paraId="098D8FFD">
            <w:pPr>
              <w:pStyle w:val="73"/>
              <w:widowControl w:val="0"/>
              <w:jc w:val="center"/>
              <w:rPr>
                <w:rStyle w:val="272"/>
                <w:rFonts w:hAnsi="宋体" w:cs="宋体"/>
                <w:color w:val="auto"/>
                <w:highlight w:val="none"/>
              </w:rPr>
            </w:pPr>
            <w:r>
              <w:rPr>
                <w:rStyle w:val="272"/>
                <w:rFonts w:hint="eastAsia" w:hAnsi="宋体" w:cs="宋体"/>
                <w:color w:val="auto"/>
                <w:highlight w:val="none"/>
              </w:rPr>
              <w:t>总价（大写）：</w:t>
            </w:r>
          </w:p>
        </w:tc>
        <w:tc>
          <w:tcPr>
            <w:tcW w:w="1684" w:type="dxa"/>
            <w:vAlign w:val="center"/>
          </w:tcPr>
          <w:p w14:paraId="16D986B9">
            <w:pPr>
              <w:pStyle w:val="73"/>
              <w:widowControl w:val="0"/>
              <w:jc w:val="center"/>
              <w:rPr>
                <w:rStyle w:val="272"/>
                <w:rFonts w:hAnsi="宋体" w:cs="宋体"/>
                <w:color w:val="auto"/>
                <w:highlight w:val="none"/>
              </w:rPr>
            </w:pPr>
          </w:p>
        </w:tc>
        <w:tc>
          <w:tcPr>
            <w:tcW w:w="5156" w:type="dxa"/>
            <w:gridSpan w:val="3"/>
            <w:vAlign w:val="center"/>
          </w:tcPr>
          <w:p w14:paraId="32122852">
            <w:pPr>
              <w:pStyle w:val="73"/>
              <w:widowControl w:val="0"/>
              <w:jc w:val="center"/>
              <w:rPr>
                <w:rStyle w:val="272"/>
                <w:rFonts w:hAnsi="宋体" w:cs="宋体"/>
                <w:color w:val="auto"/>
                <w:highlight w:val="none"/>
              </w:rPr>
            </w:pPr>
          </w:p>
        </w:tc>
        <w:tc>
          <w:tcPr>
            <w:tcW w:w="1525" w:type="dxa"/>
            <w:vMerge w:val="continue"/>
          </w:tcPr>
          <w:p w14:paraId="7DA1A5B5">
            <w:pPr>
              <w:pStyle w:val="73"/>
              <w:widowControl w:val="0"/>
              <w:jc w:val="center"/>
              <w:rPr>
                <w:rStyle w:val="272"/>
                <w:rFonts w:hAnsi="宋体" w:cs="宋体"/>
                <w:color w:val="auto"/>
                <w:highlight w:val="none"/>
              </w:rPr>
            </w:pPr>
          </w:p>
        </w:tc>
      </w:tr>
    </w:tbl>
    <w:p w14:paraId="7FDE7DFE">
      <w:pPr>
        <w:pStyle w:val="73"/>
        <w:widowControl w:val="0"/>
        <w:spacing w:line="360" w:lineRule="auto"/>
        <w:rPr>
          <w:rFonts w:ascii="宋体" w:hAnsi="宋体" w:cs="宋体"/>
          <w:color w:val="auto"/>
          <w:sz w:val="24"/>
          <w:highlight w:val="none"/>
        </w:rPr>
      </w:pPr>
    </w:p>
    <w:p w14:paraId="15947D9A">
      <w:pPr>
        <w:pStyle w:val="73"/>
        <w:widowControl w:val="0"/>
        <w:spacing w:line="440" w:lineRule="exact"/>
        <w:ind w:firstLine="480"/>
        <w:jc w:val="left"/>
        <w:rPr>
          <w:rStyle w:val="272"/>
          <w:rFonts w:hAnsi="宋体" w:cs="宋体"/>
          <w:color w:val="auto"/>
          <w:highlight w:val="none"/>
        </w:rPr>
      </w:pPr>
      <w:r>
        <w:rPr>
          <w:rStyle w:val="272"/>
          <w:rFonts w:hint="eastAsia" w:hAnsi="宋体" w:cs="宋体"/>
          <w:color w:val="auto"/>
          <w:highlight w:val="none"/>
        </w:rPr>
        <w:t>供应商承诺：  1、本报价（总价）为供应商本企业提供的施工。</w:t>
      </w:r>
    </w:p>
    <w:p w14:paraId="7CA32807">
      <w:pPr>
        <w:pStyle w:val="73"/>
        <w:widowControl w:val="0"/>
        <w:spacing w:line="440" w:lineRule="exact"/>
        <w:ind w:firstLine="2160"/>
        <w:jc w:val="left"/>
        <w:rPr>
          <w:rStyle w:val="272"/>
          <w:rFonts w:hAnsi="宋体" w:cs="宋体"/>
          <w:color w:val="auto"/>
          <w:highlight w:val="none"/>
          <w:u w:val="single"/>
        </w:rPr>
      </w:pPr>
      <w:r>
        <w:rPr>
          <w:rStyle w:val="272"/>
          <w:rFonts w:hint="eastAsia" w:hAnsi="宋体" w:cs="宋体"/>
          <w:color w:val="auto"/>
          <w:highlight w:val="none"/>
        </w:rPr>
        <w:t>2、质量：合格</w:t>
      </w:r>
      <w:r>
        <w:rPr>
          <w:rStyle w:val="272"/>
          <w:rFonts w:hint="eastAsia" w:hAnsi="宋体" w:cs="宋体"/>
          <w:color w:val="auto"/>
          <w:highlight w:val="none"/>
          <w:u w:val="single"/>
        </w:rPr>
        <w:t xml:space="preserve">             </w:t>
      </w:r>
    </w:p>
    <w:p w14:paraId="1A437F65">
      <w:pPr>
        <w:pStyle w:val="73"/>
        <w:widowControl w:val="0"/>
        <w:spacing w:line="400" w:lineRule="exact"/>
        <w:ind w:left="2640" w:hanging="2640"/>
        <w:jc w:val="left"/>
        <w:rPr>
          <w:rStyle w:val="272"/>
          <w:rFonts w:hAnsi="宋体" w:cs="宋体"/>
          <w:color w:val="auto"/>
          <w:highlight w:val="none"/>
        </w:rPr>
      </w:pPr>
      <w:r>
        <w:rPr>
          <w:rStyle w:val="272"/>
          <w:rFonts w:hint="eastAsia" w:hAnsi="宋体" w:cs="宋体"/>
          <w:color w:val="auto"/>
          <w:highlight w:val="none"/>
        </w:rPr>
        <w:t xml:space="preserve">                  3、</w:t>
      </w:r>
      <w:r>
        <w:rPr>
          <w:rFonts w:hint="eastAsia" w:ascii="宋体" w:hAnsi="宋体" w:cs="宋体"/>
          <w:color w:val="auto"/>
          <w:sz w:val="24"/>
          <w:szCs w:val="24"/>
          <w:highlight w:val="none"/>
        </w:rPr>
        <w:t>本工程免费质保期为2年，承诺的免费保修期为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p>
    <w:p w14:paraId="2A7AFA11">
      <w:pPr>
        <w:pStyle w:val="73"/>
        <w:widowControl w:val="0"/>
        <w:spacing w:line="400" w:lineRule="exact"/>
        <w:jc w:val="left"/>
        <w:rPr>
          <w:rStyle w:val="272"/>
          <w:rFonts w:hAnsi="宋体" w:cs="宋体"/>
          <w:color w:val="auto"/>
          <w:highlight w:val="none"/>
        </w:rPr>
      </w:pPr>
      <w:r>
        <w:rPr>
          <w:rFonts w:hint="eastAsia" w:ascii="宋体" w:hAnsi="宋体" w:cs="宋体"/>
          <w:color w:val="auto"/>
          <w:sz w:val="24"/>
          <w:highlight w:val="none"/>
        </w:rPr>
        <w:t xml:space="preserve">                  4、根据相关标准、规范进行试验、检测并承担所有费用。</w:t>
      </w:r>
    </w:p>
    <w:p w14:paraId="4AD836BE">
      <w:pPr>
        <w:pStyle w:val="73"/>
        <w:widowControl w:val="0"/>
        <w:spacing w:line="288" w:lineRule="auto"/>
        <w:jc w:val="left"/>
        <w:rPr>
          <w:rStyle w:val="272"/>
          <w:rFonts w:hAnsi="宋体" w:cs="宋体"/>
          <w:color w:val="auto"/>
          <w:highlight w:val="none"/>
        </w:rPr>
      </w:pPr>
      <w:r>
        <w:rPr>
          <w:rStyle w:val="272"/>
          <w:rFonts w:hint="eastAsia" w:hAnsi="宋体" w:cs="宋体"/>
          <w:color w:val="auto"/>
          <w:highlight w:val="none"/>
        </w:rPr>
        <w:t>报价说明：</w:t>
      </w:r>
    </w:p>
    <w:p w14:paraId="63B8E552">
      <w:pPr>
        <w:pStyle w:val="73"/>
        <w:widowControl w:val="0"/>
        <w:spacing w:line="288" w:lineRule="auto"/>
        <w:ind w:firstLine="480"/>
        <w:jc w:val="left"/>
        <w:rPr>
          <w:rStyle w:val="272"/>
          <w:rFonts w:hAnsi="宋体" w:cs="宋体"/>
          <w:color w:val="auto"/>
          <w:highlight w:val="none"/>
        </w:rPr>
      </w:pPr>
      <w:r>
        <w:rPr>
          <w:rStyle w:val="272"/>
          <w:rFonts w:hint="eastAsia" w:hAnsi="宋体" w:cs="宋体"/>
          <w:color w:val="auto"/>
          <w:highlight w:val="none"/>
        </w:rPr>
        <w:t>1、报价包括完成项目的所有费用。采购人不再支付报价以外的任何费用。</w:t>
      </w:r>
    </w:p>
    <w:p w14:paraId="474273E0">
      <w:pPr>
        <w:pStyle w:val="73"/>
        <w:widowControl w:val="0"/>
        <w:spacing w:line="288" w:lineRule="auto"/>
        <w:ind w:firstLine="480"/>
        <w:jc w:val="left"/>
        <w:rPr>
          <w:rStyle w:val="272"/>
          <w:rFonts w:hAnsi="宋体" w:cs="宋体"/>
          <w:color w:val="auto"/>
          <w:highlight w:val="none"/>
        </w:rPr>
      </w:pPr>
      <w:r>
        <w:rPr>
          <w:rStyle w:val="272"/>
          <w:rFonts w:hint="eastAsia" w:hAnsi="宋体" w:cs="宋体"/>
          <w:color w:val="auto"/>
          <w:highlight w:val="none"/>
        </w:rPr>
        <w:t>2、报价以总价为准，大小写不一致以大写为准；</w:t>
      </w:r>
    </w:p>
    <w:p w14:paraId="5B64203B">
      <w:pPr>
        <w:pStyle w:val="73"/>
        <w:widowControl w:val="0"/>
        <w:spacing w:line="288" w:lineRule="auto"/>
        <w:ind w:firstLine="480"/>
        <w:jc w:val="left"/>
        <w:rPr>
          <w:rStyle w:val="272"/>
          <w:rFonts w:hAnsi="宋体" w:cs="宋体"/>
          <w:color w:val="auto"/>
          <w:highlight w:val="none"/>
        </w:rPr>
      </w:pPr>
      <w:r>
        <w:rPr>
          <w:rStyle w:val="272"/>
          <w:rFonts w:hint="eastAsia" w:hAnsi="宋体" w:cs="宋体"/>
          <w:color w:val="auto"/>
          <w:highlight w:val="none"/>
        </w:rPr>
        <w:t>3、偏离说明：详见《偏离表》；</w:t>
      </w:r>
    </w:p>
    <w:p w14:paraId="2B3558B1">
      <w:pPr>
        <w:pStyle w:val="73"/>
        <w:widowControl w:val="0"/>
        <w:spacing w:line="288" w:lineRule="auto"/>
        <w:ind w:firstLine="482"/>
        <w:jc w:val="left"/>
        <w:rPr>
          <w:rStyle w:val="272"/>
          <w:rFonts w:hAnsi="宋体" w:cs="宋体"/>
          <w:color w:val="auto"/>
          <w:highlight w:val="none"/>
        </w:rPr>
      </w:pPr>
      <w:r>
        <w:rPr>
          <w:rStyle w:val="272"/>
          <w:rFonts w:hint="eastAsia" w:hAnsi="宋体" w:cs="宋体"/>
          <w:color w:val="auto"/>
          <w:highlight w:val="none"/>
        </w:rPr>
        <w:t>4、如最后报价未列明单价，则最后所报各项单价计算方法为：（最后总价/最初总价）* 各项最初报价的单价。</w:t>
      </w:r>
    </w:p>
    <w:p w14:paraId="38984F4D">
      <w:pPr>
        <w:widowControl w:val="0"/>
        <w:spacing w:line="500" w:lineRule="exact"/>
        <w:ind w:right="29" w:firstLine="3960"/>
        <w:jc w:val="left"/>
        <w:rPr>
          <w:rFonts w:ascii="宋体" w:hAnsi="宋体" w:cs="宋体"/>
          <w:color w:val="auto"/>
          <w:sz w:val="24"/>
          <w:szCs w:val="24"/>
          <w:highlight w:val="none"/>
        </w:rPr>
      </w:pPr>
    </w:p>
    <w:p w14:paraId="4626FE03">
      <w:pPr>
        <w:widowControl w:val="0"/>
        <w:spacing w:line="500" w:lineRule="exact"/>
        <w:ind w:right="29" w:firstLine="396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供应商（电子签章）：  </w:t>
      </w:r>
    </w:p>
    <w:p w14:paraId="60EB860A">
      <w:pPr>
        <w:widowControl w:val="0"/>
        <w:spacing w:line="500" w:lineRule="exact"/>
        <w:ind w:left="3950" w:right="29"/>
        <w:jc w:val="left"/>
        <w:rPr>
          <w:rFonts w:ascii="宋体" w:hAnsi="宋体" w:cs="宋体"/>
          <w:color w:val="auto"/>
          <w:sz w:val="24"/>
          <w:szCs w:val="24"/>
          <w:highlight w:val="none"/>
        </w:rPr>
      </w:pPr>
      <w:r>
        <w:rPr>
          <w:rFonts w:hint="eastAsia" w:ascii="宋体" w:hAnsi="宋体" w:cs="宋体"/>
          <w:color w:val="auto"/>
          <w:sz w:val="24"/>
          <w:szCs w:val="24"/>
          <w:highlight w:val="none"/>
        </w:rPr>
        <w:t>日期：</w:t>
      </w:r>
    </w:p>
    <w:p w14:paraId="46821C60">
      <w:pPr>
        <w:pStyle w:val="73"/>
        <w:widowControl w:val="0"/>
        <w:spacing w:line="440" w:lineRule="exact"/>
        <w:ind w:firstLine="482"/>
        <w:jc w:val="right"/>
        <w:rPr>
          <w:rStyle w:val="272"/>
          <w:rFonts w:hAnsi="宋体" w:cs="宋体"/>
          <w:b/>
          <w:color w:val="auto"/>
          <w:highlight w:val="none"/>
        </w:rPr>
      </w:pPr>
    </w:p>
    <w:p w14:paraId="08877A8D">
      <w:pPr>
        <w:pStyle w:val="242"/>
        <w:keepNext w:val="0"/>
        <w:keepLines w:val="0"/>
        <w:widowControl w:val="0"/>
        <w:spacing w:before="0" w:after="0" w:line="400" w:lineRule="exact"/>
        <w:jc w:val="center"/>
        <w:rPr>
          <w:rFonts w:ascii="宋体" w:hAnsi="宋体" w:cs="宋体"/>
          <w:bCs w:val="0"/>
          <w:color w:val="auto"/>
          <w:sz w:val="28"/>
          <w:szCs w:val="28"/>
          <w:highlight w:val="none"/>
        </w:rPr>
      </w:pPr>
      <w:r>
        <w:rPr>
          <w:rFonts w:hint="eastAsia" w:ascii="宋体" w:hAnsi="宋体" w:cs="宋体"/>
          <w:color w:val="auto"/>
          <w:highlight w:val="none"/>
        </w:rPr>
        <w:br w:type="page" w:clear="all"/>
      </w:r>
      <w:bookmarkStart w:id="134" w:name="_Toc10605"/>
      <w:bookmarkStart w:id="135" w:name="_Toc26917"/>
      <w:bookmarkStart w:id="136" w:name="_Toc31465"/>
      <w:bookmarkStart w:id="137" w:name="_Toc14060"/>
      <w:r>
        <w:rPr>
          <w:rStyle w:val="272"/>
          <w:rFonts w:hint="eastAsia" w:hAnsi="宋体" w:cs="宋体"/>
          <w:color w:val="auto"/>
          <w:sz w:val="28"/>
          <w:highlight w:val="none"/>
        </w:rPr>
        <w:t>三、分项价格表</w:t>
      </w:r>
      <w:bookmarkEnd w:id="134"/>
      <w:bookmarkEnd w:id="135"/>
      <w:bookmarkEnd w:id="136"/>
      <w:bookmarkEnd w:id="137"/>
    </w:p>
    <w:p w14:paraId="5075275F">
      <w:pPr>
        <w:pStyle w:val="69"/>
        <w:widowControl w:val="0"/>
        <w:spacing w:after="0" w:line="5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（具有已标价的工程量清单和报价表）</w:t>
      </w:r>
    </w:p>
    <w:p w14:paraId="39745189">
      <w:pPr>
        <w:pStyle w:val="69"/>
        <w:widowControl w:val="0"/>
        <w:spacing w:after="0" w:line="500" w:lineRule="exact"/>
        <w:rPr>
          <w:rFonts w:ascii="宋体" w:hAnsi="宋体" w:cs="宋体"/>
          <w:color w:val="auto"/>
          <w:sz w:val="24"/>
          <w:szCs w:val="24"/>
          <w:highlight w:val="none"/>
        </w:rPr>
      </w:pPr>
      <w:bookmarkStart w:id="138" w:name="_Hlk105167508"/>
      <w:r>
        <w:rPr>
          <w:rFonts w:hint="eastAsia" w:ascii="宋体" w:hAnsi="宋体" w:cs="宋体"/>
          <w:color w:val="auto"/>
          <w:sz w:val="24"/>
          <w:szCs w:val="24"/>
          <w:highlight w:val="none"/>
        </w:rPr>
        <w:t xml:space="preserve">项目名称： </w:t>
      </w:r>
    </w:p>
    <w:p w14:paraId="3E68CF6F">
      <w:pPr>
        <w:pStyle w:val="69"/>
        <w:widowControl w:val="0"/>
        <w:spacing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项目编号：</w:t>
      </w:r>
    </w:p>
    <w:p w14:paraId="55EAA6EC">
      <w:pPr>
        <w:pStyle w:val="69"/>
        <w:widowControl w:val="0"/>
        <w:spacing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采购包： </w:t>
      </w:r>
      <w:bookmarkEnd w:id="138"/>
    </w:p>
    <w:p w14:paraId="26127E28">
      <w:pPr>
        <w:pStyle w:val="69"/>
        <w:widowControl w:val="0"/>
        <w:spacing w:line="500" w:lineRule="exact"/>
        <w:rPr>
          <w:rFonts w:ascii="宋体" w:hAnsi="宋体" w:cs="宋体"/>
          <w:color w:val="auto"/>
          <w:sz w:val="24"/>
          <w:szCs w:val="24"/>
          <w:highlight w:val="none"/>
        </w:rPr>
      </w:pPr>
    </w:p>
    <w:p w14:paraId="2E7E96E1">
      <w:pPr>
        <w:pStyle w:val="90"/>
        <w:widowControl w:val="0"/>
        <w:spacing w:line="500" w:lineRule="exact"/>
        <w:ind w:left="0"/>
        <w:jc w:val="center"/>
        <w:outlineLvl w:val="9"/>
        <w:rPr>
          <w:rFonts w:ascii="宋体" w:eastAsia="宋体" w:cs="宋体"/>
          <w:color w:val="auto"/>
          <w:sz w:val="24"/>
          <w:szCs w:val="24"/>
          <w:highlight w:val="none"/>
        </w:rPr>
      </w:pPr>
      <w:bookmarkStart w:id="139" w:name="_Toc3087"/>
      <w:r>
        <w:rPr>
          <w:rFonts w:hint="eastAsia" w:ascii="宋体" w:eastAsia="宋体" w:cs="宋体"/>
          <w:color w:val="auto"/>
          <w:sz w:val="24"/>
          <w:szCs w:val="24"/>
          <w:highlight w:val="none"/>
        </w:rPr>
        <w:t>根据工程量清单进行编制</w:t>
      </w:r>
      <w:bookmarkEnd w:id="139"/>
      <w:r>
        <w:rPr>
          <w:rFonts w:hint="eastAsia" w:ascii="宋体" w:eastAsia="宋体" w:cs="宋体"/>
          <w:color w:val="auto"/>
          <w:sz w:val="24"/>
          <w:szCs w:val="24"/>
          <w:highlight w:val="none"/>
        </w:rPr>
        <w:t>，需提供综合单价分析表</w:t>
      </w:r>
    </w:p>
    <w:p w14:paraId="496F011E">
      <w:pPr>
        <w:pStyle w:val="92"/>
        <w:widowControl w:val="0"/>
        <w:spacing w:line="500" w:lineRule="exact"/>
        <w:ind w:firstLine="400"/>
        <w:rPr>
          <w:rFonts w:hAnsi="宋体" w:cs="宋体"/>
          <w:color w:val="auto"/>
          <w:sz w:val="24"/>
          <w:szCs w:val="24"/>
          <w:highlight w:val="none"/>
        </w:rPr>
      </w:pPr>
    </w:p>
    <w:p w14:paraId="428AAB66">
      <w:pPr>
        <w:pStyle w:val="73"/>
        <w:widowControl w:val="0"/>
        <w:spacing w:line="500" w:lineRule="exact"/>
        <w:rPr>
          <w:rFonts w:ascii="宋体" w:hAnsi="宋体" w:cs="宋体"/>
          <w:color w:val="auto"/>
          <w:sz w:val="24"/>
          <w:szCs w:val="24"/>
          <w:highlight w:val="none"/>
        </w:rPr>
      </w:pPr>
    </w:p>
    <w:p w14:paraId="5CDE372D">
      <w:pPr>
        <w:pStyle w:val="92"/>
        <w:widowControl w:val="0"/>
        <w:spacing w:line="500" w:lineRule="exact"/>
        <w:ind w:firstLine="400"/>
        <w:rPr>
          <w:rFonts w:hAnsi="宋体" w:cs="宋体"/>
          <w:color w:val="auto"/>
          <w:sz w:val="24"/>
          <w:szCs w:val="24"/>
          <w:highlight w:val="none"/>
        </w:rPr>
      </w:pPr>
    </w:p>
    <w:p w14:paraId="53F7B25B">
      <w:pPr>
        <w:pStyle w:val="74"/>
        <w:spacing w:line="500" w:lineRule="exact"/>
        <w:ind w:left="0" w:right="0" w:firstLine="560"/>
        <w:rPr>
          <w:rFonts w:ascii="宋体" w:hAnsi="宋体" w:eastAsia="宋体" w:cs="宋体"/>
          <w:color w:val="auto"/>
          <w:sz w:val="24"/>
          <w:szCs w:val="24"/>
          <w:highlight w:val="none"/>
        </w:rPr>
      </w:pPr>
    </w:p>
    <w:p w14:paraId="6082344F">
      <w:pPr>
        <w:pStyle w:val="69"/>
        <w:widowControl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E1DA013">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供应商</w:t>
      </w:r>
      <w:r>
        <w:rPr>
          <w:rFonts w:hint="eastAsia" w:ascii="宋体" w:hAnsi="宋体" w:cs="宋体"/>
          <w:color w:val="auto"/>
          <w:sz w:val="24"/>
          <w:szCs w:val="24"/>
          <w:highlight w:val="none"/>
        </w:rPr>
        <w:t>（</w:t>
      </w:r>
      <w:r>
        <w:rPr>
          <w:rStyle w:val="272"/>
          <w:rFonts w:hint="eastAsia" w:hAnsi="宋体" w:cs="宋体"/>
          <w:color w:val="auto"/>
          <w:szCs w:val="24"/>
          <w:highlight w:val="none"/>
        </w:rPr>
        <w:t>电子签章</w:t>
      </w:r>
      <w:r>
        <w:rPr>
          <w:rFonts w:hint="eastAsia" w:ascii="宋体" w:hAnsi="宋体" w:cs="宋体"/>
          <w:color w:val="auto"/>
          <w:sz w:val="24"/>
          <w:szCs w:val="24"/>
          <w:highlight w:val="none"/>
        </w:rPr>
        <w:t>）</w:t>
      </w:r>
      <w:r>
        <w:rPr>
          <w:rStyle w:val="272"/>
          <w:rFonts w:hint="eastAsia" w:hAnsi="宋体" w:cs="宋体"/>
          <w:color w:val="auto"/>
          <w:szCs w:val="24"/>
          <w:highlight w:val="none"/>
        </w:rPr>
        <w:t xml:space="preserve">：  </w:t>
      </w:r>
    </w:p>
    <w:p w14:paraId="5192EFE3">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日期：</w:t>
      </w:r>
    </w:p>
    <w:p w14:paraId="0D09C264">
      <w:pPr>
        <w:pStyle w:val="69"/>
        <w:widowControl w:val="0"/>
        <w:spacing w:line="500" w:lineRule="exact"/>
        <w:rPr>
          <w:rFonts w:ascii="宋体" w:hAnsi="宋体" w:cs="宋体"/>
          <w:color w:val="auto"/>
          <w:sz w:val="24"/>
          <w:szCs w:val="24"/>
          <w:highlight w:val="none"/>
        </w:rPr>
      </w:pPr>
    </w:p>
    <w:p w14:paraId="4A733185">
      <w:pPr>
        <w:pStyle w:val="69"/>
        <w:widowControl w:val="0"/>
        <w:spacing w:after="0" w:line="500" w:lineRule="exact"/>
        <w:rPr>
          <w:rFonts w:ascii="宋体" w:hAnsi="宋体" w:cs="宋体"/>
          <w:color w:val="auto"/>
          <w:sz w:val="24"/>
          <w:szCs w:val="24"/>
          <w:highlight w:val="none"/>
        </w:rPr>
      </w:pPr>
      <w:r>
        <w:rPr>
          <w:rFonts w:hint="eastAsia" w:ascii="宋体" w:hAnsi="宋体" w:cs="宋体"/>
          <w:color w:val="auto"/>
          <w:sz w:val="24"/>
          <w:szCs w:val="24"/>
          <w:highlight w:val="none"/>
        </w:rPr>
        <w:t>注：</w:t>
      </w:r>
    </w:p>
    <w:p w14:paraId="403FA830">
      <w:pPr>
        <w:pStyle w:val="69"/>
        <w:widowControl w:val="0"/>
        <w:spacing w:after="0"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1．如果不提供详细分项报价将视为没有实质性响应磋商文件。</w:t>
      </w:r>
    </w:p>
    <w:p w14:paraId="6524105A">
      <w:pPr>
        <w:pStyle w:val="69"/>
        <w:widowControl w:val="0"/>
        <w:spacing w:after="0"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2．供应商对以上数据的真实性负责。</w:t>
      </w:r>
    </w:p>
    <w:p w14:paraId="33944182">
      <w:pPr>
        <w:pStyle w:val="69"/>
        <w:widowControl w:val="0"/>
        <w:spacing w:after="0"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 如果按单价计算的结果与总价不一致，以总价为准。</w:t>
      </w:r>
    </w:p>
    <w:p w14:paraId="59A1F8E2">
      <w:pPr>
        <w:pStyle w:val="69"/>
        <w:widowControl w:val="0"/>
        <w:spacing w:after="0" w:line="500" w:lineRule="exact"/>
        <w:ind w:firstLine="480"/>
        <w:rPr>
          <w:rFonts w:ascii="宋体" w:hAnsi="宋体" w:cs="宋体"/>
          <w:b/>
          <w:i/>
          <w:color w:val="auto"/>
          <w:sz w:val="24"/>
          <w:szCs w:val="24"/>
          <w:highlight w:val="none"/>
          <w:u w:val="single"/>
        </w:rPr>
      </w:pPr>
      <w:r>
        <w:rPr>
          <w:rFonts w:hint="eastAsia" w:ascii="宋体" w:hAnsi="宋体" w:cs="宋体"/>
          <w:b/>
          <w:i/>
          <w:color w:val="auto"/>
          <w:sz w:val="24"/>
          <w:szCs w:val="24"/>
          <w:highlight w:val="none"/>
          <w:u w:val="single"/>
        </w:rPr>
        <w:t>采购人或采购代理机构有权将以上内容进行公示。</w:t>
      </w:r>
    </w:p>
    <w:p w14:paraId="35D5DC14">
      <w:pPr>
        <w:pStyle w:val="73"/>
        <w:widowControl w:val="0"/>
        <w:tabs>
          <w:tab w:val="center" w:pos="4200"/>
        </w:tabs>
        <w:spacing w:line="360" w:lineRule="auto"/>
        <w:ind w:firstLine="482"/>
        <w:jc w:val="left"/>
        <w:rPr>
          <w:rFonts w:ascii="宋体" w:hAnsi="宋体" w:cs="宋体"/>
          <w:b/>
          <w:bCs/>
          <w:color w:val="auto"/>
          <w:sz w:val="24"/>
          <w:szCs w:val="24"/>
          <w:highlight w:val="none"/>
        </w:rPr>
      </w:pPr>
    </w:p>
    <w:p w14:paraId="6868CD45">
      <w:pPr>
        <w:spacing w:line="360" w:lineRule="auto"/>
        <w:jc w:val="center"/>
        <w:rPr>
          <w:rFonts w:ascii="宋体" w:hAnsi="宋体" w:cs="宋体"/>
          <w:b/>
          <w:bCs/>
          <w:color w:val="auto"/>
          <w:sz w:val="36"/>
          <w:highlight w:val="none"/>
        </w:rPr>
      </w:pPr>
    </w:p>
    <w:p w14:paraId="1797C063">
      <w:pPr>
        <w:spacing w:line="360" w:lineRule="auto"/>
        <w:jc w:val="center"/>
        <w:rPr>
          <w:rFonts w:ascii="宋体" w:hAnsi="宋体" w:cs="宋体"/>
          <w:b/>
          <w:bCs/>
          <w:color w:val="auto"/>
          <w:sz w:val="36"/>
          <w:highlight w:val="none"/>
        </w:rPr>
      </w:pPr>
    </w:p>
    <w:p w14:paraId="33BC5428">
      <w:pPr>
        <w:spacing w:line="360" w:lineRule="auto"/>
        <w:jc w:val="center"/>
        <w:rPr>
          <w:rFonts w:ascii="宋体" w:hAnsi="宋体" w:cs="宋体"/>
          <w:b/>
          <w:bCs/>
          <w:color w:val="auto"/>
          <w:sz w:val="36"/>
          <w:highlight w:val="none"/>
        </w:rPr>
      </w:pPr>
    </w:p>
    <w:p w14:paraId="5AF5533A">
      <w:pPr>
        <w:spacing w:line="360" w:lineRule="auto"/>
        <w:jc w:val="center"/>
        <w:rPr>
          <w:rFonts w:ascii="宋体" w:hAnsi="宋体" w:cs="宋体"/>
          <w:b/>
          <w:bCs/>
          <w:color w:val="auto"/>
          <w:sz w:val="36"/>
          <w:highlight w:val="none"/>
        </w:rPr>
      </w:pPr>
    </w:p>
    <w:p w14:paraId="1086C9F7">
      <w:pPr>
        <w:pStyle w:val="69"/>
        <w:rPr>
          <w:rFonts w:ascii="宋体" w:hAnsi="宋体" w:cs="宋体"/>
          <w:color w:val="auto"/>
          <w:highlight w:val="none"/>
        </w:rPr>
      </w:pPr>
    </w:p>
    <w:p w14:paraId="1DFEBFCE">
      <w:pPr>
        <w:pStyle w:val="73"/>
        <w:widowControl w:val="0"/>
        <w:spacing w:line="360" w:lineRule="auto"/>
        <w:jc w:val="center"/>
        <w:outlineLvl w:val="1"/>
        <w:rPr>
          <w:rStyle w:val="272"/>
          <w:rFonts w:hAnsi="宋体" w:cs="宋体"/>
          <w:color w:val="auto"/>
          <w:highlight w:val="none"/>
        </w:rPr>
      </w:pPr>
      <w:bookmarkStart w:id="140" w:name="_Toc19509"/>
      <w:bookmarkStart w:id="141" w:name="_Toc2298"/>
      <w:bookmarkStart w:id="142" w:name="_Toc21146"/>
      <w:bookmarkStart w:id="143" w:name="_Toc31424"/>
      <w:r>
        <w:rPr>
          <w:rStyle w:val="272"/>
          <w:rFonts w:hint="eastAsia" w:hAnsi="宋体" w:cs="宋体"/>
          <w:b/>
          <w:bCs/>
          <w:color w:val="auto"/>
          <w:sz w:val="28"/>
          <w:szCs w:val="32"/>
          <w:highlight w:val="none"/>
        </w:rPr>
        <w:t>四、偏离表</w:t>
      </w:r>
      <w:bookmarkEnd w:id="140"/>
      <w:bookmarkEnd w:id="141"/>
      <w:bookmarkEnd w:id="142"/>
      <w:bookmarkEnd w:id="143"/>
    </w:p>
    <w:p w14:paraId="511108B8">
      <w:pPr>
        <w:pStyle w:val="73"/>
        <w:widowControl w:val="0"/>
        <w:spacing w:line="400" w:lineRule="exact"/>
        <w:jc w:val="left"/>
        <w:rPr>
          <w:rStyle w:val="272"/>
          <w:rFonts w:hAnsi="宋体" w:cs="宋体"/>
          <w:color w:val="auto"/>
          <w:highlight w:val="none"/>
        </w:rPr>
      </w:pPr>
      <w:r>
        <w:rPr>
          <w:rStyle w:val="272"/>
          <w:rFonts w:hint="eastAsia" w:hAnsi="宋体" w:cs="宋体"/>
          <w:color w:val="auto"/>
          <w:highlight w:val="none"/>
        </w:rPr>
        <w:t xml:space="preserve">   项目名称：</w:t>
      </w:r>
    </w:p>
    <w:p w14:paraId="15884E3E">
      <w:pPr>
        <w:pStyle w:val="73"/>
        <w:widowControl w:val="0"/>
        <w:spacing w:line="400" w:lineRule="exact"/>
        <w:jc w:val="left"/>
        <w:rPr>
          <w:rStyle w:val="272"/>
          <w:rFonts w:hAnsi="宋体" w:cs="宋体"/>
          <w:color w:val="auto"/>
          <w:highlight w:val="none"/>
        </w:rPr>
      </w:pPr>
      <w:r>
        <w:rPr>
          <w:rStyle w:val="272"/>
          <w:rFonts w:hint="eastAsia" w:hAnsi="宋体" w:cs="宋体"/>
          <w:color w:val="auto"/>
          <w:highlight w:val="none"/>
        </w:rPr>
        <w:t xml:space="preserve">   项目编号：</w:t>
      </w:r>
    </w:p>
    <w:tbl>
      <w:tblPr>
        <w:tblStyle w:val="40"/>
        <w:tblW w:w="8928" w:type="dxa"/>
        <w:jc w:val="center"/>
        <w:tblLayout w:type="fixed"/>
        <w:tblCellMar>
          <w:top w:w="0" w:type="dxa"/>
          <w:left w:w="0" w:type="dxa"/>
          <w:bottom w:w="0" w:type="dxa"/>
          <w:right w:w="0" w:type="dxa"/>
        </w:tblCellMar>
      </w:tblPr>
      <w:tblGrid>
        <w:gridCol w:w="828"/>
        <w:gridCol w:w="900"/>
        <w:gridCol w:w="2340"/>
        <w:gridCol w:w="1620"/>
        <w:gridCol w:w="1260"/>
        <w:gridCol w:w="1980"/>
      </w:tblGrid>
      <w:tr w14:paraId="5E15A9C7">
        <w:tblPrEx>
          <w:tblCellMar>
            <w:top w:w="0" w:type="dxa"/>
            <w:left w:w="0" w:type="dxa"/>
            <w:bottom w:w="0" w:type="dxa"/>
            <w:right w:w="0" w:type="dxa"/>
          </w:tblCellMar>
        </w:tblPrEx>
        <w:trPr>
          <w:trHeight w:val="414" w:hRule="atLeast"/>
          <w:jc w:val="center"/>
        </w:trPr>
        <w:tc>
          <w:tcPr>
            <w:tcW w:w="828" w:type="dxa"/>
            <w:tcBorders>
              <w:top w:val="single" w:color="000000" w:sz="6" w:space="0"/>
              <w:left w:val="single" w:color="000000" w:sz="6" w:space="0"/>
              <w:bottom w:val="single" w:color="000000" w:sz="6" w:space="0"/>
              <w:right w:val="single" w:color="000000" w:sz="6" w:space="0"/>
            </w:tcBorders>
          </w:tcPr>
          <w:p w14:paraId="292E5A5F">
            <w:pPr>
              <w:pStyle w:val="73"/>
              <w:widowControl w:val="0"/>
              <w:spacing w:line="400" w:lineRule="exact"/>
              <w:jc w:val="center"/>
              <w:rPr>
                <w:rStyle w:val="272"/>
                <w:rFonts w:hAnsi="宋体" w:cs="宋体"/>
                <w:caps/>
                <w:color w:val="auto"/>
                <w:highlight w:val="none"/>
              </w:rPr>
            </w:pPr>
            <w:r>
              <w:rPr>
                <w:rStyle w:val="272"/>
                <w:rFonts w:hint="eastAsia" w:hAnsi="宋体" w:cs="宋体"/>
                <w:caps/>
                <w:color w:val="auto"/>
                <w:highlight w:val="none"/>
              </w:rPr>
              <w:t>序号</w:t>
            </w:r>
          </w:p>
        </w:tc>
        <w:tc>
          <w:tcPr>
            <w:tcW w:w="900" w:type="dxa"/>
            <w:tcBorders>
              <w:top w:val="single" w:color="000000" w:sz="6" w:space="0"/>
              <w:left w:val="single" w:color="000000" w:sz="6" w:space="0"/>
              <w:bottom w:val="single" w:color="000000" w:sz="6" w:space="0"/>
              <w:right w:val="single" w:color="000000" w:sz="6" w:space="0"/>
            </w:tcBorders>
          </w:tcPr>
          <w:p w14:paraId="724DAAAD">
            <w:pPr>
              <w:pStyle w:val="73"/>
              <w:widowControl w:val="0"/>
              <w:spacing w:line="400" w:lineRule="exact"/>
              <w:jc w:val="center"/>
              <w:rPr>
                <w:rStyle w:val="272"/>
                <w:rFonts w:hAnsi="宋体" w:cs="宋体"/>
                <w:caps/>
                <w:color w:val="auto"/>
                <w:highlight w:val="none"/>
              </w:rPr>
            </w:pPr>
            <w:r>
              <w:rPr>
                <w:rStyle w:val="272"/>
                <w:rFonts w:hint="eastAsia" w:hAnsi="宋体" w:cs="宋体"/>
                <w:caps/>
                <w:color w:val="auto"/>
                <w:highlight w:val="none"/>
              </w:rPr>
              <w:t>偏离内容</w:t>
            </w:r>
          </w:p>
        </w:tc>
        <w:tc>
          <w:tcPr>
            <w:tcW w:w="2340" w:type="dxa"/>
            <w:tcBorders>
              <w:top w:val="single" w:color="000000" w:sz="6" w:space="0"/>
              <w:left w:val="single" w:color="000000" w:sz="6" w:space="0"/>
              <w:bottom w:val="single" w:color="000000" w:sz="6" w:space="0"/>
              <w:right w:val="single" w:color="000000" w:sz="6" w:space="0"/>
            </w:tcBorders>
          </w:tcPr>
          <w:p w14:paraId="2899A995">
            <w:pPr>
              <w:pStyle w:val="73"/>
              <w:widowControl w:val="0"/>
              <w:spacing w:line="400" w:lineRule="exact"/>
              <w:jc w:val="center"/>
              <w:rPr>
                <w:rStyle w:val="272"/>
                <w:rFonts w:hAnsi="宋体" w:cs="宋体"/>
                <w:caps/>
                <w:color w:val="auto"/>
                <w:highlight w:val="none"/>
              </w:rPr>
            </w:pPr>
            <w:r>
              <w:rPr>
                <w:rStyle w:val="272"/>
                <w:rFonts w:hint="eastAsia" w:hAnsi="宋体" w:cs="宋体"/>
                <w:color w:val="auto"/>
                <w:highlight w:val="none"/>
              </w:rPr>
              <w:t>竞争性磋商文件（含竞争性磋商文件的澄清或者修改）的要求</w:t>
            </w:r>
          </w:p>
        </w:tc>
        <w:tc>
          <w:tcPr>
            <w:tcW w:w="1620" w:type="dxa"/>
            <w:tcBorders>
              <w:top w:val="single" w:color="000000" w:sz="6" w:space="0"/>
              <w:left w:val="single" w:color="000000" w:sz="6" w:space="0"/>
              <w:bottom w:val="single" w:color="000000" w:sz="6" w:space="0"/>
              <w:right w:val="single" w:color="000000" w:sz="6" w:space="0"/>
            </w:tcBorders>
          </w:tcPr>
          <w:p w14:paraId="2A0B80FD">
            <w:pPr>
              <w:pStyle w:val="73"/>
              <w:widowControl w:val="0"/>
              <w:spacing w:line="400" w:lineRule="exact"/>
              <w:jc w:val="center"/>
              <w:rPr>
                <w:rStyle w:val="272"/>
                <w:rFonts w:hAnsi="宋体" w:cs="宋体"/>
                <w:caps/>
                <w:color w:val="auto"/>
                <w:highlight w:val="none"/>
              </w:rPr>
            </w:pPr>
            <w:r>
              <w:rPr>
                <w:rStyle w:val="272"/>
                <w:rFonts w:hint="eastAsia" w:hAnsi="宋体" w:cs="宋体"/>
                <w:color w:val="auto"/>
                <w:highlight w:val="none"/>
              </w:rPr>
              <w:t>首次响应文件中的内容</w:t>
            </w:r>
          </w:p>
        </w:tc>
        <w:tc>
          <w:tcPr>
            <w:tcW w:w="1260" w:type="dxa"/>
            <w:tcBorders>
              <w:top w:val="single" w:color="000000" w:sz="6" w:space="0"/>
              <w:left w:val="single" w:color="000000" w:sz="6" w:space="0"/>
              <w:bottom w:val="single" w:color="000000" w:sz="6" w:space="0"/>
              <w:right w:val="single" w:color="000000" w:sz="6" w:space="0"/>
            </w:tcBorders>
          </w:tcPr>
          <w:p w14:paraId="166024CF">
            <w:pPr>
              <w:pStyle w:val="73"/>
              <w:widowControl w:val="0"/>
              <w:spacing w:line="400" w:lineRule="exact"/>
              <w:jc w:val="left"/>
              <w:rPr>
                <w:rStyle w:val="272"/>
                <w:rFonts w:hAnsi="宋体" w:cs="宋体"/>
                <w:caps/>
                <w:color w:val="auto"/>
                <w:highlight w:val="none"/>
              </w:rPr>
            </w:pPr>
            <w:r>
              <w:rPr>
                <w:rStyle w:val="272"/>
                <w:rFonts w:hint="eastAsia" w:hAnsi="宋体" w:cs="宋体"/>
                <w:caps/>
                <w:color w:val="auto"/>
                <w:highlight w:val="none"/>
              </w:rPr>
              <w:t>（正/负/无）偏离</w:t>
            </w:r>
          </w:p>
        </w:tc>
        <w:tc>
          <w:tcPr>
            <w:tcW w:w="1980" w:type="dxa"/>
            <w:tcBorders>
              <w:top w:val="single" w:color="000000" w:sz="6" w:space="0"/>
              <w:left w:val="single" w:color="000000" w:sz="6" w:space="0"/>
              <w:bottom w:val="single" w:color="000000" w:sz="6" w:space="0"/>
              <w:right w:val="single" w:color="000000" w:sz="6" w:space="0"/>
            </w:tcBorders>
          </w:tcPr>
          <w:p w14:paraId="0170C3D6">
            <w:pPr>
              <w:pStyle w:val="73"/>
              <w:widowControl w:val="0"/>
              <w:spacing w:line="400" w:lineRule="exact"/>
              <w:jc w:val="center"/>
              <w:rPr>
                <w:rStyle w:val="272"/>
                <w:rFonts w:hAnsi="宋体" w:cs="宋体"/>
                <w:caps/>
                <w:color w:val="auto"/>
                <w:highlight w:val="none"/>
              </w:rPr>
            </w:pPr>
            <w:r>
              <w:rPr>
                <w:rStyle w:val="272"/>
                <w:rFonts w:hint="eastAsia" w:hAnsi="宋体" w:cs="宋体"/>
                <w:caps/>
                <w:color w:val="auto"/>
                <w:highlight w:val="none"/>
              </w:rPr>
              <w:t>说明</w:t>
            </w:r>
          </w:p>
        </w:tc>
      </w:tr>
      <w:tr w14:paraId="215AACB3">
        <w:tblPrEx>
          <w:tblCellMar>
            <w:top w:w="0" w:type="dxa"/>
            <w:left w:w="0" w:type="dxa"/>
            <w:bottom w:w="0" w:type="dxa"/>
            <w:right w:w="0"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vAlign w:val="center"/>
          </w:tcPr>
          <w:p w14:paraId="001F2A9D">
            <w:pPr>
              <w:pStyle w:val="73"/>
              <w:widowControl w:val="0"/>
              <w:spacing w:line="400" w:lineRule="exact"/>
              <w:jc w:val="center"/>
              <w:rPr>
                <w:rStyle w:val="272"/>
                <w:rFonts w:hAnsi="宋体" w:cs="宋体"/>
                <w:caps/>
                <w:color w:val="auto"/>
                <w:highlight w:val="none"/>
              </w:rPr>
            </w:pPr>
          </w:p>
        </w:tc>
        <w:tc>
          <w:tcPr>
            <w:tcW w:w="900" w:type="dxa"/>
            <w:tcBorders>
              <w:top w:val="single" w:color="000000" w:sz="6" w:space="0"/>
              <w:left w:val="single" w:color="000000" w:sz="6" w:space="0"/>
              <w:bottom w:val="single" w:color="000000" w:sz="6" w:space="0"/>
              <w:right w:val="single" w:color="000000" w:sz="6" w:space="0"/>
            </w:tcBorders>
            <w:vAlign w:val="center"/>
          </w:tcPr>
          <w:p w14:paraId="46B27684">
            <w:pPr>
              <w:pStyle w:val="73"/>
              <w:widowControl w:val="0"/>
              <w:spacing w:line="400" w:lineRule="exact"/>
              <w:jc w:val="center"/>
              <w:rPr>
                <w:rStyle w:val="272"/>
                <w:rFonts w:hAnsi="宋体" w:cs="宋体"/>
                <w:caps/>
                <w:color w:val="auto"/>
                <w:highlight w:val="none"/>
              </w:rPr>
            </w:pPr>
          </w:p>
        </w:tc>
        <w:tc>
          <w:tcPr>
            <w:tcW w:w="2340" w:type="dxa"/>
            <w:tcBorders>
              <w:top w:val="single" w:color="000000" w:sz="6" w:space="0"/>
              <w:left w:val="single" w:color="000000" w:sz="6" w:space="0"/>
              <w:bottom w:val="single" w:color="000000" w:sz="6" w:space="0"/>
              <w:right w:val="single" w:color="000000" w:sz="6" w:space="0"/>
            </w:tcBorders>
            <w:vAlign w:val="center"/>
          </w:tcPr>
          <w:p w14:paraId="4779899C">
            <w:pPr>
              <w:pStyle w:val="73"/>
              <w:widowControl w:val="0"/>
              <w:spacing w:line="400" w:lineRule="exact"/>
              <w:jc w:val="center"/>
              <w:rPr>
                <w:rStyle w:val="272"/>
                <w:rFonts w:hAnsi="宋体" w:cs="宋体"/>
                <w:caps/>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vAlign w:val="center"/>
          </w:tcPr>
          <w:p w14:paraId="1CA0FDDD">
            <w:pPr>
              <w:pStyle w:val="73"/>
              <w:widowControl w:val="0"/>
              <w:spacing w:line="400" w:lineRule="exact"/>
              <w:jc w:val="center"/>
              <w:rPr>
                <w:rStyle w:val="272"/>
                <w:rFonts w:hAnsi="宋体" w:cs="宋体"/>
                <w:caps/>
                <w:color w:val="auto"/>
                <w:highlight w:val="none"/>
              </w:rPr>
            </w:pPr>
          </w:p>
        </w:tc>
        <w:tc>
          <w:tcPr>
            <w:tcW w:w="1260" w:type="dxa"/>
            <w:tcBorders>
              <w:top w:val="single" w:color="000000" w:sz="6" w:space="0"/>
              <w:left w:val="single" w:color="000000" w:sz="6" w:space="0"/>
              <w:bottom w:val="single" w:color="000000" w:sz="6" w:space="0"/>
              <w:right w:val="single" w:color="000000" w:sz="6" w:space="0"/>
            </w:tcBorders>
            <w:vAlign w:val="center"/>
          </w:tcPr>
          <w:p w14:paraId="6737D91B">
            <w:pPr>
              <w:pStyle w:val="73"/>
              <w:widowControl w:val="0"/>
              <w:spacing w:line="400" w:lineRule="exact"/>
              <w:jc w:val="center"/>
              <w:rPr>
                <w:rStyle w:val="272"/>
                <w:rFonts w:hAnsi="宋体" w:cs="宋体"/>
                <w:caps/>
                <w:color w:val="auto"/>
                <w:highlight w:val="none"/>
              </w:rPr>
            </w:pPr>
          </w:p>
        </w:tc>
        <w:tc>
          <w:tcPr>
            <w:tcW w:w="1980" w:type="dxa"/>
            <w:tcBorders>
              <w:top w:val="single" w:color="000000" w:sz="6" w:space="0"/>
              <w:left w:val="single" w:color="000000" w:sz="6" w:space="0"/>
              <w:bottom w:val="single" w:color="000000" w:sz="6" w:space="0"/>
              <w:right w:val="single" w:color="000000" w:sz="6" w:space="0"/>
            </w:tcBorders>
            <w:vAlign w:val="center"/>
          </w:tcPr>
          <w:p w14:paraId="6490C822">
            <w:pPr>
              <w:pStyle w:val="73"/>
              <w:widowControl w:val="0"/>
              <w:spacing w:line="400" w:lineRule="exact"/>
              <w:jc w:val="center"/>
              <w:rPr>
                <w:rStyle w:val="272"/>
                <w:rFonts w:hAnsi="宋体" w:cs="宋体"/>
                <w:caps/>
                <w:color w:val="auto"/>
                <w:highlight w:val="none"/>
              </w:rPr>
            </w:pPr>
          </w:p>
        </w:tc>
      </w:tr>
      <w:tr w14:paraId="6993CA6E">
        <w:tblPrEx>
          <w:tblCellMar>
            <w:top w:w="0" w:type="dxa"/>
            <w:left w:w="0" w:type="dxa"/>
            <w:bottom w:w="0" w:type="dxa"/>
            <w:right w:w="0"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tcPr>
          <w:p w14:paraId="2EA01B88">
            <w:pPr>
              <w:pStyle w:val="73"/>
              <w:widowControl w:val="0"/>
              <w:spacing w:line="400" w:lineRule="exact"/>
              <w:jc w:val="left"/>
              <w:rPr>
                <w:rStyle w:val="272"/>
                <w:rFonts w:hAnsi="宋体" w:cs="宋体"/>
                <w:color w:val="auto"/>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4F4CF557">
            <w:pPr>
              <w:pStyle w:val="73"/>
              <w:widowControl w:val="0"/>
              <w:spacing w:line="400" w:lineRule="exact"/>
              <w:jc w:val="left"/>
              <w:rPr>
                <w:rStyle w:val="272"/>
                <w:rFonts w:hAnsi="宋体" w:cs="宋体"/>
                <w:color w:val="auto"/>
                <w:highlight w:val="none"/>
              </w:rPr>
            </w:pPr>
          </w:p>
        </w:tc>
        <w:tc>
          <w:tcPr>
            <w:tcW w:w="2340" w:type="dxa"/>
            <w:tcBorders>
              <w:top w:val="single" w:color="000000" w:sz="6" w:space="0"/>
              <w:left w:val="single" w:color="000000" w:sz="6" w:space="0"/>
              <w:bottom w:val="single" w:color="000000" w:sz="6" w:space="0"/>
              <w:right w:val="single" w:color="000000" w:sz="6" w:space="0"/>
            </w:tcBorders>
          </w:tcPr>
          <w:p w14:paraId="566CE8A4">
            <w:pPr>
              <w:pStyle w:val="73"/>
              <w:widowControl w:val="0"/>
              <w:spacing w:line="400" w:lineRule="exact"/>
              <w:jc w:val="left"/>
              <w:rPr>
                <w:rStyle w:val="272"/>
                <w:rFonts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tcPr>
          <w:p w14:paraId="2B25B3D8">
            <w:pPr>
              <w:pStyle w:val="73"/>
              <w:widowControl w:val="0"/>
              <w:spacing w:line="400" w:lineRule="exact"/>
              <w:jc w:val="left"/>
              <w:rPr>
                <w:rStyle w:val="272"/>
                <w:rFonts w:hAnsi="宋体" w:cs="宋体"/>
                <w:color w:val="auto"/>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60713E42">
            <w:pPr>
              <w:pStyle w:val="73"/>
              <w:widowControl w:val="0"/>
              <w:spacing w:line="400" w:lineRule="exact"/>
              <w:jc w:val="left"/>
              <w:rPr>
                <w:rStyle w:val="272"/>
                <w:rFonts w:hAnsi="宋体" w:cs="宋体"/>
                <w:color w:val="auto"/>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736E4D2E">
            <w:pPr>
              <w:pStyle w:val="73"/>
              <w:widowControl w:val="0"/>
              <w:spacing w:line="400" w:lineRule="exact"/>
              <w:jc w:val="left"/>
              <w:rPr>
                <w:rStyle w:val="272"/>
                <w:rFonts w:hAnsi="宋体" w:cs="宋体"/>
                <w:color w:val="auto"/>
                <w:highlight w:val="none"/>
              </w:rPr>
            </w:pPr>
          </w:p>
        </w:tc>
      </w:tr>
      <w:tr w14:paraId="52B5B7E6">
        <w:tblPrEx>
          <w:tblCellMar>
            <w:top w:w="0" w:type="dxa"/>
            <w:left w:w="0" w:type="dxa"/>
            <w:bottom w:w="0" w:type="dxa"/>
            <w:right w:w="0"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tcPr>
          <w:p w14:paraId="65C9CD61">
            <w:pPr>
              <w:pStyle w:val="73"/>
              <w:widowControl w:val="0"/>
              <w:spacing w:line="400" w:lineRule="exact"/>
              <w:jc w:val="left"/>
              <w:rPr>
                <w:rStyle w:val="272"/>
                <w:rFonts w:hAnsi="宋体" w:cs="宋体"/>
                <w:color w:val="auto"/>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09D8DFE7">
            <w:pPr>
              <w:pStyle w:val="73"/>
              <w:widowControl w:val="0"/>
              <w:spacing w:line="400" w:lineRule="exact"/>
              <w:jc w:val="left"/>
              <w:rPr>
                <w:rStyle w:val="272"/>
                <w:rFonts w:hAnsi="宋体" w:cs="宋体"/>
                <w:color w:val="auto"/>
                <w:highlight w:val="none"/>
              </w:rPr>
            </w:pPr>
          </w:p>
        </w:tc>
        <w:tc>
          <w:tcPr>
            <w:tcW w:w="2340" w:type="dxa"/>
            <w:tcBorders>
              <w:top w:val="single" w:color="000000" w:sz="6" w:space="0"/>
              <w:left w:val="single" w:color="000000" w:sz="6" w:space="0"/>
              <w:bottom w:val="single" w:color="000000" w:sz="6" w:space="0"/>
              <w:right w:val="single" w:color="000000" w:sz="6" w:space="0"/>
            </w:tcBorders>
          </w:tcPr>
          <w:p w14:paraId="60125657">
            <w:pPr>
              <w:pStyle w:val="73"/>
              <w:widowControl w:val="0"/>
              <w:spacing w:line="400" w:lineRule="exact"/>
              <w:jc w:val="left"/>
              <w:rPr>
                <w:rStyle w:val="272"/>
                <w:rFonts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tcPr>
          <w:p w14:paraId="3A873500">
            <w:pPr>
              <w:pStyle w:val="73"/>
              <w:widowControl w:val="0"/>
              <w:spacing w:line="400" w:lineRule="exact"/>
              <w:jc w:val="left"/>
              <w:rPr>
                <w:rStyle w:val="272"/>
                <w:rFonts w:hAnsi="宋体" w:cs="宋体"/>
                <w:color w:val="auto"/>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70092254">
            <w:pPr>
              <w:pStyle w:val="73"/>
              <w:widowControl w:val="0"/>
              <w:spacing w:line="400" w:lineRule="exact"/>
              <w:jc w:val="left"/>
              <w:rPr>
                <w:rStyle w:val="272"/>
                <w:rFonts w:hAnsi="宋体" w:cs="宋体"/>
                <w:color w:val="auto"/>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2976EED9">
            <w:pPr>
              <w:pStyle w:val="73"/>
              <w:widowControl w:val="0"/>
              <w:spacing w:line="400" w:lineRule="exact"/>
              <w:jc w:val="left"/>
              <w:rPr>
                <w:rStyle w:val="272"/>
                <w:rFonts w:hAnsi="宋体" w:cs="宋体"/>
                <w:color w:val="auto"/>
                <w:highlight w:val="none"/>
              </w:rPr>
            </w:pPr>
          </w:p>
        </w:tc>
      </w:tr>
      <w:tr w14:paraId="09F8510C">
        <w:tblPrEx>
          <w:tblCellMar>
            <w:top w:w="0" w:type="dxa"/>
            <w:left w:w="0" w:type="dxa"/>
            <w:bottom w:w="0" w:type="dxa"/>
            <w:right w:w="0"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tcPr>
          <w:p w14:paraId="205CCDD2">
            <w:pPr>
              <w:pStyle w:val="73"/>
              <w:widowControl w:val="0"/>
              <w:spacing w:line="400" w:lineRule="exact"/>
              <w:jc w:val="left"/>
              <w:rPr>
                <w:rStyle w:val="272"/>
                <w:rFonts w:hAnsi="宋体" w:cs="宋体"/>
                <w:color w:val="auto"/>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2350ADE8">
            <w:pPr>
              <w:pStyle w:val="73"/>
              <w:widowControl w:val="0"/>
              <w:spacing w:line="400" w:lineRule="exact"/>
              <w:jc w:val="left"/>
              <w:rPr>
                <w:rStyle w:val="272"/>
                <w:rFonts w:hAnsi="宋体" w:cs="宋体"/>
                <w:color w:val="auto"/>
                <w:highlight w:val="none"/>
              </w:rPr>
            </w:pPr>
          </w:p>
        </w:tc>
        <w:tc>
          <w:tcPr>
            <w:tcW w:w="2340" w:type="dxa"/>
            <w:tcBorders>
              <w:top w:val="single" w:color="000000" w:sz="6" w:space="0"/>
              <w:left w:val="single" w:color="000000" w:sz="6" w:space="0"/>
              <w:bottom w:val="single" w:color="000000" w:sz="6" w:space="0"/>
              <w:right w:val="single" w:color="000000" w:sz="6" w:space="0"/>
            </w:tcBorders>
          </w:tcPr>
          <w:p w14:paraId="692C7518">
            <w:pPr>
              <w:pStyle w:val="73"/>
              <w:widowControl w:val="0"/>
              <w:spacing w:line="400" w:lineRule="exact"/>
              <w:jc w:val="left"/>
              <w:rPr>
                <w:rStyle w:val="272"/>
                <w:rFonts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tcPr>
          <w:p w14:paraId="6995156C">
            <w:pPr>
              <w:pStyle w:val="73"/>
              <w:widowControl w:val="0"/>
              <w:spacing w:line="400" w:lineRule="exact"/>
              <w:jc w:val="left"/>
              <w:rPr>
                <w:rStyle w:val="272"/>
                <w:rFonts w:hAnsi="宋体" w:cs="宋体"/>
                <w:color w:val="auto"/>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1763CC2B">
            <w:pPr>
              <w:pStyle w:val="73"/>
              <w:widowControl w:val="0"/>
              <w:spacing w:line="400" w:lineRule="exact"/>
              <w:jc w:val="left"/>
              <w:rPr>
                <w:rStyle w:val="272"/>
                <w:rFonts w:hAnsi="宋体" w:cs="宋体"/>
                <w:color w:val="auto"/>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6A9C51BB">
            <w:pPr>
              <w:pStyle w:val="73"/>
              <w:widowControl w:val="0"/>
              <w:spacing w:line="400" w:lineRule="exact"/>
              <w:jc w:val="left"/>
              <w:rPr>
                <w:rStyle w:val="272"/>
                <w:rFonts w:hAnsi="宋体" w:cs="宋体"/>
                <w:color w:val="auto"/>
                <w:highlight w:val="none"/>
              </w:rPr>
            </w:pPr>
          </w:p>
        </w:tc>
      </w:tr>
      <w:tr w14:paraId="1A7D1444">
        <w:tblPrEx>
          <w:tblCellMar>
            <w:top w:w="0" w:type="dxa"/>
            <w:left w:w="0" w:type="dxa"/>
            <w:bottom w:w="0" w:type="dxa"/>
            <w:right w:w="0" w:type="dxa"/>
          </w:tblCellMar>
        </w:tblPrEx>
        <w:trPr>
          <w:trHeight w:val="794" w:hRule="atLeast"/>
          <w:jc w:val="center"/>
        </w:trPr>
        <w:tc>
          <w:tcPr>
            <w:tcW w:w="828" w:type="dxa"/>
            <w:tcBorders>
              <w:top w:val="single" w:color="000000" w:sz="6" w:space="0"/>
              <w:left w:val="single" w:color="000000" w:sz="6" w:space="0"/>
              <w:bottom w:val="single" w:color="000000" w:sz="6" w:space="0"/>
              <w:right w:val="single" w:color="000000" w:sz="6" w:space="0"/>
            </w:tcBorders>
          </w:tcPr>
          <w:p w14:paraId="1649F23C">
            <w:pPr>
              <w:pStyle w:val="73"/>
              <w:widowControl w:val="0"/>
              <w:spacing w:line="400" w:lineRule="exact"/>
              <w:jc w:val="left"/>
              <w:rPr>
                <w:rStyle w:val="272"/>
                <w:rFonts w:hAnsi="宋体" w:cs="宋体"/>
                <w:color w:val="auto"/>
                <w:highlight w:val="none"/>
              </w:rPr>
            </w:pPr>
          </w:p>
        </w:tc>
        <w:tc>
          <w:tcPr>
            <w:tcW w:w="900" w:type="dxa"/>
            <w:tcBorders>
              <w:top w:val="single" w:color="000000" w:sz="6" w:space="0"/>
              <w:left w:val="single" w:color="000000" w:sz="6" w:space="0"/>
              <w:bottom w:val="single" w:color="000000" w:sz="6" w:space="0"/>
              <w:right w:val="single" w:color="000000" w:sz="6" w:space="0"/>
            </w:tcBorders>
          </w:tcPr>
          <w:p w14:paraId="2DDE961B">
            <w:pPr>
              <w:pStyle w:val="73"/>
              <w:widowControl w:val="0"/>
              <w:spacing w:line="400" w:lineRule="exact"/>
              <w:jc w:val="left"/>
              <w:rPr>
                <w:rStyle w:val="272"/>
                <w:rFonts w:hAnsi="宋体" w:cs="宋体"/>
                <w:color w:val="auto"/>
                <w:highlight w:val="none"/>
              </w:rPr>
            </w:pPr>
          </w:p>
        </w:tc>
        <w:tc>
          <w:tcPr>
            <w:tcW w:w="2340" w:type="dxa"/>
            <w:tcBorders>
              <w:top w:val="single" w:color="000000" w:sz="6" w:space="0"/>
              <w:left w:val="single" w:color="000000" w:sz="6" w:space="0"/>
              <w:bottom w:val="single" w:color="000000" w:sz="6" w:space="0"/>
              <w:right w:val="single" w:color="000000" w:sz="6" w:space="0"/>
            </w:tcBorders>
          </w:tcPr>
          <w:p w14:paraId="4F314706">
            <w:pPr>
              <w:pStyle w:val="73"/>
              <w:widowControl w:val="0"/>
              <w:spacing w:line="400" w:lineRule="exact"/>
              <w:jc w:val="left"/>
              <w:rPr>
                <w:rStyle w:val="272"/>
                <w:rFonts w:hAnsi="宋体" w:cs="宋体"/>
                <w:color w:val="auto"/>
                <w:highlight w:val="none"/>
              </w:rPr>
            </w:pPr>
          </w:p>
        </w:tc>
        <w:tc>
          <w:tcPr>
            <w:tcW w:w="1620" w:type="dxa"/>
            <w:tcBorders>
              <w:top w:val="single" w:color="000000" w:sz="6" w:space="0"/>
              <w:left w:val="single" w:color="000000" w:sz="6" w:space="0"/>
              <w:bottom w:val="single" w:color="000000" w:sz="6" w:space="0"/>
              <w:right w:val="single" w:color="000000" w:sz="6" w:space="0"/>
            </w:tcBorders>
          </w:tcPr>
          <w:p w14:paraId="307E9A61">
            <w:pPr>
              <w:pStyle w:val="73"/>
              <w:widowControl w:val="0"/>
              <w:spacing w:line="400" w:lineRule="exact"/>
              <w:jc w:val="left"/>
              <w:rPr>
                <w:rStyle w:val="272"/>
                <w:rFonts w:hAnsi="宋体" w:cs="宋体"/>
                <w:color w:val="auto"/>
                <w:highlight w:val="none"/>
              </w:rPr>
            </w:pPr>
          </w:p>
        </w:tc>
        <w:tc>
          <w:tcPr>
            <w:tcW w:w="1260" w:type="dxa"/>
            <w:tcBorders>
              <w:top w:val="single" w:color="000000" w:sz="6" w:space="0"/>
              <w:left w:val="single" w:color="000000" w:sz="6" w:space="0"/>
              <w:bottom w:val="single" w:color="000000" w:sz="6" w:space="0"/>
              <w:right w:val="single" w:color="000000" w:sz="6" w:space="0"/>
            </w:tcBorders>
          </w:tcPr>
          <w:p w14:paraId="03F555FB">
            <w:pPr>
              <w:pStyle w:val="73"/>
              <w:widowControl w:val="0"/>
              <w:spacing w:line="400" w:lineRule="exact"/>
              <w:jc w:val="left"/>
              <w:rPr>
                <w:rStyle w:val="272"/>
                <w:rFonts w:hAnsi="宋体" w:cs="宋体"/>
                <w:color w:val="auto"/>
                <w:highlight w:val="none"/>
              </w:rPr>
            </w:pPr>
          </w:p>
        </w:tc>
        <w:tc>
          <w:tcPr>
            <w:tcW w:w="1980" w:type="dxa"/>
            <w:tcBorders>
              <w:top w:val="single" w:color="000000" w:sz="6" w:space="0"/>
              <w:left w:val="single" w:color="000000" w:sz="6" w:space="0"/>
              <w:bottom w:val="single" w:color="000000" w:sz="6" w:space="0"/>
              <w:right w:val="single" w:color="000000" w:sz="6" w:space="0"/>
            </w:tcBorders>
          </w:tcPr>
          <w:p w14:paraId="75F03062">
            <w:pPr>
              <w:pStyle w:val="73"/>
              <w:widowControl w:val="0"/>
              <w:spacing w:line="400" w:lineRule="exact"/>
              <w:jc w:val="left"/>
              <w:rPr>
                <w:rStyle w:val="272"/>
                <w:rFonts w:hAnsi="宋体" w:cs="宋体"/>
                <w:color w:val="auto"/>
                <w:highlight w:val="none"/>
              </w:rPr>
            </w:pPr>
          </w:p>
        </w:tc>
      </w:tr>
    </w:tbl>
    <w:p w14:paraId="4B7F4780">
      <w:pPr>
        <w:pStyle w:val="73"/>
        <w:widowControl w:val="0"/>
        <w:spacing w:line="400" w:lineRule="exact"/>
        <w:jc w:val="left"/>
        <w:rPr>
          <w:rStyle w:val="272"/>
          <w:rFonts w:hAnsi="宋体" w:cs="宋体"/>
          <w:color w:val="auto"/>
          <w:highlight w:val="none"/>
          <w:u w:val="single"/>
        </w:rPr>
      </w:pPr>
      <w:r>
        <w:rPr>
          <w:rStyle w:val="272"/>
          <w:rFonts w:hint="eastAsia" w:hAnsi="宋体" w:cs="宋体"/>
          <w:color w:val="auto"/>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6CE6C852">
      <w:pPr>
        <w:pStyle w:val="73"/>
        <w:widowControl w:val="0"/>
        <w:spacing w:line="400" w:lineRule="exact"/>
        <w:jc w:val="left"/>
        <w:rPr>
          <w:rStyle w:val="272"/>
          <w:rFonts w:hAnsi="宋体" w:cs="宋体"/>
          <w:color w:val="auto"/>
          <w:highlight w:val="none"/>
        </w:rPr>
      </w:pPr>
    </w:p>
    <w:p w14:paraId="6C9FF549">
      <w:pPr>
        <w:pStyle w:val="73"/>
        <w:widowControl w:val="0"/>
        <w:spacing w:line="500" w:lineRule="exact"/>
        <w:ind w:firstLine="3960"/>
        <w:jc w:val="left"/>
        <w:rPr>
          <w:rStyle w:val="272"/>
          <w:rFonts w:hAnsi="宋体" w:cs="宋体"/>
          <w:color w:val="auto"/>
          <w:szCs w:val="24"/>
          <w:highlight w:val="none"/>
        </w:rPr>
      </w:pPr>
    </w:p>
    <w:p w14:paraId="4F91E954">
      <w:pPr>
        <w:pStyle w:val="73"/>
        <w:widowControl w:val="0"/>
        <w:spacing w:line="500" w:lineRule="exact"/>
        <w:ind w:firstLine="3960"/>
        <w:jc w:val="left"/>
        <w:rPr>
          <w:rStyle w:val="272"/>
          <w:rFonts w:hAnsi="宋体" w:cs="宋体"/>
          <w:color w:val="auto"/>
          <w:szCs w:val="24"/>
          <w:highlight w:val="none"/>
        </w:rPr>
      </w:pPr>
      <w:r>
        <w:rPr>
          <w:rStyle w:val="272"/>
          <w:rFonts w:hint="eastAsia" w:hAnsi="宋体" w:cs="宋体"/>
          <w:color w:val="auto"/>
          <w:szCs w:val="24"/>
          <w:highlight w:val="none"/>
        </w:rPr>
        <w:t xml:space="preserve">供应商（电子签章）：  </w:t>
      </w:r>
    </w:p>
    <w:p w14:paraId="2BB12671">
      <w:pPr>
        <w:pStyle w:val="73"/>
        <w:widowControl w:val="0"/>
        <w:spacing w:line="500" w:lineRule="exact"/>
        <w:ind w:firstLine="3960"/>
        <w:jc w:val="left"/>
        <w:rPr>
          <w:rStyle w:val="272"/>
          <w:rFonts w:hAnsi="宋体" w:cs="宋体"/>
          <w:color w:val="auto"/>
          <w:szCs w:val="24"/>
          <w:highlight w:val="none"/>
        </w:rPr>
      </w:pPr>
      <w:r>
        <w:rPr>
          <w:rStyle w:val="272"/>
          <w:rFonts w:hint="eastAsia" w:hAnsi="宋体" w:cs="宋体"/>
          <w:color w:val="auto"/>
          <w:szCs w:val="24"/>
          <w:highlight w:val="none"/>
        </w:rPr>
        <w:t>日期：</w:t>
      </w:r>
    </w:p>
    <w:p w14:paraId="461C783E">
      <w:pPr>
        <w:pStyle w:val="73"/>
        <w:widowControl w:val="0"/>
        <w:spacing w:line="360" w:lineRule="auto"/>
        <w:jc w:val="center"/>
        <w:rPr>
          <w:rStyle w:val="272"/>
          <w:rFonts w:hAnsi="宋体" w:cs="宋体"/>
          <w:color w:val="auto"/>
          <w:sz w:val="28"/>
          <w:highlight w:val="none"/>
        </w:rPr>
      </w:pPr>
    </w:p>
    <w:p w14:paraId="4D3DCF65">
      <w:pPr>
        <w:pStyle w:val="73"/>
        <w:widowControl w:val="0"/>
        <w:spacing w:line="360" w:lineRule="auto"/>
        <w:jc w:val="center"/>
        <w:rPr>
          <w:rStyle w:val="272"/>
          <w:rFonts w:hAnsi="宋体" w:cs="宋体"/>
          <w:color w:val="auto"/>
          <w:sz w:val="28"/>
          <w:highlight w:val="none"/>
        </w:rPr>
      </w:pPr>
    </w:p>
    <w:p w14:paraId="574A2C9B">
      <w:pPr>
        <w:pStyle w:val="73"/>
        <w:widowControl w:val="0"/>
        <w:spacing w:line="360" w:lineRule="auto"/>
        <w:jc w:val="center"/>
        <w:rPr>
          <w:rStyle w:val="272"/>
          <w:rFonts w:hAnsi="宋体" w:cs="宋体"/>
          <w:color w:val="auto"/>
          <w:sz w:val="28"/>
          <w:highlight w:val="none"/>
        </w:rPr>
      </w:pPr>
    </w:p>
    <w:p w14:paraId="539E2B1F">
      <w:pPr>
        <w:pStyle w:val="73"/>
        <w:widowControl w:val="0"/>
        <w:spacing w:line="360" w:lineRule="auto"/>
        <w:jc w:val="center"/>
        <w:rPr>
          <w:rStyle w:val="272"/>
          <w:rFonts w:hAnsi="宋体" w:cs="宋体"/>
          <w:color w:val="auto"/>
          <w:sz w:val="28"/>
          <w:highlight w:val="none"/>
        </w:rPr>
      </w:pPr>
    </w:p>
    <w:p w14:paraId="75E924EB">
      <w:pPr>
        <w:pStyle w:val="242"/>
        <w:keepNext w:val="0"/>
        <w:keepLines w:val="0"/>
        <w:widowControl w:val="0"/>
        <w:spacing w:line="500" w:lineRule="exact"/>
        <w:jc w:val="center"/>
        <w:rPr>
          <w:rStyle w:val="272"/>
          <w:rFonts w:hAnsi="宋体" w:cs="宋体"/>
          <w:color w:val="auto"/>
          <w:szCs w:val="24"/>
          <w:highlight w:val="none"/>
        </w:rPr>
      </w:pPr>
      <w:r>
        <w:rPr>
          <w:rStyle w:val="272"/>
          <w:rFonts w:hint="eastAsia" w:hAnsi="宋体" w:cs="宋体"/>
          <w:color w:val="auto"/>
          <w:sz w:val="28"/>
          <w:highlight w:val="none"/>
        </w:rPr>
        <w:br w:type="page" w:clear="all"/>
      </w:r>
      <w:bookmarkStart w:id="144" w:name="_Toc6433"/>
      <w:bookmarkStart w:id="145" w:name="_Toc13284"/>
      <w:bookmarkStart w:id="146" w:name="_Toc9505"/>
      <w:bookmarkStart w:id="147" w:name="_Toc13185"/>
      <w:r>
        <w:rPr>
          <w:rStyle w:val="272"/>
          <w:rFonts w:hint="eastAsia" w:hAnsi="宋体" w:cs="宋体"/>
          <w:color w:val="auto"/>
          <w:sz w:val="28"/>
          <w:highlight w:val="none"/>
        </w:rPr>
        <w:t>五、</w:t>
      </w:r>
      <w:bookmarkEnd w:id="144"/>
      <w:r>
        <w:rPr>
          <w:rFonts w:hint="eastAsia" w:ascii="宋体" w:hAnsi="宋体" w:cs="宋体"/>
          <w:color w:val="auto"/>
          <w:sz w:val="24"/>
          <w:szCs w:val="24"/>
          <w:highlight w:val="none"/>
        </w:rPr>
        <w:t>法定代表人资格证明、法定代表人授权书</w:t>
      </w:r>
      <w:bookmarkEnd w:id="145"/>
      <w:bookmarkEnd w:id="146"/>
      <w:bookmarkEnd w:id="147"/>
    </w:p>
    <w:p w14:paraId="0C3A315A">
      <w:pPr>
        <w:spacing w:line="500" w:lineRule="exact"/>
        <w:jc w:val="center"/>
        <w:rPr>
          <w:rFonts w:ascii="宋体" w:hAnsi="宋体" w:cs="宋体"/>
          <w:bCs/>
          <w:color w:val="auto"/>
          <w:sz w:val="24"/>
          <w:szCs w:val="24"/>
          <w:highlight w:val="none"/>
        </w:rPr>
      </w:pPr>
      <w:r>
        <w:rPr>
          <w:rFonts w:hint="eastAsia" w:ascii="宋体" w:hAnsi="宋体" w:cs="宋体"/>
          <w:bCs/>
          <w:color w:val="auto"/>
          <w:sz w:val="24"/>
          <w:szCs w:val="24"/>
          <w:highlight w:val="none"/>
        </w:rPr>
        <w:t>5.1法定代表人资格证明（法定代表人参加时提供）</w:t>
      </w:r>
    </w:p>
    <w:p w14:paraId="2F84056A">
      <w:pPr>
        <w:spacing w:line="500" w:lineRule="exact"/>
        <w:ind w:firstLine="525"/>
        <w:rPr>
          <w:rFonts w:ascii="宋体" w:hAnsi="宋体" w:cs="宋体"/>
          <w:color w:val="auto"/>
          <w:sz w:val="24"/>
          <w:szCs w:val="24"/>
          <w:highlight w:val="none"/>
        </w:rPr>
      </w:pPr>
    </w:p>
    <w:p w14:paraId="76D0846D">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p>
    <w:p w14:paraId="38755065">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p>
    <w:p w14:paraId="079A03D8">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3A921E15">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经营期限：</w:t>
      </w:r>
      <w:r>
        <w:rPr>
          <w:rFonts w:hint="eastAsia" w:ascii="宋体" w:hAnsi="宋体" w:cs="宋体"/>
          <w:color w:val="auto"/>
          <w:sz w:val="24"/>
          <w:szCs w:val="24"/>
          <w:highlight w:val="none"/>
          <w:u w:val="single"/>
        </w:rPr>
        <w:t xml:space="preserve">                                                        </w:t>
      </w:r>
    </w:p>
    <w:p w14:paraId="1298D057">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     别：</w:t>
      </w:r>
      <w:r>
        <w:rPr>
          <w:rFonts w:hint="eastAsia" w:ascii="宋体" w:hAnsi="宋体" w:cs="宋体"/>
          <w:color w:val="auto"/>
          <w:sz w:val="24"/>
          <w:szCs w:val="24"/>
          <w:highlight w:val="none"/>
          <w:u w:val="single"/>
        </w:rPr>
        <w:t xml:space="preserve">                   </w:t>
      </w:r>
    </w:p>
    <w:p w14:paraId="0B7D62BD">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年    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     务：</w:t>
      </w:r>
      <w:r>
        <w:rPr>
          <w:rFonts w:hint="eastAsia" w:ascii="宋体" w:hAnsi="宋体" w:cs="宋体"/>
          <w:color w:val="auto"/>
          <w:sz w:val="24"/>
          <w:szCs w:val="24"/>
          <w:highlight w:val="none"/>
          <w:u w:val="single"/>
        </w:rPr>
        <w:t xml:space="preserve">                   </w:t>
      </w:r>
    </w:p>
    <w:p w14:paraId="6441AAEC">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（供应商）的法定代表人。</w:t>
      </w:r>
    </w:p>
    <w:p w14:paraId="46471DC4">
      <w:pPr>
        <w:spacing w:line="500" w:lineRule="exact"/>
        <w:ind w:firstLine="525"/>
        <w:rPr>
          <w:rFonts w:ascii="宋体" w:hAnsi="宋体" w:cs="宋体"/>
          <w:color w:val="auto"/>
          <w:sz w:val="24"/>
          <w:szCs w:val="24"/>
          <w:highlight w:val="none"/>
        </w:rPr>
      </w:pPr>
      <w:r>
        <w:rPr>
          <w:rFonts w:hint="eastAsia" w:ascii="宋体" w:hAnsi="宋体" w:cs="宋体"/>
          <w:color w:val="auto"/>
          <w:sz w:val="24"/>
          <w:szCs w:val="24"/>
          <w:highlight w:val="none"/>
        </w:rPr>
        <w:t>特此证明。</w:t>
      </w:r>
    </w:p>
    <w:p w14:paraId="314DAF9C">
      <w:pPr>
        <w:spacing w:line="500" w:lineRule="exact"/>
        <w:rPr>
          <w:rFonts w:ascii="宋体" w:hAnsi="宋体" w:cs="宋体"/>
          <w:color w:val="auto"/>
          <w:sz w:val="24"/>
          <w:szCs w:val="24"/>
          <w:highlight w:val="none"/>
        </w:rPr>
      </w:pPr>
    </w:p>
    <w:p w14:paraId="0C56D17C">
      <w:pPr>
        <w:spacing w:line="500" w:lineRule="exact"/>
        <w:rPr>
          <w:rFonts w:ascii="宋体" w:hAnsi="宋体" w:cs="宋体"/>
          <w:color w:val="auto"/>
          <w:sz w:val="24"/>
          <w:szCs w:val="24"/>
          <w:highlight w:val="none"/>
        </w:rPr>
      </w:pPr>
    </w:p>
    <w:p w14:paraId="79AF4567">
      <w:pPr>
        <w:spacing w:line="500" w:lineRule="exact"/>
        <w:jc w:val="right"/>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（盖电子签章）</w:t>
      </w:r>
    </w:p>
    <w:p w14:paraId="54068BEF">
      <w:pPr>
        <w:spacing w:line="500" w:lineRule="exact"/>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A33320F">
      <w:pPr>
        <w:spacing w:line="500" w:lineRule="exact"/>
        <w:jc w:val="center"/>
        <w:rPr>
          <w:rFonts w:ascii="宋体" w:hAnsi="宋体" w:cs="宋体"/>
          <w:bCs/>
          <w:color w:val="auto"/>
          <w:sz w:val="24"/>
          <w:szCs w:val="24"/>
          <w:highlight w:val="none"/>
        </w:rPr>
      </w:pPr>
    </w:p>
    <w:p w14:paraId="391421F2">
      <w:pPr>
        <w:spacing w:line="500" w:lineRule="exact"/>
        <w:ind w:firstLine="95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(法定代表人身份证扫描件附后)</w:t>
      </w:r>
    </w:p>
    <w:p w14:paraId="5467191B">
      <w:pPr>
        <w:spacing w:line="500" w:lineRule="exact"/>
        <w:ind w:firstLine="950"/>
        <w:rPr>
          <w:rFonts w:ascii="宋体" w:hAnsi="宋体" w:cs="宋体"/>
          <w:bCs/>
          <w:color w:val="auto"/>
          <w:sz w:val="24"/>
          <w:szCs w:val="24"/>
          <w:highlight w:val="none"/>
        </w:rPr>
      </w:pPr>
    </w:p>
    <w:p w14:paraId="123AF2A2">
      <w:pPr>
        <w:spacing w:line="500" w:lineRule="exact"/>
        <w:rPr>
          <w:rStyle w:val="272"/>
          <w:rFonts w:hAnsi="宋体" w:cs="宋体"/>
          <w:color w:val="auto"/>
          <w:szCs w:val="24"/>
          <w:highlight w:val="none"/>
        </w:rPr>
      </w:pPr>
    </w:p>
    <w:p w14:paraId="7A7AF1D0">
      <w:pPr>
        <w:spacing w:line="500" w:lineRule="exact"/>
        <w:rPr>
          <w:rStyle w:val="272"/>
          <w:rFonts w:hAnsi="宋体" w:cs="宋体"/>
          <w:color w:val="auto"/>
          <w:szCs w:val="24"/>
          <w:highlight w:val="none"/>
        </w:rPr>
      </w:pPr>
      <w:r>
        <w:rPr>
          <w:rStyle w:val="272"/>
          <w:rFonts w:hint="eastAsia" w:hAnsi="宋体" w:cs="宋体"/>
          <w:color w:val="auto"/>
          <w:szCs w:val="24"/>
          <w:highlight w:val="none"/>
        </w:rPr>
        <w:br w:type="page" w:clear="all"/>
      </w:r>
    </w:p>
    <w:p w14:paraId="599BA4E8">
      <w:pPr>
        <w:pStyle w:val="73"/>
        <w:widowControl w:val="0"/>
        <w:spacing w:line="500" w:lineRule="exact"/>
        <w:jc w:val="center"/>
        <w:rPr>
          <w:rStyle w:val="272"/>
          <w:rFonts w:hAnsi="宋体" w:cs="宋体"/>
          <w:color w:val="auto"/>
          <w:szCs w:val="24"/>
          <w:highlight w:val="none"/>
        </w:rPr>
      </w:pPr>
      <w:r>
        <w:rPr>
          <w:rStyle w:val="272"/>
          <w:rFonts w:hint="eastAsia" w:hAnsi="宋体" w:cs="宋体"/>
          <w:color w:val="auto"/>
          <w:szCs w:val="24"/>
          <w:highlight w:val="none"/>
        </w:rPr>
        <w:t>5.2授权委托书</w:t>
      </w:r>
      <w:r>
        <w:rPr>
          <w:rFonts w:hint="eastAsia" w:ascii="宋体" w:hAnsi="宋体" w:cs="宋体"/>
          <w:bCs/>
          <w:color w:val="auto"/>
          <w:sz w:val="24"/>
          <w:szCs w:val="24"/>
          <w:highlight w:val="none"/>
        </w:rPr>
        <w:t>（</w:t>
      </w:r>
      <w:r>
        <w:rPr>
          <w:rStyle w:val="272"/>
          <w:rFonts w:hint="eastAsia" w:hAnsi="宋体" w:cs="宋体"/>
          <w:color w:val="auto"/>
          <w:szCs w:val="24"/>
          <w:highlight w:val="none"/>
        </w:rPr>
        <w:t>授权委托</w:t>
      </w:r>
      <w:r>
        <w:rPr>
          <w:rFonts w:hint="eastAsia" w:ascii="宋体" w:hAnsi="宋体" w:cs="宋体"/>
          <w:bCs/>
          <w:color w:val="auto"/>
          <w:sz w:val="24"/>
          <w:szCs w:val="24"/>
          <w:highlight w:val="none"/>
        </w:rPr>
        <w:t>人参加时提供）</w:t>
      </w:r>
    </w:p>
    <w:p w14:paraId="43124B4C">
      <w:pPr>
        <w:pStyle w:val="73"/>
        <w:widowControl w:val="0"/>
        <w:spacing w:line="500" w:lineRule="exact"/>
        <w:jc w:val="left"/>
        <w:rPr>
          <w:rStyle w:val="272"/>
          <w:rFonts w:hAnsi="宋体" w:cs="宋体"/>
          <w:color w:val="auto"/>
          <w:szCs w:val="24"/>
          <w:highlight w:val="none"/>
        </w:rPr>
      </w:pPr>
    </w:p>
    <w:p w14:paraId="2FDF757B">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委托人（全称）：</w:t>
      </w:r>
    </w:p>
    <w:p w14:paraId="2AAAC57A">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地  址：</w:t>
      </w:r>
    </w:p>
    <w:p w14:paraId="7466B255">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 xml:space="preserve">法定代表人：              </w:t>
      </w:r>
    </w:p>
    <w:p w14:paraId="22D45EFE">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统一社会信用代码：</w:t>
      </w:r>
    </w:p>
    <w:p w14:paraId="484CF058">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受托人：                  先生（女士）</w:t>
      </w:r>
    </w:p>
    <w:p w14:paraId="4AAD310A">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身份证号：</w:t>
      </w:r>
    </w:p>
    <w:p w14:paraId="713F3B00">
      <w:pPr>
        <w:pStyle w:val="73"/>
        <w:widowControl w:val="0"/>
        <w:spacing w:line="500" w:lineRule="exact"/>
        <w:ind w:firstLine="480"/>
        <w:jc w:val="left"/>
        <w:rPr>
          <w:rStyle w:val="272"/>
          <w:rFonts w:hAnsi="宋体" w:cs="宋体"/>
          <w:color w:val="auto"/>
          <w:szCs w:val="24"/>
          <w:highlight w:val="none"/>
        </w:rPr>
      </w:pPr>
      <w:r>
        <w:rPr>
          <w:rStyle w:val="272"/>
          <w:rFonts w:hint="eastAsia" w:hAnsi="宋体" w:cs="宋体"/>
          <w:color w:val="auto"/>
          <w:szCs w:val="24"/>
          <w:highlight w:val="none"/>
        </w:rPr>
        <w:t>兹委托（            ）全权代表我企业（公司）参与</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 xml:space="preserve"> [项目编号：      ]的磋商活动及签订合同。（         ）以我企业（公司）名义所为的行为及签署的文件，我企业（公司）均予以认可。有关法律责任均由我企业（公司）承担。（         ）无转委托权。</w:t>
      </w:r>
    </w:p>
    <w:p w14:paraId="21C75E32">
      <w:pPr>
        <w:pStyle w:val="73"/>
        <w:widowControl w:val="0"/>
        <w:spacing w:line="500" w:lineRule="exact"/>
        <w:ind w:firstLine="480"/>
        <w:jc w:val="left"/>
        <w:rPr>
          <w:rStyle w:val="272"/>
          <w:rFonts w:hAnsi="宋体" w:cs="宋体"/>
          <w:color w:val="auto"/>
          <w:szCs w:val="24"/>
          <w:highlight w:val="none"/>
        </w:rPr>
      </w:pPr>
      <w:r>
        <w:rPr>
          <w:rStyle w:val="272"/>
          <w:rFonts w:hint="eastAsia" w:hAnsi="宋体" w:cs="宋体"/>
          <w:color w:val="auto"/>
          <w:szCs w:val="24"/>
          <w:highlight w:val="none"/>
        </w:rPr>
        <w:t>委托期限自   年  月   日起至  年  月    日止。</w:t>
      </w:r>
    </w:p>
    <w:p w14:paraId="78756CEB">
      <w:pPr>
        <w:pStyle w:val="73"/>
        <w:widowControl w:val="0"/>
        <w:spacing w:line="500" w:lineRule="exact"/>
        <w:ind w:firstLine="4560"/>
        <w:jc w:val="left"/>
        <w:rPr>
          <w:rStyle w:val="272"/>
          <w:rFonts w:hAnsi="宋体" w:cs="宋体"/>
          <w:color w:val="auto"/>
          <w:szCs w:val="24"/>
          <w:highlight w:val="none"/>
        </w:rPr>
      </w:pPr>
    </w:p>
    <w:p w14:paraId="4BE05B85">
      <w:pPr>
        <w:pStyle w:val="73"/>
        <w:widowControl w:val="0"/>
        <w:spacing w:line="500" w:lineRule="exact"/>
        <w:ind w:firstLine="4560"/>
        <w:jc w:val="left"/>
        <w:rPr>
          <w:rStyle w:val="272"/>
          <w:rFonts w:hAnsi="宋体" w:cs="宋体"/>
          <w:color w:val="auto"/>
          <w:szCs w:val="24"/>
          <w:highlight w:val="none"/>
        </w:rPr>
      </w:pPr>
      <w:r>
        <w:rPr>
          <w:rStyle w:val="272"/>
          <w:rFonts w:hint="eastAsia" w:hAnsi="宋体" w:cs="宋体"/>
          <w:color w:val="auto"/>
          <w:szCs w:val="24"/>
          <w:highlight w:val="none"/>
        </w:rPr>
        <w:t>委托人（电子签章）：</w:t>
      </w:r>
    </w:p>
    <w:p w14:paraId="7923E9BC">
      <w:pPr>
        <w:pStyle w:val="73"/>
        <w:widowControl w:val="0"/>
        <w:spacing w:line="500" w:lineRule="exact"/>
        <w:ind w:firstLine="4560"/>
        <w:jc w:val="left"/>
        <w:rPr>
          <w:rStyle w:val="272"/>
          <w:rFonts w:hAnsi="宋体" w:cs="宋体"/>
          <w:color w:val="auto"/>
          <w:szCs w:val="24"/>
          <w:highlight w:val="none"/>
        </w:rPr>
      </w:pPr>
      <w:r>
        <w:rPr>
          <w:rStyle w:val="272"/>
          <w:rFonts w:hint="eastAsia" w:hAnsi="宋体" w:cs="宋体"/>
          <w:color w:val="auto"/>
          <w:szCs w:val="24"/>
          <w:highlight w:val="none"/>
        </w:rPr>
        <w:t>法定代表人（签字或</w:t>
      </w:r>
      <w:r>
        <w:rPr>
          <w:rFonts w:hint="eastAsia" w:ascii="宋体" w:hAnsi="宋体" w:cs="宋体"/>
          <w:bCs/>
          <w:color w:val="auto"/>
          <w:sz w:val="24"/>
          <w:szCs w:val="24"/>
          <w:highlight w:val="none"/>
        </w:rPr>
        <w:t>电子签章</w:t>
      </w:r>
      <w:r>
        <w:rPr>
          <w:rStyle w:val="272"/>
          <w:rFonts w:hint="eastAsia" w:hAnsi="宋体" w:cs="宋体"/>
          <w:color w:val="auto"/>
          <w:szCs w:val="24"/>
          <w:highlight w:val="none"/>
        </w:rPr>
        <w:t>）：</w:t>
      </w:r>
    </w:p>
    <w:p w14:paraId="71CACB21">
      <w:pPr>
        <w:pStyle w:val="73"/>
        <w:widowControl w:val="0"/>
        <w:spacing w:line="500" w:lineRule="exact"/>
        <w:ind w:firstLine="4560"/>
        <w:jc w:val="left"/>
        <w:rPr>
          <w:rStyle w:val="272"/>
          <w:rFonts w:hAnsi="宋体" w:cs="宋体"/>
          <w:color w:val="auto"/>
          <w:szCs w:val="24"/>
          <w:highlight w:val="none"/>
        </w:rPr>
      </w:pPr>
      <w:r>
        <w:rPr>
          <w:rStyle w:val="272"/>
          <w:rFonts w:hint="eastAsia" w:hAnsi="宋体" w:cs="宋体"/>
          <w:color w:val="auto"/>
          <w:szCs w:val="24"/>
          <w:highlight w:val="none"/>
        </w:rPr>
        <w:t>受托人（签字或</w:t>
      </w:r>
      <w:r>
        <w:rPr>
          <w:rFonts w:hint="eastAsia" w:ascii="宋体" w:hAnsi="宋体" w:cs="宋体"/>
          <w:bCs/>
          <w:color w:val="auto"/>
          <w:sz w:val="24"/>
          <w:szCs w:val="24"/>
          <w:highlight w:val="none"/>
        </w:rPr>
        <w:t>电子签章</w:t>
      </w:r>
      <w:r>
        <w:rPr>
          <w:rStyle w:val="272"/>
          <w:rFonts w:hint="eastAsia" w:hAnsi="宋体" w:cs="宋体"/>
          <w:color w:val="auto"/>
          <w:szCs w:val="24"/>
          <w:highlight w:val="none"/>
        </w:rPr>
        <w:t>）：</w:t>
      </w:r>
    </w:p>
    <w:p w14:paraId="0BDF9851">
      <w:pPr>
        <w:pStyle w:val="73"/>
        <w:widowControl w:val="0"/>
        <w:spacing w:line="500" w:lineRule="exact"/>
        <w:ind w:firstLine="4560"/>
        <w:jc w:val="left"/>
        <w:rPr>
          <w:rStyle w:val="272"/>
          <w:rFonts w:hAnsi="宋体" w:cs="宋体"/>
          <w:color w:val="auto"/>
          <w:szCs w:val="24"/>
          <w:highlight w:val="none"/>
        </w:rPr>
      </w:pPr>
      <w:r>
        <w:rPr>
          <w:rStyle w:val="272"/>
          <w:rFonts w:hint="eastAsia" w:hAnsi="宋体" w:cs="宋体"/>
          <w:color w:val="auto"/>
          <w:szCs w:val="24"/>
          <w:highlight w:val="none"/>
        </w:rPr>
        <w:t>日期：</w:t>
      </w:r>
    </w:p>
    <w:p w14:paraId="1BE3217C">
      <w:pPr>
        <w:pStyle w:val="73"/>
        <w:widowControl w:val="0"/>
        <w:spacing w:line="500" w:lineRule="exact"/>
        <w:jc w:val="center"/>
        <w:rPr>
          <w:rStyle w:val="272"/>
          <w:rFonts w:hAnsi="宋体" w:cs="宋体"/>
          <w:color w:val="auto"/>
          <w:szCs w:val="24"/>
          <w:highlight w:val="none"/>
        </w:rPr>
      </w:pPr>
    </w:p>
    <w:p w14:paraId="73886584">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(受托人身份证</w:t>
      </w:r>
      <w:r>
        <w:rPr>
          <w:rFonts w:hint="eastAsia" w:ascii="宋体" w:hAnsi="宋体" w:cs="宋体"/>
          <w:bCs/>
          <w:color w:val="auto"/>
          <w:sz w:val="24"/>
          <w:szCs w:val="24"/>
          <w:highlight w:val="none"/>
        </w:rPr>
        <w:t>扫描件附后</w:t>
      </w:r>
      <w:r>
        <w:rPr>
          <w:rStyle w:val="272"/>
          <w:rFonts w:hint="eastAsia" w:hAnsi="宋体" w:cs="宋体"/>
          <w:color w:val="auto"/>
          <w:szCs w:val="24"/>
          <w:highlight w:val="none"/>
        </w:rPr>
        <w:t>)</w:t>
      </w:r>
    </w:p>
    <w:p w14:paraId="52AB6021">
      <w:pPr>
        <w:pStyle w:val="73"/>
        <w:widowControl w:val="0"/>
        <w:spacing w:line="500" w:lineRule="exact"/>
        <w:rPr>
          <w:rStyle w:val="272"/>
          <w:rFonts w:hAnsi="宋体" w:cs="宋体"/>
          <w:b/>
          <w:bCs/>
          <w:color w:val="auto"/>
          <w:szCs w:val="24"/>
          <w:highlight w:val="none"/>
        </w:rPr>
      </w:pPr>
    </w:p>
    <w:p w14:paraId="1393B07A">
      <w:pPr>
        <w:pStyle w:val="73"/>
        <w:widowControl w:val="0"/>
        <w:spacing w:line="500" w:lineRule="exact"/>
        <w:jc w:val="center"/>
        <w:rPr>
          <w:rStyle w:val="272"/>
          <w:rFonts w:hAnsi="宋体" w:cs="宋体"/>
          <w:color w:val="auto"/>
          <w:szCs w:val="24"/>
          <w:highlight w:val="none"/>
        </w:rPr>
      </w:pPr>
    </w:p>
    <w:p w14:paraId="23E5EDAC">
      <w:pPr>
        <w:pStyle w:val="73"/>
        <w:widowControl w:val="0"/>
        <w:spacing w:line="360" w:lineRule="auto"/>
        <w:jc w:val="center"/>
        <w:rPr>
          <w:rStyle w:val="272"/>
          <w:rFonts w:hAnsi="宋体" w:cs="宋体"/>
          <w:color w:val="auto"/>
          <w:highlight w:val="none"/>
        </w:rPr>
      </w:pPr>
    </w:p>
    <w:p w14:paraId="46DB9F8C">
      <w:pPr>
        <w:pStyle w:val="73"/>
        <w:widowControl w:val="0"/>
        <w:spacing w:line="360" w:lineRule="auto"/>
        <w:rPr>
          <w:rStyle w:val="272"/>
          <w:rFonts w:hAnsi="宋体" w:cs="宋体"/>
          <w:b/>
          <w:bCs/>
          <w:color w:val="auto"/>
          <w:highlight w:val="none"/>
        </w:rPr>
      </w:pPr>
    </w:p>
    <w:p w14:paraId="7284A34F">
      <w:pPr>
        <w:pStyle w:val="73"/>
        <w:widowControl w:val="0"/>
        <w:spacing w:line="360" w:lineRule="auto"/>
        <w:jc w:val="center"/>
        <w:rPr>
          <w:rStyle w:val="272"/>
          <w:rFonts w:hAnsi="宋体" w:cs="宋体"/>
          <w:color w:val="auto"/>
          <w:sz w:val="28"/>
          <w:highlight w:val="none"/>
        </w:rPr>
      </w:pPr>
    </w:p>
    <w:p w14:paraId="657A0BA7">
      <w:pPr>
        <w:pStyle w:val="242"/>
        <w:keepNext w:val="0"/>
        <w:keepLines w:val="0"/>
        <w:widowControl w:val="0"/>
        <w:jc w:val="center"/>
        <w:outlineLvl w:val="9"/>
        <w:rPr>
          <w:rStyle w:val="272"/>
          <w:rFonts w:hAnsi="宋体" w:cs="宋体"/>
          <w:color w:val="auto"/>
          <w:sz w:val="28"/>
          <w:highlight w:val="none"/>
        </w:rPr>
      </w:pPr>
    </w:p>
    <w:p w14:paraId="161DEC8C">
      <w:pPr>
        <w:pStyle w:val="242"/>
        <w:keepNext w:val="0"/>
        <w:keepLines w:val="0"/>
        <w:widowControl w:val="0"/>
        <w:jc w:val="center"/>
        <w:rPr>
          <w:rStyle w:val="272"/>
          <w:rFonts w:hAnsi="宋体" w:cs="宋体"/>
          <w:color w:val="auto"/>
          <w:sz w:val="28"/>
          <w:highlight w:val="none"/>
        </w:rPr>
      </w:pPr>
      <w:r>
        <w:rPr>
          <w:rStyle w:val="272"/>
          <w:rFonts w:hint="eastAsia" w:hAnsi="宋体" w:cs="宋体"/>
          <w:color w:val="auto"/>
          <w:sz w:val="28"/>
          <w:highlight w:val="none"/>
        </w:rPr>
        <w:br w:type="page" w:clear="all"/>
      </w:r>
      <w:bookmarkStart w:id="148" w:name="_Toc28481"/>
      <w:bookmarkStart w:id="149" w:name="_Toc8405"/>
      <w:bookmarkStart w:id="150" w:name="_Toc5545"/>
      <w:bookmarkStart w:id="151" w:name="_Toc27447"/>
      <w:r>
        <w:rPr>
          <w:rStyle w:val="272"/>
          <w:rFonts w:hint="eastAsia" w:hAnsi="宋体" w:cs="宋体"/>
          <w:color w:val="auto"/>
          <w:sz w:val="28"/>
          <w:highlight w:val="none"/>
        </w:rPr>
        <w:t>六、中小企业声明函</w:t>
      </w:r>
      <w:bookmarkEnd w:id="148"/>
      <w:bookmarkEnd w:id="149"/>
      <w:bookmarkEnd w:id="150"/>
      <w:bookmarkEnd w:id="151"/>
    </w:p>
    <w:p w14:paraId="15087966">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项目名称：</w:t>
      </w:r>
    </w:p>
    <w:p w14:paraId="0125FCEC">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项目编号：</w:t>
      </w:r>
    </w:p>
    <w:p w14:paraId="2964AC6C">
      <w:pPr>
        <w:pStyle w:val="73"/>
        <w:widowControl w:val="0"/>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本公司郑重声明，根据《政府采购促进中小企业发展管理办法》（财库﹝2020﹞46号）的规定，本公司参加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采购活动，工程的施工单位全部由符合政策要求的中小企业承接。相关企业的具体情况如下：</w:t>
      </w:r>
    </w:p>
    <w:p w14:paraId="1637780A">
      <w:pPr>
        <w:pStyle w:val="73"/>
        <w:widowControl w:val="0"/>
        <w:spacing w:line="500" w:lineRule="exact"/>
        <w:ind w:firstLine="480"/>
        <w:rPr>
          <w:rFonts w:ascii="宋体" w:hAnsi="宋体" w:cs="宋体"/>
          <w:color w:val="auto"/>
          <w:spacing w:val="6"/>
          <w:sz w:val="24"/>
          <w:szCs w:val="24"/>
          <w:highlight w:val="none"/>
        </w:rPr>
      </w:pPr>
      <w:r>
        <w:rPr>
          <w:rFonts w:hint="eastAsia" w:ascii="宋体" w:hAnsi="宋体" w:cs="宋体"/>
          <w:color w:val="auto"/>
          <w:sz w:val="24"/>
          <w:szCs w:val="24"/>
          <w:highlight w:val="none"/>
          <w:u w:val="single"/>
        </w:rPr>
        <w:t>（标的名称）</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w:t>
      </w:r>
      <w:bookmarkStart w:id="152" w:name="_Hlk105228467"/>
      <w:r>
        <w:rPr>
          <w:rFonts w:hint="eastAsia" w:ascii="宋体" w:hAnsi="宋体" w:cs="宋体"/>
          <w:color w:val="auto"/>
          <w:sz w:val="24"/>
          <w:szCs w:val="24"/>
          <w:highlight w:val="none"/>
          <w:u w:val="single"/>
        </w:rPr>
        <w:t>采购文件中明确的所属行业</w:t>
      </w:r>
      <w:bookmarkEnd w:id="152"/>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承建（承接）企业为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万元，属于</w:t>
      </w:r>
      <w:r>
        <w:rPr>
          <w:rFonts w:hint="eastAsia" w:ascii="宋体" w:hAnsi="宋体" w:cs="宋体"/>
          <w:color w:val="auto"/>
          <w:sz w:val="24"/>
          <w:szCs w:val="24"/>
          <w:highlight w:val="none"/>
          <w:u w:val="single"/>
        </w:rPr>
        <w:t xml:space="preserve">       （</w:t>
      </w:r>
      <w:r>
        <w:rPr>
          <w:rFonts w:hint="eastAsia" w:ascii="宋体" w:hAnsi="宋体" w:cs="宋体"/>
          <w:b/>
          <w:color w:val="auto"/>
          <w:sz w:val="24"/>
          <w:szCs w:val="24"/>
          <w:highlight w:val="none"/>
          <w:u w:val="single"/>
        </w:rPr>
        <w:t>此处请填空</w:t>
      </w:r>
      <w:r>
        <w:rPr>
          <w:rFonts w:hint="eastAsia" w:ascii="宋体" w:hAnsi="宋体" w:cs="宋体"/>
          <w:color w:val="auto"/>
          <w:sz w:val="24"/>
          <w:szCs w:val="24"/>
          <w:highlight w:val="none"/>
          <w:u w:val="single"/>
        </w:rPr>
        <w:t>）（中型企业、小型企业、微型企业</w:t>
      </w:r>
      <w:r>
        <w:rPr>
          <w:rFonts w:hint="eastAsia" w:ascii="宋体" w:hAnsi="宋体" w:cs="宋体"/>
          <w:b/>
          <w:color w:val="auto"/>
          <w:sz w:val="24"/>
          <w:szCs w:val="24"/>
          <w:highlight w:val="none"/>
          <w:u w:val="single"/>
        </w:rPr>
        <w:t>，请填空！</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p>
    <w:p w14:paraId="6904DD94">
      <w:pPr>
        <w:pStyle w:val="73"/>
        <w:widowControl w:val="0"/>
        <w:spacing w:line="500" w:lineRule="exact"/>
        <w:ind w:firstLine="482"/>
        <w:rPr>
          <w:rFonts w:ascii="宋体" w:hAnsi="宋体" w:cs="宋体"/>
          <w:b/>
          <w:color w:val="auto"/>
          <w:spacing w:val="6"/>
          <w:sz w:val="24"/>
          <w:szCs w:val="24"/>
          <w:highlight w:val="none"/>
        </w:rPr>
      </w:pPr>
      <w:r>
        <w:rPr>
          <w:rFonts w:hint="eastAsia" w:ascii="宋体" w:hAnsi="宋体" w:cs="宋体"/>
          <w:b/>
          <w:color w:val="auto"/>
          <w:sz w:val="24"/>
          <w:szCs w:val="24"/>
          <w:highlight w:val="none"/>
        </w:rPr>
        <w:t>以上企业，不属于大企业的分支机构，不存在控股股东为大企业的情形，也不存在与大企业的负责人为同一人的情形。</w:t>
      </w:r>
    </w:p>
    <w:p w14:paraId="7AB552F6">
      <w:pPr>
        <w:pStyle w:val="73"/>
        <w:widowControl w:val="0"/>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注：本项目采购属于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建筑业 </w:t>
      </w:r>
      <w:r>
        <w:rPr>
          <w:rFonts w:hint="eastAsia" w:ascii="宋体" w:hAnsi="宋体" w:cs="宋体"/>
          <w:color w:val="auto"/>
          <w:sz w:val="24"/>
          <w:szCs w:val="24"/>
          <w:highlight w:val="none"/>
        </w:rPr>
        <w:t>。</w:t>
      </w:r>
    </w:p>
    <w:p w14:paraId="193CA7F2">
      <w:pPr>
        <w:pStyle w:val="73"/>
        <w:widowControl w:val="0"/>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4703BD10">
      <w:pPr>
        <w:pStyle w:val="73"/>
        <w:widowControl w:val="0"/>
        <w:spacing w:line="500" w:lineRule="exact"/>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备注：</w:t>
      </w:r>
    </w:p>
    <w:p w14:paraId="7578F9F5">
      <w:pPr>
        <w:pStyle w:val="73"/>
        <w:widowControl w:val="0"/>
        <w:spacing w:line="500" w:lineRule="exact"/>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1、从业人员、营业收入、资产总额填报上一年度数据，无上一年度数据的新成立企业可不填报。</w:t>
      </w:r>
    </w:p>
    <w:p w14:paraId="3D1A2277">
      <w:pPr>
        <w:pStyle w:val="73"/>
        <w:widowControl w:val="0"/>
        <w:spacing w:line="500" w:lineRule="exact"/>
        <w:ind w:firstLine="482"/>
        <w:jc w:val="left"/>
        <w:rPr>
          <w:rFonts w:ascii="宋体" w:hAnsi="宋体" w:cs="宋体"/>
          <w:b/>
          <w:color w:val="auto"/>
          <w:sz w:val="24"/>
          <w:szCs w:val="24"/>
          <w:highlight w:val="none"/>
        </w:rPr>
      </w:pPr>
      <w:r>
        <w:rPr>
          <w:rFonts w:hint="eastAsia" w:ascii="宋体" w:hAnsi="宋体" w:cs="宋体"/>
          <w:b/>
          <w:color w:val="auto"/>
          <w:sz w:val="24"/>
          <w:szCs w:val="24"/>
          <w:highlight w:val="none"/>
        </w:rPr>
        <w:t>2、《中小企业声明函》查询渠道用微信搜索“中小企业规模类型自测小程序”。</w:t>
      </w:r>
    </w:p>
    <w:p w14:paraId="2EA90FD0">
      <w:pPr>
        <w:pStyle w:val="73"/>
        <w:widowControl w:val="0"/>
        <w:spacing w:line="500" w:lineRule="exact"/>
        <w:ind w:firstLine="482"/>
        <w:jc w:val="left"/>
        <w:rPr>
          <w:rFonts w:ascii="宋体" w:hAnsi="宋体" w:cs="宋体"/>
          <w:color w:val="auto"/>
          <w:sz w:val="24"/>
          <w:szCs w:val="24"/>
          <w:highlight w:val="none"/>
        </w:rPr>
      </w:pPr>
    </w:p>
    <w:p w14:paraId="26D07D93">
      <w:pPr>
        <w:pStyle w:val="73"/>
        <w:widowControl w:val="0"/>
        <w:spacing w:line="500" w:lineRule="exact"/>
        <w:jc w:val="left"/>
        <w:rPr>
          <w:rStyle w:val="272"/>
          <w:rFonts w:hAnsi="宋体" w:cs="宋体"/>
          <w:color w:val="auto"/>
          <w:szCs w:val="24"/>
          <w:highlight w:val="none"/>
        </w:rPr>
      </w:pPr>
    </w:p>
    <w:p w14:paraId="276E302B">
      <w:pPr>
        <w:pStyle w:val="73"/>
        <w:widowControl w:val="0"/>
        <w:spacing w:line="500" w:lineRule="exact"/>
        <w:jc w:val="right"/>
        <w:rPr>
          <w:rStyle w:val="272"/>
          <w:rFonts w:hAnsi="宋体" w:cs="宋体"/>
          <w:color w:val="auto"/>
          <w:szCs w:val="24"/>
          <w:highlight w:val="none"/>
        </w:rPr>
      </w:pPr>
    </w:p>
    <w:p w14:paraId="493AAB33">
      <w:pPr>
        <w:pStyle w:val="73"/>
        <w:widowControl w:val="0"/>
        <w:spacing w:line="500" w:lineRule="exact"/>
        <w:ind w:firstLine="3120"/>
        <w:jc w:val="left"/>
        <w:rPr>
          <w:rStyle w:val="272"/>
          <w:rFonts w:hAnsi="宋体" w:cs="宋体"/>
          <w:color w:val="auto"/>
          <w:szCs w:val="24"/>
          <w:highlight w:val="none"/>
        </w:rPr>
      </w:pPr>
      <w:r>
        <w:rPr>
          <w:rStyle w:val="272"/>
          <w:rFonts w:hint="eastAsia" w:hAnsi="宋体" w:cs="宋体"/>
          <w:color w:val="auto"/>
          <w:szCs w:val="24"/>
          <w:highlight w:val="none"/>
        </w:rPr>
        <w:t xml:space="preserve">    供应商：（电子签章） </w:t>
      </w:r>
    </w:p>
    <w:p w14:paraId="6AC6AB9A">
      <w:pPr>
        <w:pStyle w:val="73"/>
        <w:widowControl w:val="0"/>
        <w:spacing w:line="500" w:lineRule="exact"/>
        <w:ind w:firstLine="3600"/>
        <w:jc w:val="left"/>
        <w:rPr>
          <w:rFonts w:ascii="宋体" w:hAnsi="宋体" w:cs="宋体"/>
          <w:color w:val="auto"/>
          <w:sz w:val="24"/>
          <w:szCs w:val="24"/>
          <w:highlight w:val="none"/>
        </w:rPr>
        <w:sectPr>
          <w:footerReference r:id="rId7" w:type="default"/>
          <w:pgSz w:w="11906" w:h="16838"/>
          <w:pgMar w:top="1440" w:right="1083" w:bottom="1440" w:left="1083" w:header="851" w:footer="992" w:gutter="0"/>
          <w:cols w:space="1701" w:num="1"/>
          <w:docGrid w:linePitch="360" w:charSpace="0"/>
        </w:sectPr>
      </w:pPr>
      <w:r>
        <w:rPr>
          <w:rStyle w:val="272"/>
          <w:rFonts w:hint="eastAsia" w:hAnsi="宋体" w:cs="宋体"/>
          <w:color w:val="auto"/>
          <w:szCs w:val="24"/>
          <w:highlight w:val="none"/>
        </w:rPr>
        <w:t xml:space="preserve">日期： </w:t>
      </w:r>
    </w:p>
    <w:p w14:paraId="62B2183F">
      <w:pPr>
        <w:pStyle w:val="83"/>
        <w:spacing w:after="0" w:line="500" w:lineRule="exact"/>
        <w:ind w:left="0" w:firstLine="241"/>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p>
    <w:p w14:paraId="655918E7">
      <w:pPr>
        <w:pStyle w:val="83"/>
        <w:spacing w:after="0"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261D44F7">
      <w:pPr>
        <w:pStyle w:val="83"/>
        <w:spacing w:after="0" w:line="500" w:lineRule="exact"/>
        <w:ind w:lef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2、从业人员、营业收入、资产总额填报响应供应商上一年度数据，无上一年度数据的新成立企业可不填报。</w:t>
      </w:r>
    </w:p>
    <w:p w14:paraId="4BEB728C">
      <w:pPr>
        <w:pStyle w:val="83"/>
        <w:spacing w:after="0" w:line="500" w:lineRule="exact"/>
        <w:ind w:lef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3、成交供应商为中型、小型、微型企业的，采购人或者其委托的采购代理机构有权随中标、成交结果同时公告其《中小企业声明函》，接受社会监督。</w:t>
      </w:r>
    </w:p>
    <w:p w14:paraId="22965541">
      <w:pPr>
        <w:pStyle w:val="83"/>
        <w:spacing w:after="0" w:line="500" w:lineRule="exact"/>
        <w:ind w:lef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4、执行江苏省财政厅关于进一步加大政府采购支持中小企业力度的通知（苏财购〔2022〕45号）的规定。</w:t>
      </w:r>
    </w:p>
    <w:p w14:paraId="7C5163C5">
      <w:pPr>
        <w:pStyle w:val="83"/>
        <w:spacing w:after="0" w:line="500" w:lineRule="exact"/>
        <w:ind w:left="0"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5、响应供应商提供的《中小企业声明函》与事实不符的，依照《中华人民共和国政府采购法》第七十七条第一款的规定追究法律责任。</w:t>
      </w:r>
    </w:p>
    <w:p w14:paraId="596D6F81">
      <w:pPr>
        <w:pStyle w:val="516"/>
        <w:spacing w:line="500" w:lineRule="exact"/>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6、《中小企业声明函》查询渠道用微信搜索“中小企业规模类型自测小程序”。</w:t>
      </w:r>
    </w:p>
    <w:p w14:paraId="565B9A47">
      <w:pPr>
        <w:pStyle w:val="73"/>
        <w:widowControl w:val="0"/>
        <w:spacing w:line="360" w:lineRule="auto"/>
        <w:jc w:val="center"/>
        <w:rPr>
          <w:rFonts w:ascii="宋体" w:hAnsi="宋体" w:cs="宋体"/>
          <w:color w:val="auto"/>
          <w:highlight w:val="none"/>
        </w:rPr>
        <w:sectPr>
          <w:footerReference r:id="rId8" w:type="default"/>
          <w:pgSz w:w="11906" w:h="16838"/>
          <w:pgMar w:top="1440" w:right="1080" w:bottom="1440" w:left="1080" w:header="851" w:footer="992" w:gutter="0"/>
          <w:cols w:space="1701" w:num="1"/>
          <w:docGrid w:linePitch="360" w:charSpace="0"/>
        </w:sectPr>
      </w:pPr>
      <w:r>
        <w:rPr>
          <w:rFonts w:hint="eastAsia" w:ascii="宋体" w:hAnsi="宋体" w:cs="宋体"/>
          <w:color w:val="auto"/>
          <w:sz w:val="24"/>
          <w:szCs w:val="24"/>
          <w:highlight w:val="none"/>
        </w:rPr>
        <w:drawing>
          <wp:anchor distT="0" distB="0" distL="114300" distR="114300" simplePos="0" relativeHeight="251668480" behindDoc="0" locked="0" layoutInCell="1" allowOverlap="1">
            <wp:simplePos x="0" y="0"/>
            <wp:positionH relativeFrom="column">
              <wp:posOffset>2264410</wp:posOffset>
            </wp:positionH>
            <wp:positionV relativeFrom="paragraph">
              <wp:posOffset>114935</wp:posOffset>
            </wp:positionV>
            <wp:extent cx="2127250" cy="4195445"/>
            <wp:effectExtent l="0" t="0" r="6350" b="14604"/>
            <wp:wrapNone/>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14"/>
                    <a:stretch>
                      <a:fillRect/>
                    </a:stretch>
                  </pic:blipFill>
                  <pic:spPr>
                    <a:xfrm>
                      <a:off x="0" y="0"/>
                      <a:ext cx="2127250" cy="4195445"/>
                    </a:xfrm>
                    <a:prstGeom prst="rect">
                      <a:avLst/>
                    </a:prstGeom>
                    <a:noFill/>
                    <a:ln>
                      <a:noFill/>
                    </a:ln>
                  </pic:spPr>
                </pic:pic>
              </a:graphicData>
            </a:graphic>
          </wp:anchor>
        </w:drawing>
      </w:r>
    </w:p>
    <w:p w14:paraId="133A7DA6">
      <w:pPr>
        <w:pStyle w:val="261"/>
        <w:widowControl w:val="0"/>
        <w:spacing w:before="0" w:beforeAutospacing="0" w:after="0" w:afterAutospacing="0" w:line="360" w:lineRule="auto"/>
        <w:jc w:val="center"/>
        <w:outlineLvl w:val="1"/>
        <w:rPr>
          <w:rStyle w:val="272"/>
          <w:rFonts w:cs="宋体"/>
          <w:color w:val="auto"/>
          <w:sz w:val="28"/>
          <w:highlight w:val="none"/>
        </w:rPr>
      </w:pPr>
      <w:bookmarkStart w:id="153" w:name="_Toc7881"/>
      <w:bookmarkStart w:id="154" w:name="_Toc8270"/>
      <w:r>
        <w:rPr>
          <w:rStyle w:val="272"/>
          <w:rFonts w:hint="eastAsia" w:cs="宋体"/>
          <w:b/>
          <w:bCs/>
          <w:color w:val="auto"/>
          <w:sz w:val="28"/>
          <w:szCs w:val="32"/>
          <w:highlight w:val="none"/>
        </w:rPr>
        <w:t>七、残疾人福利性单位声明函</w:t>
      </w:r>
      <w:bookmarkEnd w:id="153"/>
      <w:bookmarkEnd w:id="154"/>
    </w:p>
    <w:p w14:paraId="45F2F357">
      <w:pPr>
        <w:spacing w:line="0" w:lineRule="atLeast"/>
        <w:jc w:val="center"/>
        <w:rPr>
          <w:rFonts w:ascii="宋体" w:hAnsi="宋体" w:cs="宋体"/>
          <w:color w:val="auto"/>
          <w:sz w:val="24"/>
          <w:highlight w:val="none"/>
        </w:rPr>
      </w:pPr>
      <w:r>
        <w:rPr>
          <w:rFonts w:hint="eastAsia" w:ascii="宋体" w:hAnsi="宋体" w:cs="宋体"/>
          <w:b/>
          <w:bCs/>
          <w:color w:val="auto"/>
          <w:sz w:val="24"/>
          <w:highlight w:val="none"/>
        </w:rPr>
        <w:t>（注：如供应商不属于残疾人福利性单位，不需提供此声明函）</w:t>
      </w:r>
    </w:p>
    <w:p w14:paraId="146E26A0">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项目名称：</w:t>
      </w:r>
    </w:p>
    <w:p w14:paraId="60CC8FAE">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项目编号：</w:t>
      </w:r>
    </w:p>
    <w:p w14:paraId="22B0F1F6">
      <w:pPr>
        <w:pStyle w:val="73"/>
        <w:widowControl w:val="0"/>
        <w:spacing w:line="500" w:lineRule="exact"/>
        <w:ind w:firstLine="504"/>
        <w:jc w:val="left"/>
        <w:rPr>
          <w:rStyle w:val="272"/>
          <w:rFonts w:hAnsi="宋体" w:cs="宋体"/>
          <w:color w:val="auto"/>
          <w:spacing w:val="6"/>
          <w:szCs w:val="24"/>
          <w:highlight w:val="none"/>
        </w:rPr>
      </w:pPr>
      <w:r>
        <w:rPr>
          <w:rStyle w:val="272"/>
          <w:rFonts w:hint="eastAsia" w:hAnsi="宋体" w:cs="宋体"/>
          <w:color w:val="auto"/>
          <w:spacing w:val="6"/>
          <w:szCs w:val="24"/>
          <w:highlight w:val="none"/>
        </w:rPr>
        <w:t>本单位郑重声明，根据《财政部民政部中国残疾人联合会关于促进残疾人就业政府采购政策的通知》（财库</w:t>
      </w:r>
      <w:r>
        <w:rPr>
          <w:rStyle w:val="272"/>
          <w:rFonts w:hint="eastAsia" w:hAnsi="宋体" w:cs="宋体"/>
          <w:color w:val="auto"/>
          <w:szCs w:val="24"/>
          <w:highlight w:val="none"/>
        </w:rPr>
        <w:t>〔2017〕141</w:t>
      </w:r>
      <w:r>
        <w:rPr>
          <w:rStyle w:val="272"/>
          <w:rFonts w:hint="eastAsia" w:hAnsi="宋体" w:cs="宋体"/>
          <w:color w:val="auto"/>
          <w:spacing w:val="6"/>
          <w:szCs w:val="24"/>
          <w:highlight w:val="none"/>
        </w:rPr>
        <w:t>号）的规定，本单位为符合条件的残疾人福利性单位，且本单位参加</w:t>
      </w:r>
      <w:r>
        <w:rPr>
          <w:rStyle w:val="272"/>
          <w:rFonts w:hint="eastAsia" w:hAnsi="宋体" w:cs="宋体"/>
          <w:color w:val="auto"/>
          <w:szCs w:val="24"/>
          <w:highlight w:val="none"/>
        </w:rPr>
        <w:t>______</w:t>
      </w:r>
      <w:r>
        <w:rPr>
          <w:rStyle w:val="272"/>
          <w:rFonts w:hint="eastAsia" w:hAnsi="宋体" w:cs="宋体"/>
          <w:color w:val="auto"/>
          <w:spacing w:val="6"/>
          <w:szCs w:val="24"/>
          <w:highlight w:val="none"/>
        </w:rPr>
        <w:t>单位的</w:t>
      </w:r>
      <w:r>
        <w:rPr>
          <w:rStyle w:val="272"/>
          <w:rFonts w:hint="eastAsia" w:hAnsi="宋体" w:cs="宋体"/>
          <w:color w:val="auto"/>
          <w:szCs w:val="24"/>
          <w:highlight w:val="none"/>
        </w:rPr>
        <w:t>______</w:t>
      </w:r>
      <w:r>
        <w:rPr>
          <w:rStyle w:val="272"/>
          <w:rFonts w:hint="eastAsia" w:hAnsi="宋体" w:cs="宋体"/>
          <w:color w:val="auto"/>
          <w:spacing w:val="6"/>
          <w:szCs w:val="24"/>
          <w:highlight w:val="none"/>
        </w:rPr>
        <w:t>项目采购活动提供本单位制造的货物（由本单位承担工程/提供服务），或者提供其他残疾人福利性单位制造的货物（不包括使用非残疾人福利性单位注册商标的货物）。</w:t>
      </w:r>
    </w:p>
    <w:p w14:paraId="793F257C">
      <w:pPr>
        <w:pStyle w:val="73"/>
        <w:widowControl w:val="0"/>
        <w:spacing w:line="500" w:lineRule="exact"/>
        <w:ind w:firstLine="504"/>
        <w:jc w:val="left"/>
        <w:rPr>
          <w:rStyle w:val="272"/>
          <w:rFonts w:hAnsi="宋体" w:cs="宋体"/>
          <w:color w:val="auto"/>
          <w:spacing w:val="6"/>
          <w:szCs w:val="24"/>
          <w:highlight w:val="none"/>
        </w:rPr>
      </w:pPr>
      <w:r>
        <w:rPr>
          <w:rStyle w:val="272"/>
          <w:rFonts w:hint="eastAsia" w:hAnsi="宋体" w:cs="宋体"/>
          <w:color w:val="auto"/>
          <w:spacing w:val="6"/>
          <w:szCs w:val="24"/>
          <w:highlight w:val="none"/>
        </w:rPr>
        <w:t>本单位对上述声明的真实性负责。如有虚假，将依法承担相应责任。</w:t>
      </w:r>
    </w:p>
    <w:p w14:paraId="068DEBF4">
      <w:pPr>
        <w:pStyle w:val="73"/>
        <w:widowControl w:val="0"/>
        <w:spacing w:line="500" w:lineRule="exact"/>
        <w:ind w:firstLine="504"/>
        <w:jc w:val="left"/>
        <w:rPr>
          <w:rStyle w:val="272"/>
          <w:rFonts w:hAnsi="宋体" w:cs="宋体"/>
          <w:color w:val="auto"/>
          <w:spacing w:val="6"/>
          <w:szCs w:val="24"/>
          <w:highlight w:val="none"/>
        </w:rPr>
      </w:pPr>
    </w:p>
    <w:p w14:paraId="0DA1A452">
      <w:pPr>
        <w:pStyle w:val="73"/>
        <w:widowControl w:val="0"/>
        <w:spacing w:line="500" w:lineRule="exact"/>
        <w:ind w:firstLine="504"/>
        <w:jc w:val="left"/>
        <w:rPr>
          <w:rStyle w:val="272"/>
          <w:rFonts w:hAnsi="宋体" w:cs="宋体"/>
          <w:color w:val="auto"/>
          <w:spacing w:val="6"/>
          <w:szCs w:val="24"/>
          <w:highlight w:val="none"/>
        </w:rPr>
      </w:pPr>
    </w:p>
    <w:p w14:paraId="0D298581">
      <w:pPr>
        <w:pStyle w:val="73"/>
        <w:widowControl w:val="0"/>
        <w:spacing w:line="500" w:lineRule="exact"/>
        <w:ind w:firstLine="4560"/>
        <w:jc w:val="left"/>
        <w:rPr>
          <w:rStyle w:val="272"/>
          <w:rFonts w:hAnsi="宋体" w:cs="宋体"/>
          <w:color w:val="auto"/>
          <w:szCs w:val="24"/>
          <w:highlight w:val="none"/>
        </w:rPr>
      </w:pPr>
      <w:r>
        <w:rPr>
          <w:rStyle w:val="272"/>
          <w:rFonts w:hint="eastAsia" w:hAnsi="宋体" w:cs="宋体"/>
          <w:color w:val="auto"/>
          <w:szCs w:val="24"/>
          <w:highlight w:val="none"/>
        </w:rPr>
        <w:t xml:space="preserve">供应商：（电子签章）                               </w:t>
      </w:r>
    </w:p>
    <w:p w14:paraId="0CF363AF">
      <w:pPr>
        <w:pStyle w:val="73"/>
        <w:widowControl w:val="0"/>
        <w:spacing w:line="500" w:lineRule="exact"/>
        <w:ind w:firstLine="480"/>
        <w:jc w:val="left"/>
        <w:rPr>
          <w:rFonts w:ascii="宋体" w:hAnsi="宋体" w:cs="宋体"/>
          <w:color w:val="auto"/>
          <w:sz w:val="24"/>
          <w:szCs w:val="24"/>
          <w:highlight w:val="none"/>
        </w:rPr>
      </w:pPr>
      <w:r>
        <w:rPr>
          <w:rStyle w:val="272"/>
          <w:rFonts w:hint="eastAsia" w:hAnsi="宋体" w:cs="宋体"/>
          <w:color w:val="auto"/>
          <w:szCs w:val="24"/>
          <w:highlight w:val="none"/>
        </w:rPr>
        <w:t xml:space="preserve">                                                                   日期：  </w:t>
      </w:r>
    </w:p>
    <w:p w14:paraId="7043DE6D">
      <w:pPr>
        <w:pStyle w:val="74"/>
        <w:ind w:left="0" w:firstLine="0"/>
        <w:jc w:val="left"/>
        <w:rPr>
          <w:rStyle w:val="272"/>
          <w:rFonts w:hAnsi="宋体" w:eastAsia="宋体" w:cs="宋体"/>
          <w:color w:val="auto"/>
          <w:szCs w:val="24"/>
          <w:highlight w:val="none"/>
        </w:rPr>
      </w:pPr>
    </w:p>
    <w:p w14:paraId="76B90217">
      <w:pPr>
        <w:jc w:val="left"/>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32922E5B">
      <w:pPr>
        <w:jc w:val="left"/>
        <w:rPr>
          <w:rFonts w:ascii="宋体" w:hAnsi="宋体" w:cs="宋体"/>
          <w:color w:val="auto"/>
          <w:sz w:val="24"/>
          <w:szCs w:val="24"/>
          <w:highlight w:val="none"/>
        </w:rPr>
      </w:pPr>
      <w:r>
        <w:rPr>
          <w:rFonts w:hint="eastAsia" w:ascii="宋体" w:hAnsi="宋体" w:cs="宋体"/>
          <w:color w:val="auto"/>
          <w:sz w:val="24"/>
          <w:szCs w:val="24"/>
          <w:highlight w:val="none"/>
        </w:rPr>
        <w:t>中标、成交供应商为残疾人福利性单位的，采购人或者其委托的采购代理机构有权随中标、成交结果同时公告其《残疾人福利性单位声明函》，接受社会监督。</w:t>
      </w:r>
    </w:p>
    <w:p w14:paraId="2D093898">
      <w:pPr>
        <w:jc w:val="left"/>
        <w:rPr>
          <w:rFonts w:ascii="宋体" w:hAnsi="宋体" w:cs="宋体"/>
          <w:color w:val="auto"/>
          <w:sz w:val="24"/>
          <w:szCs w:val="24"/>
          <w:highlight w:val="none"/>
        </w:rPr>
      </w:pPr>
      <w:r>
        <w:rPr>
          <w:rFonts w:hint="eastAsia" w:ascii="宋体" w:hAnsi="宋体" w:cs="宋体"/>
          <w:color w:val="auto"/>
          <w:sz w:val="24"/>
          <w:szCs w:val="24"/>
          <w:highlight w:val="none"/>
        </w:rPr>
        <w:t>供应商提供的《残疾人福利性单位声明函》与事实不符的，依照《政府采购法》第七十七条第一款的规定追究法律责任。</w:t>
      </w:r>
    </w:p>
    <w:p w14:paraId="55CCE966">
      <w:pPr>
        <w:pStyle w:val="78"/>
        <w:rPr>
          <w:rFonts w:ascii="宋体" w:hAnsi="宋体" w:cs="宋体"/>
          <w:color w:val="auto"/>
          <w:sz w:val="24"/>
          <w:szCs w:val="24"/>
          <w:highlight w:val="none"/>
        </w:rPr>
        <w:sectPr>
          <w:footerReference r:id="rId9" w:type="default"/>
          <w:pgSz w:w="11906" w:h="16838"/>
          <w:pgMar w:top="1440" w:right="1140" w:bottom="1440" w:left="1140" w:header="851" w:footer="992" w:gutter="0"/>
          <w:cols w:space="1701" w:num="1"/>
          <w:docGrid w:linePitch="360" w:charSpace="0"/>
        </w:sectPr>
      </w:pPr>
    </w:p>
    <w:p w14:paraId="3122C127">
      <w:pPr>
        <w:pStyle w:val="242"/>
        <w:keepNext w:val="0"/>
        <w:keepLines w:val="0"/>
        <w:widowControl w:val="0"/>
        <w:spacing w:before="0" w:after="0" w:line="360" w:lineRule="auto"/>
        <w:jc w:val="center"/>
        <w:rPr>
          <w:rStyle w:val="272"/>
          <w:rFonts w:hAnsi="宋体" w:cs="宋体"/>
          <w:color w:val="auto"/>
          <w:sz w:val="28"/>
          <w:highlight w:val="none"/>
        </w:rPr>
      </w:pPr>
      <w:bookmarkStart w:id="155" w:name="_Toc23887"/>
      <w:bookmarkStart w:id="156" w:name="_Toc18783"/>
      <w:bookmarkStart w:id="157" w:name="_Toc16007"/>
      <w:bookmarkStart w:id="158" w:name="_Toc9710"/>
      <w:r>
        <w:rPr>
          <w:rStyle w:val="272"/>
          <w:rFonts w:hint="eastAsia" w:hAnsi="宋体" w:cs="宋体"/>
          <w:color w:val="auto"/>
          <w:sz w:val="28"/>
          <w:highlight w:val="none"/>
        </w:rPr>
        <w:t>八、供应商参加政府采购活动前三年内在经营活动中</w:t>
      </w:r>
      <w:bookmarkStart w:id="159" w:name="_Toc16176"/>
      <w:r>
        <w:rPr>
          <w:rStyle w:val="272"/>
          <w:rFonts w:hint="eastAsia" w:hAnsi="宋体" w:cs="宋体"/>
          <w:color w:val="auto"/>
          <w:sz w:val="28"/>
          <w:highlight w:val="none"/>
        </w:rPr>
        <w:t>没有重大违法记录的</w:t>
      </w:r>
    </w:p>
    <w:p w14:paraId="1D58B981">
      <w:pPr>
        <w:pStyle w:val="242"/>
        <w:keepNext w:val="0"/>
        <w:keepLines w:val="0"/>
        <w:widowControl w:val="0"/>
        <w:spacing w:before="0" w:after="0" w:line="360" w:lineRule="auto"/>
        <w:jc w:val="center"/>
        <w:outlineLvl w:val="9"/>
        <w:rPr>
          <w:rStyle w:val="272"/>
          <w:rFonts w:hAnsi="宋体" w:cs="宋体"/>
          <w:color w:val="auto"/>
          <w:sz w:val="28"/>
          <w:highlight w:val="none"/>
        </w:rPr>
      </w:pPr>
      <w:r>
        <w:rPr>
          <w:rStyle w:val="272"/>
          <w:rFonts w:hint="eastAsia" w:hAnsi="宋体" w:cs="宋体"/>
          <w:color w:val="auto"/>
          <w:sz w:val="28"/>
          <w:highlight w:val="none"/>
        </w:rPr>
        <w:t>书面声明</w:t>
      </w:r>
      <w:bookmarkEnd w:id="155"/>
      <w:bookmarkEnd w:id="156"/>
      <w:bookmarkEnd w:id="157"/>
      <w:bookmarkEnd w:id="158"/>
      <w:bookmarkEnd w:id="159"/>
    </w:p>
    <w:p w14:paraId="6FD15683">
      <w:pPr>
        <w:pStyle w:val="73"/>
        <w:widowControl w:val="0"/>
        <w:spacing w:line="360" w:lineRule="auto"/>
        <w:jc w:val="left"/>
        <w:rPr>
          <w:rStyle w:val="272"/>
          <w:rFonts w:hAnsi="宋体" w:cs="宋体"/>
          <w:color w:val="auto"/>
          <w:highlight w:val="none"/>
        </w:rPr>
      </w:pPr>
    </w:p>
    <w:p w14:paraId="4CF0D8D3">
      <w:pPr>
        <w:pStyle w:val="73"/>
        <w:widowControl w:val="0"/>
        <w:spacing w:line="500" w:lineRule="exact"/>
        <w:ind w:firstLine="480"/>
        <w:jc w:val="left"/>
        <w:rPr>
          <w:rStyle w:val="272"/>
          <w:rFonts w:hAnsi="宋体" w:cs="宋体"/>
          <w:color w:val="auto"/>
          <w:szCs w:val="24"/>
          <w:highlight w:val="none"/>
        </w:rPr>
      </w:pPr>
      <w:r>
        <w:rPr>
          <w:rStyle w:val="272"/>
          <w:rFonts w:hint="eastAsia" w:hAnsi="宋体" w:cs="宋体"/>
          <w:color w:val="auto"/>
          <w:szCs w:val="24"/>
          <w:highlight w:val="none"/>
        </w:rPr>
        <w:t>我单位在参加</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[项目编号：            ]政府采购活动前三年内在经营活动中没有重大违法记录。重大违法记录是指因违法经营受到刑事处罚或者责令停产停业、吊销许可证或者执照、较大数额罚款等行政处罚。</w:t>
      </w:r>
    </w:p>
    <w:p w14:paraId="4EBAEC98">
      <w:pPr>
        <w:pStyle w:val="73"/>
        <w:widowControl w:val="0"/>
        <w:spacing w:line="500" w:lineRule="exact"/>
        <w:ind w:firstLine="720"/>
        <w:jc w:val="left"/>
        <w:rPr>
          <w:rStyle w:val="272"/>
          <w:rFonts w:hAnsi="宋体" w:cs="宋体"/>
          <w:color w:val="auto"/>
          <w:szCs w:val="24"/>
          <w:highlight w:val="none"/>
        </w:rPr>
      </w:pPr>
      <w:r>
        <w:rPr>
          <w:rStyle w:val="272"/>
          <w:rFonts w:hint="eastAsia" w:hAnsi="宋体" w:cs="宋体"/>
          <w:color w:val="auto"/>
          <w:szCs w:val="24"/>
          <w:highlight w:val="none"/>
        </w:rPr>
        <w:t>我单位对上述声明的真实性负责。如有虚假，将依法承担相应责任。</w:t>
      </w:r>
    </w:p>
    <w:p w14:paraId="74136A2B">
      <w:pPr>
        <w:pStyle w:val="73"/>
        <w:widowControl w:val="0"/>
        <w:spacing w:line="500" w:lineRule="exact"/>
        <w:jc w:val="left"/>
        <w:rPr>
          <w:rStyle w:val="272"/>
          <w:rFonts w:hAnsi="宋体" w:cs="宋体"/>
          <w:color w:val="auto"/>
          <w:szCs w:val="24"/>
          <w:highlight w:val="none"/>
        </w:rPr>
      </w:pPr>
    </w:p>
    <w:p w14:paraId="27DCE37E">
      <w:pPr>
        <w:pStyle w:val="73"/>
        <w:widowControl w:val="0"/>
        <w:spacing w:line="500" w:lineRule="exact"/>
        <w:jc w:val="left"/>
        <w:rPr>
          <w:rStyle w:val="272"/>
          <w:rFonts w:hAnsi="宋体" w:cs="宋体"/>
          <w:color w:val="auto"/>
          <w:szCs w:val="24"/>
          <w:highlight w:val="none"/>
        </w:rPr>
      </w:pPr>
    </w:p>
    <w:p w14:paraId="60101397">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 xml:space="preserve">                           供应商（电子签章）：                           </w:t>
      </w:r>
    </w:p>
    <w:p w14:paraId="63CC783F">
      <w:pPr>
        <w:pStyle w:val="73"/>
        <w:widowControl w:val="0"/>
        <w:spacing w:line="500" w:lineRule="exact"/>
        <w:jc w:val="left"/>
        <w:rPr>
          <w:rFonts w:ascii="宋体" w:hAnsi="宋体" w:cs="宋体"/>
          <w:color w:val="auto"/>
          <w:sz w:val="24"/>
          <w:szCs w:val="24"/>
          <w:highlight w:val="none"/>
        </w:rPr>
      </w:pPr>
      <w:r>
        <w:rPr>
          <w:rStyle w:val="272"/>
          <w:rFonts w:hint="eastAsia" w:hAnsi="宋体" w:cs="宋体"/>
          <w:color w:val="auto"/>
          <w:szCs w:val="24"/>
          <w:highlight w:val="none"/>
        </w:rPr>
        <w:t xml:space="preserve">                           日期： </w:t>
      </w:r>
    </w:p>
    <w:p w14:paraId="362DF469">
      <w:pPr>
        <w:pStyle w:val="73"/>
        <w:widowControl w:val="0"/>
        <w:spacing w:line="360" w:lineRule="auto"/>
        <w:jc w:val="left"/>
        <w:rPr>
          <w:rStyle w:val="272"/>
          <w:rFonts w:hAnsi="宋体" w:cs="宋体"/>
          <w:color w:val="auto"/>
          <w:highlight w:val="none"/>
        </w:rPr>
      </w:pPr>
    </w:p>
    <w:p w14:paraId="1C062CB9">
      <w:pPr>
        <w:pStyle w:val="242"/>
        <w:keepNext w:val="0"/>
        <w:keepLines w:val="0"/>
        <w:widowControl w:val="0"/>
        <w:spacing w:before="0" w:after="0" w:line="360" w:lineRule="auto"/>
        <w:jc w:val="center"/>
        <w:rPr>
          <w:rStyle w:val="272"/>
          <w:rFonts w:hAnsi="宋体" w:cs="宋体"/>
          <w:color w:val="auto"/>
          <w:sz w:val="28"/>
          <w:highlight w:val="none"/>
        </w:rPr>
      </w:pPr>
      <w:r>
        <w:rPr>
          <w:rStyle w:val="272"/>
          <w:rFonts w:hint="eastAsia" w:hAnsi="宋体" w:cs="宋体"/>
          <w:color w:val="auto"/>
          <w:sz w:val="28"/>
          <w:szCs w:val="28"/>
          <w:highlight w:val="none"/>
        </w:rPr>
        <w:br w:type="page" w:clear="all"/>
      </w:r>
      <w:bookmarkStart w:id="160" w:name="_Toc31358"/>
      <w:bookmarkStart w:id="161" w:name="_Toc13304"/>
      <w:bookmarkStart w:id="162" w:name="_Toc17384"/>
      <w:bookmarkStart w:id="163" w:name="_Toc31777"/>
      <w:r>
        <w:rPr>
          <w:rStyle w:val="272"/>
          <w:rFonts w:hint="eastAsia" w:hAnsi="宋体" w:cs="宋体"/>
          <w:color w:val="auto"/>
          <w:sz w:val="28"/>
          <w:highlight w:val="none"/>
        </w:rPr>
        <w:t>九、具备履行合同所必需的设备和专业技术能力的书面声明</w:t>
      </w:r>
      <w:bookmarkEnd w:id="160"/>
      <w:bookmarkEnd w:id="161"/>
      <w:bookmarkEnd w:id="162"/>
      <w:bookmarkEnd w:id="163"/>
    </w:p>
    <w:p w14:paraId="33EE811C">
      <w:pPr>
        <w:spacing w:line="360" w:lineRule="auto"/>
        <w:jc w:val="center"/>
        <w:rPr>
          <w:rFonts w:ascii="宋体" w:hAnsi="宋体" w:cs="宋体"/>
          <w:color w:val="auto"/>
          <w:sz w:val="28"/>
          <w:szCs w:val="28"/>
          <w:highlight w:val="none"/>
        </w:rPr>
      </w:pPr>
      <w:bookmarkStart w:id="164" w:name="_Toc3584"/>
      <w:bookmarkStart w:id="165" w:name="_Toc7179"/>
      <w:r>
        <w:rPr>
          <w:rFonts w:hint="eastAsia" w:ascii="宋体" w:hAnsi="宋体" w:cs="宋体"/>
          <w:color w:val="auto"/>
          <w:sz w:val="28"/>
          <w:szCs w:val="28"/>
          <w:highlight w:val="none"/>
        </w:rPr>
        <w:t>（附证明材料原件扫描件）</w:t>
      </w:r>
      <w:bookmarkEnd w:id="164"/>
      <w:bookmarkEnd w:id="165"/>
    </w:p>
    <w:p w14:paraId="5FDBE916">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项目名称：</w:t>
      </w:r>
    </w:p>
    <w:p w14:paraId="1289C9A3">
      <w:pPr>
        <w:pStyle w:val="73"/>
        <w:widowControl w:val="0"/>
        <w:spacing w:line="500" w:lineRule="exact"/>
        <w:jc w:val="left"/>
        <w:rPr>
          <w:rStyle w:val="272"/>
          <w:rFonts w:hAnsi="宋体" w:cs="宋体"/>
          <w:color w:val="auto"/>
          <w:szCs w:val="24"/>
          <w:highlight w:val="none"/>
        </w:rPr>
      </w:pPr>
      <w:r>
        <w:rPr>
          <w:rStyle w:val="272"/>
          <w:rFonts w:hint="eastAsia" w:hAnsi="宋体" w:cs="宋体"/>
          <w:color w:val="auto"/>
          <w:szCs w:val="24"/>
          <w:highlight w:val="none"/>
        </w:rPr>
        <w:t>项目编号：</w:t>
      </w:r>
    </w:p>
    <w:p w14:paraId="4B09211F">
      <w:pPr>
        <w:pStyle w:val="73"/>
        <w:widowControl w:val="0"/>
        <w:spacing w:line="500" w:lineRule="exact"/>
        <w:ind w:firstLine="480"/>
        <w:jc w:val="left"/>
        <w:rPr>
          <w:rStyle w:val="272"/>
          <w:rFonts w:hAnsi="宋体" w:cs="宋体"/>
          <w:color w:val="auto"/>
          <w:szCs w:val="24"/>
          <w:highlight w:val="none"/>
        </w:rPr>
      </w:pPr>
      <w:r>
        <w:rPr>
          <w:rStyle w:val="272"/>
          <w:rFonts w:hint="eastAsia" w:hAnsi="宋体" w:cs="宋体"/>
          <w:color w:val="auto"/>
          <w:szCs w:val="24"/>
          <w:highlight w:val="none"/>
        </w:rPr>
        <w:t>供应商郑重声明：供应商具备履行合同（项目名称</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，项目编号：</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，所必需的设备和专业技术能力，具体为：</w:t>
      </w:r>
    </w:p>
    <w:p w14:paraId="384870DD">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设备：</w:t>
      </w:r>
    </w:p>
    <w:p w14:paraId="4E1E9684">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 xml:space="preserve">1、 </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（证明材料</w:t>
      </w:r>
      <w:bookmarkStart w:id="166" w:name="OLE_LINK5"/>
      <w:r>
        <w:rPr>
          <w:rStyle w:val="272"/>
          <w:rFonts w:hint="eastAsia" w:hAnsi="宋体" w:cs="宋体"/>
          <w:color w:val="auto"/>
          <w:szCs w:val="24"/>
          <w:highlight w:val="none"/>
        </w:rPr>
        <w:t>原件的</w:t>
      </w:r>
      <w:bookmarkEnd w:id="166"/>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068123B1">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 xml:space="preserve">2、  </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 xml:space="preserve"> （证明材料原件的</w:t>
      </w:r>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2342F9B2">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3、</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（证明材料原件的</w:t>
      </w:r>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5B71E493">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w:t>
      </w:r>
    </w:p>
    <w:p w14:paraId="3B5ABD1C">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专业技术能力：</w:t>
      </w:r>
    </w:p>
    <w:p w14:paraId="2315AF9E">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1、</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（证明材料原件的</w:t>
      </w:r>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11FF0F14">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2、</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 xml:space="preserve"> （证明材料原件的</w:t>
      </w:r>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00F21B1B">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3、</w:t>
      </w:r>
      <w:r>
        <w:rPr>
          <w:rStyle w:val="272"/>
          <w:rFonts w:hint="eastAsia" w:hAnsi="宋体" w:cs="宋体"/>
          <w:color w:val="auto"/>
          <w:szCs w:val="24"/>
          <w:highlight w:val="none"/>
          <w:u w:val="single"/>
        </w:rPr>
        <w:t xml:space="preserve">                          </w:t>
      </w:r>
      <w:r>
        <w:rPr>
          <w:rStyle w:val="272"/>
          <w:rFonts w:hint="eastAsia" w:hAnsi="宋体" w:cs="宋体"/>
          <w:color w:val="auto"/>
          <w:szCs w:val="24"/>
          <w:highlight w:val="none"/>
        </w:rPr>
        <w:t xml:space="preserve"> （证明材料原件的</w:t>
      </w:r>
      <w:r>
        <w:rPr>
          <w:rFonts w:hint="eastAsia" w:ascii="宋体" w:hAnsi="宋体" w:cs="宋体"/>
          <w:color w:val="auto"/>
          <w:sz w:val="24"/>
          <w:szCs w:val="24"/>
          <w:highlight w:val="none"/>
        </w:rPr>
        <w:t>扫描件</w:t>
      </w:r>
      <w:r>
        <w:rPr>
          <w:rStyle w:val="272"/>
          <w:rFonts w:hint="eastAsia" w:hAnsi="宋体" w:cs="宋体"/>
          <w:color w:val="auto"/>
          <w:szCs w:val="24"/>
          <w:highlight w:val="none"/>
        </w:rPr>
        <w:t>附后）</w:t>
      </w:r>
    </w:p>
    <w:p w14:paraId="63068E0F">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w:t>
      </w:r>
    </w:p>
    <w:p w14:paraId="0D84B895">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特此声明。</w:t>
      </w:r>
    </w:p>
    <w:p w14:paraId="37A9F6FC">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供应商人对上述声明的真实性负责。如有虚假，将依法承担相应责任。</w:t>
      </w:r>
    </w:p>
    <w:p w14:paraId="0E74E6A2">
      <w:pPr>
        <w:pStyle w:val="73"/>
        <w:widowControl w:val="0"/>
        <w:spacing w:line="500" w:lineRule="exact"/>
        <w:ind w:firstLine="972"/>
        <w:jc w:val="left"/>
        <w:rPr>
          <w:rStyle w:val="272"/>
          <w:rFonts w:hAnsi="宋体" w:cs="宋体"/>
          <w:color w:val="auto"/>
          <w:szCs w:val="24"/>
          <w:highlight w:val="none"/>
        </w:rPr>
      </w:pPr>
      <w:r>
        <w:rPr>
          <w:rStyle w:val="272"/>
          <w:rFonts w:hint="eastAsia" w:hAnsi="宋体" w:cs="宋体"/>
          <w:color w:val="auto"/>
          <w:szCs w:val="24"/>
          <w:highlight w:val="none"/>
        </w:rPr>
        <w:t xml:space="preserve"> </w:t>
      </w:r>
    </w:p>
    <w:p w14:paraId="35C09A76">
      <w:pPr>
        <w:pStyle w:val="73"/>
        <w:widowControl w:val="0"/>
        <w:spacing w:line="500" w:lineRule="exact"/>
        <w:ind w:firstLine="3600"/>
        <w:jc w:val="left"/>
        <w:rPr>
          <w:rStyle w:val="272"/>
          <w:rFonts w:hAnsi="宋体" w:cs="宋体"/>
          <w:color w:val="auto"/>
          <w:szCs w:val="24"/>
          <w:highlight w:val="none"/>
        </w:rPr>
      </w:pPr>
      <w:r>
        <w:rPr>
          <w:rStyle w:val="272"/>
          <w:rFonts w:hint="eastAsia" w:hAnsi="宋体" w:cs="宋体"/>
          <w:color w:val="auto"/>
          <w:szCs w:val="24"/>
          <w:highlight w:val="none"/>
        </w:rPr>
        <w:t xml:space="preserve">供应商（电子签章）：                              </w:t>
      </w:r>
    </w:p>
    <w:p w14:paraId="38F270E4">
      <w:pPr>
        <w:pStyle w:val="73"/>
        <w:widowControl w:val="0"/>
        <w:spacing w:line="500" w:lineRule="exact"/>
        <w:ind w:firstLine="3600"/>
        <w:rPr>
          <w:rStyle w:val="272"/>
          <w:rFonts w:hAnsi="宋体" w:cs="宋体"/>
          <w:color w:val="auto"/>
          <w:szCs w:val="24"/>
          <w:highlight w:val="none"/>
        </w:rPr>
      </w:pPr>
      <w:r>
        <w:rPr>
          <w:rStyle w:val="272"/>
          <w:rFonts w:hint="eastAsia" w:hAnsi="宋体" w:cs="宋体"/>
          <w:color w:val="auto"/>
          <w:szCs w:val="24"/>
          <w:highlight w:val="none"/>
        </w:rPr>
        <w:t>日期：</w:t>
      </w:r>
    </w:p>
    <w:p w14:paraId="47E1B45E">
      <w:pPr>
        <w:pStyle w:val="73"/>
        <w:widowControl w:val="0"/>
        <w:spacing w:line="400" w:lineRule="exact"/>
        <w:jc w:val="center"/>
        <w:rPr>
          <w:rStyle w:val="272"/>
          <w:rFonts w:hAnsi="宋体" w:cs="宋体"/>
          <w:color w:val="auto"/>
          <w:sz w:val="28"/>
          <w:szCs w:val="28"/>
          <w:highlight w:val="none"/>
        </w:rPr>
      </w:pPr>
    </w:p>
    <w:p w14:paraId="38D15650">
      <w:pPr>
        <w:pStyle w:val="242"/>
        <w:keepNext w:val="0"/>
        <w:keepLines w:val="0"/>
        <w:widowControl w:val="0"/>
        <w:jc w:val="center"/>
        <w:outlineLvl w:val="9"/>
        <w:rPr>
          <w:rStyle w:val="272"/>
          <w:rFonts w:hAnsi="宋体" w:cs="宋体"/>
          <w:color w:val="auto"/>
          <w:sz w:val="28"/>
          <w:highlight w:val="none"/>
        </w:rPr>
      </w:pPr>
      <w:r>
        <w:rPr>
          <w:rStyle w:val="272"/>
          <w:rFonts w:hint="eastAsia" w:hAnsi="宋体" w:cs="宋体"/>
          <w:color w:val="auto"/>
          <w:sz w:val="28"/>
          <w:highlight w:val="none"/>
        </w:rPr>
        <w:t xml:space="preserve">       </w:t>
      </w:r>
    </w:p>
    <w:p w14:paraId="51E8FE92">
      <w:pPr>
        <w:pStyle w:val="73"/>
        <w:widowControl w:val="0"/>
        <w:spacing w:line="500" w:lineRule="exact"/>
        <w:ind w:firstLine="560"/>
        <w:jc w:val="center"/>
        <w:outlineLvl w:val="1"/>
        <w:rPr>
          <w:rStyle w:val="272"/>
          <w:rFonts w:hint="default" w:hAnsi="宋体" w:eastAsia="宋体" w:cs="宋体"/>
          <w:color w:val="auto"/>
          <w:sz w:val="28"/>
          <w:highlight w:val="none"/>
          <w:lang w:val="en-US" w:eastAsia="zh-CN"/>
        </w:rPr>
      </w:pPr>
      <w:r>
        <w:rPr>
          <w:rStyle w:val="272"/>
          <w:rFonts w:hint="eastAsia" w:hAnsi="宋体" w:cs="宋体"/>
          <w:color w:val="auto"/>
          <w:sz w:val="28"/>
          <w:highlight w:val="none"/>
        </w:rPr>
        <w:br w:type="page" w:clear="all"/>
      </w:r>
      <w:bookmarkStart w:id="167" w:name="_Toc18143"/>
      <w:r>
        <w:rPr>
          <w:rStyle w:val="272"/>
          <w:rFonts w:hint="eastAsia" w:hAnsi="宋体" w:cs="宋体"/>
          <w:color w:val="auto"/>
          <w:sz w:val="28"/>
          <w:highlight w:val="none"/>
        </w:rPr>
        <w:t>十、响应文件编制及评分细则要求提供的其他资料</w:t>
      </w:r>
      <w:bookmarkEnd w:id="167"/>
      <w:r>
        <w:rPr>
          <w:rStyle w:val="272"/>
          <w:rFonts w:hint="eastAsia" w:hAnsi="宋体" w:cs="宋体"/>
          <w:color w:val="auto"/>
          <w:sz w:val="28"/>
          <w:highlight w:val="none"/>
          <w:lang w:val="en-US" w:eastAsia="zh-CN"/>
        </w:rPr>
        <w:t>或承诺</w:t>
      </w:r>
    </w:p>
    <w:p w14:paraId="727B1A20">
      <w:pPr>
        <w:pStyle w:val="73"/>
        <w:widowControl w:val="0"/>
        <w:spacing w:line="500" w:lineRule="exact"/>
        <w:ind w:firstLine="480"/>
        <w:jc w:val="center"/>
        <w:rPr>
          <w:rStyle w:val="272"/>
          <w:rFonts w:hAnsi="宋体" w:cs="宋体"/>
          <w:color w:val="auto"/>
          <w:szCs w:val="24"/>
          <w:highlight w:val="none"/>
        </w:rPr>
      </w:pPr>
      <w:r>
        <w:rPr>
          <w:rStyle w:val="272"/>
          <w:rFonts w:hint="eastAsia" w:hAnsi="宋体" w:cs="宋体"/>
          <w:color w:val="auto"/>
          <w:szCs w:val="24"/>
          <w:highlight w:val="none"/>
        </w:rPr>
        <w:t>（格式自拟）</w:t>
      </w:r>
    </w:p>
    <w:p w14:paraId="77A63DD3">
      <w:pPr>
        <w:pStyle w:val="73"/>
        <w:widowControl w:val="0"/>
        <w:jc w:val="center"/>
        <w:rPr>
          <w:rStyle w:val="272"/>
          <w:rFonts w:hAnsi="宋体" w:cs="宋体"/>
          <w:b/>
          <w:bCs/>
          <w:color w:val="auto"/>
          <w:sz w:val="28"/>
          <w:szCs w:val="32"/>
          <w:highlight w:val="none"/>
        </w:rPr>
      </w:pPr>
    </w:p>
    <w:p w14:paraId="3F9EBFC3">
      <w:pPr>
        <w:pStyle w:val="242"/>
        <w:keepNext w:val="0"/>
        <w:keepLines w:val="0"/>
        <w:widowControl w:val="0"/>
        <w:spacing w:before="0" w:after="0" w:line="360" w:lineRule="auto"/>
        <w:jc w:val="center"/>
        <w:outlineLvl w:val="9"/>
        <w:rPr>
          <w:rStyle w:val="272"/>
          <w:rFonts w:hAnsi="宋体" w:cs="宋体"/>
          <w:color w:val="auto"/>
          <w:sz w:val="28"/>
          <w:highlight w:val="none"/>
        </w:rPr>
      </w:pPr>
    </w:p>
    <w:p w14:paraId="482F7C46">
      <w:pPr>
        <w:pStyle w:val="73"/>
        <w:widowControl w:val="0"/>
        <w:spacing w:line="500" w:lineRule="exact"/>
        <w:jc w:val="center"/>
        <w:outlineLvl w:val="1"/>
        <w:rPr>
          <w:rStyle w:val="272"/>
          <w:rFonts w:hAnsi="宋体" w:cs="宋体"/>
          <w:color w:val="auto"/>
          <w:sz w:val="28"/>
          <w:highlight w:val="none"/>
        </w:rPr>
      </w:pPr>
      <w:bookmarkStart w:id="168" w:name="_Toc6215"/>
      <w:bookmarkStart w:id="169" w:name="_Toc496"/>
      <w:bookmarkStart w:id="170" w:name="_Toc26659"/>
      <w:bookmarkStart w:id="171" w:name="_Toc20964"/>
      <w:r>
        <w:rPr>
          <w:rStyle w:val="272"/>
          <w:rFonts w:hint="eastAsia" w:hAnsi="宋体" w:cs="宋体"/>
          <w:color w:val="auto"/>
          <w:sz w:val="28"/>
          <w:highlight w:val="none"/>
        </w:rPr>
        <w:t>十一、投标承诺书</w:t>
      </w:r>
      <w:bookmarkEnd w:id="168"/>
      <w:bookmarkEnd w:id="169"/>
    </w:p>
    <w:p w14:paraId="60BF5A80">
      <w:pPr>
        <w:spacing w:line="500" w:lineRule="exact"/>
        <w:rPr>
          <w:rFonts w:ascii="宋体" w:hAnsi="宋体" w:cs="宋体"/>
          <w:color w:val="auto"/>
          <w:sz w:val="24"/>
          <w:szCs w:val="24"/>
          <w:highlight w:val="none"/>
          <w:u w:val="single"/>
        </w:rPr>
      </w:pPr>
    </w:p>
    <w:p w14:paraId="27FFCEDF">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1BB009D8">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我单位有幸参加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(项目编号）的招投标活动，在此承诺如下（包含不限于以下内容）：</w:t>
      </w:r>
    </w:p>
    <w:p w14:paraId="4B766C39">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1、投标项目部人员全部为本单位正式上岗人员；</w:t>
      </w:r>
    </w:p>
    <w:p w14:paraId="1922AEDC">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2、本工程不串通投标、不转包、不违法分包、不私招乱雇人员，并向管理部门提供自有劳务人员名单；</w:t>
      </w:r>
    </w:p>
    <w:p w14:paraId="629AF3D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3、按要求办理民工维权告示牌、民工劳动计酬手册及民工上岗胸牌；</w:t>
      </w:r>
    </w:p>
    <w:p w14:paraId="6D88F7E9">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4、遵守廉洁相关规定，不向招投标各方主体及监管部门行贿、受贿；</w:t>
      </w:r>
    </w:p>
    <w:p w14:paraId="3A9B9510">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5、符合徐州市有关部门规定的标准化施工现场要求；</w:t>
      </w:r>
    </w:p>
    <w:p w14:paraId="7DB2648B">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6、不拖欠工人工资，按时发放工人工资；</w:t>
      </w:r>
    </w:p>
    <w:p w14:paraId="3FC8319D">
      <w:pPr>
        <w:spacing w:line="500" w:lineRule="exact"/>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7、其他承诺：</w:t>
      </w:r>
      <w:r>
        <w:rPr>
          <w:rFonts w:hint="eastAsia" w:ascii="宋体" w:hAnsi="宋体" w:cs="宋体"/>
          <w:color w:val="auto"/>
          <w:sz w:val="24"/>
          <w:szCs w:val="24"/>
          <w:highlight w:val="none"/>
          <w:u w:val="single"/>
        </w:rPr>
        <w:t xml:space="preserve">                             。</w:t>
      </w:r>
    </w:p>
    <w:p w14:paraId="7E243D75">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以上承诺如有违反，愿自动放弃本次中标资格，接受相关部门处罚，并自愿退出徐州招投标市场。</w:t>
      </w:r>
    </w:p>
    <w:p w14:paraId="4F56A125">
      <w:pPr>
        <w:pStyle w:val="73"/>
        <w:widowControl w:val="0"/>
        <w:spacing w:line="500" w:lineRule="exact"/>
        <w:ind w:firstLine="3600"/>
        <w:jc w:val="left"/>
        <w:rPr>
          <w:rStyle w:val="272"/>
          <w:rFonts w:hAnsi="宋体" w:cs="宋体"/>
          <w:color w:val="auto"/>
          <w:szCs w:val="24"/>
          <w:highlight w:val="none"/>
        </w:rPr>
      </w:pPr>
      <w:r>
        <w:rPr>
          <w:rStyle w:val="272"/>
          <w:rFonts w:hint="eastAsia" w:hAnsi="宋体" w:cs="宋体"/>
          <w:color w:val="auto"/>
          <w:szCs w:val="24"/>
          <w:highlight w:val="none"/>
        </w:rPr>
        <w:t xml:space="preserve">供应商（电子签章）：                              </w:t>
      </w:r>
    </w:p>
    <w:p w14:paraId="4970FB28">
      <w:pPr>
        <w:pStyle w:val="69"/>
        <w:widowControl w:val="0"/>
        <w:spacing w:after="0" w:line="500" w:lineRule="exact"/>
        <w:ind w:firstLine="4142"/>
        <w:rPr>
          <w:rFonts w:ascii="宋体" w:hAnsi="宋体" w:cs="宋体"/>
          <w:b/>
          <w:i/>
          <w:color w:val="auto"/>
          <w:sz w:val="24"/>
          <w:szCs w:val="24"/>
          <w:highlight w:val="none"/>
          <w:u w:val="single"/>
        </w:rPr>
      </w:pPr>
      <w:r>
        <w:rPr>
          <w:rStyle w:val="272"/>
          <w:rFonts w:hint="eastAsia" w:hAnsi="宋体" w:cs="宋体"/>
          <w:color w:val="auto"/>
          <w:szCs w:val="24"/>
          <w:highlight w:val="none"/>
        </w:rPr>
        <w:t>日期：</w:t>
      </w:r>
    </w:p>
    <w:p w14:paraId="0E600AE5">
      <w:pPr>
        <w:pStyle w:val="37"/>
        <w:spacing w:line="308" w:lineRule="auto"/>
        <w:ind w:firstLine="480"/>
        <w:jc w:val="left"/>
        <w:rPr>
          <w:rFonts w:ascii="宋体" w:hAnsi="宋体" w:cs="宋体"/>
          <w:color w:val="auto"/>
          <w:highlight w:val="none"/>
        </w:rPr>
      </w:pPr>
      <w:r>
        <w:rPr>
          <w:rStyle w:val="272"/>
          <w:rFonts w:hint="eastAsia" w:hAnsi="宋体" w:cs="宋体"/>
          <w:color w:val="auto"/>
          <w:sz w:val="28"/>
          <w:highlight w:val="none"/>
        </w:rPr>
        <w:br w:type="page" w:clear="all"/>
      </w:r>
    </w:p>
    <w:p w14:paraId="158EB31C">
      <w:pPr>
        <w:rPr>
          <w:rStyle w:val="272"/>
          <w:rFonts w:hAnsi="宋体" w:cs="宋体"/>
          <w:color w:val="auto"/>
          <w:sz w:val="28"/>
          <w:highlight w:val="none"/>
        </w:rPr>
      </w:pPr>
    </w:p>
    <w:p w14:paraId="1E79EA54">
      <w:pPr>
        <w:pStyle w:val="242"/>
        <w:keepNext w:val="0"/>
        <w:keepLines w:val="0"/>
        <w:widowControl w:val="0"/>
        <w:spacing w:before="0" w:after="0" w:line="360" w:lineRule="auto"/>
        <w:jc w:val="center"/>
        <w:rPr>
          <w:rStyle w:val="272"/>
          <w:rFonts w:hAnsi="宋体" w:cs="宋体"/>
          <w:color w:val="auto"/>
          <w:sz w:val="28"/>
          <w:highlight w:val="none"/>
        </w:rPr>
      </w:pPr>
      <w:bookmarkStart w:id="172" w:name="_Toc29130"/>
      <w:bookmarkStart w:id="173" w:name="_Toc18719"/>
      <w:r>
        <w:rPr>
          <w:rFonts w:hint="eastAsia" w:ascii="宋体" w:hAnsi="宋体" w:cs="宋体"/>
          <w:color w:val="auto"/>
          <w:sz w:val="28"/>
          <w:highlight w:val="none"/>
        </w:rPr>
        <w:t>十二、</w:t>
      </w:r>
      <w:bookmarkStart w:id="174" w:name="OLE_LINK3"/>
      <w:r>
        <w:rPr>
          <w:rStyle w:val="272"/>
          <w:rFonts w:hint="eastAsia" w:hAnsi="宋体" w:cs="宋体"/>
          <w:color w:val="auto"/>
          <w:sz w:val="28"/>
          <w:highlight w:val="none"/>
        </w:rPr>
        <w:t>《项目负责人无在建工程承诺书》</w:t>
      </w:r>
      <w:bookmarkEnd w:id="172"/>
      <w:bookmarkEnd w:id="173"/>
      <w:bookmarkEnd w:id="174"/>
    </w:p>
    <w:p w14:paraId="461F51FC">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3A99169A">
      <w:pPr>
        <w:pStyle w:val="242"/>
        <w:keepNext w:val="0"/>
        <w:keepLines w:val="0"/>
        <w:widowControl w:val="0"/>
        <w:spacing w:before="0" w:after="0" w:line="360" w:lineRule="auto"/>
        <w:jc w:val="center"/>
        <w:outlineLvl w:val="9"/>
        <w:rPr>
          <w:rStyle w:val="272"/>
          <w:rFonts w:hAnsi="宋体" w:cs="宋体"/>
          <w:b w:val="0"/>
          <w:bCs w:val="0"/>
          <w:color w:val="auto"/>
          <w:sz w:val="28"/>
          <w:highlight w:val="none"/>
        </w:rPr>
      </w:pPr>
      <w:bookmarkStart w:id="175" w:name="OLE_LINK2"/>
      <w:r>
        <w:rPr>
          <w:rStyle w:val="272"/>
          <w:rFonts w:hint="eastAsia" w:hAnsi="宋体" w:cs="宋体"/>
          <w:b w:val="0"/>
          <w:bCs w:val="0"/>
          <w:color w:val="auto"/>
          <w:sz w:val="28"/>
          <w:highlight w:val="none"/>
        </w:rPr>
        <w:t>（格式自拟）</w:t>
      </w:r>
    </w:p>
    <w:p w14:paraId="1E04D48F">
      <w:pPr>
        <w:pStyle w:val="73"/>
        <w:widowControl w:val="0"/>
        <w:spacing w:line="500" w:lineRule="exact"/>
        <w:jc w:val="center"/>
        <w:rPr>
          <w:rStyle w:val="272"/>
          <w:rFonts w:hAnsi="宋体" w:cs="宋体"/>
          <w:color w:val="auto"/>
          <w:szCs w:val="24"/>
          <w:highlight w:val="none"/>
        </w:rPr>
      </w:pPr>
    </w:p>
    <w:p w14:paraId="3A5B37C8">
      <w:pPr>
        <w:pStyle w:val="73"/>
        <w:widowControl w:val="0"/>
        <w:spacing w:line="500" w:lineRule="exact"/>
        <w:jc w:val="center"/>
        <w:rPr>
          <w:rStyle w:val="272"/>
          <w:rFonts w:hAnsi="宋体" w:cs="宋体"/>
          <w:color w:val="auto"/>
          <w:szCs w:val="24"/>
          <w:highlight w:val="none"/>
        </w:rPr>
      </w:pPr>
      <w:r>
        <w:rPr>
          <w:rStyle w:val="272"/>
          <w:rFonts w:hint="eastAsia" w:hAnsi="宋体" w:cs="宋体"/>
          <w:color w:val="auto"/>
          <w:szCs w:val="24"/>
          <w:highlight w:val="none"/>
        </w:rPr>
        <w:t>供应商（电子签章）：</w:t>
      </w:r>
    </w:p>
    <w:p w14:paraId="5877D895">
      <w:pPr>
        <w:pStyle w:val="242"/>
        <w:keepNext w:val="0"/>
        <w:keepLines w:val="0"/>
        <w:widowControl w:val="0"/>
        <w:spacing w:before="0" w:after="0" w:line="360" w:lineRule="auto"/>
        <w:jc w:val="center"/>
        <w:outlineLvl w:val="9"/>
        <w:rPr>
          <w:rFonts w:ascii="宋体" w:hAnsi="宋体" w:cs="宋体"/>
          <w:color w:val="auto"/>
          <w:sz w:val="28"/>
          <w:highlight w:val="none"/>
        </w:rPr>
      </w:pPr>
      <w:r>
        <w:rPr>
          <w:rStyle w:val="272"/>
          <w:rFonts w:hint="eastAsia" w:hAnsi="宋体" w:cs="宋体"/>
          <w:b w:val="0"/>
          <w:bCs w:val="0"/>
          <w:color w:val="auto"/>
          <w:szCs w:val="24"/>
          <w:highlight w:val="none"/>
        </w:rPr>
        <w:t>日期：</w:t>
      </w:r>
      <w:bookmarkEnd w:id="175"/>
    </w:p>
    <w:p w14:paraId="08BCBFAC">
      <w:pPr>
        <w:pStyle w:val="242"/>
        <w:keepNext w:val="0"/>
        <w:keepLines w:val="0"/>
        <w:widowControl w:val="0"/>
        <w:spacing w:before="0" w:after="0" w:line="360" w:lineRule="auto"/>
        <w:jc w:val="center"/>
        <w:outlineLvl w:val="9"/>
        <w:rPr>
          <w:rFonts w:ascii="宋体" w:hAnsi="宋体" w:cs="宋体"/>
          <w:color w:val="auto"/>
          <w:sz w:val="28"/>
          <w:highlight w:val="none"/>
        </w:rPr>
      </w:pPr>
    </w:p>
    <w:p w14:paraId="4C11E068">
      <w:pPr>
        <w:pStyle w:val="73"/>
        <w:rPr>
          <w:rFonts w:ascii="宋体" w:hAnsi="宋体" w:cs="宋体"/>
          <w:b/>
          <w:bCs/>
          <w:color w:val="auto"/>
          <w:sz w:val="28"/>
          <w:szCs w:val="32"/>
          <w:highlight w:val="none"/>
        </w:rPr>
      </w:pPr>
    </w:p>
    <w:p w14:paraId="64DAD517">
      <w:pPr>
        <w:pStyle w:val="78"/>
        <w:outlineLvl w:val="9"/>
        <w:rPr>
          <w:rFonts w:ascii="宋体" w:hAnsi="宋体" w:cs="宋体"/>
          <w:color w:val="auto"/>
          <w:highlight w:val="none"/>
        </w:rPr>
      </w:pPr>
    </w:p>
    <w:p w14:paraId="3A2DAEFE">
      <w:pPr>
        <w:pStyle w:val="74"/>
        <w:rPr>
          <w:rFonts w:ascii="宋体" w:hAnsi="宋体" w:eastAsia="宋体" w:cs="宋体"/>
          <w:color w:val="auto"/>
          <w:highlight w:val="none"/>
        </w:rPr>
      </w:pPr>
    </w:p>
    <w:p w14:paraId="059F25BC">
      <w:pPr>
        <w:pStyle w:val="242"/>
        <w:keepNext w:val="0"/>
        <w:keepLines w:val="0"/>
        <w:widowControl w:val="0"/>
        <w:spacing w:before="0" w:after="0" w:line="360" w:lineRule="auto"/>
        <w:jc w:val="center"/>
        <w:rPr>
          <w:rStyle w:val="272"/>
          <w:rFonts w:hAnsi="宋体" w:cs="宋体"/>
          <w:color w:val="auto"/>
          <w:sz w:val="28"/>
          <w:highlight w:val="none"/>
        </w:rPr>
      </w:pPr>
      <w:bookmarkStart w:id="176" w:name="_Toc14407"/>
      <w:r>
        <w:rPr>
          <w:rStyle w:val="272"/>
          <w:rFonts w:hint="eastAsia" w:hAnsi="宋体" w:cs="宋体"/>
          <w:color w:val="auto"/>
          <w:sz w:val="28"/>
          <w:highlight w:val="none"/>
        </w:rPr>
        <w:t>十三、《无不良行为承诺书》</w:t>
      </w:r>
      <w:bookmarkEnd w:id="176"/>
    </w:p>
    <w:p w14:paraId="45776082">
      <w:p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14:paraId="0FBE3272">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至少包含：</w:t>
      </w:r>
    </w:p>
    <w:p w14:paraId="0EA20361">
      <w:pPr>
        <w:pStyle w:val="37"/>
        <w:spacing w:line="308" w:lineRule="auto"/>
        <w:ind w:firstLine="480"/>
        <w:jc w:val="left"/>
        <w:rPr>
          <w:rFonts w:ascii="宋体" w:hAnsi="宋体" w:cs="宋体"/>
          <w:color w:val="auto"/>
          <w:highlight w:val="none"/>
        </w:rPr>
      </w:pPr>
      <w:r>
        <w:rPr>
          <w:rFonts w:hint="eastAsia" w:ascii="宋体" w:hAnsi="宋体" w:cs="宋体"/>
          <w:color w:val="auto"/>
          <w:highlight w:val="none"/>
        </w:rPr>
        <w:t>供应商近三年内没有被司法部门或行业管理部门查处；没有处于被责令停业、财产被接管、冻结、破产等状态；企业没有骗取中标或者严重违约以及质量安全责任事故；企业没有拖欠工人工资等问题；没有被有关部门暂停投标资格或行贿受贿等不良行为记录。</w:t>
      </w:r>
    </w:p>
    <w:p w14:paraId="78684A0C">
      <w:pPr>
        <w:pStyle w:val="242"/>
        <w:keepNext w:val="0"/>
        <w:keepLines w:val="0"/>
        <w:widowControl w:val="0"/>
        <w:spacing w:before="0" w:after="0" w:line="360" w:lineRule="auto"/>
        <w:jc w:val="center"/>
        <w:outlineLvl w:val="9"/>
        <w:rPr>
          <w:rStyle w:val="272"/>
          <w:rFonts w:hAnsi="宋体" w:cs="宋体"/>
          <w:b w:val="0"/>
          <w:bCs w:val="0"/>
          <w:color w:val="auto"/>
          <w:sz w:val="28"/>
          <w:highlight w:val="none"/>
        </w:rPr>
      </w:pPr>
    </w:p>
    <w:p w14:paraId="53ED95D6">
      <w:pPr>
        <w:pStyle w:val="242"/>
        <w:keepNext w:val="0"/>
        <w:keepLines w:val="0"/>
        <w:widowControl w:val="0"/>
        <w:spacing w:before="0" w:after="0" w:line="360" w:lineRule="auto"/>
        <w:jc w:val="center"/>
        <w:outlineLvl w:val="9"/>
        <w:rPr>
          <w:rStyle w:val="272"/>
          <w:rFonts w:hAnsi="宋体" w:cs="宋体"/>
          <w:b w:val="0"/>
          <w:bCs w:val="0"/>
          <w:color w:val="auto"/>
          <w:sz w:val="28"/>
          <w:highlight w:val="none"/>
        </w:rPr>
      </w:pPr>
      <w:r>
        <w:rPr>
          <w:rStyle w:val="272"/>
          <w:rFonts w:hint="eastAsia" w:hAnsi="宋体" w:cs="宋体"/>
          <w:b w:val="0"/>
          <w:bCs w:val="0"/>
          <w:color w:val="auto"/>
          <w:sz w:val="28"/>
          <w:highlight w:val="none"/>
        </w:rPr>
        <w:t>（格式自拟）</w:t>
      </w:r>
    </w:p>
    <w:p w14:paraId="5C9A06BC">
      <w:pPr>
        <w:pStyle w:val="73"/>
        <w:widowControl w:val="0"/>
        <w:spacing w:line="500" w:lineRule="exact"/>
        <w:jc w:val="center"/>
        <w:rPr>
          <w:rStyle w:val="272"/>
          <w:rFonts w:hAnsi="宋体" w:cs="宋体"/>
          <w:color w:val="auto"/>
          <w:szCs w:val="24"/>
          <w:highlight w:val="none"/>
        </w:rPr>
      </w:pPr>
    </w:p>
    <w:p w14:paraId="1C014BE4">
      <w:pPr>
        <w:pStyle w:val="73"/>
        <w:widowControl w:val="0"/>
        <w:spacing w:line="500" w:lineRule="exact"/>
        <w:jc w:val="center"/>
        <w:rPr>
          <w:rStyle w:val="272"/>
          <w:rFonts w:hAnsi="宋体" w:cs="宋体"/>
          <w:color w:val="auto"/>
          <w:szCs w:val="24"/>
          <w:highlight w:val="none"/>
        </w:rPr>
      </w:pPr>
    </w:p>
    <w:p w14:paraId="78C92B63">
      <w:pPr>
        <w:pStyle w:val="73"/>
        <w:widowControl w:val="0"/>
        <w:spacing w:line="500" w:lineRule="exact"/>
        <w:jc w:val="center"/>
        <w:rPr>
          <w:rStyle w:val="272"/>
          <w:rFonts w:hAnsi="宋体" w:cs="宋体"/>
          <w:color w:val="auto"/>
          <w:szCs w:val="24"/>
          <w:highlight w:val="none"/>
        </w:rPr>
      </w:pPr>
      <w:r>
        <w:rPr>
          <w:rStyle w:val="272"/>
          <w:rFonts w:hint="eastAsia" w:hAnsi="宋体" w:cs="宋体"/>
          <w:color w:val="auto"/>
          <w:szCs w:val="24"/>
          <w:highlight w:val="none"/>
        </w:rPr>
        <w:t>供应商（电子签章）：</w:t>
      </w:r>
    </w:p>
    <w:p w14:paraId="589272B1">
      <w:pPr>
        <w:pStyle w:val="242"/>
        <w:keepNext w:val="0"/>
        <w:keepLines w:val="0"/>
        <w:widowControl w:val="0"/>
        <w:spacing w:before="0" w:after="0" w:line="360" w:lineRule="auto"/>
        <w:jc w:val="center"/>
        <w:outlineLvl w:val="9"/>
        <w:rPr>
          <w:rFonts w:ascii="宋体" w:hAnsi="宋体" w:cs="宋体"/>
          <w:color w:val="auto"/>
          <w:sz w:val="28"/>
          <w:highlight w:val="none"/>
        </w:rPr>
      </w:pPr>
      <w:r>
        <w:rPr>
          <w:rStyle w:val="272"/>
          <w:rFonts w:hint="eastAsia" w:hAnsi="宋体" w:cs="宋体"/>
          <w:b w:val="0"/>
          <w:bCs w:val="0"/>
          <w:color w:val="auto"/>
          <w:szCs w:val="24"/>
          <w:highlight w:val="none"/>
        </w:rPr>
        <w:t>日期：</w:t>
      </w:r>
    </w:p>
    <w:p w14:paraId="0546E8B7">
      <w:pPr>
        <w:pStyle w:val="73"/>
        <w:rPr>
          <w:rFonts w:ascii="宋体" w:hAnsi="宋体" w:cs="宋体"/>
          <w:color w:val="auto"/>
          <w:highlight w:val="none"/>
        </w:rPr>
      </w:pPr>
    </w:p>
    <w:p w14:paraId="0C5A63FD">
      <w:pPr>
        <w:pStyle w:val="242"/>
        <w:keepNext w:val="0"/>
        <w:keepLines w:val="0"/>
        <w:widowControl w:val="0"/>
        <w:spacing w:before="0" w:after="0" w:line="360" w:lineRule="auto"/>
        <w:jc w:val="center"/>
        <w:outlineLvl w:val="9"/>
        <w:rPr>
          <w:rFonts w:ascii="宋体" w:hAnsi="宋体" w:cs="宋体"/>
          <w:color w:val="auto"/>
          <w:sz w:val="28"/>
          <w:highlight w:val="none"/>
        </w:rPr>
      </w:pPr>
      <w:bookmarkStart w:id="177" w:name="_Toc6512"/>
    </w:p>
    <w:p w14:paraId="02BA9A89">
      <w:pPr>
        <w:rPr>
          <w:rFonts w:ascii="宋体" w:hAnsi="宋体" w:cs="宋体"/>
          <w:b/>
          <w:bCs/>
          <w:color w:val="auto"/>
          <w:sz w:val="28"/>
          <w:szCs w:val="32"/>
          <w:highlight w:val="none"/>
        </w:rPr>
      </w:pPr>
      <w:r>
        <w:rPr>
          <w:rFonts w:hint="eastAsia" w:ascii="宋体" w:hAnsi="宋体" w:cs="宋体"/>
          <w:b/>
          <w:bCs/>
          <w:color w:val="auto"/>
          <w:sz w:val="28"/>
          <w:szCs w:val="32"/>
          <w:highlight w:val="none"/>
        </w:rPr>
        <w:br w:type="page" w:clear="all"/>
      </w:r>
    </w:p>
    <w:p w14:paraId="4BC72108">
      <w:pPr>
        <w:pStyle w:val="242"/>
        <w:keepNext w:val="0"/>
        <w:keepLines w:val="0"/>
        <w:widowControl w:val="0"/>
        <w:spacing w:before="0" w:after="0" w:line="360" w:lineRule="auto"/>
        <w:jc w:val="center"/>
        <w:rPr>
          <w:rStyle w:val="272"/>
          <w:rFonts w:hAnsi="宋体" w:cs="宋体"/>
          <w:color w:val="auto"/>
          <w:sz w:val="28"/>
          <w:highlight w:val="none"/>
        </w:rPr>
      </w:pPr>
      <w:bookmarkStart w:id="178" w:name="_Toc30498"/>
      <w:r>
        <w:rPr>
          <w:rFonts w:hint="eastAsia" w:ascii="宋体" w:hAnsi="宋体" w:cs="宋体"/>
          <w:color w:val="auto"/>
          <w:sz w:val="28"/>
          <w:highlight w:val="none"/>
        </w:rPr>
        <w:t>十四、</w:t>
      </w:r>
      <w:r>
        <w:rPr>
          <w:rStyle w:val="272"/>
          <w:rFonts w:hint="eastAsia" w:hAnsi="宋体" w:cs="宋体"/>
          <w:color w:val="auto"/>
          <w:sz w:val="28"/>
          <w:highlight w:val="none"/>
        </w:rPr>
        <w:t>预付款保函支付条款模板</w:t>
      </w:r>
      <w:bookmarkEnd w:id="170"/>
      <w:bookmarkEnd w:id="171"/>
      <w:bookmarkEnd w:id="177"/>
      <w:bookmarkEnd w:id="178"/>
    </w:p>
    <w:p w14:paraId="314B10A4">
      <w:pPr>
        <w:pStyle w:val="73"/>
        <w:widowControl w:val="0"/>
        <w:spacing w:line="360" w:lineRule="auto"/>
        <w:jc w:val="left"/>
        <w:rPr>
          <w:rFonts w:ascii="宋体" w:hAnsi="宋体" w:cs="宋体"/>
          <w:b/>
          <w:color w:val="auto"/>
          <w:sz w:val="24"/>
          <w:szCs w:val="24"/>
          <w:highlight w:val="none"/>
        </w:rPr>
      </w:pPr>
      <w:bookmarkStart w:id="179" w:name="_Toc25213"/>
      <w:bookmarkStart w:id="180" w:name="_Toc6131"/>
      <w:r>
        <w:rPr>
          <w:rFonts w:hint="eastAsia" w:ascii="宋体" w:hAnsi="宋体" w:cs="宋体"/>
          <w:b/>
          <w:color w:val="auto"/>
          <w:sz w:val="24"/>
          <w:szCs w:val="24"/>
          <w:highlight w:val="none"/>
        </w:rPr>
        <w:t>符合条件一：提交预付款保函的</w:t>
      </w:r>
      <w:bookmarkEnd w:id="179"/>
      <w:bookmarkEnd w:id="180"/>
    </w:p>
    <w:p w14:paraId="27CA412A">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人民币。</w:t>
      </w:r>
    </w:p>
    <w:p w14:paraId="1532BD14">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乙方需提交的支付文件：乙方出具的全额正式发票。</w:t>
      </w:r>
    </w:p>
    <w:p w14:paraId="568C736B">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人民币 。 </w:t>
      </w:r>
    </w:p>
    <w:p w14:paraId="6534B0D4">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1709081">
      <w:pPr>
        <w:pStyle w:val="73"/>
        <w:widowControl w:val="0"/>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符合条件二：不提交预付款保函的</w:t>
      </w:r>
    </w:p>
    <w:p w14:paraId="46647663">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人民币。</w:t>
      </w:r>
    </w:p>
    <w:p w14:paraId="171E7F6C">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乙方需提交的支付文件：乙方出具的全额正式发票。</w:t>
      </w:r>
    </w:p>
    <w:p w14:paraId="080B0258">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个工作日内，甲方应支付合同价款的百分之</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人民币。</w:t>
      </w:r>
    </w:p>
    <w:p w14:paraId="29658E9C">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81CC9B1">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注: </w:t>
      </w:r>
    </w:p>
    <w:p w14:paraId="43726F08">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1、付款条件一中，出具预付款保函后支付的合同款应当与保函金额一致。</w:t>
      </w:r>
    </w:p>
    <w:p w14:paraId="181A56AF">
      <w:pPr>
        <w:pStyle w:val="73"/>
        <w:widowControl w:val="0"/>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2、付款条件二中，预付款比例设定应符合《关于做好政府采购支持企业发展有关事项的通知》(苏财购〔2020〕52号)要求。</w:t>
      </w:r>
    </w:p>
    <w:p w14:paraId="457C23B5">
      <w:pPr>
        <w:pStyle w:val="74"/>
        <w:rPr>
          <w:rFonts w:ascii="宋体" w:hAnsi="宋体" w:eastAsia="宋体" w:cs="宋体"/>
          <w:color w:val="auto"/>
          <w:sz w:val="24"/>
          <w:szCs w:val="24"/>
          <w:highlight w:val="none"/>
        </w:rPr>
      </w:pPr>
    </w:p>
    <w:p w14:paraId="4672B012">
      <w:pPr>
        <w:pStyle w:val="78"/>
        <w:outlineLvl w:val="9"/>
        <w:rPr>
          <w:rFonts w:ascii="宋体" w:hAnsi="宋体" w:cs="宋体"/>
          <w:color w:val="auto"/>
          <w:sz w:val="24"/>
          <w:szCs w:val="24"/>
          <w:highlight w:val="none"/>
        </w:rPr>
      </w:pPr>
    </w:p>
    <w:p w14:paraId="38D969CC">
      <w:pPr>
        <w:pStyle w:val="73"/>
        <w:rPr>
          <w:rFonts w:ascii="宋体" w:hAnsi="宋体" w:cs="宋体"/>
          <w:color w:val="auto"/>
          <w:sz w:val="24"/>
          <w:szCs w:val="24"/>
          <w:highlight w:val="none"/>
        </w:rPr>
      </w:pPr>
    </w:p>
    <w:p w14:paraId="07BC86FD">
      <w:pPr>
        <w:pStyle w:val="74"/>
        <w:rPr>
          <w:rFonts w:ascii="宋体" w:hAnsi="宋体" w:eastAsia="宋体" w:cs="宋体"/>
          <w:color w:val="auto"/>
          <w:sz w:val="24"/>
          <w:szCs w:val="24"/>
          <w:highlight w:val="none"/>
        </w:rPr>
      </w:pPr>
    </w:p>
    <w:p w14:paraId="66933D26">
      <w:pPr>
        <w:pStyle w:val="78"/>
        <w:outlineLvl w:val="9"/>
        <w:rPr>
          <w:rFonts w:ascii="宋体" w:hAnsi="宋体" w:cs="宋体"/>
          <w:color w:val="auto"/>
          <w:sz w:val="24"/>
          <w:szCs w:val="24"/>
          <w:highlight w:val="none"/>
        </w:rPr>
      </w:pPr>
    </w:p>
    <w:p w14:paraId="399DBF36">
      <w:pPr>
        <w:pStyle w:val="73"/>
        <w:rPr>
          <w:rFonts w:ascii="宋体" w:hAnsi="宋体" w:cs="宋体"/>
          <w:color w:val="auto"/>
          <w:sz w:val="24"/>
          <w:szCs w:val="24"/>
          <w:highlight w:val="none"/>
        </w:rPr>
      </w:pPr>
    </w:p>
    <w:p w14:paraId="73BD3D60">
      <w:pPr>
        <w:pStyle w:val="74"/>
        <w:rPr>
          <w:rFonts w:ascii="宋体" w:hAnsi="宋体" w:eastAsia="宋体" w:cs="宋体"/>
          <w:color w:val="auto"/>
          <w:sz w:val="24"/>
          <w:szCs w:val="24"/>
          <w:highlight w:val="none"/>
        </w:rPr>
      </w:pPr>
    </w:p>
    <w:p w14:paraId="3DE88602">
      <w:pPr>
        <w:pStyle w:val="78"/>
        <w:outlineLvl w:val="9"/>
        <w:rPr>
          <w:rFonts w:ascii="宋体" w:hAnsi="宋体" w:cs="宋体"/>
          <w:color w:val="auto"/>
          <w:sz w:val="24"/>
          <w:szCs w:val="24"/>
          <w:highlight w:val="none"/>
        </w:rPr>
      </w:pPr>
    </w:p>
    <w:p w14:paraId="1C69D791">
      <w:pPr>
        <w:pStyle w:val="73"/>
        <w:rPr>
          <w:rFonts w:ascii="宋体" w:hAnsi="宋体" w:cs="宋体"/>
          <w:color w:val="auto"/>
          <w:sz w:val="24"/>
          <w:szCs w:val="24"/>
          <w:highlight w:val="none"/>
        </w:rPr>
      </w:pPr>
    </w:p>
    <w:p w14:paraId="237F8B2D">
      <w:pPr>
        <w:pStyle w:val="74"/>
        <w:rPr>
          <w:rFonts w:ascii="宋体" w:hAnsi="宋体" w:eastAsia="宋体" w:cs="宋体"/>
          <w:color w:val="auto"/>
          <w:sz w:val="24"/>
          <w:szCs w:val="24"/>
          <w:highlight w:val="none"/>
        </w:rPr>
      </w:pPr>
    </w:p>
    <w:p w14:paraId="6F0B0B58">
      <w:pPr>
        <w:pStyle w:val="78"/>
        <w:outlineLvl w:val="9"/>
        <w:rPr>
          <w:rFonts w:ascii="宋体" w:hAnsi="宋体" w:cs="宋体"/>
          <w:color w:val="auto"/>
          <w:sz w:val="24"/>
          <w:szCs w:val="24"/>
          <w:highlight w:val="none"/>
        </w:rPr>
      </w:pPr>
    </w:p>
    <w:p w14:paraId="15BF328C">
      <w:pPr>
        <w:pStyle w:val="73"/>
        <w:rPr>
          <w:rFonts w:ascii="宋体" w:hAnsi="宋体" w:cs="宋体"/>
          <w:color w:val="auto"/>
          <w:sz w:val="24"/>
          <w:szCs w:val="24"/>
          <w:highlight w:val="none"/>
        </w:rPr>
      </w:pPr>
    </w:p>
    <w:p w14:paraId="6302D6D6">
      <w:pPr>
        <w:pStyle w:val="74"/>
        <w:rPr>
          <w:rFonts w:ascii="宋体" w:hAnsi="宋体" w:eastAsia="宋体" w:cs="宋体"/>
          <w:color w:val="auto"/>
          <w:sz w:val="24"/>
          <w:szCs w:val="24"/>
          <w:highlight w:val="none"/>
        </w:rPr>
      </w:pPr>
    </w:p>
    <w:p w14:paraId="7EF8AF7F">
      <w:pPr>
        <w:pStyle w:val="78"/>
        <w:outlineLvl w:val="9"/>
        <w:rPr>
          <w:rFonts w:ascii="宋体" w:hAnsi="宋体" w:cs="宋体"/>
          <w:color w:val="auto"/>
          <w:sz w:val="24"/>
          <w:szCs w:val="24"/>
          <w:highlight w:val="none"/>
        </w:rPr>
      </w:pPr>
    </w:p>
    <w:p w14:paraId="2571A096">
      <w:pPr>
        <w:pStyle w:val="73"/>
        <w:rPr>
          <w:rFonts w:ascii="宋体" w:hAnsi="宋体" w:cs="宋体"/>
          <w:color w:val="auto"/>
          <w:sz w:val="24"/>
          <w:szCs w:val="24"/>
          <w:highlight w:val="none"/>
        </w:rPr>
      </w:pPr>
    </w:p>
    <w:p w14:paraId="132A614D">
      <w:pPr>
        <w:pStyle w:val="74"/>
        <w:rPr>
          <w:rFonts w:ascii="宋体" w:hAnsi="宋体" w:eastAsia="宋体" w:cs="宋体"/>
          <w:color w:val="auto"/>
          <w:sz w:val="24"/>
          <w:szCs w:val="24"/>
          <w:highlight w:val="none"/>
        </w:rPr>
      </w:pPr>
    </w:p>
    <w:p w14:paraId="5BE39366">
      <w:pPr>
        <w:pStyle w:val="78"/>
        <w:outlineLvl w:val="9"/>
        <w:rPr>
          <w:rFonts w:ascii="宋体" w:hAnsi="宋体" w:cs="宋体"/>
          <w:color w:val="auto"/>
          <w:sz w:val="24"/>
          <w:szCs w:val="24"/>
          <w:highlight w:val="none"/>
        </w:rPr>
      </w:pPr>
    </w:p>
    <w:p w14:paraId="449A9462">
      <w:pPr>
        <w:pStyle w:val="73"/>
        <w:rPr>
          <w:rFonts w:ascii="宋体" w:hAnsi="宋体" w:cs="宋体"/>
          <w:color w:val="auto"/>
          <w:sz w:val="24"/>
          <w:szCs w:val="24"/>
          <w:highlight w:val="none"/>
        </w:rPr>
      </w:pPr>
    </w:p>
    <w:p w14:paraId="793B55C1">
      <w:pPr>
        <w:pStyle w:val="74"/>
        <w:rPr>
          <w:rFonts w:ascii="宋体" w:hAnsi="宋体" w:eastAsia="宋体" w:cs="宋体"/>
          <w:color w:val="auto"/>
          <w:highlight w:val="none"/>
        </w:rPr>
      </w:pPr>
    </w:p>
    <w:p w14:paraId="7455CB5D">
      <w:pPr>
        <w:pStyle w:val="73"/>
        <w:widowControl w:val="0"/>
        <w:spacing w:line="360" w:lineRule="auto"/>
        <w:ind w:firstLine="480"/>
        <w:jc w:val="left"/>
        <w:rPr>
          <w:rFonts w:ascii="宋体" w:hAnsi="宋体" w:cs="宋体"/>
          <w:color w:val="auto"/>
          <w:sz w:val="24"/>
          <w:szCs w:val="24"/>
          <w:highlight w:val="none"/>
        </w:rPr>
      </w:pPr>
    </w:p>
    <w:p w14:paraId="1A67B18A">
      <w:pPr>
        <w:spacing w:line="360" w:lineRule="auto"/>
        <w:jc w:val="center"/>
        <w:outlineLvl w:val="1"/>
        <w:rPr>
          <w:rStyle w:val="272"/>
          <w:rFonts w:hAnsi="宋体" w:cs="宋体"/>
          <w:b/>
          <w:bCs/>
          <w:color w:val="auto"/>
          <w:sz w:val="28"/>
          <w:szCs w:val="32"/>
          <w:highlight w:val="none"/>
        </w:rPr>
      </w:pPr>
      <w:bookmarkStart w:id="181" w:name="_Toc17998"/>
      <w:r>
        <w:rPr>
          <w:rStyle w:val="272"/>
          <w:rFonts w:hint="eastAsia" w:hAnsi="宋体" w:cs="宋体"/>
          <w:b/>
          <w:bCs/>
          <w:color w:val="auto"/>
          <w:sz w:val="28"/>
          <w:szCs w:val="32"/>
          <w:highlight w:val="none"/>
        </w:rPr>
        <w:t>十五、</w:t>
      </w:r>
      <w:bookmarkStart w:id="182" w:name="_Hlk196843306"/>
      <w:r>
        <w:rPr>
          <w:rStyle w:val="272"/>
          <w:rFonts w:hint="eastAsia" w:hAnsi="宋体" w:cs="宋体"/>
          <w:b/>
          <w:bCs/>
          <w:color w:val="auto"/>
          <w:sz w:val="28"/>
          <w:szCs w:val="32"/>
          <w:highlight w:val="none"/>
        </w:rPr>
        <w:t>承包人主要施工管理人员表</w:t>
      </w:r>
      <w:bookmarkEnd w:id="181"/>
      <w:bookmarkEnd w:id="182"/>
    </w:p>
    <w:p w14:paraId="1712AD43">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sz w:val="24"/>
          <w:highlight w:val="none"/>
        </w:rPr>
      </w:pPr>
      <w:r>
        <w:rPr>
          <w:rFonts w:hint="eastAsia" w:ascii="宋体" w:hAnsi="宋体" w:cs="宋体"/>
          <w:color w:val="auto"/>
          <w:sz w:val="24"/>
          <w:highlight w:val="none"/>
        </w:rPr>
        <w:t>项目编号：JSZC-320300-JSKJ-C2026-0027</w:t>
      </w:r>
    </w:p>
    <w:p w14:paraId="428DAAAC">
      <w:pPr>
        <w:pStyle w:val="69"/>
        <w:rPr>
          <w:rFonts w:ascii="宋体" w:hAnsi="宋体" w:cs="宋体"/>
          <w:color w:val="auto"/>
          <w:highlight w:val="none"/>
        </w:rPr>
      </w:pPr>
      <w:r>
        <w:rPr>
          <w:rFonts w:hint="eastAsia" w:ascii="宋体" w:hAnsi="宋体" w:cs="宋体"/>
          <w:color w:val="auto"/>
          <w:sz w:val="24"/>
          <w:highlight w:val="none"/>
        </w:rPr>
        <w:t>项目名称：毕业生房间粉刷维修及宿舍八组团维修改造工程采购包：</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915"/>
        <w:gridCol w:w="1854"/>
        <w:gridCol w:w="1854"/>
        <w:gridCol w:w="1854"/>
        <w:gridCol w:w="1869"/>
      </w:tblGrid>
      <w:tr w14:paraId="05407B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FD95F5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名    称</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12AE0FF">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姓名</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5067B6A">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职务</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24B9771D">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职称</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7A1B52B2">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主要资历、经验及承担过的项目</w:t>
            </w:r>
          </w:p>
        </w:tc>
      </w:tr>
      <w:tr w14:paraId="362F96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9346" w:type="dxa"/>
            <w:gridSpan w:val="5"/>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5D20C5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一、总部人员</w:t>
            </w:r>
          </w:p>
        </w:tc>
      </w:tr>
      <w:tr w14:paraId="6A0ABD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A9B8E7E">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项目主管</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CB64C98">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8A52E60">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3F0D379">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8ED7E15">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20AA7F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9074C9F">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其他人员</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813463A">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67A1070">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3D56BB5">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D91E27C">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53DE91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9346" w:type="dxa"/>
            <w:gridSpan w:val="5"/>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7F66DC9">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二、现场人员</w:t>
            </w:r>
          </w:p>
        </w:tc>
      </w:tr>
      <w:tr w14:paraId="6CCCC5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C7A5780">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项目经理</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C7B9960">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CB7C37A">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0D303B9">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7A42B954">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4DCCFD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06C74E25">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技术负责人</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270D9704">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F67496C">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8788D5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3D281DE">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77B62C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C34B7F1">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造价管理</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D818786">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0D38D389">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817D68E">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258EF0BC">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48CD01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22D1FF3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质量管理</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D381F91">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D1FE7ED">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C11387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BAF8D4F">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3B370B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7BBFFB7E">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材料管理</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0F20091D">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B0A4638">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434C46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675ECEF9">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7EFFA6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9BF8203">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安全管理</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52EB8641">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08A4B4C">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4777ABA">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6ABFC6D">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r w14:paraId="557442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6" w:hRule="atLeast"/>
        </w:trPr>
        <w:tc>
          <w:tcPr>
            <w:tcW w:w="1915"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30AA4D2F">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其他人员</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05FD42D">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75B7C7E">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54"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1BC3C5D1">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c>
          <w:tcPr>
            <w:tcW w:w="1869" w:type="dxa"/>
            <w:tcBorders>
              <w:top w:val="single" w:color="000000" w:sz="4" w:space="0"/>
              <w:left w:val="single" w:color="000000" w:sz="4" w:space="0"/>
              <w:bottom w:val="single" w:color="000000" w:sz="4" w:space="0"/>
              <w:right w:val="single" w:color="000000" w:sz="4" w:space="0"/>
            </w:tcBorders>
            <w:tcMar>
              <w:top w:w="0" w:type="dxa"/>
              <w:left w:w="28" w:type="dxa"/>
              <w:bottom w:w="0" w:type="dxa"/>
              <w:right w:w="28" w:type="dxa"/>
            </w:tcMar>
            <w:vAlign w:val="center"/>
          </w:tcPr>
          <w:p w14:paraId="4088A6D0">
            <w:pPr>
              <w:pBdr>
                <w:top w:val="none" w:color="000000" w:sz="0" w:space="0"/>
                <w:left w:val="none" w:color="000000" w:sz="0" w:space="0"/>
                <w:bottom w:val="none" w:color="000000" w:sz="0" w:space="0"/>
                <w:right w:val="none" w:color="000000" w:sz="0" w:space="0"/>
              </w:pBdr>
              <w:spacing w:line="259" w:lineRule="atLeast"/>
              <w:ind w:right="-216"/>
              <w:rPr>
                <w:rFonts w:ascii="宋体" w:hAnsi="宋体" w:cs="宋体"/>
                <w:color w:val="auto"/>
                <w:highlight w:val="none"/>
              </w:rPr>
            </w:pPr>
            <w:r>
              <w:rPr>
                <w:rFonts w:hint="eastAsia" w:ascii="宋体" w:hAnsi="宋体" w:cs="宋体"/>
                <w:color w:val="auto"/>
                <w:sz w:val="24"/>
                <w:highlight w:val="none"/>
              </w:rPr>
              <w:t> </w:t>
            </w:r>
          </w:p>
        </w:tc>
      </w:tr>
    </w:tbl>
    <w:p w14:paraId="683244CC">
      <w:pPr>
        <w:pBdr>
          <w:top w:val="none" w:color="000000" w:sz="0" w:space="0"/>
          <w:left w:val="none" w:color="000000" w:sz="0" w:space="0"/>
          <w:bottom w:val="none" w:color="000000" w:sz="0" w:space="0"/>
          <w:right w:val="none" w:color="000000" w:sz="0" w:space="0"/>
        </w:pBdr>
        <w:spacing w:before="220" w:line="360" w:lineRule="exact"/>
        <w:ind w:firstLine="3373"/>
        <w:rPr>
          <w:rFonts w:ascii="宋体" w:hAnsi="宋体" w:cs="宋体"/>
          <w:b/>
          <w:bCs/>
          <w:color w:val="auto"/>
          <w:sz w:val="24"/>
          <w:highlight w:val="none"/>
        </w:rPr>
      </w:pPr>
    </w:p>
    <w:p w14:paraId="6B864004">
      <w:pPr>
        <w:pBdr>
          <w:top w:val="none" w:color="000000" w:sz="0" w:space="0"/>
          <w:left w:val="none" w:color="000000" w:sz="0" w:space="0"/>
          <w:bottom w:val="none" w:color="000000" w:sz="0" w:space="0"/>
          <w:right w:val="none" w:color="000000" w:sz="0" w:space="0"/>
        </w:pBdr>
        <w:spacing w:before="220" w:line="360" w:lineRule="exact"/>
        <w:ind w:firstLine="3373"/>
        <w:rPr>
          <w:rFonts w:ascii="宋体" w:hAnsi="宋体" w:cs="宋体"/>
          <w:b/>
          <w:bCs/>
          <w:color w:val="auto"/>
          <w:sz w:val="24"/>
          <w:highlight w:val="none"/>
        </w:rPr>
      </w:pPr>
      <w:r>
        <w:rPr>
          <w:rFonts w:hint="eastAsia" w:ascii="宋体" w:hAnsi="宋体" w:cs="宋体"/>
          <w:b/>
          <w:bCs/>
          <w:color w:val="auto"/>
          <w:sz w:val="24"/>
          <w:highlight w:val="none"/>
        </w:rPr>
        <w:t>供应商（电子签章）：</w:t>
      </w:r>
    </w:p>
    <w:p w14:paraId="1852C79A">
      <w:pPr>
        <w:pBdr>
          <w:top w:val="none" w:color="000000" w:sz="0" w:space="0"/>
          <w:left w:val="none" w:color="000000" w:sz="0" w:space="0"/>
          <w:bottom w:val="none" w:color="000000" w:sz="0" w:space="0"/>
          <w:right w:val="none" w:color="000000" w:sz="0" w:space="0"/>
        </w:pBdr>
        <w:spacing w:before="220" w:line="360" w:lineRule="exact"/>
        <w:ind w:firstLine="3373"/>
        <w:rPr>
          <w:rFonts w:ascii="宋体" w:hAnsi="宋体" w:cs="宋体"/>
          <w:b/>
          <w:bCs/>
          <w:color w:val="auto"/>
          <w:sz w:val="24"/>
          <w:highlight w:val="none"/>
        </w:rPr>
      </w:pPr>
      <w:r>
        <w:rPr>
          <w:rFonts w:hint="eastAsia" w:ascii="宋体" w:hAnsi="宋体" w:cs="宋体"/>
          <w:b/>
          <w:bCs/>
          <w:color w:val="auto"/>
          <w:sz w:val="24"/>
          <w:highlight w:val="none"/>
        </w:rPr>
        <w:t>日 期：  年  月  日</w:t>
      </w:r>
    </w:p>
    <w:p w14:paraId="3AC01305">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auto"/>
          <w:sz w:val="24"/>
          <w:highlight w:val="none"/>
        </w:rPr>
      </w:pPr>
    </w:p>
    <w:p w14:paraId="75A689DE">
      <w:pPr>
        <w:pBdr>
          <w:top w:val="none" w:color="000000" w:sz="0" w:space="0"/>
          <w:left w:val="none" w:color="000000" w:sz="0" w:space="0"/>
          <w:bottom w:val="none" w:color="000000" w:sz="0" w:space="0"/>
          <w:right w:val="none" w:color="000000" w:sz="0" w:space="0"/>
        </w:pBdr>
        <w:spacing w:line="360" w:lineRule="auto"/>
        <w:rPr>
          <w:rFonts w:ascii="宋体" w:hAnsi="宋体" w:cs="宋体"/>
          <w:b/>
          <w:bCs/>
          <w:color w:val="auto"/>
          <w:sz w:val="24"/>
          <w:highlight w:val="none"/>
        </w:rPr>
      </w:pPr>
      <w:r>
        <w:rPr>
          <w:rFonts w:hint="eastAsia" w:ascii="宋体" w:hAnsi="宋体" w:cs="宋体"/>
          <w:b/>
          <w:bCs/>
          <w:color w:val="auto"/>
          <w:sz w:val="24"/>
          <w:highlight w:val="none"/>
        </w:rPr>
        <w:t>注：1、如果不提供此表将视为没有实质性响应。</w:t>
      </w:r>
    </w:p>
    <w:p w14:paraId="11040ECD">
      <w:pPr>
        <w:pBdr>
          <w:top w:val="none" w:color="000000" w:sz="0" w:space="0"/>
          <w:left w:val="none" w:color="000000" w:sz="0" w:space="0"/>
          <w:bottom w:val="none" w:color="000000" w:sz="0" w:space="0"/>
          <w:right w:val="none" w:color="000000" w:sz="0" w:space="0"/>
        </w:pBd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2、响应供应商对以上数据的真实性负责。</w:t>
      </w:r>
    </w:p>
    <w:p w14:paraId="63B87968">
      <w:pPr>
        <w:pStyle w:val="73"/>
        <w:spacing w:line="360" w:lineRule="auto"/>
        <w:jc w:val="center"/>
        <w:rPr>
          <w:rFonts w:ascii="宋体" w:hAnsi="宋体" w:cs="宋体"/>
          <w:color w:val="auto"/>
          <w:highlight w:val="none"/>
        </w:rPr>
        <w:sectPr>
          <w:pgSz w:w="11906" w:h="16838"/>
          <w:pgMar w:top="1440" w:right="1080" w:bottom="1440" w:left="1080" w:header="851" w:footer="992" w:gutter="0"/>
          <w:cols w:space="720" w:num="1"/>
          <w:titlePg/>
          <w:docGrid w:linePitch="360" w:charSpace="0"/>
        </w:sectPr>
      </w:pPr>
      <w:r>
        <w:rPr>
          <w:rFonts w:hint="eastAsia" w:ascii="宋体" w:hAnsi="宋体" w:cs="宋体"/>
          <w:b/>
          <w:bCs/>
          <w:color w:val="auto"/>
          <w:sz w:val="24"/>
          <w:highlight w:val="none"/>
        </w:rPr>
        <w:t>采购人或采购代理机构有权将以上内容进行公示。</w:t>
      </w:r>
    </w:p>
    <w:p w14:paraId="371667B1">
      <w:pPr>
        <w:pStyle w:val="88"/>
        <w:keepNext w:val="0"/>
        <w:keepLines w:val="0"/>
        <w:widowControl w:val="0"/>
        <w:spacing w:before="0" w:after="0" w:line="360" w:lineRule="auto"/>
        <w:jc w:val="center"/>
        <w:rPr>
          <w:rStyle w:val="272"/>
          <w:rFonts w:hAnsi="宋体" w:cs="宋体"/>
          <w:color w:val="auto"/>
          <w:sz w:val="28"/>
          <w:highlight w:val="none"/>
        </w:rPr>
      </w:pPr>
      <w:bookmarkStart w:id="183" w:name="_Toc3416"/>
      <w:bookmarkStart w:id="184" w:name="_Toc11649"/>
      <w:r>
        <w:rPr>
          <w:rStyle w:val="272"/>
          <w:rFonts w:hint="eastAsia" w:hAnsi="宋体" w:cs="宋体"/>
          <w:color w:val="auto"/>
          <w:sz w:val="28"/>
          <w:highlight w:val="none"/>
        </w:rPr>
        <w:t>第十一章 拟签订的合同文本</w:t>
      </w:r>
      <w:bookmarkEnd w:id="114"/>
      <w:bookmarkEnd w:id="183"/>
      <w:bookmarkEnd w:id="184"/>
    </w:p>
    <w:p w14:paraId="7194D421">
      <w:pPr>
        <w:widowControl w:val="0"/>
        <w:spacing w:line="312" w:lineRule="auto"/>
        <w:ind w:firstLine="630"/>
        <w:rPr>
          <w:rFonts w:ascii="宋体" w:hAnsi="宋体" w:cs="宋体"/>
          <w:color w:val="auto"/>
          <w:highlight w:val="none"/>
        </w:rPr>
      </w:pPr>
    </w:p>
    <w:p w14:paraId="759AE63A">
      <w:pPr>
        <w:jc w:val="center"/>
        <w:rPr>
          <w:b/>
          <w:color w:val="auto"/>
          <w:sz w:val="28"/>
          <w:szCs w:val="28"/>
          <w:highlight w:val="none"/>
        </w:rPr>
      </w:pPr>
      <w:r>
        <w:rPr>
          <w:rFonts w:hint="eastAsia"/>
          <w:color w:val="auto"/>
          <w:sz w:val="28"/>
          <w:szCs w:val="28"/>
          <w:highlight w:val="none"/>
        </w:rPr>
        <w:t>HBB-2026ZXHT                                                                       类别：修缮专项</w:t>
      </w:r>
    </w:p>
    <w:p w14:paraId="527F432B">
      <w:pPr>
        <w:jc w:val="center"/>
        <w:rPr>
          <w:b/>
          <w:color w:val="auto"/>
          <w:sz w:val="28"/>
          <w:szCs w:val="28"/>
          <w:highlight w:val="none"/>
        </w:rPr>
      </w:pPr>
    </w:p>
    <w:p w14:paraId="7740AB73">
      <w:pPr>
        <w:rPr>
          <w:color w:val="auto"/>
          <w:sz w:val="28"/>
          <w:szCs w:val="28"/>
          <w:highlight w:val="none"/>
        </w:rPr>
      </w:pPr>
    </w:p>
    <w:p w14:paraId="06FE4B06">
      <w:pPr>
        <w:rPr>
          <w:color w:val="auto"/>
          <w:highlight w:val="none"/>
        </w:rPr>
      </w:pPr>
    </w:p>
    <w:p w14:paraId="6490DC8D">
      <w:pPr>
        <w:rPr>
          <w:color w:val="auto"/>
          <w:highlight w:val="none"/>
        </w:rPr>
      </w:pPr>
    </w:p>
    <w:p w14:paraId="2469EFFB">
      <w:pPr>
        <w:rPr>
          <w:color w:val="auto"/>
          <w:highlight w:val="none"/>
        </w:rPr>
      </w:pPr>
    </w:p>
    <w:p w14:paraId="0F283319">
      <w:pPr>
        <w:jc w:val="center"/>
        <w:rPr>
          <w:rFonts w:eastAsia="黑体"/>
          <w:color w:val="auto"/>
          <w:sz w:val="44"/>
          <w:szCs w:val="44"/>
          <w:highlight w:val="none"/>
        </w:rPr>
      </w:pPr>
      <w:r>
        <w:rPr>
          <w:rFonts w:hint="eastAsia" w:eastAsia="黑体"/>
          <w:color w:val="auto"/>
          <w:sz w:val="44"/>
          <w:szCs w:val="44"/>
          <w:highlight w:val="none"/>
        </w:rPr>
        <w:t>修缮专项工程施工合同</w:t>
      </w:r>
    </w:p>
    <w:p w14:paraId="143D016E">
      <w:pPr>
        <w:jc w:val="center"/>
        <w:rPr>
          <w:rFonts w:ascii="宋体"/>
          <w:color w:val="auto"/>
          <w:highlight w:val="none"/>
        </w:rPr>
      </w:pPr>
    </w:p>
    <w:p w14:paraId="036C870C">
      <w:pPr>
        <w:jc w:val="center"/>
        <w:rPr>
          <w:rFonts w:ascii="宋体"/>
          <w:color w:val="auto"/>
          <w:highlight w:val="none"/>
        </w:rPr>
      </w:pPr>
    </w:p>
    <w:p w14:paraId="75857FAB">
      <w:pPr>
        <w:jc w:val="center"/>
        <w:rPr>
          <w:rFonts w:ascii="宋体"/>
          <w:color w:val="auto"/>
          <w:highlight w:val="none"/>
        </w:rPr>
      </w:pPr>
    </w:p>
    <w:p w14:paraId="1D7FB8B0">
      <w:pPr>
        <w:jc w:val="center"/>
        <w:rPr>
          <w:rFonts w:ascii="宋体"/>
          <w:color w:val="auto"/>
          <w:highlight w:val="none"/>
        </w:rPr>
      </w:pPr>
    </w:p>
    <w:p w14:paraId="47DCEB43">
      <w:pPr>
        <w:jc w:val="center"/>
        <w:rPr>
          <w:rFonts w:ascii="宋体"/>
          <w:color w:val="auto"/>
          <w:highlight w:val="none"/>
        </w:rPr>
      </w:pPr>
    </w:p>
    <w:p w14:paraId="013A5371">
      <w:pPr>
        <w:jc w:val="center"/>
        <w:rPr>
          <w:rFonts w:ascii="宋体"/>
          <w:color w:val="auto"/>
          <w:highlight w:val="none"/>
        </w:rPr>
      </w:pPr>
    </w:p>
    <w:p w14:paraId="359FD152">
      <w:pPr>
        <w:jc w:val="center"/>
        <w:rPr>
          <w:rFonts w:ascii="宋体"/>
          <w:color w:val="auto"/>
          <w:highlight w:val="none"/>
        </w:rPr>
      </w:pPr>
    </w:p>
    <w:p w14:paraId="4F2E0444">
      <w:pPr>
        <w:jc w:val="center"/>
        <w:rPr>
          <w:rFonts w:ascii="宋体"/>
          <w:color w:val="auto"/>
          <w:highlight w:val="none"/>
        </w:rPr>
      </w:pPr>
    </w:p>
    <w:p w14:paraId="336682F7">
      <w:pPr>
        <w:jc w:val="center"/>
        <w:rPr>
          <w:rFonts w:ascii="宋体"/>
          <w:color w:val="auto"/>
          <w:highlight w:val="none"/>
        </w:rPr>
      </w:pPr>
    </w:p>
    <w:p w14:paraId="7EBB0489">
      <w:pPr>
        <w:jc w:val="center"/>
        <w:rPr>
          <w:rFonts w:ascii="宋体"/>
          <w:color w:val="auto"/>
          <w:highlight w:val="none"/>
        </w:rPr>
      </w:pPr>
    </w:p>
    <w:p w14:paraId="67A9EE8F">
      <w:pPr>
        <w:jc w:val="center"/>
        <w:rPr>
          <w:rFonts w:ascii="宋体"/>
          <w:color w:val="auto"/>
          <w:highlight w:val="none"/>
        </w:rPr>
      </w:pPr>
    </w:p>
    <w:p w14:paraId="7D31C846">
      <w:pPr>
        <w:jc w:val="center"/>
        <w:rPr>
          <w:rFonts w:ascii="宋体"/>
          <w:color w:val="auto"/>
          <w:highlight w:val="none"/>
        </w:rPr>
      </w:pPr>
    </w:p>
    <w:p w14:paraId="79DD2DF2">
      <w:pPr>
        <w:jc w:val="center"/>
        <w:rPr>
          <w:rFonts w:ascii="宋体"/>
          <w:color w:val="auto"/>
          <w:highlight w:val="none"/>
        </w:rPr>
      </w:pPr>
    </w:p>
    <w:p w14:paraId="35389B52">
      <w:pPr>
        <w:jc w:val="center"/>
        <w:rPr>
          <w:rFonts w:ascii="宋体"/>
          <w:color w:val="auto"/>
          <w:highlight w:val="none"/>
        </w:rPr>
      </w:pPr>
    </w:p>
    <w:p w14:paraId="57AB5CBF">
      <w:pPr>
        <w:jc w:val="center"/>
        <w:rPr>
          <w:rFonts w:ascii="宋体"/>
          <w:color w:val="auto"/>
          <w:highlight w:val="none"/>
        </w:rPr>
      </w:pPr>
    </w:p>
    <w:p w14:paraId="641201EC">
      <w:pPr>
        <w:jc w:val="center"/>
        <w:rPr>
          <w:rFonts w:ascii="宋体"/>
          <w:color w:val="auto"/>
          <w:highlight w:val="none"/>
        </w:rPr>
      </w:pPr>
    </w:p>
    <w:p w14:paraId="21E0A236">
      <w:pPr>
        <w:jc w:val="center"/>
        <w:rPr>
          <w:rFonts w:ascii="宋体"/>
          <w:color w:val="auto"/>
          <w:highlight w:val="none"/>
        </w:rPr>
      </w:pPr>
    </w:p>
    <w:p w14:paraId="41BBC589">
      <w:pPr>
        <w:jc w:val="center"/>
        <w:rPr>
          <w:rFonts w:ascii="宋体"/>
          <w:color w:val="auto"/>
          <w:highlight w:val="none"/>
        </w:rPr>
      </w:pPr>
    </w:p>
    <w:p w14:paraId="5B960364">
      <w:pPr>
        <w:jc w:val="center"/>
        <w:rPr>
          <w:rFonts w:ascii="宋体"/>
          <w:color w:val="auto"/>
          <w:highlight w:val="none"/>
        </w:rPr>
      </w:pPr>
    </w:p>
    <w:p w14:paraId="250CFF60">
      <w:pPr>
        <w:spacing w:line="440" w:lineRule="exact"/>
        <w:jc w:val="center"/>
        <w:rPr>
          <w:rFonts w:ascii="宋体"/>
          <w:color w:val="auto"/>
          <w:sz w:val="28"/>
          <w:szCs w:val="28"/>
          <w:highlight w:val="none"/>
        </w:rPr>
      </w:pPr>
      <w:r>
        <w:rPr>
          <w:rFonts w:ascii="宋体"/>
          <w:color w:val="auto"/>
          <w:sz w:val="28"/>
          <w:szCs w:val="28"/>
          <w:highlight w:val="none"/>
        </w:rPr>
        <w:t>住房城乡建设部</w:t>
      </w:r>
    </w:p>
    <w:p w14:paraId="7EADDCDD">
      <w:pPr>
        <w:spacing w:line="440" w:lineRule="exact"/>
        <w:jc w:val="center"/>
        <w:rPr>
          <w:rFonts w:ascii="宋体"/>
          <w:color w:val="auto"/>
          <w:sz w:val="28"/>
          <w:szCs w:val="28"/>
          <w:highlight w:val="none"/>
        </w:rPr>
      </w:pPr>
      <w:r>
        <w:rPr>
          <w:rFonts w:hint="eastAsia" w:ascii="宋体"/>
          <w:color w:val="auto"/>
          <w:sz w:val="28"/>
          <w:szCs w:val="28"/>
          <w:highlight w:val="none"/>
        </w:rPr>
        <w:t xml:space="preserve">                                制 定</w:t>
      </w:r>
    </w:p>
    <w:p w14:paraId="6EFF0610">
      <w:pPr>
        <w:spacing w:line="440" w:lineRule="exact"/>
        <w:jc w:val="center"/>
        <w:rPr>
          <w:rFonts w:ascii="宋体"/>
          <w:color w:val="auto"/>
          <w:sz w:val="28"/>
          <w:szCs w:val="28"/>
          <w:highlight w:val="none"/>
        </w:rPr>
      </w:pPr>
      <w:r>
        <w:rPr>
          <w:rFonts w:hint="eastAsia" w:ascii="宋体"/>
          <w:color w:val="auto"/>
          <w:sz w:val="28"/>
          <w:szCs w:val="28"/>
          <w:highlight w:val="none"/>
        </w:rPr>
        <w:t>国家工商行政管理局</w:t>
      </w:r>
    </w:p>
    <w:p w14:paraId="489896B6">
      <w:pPr>
        <w:pStyle w:val="23"/>
        <w:jc w:val="center"/>
        <w:rPr>
          <w:color w:val="auto"/>
          <w:highlight w:val="none"/>
        </w:rPr>
      </w:pPr>
    </w:p>
    <w:p w14:paraId="20DAAA8C">
      <w:pPr>
        <w:pStyle w:val="23"/>
        <w:jc w:val="center"/>
        <w:rPr>
          <w:color w:val="auto"/>
          <w:highlight w:val="none"/>
        </w:rPr>
      </w:pPr>
    </w:p>
    <w:p w14:paraId="7FCD7BF2">
      <w:pPr>
        <w:pStyle w:val="23"/>
        <w:jc w:val="center"/>
        <w:rPr>
          <w:color w:val="auto"/>
          <w:highlight w:val="none"/>
        </w:rPr>
      </w:pPr>
    </w:p>
    <w:p w14:paraId="0918F0DF">
      <w:pPr>
        <w:pStyle w:val="23"/>
        <w:jc w:val="center"/>
        <w:rPr>
          <w:color w:val="auto"/>
          <w:highlight w:val="none"/>
        </w:rPr>
      </w:pPr>
    </w:p>
    <w:p w14:paraId="1CDD5B87">
      <w:pPr>
        <w:jc w:val="center"/>
        <w:rPr>
          <w:rFonts w:ascii="宋体"/>
          <w:color w:val="auto"/>
          <w:sz w:val="28"/>
          <w:szCs w:val="28"/>
          <w:highlight w:val="none"/>
        </w:rPr>
      </w:pPr>
    </w:p>
    <w:p w14:paraId="730D0C94">
      <w:pPr>
        <w:jc w:val="center"/>
        <w:rPr>
          <w:rFonts w:ascii="宋体"/>
          <w:b/>
          <w:color w:val="auto"/>
          <w:sz w:val="28"/>
          <w:szCs w:val="28"/>
          <w:highlight w:val="none"/>
        </w:rPr>
      </w:pPr>
      <w:r>
        <w:rPr>
          <w:rFonts w:hint="eastAsia" w:ascii="宋体"/>
          <w:b/>
          <w:color w:val="auto"/>
          <w:sz w:val="28"/>
          <w:szCs w:val="28"/>
          <w:highlight w:val="none"/>
        </w:rPr>
        <w:t xml:space="preserve"> (江苏师范大学)</w:t>
      </w:r>
    </w:p>
    <w:p w14:paraId="56A86EFE">
      <w:pPr>
        <w:jc w:val="center"/>
        <w:rPr>
          <w:rFonts w:ascii="宋体"/>
          <w:color w:val="auto"/>
          <w:highlight w:val="none"/>
        </w:rPr>
      </w:pPr>
    </w:p>
    <w:p w14:paraId="16B6EF67">
      <w:pPr>
        <w:jc w:val="center"/>
        <w:rPr>
          <w:rFonts w:ascii="宋体"/>
          <w:color w:val="auto"/>
          <w:highlight w:val="none"/>
        </w:rPr>
      </w:pPr>
    </w:p>
    <w:p w14:paraId="432D71C7">
      <w:pPr>
        <w:spacing w:before="0" w:after="0"/>
        <w:outlineLvl w:val="9"/>
        <w:rPr>
          <w:color w:val="auto"/>
        </w:rPr>
      </w:pPr>
    </w:p>
    <w:p w14:paraId="030AEFD4">
      <w:pPr>
        <w:jc w:val="center"/>
        <w:outlineLvl w:val="9"/>
        <w:rPr>
          <w:rFonts w:ascii="宋体"/>
          <w:color w:val="auto"/>
          <w:highlight w:val="none"/>
        </w:rPr>
      </w:pPr>
    </w:p>
    <w:p w14:paraId="559F4E56">
      <w:pPr>
        <w:jc w:val="center"/>
        <w:rPr>
          <w:rFonts w:ascii="宋体"/>
          <w:color w:val="auto"/>
          <w:highlight w:val="none"/>
        </w:rPr>
      </w:pPr>
    </w:p>
    <w:p w14:paraId="6B130BF3">
      <w:pPr>
        <w:spacing w:before="0" w:after="0"/>
        <w:outlineLvl w:val="9"/>
        <w:rPr>
          <w:color w:val="auto"/>
        </w:rPr>
      </w:pPr>
    </w:p>
    <w:p w14:paraId="5B8D2D88">
      <w:pPr>
        <w:pStyle w:val="4"/>
        <w:pageBreakBefore w:val="0"/>
        <w:kinsoku/>
        <w:wordWrap/>
        <w:overflowPunct/>
        <w:topLinePunct w:val="0"/>
        <w:bidi w:val="0"/>
        <w:spacing w:before="0" w:after="0" w:line="288" w:lineRule="auto"/>
        <w:ind w:left="0" w:leftChars="0"/>
        <w:jc w:val="center"/>
        <w:textAlignment w:val="auto"/>
        <w:rPr>
          <w:rFonts w:eastAsia="黑体"/>
          <w:color w:val="auto"/>
          <w:highlight w:val="none"/>
        </w:rPr>
      </w:pPr>
      <w:bookmarkStart w:id="185" w:name="_Toc351203480"/>
      <w:bookmarkStart w:id="186" w:name="_Toc296890982"/>
      <w:bookmarkStart w:id="187" w:name="_Toc296503025"/>
      <w:r>
        <w:rPr>
          <w:rFonts w:eastAsia="黑体"/>
          <w:color w:val="auto"/>
          <w:highlight w:val="none"/>
        </w:rPr>
        <w:t>第一部分 合同协议书</w:t>
      </w:r>
      <w:bookmarkEnd w:id="185"/>
      <w:bookmarkEnd w:id="186"/>
      <w:bookmarkEnd w:id="187"/>
    </w:p>
    <w:p w14:paraId="5218A7A7">
      <w:pPr>
        <w:pageBreakBefore w:val="0"/>
        <w:kinsoku/>
        <w:wordWrap/>
        <w:overflowPunct/>
        <w:topLinePunct w:val="0"/>
        <w:bidi w:val="0"/>
        <w:spacing w:line="288" w:lineRule="auto"/>
        <w:ind w:left="0" w:leftChars="0"/>
        <w:textAlignment w:val="auto"/>
        <w:rPr>
          <w:rFonts w:eastAsia="仿宋_GB2312"/>
          <w:b/>
          <w:color w:val="auto"/>
          <w:sz w:val="24"/>
          <w:highlight w:val="none"/>
          <w:u w:val="single"/>
        </w:rPr>
      </w:pPr>
      <w:r>
        <w:rPr>
          <w:rFonts w:eastAsia="仿宋_GB2312"/>
          <w:b/>
          <w:color w:val="auto"/>
          <w:sz w:val="24"/>
          <w:highlight w:val="none"/>
        </w:rPr>
        <w:t>发包人（全称）：</w:t>
      </w:r>
      <w:r>
        <w:rPr>
          <w:rFonts w:eastAsia="仿宋_GB2312"/>
          <w:b/>
          <w:color w:val="auto"/>
          <w:sz w:val="24"/>
          <w:highlight w:val="none"/>
          <w:u w:val="single"/>
        </w:rPr>
        <w:t xml:space="preserve">江苏师范大学 </w:t>
      </w:r>
    </w:p>
    <w:p w14:paraId="16E48511">
      <w:pPr>
        <w:pageBreakBefore w:val="0"/>
        <w:kinsoku/>
        <w:wordWrap/>
        <w:overflowPunct/>
        <w:topLinePunct w:val="0"/>
        <w:bidi w:val="0"/>
        <w:spacing w:line="288" w:lineRule="auto"/>
        <w:ind w:left="0" w:leftChars="0"/>
        <w:textAlignment w:val="auto"/>
        <w:rPr>
          <w:rFonts w:eastAsia="仿宋_GB2312"/>
          <w:b/>
          <w:color w:val="auto"/>
          <w:sz w:val="24"/>
          <w:highlight w:val="none"/>
          <w:u w:val="single"/>
        </w:rPr>
      </w:pPr>
      <w:r>
        <w:rPr>
          <w:rFonts w:eastAsia="仿宋_GB2312"/>
          <w:b/>
          <w:color w:val="auto"/>
          <w:sz w:val="24"/>
          <w:highlight w:val="none"/>
        </w:rPr>
        <w:t>承包人（全称）：</w:t>
      </w:r>
      <w:r>
        <w:rPr>
          <w:rFonts w:hint="eastAsia" w:ascii="Times New Roman" w:hAnsi="Times New Roman" w:eastAsia="仿宋_GB2312"/>
          <w:b/>
          <w:color w:val="auto"/>
          <w:sz w:val="24"/>
          <w:highlight w:val="none"/>
          <w:u w:val="single"/>
        </w:rPr>
        <w:t xml:space="preserve">             </w:t>
      </w:r>
    </w:p>
    <w:p w14:paraId="57D1970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根据《</w:t>
      </w:r>
      <w:r>
        <w:rPr>
          <w:rFonts w:hint="eastAsia" w:eastAsia="仿宋_GB2312"/>
          <w:color w:val="auto"/>
          <w:sz w:val="24"/>
          <w:highlight w:val="none"/>
        </w:rPr>
        <w:t>中华人民共和国民法典</w:t>
      </w:r>
      <w:r>
        <w:rPr>
          <w:rFonts w:eastAsia="仿宋_GB2312"/>
          <w:color w:val="auto"/>
          <w:sz w:val="24"/>
          <w:highlight w:val="none"/>
        </w:rPr>
        <w:t>》及有关法律规定，遵循平等、自愿、公平和诚实信用的原则，双方就</w:t>
      </w:r>
      <w:r>
        <w:rPr>
          <w:rFonts w:hint="eastAsia" w:ascii="Times New Roman" w:hAnsi="Times New Roman" w:eastAsia="仿宋_GB2312"/>
          <w:b/>
          <w:color w:val="auto"/>
          <w:sz w:val="24"/>
          <w:highlight w:val="none"/>
          <w:u w:val="single"/>
        </w:rPr>
        <w:t xml:space="preserve">                         </w:t>
      </w:r>
      <w:r>
        <w:rPr>
          <w:rFonts w:eastAsia="仿宋_GB2312"/>
          <w:color w:val="auto"/>
          <w:sz w:val="24"/>
          <w:highlight w:val="none"/>
        </w:rPr>
        <w:t>施工及有关事项协商一致</w:t>
      </w:r>
      <w:r>
        <w:rPr>
          <w:rFonts w:hint="eastAsia" w:eastAsia="仿宋_GB2312"/>
          <w:color w:val="auto"/>
          <w:sz w:val="24"/>
          <w:highlight w:val="none"/>
        </w:rPr>
        <w:t>，</w:t>
      </w:r>
      <w:r>
        <w:rPr>
          <w:rFonts w:eastAsia="仿宋_GB2312"/>
          <w:color w:val="auto"/>
          <w:sz w:val="24"/>
          <w:highlight w:val="none"/>
        </w:rPr>
        <w:t>共同达成如下协议：</w:t>
      </w:r>
    </w:p>
    <w:p w14:paraId="1E9B7D59">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88" w:name="_Toc351203481"/>
      <w:r>
        <w:rPr>
          <w:rFonts w:ascii="Times New Roman" w:hAnsi="Times New Roman" w:eastAsia="黑体"/>
          <w:b w:val="0"/>
          <w:color w:val="auto"/>
          <w:sz w:val="24"/>
          <w:szCs w:val="24"/>
          <w:highlight w:val="none"/>
        </w:rPr>
        <w:t>一、工程概况</w:t>
      </w:r>
      <w:bookmarkEnd w:id="188"/>
    </w:p>
    <w:p w14:paraId="4E2493B3">
      <w:pPr>
        <w:pageBreakBefore w:val="0"/>
        <w:kinsoku/>
        <w:wordWrap/>
        <w:overflowPunct/>
        <w:topLinePunct w:val="0"/>
        <w:bidi w:val="0"/>
        <w:spacing w:line="288" w:lineRule="auto"/>
        <w:ind w:left="0" w:leftChars="0" w:firstLine="470" w:firstLineChars="196"/>
        <w:textAlignment w:val="auto"/>
        <w:rPr>
          <w:rFonts w:eastAsia="仿宋_GB2312"/>
          <w:color w:val="auto"/>
          <w:sz w:val="24"/>
          <w:highlight w:val="none"/>
          <w:u w:val="single"/>
        </w:rPr>
      </w:pPr>
      <w:r>
        <w:rPr>
          <w:rFonts w:eastAsia="仿宋_GB2312"/>
          <w:bCs/>
          <w:color w:val="auto"/>
          <w:sz w:val="24"/>
          <w:highlight w:val="none"/>
        </w:rPr>
        <w:t>1.工程名称</w:t>
      </w:r>
      <w:r>
        <w:rPr>
          <w:rFonts w:eastAsia="仿宋_GB2312"/>
          <w:color w:val="auto"/>
          <w:sz w:val="24"/>
          <w:highlight w:val="none"/>
        </w:rPr>
        <w:t>：</w:t>
      </w:r>
      <w:r>
        <w:rPr>
          <w:rFonts w:hint="eastAsia" w:ascii="Times New Roman" w:hAnsi="Times New Roman" w:eastAsia="仿宋_GB2312"/>
          <w:b/>
          <w:color w:val="auto"/>
          <w:sz w:val="24"/>
          <w:highlight w:val="none"/>
          <w:u w:val="single"/>
        </w:rPr>
        <w:t xml:space="preserve">  </w:t>
      </w:r>
      <w:r>
        <w:rPr>
          <w:rFonts w:hint="eastAsia" w:ascii="宋体" w:hAnsi="宋体" w:eastAsia="仿宋_GB2312" w:cs="宋体"/>
          <w:b/>
          <w:color w:val="auto"/>
          <w:sz w:val="24"/>
          <w:highlight w:val="none"/>
          <w:u w:val="single"/>
        </w:rPr>
        <w:t>毕业生房间粉刷维修及宿舍八组团维修改造工程</w:t>
      </w:r>
      <w:r>
        <w:rPr>
          <w:rFonts w:hint="eastAsia" w:ascii="Times New Roman" w:hAnsi="Times New Roman" w:eastAsia="仿宋_GB2312"/>
          <w:b/>
          <w:color w:val="auto"/>
          <w:sz w:val="24"/>
          <w:highlight w:val="none"/>
          <w:u w:val="single"/>
        </w:rPr>
        <w:t xml:space="preserve"> </w:t>
      </w:r>
      <w:r>
        <w:rPr>
          <w:rFonts w:eastAsia="仿宋_GB2312"/>
          <w:color w:val="auto"/>
          <w:sz w:val="24"/>
          <w:highlight w:val="none"/>
        </w:rPr>
        <w:t>。</w:t>
      </w:r>
    </w:p>
    <w:p w14:paraId="6C432818">
      <w:pPr>
        <w:pageBreakBefore w:val="0"/>
        <w:kinsoku/>
        <w:wordWrap/>
        <w:overflowPunct/>
        <w:topLinePunct w:val="0"/>
        <w:bidi w:val="0"/>
        <w:spacing w:line="288" w:lineRule="auto"/>
        <w:ind w:left="0" w:leftChars="0" w:firstLine="472" w:firstLineChars="196"/>
        <w:textAlignment w:val="auto"/>
        <w:rPr>
          <w:rFonts w:eastAsia="仿宋_GB2312"/>
          <w:bCs/>
          <w:color w:val="auto"/>
          <w:sz w:val="24"/>
          <w:highlight w:val="none"/>
          <w:u w:val="single"/>
        </w:rPr>
      </w:pPr>
      <w:r>
        <w:rPr>
          <w:rFonts w:hint="eastAsia" w:eastAsia="仿宋_GB2312"/>
          <w:b/>
          <w:color w:val="auto"/>
          <w:sz w:val="24"/>
          <w:highlight w:val="none"/>
        </w:rPr>
        <w:t>标段名称：</w:t>
      </w:r>
      <w:r>
        <w:rPr>
          <w:rFonts w:hint="eastAsia" w:eastAsia="仿宋_GB2312"/>
          <w:b/>
          <w:color w:val="auto"/>
          <w:sz w:val="24"/>
          <w:highlight w:val="none"/>
          <w:u w:val="single"/>
        </w:rPr>
        <w:t xml:space="preserve">   </w:t>
      </w:r>
      <w:r>
        <w:rPr>
          <w:rFonts w:hint="eastAsia" w:eastAsia="仿宋_GB2312"/>
          <w:bCs/>
          <w:color w:val="auto"/>
          <w:sz w:val="24"/>
          <w:highlight w:val="none"/>
          <w:u w:val="single"/>
        </w:rPr>
        <w:t xml:space="preserve">                                                  </w:t>
      </w:r>
    </w:p>
    <w:p w14:paraId="67661A66">
      <w:pPr>
        <w:pageBreakBefore w:val="0"/>
        <w:kinsoku/>
        <w:wordWrap/>
        <w:overflowPunct/>
        <w:topLinePunct w:val="0"/>
        <w:bidi w:val="0"/>
        <w:spacing w:line="288" w:lineRule="auto"/>
        <w:ind w:left="0" w:leftChars="0" w:firstLine="470" w:firstLineChars="196"/>
        <w:textAlignment w:val="auto"/>
        <w:rPr>
          <w:rFonts w:eastAsia="仿宋_GB2312"/>
          <w:bCs/>
          <w:color w:val="auto"/>
          <w:sz w:val="24"/>
          <w:highlight w:val="none"/>
        </w:rPr>
      </w:pPr>
      <w:r>
        <w:rPr>
          <w:rFonts w:eastAsia="仿宋_GB2312"/>
          <w:bCs/>
          <w:color w:val="auto"/>
          <w:sz w:val="24"/>
          <w:highlight w:val="none"/>
        </w:rPr>
        <w:t>2.工程地点：</w:t>
      </w:r>
      <w:r>
        <w:rPr>
          <w:rFonts w:hint="eastAsia" w:eastAsia="仿宋_GB2312"/>
          <w:bCs/>
          <w:color w:val="auto"/>
          <w:sz w:val="24"/>
          <w:highlight w:val="none"/>
          <w:u w:val="single"/>
          <w:lang w:eastAsia="zh-CN"/>
        </w:rPr>
        <w:t>江苏师范大学校内及校外八组团</w:t>
      </w:r>
      <w:r>
        <w:rPr>
          <w:rFonts w:eastAsia="仿宋_GB2312"/>
          <w:color w:val="auto"/>
          <w:sz w:val="24"/>
          <w:highlight w:val="none"/>
        </w:rPr>
        <w:t>。</w:t>
      </w:r>
    </w:p>
    <w:p w14:paraId="530FBAA8">
      <w:pPr>
        <w:pageBreakBefore w:val="0"/>
        <w:kinsoku/>
        <w:wordWrap/>
        <w:overflowPunct/>
        <w:topLinePunct w:val="0"/>
        <w:bidi w:val="0"/>
        <w:spacing w:line="288" w:lineRule="auto"/>
        <w:ind w:left="0" w:leftChars="0" w:firstLine="470" w:firstLineChars="196"/>
        <w:textAlignment w:val="auto"/>
        <w:rPr>
          <w:rFonts w:eastAsia="仿宋_GB2312"/>
          <w:bCs/>
          <w:color w:val="auto"/>
          <w:sz w:val="24"/>
          <w:highlight w:val="none"/>
        </w:rPr>
      </w:pPr>
      <w:r>
        <w:rPr>
          <w:rFonts w:eastAsia="仿宋_GB2312"/>
          <w:bCs/>
          <w:color w:val="auto"/>
          <w:sz w:val="24"/>
          <w:highlight w:val="none"/>
        </w:rPr>
        <w:t>3.资金来源：</w:t>
      </w:r>
      <w:r>
        <w:rPr>
          <w:rFonts w:hint="eastAsia" w:eastAsia="仿宋_GB2312"/>
          <w:color w:val="auto"/>
          <w:sz w:val="24"/>
          <w:highlight w:val="none"/>
          <w:u w:val="single"/>
        </w:rPr>
        <w:t xml:space="preserve">         </w:t>
      </w:r>
    </w:p>
    <w:p w14:paraId="1D78A5AF">
      <w:pPr>
        <w:pageBreakBefore w:val="0"/>
        <w:kinsoku/>
        <w:wordWrap/>
        <w:overflowPunct/>
        <w:topLinePunct w:val="0"/>
        <w:bidi w:val="0"/>
        <w:spacing w:line="288" w:lineRule="auto"/>
        <w:ind w:left="0" w:leftChars="0" w:firstLine="470" w:firstLineChars="196"/>
        <w:textAlignment w:val="auto"/>
        <w:rPr>
          <w:rFonts w:eastAsia="仿宋_GB2312"/>
          <w:color w:val="auto"/>
          <w:sz w:val="24"/>
          <w:highlight w:val="none"/>
          <w:u w:val="single"/>
        </w:rPr>
      </w:pPr>
      <w:r>
        <w:rPr>
          <w:rFonts w:eastAsia="仿宋_GB2312"/>
          <w:bCs/>
          <w:color w:val="auto"/>
          <w:sz w:val="24"/>
          <w:highlight w:val="none"/>
        </w:rPr>
        <w:t>4</w:t>
      </w:r>
      <w:r>
        <w:rPr>
          <w:rFonts w:hint="eastAsia" w:eastAsia="仿宋_GB2312"/>
          <w:bCs/>
          <w:color w:val="auto"/>
          <w:sz w:val="24"/>
          <w:highlight w:val="none"/>
        </w:rPr>
        <w:t>.工程内容：</w:t>
      </w:r>
      <w:r>
        <w:rPr>
          <w:rFonts w:hint="eastAsia" w:eastAsia="仿宋_GB2312"/>
          <w:color w:val="auto"/>
          <w:sz w:val="24"/>
          <w:highlight w:val="none"/>
          <w:u w:val="single"/>
        </w:rPr>
        <w:t>具体详见工程量清单。</w:t>
      </w:r>
    </w:p>
    <w:p w14:paraId="3878FE92">
      <w:pPr>
        <w:pageBreakBefore w:val="0"/>
        <w:kinsoku/>
        <w:wordWrap/>
        <w:overflowPunct/>
        <w:topLinePunct w:val="0"/>
        <w:bidi w:val="0"/>
        <w:spacing w:line="288" w:lineRule="auto"/>
        <w:ind w:left="0" w:leftChars="0" w:firstLine="470" w:firstLineChars="196"/>
        <w:textAlignment w:val="auto"/>
        <w:rPr>
          <w:rFonts w:eastAsia="仿宋_GB2312"/>
          <w:bCs/>
          <w:color w:val="auto"/>
          <w:sz w:val="24"/>
          <w:highlight w:val="none"/>
        </w:rPr>
      </w:pPr>
      <w:r>
        <w:rPr>
          <w:rFonts w:eastAsia="仿宋_GB2312"/>
          <w:bCs/>
          <w:color w:val="auto"/>
          <w:sz w:val="24"/>
          <w:highlight w:val="none"/>
        </w:rPr>
        <w:t>5.工程承包范围：</w:t>
      </w:r>
    </w:p>
    <w:p w14:paraId="14CAF245">
      <w:pPr>
        <w:pageBreakBefore w:val="0"/>
        <w:kinsoku/>
        <w:wordWrap/>
        <w:overflowPunct/>
        <w:topLinePunct w:val="0"/>
        <w:bidi w:val="0"/>
        <w:spacing w:line="288" w:lineRule="auto"/>
        <w:ind w:left="0" w:leftChars="0" w:firstLine="463" w:firstLineChars="193"/>
        <w:textAlignment w:val="auto"/>
        <w:rPr>
          <w:rFonts w:eastAsia="仿宋_GB2312"/>
          <w:color w:val="auto"/>
          <w:sz w:val="24"/>
          <w:highlight w:val="none"/>
          <w:u w:val="single"/>
        </w:rPr>
      </w:pPr>
      <w:r>
        <w:rPr>
          <w:rFonts w:hint="eastAsia" w:eastAsia="仿宋_GB2312"/>
          <w:color w:val="auto"/>
          <w:sz w:val="24"/>
          <w:highlight w:val="none"/>
          <w:u w:val="single"/>
        </w:rPr>
        <w:t>招标清单内规定的所有工程项目、技术交底全部内容、招标文件中图纸、工程量清单及招标答疑所列全部内容。</w:t>
      </w:r>
      <w:r>
        <w:rPr>
          <w:rFonts w:eastAsia="仿宋_GB2312"/>
          <w:color w:val="auto"/>
          <w:sz w:val="24"/>
          <w:highlight w:val="none"/>
          <w:u w:val="single"/>
        </w:rPr>
        <w:t xml:space="preserve"> </w:t>
      </w:r>
    </w:p>
    <w:p w14:paraId="48BD02A1">
      <w:pPr>
        <w:pageBreakBefore w:val="0"/>
        <w:kinsoku/>
        <w:wordWrap/>
        <w:overflowPunct/>
        <w:topLinePunct w:val="0"/>
        <w:bidi w:val="0"/>
        <w:spacing w:line="288" w:lineRule="auto"/>
        <w:ind w:left="0" w:leftChars="0" w:firstLine="465" w:firstLineChars="193"/>
        <w:textAlignment w:val="auto"/>
        <w:rPr>
          <w:rFonts w:eastAsia="仿宋_GB2312"/>
          <w:color w:val="auto"/>
          <w:sz w:val="24"/>
          <w:highlight w:val="none"/>
        </w:rPr>
      </w:pPr>
      <w:r>
        <w:rPr>
          <w:rFonts w:eastAsia="黑体"/>
          <w:b/>
          <w:color w:val="auto"/>
          <w:sz w:val="24"/>
          <w:highlight w:val="none"/>
        </w:rPr>
        <w:t xml:space="preserve">   </w:t>
      </w:r>
      <w:bookmarkStart w:id="189" w:name="_Toc351203482"/>
      <w:r>
        <w:rPr>
          <w:rFonts w:eastAsia="黑体"/>
          <w:b/>
          <w:color w:val="auto"/>
          <w:sz w:val="24"/>
          <w:highlight w:val="none"/>
        </w:rPr>
        <w:t>二、合同工期</w:t>
      </w:r>
      <w:bookmarkEnd w:id="189"/>
    </w:p>
    <w:p w14:paraId="161AB1DC">
      <w:pPr>
        <w:pageBreakBefore w:val="0"/>
        <w:kinsoku/>
        <w:wordWrap/>
        <w:overflowPunct/>
        <w:topLinePunct w:val="0"/>
        <w:bidi w:val="0"/>
        <w:spacing w:line="288" w:lineRule="auto"/>
        <w:ind w:left="0" w:leftChars="0" w:firstLine="459"/>
        <w:textAlignment w:val="auto"/>
        <w:rPr>
          <w:rFonts w:eastAsia="仿宋_GB2312"/>
          <w:color w:val="auto"/>
          <w:sz w:val="24"/>
          <w:highlight w:val="none"/>
        </w:rPr>
      </w:pPr>
      <w:r>
        <w:rPr>
          <w:rFonts w:eastAsia="仿宋_GB2312"/>
          <w:color w:val="auto"/>
          <w:sz w:val="24"/>
          <w:highlight w:val="none"/>
        </w:rPr>
        <w:t>计划开工日期：</w:t>
      </w:r>
      <w:r>
        <w:rPr>
          <w:rFonts w:hint="eastAsia" w:eastAsia="仿宋_GB2312"/>
          <w:color w:val="auto"/>
          <w:sz w:val="24"/>
          <w:highlight w:val="none"/>
          <w:u w:val="single"/>
        </w:rPr>
        <w:t xml:space="preserve">    </w:t>
      </w:r>
      <w:r>
        <w:rPr>
          <w:rFonts w:hint="eastAsia" w:eastAsia="仿宋_GB2312"/>
          <w:color w:val="auto"/>
          <w:sz w:val="24"/>
          <w:highlight w:val="none"/>
        </w:rPr>
        <w:t>年</w:t>
      </w:r>
      <w:r>
        <w:rPr>
          <w:rFonts w:hint="eastAsia" w:eastAsia="仿宋_GB2312"/>
          <w:color w:val="auto"/>
          <w:sz w:val="24"/>
          <w:highlight w:val="none"/>
          <w:u w:val="single"/>
        </w:rPr>
        <w:t xml:space="preserve">  </w:t>
      </w:r>
      <w:r>
        <w:rPr>
          <w:rFonts w:hint="eastAsia" w:eastAsia="仿宋_GB2312"/>
          <w:color w:val="auto"/>
          <w:sz w:val="24"/>
          <w:highlight w:val="none"/>
        </w:rPr>
        <w:t>月</w:t>
      </w:r>
      <w:r>
        <w:rPr>
          <w:rFonts w:hint="eastAsia" w:eastAsia="仿宋_GB2312"/>
          <w:color w:val="auto"/>
          <w:sz w:val="24"/>
          <w:highlight w:val="none"/>
          <w:u w:val="single"/>
        </w:rPr>
        <w:t xml:space="preserve">  </w:t>
      </w:r>
      <w:r>
        <w:rPr>
          <w:rFonts w:hint="eastAsia" w:eastAsia="仿宋_GB2312"/>
          <w:color w:val="auto"/>
          <w:sz w:val="24"/>
          <w:highlight w:val="none"/>
        </w:rPr>
        <w:t>日（以实际开工日期为准）</w:t>
      </w:r>
    </w:p>
    <w:p w14:paraId="1925F075">
      <w:pPr>
        <w:pageBreakBefore w:val="0"/>
        <w:kinsoku/>
        <w:wordWrap/>
        <w:overflowPunct/>
        <w:topLinePunct w:val="0"/>
        <w:bidi w:val="0"/>
        <w:spacing w:line="288" w:lineRule="auto"/>
        <w:ind w:left="0" w:leftChars="0" w:firstLine="459"/>
        <w:textAlignment w:val="auto"/>
        <w:rPr>
          <w:rFonts w:eastAsia="仿宋_GB2312"/>
          <w:color w:val="auto"/>
          <w:sz w:val="24"/>
          <w:highlight w:val="none"/>
        </w:rPr>
      </w:pPr>
      <w:r>
        <w:rPr>
          <w:rFonts w:eastAsia="仿宋_GB2312"/>
          <w:color w:val="auto"/>
          <w:sz w:val="24"/>
          <w:highlight w:val="none"/>
        </w:rPr>
        <w:t>计划竣工日期：</w:t>
      </w:r>
      <w:r>
        <w:rPr>
          <w:rFonts w:hint="eastAsia" w:eastAsia="仿宋_GB2312"/>
          <w:color w:val="auto"/>
          <w:sz w:val="24"/>
          <w:highlight w:val="none"/>
          <w:u w:val="single"/>
        </w:rPr>
        <w:t xml:space="preserve">    </w:t>
      </w:r>
      <w:r>
        <w:rPr>
          <w:rFonts w:hint="eastAsia" w:eastAsia="仿宋_GB2312"/>
          <w:color w:val="auto"/>
          <w:sz w:val="24"/>
          <w:highlight w:val="none"/>
        </w:rPr>
        <w:t>年</w:t>
      </w:r>
      <w:r>
        <w:rPr>
          <w:rFonts w:hint="eastAsia" w:eastAsia="仿宋_GB2312"/>
          <w:color w:val="auto"/>
          <w:sz w:val="24"/>
          <w:highlight w:val="none"/>
          <w:u w:val="single"/>
        </w:rPr>
        <w:t xml:space="preserve">  </w:t>
      </w:r>
      <w:r>
        <w:rPr>
          <w:rFonts w:hint="eastAsia" w:eastAsia="仿宋_GB2312"/>
          <w:color w:val="auto"/>
          <w:sz w:val="24"/>
          <w:highlight w:val="none"/>
        </w:rPr>
        <w:t>月</w:t>
      </w:r>
      <w:r>
        <w:rPr>
          <w:rFonts w:hint="eastAsia" w:eastAsia="仿宋_GB2312"/>
          <w:color w:val="auto"/>
          <w:sz w:val="24"/>
          <w:highlight w:val="none"/>
          <w:u w:val="single"/>
        </w:rPr>
        <w:t xml:space="preserve">  </w:t>
      </w:r>
      <w:r>
        <w:rPr>
          <w:rFonts w:hint="eastAsia" w:eastAsia="仿宋_GB2312"/>
          <w:color w:val="auto"/>
          <w:sz w:val="24"/>
          <w:highlight w:val="none"/>
        </w:rPr>
        <w:t>日</w:t>
      </w:r>
    </w:p>
    <w:p w14:paraId="5F86806F">
      <w:pPr>
        <w:pageBreakBefore w:val="0"/>
        <w:kinsoku/>
        <w:wordWrap/>
        <w:overflowPunct/>
        <w:topLinePunct w:val="0"/>
        <w:bidi w:val="0"/>
        <w:spacing w:line="288" w:lineRule="auto"/>
        <w:ind w:left="0" w:leftChars="0" w:firstLine="459"/>
        <w:textAlignment w:val="auto"/>
        <w:rPr>
          <w:rFonts w:eastAsia="仿宋_GB2312"/>
          <w:color w:val="auto"/>
          <w:sz w:val="24"/>
          <w:highlight w:val="none"/>
        </w:rPr>
      </w:pPr>
      <w:r>
        <w:rPr>
          <w:rFonts w:eastAsia="仿宋_GB2312"/>
          <w:color w:val="auto"/>
          <w:sz w:val="24"/>
          <w:highlight w:val="none"/>
        </w:rPr>
        <w:t>工期总日历天数：</w:t>
      </w:r>
      <w:r>
        <w:rPr>
          <w:rFonts w:hint="eastAsia" w:eastAsia="仿宋_GB2312"/>
          <w:color w:val="auto"/>
          <w:sz w:val="24"/>
          <w:highlight w:val="none"/>
          <w:u w:val="single"/>
        </w:rPr>
        <w:t xml:space="preserve"> 35 </w:t>
      </w:r>
      <w:r>
        <w:rPr>
          <w:rFonts w:hint="eastAsia" w:eastAsia="仿宋_GB2312"/>
          <w:color w:val="auto"/>
          <w:sz w:val="24"/>
          <w:highlight w:val="none"/>
        </w:rPr>
        <w:t>日历</w:t>
      </w:r>
      <w:r>
        <w:rPr>
          <w:rFonts w:eastAsia="仿宋_GB2312"/>
          <w:color w:val="auto"/>
          <w:sz w:val="24"/>
          <w:highlight w:val="none"/>
        </w:rPr>
        <w:t>天</w:t>
      </w:r>
      <w:r>
        <w:rPr>
          <w:rFonts w:hint="eastAsia" w:eastAsia="仿宋_GB2312"/>
          <w:color w:val="auto"/>
          <w:sz w:val="24"/>
          <w:highlight w:val="none"/>
        </w:rPr>
        <w:t>（工期包含春节及其他节假日）</w:t>
      </w:r>
      <w:r>
        <w:rPr>
          <w:rFonts w:eastAsia="仿宋_GB2312"/>
          <w:color w:val="auto"/>
          <w:sz w:val="24"/>
          <w:highlight w:val="none"/>
        </w:rPr>
        <w:t>。工期总日历天数与根据前述计划开竣工日期计算的工期天数不一致的</w:t>
      </w:r>
      <w:r>
        <w:rPr>
          <w:rFonts w:hint="eastAsia" w:eastAsia="仿宋_GB2312"/>
          <w:color w:val="auto"/>
          <w:sz w:val="24"/>
          <w:highlight w:val="none"/>
        </w:rPr>
        <w:t>，</w:t>
      </w:r>
      <w:r>
        <w:rPr>
          <w:rFonts w:eastAsia="仿宋_GB2312"/>
          <w:color w:val="auto"/>
          <w:sz w:val="24"/>
          <w:highlight w:val="none"/>
        </w:rPr>
        <w:t>以工期总日历天数为准。</w:t>
      </w:r>
    </w:p>
    <w:p w14:paraId="45FA0A8D">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190" w:name="_Toc351203483"/>
      <w:r>
        <w:rPr>
          <w:rFonts w:ascii="Times New Roman" w:hAnsi="Times New Roman" w:eastAsia="黑体"/>
          <w:b w:val="0"/>
          <w:color w:val="auto"/>
          <w:sz w:val="24"/>
          <w:szCs w:val="24"/>
          <w:highlight w:val="none"/>
        </w:rPr>
        <w:t>三、质量标准</w:t>
      </w:r>
      <w:bookmarkEnd w:id="190"/>
    </w:p>
    <w:p w14:paraId="2473901A">
      <w:pPr>
        <w:pageBreakBefore w:val="0"/>
        <w:kinsoku/>
        <w:wordWrap/>
        <w:overflowPunct/>
        <w:topLinePunct w:val="0"/>
        <w:bidi w:val="0"/>
        <w:spacing w:line="288" w:lineRule="auto"/>
        <w:ind w:left="0" w:leftChars="0" w:firstLine="459"/>
        <w:textAlignment w:val="auto"/>
        <w:rPr>
          <w:rFonts w:eastAsia="仿宋_GB2312"/>
          <w:color w:val="auto"/>
          <w:sz w:val="24"/>
          <w:highlight w:val="none"/>
        </w:rPr>
      </w:pPr>
      <w:r>
        <w:rPr>
          <w:rFonts w:eastAsia="仿宋_GB2312"/>
          <w:color w:val="auto"/>
          <w:sz w:val="24"/>
          <w:highlight w:val="none"/>
        </w:rPr>
        <w:t>工程质量符合</w:t>
      </w:r>
      <w:r>
        <w:rPr>
          <w:rFonts w:eastAsia="仿宋_GB2312"/>
          <w:b/>
          <w:color w:val="auto"/>
          <w:sz w:val="24"/>
          <w:highlight w:val="none"/>
          <w:u w:val="single"/>
        </w:rPr>
        <w:t>现行国家有关工程施工质量验收规范和标准要求</w:t>
      </w:r>
      <w:r>
        <w:rPr>
          <w:rFonts w:eastAsia="仿宋_GB2312"/>
          <w:color w:val="auto"/>
          <w:sz w:val="24"/>
          <w:highlight w:val="none"/>
        </w:rPr>
        <w:t>。</w:t>
      </w:r>
    </w:p>
    <w:p w14:paraId="006BF6DD">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91" w:name="_Toc351203484"/>
      <w:r>
        <w:rPr>
          <w:rFonts w:ascii="Times New Roman" w:hAnsi="Times New Roman" w:eastAsia="黑体"/>
          <w:b w:val="0"/>
          <w:color w:val="auto"/>
          <w:sz w:val="24"/>
          <w:szCs w:val="24"/>
          <w:highlight w:val="none"/>
        </w:rPr>
        <w:t>四、签约合同价与合同价格形式</w:t>
      </w:r>
      <w:bookmarkEnd w:id="191"/>
      <w:r>
        <w:rPr>
          <w:rFonts w:ascii="Times New Roman" w:hAnsi="Times New Roman" w:eastAsia="黑体"/>
          <w:b w:val="0"/>
          <w:color w:val="auto"/>
          <w:sz w:val="24"/>
          <w:szCs w:val="24"/>
          <w:highlight w:val="none"/>
        </w:rPr>
        <w:tab/>
      </w:r>
    </w:p>
    <w:p w14:paraId="48EA1F5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1.签约合同价为：</w:t>
      </w:r>
    </w:p>
    <w:p w14:paraId="58C199D6">
      <w:pPr>
        <w:pageBreakBefore w:val="0"/>
        <w:kinsoku/>
        <w:wordWrap/>
        <w:overflowPunct/>
        <w:topLinePunct w:val="0"/>
        <w:bidi w:val="0"/>
        <w:spacing w:line="288" w:lineRule="auto"/>
        <w:ind w:left="0" w:leftChars="0" w:firstLine="600" w:firstLineChars="250"/>
        <w:textAlignment w:val="auto"/>
        <w:rPr>
          <w:rFonts w:eastAsia="仿宋_GB2312"/>
          <w:color w:val="auto"/>
          <w:sz w:val="24"/>
          <w:highlight w:val="none"/>
        </w:rPr>
      </w:pPr>
      <w:r>
        <w:rPr>
          <w:rFonts w:eastAsia="仿宋_GB2312"/>
          <w:color w:val="auto"/>
          <w:sz w:val="24"/>
          <w:highlight w:val="none"/>
        </w:rPr>
        <w:t>人民币（大写）</w:t>
      </w:r>
      <w:r>
        <w:rPr>
          <w:rFonts w:hint="eastAsia" w:eastAsia="仿宋_GB2312"/>
          <w:b/>
          <w:color w:val="auto"/>
          <w:sz w:val="24"/>
          <w:highlight w:val="none"/>
          <w:u w:val="single"/>
        </w:rPr>
        <w:t xml:space="preserve">                  </w:t>
      </w:r>
      <w:r>
        <w:rPr>
          <w:rFonts w:eastAsia="仿宋_GB2312"/>
          <w:b/>
          <w:color w:val="auto"/>
          <w:sz w:val="24"/>
          <w:highlight w:val="none"/>
        </w:rPr>
        <w:t>(</w:t>
      </w:r>
      <w:r>
        <w:rPr>
          <w:rFonts w:hint="eastAsia" w:ascii="Times New Roman" w:hAnsi="Times New Roman" w:eastAsia="仿宋_GB2312"/>
          <w:b/>
          <w:color w:val="auto"/>
          <w:sz w:val="24"/>
          <w:highlight w:val="none"/>
          <w:u w:val="single"/>
        </w:rPr>
        <w:t>¥               元)</w:t>
      </w:r>
    </w:p>
    <w:p w14:paraId="16377964">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2.合同价格形式：</w:t>
      </w:r>
      <w:r>
        <w:rPr>
          <w:rFonts w:hint="eastAsia" w:eastAsia="仿宋_GB2312"/>
          <w:color w:val="auto"/>
          <w:sz w:val="24"/>
          <w:highlight w:val="none"/>
          <w:u w:val="single"/>
        </w:rPr>
        <w:t>固定单价</w:t>
      </w:r>
      <w:r>
        <w:rPr>
          <w:rFonts w:eastAsia="仿宋_GB2312"/>
          <w:color w:val="auto"/>
          <w:sz w:val="24"/>
          <w:highlight w:val="none"/>
        </w:rPr>
        <w:t>。</w:t>
      </w:r>
    </w:p>
    <w:p w14:paraId="6938B237">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92" w:name="_Toc351203485"/>
      <w:r>
        <w:rPr>
          <w:rFonts w:ascii="Times New Roman" w:hAnsi="Times New Roman" w:eastAsia="黑体"/>
          <w:b w:val="0"/>
          <w:color w:val="auto"/>
          <w:sz w:val="24"/>
          <w:szCs w:val="24"/>
          <w:highlight w:val="none"/>
        </w:rPr>
        <w:t>五、</w:t>
      </w:r>
      <w:bookmarkEnd w:id="192"/>
      <w:r>
        <w:rPr>
          <w:rFonts w:ascii="Times New Roman" w:hAnsi="Times New Roman" w:eastAsia="黑体"/>
          <w:b w:val="0"/>
          <w:color w:val="auto"/>
          <w:sz w:val="24"/>
          <w:szCs w:val="24"/>
          <w:highlight w:val="none"/>
        </w:rPr>
        <w:t>项目经理</w:t>
      </w:r>
    </w:p>
    <w:p w14:paraId="3F19CD5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u w:val="single"/>
        </w:rPr>
      </w:pPr>
      <w:r>
        <w:rPr>
          <w:rFonts w:eastAsia="仿宋_GB2312"/>
          <w:color w:val="auto"/>
          <w:sz w:val="24"/>
          <w:highlight w:val="none"/>
        </w:rPr>
        <w:t>承包人项目经理：</w:t>
      </w:r>
      <w:r>
        <w:rPr>
          <w:rFonts w:hint="eastAsia" w:eastAsia="仿宋_GB2312"/>
          <w:color w:val="auto"/>
          <w:sz w:val="24"/>
          <w:highlight w:val="none"/>
          <w:u w:val="single"/>
        </w:rPr>
        <w:t xml:space="preserve">         </w:t>
      </w:r>
      <w:r>
        <w:rPr>
          <w:rFonts w:hint="eastAsia" w:eastAsia="仿宋_GB2312"/>
          <w:color w:val="auto"/>
          <w:sz w:val="24"/>
          <w:highlight w:val="none"/>
        </w:rPr>
        <w:t>联系电话：</w:t>
      </w:r>
      <w:r>
        <w:rPr>
          <w:rFonts w:hint="eastAsia" w:eastAsia="仿宋_GB2312"/>
          <w:color w:val="auto"/>
          <w:sz w:val="24"/>
          <w:highlight w:val="none"/>
          <w:u w:val="single"/>
        </w:rPr>
        <w:t xml:space="preserve">              </w:t>
      </w:r>
    </w:p>
    <w:p w14:paraId="5BE8130B">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93" w:name="_Toc351203486"/>
      <w:r>
        <w:rPr>
          <w:rFonts w:ascii="Times New Roman" w:hAnsi="Times New Roman" w:eastAsia="黑体"/>
          <w:b w:val="0"/>
          <w:color w:val="auto"/>
          <w:sz w:val="24"/>
          <w:szCs w:val="24"/>
          <w:highlight w:val="none"/>
        </w:rPr>
        <w:t>六、合同文件构成</w:t>
      </w:r>
      <w:bookmarkEnd w:id="193"/>
    </w:p>
    <w:p w14:paraId="712F77EB">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本协议书与下列文件一起构成合同文件：</w:t>
      </w:r>
    </w:p>
    <w:p w14:paraId="451853E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（1）合同协议书；</w:t>
      </w:r>
    </w:p>
    <w:p w14:paraId="5158981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（2）中标通知书；</w:t>
      </w:r>
    </w:p>
    <w:p w14:paraId="4ED09BC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（3）专用合同条款及其附件；</w:t>
      </w:r>
    </w:p>
    <w:p w14:paraId="33F4015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（4）技术标准和要求；</w:t>
      </w:r>
    </w:p>
    <w:p w14:paraId="32E3883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w:t>
      </w:r>
      <w:r>
        <w:rPr>
          <w:rFonts w:hint="eastAsia" w:eastAsia="仿宋_GB2312"/>
          <w:color w:val="auto"/>
          <w:sz w:val="24"/>
          <w:highlight w:val="none"/>
        </w:rPr>
        <w:t>招标文件、招标答疑文件</w:t>
      </w:r>
      <w:r>
        <w:rPr>
          <w:rFonts w:eastAsia="仿宋_GB2312"/>
          <w:color w:val="auto"/>
          <w:sz w:val="24"/>
          <w:highlight w:val="none"/>
        </w:rPr>
        <w:t>；</w:t>
      </w:r>
    </w:p>
    <w:p w14:paraId="5DECC51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（6）投标</w:t>
      </w:r>
      <w:r>
        <w:rPr>
          <w:rFonts w:hint="eastAsia" w:eastAsia="仿宋_GB2312"/>
          <w:color w:val="auto"/>
          <w:sz w:val="24"/>
          <w:highlight w:val="none"/>
        </w:rPr>
        <w:t>书</w:t>
      </w:r>
      <w:r>
        <w:rPr>
          <w:rFonts w:eastAsia="仿宋_GB2312"/>
          <w:color w:val="auto"/>
          <w:sz w:val="24"/>
          <w:highlight w:val="none"/>
        </w:rPr>
        <w:t xml:space="preserve">及其附录； </w:t>
      </w:r>
    </w:p>
    <w:p w14:paraId="5F522F3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（7）通用合同条款； </w:t>
      </w:r>
    </w:p>
    <w:p w14:paraId="6EEB2B3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（8）图纸；</w:t>
      </w:r>
    </w:p>
    <w:p w14:paraId="4EE6116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（9）</w:t>
      </w:r>
      <w:r>
        <w:rPr>
          <w:rFonts w:eastAsia="仿宋_GB2312"/>
          <w:color w:val="auto"/>
          <w:sz w:val="24"/>
          <w:highlight w:val="none"/>
        </w:rPr>
        <w:t>已标价工程量清单或预算书</w:t>
      </w:r>
      <w:r>
        <w:rPr>
          <w:rFonts w:hint="eastAsia" w:eastAsia="仿宋_GB2312"/>
          <w:color w:val="auto"/>
          <w:sz w:val="24"/>
          <w:highlight w:val="none"/>
        </w:rPr>
        <w:t>；</w:t>
      </w:r>
    </w:p>
    <w:p w14:paraId="6B36AB9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10</w:t>
      </w:r>
      <w:r>
        <w:rPr>
          <w:rFonts w:eastAsia="仿宋_GB2312"/>
          <w:color w:val="auto"/>
          <w:sz w:val="24"/>
          <w:highlight w:val="none"/>
        </w:rPr>
        <w:t>）其他合同文件。</w:t>
      </w:r>
    </w:p>
    <w:p w14:paraId="2B62379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在合同订立及履行过程中形成的与合同有关的文件均构成合同文件组成部分。</w:t>
      </w:r>
    </w:p>
    <w:p w14:paraId="71FAA2F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上述各项合同文件包括合同当事人就该项合同文件所作出的补充和修改，属于同一类内容的文件，应以最新签署的为准。</w:t>
      </w:r>
      <w:r>
        <w:rPr>
          <w:rFonts w:hint="eastAsia" w:eastAsia="仿宋_GB2312"/>
          <w:color w:val="auto"/>
          <w:sz w:val="24"/>
          <w:highlight w:val="none"/>
        </w:rPr>
        <w:t>专用合同条款及其附件须经合同当事人签字或盖章。</w:t>
      </w:r>
    </w:p>
    <w:p w14:paraId="374BEB00">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bCs w:val="0"/>
          <w:color w:val="auto"/>
          <w:sz w:val="24"/>
          <w:szCs w:val="24"/>
          <w:highlight w:val="none"/>
        </w:rPr>
      </w:pPr>
      <w:r>
        <w:rPr>
          <w:rFonts w:ascii="Times New Roman" w:hAnsi="Times New Roman" w:eastAsia="黑体"/>
          <w:b w:val="0"/>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94" w:name="_Toc351203487"/>
      <w:r>
        <w:rPr>
          <w:rFonts w:ascii="Times New Roman" w:hAnsi="Times New Roman" w:eastAsia="黑体"/>
          <w:b w:val="0"/>
          <w:color w:val="auto"/>
          <w:sz w:val="24"/>
          <w:szCs w:val="24"/>
          <w:highlight w:val="none"/>
        </w:rPr>
        <w:t>七、承诺</w:t>
      </w:r>
      <w:bookmarkEnd w:id="194"/>
    </w:p>
    <w:p w14:paraId="76833B3C">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1.发包人承诺按照法律规定履行项目审批手续、筹集工程建设资金并按照合同约定的期限和方式支付合同价款。</w:t>
      </w:r>
    </w:p>
    <w:p w14:paraId="23845DA4">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28092556">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3.发包人和承包人通过招投标形式签订合同的，双方理解并</w:t>
      </w:r>
      <w:r>
        <w:rPr>
          <w:rFonts w:hint="eastAsia" w:eastAsia="仿宋_GB2312"/>
          <w:bCs/>
          <w:color w:val="auto"/>
          <w:sz w:val="24"/>
          <w:highlight w:val="none"/>
        </w:rPr>
        <w:t>承诺</w:t>
      </w:r>
      <w:r>
        <w:rPr>
          <w:rFonts w:eastAsia="仿宋_GB2312"/>
          <w:bCs/>
          <w:color w:val="auto"/>
          <w:sz w:val="24"/>
          <w:highlight w:val="none"/>
        </w:rPr>
        <w:t>不再就同一工程另行签订与合同实质性内容相背离的协议。</w:t>
      </w:r>
    </w:p>
    <w:p w14:paraId="01EA1609">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bCs/>
          <w:color w:val="auto"/>
          <w:sz w:val="24"/>
          <w:highlight w:val="none"/>
        </w:rPr>
      </w:pPr>
      <w:r>
        <w:rPr>
          <w:rFonts w:hint="eastAsia" w:eastAsia="仿宋_GB2312"/>
          <w:bCs/>
          <w:color w:val="auto"/>
          <w:sz w:val="24"/>
          <w:highlight w:val="none"/>
        </w:rPr>
        <w:t>4.承包人禁止挂靠和各种形式的转包、分包，若私下进行挂靠、转包或分包产生纠纷导致的各类费用直接从该项目工程款中提前支付，同时处以合同价的10%的违约金。</w:t>
      </w:r>
    </w:p>
    <w:p w14:paraId="0C5BF6D1">
      <w:pPr>
        <w:pageBreakBefore w:val="0"/>
        <w:kinsoku/>
        <w:wordWrap/>
        <w:overflowPunct/>
        <w:topLinePunct w:val="0"/>
        <w:bidi w:val="0"/>
        <w:spacing w:line="288" w:lineRule="auto"/>
        <w:ind w:left="0" w:leftChars="0"/>
        <w:textAlignment w:val="auto"/>
        <w:rPr>
          <w:rFonts w:eastAsia="黑体"/>
          <w:bCs/>
          <w:color w:val="auto"/>
          <w:sz w:val="24"/>
          <w:highlight w:val="none"/>
        </w:rPr>
      </w:pPr>
      <w:bookmarkStart w:id="195" w:name="_Toc351203488"/>
      <w:r>
        <w:rPr>
          <w:rFonts w:hint="eastAsia" w:eastAsia="黑体"/>
          <w:b/>
          <w:color w:val="auto"/>
          <w:sz w:val="24"/>
          <w:highlight w:val="none"/>
        </w:rPr>
        <w:t xml:space="preserve">    </w:t>
      </w:r>
      <w:r>
        <w:rPr>
          <w:rFonts w:eastAsia="黑体"/>
          <w:b/>
          <w:color w:val="auto"/>
          <w:sz w:val="24"/>
          <w:highlight w:val="none"/>
        </w:rPr>
        <w:t>八、词语含义</w:t>
      </w:r>
      <w:bookmarkEnd w:id="195"/>
    </w:p>
    <w:p w14:paraId="3F187576">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本协议书中词语含义与第二部分通用合同条款中赋予的含义相同。</w:t>
      </w:r>
    </w:p>
    <w:p w14:paraId="285F0FEB">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196" w:name="_Toc351203489"/>
      <w:r>
        <w:rPr>
          <w:rFonts w:ascii="Times New Roman" w:hAnsi="Times New Roman" w:eastAsia="黑体"/>
          <w:b w:val="0"/>
          <w:color w:val="auto"/>
          <w:sz w:val="24"/>
          <w:szCs w:val="24"/>
          <w:highlight w:val="none"/>
        </w:rPr>
        <w:t>九、签订时间</w:t>
      </w:r>
      <w:bookmarkEnd w:id="196"/>
    </w:p>
    <w:p w14:paraId="61F26FAE">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本合同于</w:t>
      </w:r>
      <w:r>
        <w:rPr>
          <w:rFonts w:eastAsia="仿宋_GB2312"/>
          <w:bCs/>
          <w:color w:val="auto"/>
          <w:sz w:val="24"/>
          <w:highlight w:val="none"/>
          <w:u w:val="single"/>
        </w:rPr>
        <w:t xml:space="preserve"> </w:t>
      </w:r>
      <w:r>
        <w:rPr>
          <w:rFonts w:hint="eastAsia" w:eastAsia="仿宋_GB2312"/>
          <w:bCs/>
          <w:color w:val="auto"/>
          <w:sz w:val="24"/>
          <w:highlight w:val="none"/>
          <w:u w:val="single"/>
        </w:rPr>
        <w:t xml:space="preserve">    </w:t>
      </w:r>
      <w:r>
        <w:rPr>
          <w:rFonts w:eastAsia="仿宋_GB2312"/>
          <w:bCs/>
          <w:color w:val="auto"/>
          <w:sz w:val="24"/>
          <w:highlight w:val="none"/>
        </w:rPr>
        <w:t>年</w:t>
      </w:r>
      <w:r>
        <w:rPr>
          <w:rFonts w:hint="eastAsia" w:eastAsia="仿宋_GB2312"/>
          <w:bCs/>
          <w:color w:val="auto"/>
          <w:sz w:val="24"/>
          <w:highlight w:val="none"/>
          <w:u w:val="single"/>
        </w:rPr>
        <w:t xml:space="preserve">    </w:t>
      </w:r>
      <w:r>
        <w:rPr>
          <w:rFonts w:hint="eastAsia" w:eastAsia="仿宋_GB2312"/>
          <w:bCs/>
          <w:color w:val="auto"/>
          <w:sz w:val="24"/>
          <w:highlight w:val="none"/>
        </w:rPr>
        <w:t>月</w:t>
      </w:r>
      <w:r>
        <w:rPr>
          <w:rFonts w:hint="eastAsia" w:eastAsia="仿宋_GB2312"/>
          <w:bCs/>
          <w:color w:val="auto"/>
          <w:sz w:val="24"/>
          <w:highlight w:val="none"/>
          <w:u w:val="single"/>
        </w:rPr>
        <w:t xml:space="preserve">    </w:t>
      </w:r>
      <w:r>
        <w:rPr>
          <w:rFonts w:eastAsia="仿宋_GB2312"/>
          <w:bCs/>
          <w:color w:val="auto"/>
          <w:sz w:val="24"/>
          <w:highlight w:val="none"/>
        </w:rPr>
        <w:t>日签订。</w:t>
      </w:r>
    </w:p>
    <w:p w14:paraId="2CB340BA">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197" w:name="_Toc351203490"/>
      <w:r>
        <w:rPr>
          <w:rFonts w:ascii="Times New Roman" w:hAnsi="Times New Roman" w:eastAsia="黑体"/>
          <w:b w:val="0"/>
          <w:color w:val="auto"/>
          <w:sz w:val="24"/>
          <w:szCs w:val="24"/>
          <w:highlight w:val="none"/>
        </w:rPr>
        <w:t>十、签订地点</w:t>
      </w:r>
      <w:bookmarkEnd w:id="197"/>
    </w:p>
    <w:p w14:paraId="73C6E33A">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本合同在</w:t>
      </w:r>
      <w:r>
        <w:rPr>
          <w:rFonts w:eastAsia="仿宋_GB2312"/>
          <w:bCs/>
          <w:color w:val="auto"/>
          <w:sz w:val="24"/>
          <w:highlight w:val="none"/>
          <w:u w:val="single"/>
        </w:rPr>
        <w:t xml:space="preserve"> </w:t>
      </w:r>
      <w:r>
        <w:rPr>
          <w:rFonts w:hint="eastAsia" w:eastAsia="仿宋_GB2312"/>
          <w:bCs/>
          <w:color w:val="auto"/>
          <w:sz w:val="24"/>
          <w:highlight w:val="none"/>
          <w:u w:val="single"/>
        </w:rPr>
        <w:t>江苏师范大学泉山校区（铜山区上海路101号）</w:t>
      </w:r>
      <w:r>
        <w:rPr>
          <w:rFonts w:eastAsia="仿宋_GB2312"/>
          <w:bCs/>
          <w:color w:val="auto"/>
          <w:sz w:val="24"/>
          <w:highlight w:val="none"/>
          <w:u w:val="single"/>
        </w:rPr>
        <w:t xml:space="preserve"> </w:t>
      </w:r>
      <w:r>
        <w:rPr>
          <w:rFonts w:eastAsia="仿宋_GB2312"/>
          <w:bCs/>
          <w:color w:val="auto"/>
          <w:sz w:val="24"/>
          <w:highlight w:val="none"/>
        </w:rPr>
        <w:t>签订。</w:t>
      </w:r>
    </w:p>
    <w:p w14:paraId="30082919">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198" w:name="_Toc351203491"/>
      <w:r>
        <w:rPr>
          <w:rFonts w:ascii="Times New Roman" w:hAnsi="Times New Roman" w:eastAsia="黑体"/>
          <w:b w:val="0"/>
          <w:color w:val="auto"/>
          <w:sz w:val="24"/>
          <w:szCs w:val="24"/>
          <w:highlight w:val="none"/>
        </w:rPr>
        <w:t>十一、补充协议</w:t>
      </w:r>
      <w:bookmarkEnd w:id="198"/>
    </w:p>
    <w:p w14:paraId="441D75D4">
      <w:pPr>
        <w:pageBreakBefore w:val="0"/>
        <w:kinsoku/>
        <w:wordWrap/>
        <w:overflowPunct/>
        <w:topLinePunct w:val="0"/>
        <w:bidi w:val="0"/>
        <w:spacing w:line="288" w:lineRule="auto"/>
        <w:ind w:left="0" w:leftChars="0" w:firstLine="480" w:firstLineChars="200"/>
        <w:textAlignment w:val="auto"/>
        <w:rPr>
          <w:rFonts w:eastAsia="仿宋_GB2312"/>
          <w:b/>
          <w:bCs/>
          <w:color w:val="auto"/>
          <w:sz w:val="24"/>
          <w:highlight w:val="none"/>
        </w:rPr>
      </w:pPr>
      <w:r>
        <w:rPr>
          <w:rFonts w:eastAsia="仿宋_GB2312"/>
          <w:bCs/>
          <w:color w:val="auto"/>
          <w:sz w:val="24"/>
          <w:highlight w:val="none"/>
        </w:rPr>
        <w:t>合同未尽事宜，合同当事人另行签订补充协议</w:t>
      </w:r>
      <w:r>
        <w:rPr>
          <w:rFonts w:hint="eastAsia" w:eastAsia="仿宋_GB2312"/>
          <w:bCs/>
          <w:color w:val="auto"/>
          <w:sz w:val="24"/>
          <w:highlight w:val="none"/>
        </w:rPr>
        <w:t>，</w:t>
      </w:r>
      <w:r>
        <w:rPr>
          <w:rFonts w:eastAsia="仿宋_GB2312"/>
          <w:bCs/>
          <w:color w:val="auto"/>
          <w:sz w:val="24"/>
          <w:highlight w:val="none"/>
        </w:rPr>
        <w:t>补充协议是合同的组成部分。</w:t>
      </w:r>
    </w:p>
    <w:p w14:paraId="393E2660">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199" w:name="_Toc351203492"/>
      <w:r>
        <w:rPr>
          <w:rFonts w:ascii="Times New Roman" w:hAnsi="Times New Roman" w:eastAsia="黑体"/>
          <w:b w:val="0"/>
          <w:color w:val="auto"/>
          <w:sz w:val="24"/>
          <w:szCs w:val="24"/>
          <w:highlight w:val="none"/>
        </w:rPr>
        <w:t>十二、合同生效</w:t>
      </w:r>
      <w:bookmarkEnd w:id="199"/>
    </w:p>
    <w:p w14:paraId="2052FAFB">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本合同自</w:t>
      </w:r>
      <w:r>
        <w:rPr>
          <w:rFonts w:eastAsia="仿宋_GB2312"/>
          <w:bCs/>
          <w:color w:val="auto"/>
          <w:sz w:val="24"/>
          <w:highlight w:val="none"/>
          <w:u w:val="single"/>
        </w:rPr>
        <w:t xml:space="preserve"> </w:t>
      </w:r>
      <w:r>
        <w:rPr>
          <w:rFonts w:hint="eastAsia" w:eastAsia="仿宋_GB2312"/>
          <w:bCs/>
          <w:color w:val="auto"/>
          <w:sz w:val="24"/>
          <w:highlight w:val="none"/>
          <w:u w:val="single"/>
        </w:rPr>
        <w:t>双方签字盖章之日</w:t>
      </w:r>
      <w:r>
        <w:rPr>
          <w:rFonts w:eastAsia="仿宋_GB2312"/>
          <w:bCs/>
          <w:color w:val="auto"/>
          <w:sz w:val="24"/>
          <w:highlight w:val="none"/>
          <w:u w:val="single"/>
        </w:rPr>
        <w:t xml:space="preserve"> </w:t>
      </w:r>
      <w:r>
        <w:rPr>
          <w:rFonts w:eastAsia="仿宋_GB2312"/>
          <w:bCs/>
          <w:color w:val="auto"/>
          <w:sz w:val="24"/>
          <w:highlight w:val="none"/>
        </w:rPr>
        <w:t>生效。</w:t>
      </w:r>
    </w:p>
    <w:p w14:paraId="2A733B50">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200" w:name="_Toc351203493"/>
      <w:r>
        <w:rPr>
          <w:rFonts w:ascii="Times New Roman" w:hAnsi="Times New Roman" w:eastAsia="黑体"/>
          <w:b w:val="0"/>
          <w:color w:val="auto"/>
          <w:sz w:val="24"/>
          <w:szCs w:val="24"/>
          <w:highlight w:val="none"/>
        </w:rPr>
        <w:t>十三、合同份数</w:t>
      </w:r>
      <w:bookmarkEnd w:id="200"/>
    </w:p>
    <w:p w14:paraId="21B73485">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eastAsia="仿宋_GB2312"/>
          <w:bCs/>
          <w:color w:val="auto"/>
          <w:sz w:val="24"/>
          <w:highlight w:val="none"/>
        </w:rPr>
        <w:t>本合同一式</w:t>
      </w:r>
      <w:r>
        <w:rPr>
          <w:rFonts w:hint="eastAsia" w:eastAsia="仿宋_GB2312"/>
          <w:bCs/>
          <w:color w:val="auto"/>
          <w:sz w:val="24"/>
          <w:highlight w:val="none"/>
          <w:u w:val="single"/>
        </w:rPr>
        <w:t>伍</w:t>
      </w:r>
      <w:r>
        <w:rPr>
          <w:rFonts w:eastAsia="仿宋_GB2312"/>
          <w:bCs/>
          <w:color w:val="auto"/>
          <w:sz w:val="24"/>
          <w:highlight w:val="none"/>
        </w:rPr>
        <w:t>份具有同等法律效力，发包人执</w:t>
      </w:r>
      <w:r>
        <w:rPr>
          <w:rFonts w:hint="eastAsia" w:eastAsia="仿宋_GB2312"/>
          <w:bCs/>
          <w:color w:val="auto"/>
          <w:sz w:val="24"/>
          <w:highlight w:val="none"/>
          <w:u w:val="single"/>
        </w:rPr>
        <w:t>贰份</w:t>
      </w:r>
      <w:r>
        <w:rPr>
          <w:rFonts w:eastAsia="仿宋_GB2312"/>
          <w:bCs/>
          <w:color w:val="auto"/>
          <w:sz w:val="24"/>
          <w:highlight w:val="none"/>
        </w:rPr>
        <w:t>，承包人执</w:t>
      </w:r>
      <w:r>
        <w:rPr>
          <w:rFonts w:hint="eastAsia" w:eastAsia="仿宋_GB2312"/>
          <w:bCs/>
          <w:color w:val="auto"/>
          <w:sz w:val="24"/>
          <w:highlight w:val="none"/>
          <w:u w:val="single"/>
        </w:rPr>
        <w:t>叁</w:t>
      </w:r>
      <w:r>
        <w:rPr>
          <w:rFonts w:eastAsia="仿宋_GB2312"/>
          <w:bCs/>
          <w:color w:val="auto"/>
          <w:sz w:val="24"/>
          <w:highlight w:val="none"/>
        </w:rPr>
        <w:t>份</w:t>
      </w:r>
    </w:p>
    <w:p w14:paraId="0C669E99">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eastAsia="仿宋_GB2312"/>
          <w:color w:val="auto"/>
          <w:sz w:val="24"/>
          <w:highlight w:val="none"/>
        </w:rPr>
        <w:t>发包人</w:t>
      </w:r>
      <w:r>
        <w:rPr>
          <w:rFonts w:hint="eastAsia" w:eastAsia="仿宋_GB2312"/>
          <w:color w:val="auto"/>
          <w:sz w:val="24"/>
          <w:highlight w:val="none"/>
        </w:rPr>
        <w:t xml:space="preserve">：  </w:t>
      </w:r>
      <w:r>
        <w:rPr>
          <w:rFonts w:eastAsia="仿宋_GB2312"/>
          <w:color w:val="auto"/>
          <w:sz w:val="24"/>
          <w:highlight w:val="none"/>
        </w:rPr>
        <w:t>(公章)</w:t>
      </w:r>
      <w:r>
        <w:rPr>
          <w:rFonts w:hint="eastAsia" w:eastAsia="仿宋_GB2312"/>
          <w:color w:val="auto"/>
          <w:sz w:val="24"/>
          <w:highlight w:val="none"/>
        </w:rPr>
        <w:t xml:space="preserve">                        </w:t>
      </w:r>
      <w:r>
        <w:rPr>
          <w:rFonts w:hint="eastAsia" w:eastAsia="仿宋_GB2312"/>
          <w:color w:val="auto"/>
          <w:sz w:val="24"/>
          <w:highlight w:val="none"/>
          <w:lang w:val="en-US" w:eastAsia="zh-CN"/>
        </w:rPr>
        <w:t xml:space="preserve">                </w:t>
      </w:r>
      <w:r>
        <w:rPr>
          <w:rFonts w:eastAsia="仿宋_GB2312"/>
          <w:color w:val="auto"/>
          <w:sz w:val="24"/>
          <w:highlight w:val="none"/>
        </w:rPr>
        <w:t>承包人</w:t>
      </w:r>
      <w:r>
        <w:rPr>
          <w:rFonts w:hint="eastAsia" w:eastAsia="仿宋_GB2312"/>
          <w:color w:val="auto"/>
          <w:sz w:val="24"/>
          <w:highlight w:val="none"/>
        </w:rPr>
        <w:t xml:space="preserve">：  </w:t>
      </w:r>
      <w:r>
        <w:rPr>
          <w:rFonts w:eastAsia="仿宋_GB2312"/>
          <w:color w:val="auto"/>
          <w:sz w:val="24"/>
          <w:highlight w:val="none"/>
        </w:rPr>
        <w:t>(公章)</w:t>
      </w:r>
      <w:r>
        <w:rPr>
          <w:rFonts w:hint="eastAsia" w:eastAsia="仿宋_GB2312"/>
          <w:color w:val="auto"/>
          <w:sz w:val="24"/>
          <w:highlight w:val="none"/>
        </w:rPr>
        <w:t xml:space="preserve">                             </w:t>
      </w:r>
    </w:p>
    <w:p w14:paraId="57DF039C">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法定代表人或其委托代理人：            法定代表人或其委托代理人：</w:t>
      </w:r>
    </w:p>
    <w:p w14:paraId="219A6212">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（签字）                              </w:t>
      </w:r>
      <w:r>
        <w:rPr>
          <w:rFonts w:hint="eastAsia" w:eastAsia="仿宋_GB2312"/>
          <w:color w:val="auto"/>
          <w:sz w:val="24"/>
          <w:highlight w:val="none"/>
          <w:lang w:val="en-US" w:eastAsia="zh-CN"/>
        </w:rPr>
        <w:t xml:space="preserve">                                </w:t>
      </w:r>
      <w:r>
        <w:rPr>
          <w:rFonts w:hint="eastAsia" w:eastAsia="仿宋_GB2312"/>
          <w:color w:val="auto"/>
          <w:sz w:val="24"/>
          <w:highlight w:val="none"/>
        </w:rPr>
        <w:t>（签字）</w:t>
      </w:r>
    </w:p>
    <w:p w14:paraId="3AB123AE">
      <w:pPr>
        <w:pageBreakBefore w:val="0"/>
        <w:tabs>
          <w:tab w:val="left" w:pos="4410"/>
        </w:tabs>
        <w:kinsoku/>
        <w:wordWrap/>
        <w:overflowPunct/>
        <w:topLinePunct w:val="0"/>
        <w:bidi w:val="0"/>
        <w:spacing w:line="288" w:lineRule="auto"/>
        <w:ind w:left="0" w:leftChars="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税号：</w:t>
      </w:r>
      <w:r>
        <w:rPr>
          <w:rFonts w:hint="eastAsia" w:ascii="仿宋" w:hAnsi="仿宋" w:eastAsia="仿宋" w:cs="仿宋"/>
          <w:color w:val="auto"/>
          <w:sz w:val="24"/>
          <w:highlight w:val="none"/>
          <w:u w:val="single"/>
        </w:rPr>
        <w:t>123200004660073510</w:t>
      </w:r>
      <w:r>
        <w:rPr>
          <w:rFonts w:hint="eastAsia" w:ascii="仿宋" w:hAnsi="仿宋" w:eastAsia="仿宋" w:cs="仿宋"/>
          <w:color w:val="auto"/>
          <w:sz w:val="24"/>
          <w:highlight w:val="none"/>
        </w:rPr>
        <w:t xml:space="preserve">             税号：</w:t>
      </w:r>
      <w:r>
        <w:rPr>
          <w:rFonts w:hint="eastAsia" w:ascii="仿宋" w:hAnsi="仿宋" w:eastAsia="仿宋" w:cs="仿宋"/>
          <w:color w:val="auto"/>
          <w:highlight w:val="none"/>
          <w:u w:val="single"/>
        </w:rPr>
        <w:t xml:space="preserve"> </w:t>
      </w:r>
      <w:r>
        <w:rPr>
          <w:rFonts w:hint="eastAsia" w:ascii="仿宋" w:hAnsi="仿宋" w:eastAsia="仿宋" w:cs="仿宋"/>
          <w:color w:val="auto"/>
          <w:sz w:val="18"/>
          <w:szCs w:val="18"/>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sz w:val="24"/>
          <w:highlight w:val="none"/>
        </w:rPr>
        <w:t xml:space="preserve"> </w:t>
      </w:r>
    </w:p>
    <w:p w14:paraId="38B2AD91">
      <w:pPr>
        <w:pageBreakBefore w:val="0"/>
        <w:tabs>
          <w:tab w:val="left" w:pos="4410"/>
        </w:tabs>
        <w:kinsoku/>
        <w:wordWrap/>
        <w:overflowPunct/>
        <w:topLinePunct w:val="0"/>
        <w:bidi w:val="0"/>
        <w:spacing w:line="288" w:lineRule="auto"/>
        <w:ind w:left="0" w:leftChars="0"/>
        <w:textAlignment w:val="auto"/>
        <w:rPr>
          <w:rFonts w:ascii="仿宋" w:hAnsi="仿宋" w:eastAsia="仿宋" w:cs="仿宋"/>
          <w:color w:val="auto"/>
          <w:sz w:val="22"/>
          <w:highlight w:val="none"/>
          <w:u w:val="singl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江苏省徐州市铜山区上海路101号</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地址：</w:t>
      </w:r>
      <w:r>
        <w:rPr>
          <w:rFonts w:hint="eastAsia" w:ascii="仿宋" w:hAnsi="仿宋" w:eastAsia="仿宋" w:cs="仿宋"/>
          <w:bCs/>
          <w:color w:val="auto"/>
          <w:highlight w:val="none"/>
          <w:u w:val="single"/>
        </w:rPr>
        <w:t xml:space="preserve">                           </w:t>
      </w:r>
    </w:p>
    <w:p w14:paraId="39B967F9">
      <w:pPr>
        <w:pageBreakBefore w:val="0"/>
        <w:kinsoku/>
        <w:wordWrap/>
        <w:overflowPunct/>
        <w:topLinePunct w:val="0"/>
        <w:bidi w:val="0"/>
        <w:spacing w:line="288" w:lineRule="auto"/>
        <w:ind w:left="0" w:leftChars="0"/>
        <w:textAlignment w:val="auto"/>
        <w:rPr>
          <w:rFonts w:ascii="仿宋" w:hAnsi="仿宋" w:eastAsia="仿宋" w:cs="仿宋"/>
          <w:color w:val="auto"/>
          <w:sz w:val="24"/>
          <w:highlight w:val="none"/>
          <w:u w:val="single"/>
        </w:rPr>
      </w:pPr>
      <w:r>
        <w:rPr>
          <w:rFonts w:hint="eastAsia" w:ascii="仿宋" w:hAnsi="仿宋" w:eastAsia="仿宋" w:cs="仿宋"/>
          <w:color w:val="auto"/>
          <w:sz w:val="24"/>
          <w:highlight w:val="none"/>
        </w:rPr>
        <w:t>邮政编码：</w:t>
      </w:r>
      <w:r>
        <w:rPr>
          <w:rFonts w:hint="eastAsia" w:ascii="仿宋" w:hAnsi="仿宋" w:eastAsia="仿宋" w:cs="仿宋"/>
          <w:color w:val="auto"/>
          <w:sz w:val="24"/>
          <w:highlight w:val="none"/>
          <w:u w:val="single"/>
        </w:rPr>
        <w:t xml:space="preserve"> 221116                </w:t>
      </w: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 xml:space="preserve">                           </w:t>
      </w:r>
    </w:p>
    <w:p w14:paraId="18D67C33">
      <w:pPr>
        <w:pageBreakBefore w:val="0"/>
        <w:kinsoku/>
        <w:wordWrap/>
        <w:overflowPunct/>
        <w:topLinePunct w:val="0"/>
        <w:bidi w:val="0"/>
        <w:spacing w:line="288" w:lineRule="auto"/>
        <w:ind w:left="0" w:leftChars="0"/>
        <w:textAlignment w:val="auto"/>
        <w:rPr>
          <w:rFonts w:ascii="仿宋" w:hAnsi="仿宋" w:eastAsia="仿宋" w:cs="仿宋"/>
          <w:color w:val="auto"/>
          <w:sz w:val="22"/>
          <w:highlight w:val="none"/>
          <w:u w:val="singl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法定代表人：</w:t>
      </w:r>
      <w:r>
        <w:rPr>
          <w:rFonts w:hint="eastAsia" w:ascii="仿宋" w:hAnsi="仿宋" w:eastAsia="仿宋" w:cs="仿宋"/>
          <w:color w:val="auto"/>
          <w:sz w:val="22"/>
          <w:highlight w:val="none"/>
          <w:u w:val="single"/>
        </w:rPr>
        <w:t xml:space="preserve">                </w:t>
      </w:r>
    </w:p>
    <w:p w14:paraId="7767619A">
      <w:pPr>
        <w:pageBreakBefore w:val="0"/>
        <w:kinsoku/>
        <w:wordWrap/>
        <w:overflowPunct/>
        <w:topLinePunct w:val="0"/>
        <w:bidi w:val="0"/>
        <w:spacing w:line="288" w:lineRule="auto"/>
        <w:ind w:left="0" w:leftChars="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5418502C">
      <w:pPr>
        <w:pageBreakBefore w:val="0"/>
        <w:kinsoku/>
        <w:wordWrap/>
        <w:overflowPunct/>
        <w:topLinePunct w:val="0"/>
        <w:bidi w:val="0"/>
        <w:spacing w:line="288" w:lineRule="auto"/>
        <w:ind w:left="0" w:leftChars="0"/>
        <w:textAlignment w:val="auto"/>
        <w:rPr>
          <w:rFonts w:ascii="仿宋" w:hAnsi="仿宋" w:eastAsia="仿宋" w:cs="仿宋"/>
          <w:color w:val="auto"/>
          <w:sz w:val="24"/>
          <w:highlight w:val="none"/>
          <w:u w:val="singl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电  话：</w:t>
      </w:r>
      <w:r>
        <w:rPr>
          <w:rFonts w:hint="eastAsia" w:ascii="仿宋" w:hAnsi="仿宋" w:eastAsia="仿宋" w:cs="仿宋"/>
          <w:color w:val="auto"/>
          <w:sz w:val="24"/>
          <w:highlight w:val="none"/>
          <w:u w:val="single"/>
        </w:rPr>
        <w:t xml:space="preserve">                    </w:t>
      </w:r>
    </w:p>
    <w:p w14:paraId="43C8924F">
      <w:pPr>
        <w:pageBreakBefore w:val="0"/>
        <w:kinsoku/>
        <w:wordWrap/>
        <w:overflowPunct/>
        <w:topLinePunct w:val="0"/>
        <w:bidi w:val="0"/>
        <w:spacing w:line="288" w:lineRule="auto"/>
        <w:ind w:left="0" w:leftChars="0"/>
        <w:textAlignment w:val="auto"/>
        <w:rPr>
          <w:rFonts w:ascii="仿宋" w:hAnsi="仿宋" w:eastAsia="仿宋" w:cs="仿宋"/>
          <w:color w:val="auto"/>
          <w:sz w:val="24"/>
          <w:highlight w:val="none"/>
        </w:rPr>
      </w:pPr>
      <w:r>
        <w:rPr>
          <w:rFonts w:hint="eastAsia" w:ascii="仿宋" w:hAnsi="仿宋" w:eastAsia="仿宋" w:cs="仿宋"/>
          <w:color w:val="auto"/>
          <w:sz w:val="24"/>
          <w:highlight w:val="none"/>
        </w:rPr>
        <w:t>联行号：</w:t>
      </w:r>
      <w:r>
        <w:rPr>
          <w:rFonts w:hint="eastAsia" w:ascii="仿宋" w:hAnsi="仿宋" w:eastAsia="仿宋" w:cs="仿宋"/>
          <w:color w:val="auto"/>
          <w:sz w:val="24"/>
          <w:highlight w:val="none"/>
          <w:u w:val="single"/>
        </w:rPr>
        <w:t xml:space="preserve">104303000321          </w:t>
      </w:r>
      <w:r>
        <w:rPr>
          <w:rFonts w:hint="eastAsia" w:ascii="仿宋" w:hAnsi="仿宋" w:eastAsia="仿宋" w:cs="仿宋"/>
          <w:color w:val="auto"/>
          <w:sz w:val="24"/>
          <w:highlight w:val="none"/>
        </w:rPr>
        <w:t xml:space="preserve">        联行号：</w:t>
      </w:r>
      <w:r>
        <w:rPr>
          <w:rFonts w:hint="eastAsia" w:ascii="仿宋" w:hAnsi="仿宋" w:eastAsia="仿宋" w:cs="仿宋"/>
          <w:color w:val="auto"/>
          <w:sz w:val="24"/>
          <w:highlight w:val="none"/>
          <w:u w:val="single"/>
        </w:rPr>
        <w:t xml:space="preserve">                         </w:t>
      </w:r>
    </w:p>
    <w:p w14:paraId="00A1B0E0">
      <w:pPr>
        <w:pageBreakBefore w:val="0"/>
        <w:kinsoku/>
        <w:wordWrap/>
        <w:overflowPunct/>
        <w:topLinePunct w:val="0"/>
        <w:bidi w:val="0"/>
        <w:spacing w:line="288" w:lineRule="auto"/>
        <w:ind w:left="0" w:leftChars="0"/>
        <w:textAlignment w:val="auto"/>
        <w:rPr>
          <w:rFonts w:ascii="仿宋" w:hAnsi="仿宋" w:eastAsia="仿宋" w:cs="仿宋"/>
          <w:color w:val="auto"/>
          <w:highlight w:val="none"/>
          <w:u w:val="single"/>
        </w:rPr>
      </w:pPr>
      <w:r>
        <w:rPr>
          <w:rFonts w:hint="eastAsia" w:ascii="仿宋" w:hAnsi="仿宋" w:eastAsia="仿宋" w:cs="仿宋"/>
          <w:color w:val="auto"/>
          <w:sz w:val="24"/>
          <w:highlight w:val="none"/>
        </w:rPr>
        <w:t>开户银行：</w:t>
      </w:r>
      <w:r>
        <w:rPr>
          <w:rFonts w:hint="eastAsia" w:ascii="仿宋" w:hAnsi="仿宋" w:eastAsia="仿宋" w:cs="仿宋"/>
          <w:color w:val="auto"/>
          <w:sz w:val="24"/>
          <w:highlight w:val="none"/>
          <w:u w:val="single"/>
        </w:rPr>
        <w:t>中国银行徐州师大支行</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r>
        <w:rPr>
          <w:rFonts w:hint="eastAsia" w:ascii="仿宋" w:hAnsi="仿宋" w:eastAsia="仿宋" w:cs="仿宋"/>
          <w:color w:val="auto"/>
          <w:sz w:val="24"/>
          <w:highlight w:val="none"/>
        </w:rPr>
        <w:t>开户银行</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p>
    <w:p w14:paraId="560B427D">
      <w:pPr>
        <w:pageBreakBefore w:val="0"/>
        <w:kinsoku/>
        <w:wordWrap/>
        <w:overflowPunct/>
        <w:topLinePunct w:val="0"/>
        <w:bidi w:val="0"/>
        <w:spacing w:line="288" w:lineRule="auto"/>
        <w:ind w:left="0" w:leftChars="0"/>
        <w:textAlignment w:val="auto"/>
        <w:rPr>
          <w:rFonts w:ascii="仿宋" w:hAnsi="仿宋" w:eastAsia="仿宋" w:cs="仿宋"/>
          <w:color w:val="auto"/>
          <w:sz w:val="24"/>
          <w:highlight w:val="none"/>
          <w:u w:val="single"/>
        </w:rPr>
      </w:pPr>
      <w:r>
        <w:rPr>
          <w:rFonts w:hint="eastAsia" w:ascii="仿宋" w:hAnsi="仿宋" w:eastAsia="仿宋" w:cs="仿宋"/>
          <w:color w:val="auto"/>
          <w:sz w:val="24"/>
          <w:highlight w:val="none"/>
        </w:rPr>
        <w:t>账  号：</w:t>
      </w:r>
      <w:r>
        <w:rPr>
          <w:rFonts w:hint="eastAsia" w:ascii="仿宋" w:hAnsi="仿宋" w:eastAsia="仿宋" w:cs="仿宋"/>
          <w:color w:val="auto"/>
          <w:sz w:val="24"/>
          <w:highlight w:val="none"/>
          <w:u w:val="single"/>
        </w:rPr>
        <w:t>533958228597</w:t>
      </w:r>
      <w:r>
        <w:rPr>
          <w:rFonts w:hint="eastAsia" w:ascii="仿宋" w:hAnsi="仿宋" w:eastAsia="仿宋" w:cs="仿宋"/>
          <w:color w:val="auto"/>
          <w:highlight w:val="none"/>
          <w:u w:val="single"/>
        </w:rPr>
        <w:t xml:space="preserve"> </w:t>
      </w:r>
      <w:r>
        <w:rPr>
          <w:rFonts w:hint="eastAsia" w:ascii="仿宋" w:hAnsi="仿宋" w:eastAsia="仿宋" w:cs="仿宋"/>
          <w:color w:val="auto"/>
          <w:sz w:val="24"/>
          <w:highlight w:val="none"/>
        </w:rPr>
        <w:t xml:space="preserve">                 账  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highlight w:val="none"/>
          <w:u w:val="single"/>
        </w:rPr>
        <w:t xml:space="preserve">                        </w:t>
      </w:r>
    </w:p>
    <w:p w14:paraId="09028956">
      <w:pPr>
        <w:pStyle w:val="4"/>
        <w:pageBreakBefore w:val="0"/>
        <w:kinsoku/>
        <w:wordWrap/>
        <w:overflowPunct/>
        <w:topLinePunct w:val="0"/>
        <w:bidi w:val="0"/>
        <w:spacing w:before="0" w:after="0" w:line="288" w:lineRule="auto"/>
        <w:ind w:left="0" w:leftChars="0"/>
        <w:jc w:val="center"/>
        <w:textAlignment w:val="auto"/>
        <w:rPr>
          <w:rFonts w:ascii="华文中宋" w:hAnsi="华文中宋" w:eastAsia="华文中宋"/>
          <w:color w:val="auto"/>
          <w:sz w:val="24"/>
          <w:szCs w:val="24"/>
          <w:highlight w:val="none"/>
        </w:rPr>
      </w:pPr>
      <w:r>
        <w:rPr>
          <w:rFonts w:hint="eastAsia" w:eastAsia="仿宋_GB2312"/>
          <w:color w:val="auto"/>
          <w:sz w:val="24"/>
          <w:szCs w:val="24"/>
          <w:highlight w:val="none"/>
        </w:rPr>
        <w:t xml:space="preserve">  </w:t>
      </w:r>
      <w:bookmarkStart w:id="201" w:name="_Toc351203494"/>
      <w:r>
        <w:rPr>
          <w:rFonts w:eastAsia="黑体"/>
          <w:color w:val="auto"/>
          <w:highlight w:val="none"/>
        </w:rPr>
        <w:t>第二部分 通用合同条款</w:t>
      </w:r>
      <w:bookmarkEnd w:id="201"/>
      <w:bookmarkStart w:id="202" w:name="_Toc337558727"/>
    </w:p>
    <w:p w14:paraId="415B519A">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203" w:name="_Toc351203495"/>
      <w:r>
        <w:rPr>
          <w:rFonts w:ascii="Times New Roman" w:hAnsi="Times New Roman" w:eastAsia="黑体"/>
          <w:b w:val="0"/>
          <w:color w:val="auto"/>
          <w:sz w:val="24"/>
          <w:szCs w:val="24"/>
          <w:highlight w:val="none"/>
        </w:rPr>
        <w:t>1.</w:t>
      </w:r>
      <w:bookmarkStart w:id="204" w:name="_Toc303538972"/>
      <w:bookmarkEnd w:id="204"/>
      <w:bookmarkStart w:id="205" w:name="_Toc303538974"/>
      <w:bookmarkEnd w:id="205"/>
      <w:bookmarkStart w:id="206" w:name="_Toc303538975"/>
      <w:bookmarkEnd w:id="206"/>
      <w:bookmarkStart w:id="207" w:name="_Toc303538976"/>
      <w:bookmarkEnd w:id="207"/>
      <w:bookmarkStart w:id="208" w:name="_Toc303538973"/>
      <w:bookmarkEnd w:id="208"/>
      <w:bookmarkStart w:id="209" w:name="_Toc296346528"/>
      <w:bookmarkStart w:id="210" w:name="_Toc296503027"/>
      <w:r>
        <w:rPr>
          <w:rFonts w:ascii="Times New Roman" w:hAnsi="Times New Roman" w:eastAsia="黑体"/>
          <w:b w:val="0"/>
          <w:color w:val="auto"/>
          <w:sz w:val="24"/>
          <w:szCs w:val="24"/>
          <w:highlight w:val="none"/>
        </w:rPr>
        <w:t xml:space="preserve"> 一般约定</w:t>
      </w:r>
      <w:bookmarkEnd w:id="202"/>
      <w:bookmarkEnd w:id="203"/>
      <w:bookmarkEnd w:id="209"/>
      <w:bookmarkEnd w:id="210"/>
    </w:p>
    <w:p w14:paraId="675664F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11" w:name="_Toc296346529"/>
      <w:bookmarkStart w:id="212" w:name="_Toc296503028"/>
      <w:bookmarkStart w:id="213" w:name="_Toc337558728"/>
      <w:bookmarkStart w:id="214" w:name="_Toc351203496"/>
      <w:r>
        <w:rPr>
          <w:rFonts w:ascii="Times New Roman" w:hAnsi="Times New Roman" w:eastAsia="黑体"/>
          <w:b w:val="0"/>
          <w:color w:val="auto"/>
          <w:highlight w:val="none"/>
        </w:rPr>
        <w:t>1.1词语定义</w:t>
      </w:r>
      <w:bookmarkEnd w:id="211"/>
      <w:bookmarkEnd w:id="212"/>
      <w:bookmarkEnd w:id="213"/>
      <w:r>
        <w:rPr>
          <w:rFonts w:ascii="Times New Roman" w:hAnsi="Times New Roman" w:eastAsia="黑体"/>
          <w:b w:val="0"/>
          <w:color w:val="auto"/>
          <w:highlight w:val="none"/>
        </w:rPr>
        <w:t>与解释</w:t>
      </w:r>
      <w:bookmarkEnd w:id="214"/>
    </w:p>
    <w:p w14:paraId="786C911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合同协议书、通用合同条款、专用合同条款中的下列词语具有本款所赋予的含义：</w:t>
      </w:r>
    </w:p>
    <w:p w14:paraId="78077AD1">
      <w:pPr>
        <w:pageBreakBefore w:val="0"/>
        <w:kinsoku/>
        <w:wordWrap/>
        <w:overflowPunct/>
        <w:topLinePunct w:val="0"/>
        <w:autoSpaceDE w:val="0"/>
        <w:autoSpaceDN w:val="0"/>
        <w:bidi w:val="0"/>
        <w:adjustRightInd w:val="0"/>
        <w:spacing w:line="288" w:lineRule="auto"/>
        <w:ind w:left="0" w:leftChars="0"/>
        <w:jc w:val="left"/>
        <w:textAlignment w:val="auto"/>
        <w:rPr>
          <w:rFonts w:eastAsia="仿宋_GB2312"/>
          <w:color w:val="auto"/>
          <w:sz w:val="24"/>
          <w:highlight w:val="none"/>
        </w:rPr>
      </w:pPr>
      <w:r>
        <w:rPr>
          <w:rFonts w:eastAsia="仿宋_GB2312"/>
          <w:color w:val="auto"/>
          <w:sz w:val="24"/>
          <w:highlight w:val="none"/>
        </w:rPr>
        <w:t xml:space="preserve">    1.1.1 合同</w:t>
      </w:r>
    </w:p>
    <w:p w14:paraId="51FFA52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577095E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1.1.1.2 合同协议书：是指构成合同的由发包人和承包人共同签署的称为“合同协议书”的书面文件</w:t>
      </w:r>
      <w:r>
        <w:rPr>
          <w:rFonts w:hint="eastAsia" w:eastAsia="仿宋_GB2312"/>
          <w:color w:val="auto"/>
          <w:sz w:val="24"/>
          <w:highlight w:val="none"/>
        </w:rPr>
        <w:t>。</w:t>
      </w:r>
    </w:p>
    <w:p w14:paraId="1534722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1.1.1.3 中标通知书：是指构成合同的</w:t>
      </w:r>
      <w:r>
        <w:rPr>
          <w:rFonts w:hint="eastAsia" w:eastAsia="仿宋_GB2312"/>
          <w:color w:val="auto"/>
          <w:sz w:val="24"/>
          <w:highlight w:val="none"/>
        </w:rPr>
        <w:t>由</w:t>
      </w:r>
      <w:r>
        <w:rPr>
          <w:rFonts w:eastAsia="仿宋_GB2312"/>
          <w:color w:val="auto"/>
          <w:sz w:val="24"/>
          <w:highlight w:val="none"/>
        </w:rPr>
        <w:t>发包人通知承包人中标的书面文件。</w:t>
      </w:r>
    </w:p>
    <w:p w14:paraId="180B04F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1.1.1.4 投标函：是指构成合同的由承包人填写并签署的用于投标的称为“投标函”的文件。</w:t>
      </w:r>
    </w:p>
    <w:p w14:paraId="79CAAC0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1.1.1.5 投标函附录：是指构成合同的附在投标函后的称为“投标函附录”的文件。</w:t>
      </w:r>
    </w:p>
    <w:p w14:paraId="6F35A39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1.1.1.6 技术标准和要求：是指构成合同的施工应当遵守的或指导施工的国家、行业或地方的技术标准和要求，以及合同约定的技术标准和要求。</w:t>
      </w:r>
    </w:p>
    <w:p w14:paraId="77D2A49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1.1.1.7 图纸：是指构成合同的图纸，包括由发包人按照合同约定提供或经发包人批准的设计文件、</w:t>
      </w:r>
      <w:r>
        <w:rPr>
          <w:rFonts w:hint="eastAsia" w:eastAsia="仿宋_GB2312"/>
          <w:color w:val="auto"/>
          <w:sz w:val="24"/>
          <w:highlight w:val="none"/>
        </w:rPr>
        <w:t>施工图、</w:t>
      </w:r>
      <w:r>
        <w:rPr>
          <w:rFonts w:eastAsia="仿宋_GB2312"/>
          <w:color w:val="auto"/>
          <w:sz w:val="24"/>
          <w:highlight w:val="none"/>
        </w:rPr>
        <w:t>鸟瞰图及模型等，</w:t>
      </w:r>
      <w:r>
        <w:rPr>
          <w:rFonts w:hint="eastAsia" w:eastAsia="仿宋_GB2312"/>
          <w:color w:val="auto"/>
          <w:sz w:val="24"/>
          <w:highlight w:val="none"/>
        </w:rPr>
        <w:t>以及在合同履行过程中形成的图纸文件。图纸</w:t>
      </w:r>
      <w:r>
        <w:rPr>
          <w:rFonts w:eastAsia="仿宋_GB2312"/>
          <w:color w:val="auto"/>
          <w:sz w:val="24"/>
          <w:highlight w:val="none"/>
        </w:rPr>
        <w:t>应当按照法律规定审查合格。</w:t>
      </w:r>
    </w:p>
    <w:p w14:paraId="6701E822">
      <w:pPr>
        <w:pageBreakBefore w:val="0"/>
        <w:kinsoku/>
        <w:wordWrap/>
        <w:overflowPunct/>
        <w:topLinePunct w:val="0"/>
        <w:autoSpaceDE w:val="0"/>
        <w:autoSpaceDN w:val="0"/>
        <w:bidi w:val="0"/>
        <w:adjustRightInd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1.1.1.8 已标价工程量清单：是指构成合同的由承包人按照规定的格式和要求填写并标明价格的工程量清单，包括说明和表格。</w:t>
      </w:r>
    </w:p>
    <w:p w14:paraId="4F335D1B">
      <w:pPr>
        <w:pageBreakBefore w:val="0"/>
        <w:kinsoku/>
        <w:wordWrap/>
        <w:overflowPunct/>
        <w:topLinePunct w:val="0"/>
        <w:autoSpaceDE w:val="0"/>
        <w:autoSpaceDN w:val="0"/>
        <w:bidi w:val="0"/>
        <w:adjustRightInd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1.1.1.9 预算书：是指构成合同的由承包人按照发包人规定的格式和要求编制的工程预算文件。</w:t>
      </w:r>
    </w:p>
    <w:p w14:paraId="0087BF3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1.1.1.10 其他合同文件：是指经合同当事人约定的与工程施工有关的具有合同约束力的文件或书面协议。合同当事人可以在专用合同条款中进行约定。</w:t>
      </w:r>
    </w:p>
    <w:p w14:paraId="72BF2B65">
      <w:pPr>
        <w:pageBreakBefore w:val="0"/>
        <w:kinsoku/>
        <w:wordWrap/>
        <w:overflowPunct/>
        <w:topLinePunct w:val="0"/>
        <w:autoSpaceDE w:val="0"/>
        <w:autoSpaceDN w:val="0"/>
        <w:bidi w:val="0"/>
        <w:adjustRightInd w:val="0"/>
        <w:spacing w:line="288" w:lineRule="auto"/>
        <w:ind w:left="0" w:leftChars="0"/>
        <w:jc w:val="left"/>
        <w:textAlignment w:val="auto"/>
        <w:rPr>
          <w:rFonts w:eastAsia="仿宋_GB2312"/>
          <w:color w:val="auto"/>
          <w:sz w:val="24"/>
          <w:highlight w:val="none"/>
        </w:rPr>
      </w:pPr>
      <w:r>
        <w:rPr>
          <w:rFonts w:eastAsia="仿宋_GB2312"/>
          <w:color w:val="auto"/>
          <w:sz w:val="24"/>
          <w:highlight w:val="none"/>
        </w:rPr>
        <w:t xml:space="preserve">    1.1.2 合同当事人及其他相关方</w:t>
      </w:r>
    </w:p>
    <w:p w14:paraId="2AF0A50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1.1.2.1 合同当事人：是指发包人和（或）承包人。</w:t>
      </w:r>
    </w:p>
    <w:p w14:paraId="6CF89D3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1.1.2.2 发包人：是指与承包人签订合同协议书的当事人及取得该当事人资格的合法继承人。</w:t>
      </w:r>
    </w:p>
    <w:p w14:paraId="18B346D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1.1.2.3 承包人：是指与发包人签订合同协议书的，具有相应工程施工承包资质的当事人及取得该当事人资格的合法继承人。</w:t>
      </w:r>
    </w:p>
    <w:p w14:paraId="30B2025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1.1.2.4 监理人：是指在专用合同条款中指明的，受发包人委托按照法律规定进行工程监督管理的法人或其他组织。</w:t>
      </w:r>
    </w:p>
    <w:p w14:paraId="380FD78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1.1.2.5 设计人：是指在专用合同条款中指明的，受发包人委托负责工程设计并具备相应工程设计资质的法人或其他组织。</w:t>
      </w:r>
    </w:p>
    <w:p w14:paraId="52CD65A2">
      <w:pPr>
        <w:pageBreakBefore w:val="0"/>
        <w:kinsoku/>
        <w:wordWrap/>
        <w:overflowPunct/>
        <w:topLinePunct w:val="0"/>
        <w:bidi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1.1.2.6 分包人：</w:t>
      </w:r>
      <w:bookmarkStart w:id="215" w:name="#go5"/>
      <w:bookmarkEnd w:id="215"/>
      <w:r>
        <w:rPr>
          <w:rFonts w:eastAsia="仿宋_GB2312"/>
          <w:color w:val="auto"/>
          <w:sz w:val="24"/>
          <w:highlight w:val="none"/>
        </w:rPr>
        <w:t>是指</w:t>
      </w:r>
      <w:r>
        <w:rPr>
          <w:rFonts w:hint="eastAsia" w:eastAsia="仿宋_GB2312"/>
          <w:color w:val="auto"/>
          <w:sz w:val="24"/>
          <w:highlight w:val="none"/>
        </w:rPr>
        <w:t>按照法律规定和</w:t>
      </w:r>
      <w:r>
        <w:rPr>
          <w:rFonts w:eastAsia="仿宋_GB2312"/>
          <w:color w:val="auto"/>
          <w:sz w:val="24"/>
          <w:highlight w:val="none"/>
        </w:rPr>
        <w:t>合同约定，分包</w:t>
      </w:r>
      <w:r>
        <w:rPr>
          <w:rFonts w:hint="eastAsia" w:eastAsia="仿宋_GB2312"/>
          <w:color w:val="auto"/>
          <w:sz w:val="24"/>
          <w:highlight w:val="none"/>
        </w:rPr>
        <w:t>部分</w:t>
      </w:r>
      <w:r>
        <w:rPr>
          <w:rFonts w:eastAsia="仿宋_GB2312"/>
          <w:color w:val="auto"/>
          <w:sz w:val="24"/>
          <w:highlight w:val="none"/>
        </w:rPr>
        <w:t>工程</w:t>
      </w:r>
      <w:r>
        <w:rPr>
          <w:rFonts w:hint="eastAsia" w:eastAsia="仿宋_GB2312"/>
          <w:color w:val="auto"/>
          <w:sz w:val="24"/>
          <w:highlight w:val="none"/>
        </w:rPr>
        <w:t>或工作</w:t>
      </w:r>
      <w:r>
        <w:rPr>
          <w:rFonts w:eastAsia="仿宋_GB2312"/>
          <w:color w:val="auto"/>
          <w:sz w:val="24"/>
          <w:highlight w:val="none"/>
        </w:rPr>
        <w:t>，并与</w:t>
      </w:r>
      <w:r>
        <w:rPr>
          <w:rFonts w:hint="eastAsia" w:eastAsia="仿宋_GB2312"/>
          <w:color w:val="auto"/>
          <w:sz w:val="24"/>
          <w:highlight w:val="none"/>
        </w:rPr>
        <w:t>承包人</w:t>
      </w:r>
      <w:r>
        <w:rPr>
          <w:rFonts w:eastAsia="仿宋_GB2312"/>
          <w:color w:val="auto"/>
          <w:sz w:val="24"/>
          <w:highlight w:val="none"/>
        </w:rPr>
        <w:t>签订分包合同的具有相应资质的法人。</w:t>
      </w:r>
    </w:p>
    <w:p w14:paraId="2CC0EC2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1.1.2.7 发包人代表：是指由发包人任命并派驻施工现场在发包人授权范围内行使发包人权利的人。</w:t>
      </w:r>
    </w:p>
    <w:p w14:paraId="002FF75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1.1.2.8 项目经理：是指由承包人任命并派驻施工现场，在承包人授权范围内负责合同履行，且按照法律规定具有相应资格的</w:t>
      </w:r>
      <w:r>
        <w:rPr>
          <w:rFonts w:hint="eastAsia" w:eastAsia="仿宋_GB2312"/>
          <w:color w:val="auto"/>
          <w:sz w:val="24"/>
          <w:highlight w:val="none"/>
        </w:rPr>
        <w:t>项目负责</w:t>
      </w:r>
      <w:r>
        <w:rPr>
          <w:rFonts w:eastAsia="仿宋_GB2312"/>
          <w:color w:val="auto"/>
          <w:sz w:val="24"/>
          <w:highlight w:val="none"/>
        </w:rPr>
        <w:t>人。</w:t>
      </w:r>
    </w:p>
    <w:p w14:paraId="4B2FE14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1.1.2.9 总监理工程师：是指由监理人任命并派驻施工现场进行工程监理的总负责人。</w:t>
      </w:r>
    </w:p>
    <w:p w14:paraId="06E133A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 工程和设备</w:t>
      </w:r>
    </w:p>
    <w:p w14:paraId="0886BED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1.1.3.1 工程：是指与合同协议书中工程承包范围对应的永久工程和（或）临时工程。</w:t>
      </w:r>
    </w:p>
    <w:p w14:paraId="34543B0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1.1.3.2 永久工程：是指按合同约定建造并移交给发包人的工程，包括工程设备。</w:t>
      </w:r>
    </w:p>
    <w:p w14:paraId="1E68B41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1.1.3.3 临时工程：是指为完成合同约定的永久工程所修建的各类临时性工程，不包括施工设备。</w:t>
      </w:r>
    </w:p>
    <w:p w14:paraId="31D098B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1.1.3.4 单位工程：是指在</w:t>
      </w:r>
      <w:r>
        <w:rPr>
          <w:rFonts w:hint="eastAsia" w:eastAsia="仿宋_GB2312"/>
          <w:color w:val="auto"/>
          <w:sz w:val="24"/>
          <w:highlight w:val="none"/>
        </w:rPr>
        <w:t>合同协议书</w:t>
      </w:r>
      <w:r>
        <w:rPr>
          <w:rFonts w:eastAsia="仿宋_GB2312"/>
          <w:color w:val="auto"/>
          <w:sz w:val="24"/>
          <w:highlight w:val="none"/>
        </w:rPr>
        <w:t>中指明的，具备独立施工条件并能形成独立使用功能的永久工程。</w:t>
      </w:r>
    </w:p>
    <w:p w14:paraId="2A7F623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1.1.3.5 工程设备：是指构成永久工程的机电设备、金属结构设备、仪器及其他类似的设备和装置。</w:t>
      </w:r>
    </w:p>
    <w:p w14:paraId="73E7F1F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1.1.3.6 施工设备：是指为完成合同约定的各项工作所需的设备、器具和其他物品，但不包括工程设备、临时工程和材料。</w:t>
      </w:r>
    </w:p>
    <w:p w14:paraId="243A284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1.1.3.7 施工现场：是指用于工程施工的场所，以及在专用合同条款中</w:t>
      </w:r>
      <w:r>
        <w:rPr>
          <w:rFonts w:hint="eastAsia" w:eastAsia="仿宋_GB2312"/>
          <w:color w:val="auto"/>
          <w:sz w:val="24"/>
          <w:highlight w:val="none"/>
        </w:rPr>
        <w:t>指</w:t>
      </w:r>
      <w:r>
        <w:rPr>
          <w:rFonts w:eastAsia="仿宋_GB2312"/>
          <w:color w:val="auto"/>
          <w:sz w:val="24"/>
          <w:highlight w:val="none"/>
        </w:rPr>
        <w:t>明作为施工场所组成部分的其他场所，包括永久占地和临时占地。</w:t>
      </w:r>
    </w:p>
    <w:p w14:paraId="6627475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1.1.3.8临时设施：是指为完成合同约定的各项工作所服务的临时性生产和生活设施。</w:t>
      </w:r>
    </w:p>
    <w:p w14:paraId="0BE7B20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1.1.3.9 永久占地：是指专用合同条款中指明为实施工程需永久占用的土地。</w:t>
      </w:r>
    </w:p>
    <w:p w14:paraId="52A4F0C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1.1.3.10 临时占地：是指专用合同条款中指明为实施工程需要临时占用的土地。</w:t>
      </w:r>
    </w:p>
    <w:p w14:paraId="1CB624B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 日期和期限</w:t>
      </w:r>
    </w:p>
    <w:p w14:paraId="12AC38B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1.1.4.1 开工日期：包括计划开工日期和实际开工日期。计划开工日期是指合同协议书约定的开工日期；实际开工日期是指监理人按照第7.3.2项</w:t>
      </w:r>
      <w:r>
        <w:rPr>
          <w:rFonts w:hint="eastAsia" w:eastAsia="仿宋_GB2312"/>
          <w:color w:val="auto"/>
          <w:sz w:val="24"/>
          <w:highlight w:val="none"/>
        </w:rPr>
        <w:t>〔</w:t>
      </w:r>
      <w:r>
        <w:rPr>
          <w:rFonts w:eastAsia="仿宋_GB2312"/>
          <w:color w:val="auto"/>
          <w:sz w:val="24"/>
          <w:highlight w:val="none"/>
        </w:rPr>
        <w:t>开工通知</w:t>
      </w:r>
      <w:r>
        <w:rPr>
          <w:rFonts w:hint="eastAsia" w:eastAsia="仿宋_GB2312"/>
          <w:color w:val="auto"/>
          <w:sz w:val="24"/>
          <w:highlight w:val="none"/>
        </w:rPr>
        <w:t>〕</w:t>
      </w:r>
      <w:r>
        <w:rPr>
          <w:rFonts w:eastAsia="仿宋_GB2312"/>
          <w:color w:val="auto"/>
          <w:sz w:val="24"/>
          <w:highlight w:val="none"/>
        </w:rPr>
        <w:t>约定发出的符合法律规定的开工通知中载明的开工日期。</w:t>
      </w:r>
    </w:p>
    <w:p w14:paraId="74084D9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1.1.4.2 竣工日期：包括计划竣工日期和实际竣工日期。计划竣工日期是指合同协议书约定的竣工日期</w:t>
      </w:r>
      <w:r>
        <w:rPr>
          <w:rFonts w:hint="eastAsia" w:eastAsia="仿宋_GB2312"/>
          <w:color w:val="auto"/>
          <w:sz w:val="24"/>
          <w:highlight w:val="none"/>
        </w:rPr>
        <w:t>；</w:t>
      </w:r>
      <w:r>
        <w:rPr>
          <w:rFonts w:eastAsia="仿宋_GB2312"/>
          <w:color w:val="auto"/>
          <w:sz w:val="24"/>
          <w:highlight w:val="none"/>
        </w:rPr>
        <w:t>实际竣工日期按照第13.2.3项</w:t>
      </w:r>
      <w:r>
        <w:rPr>
          <w:rFonts w:hint="eastAsia" w:eastAsia="仿宋_GB2312"/>
          <w:color w:val="auto"/>
          <w:sz w:val="24"/>
          <w:highlight w:val="none"/>
        </w:rPr>
        <w:t>〔</w:t>
      </w:r>
      <w:r>
        <w:rPr>
          <w:rFonts w:eastAsia="仿宋_GB2312"/>
          <w:color w:val="auto"/>
          <w:sz w:val="24"/>
          <w:highlight w:val="none"/>
        </w:rPr>
        <w:t>竣工日期</w:t>
      </w:r>
      <w:r>
        <w:rPr>
          <w:rFonts w:hint="eastAsia" w:eastAsia="仿宋_GB2312"/>
          <w:color w:val="auto"/>
          <w:sz w:val="24"/>
          <w:highlight w:val="none"/>
        </w:rPr>
        <w:t>〕</w:t>
      </w:r>
      <w:r>
        <w:rPr>
          <w:rFonts w:eastAsia="仿宋_GB2312"/>
          <w:color w:val="auto"/>
          <w:sz w:val="24"/>
          <w:highlight w:val="none"/>
        </w:rPr>
        <w:t xml:space="preserve">的约定确定。 </w:t>
      </w:r>
    </w:p>
    <w:p w14:paraId="7D96ACBE">
      <w:pPr>
        <w:pageBreakBefore w:val="0"/>
        <w:kinsoku/>
        <w:wordWrap/>
        <w:overflowPunct/>
        <w:topLinePunct w:val="0"/>
        <w:bidi w:val="0"/>
        <w:spacing w:line="288" w:lineRule="auto"/>
        <w:ind w:left="0" w:leftChars="0" w:firstLine="487" w:firstLineChars="203"/>
        <w:textAlignment w:val="auto"/>
        <w:rPr>
          <w:rFonts w:eastAsia="仿宋_GB2312"/>
          <w:color w:val="auto"/>
          <w:sz w:val="24"/>
          <w:highlight w:val="none"/>
        </w:rPr>
      </w:pPr>
      <w:r>
        <w:rPr>
          <w:rFonts w:eastAsia="仿宋_GB2312"/>
          <w:color w:val="auto"/>
          <w:sz w:val="24"/>
          <w:highlight w:val="none"/>
        </w:rPr>
        <w:t>1.1.4.3 工期：是指在合同协议书约定的承包人完成工程所需的期限，包括按照合同约定所作的</w:t>
      </w:r>
      <w:r>
        <w:rPr>
          <w:rFonts w:hint="eastAsia" w:eastAsia="仿宋_GB2312"/>
          <w:color w:val="auto"/>
          <w:sz w:val="24"/>
          <w:highlight w:val="none"/>
        </w:rPr>
        <w:t>期限</w:t>
      </w:r>
      <w:r>
        <w:rPr>
          <w:rFonts w:eastAsia="仿宋_GB2312"/>
          <w:color w:val="auto"/>
          <w:sz w:val="24"/>
          <w:highlight w:val="none"/>
        </w:rPr>
        <w:t>变更。</w:t>
      </w:r>
    </w:p>
    <w:p w14:paraId="186DE91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1.1.4.4 缺陷责任期：是指承包人按照合同约定承担缺陷修复义务，且发包人</w:t>
      </w:r>
      <w:r>
        <w:rPr>
          <w:rFonts w:hint="eastAsia" w:eastAsia="仿宋_GB2312"/>
          <w:color w:val="auto"/>
          <w:sz w:val="24"/>
          <w:highlight w:val="none"/>
        </w:rPr>
        <w:t>预</w:t>
      </w:r>
      <w:r>
        <w:rPr>
          <w:rFonts w:eastAsia="仿宋_GB2312"/>
          <w:color w:val="auto"/>
          <w:sz w:val="24"/>
          <w:highlight w:val="none"/>
        </w:rPr>
        <w:t>留质量保证金</w:t>
      </w:r>
      <w:r>
        <w:rPr>
          <w:rFonts w:hint="eastAsia" w:eastAsia="仿宋_GB2312"/>
          <w:color w:val="auto"/>
          <w:sz w:val="24"/>
          <w:highlight w:val="none"/>
        </w:rPr>
        <w:t>（已</w:t>
      </w:r>
      <w:r>
        <w:rPr>
          <w:rFonts w:eastAsia="仿宋_GB2312"/>
          <w:color w:val="auto"/>
          <w:sz w:val="24"/>
          <w:highlight w:val="none"/>
        </w:rPr>
        <w:t>缴纳履约保证金的除外</w:t>
      </w:r>
      <w:r>
        <w:rPr>
          <w:rFonts w:hint="eastAsia" w:eastAsia="仿宋_GB2312"/>
          <w:color w:val="auto"/>
          <w:sz w:val="24"/>
          <w:highlight w:val="none"/>
        </w:rPr>
        <w:t>）</w:t>
      </w:r>
      <w:r>
        <w:rPr>
          <w:rFonts w:eastAsia="仿宋_GB2312"/>
          <w:color w:val="auto"/>
          <w:sz w:val="24"/>
          <w:highlight w:val="none"/>
        </w:rPr>
        <w:t>的期限，</w:t>
      </w:r>
      <w:r>
        <w:rPr>
          <w:rFonts w:hint="eastAsia" w:eastAsia="仿宋_GB2312"/>
          <w:color w:val="auto"/>
          <w:sz w:val="24"/>
          <w:highlight w:val="none"/>
        </w:rPr>
        <w:t>自</w:t>
      </w:r>
      <w:r>
        <w:rPr>
          <w:rFonts w:eastAsia="仿宋_GB2312"/>
          <w:color w:val="auto"/>
          <w:sz w:val="24"/>
          <w:highlight w:val="none"/>
        </w:rPr>
        <w:t>工程</w:t>
      </w:r>
      <w:r>
        <w:rPr>
          <w:rFonts w:hint="eastAsia" w:eastAsia="仿宋_GB2312"/>
          <w:color w:val="auto"/>
          <w:sz w:val="24"/>
          <w:highlight w:val="none"/>
        </w:rPr>
        <w:t>实际竣工日期</w:t>
      </w:r>
      <w:r>
        <w:rPr>
          <w:rFonts w:eastAsia="仿宋_GB2312"/>
          <w:color w:val="auto"/>
          <w:sz w:val="24"/>
          <w:highlight w:val="none"/>
        </w:rPr>
        <w:t>起计算。</w:t>
      </w:r>
    </w:p>
    <w:p w14:paraId="4B93D8C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1.1.4.5 保修期：是指承包人按照合同约定对工程承担保修责任的期限，从工程竣工验收合格之日起计算。</w:t>
      </w:r>
    </w:p>
    <w:p w14:paraId="01EFC70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1.1.4.6 基准日期：招标发包的工程以投标截止日前28天的日期为基准日</w:t>
      </w:r>
      <w:r>
        <w:rPr>
          <w:rFonts w:hint="eastAsia" w:eastAsia="仿宋_GB2312"/>
          <w:color w:val="auto"/>
          <w:sz w:val="24"/>
          <w:highlight w:val="none"/>
        </w:rPr>
        <w:t>期</w:t>
      </w:r>
      <w:r>
        <w:rPr>
          <w:rFonts w:eastAsia="仿宋_GB2312"/>
          <w:color w:val="auto"/>
          <w:sz w:val="24"/>
          <w:highlight w:val="none"/>
        </w:rPr>
        <w:t>，直接发包的工程以合同签订日前28天的日期为基准日</w:t>
      </w:r>
      <w:r>
        <w:rPr>
          <w:rFonts w:hint="eastAsia" w:eastAsia="仿宋_GB2312"/>
          <w:color w:val="auto"/>
          <w:sz w:val="24"/>
          <w:highlight w:val="none"/>
        </w:rPr>
        <w:t>期</w:t>
      </w:r>
      <w:r>
        <w:rPr>
          <w:rFonts w:eastAsia="仿宋_GB2312"/>
          <w:color w:val="auto"/>
          <w:sz w:val="24"/>
          <w:highlight w:val="none"/>
        </w:rPr>
        <w:t>。</w:t>
      </w:r>
    </w:p>
    <w:p w14:paraId="66B1FEC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1.1.4.7 天：除特别指明外，均指日历天。合同中按天计算时间的，开始当天不计入，从次日开始计算，期限最后一天的截止时间为当天24:00时。</w:t>
      </w:r>
    </w:p>
    <w:p w14:paraId="5587DF7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 合同价格和费用</w:t>
      </w:r>
    </w:p>
    <w:p w14:paraId="58952B3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1.1.5.1 签约合同价：是指发包人和承包人在合同协议书中确定的总金额，包括安全文明施工费、暂估价及暂列金额等。</w:t>
      </w:r>
    </w:p>
    <w:p w14:paraId="6DA83D1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1.1.5.2 合同价格：是指发包人用于支付承包人按照合同约定完成承包范围内全部工作的金额，包括合同履行过程中按合同约定</w:t>
      </w:r>
      <w:r>
        <w:rPr>
          <w:rFonts w:hint="eastAsia" w:eastAsia="仿宋_GB2312"/>
          <w:color w:val="auto"/>
          <w:sz w:val="24"/>
          <w:highlight w:val="none"/>
        </w:rPr>
        <w:t>发生的价格变化。</w:t>
      </w:r>
    </w:p>
    <w:p w14:paraId="6A3C803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1.1.5.3 费用：是指为履行合同所发生的或将要发生的所有必需的开支，包括管理费和应分摊的其他费用，但不包括利润。</w:t>
      </w:r>
    </w:p>
    <w:p w14:paraId="2E0F5DF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1.1.5.4 暂估价：是指发包人在工程量清单或预算书中提供的用于支付必然发生但暂时不能确定价格的材料、工程设备的单价</w:t>
      </w:r>
      <w:r>
        <w:rPr>
          <w:rFonts w:hint="eastAsia" w:eastAsia="仿宋_GB2312"/>
          <w:color w:val="auto"/>
          <w:sz w:val="24"/>
          <w:highlight w:val="none"/>
        </w:rPr>
        <w:t>、</w:t>
      </w:r>
      <w:r>
        <w:rPr>
          <w:rFonts w:eastAsia="仿宋_GB2312"/>
          <w:color w:val="auto"/>
          <w:sz w:val="24"/>
          <w:highlight w:val="none"/>
        </w:rPr>
        <w:t>专业工程以及</w:t>
      </w:r>
      <w:r>
        <w:rPr>
          <w:rFonts w:hint="eastAsia" w:eastAsia="仿宋_GB2312"/>
          <w:color w:val="auto"/>
          <w:sz w:val="24"/>
          <w:highlight w:val="none"/>
        </w:rPr>
        <w:t>服务工作</w:t>
      </w:r>
      <w:r>
        <w:rPr>
          <w:rFonts w:eastAsia="仿宋_GB2312"/>
          <w:color w:val="auto"/>
          <w:sz w:val="24"/>
          <w:highlight w:val="none"/>
        </w:rPr>
        <w:t>的金额。</w:t>
      </w:r>
    </w:p>
    <w:p w14:paraId="1E9508C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1.1.5.5 暂列金额：是指发包人在工程量清单或预算书中暂定并包括在合同价格中的一笔款项</w:t>
      </w:r>
      <w:r>
        <w:rPr>
          <w:rFonts w:hint="eastAsia" w:eastAsia="仿宋_GB2312"/>
          <w:color w:val="auto"/>
          <w:sz w:val="24"/>
          <w:highlight w:val="none"/>
        </w:rPr>
        <w:t>，</w:t>
      </w:r>
      <w:r>
        <w:rPr>
          <w:rFonts w:eastAsia="仿宋_GB2312"/>
          <w:color w:val="auto"/>
          <w:sz w:val="24"/>
          <w:highlight w:val="none"/>
        </w:rPr>
        <w:t>用于工程合同签订时尚未确定或者不可预见的所需材料、工程设备、服务的采购，施工中可能发生的工程变更、合同约定调整因素出现时的合同价格调整以及发生的索赔、现场签证确认等的费用。</w:t>
      </w:r>
    </w:p>
    <w:p w14:paraId="567F772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1.1.5.6 计日工：是指合同履行过程中，承包人完成发包人提出的零星工作或需要采用计日工计价的变更工作时，按合同中约定的单价计价的一种方式。</w:t>
      </w:r>
    </w:p>
    <w:p w14:paraId="730B662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1.1.5.7 质量保证金</w:t>
      </w:r>
      <w:bookmarkStart w:id="216" w:name="#go2"/>
      <w:bookmarkEnd w:id="216"/>
      <w:r>
        <w:rPr>
          <w:rFonts w:eastAsia="仿宋_GB2312"/>
          <w:color w:val="auto"/>
          <w:sz w:val="24"/>
          <w:highlight w:val="none"/>
        </w:rPr>
        <w:t>：是指按照第15.3款</w:t>
      </w:r>
      <w:r>
        <w:rPr>
          <w:rFonts w:hint="eastAsia" w:eastAsia="仿宋_GB2312"/>
          <w:color w:val="auto"/>
          <w:sz w:val="24"/>
          <w:highlight w:val="none"/>
        </w:rPr>
        <w:t>〔</w:t>
      </w:r>
      <w:r>
        <w:rPr>
          <w:rFonts w:eastAsia="仿宋_GB2312"/>
          <w:color w:val="auto"/>
          <w:sz w:val="24"/>
          <w:highlight w:val="none"/>
        </w:rPr>
        <w:t>质量保证金</w:t>
      </w:r>
      <w:r>
        <w:rPr>
          <w:rFonts w:hint="eastAsia" w:eastAsia="仿宋_GB2312"/>
          <w:color w:val="auto"/>
          <w:sz w:val="24"/>
          <w:highlight w:val="none"/>
        </w:rPr>
        <w:t>〕</w:t>
      </w:r>
      <w:r>
        <w:rPr>
          <w:rFonts w:eastAsia="仿宋_GB2312"/>
          <w:color w:val="auto"/>
          <w:sz w:val="24"/>
          <w:highlight w:val="none"/>
        </w:rPr>
        <w:t>约定承包人用于保证其在缺陷责任期内履行缺陷修补义务的担保。</w:t>
      </w:r>
    </w:p>
    <w:p w14:paraId="175B464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1.1.5.8 总价项目：是指在现行国家、行业以及地方的计量规则中无工程量计算规则，在已标价工程量清单或预算书中以总价或以费率形式计算的项目。</w:t>
      </w:r>
    </w:p>
    <w:p w14:paraId="23A3F6B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1.1.6 其他</w:t>
      </w:r>
    </w:p>
    <w:p w14:paraId="643CE46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1.1.6.1 书面形式：是指合同文件、信函、电报、传真等可以有形地表现所载内容的形式。</w:t>
      </w:r>
    </w:p>
    <w:p w14:paraId="0F1260E4">
      <w:pPr>
        <w:pStyle w:val="6"/>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highlight w:val="none"/>
        </w:rPr>
      </w:pPr>
      <w:r>
        <w:rPr>
          <w:rFonts w:ascii="Times New Roman" w:hAnsi="Times New Roman" w:eastAsia="黑体"/>
          <w:b w:val="0"/>
          <w:color w:val="auto"/>
          <w:highlight w:val="none"/>
        </w:rPr>
        <w:t xml:space="preserve">    </w:t>
      </w:r>
      <w:bookmarkStart w:id="217" w:name="_Toc351203497"/>
      <w:bookmarkStart w:id="218" w:name="_Toc337558729"/>
      <w:bookmarkStart w:id="219" w:name="_Toc296503029"/>
      <w:bookmarkStart w:id="220" w:name="_Toc296346530"/>
      <w:r>
        <w:rPr>
          <w:rFonts w:ascii="Times New Roman" w:hAnsi="Times New Roman" w:eastAsia="黑体"/>
          <w:b w:val="0"/>
          <w:color w:val="auto"/>
          <w:highlight w:val="none"/>
        </w:rPr>
        <w:t>1.2语言文字</w:t>
      </w:r>
      <w:bookmarkEnd w:id="217"/>
      <w:bookmarkEnd w:id="218"/>
      <w:bookmarkEnd w:id="219"/>
      <w:bookmarkEnd w:id="220"/>
    </w:p>
    <w:p w14:paraId="4F1BC3C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合同以中国的汉语简体文字编写、解释和说明。合同当事人在专用合同条款中约定使用两种以上语言时，汉语为优先解释和说明合同的语言。</w:t>
      </w:r>
    </w:p>
    <w:p w14:paraId="77325E90">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21" w:name="_Toc296346531"/>
      <w:bookmarkStart w:id="222" w:name="_Toc296503030"/>
      <w:bookmarkStart w:id="223" w:name="_Toc351203498"/>
      <w:bookmarkStart w:id="224" w:name="_Toc337558730"/>
      <w:r>
        <w:rPr>
          <w:rFonts w:ascii="Times New Roman" w:hAnsi="Times New Roman" w:eastAsia="黑体"/>
          <w:b w:val="0"/>
          <w:color w:val="auto"/>
          <w:highlight w:val="none"/>
        </w:rPr>
        <w:t>1.3法律</w:t>
      </w:r>
      <w:bookmarkEnd w:id="221"/>
      <w:bookmarkEnd w:id="222"/>
      <w:bookmarkEnd w:id="223"/>
      <w:bookmarkEnd w:id="224"/>
    </w:p>
    <w:p w14:paraId="6262C02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合同所称法律是指中华人民共和国法律、行政法规、部门规章，以及工程所在地的地方性法规、自治条例、单行条例和地方政府规章等。</w:t>
      </w:r>
    </w:p>
    <w:p w14:paraId="0171C21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合同当事人可以在专用合同条款中约定合同适用的其他规范性文件。</w:t>
      </w:r>
    </w:p>
    <w:p w14:paraId="042F380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25" w:name="_Toc351203499"/>
      <w:r>
        <w:rPr>
          <w:rFonts w:ascii="Times New Roman" w:hAnsi="Times New Roman" w:eastAsia="黑体"/>
          <w:b w:val="0"/>
          <w:color w:val="auto"/>
          <w:highlight w:val="none"/>
        </w:rPr>
        <w:t>1.4 标准和规范</w:t>
      </w:r>
      <w:bookmarkEnd w:id="225"/>
    </w:p>
    <w:p w14:paraId="2286532C">
      <w:pPr>
        <w:pageBreakBefore w:val="0"/>
        <w:kinsoku/>
        <w:wordWrap/>
        <w:overflowPunct/>
        <w:topLinePunct w:val="0"/>
        <w:autoSpaceDE w:val="0"/>
        <w:autoSpaceDN w:val="0"/>
        <w:bidi w:val="0"/>
        <w:adjustRightInd w:val="0"/>
        <w:spacing w:line="288" w:lineRule="auto"/>
        <w:ind w:left="0" w:leftChars="0" w:firstLine="640"/>
        <w:jc w:val="left"/>
        <w:textAlignment w:val="auto"/>
        <w:rPr>
          <w:rFonts w:eastAsia="仿宋_GB2312"/>
          <w:color w:val="auto"/>
          <w:sz w:val="24"/>
          <w:highlight w:val="none"/>
        </w:rPr>
      </w:pPr>
      <w:r>
        <w:rPr>
          <w:rFonts w:eastAsia="仿宋_GB2312"/>
          <w:color w:val="auto"/>
          <w:sz w:val="24"/>
          <w:highlight w:val="none"/>
        </w:rPr>
        <w:t>1.4.1 适用于工程的国家标准、行业标准、工程所在地的地方性标准，以及相应的规范、规程等，合同当事人有特别要求的，应在专用合同条款中约定。</w:t>
      </w:r>
    </w:p>
    <w:p w14:paraId="1631750B">
      <w:pPr>
        <w:pageBreakBefore w:val="0"/>
        <w:kinsoku/>
        <w:wordWrap/>
        <w:overflowPunct/>
        <w:topLinePunct w:val="0"/>
        <w:autoSpaceDE w:val="0"/>
        <w:autoSpaceDN w:val="0"/>
        <w:bidi w:val="0"/>
        <w:adjustRightInd w:val="0"/>
        <w:spacing w:line="288" w:lineRule="auto"/>
        <w:ind w:left="0" w:leftChars="0" w:firstLine="640"/>
        <w:jc w:val="left"/>
        <w:textAlignment w:val="auto"/>
        <w:rPr>
          <w:rFonts w:eastAsia="仿宋_GB2312"/>
          <w:color w:val="auto"/>
          <w:sz w:val="24"/>
          <w:highlight w:val="none"/>
        </w:rPr>
      </w:pPr>
      <w:r>
        <w:rPr>
          <w:rFonts w:eastAsia="仿宋_GB2312"/>
          <w:color w:val="auto"/>
          <w:sz w:val="24"/>
          <w:highlight w:val="none"/>
        </w:rPr>
        <w:t>1.4.2 发包人要求使用国外标准、规范的，发包人负责提供原文版本和中文译本，并在专用合同条款中约定提供标准规范的名称、份数和时间。</w:t>
      </w:r>
    </w:p>
    <w:p w14:paraId="0263E813">
      <w:pPr>
        <w:pageBreakBefore w:val="0"/>
        <w:kinsoku/>
        <w:wordWrap/>
        <w:overflowPunct/>
        <w:topLinePunct w:val="0"/>
        <w:autoSpaceDE w:val="0"/>
        <w:autoSpaceDN w:val="0"/>
        <w:bidi w:val="0"/>
        <w:adjustRightInd w:val="0"/>
        <w:spacing w:line="288" w:lineRule="auto"/>
        <w:ind w:left="0" w:leftChars="0" w:firstLine="640"/>
        <w:jc w:val="left"/>
        <w:textAlignment w:val="auto"/>
        <w:rPr>
          <w:rFonts w:eastAsia="仿宋_GB2312"/>
          <w:color w:val="auto"/>
          <w:sz w:val="24"/>
          <w:highlight w:val="none"/>
        </w:rPr>
      </w:pPr>
      <w:r>
        <w:rPr>
          <w:rFonts w:eastAsia="仿宋_GB2312"/>
          <w:color w:val="auto"/>
          <w:sz w:val="24"/>
          <w:highlight w:val="none"/>
        </w:rPr>
        <w:t>1.4.3 发包人对工程的技术标准、功能要求高于或严于现行国家、行业或地方标准的，应当在专用合同条款中予以明确。除专用合同条款另有约定外，应视为</w:t>
      </w:r>
      <w:r>
        <w:rPr>
          <w:rFonts w:hint="eastAsia" w:eastAsia="仿宋_GB2312"/>
          <w:color w:val="auto"/>
          <w:sz w:val="24"/>
          <w:highlight w:val="none"/>
        </w:rPr>
        <w:t>承包人</w:t>
      </w:r>
      <w:r>
        <w:rPr>
          <w:rFonts w:eastAsia="仿宋_GB2312"/>
          <w:color w:val="auto"/>
          <w:sz w:val="24"/>
          <w:highlight w:val="none"/>
        </w:rPr>
        <w:t>在签订合同前已充分预见前述技术标准和功能要求的复杂程度，签约合同价中已包含由此产生的费用。</w:t>
      </w:r>
    </w:p>
    <w:p w14:paraId="4DCADE2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26" w:name="_Toc351203500"/>
      <w:r>
        <w:rPr>
          <w:rFonts w:ascii="Times New Roman" w:hAnsi="Times New Roman" w:eastAsia="黑体"/>
          <w:b w:val="0"/>
          <w:color w:val="auto"/>
          <w:highlight w:val="none"/>
        </w:rPr>
        <w:t>1</w:t>
      </w:r>
      <w:bookmarkStart w:id="227" w:name="_Toc296346532"/>
      <w:bookmarkStart w:id="228" w:name="_Toc296503031"/>
      <w:bookmarkStart w:id="229" w:name="_Toc337558731"/>
      <w:r>
        <w:rPr>
          <w:rFonts w:ascii="Times New Roman" w:hAnsi="Times New Roman" w:eastAsia="黑体"/>
          <w:b w:val="0"/>
          <w:color w:val="auto"/>
          <w:highlight w:val="none"/>
        </w:rPr>
        <w:t>.5 合同文件的优先顺序</w:t>
      </w:r>
      <w:bookmarkEnd w:id="226"/>
    </w:p>
    <w:bookmarkEnd w:id="227"/>
    <w:bookmarkEnd w:id="228"/>
    <w:bookmarkEnd w:id="229"/>
    <w:p w14:paraId="7AB97E0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组成合同的各项文件应互相解释，互为说明。除专用合同条款另有约定外，解释合同文件的优先顺序如下：</w:t>
      </w:r>
    </w:p>
    <w:p w14:paraId="3924FBB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（1）合同协议书；</w:t>
      </w:r>
    </w:p>
    <w:p w14:paraId="5ADA147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（2）中标通知书（如果有）；</w:t>
      </w:r>
    </w:p>
    <w:p w14:paraId="7B5009C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（3）招标文件、招标答疑及工程量清单；</w:t>
      </w:r>
    </w:p>
    <w:p w14:paraId="4893C40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4</w:t>
      </w:r>
      <w:r>
        <w:rPr>
          <w:rFonts w:eastAsia="仿宋_GB2312"/>
          <w:color w:val="auto"/>
          <w:sz w:val="24"/>
          <w:highlight w:val="none"/>
        </w:rPr>
        <w:t>）投标</w:t>
      </w:r>
      <w:r>
        <w:rPr>
          <w:rFonts w:hint="eastAsia" w:eastAsia="仿宋_GB2312"/>
          <w:color w:val="auto"/>
          <w:sz w:val="24"/>
          <w:highlight w:val="none"/>
        </w:rPr>
        <w:t>书</w:t>
      </w:r>
      <w:r>
        <w:rPr>
          <w:rFonts w:eastAsia="仿宋_GB2312"/>
          <w:color w:val="auto"/>
          <w:sz w:val="24"/>
          <w:highlight w:val="none"/>
        </w:rPr>
        <w:t>及其附录（如果有）；</w:t>
      </w:r>
    </w:p>
    <w:p w14:paraId="67D404F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5</w:t>
      </w:r>
      <w:r>
        <w:rPr>
          <w:rFonts w:eastAsia="仿宋_GB2312"/>
          <w:color w:val="auto"/>
          <w:sz w:val="24"/>
          <w:highlight w:val="none"/>
        </w:rPr>
        <w:t>）专用合同条款及其附件；</w:t>
      </w:r>
    </w:p>
    <w:p w14:paraId="4BCED84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6</w:t>
      </w:r>
      <w:r>
        <w:rPr>
          <w:rFonts w:eastAsia="仿宋_GB2312"/>
          <w:color w:val="auto"/>
          <w:sz w:val="24"/>
          <w:highlight w:val="none"/>
        </w:rPr>
        <w:t>）通用合同条款；</w:t>
      </w:r>
    </w:p>
    <w:p w14:paraId="594B511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7</w:t>
      </w:r>
      <w:r>
        <w:rPr>
          <w:rFonts w:eastAsia="仿宋_GB2312"/>
          <w:color w:val="auto"/>
          <w:sz w:val="24"/>
          <w:highlight w:val="none"/>
        </w:rPr>
        <w:t>）技术标准和要求；</w:t>
      </w:r>
    </w:p>
    <w:p w14:paraId="3972B58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8</w:t>
      </w:r>
      <w:r>
        <w:rPr>
          <w:rFonts w:eastAsia="仿宋_GB2312"/>
          <w:color w:val="auto"/>
          <w:sz w:val="24"/>
          <w:highlight w:val="none"/>
        </w:rPr>
        <w:t>）图纸；</w:t>
      </w:r>
    </w:p>
    <w:p w14:paraId="00AAAB2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9</w:t>
      </w:r>
      <w:r>
        <w:rPr>
          <w:rFonts w:eastAsia="仿宋_GB2312"/>
          <w:color w:val="auto"/>
          <w:sz w:val="24"/>
          <w:highlight w:val="none"/>
        </w:rPr>
        <w:t>）其他合同文件。</w:t>
      </w:r>
    </w:p>
    <w:p w14:paraId="2E759A7E">
      <w:pPr>
        <w:pageBreakBefore w:val="0"/>
        <w:kinsoku/>
        <w:wordWrap/>
        <w:overflowPunct/>
        <w:topLinePunct w:val="0"/>
        <w:bidi w:val="0"/>
        <w:spacing w:line="288" w:lineRule="auto"/>
        <w:ind w:left="0" w:leftChars="0" w:firstLine="511" w:firstLineChars="213"/>
        <w:textAlignment w:val="auto"/>
        <w:rPr>
          <w:rFonts w:eastAsia="仿宋_GB2312"/>
          <w:color w:val="auto"/>
          <w:sz w:val="24"/>
          <w:highlight w:val="none"/>
        </w:rPr>
      </w:pPr>
      <w:r>
        <w:rPr>
          <w:rFonts w:eastAsia="仿宋_GB2312"/>
          <w:color w:val="auto"/>
          <w:sz w:val="24"/>
          <w:highlight w:val="none"/>
        </w:rPr>
        <w:t>上述各项合同文件包括合同当事人就该项合同文件所作出的补充和修改，属于同一类内容的文件，应以最新签署的为准。</w:t>
      </w:r>
    </w:p>
    <w:p w14:paraId="70B48FA4">
      <w:pPr>
        <w:pageBreakBefore w:val="0"/>
        <w:kinsoku/>
        <w:wordWrap/>
        <w:overflowPunct/>
        <w:topLinePunct w:val="0"/>
        <w:bidi w:val="0"/>
        <w:spacing w:line="288" w:lineRule="auto"/>
        <w:ind w:left="0" w:leftChars="0" w:firstLine="511" w:firstLineChars="213"/>
        <w:textAlignment w:val="auto"/>
        <w:rPr>
          <w:rFonts w:eastAsia="仿宋_GB2312"/>
          <w:color w:val="auto"/>
          <w:sz w:val="24"/>
          <w:highlight w:val="none"/>
        </w:rPr>
      </w:pPr>
      <w:r>
        <w:rPr>
          <w:rFonts w:eastAsia="仿宋_GB2312"/>
          <w:color w:val="auto"/>
          <w:sz w:val="24"/>
          <w:highlight w:val="none"/>
        </w:rPr>
        <w:t>在合同订立及履行过程中形成的与合同有关的文件均构成合同文件组成部分，并根据其性质确定优先解释顺序。</w:t>
      </w:r>
    </w:p>
    <w:p w14:paraId="59F770F0">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30" w:name="_Toc351203501"/>
      <w:r>
        <w:rPr>
          <w:rFonts w:ascii="Times New Roman" w:hAnsi="Times New Roman" w:eastAsia="黑体"/>
          <w:b w:val="0"/>
          <w:color w:val="auto"/>
          <w:highlight w:val="none"/>
        </w:rPr>
        <w:t>1</w:t>
      </w:r>
      <w:bookmarkStart w:id="231" w:name="_Toc296346533"/>
      <w:bookmarkStart w:id="232" w:name="_Toc337558732"/>
      <w:bookmarkStart w:id="233" w:name="_Toc296503032"/>
      <w:r>
        <w:rPr>
          <w:rFonts w:ascii="Times New Roman" w:hAnsi="Times New Roman" w:eastAsia="黑体"/>
          <w:b w:val="0"/>
          <w:color w:val="auto"/>
          <w:highlight w:val="none"/>
        </w:rPr>
        <w:t>.6图纸和承包人文件</w:t>
      </w:r>
      <w:bookmarkEnd w:id="230"/>
    </w:p>
    <w:bookmarkEnd w:id="231"/>
    <w:bookmarkEnd w:id="232"/>
    <w:bookmarkEnd w:id="233"/>
    <w:p w14:paraId="04B48E1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1.6.1 图纸的提供和交底</w:t>
      </w:r>
    </w:p>
    <w:p w14:paraId="1DBAE4B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发包人应按照专用合同条款约定的期限、数量和内容向承包人免费提供图纸，并组织承包人、监理人和设计人进行图纸会审和设计交底。发包人至迟不得晚于第7.3.2项</w:t>
      </w:r>
      <w:r>
        <w:rPr>
          <w:rFonts w:hint="eastAsia" w:eastAsia="仿宋_GB2312"/>
          <w:color w:val="auto"/>
          <w:sz w:val="24"/>
          <w:highlight w:val="none"/>
        </w:rPr>
        <w:t>〔</w:t>
      </w:r>
      <w:r>
        <w:rPr>
          <w:rFonts w:eastAsia="仿宋_GB2312"/>
          <w:color w:val="auto"/>
          <w:sz w:val="24"/>
          <w:highlight w:val="none"/>
        </w:rPr>
        <w:t>开工通知</w:t>
      </w:r>
      <w:r>
        <w:rPr>
          <w:rFonts w:hint="eastAsia" w:eastAsia="仿宋_GB2312"/>
          <w:color w:val="auto"/>
          <w:sz w:val="24"/>
          <w:highlight w:val="none"/>
        </w:rPr>
        <w:t>〕</w:t>
      </w:r>
      <w:r>
        <w:rPr>
          <w:rFonts w:eastAsia="仿宋_GB2312"/>
          <w:color w:val="auto"/>
          <w:sz w:val="24"/>
          <w:highlight w:val="none"/>
        </w:rPr>
        <w:t>载明的开工日期前14天向承包人提供图纸。</w:t>
      </w:r>
    </w:p>
    <w:p w14:paraId="25E4FF5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因发包人未按合同约定提供图纸导致承包人费用增加和（或）工期延误的，按照第7.5.1项</w:t>
      </w:r>
      <w:r>
        <w:rPr>
          <w:rFonts w:hint="eastAsia" w:eastAsia="仿宋_GB2312"/>
          <w:color w:val="auto"/>
          <w:sz w:val="24"/>
          <w:highlight w:val="none"/>
        </w:rPr>
        <w:t>〔</w:t>
      </w:r>
      <w:r>
        <w:rPr>
          <w:rFonts w:eastAsia="仿宋_GB2312"/>
          <w:color w:val="auto"/>
          <w:sz w:val="24"/>
          <w:highlight w:val="none"/>
        </w:rPr>
        <w:t>因发包人原因导致工期延误</w:t>
      </w:r>
      <w:r>
        <w:rPr>
          <w:rFonts w:hint="eastAsia" w:eastAsia="仿宋_GB2312"/>
          <w:color w:val="auto"/>
          <w:sz w:val="24"/>
          <w:highlight w:val="none"/>
        </w:rPr>
        <w:t>〕</w:t>
      </w:r>
      <w:r>
        <w:rPr>
          <w:rFonts w:eastAsia="仿宋_GB2312"/>
          <w:color w:val="auto"/>
          <w:sz w:val="24"/>
          <w:highlight w:val="none"/>
        </w:rPr>
        <w:t>约定办理。</w:t>
      </w:r>
    </w:p>
    <w:p w14:paraId="5D24BC0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 图纸的错误</w:t>
      </w:r>
    </w:p>
    <w:p w14:paraId="654DD89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eastAsia="仿宋_GB2312"/>
          <w:color w:val="auto"/>
          <w:sz w:val="24"/>
          <w:highlight w:val="none"/>
        </w:rPr>
        <w:t>合理时间是指发包人在收到监理人的报送通知后，尽其努力且不懈怠地完成图纸修改补充所需的时间。</w:t>
      </w:r>
    </w:p>
    <w:p w14:paraId="767C063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1.6.3 图纸的修改和补充</w:t>
      </w:r>
    </w:p>
    <w:p w14:paraId="0F06ECC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17B774A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1.6.4 承包人文件</w:t>
      </w:r>
    </w:p>
    <w:p w14:paraId="7403E28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承包人应按照专用合同条款的约定提供应当由其编制的与工程施工有关的文件，并按照专用合同条款约定的期限、数量和形式提交监理人，并由监理人报送发包人。</w:t>
      </w:r>
    </w:p>
    <w:p w14:paraId="5415E1B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6680AB0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1.6.5 图纸和承包人文件的保管</w:t>
      </w:r>
    </w:p>
    <w:p w14:paraId="712F0AC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除专用合同条款另有约定外，承包人应在施工现场另外保存一套完整的图纸和承包人文件，供发包人、监理人及有关人员进行工程检查时使用。</w:t>
      </w:r>
    </w:p>
    <w:p w14:paraId="34BE6F0E">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34" w:name="_Toc351203502"/>
      <w:r>
        <w:rPr>
          <w:rFonts w:ascii="Times New Roman" w:hAnsi="Times New Roman" w:eastAsia="黑体"/>
          <w:b w:val="0"/>
          <w:color w:val="auto"/>
          <w:highlight w:val="none"/>
        </w:rPr>
        <w:t>1</w:t>
      </w:r>
      <w:bookmarkStart w:id="235" w:name="_Toc296346534"/>
      <w:bookmarkStart w:id="236" w:name="_Toc296503033"/>
      <w:bookmarkStart w:id="237" w:name="_Toc337558733"/>
      <w:r>
        <w:rPr>
          <w:rFonts w:ascii="Times New Roman" w:hAnsi="Times New Roman" w:eastAsia="黑体"/>
          <w:b w:val="0"/>
          <w:color w:val="auto"/>
          <w:highlight w:val="none"/>
        </w:rPr>
        <w:t>.7联络</w:t>
      </w:r>
      <w:bookmarkEnd w:id="234"/>
    </w:p>
    <w:bookmarkEnd w:id="235"/>
    <w:bookmarkEnd w:id="236"/>
    <w:bookmarkEnd w:id="237"/>
    <w:p w14:paraId="08B74D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1.7.1 与合同有关的通知、批准、证明、证书、指示、指令、要求、请求、同意、意见、确定和决定等，均应采用书面形式，并应在合同约定的期限内送达接收人和送达地点。</w:t>
      </w:r>
    </w:p>
    <w:p w14:paraId="7B21D9D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1.7.2 发包人和承包人应在专用合同条款中约定各自的送达接收人和送达地点。任何一方合同当事人指定的接收人或送达地点发生变动的，应提前3天以书面形式通知对方。</w:t>
      </w:r>
    </w:p>
    <w:p w14:paraId="5CAECA0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1.7.3 发包人和承包人应当及时签收另一方送达至送达地点和指定接收人的来往信函。拒不签收的，由此增加的费用和（或）延误的工期由拒绝接收一方承担。</w:t>
      </w:r>
    </w:p>
    <w:p w14:paraId="3889159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38" w:name="_Toc351203503"/>
      <w:r>
        <w:rPr>
          <w:rFonts w:ascii="Times New Roman" w:hAnsi="Times New Roman" w:eastAsia="黑体"/>
          <w:b w:val="0"/>
          <w:color w:val="auto"/>
          <w:highlight w:val="none"/>
        </w:rPr>
        <w:t>1</w:t>
      </w:r>
      <w:bookmarkStart w:id="239" w:name="_Toc296503035"/>
      <w:bookmarkStart w:id="240" w:name="_Toc296346536"/>
      <w:bookmarkStart w:id="241" w:name="_Toc337558734"/>
      <w:r>
        <w:rPr>
          <w:rFonts w:ascii="Times New Roman" w:hAnsi="Times New Roman" w:eastAsia="黑体"/>
          <w:b w:val="0"/>
          <w:color w:val="auto"/>
          <w:highlight w:val="none"/>
        </w:rPr>
        <w:t>.8严禁贿赂</w:t>
      </w:r>
      <w:bookmarkEnd w:id="238"/>
    </w:p>
    <w:bookmarkEnd w:id="239"/>
    <w:bookmarkEnd w:id="240"/>
    <w:bookmarkEnd w:id="241"/>
    <w:p w14:paraId="7E0DC0F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合同当事人不得以贿赂或变相贿赂的方式，谋取非法利益或损害对方权益。因一方合同当事人的贿赂造成对方损失的，应赔偿损失，并承担相应的法律责任。</w:t>
      </w:r>
    </w:p>
    <w:p w14:paraId="70B049F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3611CC1D">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42" w:name="_Toc351203504"/>
      <w:r>
        <w:rPr>
          <w:rFonts w:ascii="Times New Roman" w:hAnsi="Times New Roman" w:eastAsia="黑体"/>
          <w:b w:val="0"/>
          <w:color w:val="auto"/>
          <w:highlight w:val="none"/>
        </w:rPr>
        <w:t>1</w:t>
      </w:r>
      <w:bookmarkStart w:id="243" w:name="_Toc296503036"/>
      <w:bookmarkStart w:id="244" w:name="_Toc296346537"/>
      <w:bookmarkStart w:id="245" w:name="_Toc337558735"/>
      <w:r>
        <w:rPr>
          <w:rFonts w:ascii="Times New Roman" w:hAnsi="Times New Roman" w:eastAsia="黑体"/>
          <w:b w:val="0"/>
          <w:color w:val="auto"/>
          <w:highlight w:val="none"/>
        </w:rPr>
        <w:t>.9化石、文物</w:t>
      </w:r>
      <w:bookmarkEnd w:id="242"/>
    </w:p>
    <w:bookmarkEnd w:id="243"/>
    <w:bookmarkEnd w:id="244"/>
    <w:bookmarkEnd w:id="245"/>
    <w:p w14:paraId="63D0507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49AC06E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发包人、监理人和承包人应按有关政府行政管理部门要求采取妥善的保护措施，由此增加的费用和</w:t>
      </w:r>
      <w:r>
        <w:rPr>
          <w:rFonts w:hint="eastAsia" w:eastAsia="仿宋_GB2312"/>
          <w:color w:val="auto"/>
          <w:sz w:val="24"/>
          <w:highlight w:val="none"/>
        </w:rPr>
        <w:t>（</w:t>
      </w:r>
      <w:r>
        <w:rPr>
          <w:rFonts w:eastAsia="仿宋_GB2312"/>
          <w:color w:val="auto"/>
          <w:sz w:val="24"/>
          <w:highlight w:val="none"/>
        </w:rPr>
        <w:t>或）延误的工期由发包人承担。</w:t>
      </w:r>
    </w:p>
    <w:p w14:paraId="67928B2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承包人发现文物后不及时报告或隐瞒不报，致使文物丢失或损坏的，应赔偿损失，并承担相应的法律责任。</w:t>
      </w:r>
    </w:p>
    <w:p w14:paraId="7BF2892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46" w:name="_Toc351203505"/>
      <w:r>
        <w:rPr>
          <w:rFonts w:ascii="Times New Roman" w:hAnsi="Times New Roman" w:eastAsia="黑体"/>
          <w:b w:val="0"/>
          <w:color w:val="auto"/>
          <w:highlight w:val="none"/>
        </w:rPr>
        <w:t>1</w:t>
      </w:r>
      <w:bookmarkStart w:id="247" w:name="_Toc337558736"/>
      <w:r>
        <w:rPr>
          <w:rFonts w:ascii="Times New Roman" w:hAnsi="Times New Roman" w:eastAsia="黑体"/>
          <w:b w:val="0"/>
          <w:color w:val="auto"/>
          <w:highlight w:val="none"/>
        </w:rPr>
        <w:t>.10交通运输</w:t>
      </w:r>
      <w:bookmarkEnd w:id="246"/>
    </w:p>
    <w:bookmarkEnd w:id="247"/>
    <w:p w14:paraId="2284796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1.10.1</w:t>
      </w:r>
      <w:r>
        <w:rPr>
          <w:rFonts w:hint="eastAsia" w:eastAsia="仿宋_GB2312"/>
          <w:color w:val="auto"/>
          <w:sz w:val="24"/>
          <w:highlight w:val="none"/>
        </w:rPr>
        <w:t xml:space="preserve"> </w:t>
      </w:r>
      <w:r>
        <w:rPr>
          <w:rFonts w:eastAsia="仿宋_GB2312"/>
          <w:color w:val="auto"/>
          <w:sz w:val="24"/>
          <w:highlight w:val="none"/>
        </w:rPr>
        <w:t>出入现场的权利</w:t>
      </w:r>
    </w:p>
    <w:p w14:paraId="4F32555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除专用合同条款另有约定外，发包人应根据施工需要，负责取得出入施工现场所需的</w:t>
      </w:r>
      <w:r>
        <w:rPr>
          <w:rFonts w:hint="eastAsia" w:eastAsia="仿宋_GB2312"/>
          <w:color w:val="auto"/>
          <w:sz w:val="24"/>
          <w:highlight w:val="none"/>
        </w:rPr>
        <w:t>批准手续和</w:t>
      </w:r>
      <w:r>
        <w:rPr>
          <w:rFonts w:eastAsia="仿宋_GB2312"/>
          <w:color w:val="auto"/>
          <w:sz w:val="24"/>
          <w:highlight w:val="none"/>
        </w:rPr>
        <w:t>全部权利，以及取得因施工所需修建道路、桥梁以及其他基础设施的权利，并承担相关手续费用和建设费用。承包人应协助发包人办理修建场内外道路、桥梁以及其他基础设施的手续。</w:t>
      </w:r>
    </w:p>
    <w:p w14:paraId="590093D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06338F0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1.10.2</w:t>
      </w:r>
      <w:r>
        <w:rPr>
          <w:rFonts w:hint="eastAsia" w:eastAsia="仿宋_GB2312"/>
          <w:color w:val="auto"/>
          <w:sz w:val="24"/>
          <w:highlight w:val="none"/>
        </w:rPr>
        <w:t xml:space="preserve"> </w:t>
      </w:r>
      <w:r>
        <w:rPr>
          <w:rFonts w:eastAsia="仿宋_GB2312"/>
          <w:color w:val="auto"/>
          <w:sz w:val="24"/>
          <w:highlight w:val="none"/>
        </w:rPr>
        <w:t>场外交通</w:t>
      </w:r>
    </w:p>
    <w:p w14:paraId="0302815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1228CE3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1.10.3场内交通</w:t>
      </w:r>
    </w:p>
    <w:p w14:paraId="427C8F4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3F92034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5F942B6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场外交通和场内交通的边界由合同当事人在专用合同条款中约定。</w:t>
      </w:r>
    </w:p>
    <w:p w14:paraId="5253121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1.10.4</w:t>
      </w:r>
      <w:r>
        <w:rPr>
          <w:rFonts w:hint="eastAsia" w:eastAsia="仿宋_GB2312"/>
          <w:color w:val="auto"/>
          <w:sz w:val="24"/>
          <w:highlight w:val="none"/>
        </w:rPr>
        <w:t xml:space="preserve"> </w:t>
      </w:r>
      <w:r>
        <w:rPr>
          <w:rFonts w:eastAsia="仿宋_GB2312"/>
          <w:color w:val="auto"/>
          <w:sz w:val="24"/>
          <w:highlight w:val="none"/>
        </w:rPr>
        <w:t>超大件和超重件的运输</w:t>
      </w:r>
    </w:p>
    <w:p w14:paraId="57EA1B9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B30D61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1.10.5</w:t>
      </w:r>
      <w:r>
        <w:rPr>
          <w:rFonts w:hint="eastAsia" w:eastAsia="仿宋_GB2312"/>
          <w:color w:val="auto"/>
          <w:sz w:val="24"/>
          <w:highlight w:val="none"/>
        </w:rPr>
        <w:t xml:space="preserve"> </w:t>
      </w:r>
      <w:r>
        <w:rPr>
          <w:rFonts w:eastAsia="仿宋_GB2312"/>
          <w:color w:val="auto"/>
          <w:sz w:val="24"/>
          <w:highlight w:val="none"/>
        </w:rPr>
        <w:t>道路和桥梁的损坏责任</w:t>
      </w:r>
    </w:p>
    <w:p w14:paraId="2B91AAE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因承包人运输造成施工场地内外公共道路和桥梁损坏的，由承包人承担修复损坏的全部费用和可能引起的赔偿。</w:t>
      </w:r>
    </w:p>
    <w:p w14:paraId="0E55965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1.10.6</w:t>
      </w:r>
      <w:r>
        <w:rPr>
          <w:rFonts w:hint="eastAsia" w:eastAsia="仿宋_GB2312"/>
          <w:color w:val="auto"/>
          <w:sz w:val="24"/>
          <w:highlight w:val="none"/>
        </w:rPr>
        <w:t xml:space="preserve"> </w:t>
      </w:r>
      <w:r>
        <w:rPr>
          <w:rFonts w:eastAsia="仿宋_GB2312"/>
          <w:color w:val="auto"/>
          <w:sz w:val="24"/>
          <w:highlight w:val="none"/>
        </w:rPr>
        <w:t>水路和航空运输</w:t>
      </w:r>
    </w:p>
    <w:p w14:paraId="0475533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本</w:t>
      </w:r>
      <w:r>
        <w:rPr>
          <w:rFonts w:hint="eastAsia" w:eastAsia="仿宋_GB2312"/>
          <w:color w:val="auto"/>
          <w:sz w:val="24"/>
          <w:highlight w:val="none"/>
        </w:rPr>
        <w:t>款</w:t>
      </w:r>
      <w:r>
        <w:rPr>
          <w:rFonts w:eastAsia="仿宋_GB2312"/>
          <w:color w:val="auto"/>
          <w:sz w:val="24"/>
          <w:highlight w:val="none"/>
        </w:rPr>
        <w:t>前述各</w:t>
      </w:r>
      <w:r>
        <w:rPr>
          <w:rFonts w:hint="eastAsia" w:eastAsia="仿宋_GB2312"/>
          <w:color w:val="auto"/>
          <w:sz w:val="24"/>
          <w:highlight w:val="none"/>
        </w:rPr>
        <w:t>项</w:t>
      </w:r>
      <w:r>
        <w:rPr>
          <w:rFonts w:eastAsia="仿宋_GB2312"/>
          <w:color w:val="auto"/>
          <w:sz w:val="24"/>
          <w:highlight w:val="none"/>
        </w:rPr>
        <w:t>的内容适用于水路运输和航空运输，其中“道路”一词的涵义包括河道、航线、船闸、机场、码头、堤防以及水路或航空运输中其他相似结构物；“车辆”一词的涵义包括船舶和飞机等。</w:t>
      </w:r>
    </w:p>
    <w:p w14:paraId="2405FCA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48" w:name="_Toc351203506"/>
      <w:r>
        <w:rPr>
          <w:rFonts w:ascii="Times New Roman" w:hAnsi="Times New Roman" w:eastAsia="黑体"/>
          <w:b w:val="0"/>
          <w:color w:val="auto"/>
          <w:highlight w:val="none"/>
        </w:rPr>
        <w:t>1</w:t>
      </w:r>
      <w:bookmarkStart w:id="249" w:name="_Toc337558737"/>
      <w:bookmarkStart w:id="250" w:name="_Toc296346538"/>
      <w:bookmarkStart w:id="251" w:name="_Toc296503037"/>
      <w:r>
        <w:rPr>
          <w:rFonts w:ascii="Times New Roman" w:hAnsi="Times New Roman" w:eastAsia="黑体"/>
          <w:b w:val="0"/>
          <w:color w:val="auto"/>
          <w:highlight w:val="none"/>
        </w:rPr>
        <w:t>.11知识产权</w:t>
      </w:r>
      <w:bookmarkEnd w:id="248"/>
      <w:r>
        <w:rPr>
          <w:rFonts w:ascii="Times New Roman" w:hAnsi="Times New Roman" w:eastAsia="黑体"/>
          <w:b w:val="0"/>
          <w:color w:val="auto"/>
          <w:highlight w:val="none"/>
        </w:rPr>
        <w:t xml:space="preserve"> </w:t>
      </w:r>
      <w:bookmarkEnd w:id="249"/>
    </w:p>
    <w:bookmarkEnd w:id="250"/>
    <w:bookmarkEnd w:id="251"/>
    <w:p w14:paraId="14BAA22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6EBAC4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2A3DE2A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232D3B52">
      <w:pPr>
        <w:pageBreakBefore w:val="0"/>
        <w:kinsoku/>
        <w:wordWrap/>
        <w:overflowPunct/>
        <w:topLinePunct w:val="0"/>
        <w:bidi w:val="0"/>
        <w:spacing w:line="288" w:lineRule="auto"/>
        <w:ind w:left="0" w:leftChars="0"/>
        <w:textAlignment w:val="auto"/>
        <w:rPr>
          <w:color w:val="auto"/>
          <w:sz w:val="24"/>
          <w:highlight w:val="none"/>
        </w:rPr>
      </w:pPr>
      <w:r>
        <w:rPr>
          <w:rFonts w:eastAsia="仿宋_GB2312"/>
          <w:color w:val="auto"/>
          <w:sz w:val="24"/>
          <w:highlight w:val="none"/>
        </w:rPr>
        <w:t xml:space="preserve">    1.11.4 除专用合同条款另有约定外，承包人在合同签订前和签订时已确定采用的专利、专有技术、技术秘密的使用费已包含在签约合同价中。</w:t>
      </w:r>
    </w:p>
    <w:p w14:paraId="19498F0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52" w:name="_Toc351203507"/>
      <w:r>
        <w:rPr>
          <w:rFonts w:ascii="Times New Roman" w:hAnsi="Times New Roman" w:eastAsia="黑体"/>
          <w:b w:val="0"/>
          <w:color w:val="auto"/>
          <w:highlight w:val="none"/>
        </w:rPr>
        <w:t>1</w:t>
      </w:r>
      <w:bookmarkStart w:id="253" w:name="_Toc337558738"/>
      <w:r>
        <w:rPr>
          <w:rFonts w:ascii="Times New Roman" w:hAnsi="Times New Roman" w:eastAsia="黑体"/>
          <w:b w:val="0"/>
          <w:color w:val="auto"/>
          <w:highlight w:val="none"/>
        </w:rPr>
        <w:t>.12保密</w:t>
      </w:r>
      <w:bookmarkEnd w:id="252"/>
    </w:p>
    <w:bookmarkEnd w:id="253"/>
    <w:p w14:paraId="3601025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除法律规定或合同另有约定外，未经发包人同意，承包人不得将发包人提供的图纸、文件以及声明需要保密的资料信息等商业秘密泄露给第三方。</w:t>
      </w:r>
    </w:p>
    <w:p w14:paraId="5FC4AF8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除法律规定或合同另有约定外，未经承包人同意，发包人不得将承包人提供的技术秘密及声明需要保密的资料信息等商业秘密泄露给第三方。</w:t>
      </w:r>
    </w:p>
    <w:p w14:paraId="178ED70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54" w:name="_Toc351203508"/>
      <w:r>
        <w:rPr>
          <w:rFonts w:ascii="Times New Roman" w:hAnsi="Times New Roman" w:eastAsia="黑体"/>
          <w:b w:val="0"/>
          <w:color w:val="auto"/>
          <w:highlight w:val="none"/>
        </w:rPr>
        <w:t>1.13工程量清单错误的修正</w:t>
      </w:r>
      <w:bookmarkEnd w:id="254"/>
    </w:p>
    <w:p w14:paraId="5DDB696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除专用合同条款另有约定外，</w:t>
      </w:r>
      <w:r>
        <w:rPr>
          <w:rFonts w:eastAsia="仿宋_GB2312"/>
          <w:color w:val="auto"/>
          <w:sz w:val="24"/>
          <w:highlight w:val="none"/>
        </w:rPr>
        <w:t>发包人提供的工程量清单，应被认为是准确的和完整的。出现下列情形之一时，发包人应予以修正，并相应调整合同价格：</w:t>
      </w:r>
    </w:p>
    <w:p w14:paraId="4568648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（1）工程量清单存在缺项、漏项的；</w:t>
      </w:r>
    </w:p>
    <w:p w14:paraId="50E6228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（2）工程量清单偏差超出专用合同条款约定的工程量偏差范围的；</w:t>
      </w:r>
    </w:p>
    <w:p w14:paraId="27C8774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（3）未按照国家现行计量规范强制性规定计量的。</w:t>
      </w:r>
    </w:p>
    <w:p w14:paraId="5095BD62">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255" w:name="_Toc351203509"/>
      <w:r>
        <w:rPr>
          <w:rFonts w:ascii="Times New Roman" w:hAnsi="Times New Roman" w:eastAsia="黑体"/>
          <w:b w:val="0"/>
          <w:color w:val="auto"/>
          <w:sz w:val="24"/>
          <w:szCs w:val="24"/>
          <w:highlight w:val="none"/>
        </w:rPr>
        <w:t>2</w:t>
      </w:r>
      <w:bookmarkStart w:id="256" w:name="_Toc337558739"/>
      <w:bookmarkStart w:id="257" w:name="_Toc296503038"/>
      <w:bookmarkStart w:id="258" w:name="_Toc296346539"/>
      <w:r>
        <w:rPr>
          <w:rFonts w:ascii="Times New Roman" w:hAnsi="Times New Roman" w:eastAsia="黑体"/>
          <w:b w:val="0"/>
          <w:color w:val="auto"/>
          <w:sz w:val="24"/>
          <w:szCs w:val="24"/>
          <w:highlight w:val="none"/>
        </w:rPr>
        <w:t>. 发包人</w:t>
      </w:r>
      <w:bookmarkEnd w:id="255"/>
    </w:p>
    <w:bookmarkEnd w:id="256"/>
    <w:bookmarkEnd w:id="257"/>
    <w:bookmarkEnd w:id="258"/>
    <w:p w14:paraId="1B8F2E7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59" w:name="_Toc351203510"/>
      <w:r>
        <w:rPr>
          <w:rFonts w:ascii="Times New Roman" w:hAnsi="Times New Roman" w:eastAsia="黑体"/>
          <w:b w:val="0"/>
          <w:color w:val="auto"/>
          <w:highlight w:val="none"/>
        </w:rPr>
        <w:t>2</w:t>
      </w:r>
      <w:bookmarkStart w:id="260" w:name="_Toc296346540"/>
      <w:bookmarkStart w:id="261" w:name="_Toc296503039"/>
      <w:bookmarkStart w:id="262" w:name="_Toc337558740"/>
      <w:r>
        <w:rPr>
          <w:rFonts w:ascii="Times New Roman" w:hAnsi="Times New Roman" w:eastAsia="黑体"/>
          <w:b w:val="0"/>
          <w:color w:val="auto"/>
          <w:highlight w:val="none"/>
        </w:rPr>
        <w:t>.1 许可或批准</w:t>
      </w:r>
      <w:bookmarkEnd w:id="259"/>
    </w:p>
    <w:p w14:paraId="5EF6919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343BA86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因发包人原因未能及时办理完毕前述许可、批准或备案，由发包人承担由此增加的费用和（或）延误的工期。</w:t>
      </w:r>
    </w:p>
    <w:p w14:paraId="6FB7E50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63" w:name="_Toc351203511"/>
      <w:r>
        <w:rPr>
          <w:rFonts w:ascii="Times New Roman" w:hAnsi="Times New Roman" w:eastAsia="黑体"/>
          <w:b w:val="0"/>
          <w:color w:val="auto"/>
          <w:highlight w:val="none"/>
        </w:rPr>
        <w:t>2.2 发包人代表</w:t>
      </w:r>
      <w:bookmarkEnd w:id="263"/>
    </w:p>
    <w:p w14:paraId="7CDB5D6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069AC9BB">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发包人代表不能按照合同约定履行其职责及义务，并导致合同无法继续正常履行的，承包人可以要求发包人撤换发包人代表。</w:t>
      </w:r>
    </w:p>
    <w:p w14:paraId="7B39BCE8">
      <w:pPr>
        <w:pageBreakBefore w:val="0"/>
        <w:kinsoku/>
        <w:wordWrap/>
        <w:overflowPunct/>
        <w:topLinePunct w:val="0"/>
        <w:bidi w:val="0"/>
        <w:spacing w:line="288" w:lineRule="auto"/>
        <w:ind w:left="0" w:leftChars="0" w:firstLine="480" w:firstLineChars="200"/>
        <w:textAlignment w:val="auto"/>
        <w:rPr>
          <w:color w:val="auto"/>
          <w:sz w:val="24"/>
          <w:highlight w:val="none"/>
        </w:rPr>
      </w:pPr>
      <w:r>
        <w:rPr>
          <w:rFonts w:hint="eastAsia" w:eastAsia="仿宋_GB2312"/>
          <w:color w:val="auto"/>
          <w:sz w:val="24"/>
          <w:highlight w:val="none"/>
        </w:rPr>
        <w:t>不属于法定必须监理的工程，监理人的职权可以由发包人代表或发包人指定的其他人员行使。</w:t>
      </w:r>
    </w:p>
    <w:p w14:paraId="7111166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64" w:name="_Toc351203512"/>
      <w:r>
        <w:rPr>
          <w:rFonts w:ascii="Times New Roman" w:hAnsi="Times New Roman" w:eastAsia="黑体"/>
          <w:b w:val="0"/>
          <w:color w:val="auto"/>
          <w:highlight w:val="none"/>
        </w:rPr>
        <w:t>2.3 发包人人员</w:t>
      </w:r>
      <w:bookmarkEnd w:id="264"/>
    </w:p>
    <w:p w14:paraId="37954CA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发包人应要求在施工现场的发包人人员遵守法律及有关安全、质量、环境保护、文明施工等规定，并保障承包人免于承受因发包人人员未遵守上述要求给承包人造成的损失和责任。</w:t>
      </w:r>
    </w:p>
    <w:p w14:paraId="75AA7769">
      <w:pPr>
        <w:pageBreakBefore w:val="0"/>
        <w:kinsoku/>
        <w:wordWrap/>
        <w:overflowPunct/>
        <w:topLinePunct w:val="0"/>
        <w:bidi w:val="0"/>
        <w:spacing w:line="288" w:lineRule="auto"/>
        <w:ind w:left="0" w:leftChars="0" w:firstLine="640"/>
        <w:jc w:val="left"/>
        <w:textAlignment w:val="auto"/>
        <w:rPr>
          <w:rFonts w:eastAsia="仿宋_GB2312"/>
          <w:color w:val="auto"/>
          <w:sz w:val="24"/>
          <w:highlight w:val="none"/>
        </w:rPr>
      </w:pPr>
      <w:r>
        <w:rPr>
          <w:rFonts w:eastAsia="仿宋_GB2312"/>
          <w:color w:val="auto"/>
          <w:sz w:val="24"/>
          <w:highlight w:val="none"/>
        </w:rPr>
        <w:t>发包人人员包括发包人代表及其他由发包人派驻施工现场的人员。</w:t>
      </w:r>
      <w:bookmarkEnd w:id="260"/>
      <w:bookmarkEnd w:id="261"/>
      <w:bookmarkEnd w:id="262"/>
    </w:p>
    <w:p w14:paraId="27B3E1B2">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65" w:name="_Toc351203513"/>
      <w:r>
        <w:rPr>
          <w:rFonts w:ascii="Times New Roman" w:hAnsi="Times New Roman" w:eastAsia="黑体"/>
          <w:b w:val="0"/>
          <w:color w:val="auto"/>
          <w:highlight w:val="none"/>
        </w:rPr>
        <w:t>2</w:t>
      </w:r>
      <w:bookmarkStart w:id="266" w:name="_Toc296503040"/>
      <w:bookmarkStart w:id="267" w:name="_Toc337558741"/>
      <w:bookmarkStart w:id="268" w:name="_Toc296346541"/>
      <w:r>
        <w:rPr>
          <w:rFonts w:ascii="Times New Roman" w:hAnsi="Times New Roman" w:eastAsia="黑体"/>
          <w:b w:val="0"/>
          <w:color w:val="auto"/>
          <w:highlight w:val="none"/>
        </w:rPr>
        <w:t>.4 施工现场、施工条件和基础资料的提供</w:t>
      </w:r>
      <w:bookmarkEnd w:id="265"/>
      <w:r>
        <w:rPr>
          <w:rFonts w:ascii="Times New Roman" w:hAnsi="Times New Roman" w:eastAsia="黑体"/>
          <w:b w:val="0"/>
          <w:color w:val="auto"/>
          <w:highlight w:val="none"/>
        </w:rPr>
        <w:t xml:space="preserve"> </w:t>
      </w:r>
      <w:bookmarkEnd w:id="266"/>
      <w:bookmarkEnd w:id="267"/>
      <w:bookmarkEnd w:id="268"/>
      <w:r>
        <w:rPr>
          <w:rFonts w:ascii="Times New Roman" w:hAnsi="Times New Roman" w:eastAsia="黑体"/>
          <w:b w:val="0"/>
          <w:color w:val="auto"/>
          <w:highlight w:val="none"/>
        </w:rPr>
        <w:t xml:space="preserve"> </w:t>
      </w:r>
    </w:p>
    <w:p w14:paraId="3AE6288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2.4.1 提供施工现场</w:t>
      </w:r>
    </w:p>
    <w:p w14:paraId="2AADAC1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除专用合同条款另有约定外，发包人应</w:t>
      </w:r>
      <w:r>
        <w:rPr>
          <w:rFonts w:hint="eastAsia" w:eastAsia="仿宋_GB2312"/>
          <w:color w:val="auto"/>
          <w:sz w:val="24"/>
          <w:highlight w:val="none"/>
        </w:rPr>
        <w:t>最迟于</w:t>
      </w:r>
      <w:r>
        <w:rPr>
          <w:rFonts w:eastAsia="仿宋_GB2312"/>
          <w:color w:val="auto"/>
          <w:sz w:val="24"/>
          <w:highlight w:val="none"/>
        </w:rPr>
        <w:t>开工日期7天前向承包人移交施工现场。</w:t>
      </w:r>
    </w:p>
    <w:p w14:paraId="63AFE18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2.4.2 提供施工条件</w:t>
      </w:r>
    </w:p>
    <w:p w14:paraId="6D6B8C1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除专用合同条款另有约定外，发包人应负责提供施工所需要的条件，包括：</w:t>
      </w:r>
    </w:p>
    <w:p w14:paraId="51EB752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（1）将施工用水、电力、通讯线路等施工所必需的条件接至施工现场内；</w:t>
      </w:r>
    </w:p>
    <w:p w14:paraId="50FB193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（2）保证向承包人提供正常施工所需要的进入施工现场的交通条件；</w:t>
      </w:r>
    </w:p>
    <w:p w14:paraId="4C02181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（3）协调处理施工现场周围地下管线和邻近建筑物、构筑物、古树名木的保护工作；</w:t>
      </w:r>
    </w:p>
    <w:p w14:paraId="0763C39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（4）按照专用合同条款约定</w:t>
      </w:r>
      <w:r>
        <w:rPr>
          <w:rFonts w:hint="eastAsia" w:eastAsia="仿宋_GB2312"/>
          <w:color w:val="auto"/>
          <w:sz w:val="24"/>
          <w:highlight w:val="none"/>
        </w:rPr>
        <w:t>应</w:t>
      </w:r>
      <w:r>
        <w:rPr>
          <w:rFonts w:eastAsia="仿宋_GB2312"/>
          <w:color w:val="auto"/>
          <w:sz w:val="24"/>
          <w:highlight w:val="none"/>
        </w:rPr>
        <w:t>提供的其他设施和条件。</w:t>
      </w:r>
    </w:p>
    <w:p w14:paraId="1952398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2.4.3 提供基础资料</w:t>
      </w:r>
    </w:p>
    <w:p w14:paraId="02762EE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0AF1867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按照法律规定确需在开工后方能提供的基础资料，发包人应尽其努力及时地在相应工程施工前的合理期限内提供，合理期限应以不影响承包人的正常施工为限。</w:t>
      </w:r>
    </w:p>
    <w:p w14:paraId="6EBF7DE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2.4.4 逾期提供的责任</w:t>
      </w:r>
    </w:p>
    <w:p w14:paraId="434F255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因发包人原因未能按合同约定及时向承包人提供施工现场、施工条件、基础资料的，由发包人承担由此增加的费用和（或）延误的工期。</w:t>
      </w:r>
    </w:p>
    <w:p w14:paraId="4E5837F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69" w:name="_Toc351203514"/>
      <w:r>
        <w:rPr>
          <w:rFonts w:ascii="Times New Roman" w:hAnsi="Times New Roman" w:eastAsia="黑体"/>
          <w:b w:val="0"/>
          <w:color w:val="auto"/>
          <w:highlight w:val="none"/>
        </w:rPr>
        <w:t>2</w:t>
      </w:r>
      <w:bookmarkStart w:id="270" w:name="_Toc337558745"/>
      <w:bookmarkStart w:id="271" w:name="_Toc296503042"/>
      <w:bookmarkStart w:id="272" w:name="_Toc296346543"/>
      <w:r>
        <w:rPr>
          <w:rFonts w:ascii="Times New Roman" w:hAnsi="Times New Roman" w:eastAsia="黑体"/>
          <w:b w:val="0"/>
          <w:color w:val="auto"/>
          <w:highlight w:val="none"/>
        </w:rPr>
        <w:t>.5 资</w:t>
      </w:r>
      <w:bookmarkEnd w:id="270"/>
      <w:bookmarkEnd w:id="271"/>
      <w:bookmarkEnd w:id="272"/>
      <w:r>
        <w:rPr>
          <w:rFonts w:ascii="Times New Roman" w:hAnsi="Times New Roman" w:eastAsia="黑体"/>
          <w:b w:val="0"/>
          <w:color w:val="auto"/>
          <w:highlight w:val="none"/>
        </w:rPr>
        <w:t>金来源证明及支付担保</w:t>
      </w:r>
      <w:bookmarkEnd w:id="269"/>
    </w:p>
    <w:p w14:paraId="29681C3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除专用合同条款另有约定外，发包人应在收到承包人要求提供资金来源证明的书面通知后28天内，向承包人提供能够按照合同约定支付合同价款的相应资金来源证明。</w:t>
      </w:r>
    </w:p>
    <w:p w14:paraId="1A0FD5E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6C8EE4C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73" w:name="_Toc351203515"/>
      <w:r>
        <w:rPr>
          <w:rFonts w:ascii="Times New Roman" w:hAnsi="Times New Roman" w:eastAsia="黑体"/>
          <w:b w:val="0"/>
          <w:color w:val="auto"/>
          <w:highlight w:val="none"/>
        </w:rPr>
        <w:t>2.6 支付合同价款</w:t>
      </w:r>
      <w:bookmarkEnd w:id="273"/>
    </w:p>
    <w:p w14:paraId="40EB6D8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发包人应按合同约定向承包人及时支付合同价款。</w:t>
      </w:r>
    </w:p>
    <w:p w14:paraId="22D68A2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74" w:name="_Toc351203516"/>
      <w:r>
        <w:rPr>
          <w:rFonts w:ascii="Times New Roman" w:hAnsi="Times New Roman" w:eastAsia="黑体"/>
          <w:b w:val="0"/>
          <w:color w:val="auto"/>
          <w:highlight w:val="none"/>
        </w:rPr>
        <w:t>2.7 组织竣工验收</w:t>
      </w:r>
      <w:bookmarkEnd w:id="274"/>
    </w:p>
    <w:p w14:paraId="1B7F8C8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发包人应按合同约定及时组织竣工验收。</w:t>
      </w:r>
    </w:p>
    <w:p w14:paraId="074003D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75" w:name="_Toc351203517"/>
      <w:r>
        <w:rPr>
          <w:rFonts w:ascii="Times New Roman" w:hAnsi="Times New Roman" w:eastAsia="黑体"/>
          <w:b w:val="0"/>
          <w:color w:val="auto"/>
          <w:highlight w:val="none"/>
        </w:rPr>
        <w:t>2.8 现场统一管理协议</w:t>
      </w:r>
      <w:bookmarkEnd w:id="275"/>
    </w:p>
    <w:p w14:paraId="3DE1452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发包人应与承包人、由发包人直接发包的专业工程的承包人签订施工现场统一管理协议，明确各方的权利义务。施工现场统一管理协议作为专用合同条款的附件。</w:t>
      </w:r>
    </w:p>
    <w:p w14:paraId="0626930F">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276" w:name="_Toc351203518"/>
      <w:r>
        <w:rPr>
          <w:rFonts w:ascii="Times New Roman" w:hAnsi="Times New Roman" w:eastAsia="黑体"/>
          <w:b w:val="0"/>
          <w:color w:val="auto"/>
          <w:sz w:val="24"/>
          <w:szCs w:val="24"/>
          <w:highlight w:val="none"/>
        </w:rPr>
        <w:t>3</w:t>
      </w:r>
      <w:bookmarkStart w:id="277" w:name="_Toc296503045"/>
      <w:bookmarkStart w:id="278" w:name="_Toc296346546"/>
      <w:bookmarkStart w:id="279" w:name="_Toc337558746"/>
      <w:r>
        <w:rPr>
          <w:rFonts w:ascii="Times New Roman" w:hAnsi="Times New Roman" w:eastAsia="黑体"/>
          <w:b w:val="0"/>
          <w:color w:val="auto"/>
          <w:sz w:val="24"/>
          <w:szCs w:val="24"/>
          <w:highlight w:val="none"/>
        </w:rPr>
        <w:t>. 承包人</w:t>
      </w:r>
      <w:bookmarkEnd w:id="276"/>
    </w:p>
    <w:bookmarkEnd w:id="277"/>
    <w:bookmarkEnd w:id="278"/>
    <w:bookmarkEnd w:id="279"/>
    <w:p w14:paraId="10E4482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80" w:name="_Toc351203519"/>
      <w:r>
        <w:rPr>
          <w:rFonts w:ascii="Times New Roman" w:hAnsi="Times New Roman" w:eastAsia="黑体"/>
          <w:b w:val="0"/>
          <w:color w:val="auto"/>
          <w:highlight w:val="none"/>
        </w:rPr>
        <w:t>3</w:t>
      </w:r>
      <w:bookmarkStart w:id="281" w:name="_Toc337558747"/>
      <w:bookmarkStart w:id="282" w:name="_Toc296346547"/>
      <w:bookmarkStart w:id="283" w:name="_Toc296503046"/>
      <w:r>
        <w:rPr>
          <w:rFonts w:ascii="Times New Roman" w:hAnsi="Times New Roman" w:eastAsia="黑体"/>
          <w:b w:val="0"/>
          <w:color w:val="auto"/>
          <w:highlight w:val="none"/>
        </w:rPr>
        <w:t>.1 承包人的一般义务</w:t>
      </w:r>
      <w:bookmarkEnd w:id="280"/>
    </w:p>
    <w:bookmarkEnd w:id="281"/>
    <w:bookmarkEnd w:id="282"/>
    <w:bookmarkEnd w:id="283"/>
    <w:p w14:paraId="20B169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承包人在履行合同过程中应遵守法律和工程建设标准规范，并履行以下义务：</w:t>
      </w:r>
    </w:p>
    <w:p w14:paraId="512618DE">
      <w:pPr>
        <w:pageBreakBefore w:val="0"/>
        <w:numPr>
          <w:ilvl w:val="0"/>
          <w:numId w:val="5"/>
        </w:numPr>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办理法律规定</w:t>
      </w:r>
      <w:r>
        <w:rPr>
          <w:rFonts w:hint="eastAsia" w:eastAsia="仿宋_GB2312"/>
          <w:color w:val="auto"/>
          <w:sz w:val="24"/>
          <w:highlight w:val="none"/>
        </w:rPr>
        <w:t>应</w:t>
      </w:r>
      <w:r>
        <w:rPr>
          <w:rFonts w:eastAsia="仿宋_GB2312"/>
          <w:color w:val="auto"/>
          <w:sz w:val="24"/>
          <w:highlight w:val="none"/>
        </w:rPr>
        <w:t>由承包人办理的许可和批准，并将</w:t>
      </w:r>
      <w:r>
        <w:rPr>
          <w:rFonts w:hint="eastAsia" w:eastAsia="仿宋_GB2312"/>
          <w:color w:val="auto"/>
          <w:sz w:val="24"/>
          <w:highlight w:val="none"/>
        </w:rPr>
        <w:t>办理</w:t>
      </w:r>
      <w:r>
        <w:rPr>
          <w:rFonts w:eastAsia="仿宋_GB2312"/>
          <w:color w:val="auto"/>
          <w:sz w:val="24"/>
          <w:highlight w:val="none"/>
        </w:rPr>
        <w:t>结果书面报送发包人留存；</w:t>
      </w:r>
    </w:p>
    <w:p w14:paraId="3D94E52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（2）按法律规定和合同约定完成工程，并在保修期内承担保修义务；</w:t>
      </w:r>
    </w:p>
    <w:p w14:paraId="1428B1B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（3）按法律规定和合同约定采取施工安全和环境保护措施，办理工伤保险，确保工程及人员、材料、设备和设施的安全；</w:t>
      </w:r>
    </w:p>
    <w:p w14:paraId="7837509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（4）按合同约定的工作内容和施工进度要求，编制施工组织设计和施工措施计划，并对所有施工作业和施工方法的完备性和安全可靠性负责；</w:t>
      </w:r>
    </w:p>
    <w:p w14:paraId="7D1B7BC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22689A1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（6）按照第6.3款</w:t>
      </w:r>
      <w:r>
        <w:rPr>
          <w:rFonts w:hint="eastAsia" w:eastAsia="仿宋_GB2312"/>
          <w:color w:val="auto"/>
          <w:sz w:val="24"/>
          <w:highlight w:val="none"/>
        </w:rPr>
        <w:t>〔</w:t>
      </w:r>
      <w:r>
        <w:rPr>
          <w:rFonts w:eastAsia="仿宋_GB2312"/>
          <w:color w:val="auto"/>
          <w:sz w:val="24"/>
          <w:highlight w:val="none"/>
        </w:rPr>
        <w:t>环境保护</w:t>
      </w:r>
      <w:r>
        <w:rPr>
          <w:rFonts w:hint="eastAsia" w:eastAsia="仿宋_GB2312"/>
          <w:color w:val="auto"/>
          <w:sz w:val="24"/>
          <w:highlight w:val="none"/>
        </w:rPr>
        <w:t>〕</w:t>
      </w:r>
      <w:r>
        <w:rPr>
          <w:rFonts w:eastAsia="仿宋_GB2312"/>
          <w:color w:val="auto"/>
          <w:sz w:val="24"/>
          <w:highlight w:val="none"/>
        </w:rPr>
        <w:t>约定负责施工场地及其周边环境与生态的保护工作；</w:t>
      </w:r>
    </w:p>
    <w:p w14:paraId="21EB8C7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（7）按第6.1款</w:t>
      </w:r>
      <w:r>
        <w:rPr>
          <w:rFonts w:hint="eastAsia" w:eastAsia="仿宋_GB2312"/>
          <w:color w:val="auto"/>
          <w:sz w:val="24"/>
          <w:highlight w:val="none"/>
        </w:rPr>
        <w:t>〔</w:t>
      </w:r>
      <w:r>
        <w:rPr>
          <w:rFonts w:eastAsia="仿宋_GB2312"/>
          <w:color w:val="auto"/>
          <w:sz w:val="24"/>
          <w:highlight w:val="none"/>
        </w:rPr>
        <w:t>安全文明施工</w:t>
      </w:r>
      <w:r>
        <w:rPr>
          <w:rFonts w:hint="eastAsia" w:eastAsia="仿宋_GB2312"/>
          <w:color w:val="auto"/>
          <w:sz w:val="24"/>
          <w:highlight w:val="none"/>
        </w:rPr>
        <w:t>〕</w:t>
      </w:r>
      <w:r>
        <w:rPr>
          <w:rFonts w:eastAsia="仿宋_GB2312"/>
          <w:color w:val="auto"/>
          <w:sz w:val="24"/>
          <w:highlight w:val="none"/>
        </w:rPr>
        <w:t>约定采取施工安全措施，确保工程及其人员、材料、设备和设施的安全，防止因工程施工造成的人身伤害和财产损失；</w:t>
      </w:r>
    </w:p>
    <w:p w14:paraId="6478889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w:t>
      </w:r>
      <w:r>
        <w:rPr>
          <w:rFonts w:hint="eastAsia" w:eastAsia="仿宋_GB2312"/>
          <w:color w:val="auto"/>
          <w:sz w:val="24"/>
          <w:highlight w:val="none"/>
        </w:rPr>
        <w:t>将</w:t>
      </w:r>
      <w:r>
        <w:rPr>
          <w:rFonts w:eastAsia="仿宋_GB2312"/>
          <w:color w:val="auto"/>
          <w:sz w:val="24"/>
          <w:highlight w:val="none"/>
        </w:rPr>
        <w:t>发包人按合同约定支付的各项价款专用于合同工程，且应及时支付其雇用人员工资，并及时向分包人支付合同价款；</w:t>
      </w:r>
    </w:p>
    <w:p w14:paraId="7F1D277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（9）按照法律规定和合同约定编制竣工资料，完成竣工资料立卷及归档，并按专用合同条款约定的竣工资料的套数、内容、时间等要求移交发包人；</w:t>
      </w:r>
    </w:p>
    <w:p w14:paraId="1C80619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（10）应履行的其他义务。</w:t>
      </w:r>
    </w:p>
    <w:p w14:paraId="042DAC4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84" w:name="_Toc351203520"/>
      <w:r>
        <w:rPr>
          <w:rFonts w:ascii="Times New Roman" w:hAnsi="Times New Roman" w:eastAsia="黑体"/>
          <w:b w:val="0"/>
          <w:color w:val="auto"/>
          <w:highlight w:val="none"/>
        </w:rPr>
        <w:t>3</w:t>
      </w:r>
      <w:bookmarkStart w:id="285" w:name="_Toc296346548"/>
      <w:bookmarkStart w:id="286" w:name="_Toc296503047"/>
      <w:bookmarkStart w:id="287" w:name="_Toc337558748"/>
      <w:r>
        <w:rPr>
          <w:rFonts w:ascii="Times New Roman" w:hAnsi="Times New Roman" w:eastAsia="黑体"/>
          <w:b w:val="0"/>
          <w:color w:val="auto"/>
          <w:highlight w:val="none"/>
        </w:rPr>
        <w:t xml:space="preserve">.2 </w:t>
      </w:r>
      <w:bookmarkEnd w:id="284"/>
      <w:r>
        <w:rPr>
          <w:rFonts w:ascii="Times New Roman" w:hAnsi="Times New Roman" w:eastAsia="黑体"/>
          <w:b w:val="0"/>
          <w:color w:val="auto"/>
          <w:highlight w:val="none"/>
        </w:rPr>
        <w:t>项目经理</w:t>
      </w:r>
    </w:p>
    <w:bookmarkEnd w:id="285"/>
    <w:bookmarkEnd w:id="286"/>
    <w:bookmarkEnd w:id="287"/>
    <w:p w14:paraId="6736533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A234CC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74477E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承包人违反上述约定的，应按照专用合同条款的约定，承担违约责任。</w:t>
      </w:r>
    </w:p>
    <w:p w14:paraId="08B8D9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3.2.2 项目经理按合同约定组织工程实施。在紧急情况下</w:t>
      </w:r>
      <w:r>
        <w:rPr>
          <w:rFonts w:hint="eastAsia" w:eastAsia="仿宋_GB2312"/>
          <w:color w:val="auto"/>
          <w:sz w:val="24"/>
          <w:highlight w:val="none"/>
        </w:rPr>
        <w:t>为确保施工安全和人员安全</w:t>
      </w:r>
      <w:r>
        <w:rPr>
          <w:rFonts w:eastAsia="仿宋_GB2312"/>
          <w:color w:val="auto"/>
          <w:sz w:val="24"/>
          <w:highlight w:val="none"/>
        </w:rPr>
        <w:t>，</w:t>
      </w:r>
      <w:r>
        <w:rPr>
          <w:rFonts w:hint="eastAsia" w:eastAsia="仿宋_GB2312"/>
          <w:color w:val="auto"/>
          <w:sz w:val="24"/>
          <w:highlight w:val="none"/>
        </w:rPr>
        <w:t>在</w:t>
      </w:r>
      <w:r>
        <w:rPr>
          <w:rFonts w:eastAsia="仿宋_GB2312"/>
          <w:color w:val="auto"/>
          <w:sz w:val="24"/>
          <w:highlight w:val="none"/>
        </w:rPr>
        <w:t>无法与发包人代表和总监理工程师</w:t>
      </w:r>
      <w:r>
        <w:rPr>
          <w:rFonts w:hint="eastAsia" w:eastAsia="仿宋_GB2312"/>
          <w:color w:val="auto"/>
          <w:sz w:val="24"/>
          <w:highlight w:val="none"/>
        </w:rPr>
        <w:t>及时</w:t>
      </w:r>
      <w:r>
        <w:rPr>
          <w:rFonts w:eastAsia="仿宋_GB2312"/>
          <w:color w:val="auto"/>
          <w:sz w:val="24"/>
          <w:highlight w:val="none"/>
        </w:rPr>
        <w:t>取得联系时，项目经理有权采取必要的措施保证与工程有关的人身、财产和工程的安全，但应在48小时内向发包人代表和总监理工程师提交书面报告。</w:t>
      </w:r>
    </w:p>
    <w:p w14:paraId="3679CB6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797D90C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eastAsia="仿宋_GB2312"/>
          <w:color w:val="auto"/>
          <w:sz w:val="24"/>
          <w:highlight w:val="none"/>
        </w:rPr>
        <w:t>继</w:t>
      </w:r>
      <w:r>
        <w:rPr>
          <w:rFonts w:eastAsia="仿宋_GB2312"/>
          <w:color w:val="auto"/>
          <w:sz w:val="24"/>
          <w:highlight w:val="none"/>
        </w:rPr>
        <w:t>任项目经理继续履行第3.2.1项约定的职责。承包人无正当理由拒绝更换项目经理的，应按照专用合同条款的约定承担违约责任。</w:t>
      </w:r>
    </w:p>
    <w:p w14:paraId="6127F20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547C677B">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88" w:name="_Toc351203521"/>
      <w:r>
        <w:rPr>
          <w:rFonts w:ascii="Times New Roman" w:hAnsi="Times New Roman" w:eastAsia="黑体"/>
          <w:b w:val="0"/>
          <w:color w:val="auto"/>
          <w:highlight w:val="none"/>
        </w:rPr>
        <w:t>3</w:t>
      </w:r>
      <w:bookmarkStart w:id="289" w:name="_Toc296503048"/>
      <w:bookmarkStart w:id="290" w:name="_Toc296346549"/>
      <w:bookmarkStart w:id="291" w:name="_Toc337558749"/>
      <w:r>
        <w:rPr>
          <w:rFonts w:ascii="Times New Roman" w:hAnsi="Times New Roman" w:eastAsia="黑体"/>
          <w:b w:val="0"/>
          <w:color w:val="auto"/>
          <w:highlight w:val="none"/>
        </w:rPr>
        <w:t xml:space="preserve">.3 </w:t>
      </w:r>
      <w:bookmarkEnd w:id="289"/>
      <w:bookmarkEnd w:id="290"/>
      <w:r>
        <w:rPr>
          <w:rFonts w:ascii="Times New Roman" w:hAnsi="Times New Roman" w:eastAsia="黑体"/>
          <w:b w:val="0"/>
          <w:color w:val="auto"/>
          <w:highlight w:val="none"/>
        </w:rPr>
        <w:t>承包人人员</w:t>
      </w:r>
      <w:bookmarkEnd w:id="288"/>
    </w:p>
    <w:bookmarkEnd w:id="291"/>
    <w:p w14:paraId="439AC65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eastAsia="仿宋_GB2312"/>
          <w:color w:val="auto"/>
          <w:sz w:val="24"/>
          <w:highlight w:val="none"/>
        </w:rPr>
        <w:t>和</w:t>
      </w:r>
      <w:r>
        <w:rPr>
          <w:rFonts w:eastAsia="仿宋_GB2312"/>
          <w:color w:val="auto"/>
          <w:sz w:val="24"/>
          <w:highlight w:val="none"/>
        </w:rPr>
        <w:t>缴纳社会保险的有效证明。</w:t>
      </w:r>
    </w:p>
    <w:p w14:paraId="23B76CE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3.3.2 承包人派驻到施工现场的主要施工管理人员应相对稳定。施工过程中</w:t>
      </w:r>
      <w:r>
        <w:rPr>
          <w:rFonts w:hint="eastAsia" w:eastAsia="仿宋_GB2312"/>
          <w:color w:val="auto"/>
          <w:sz w:val="24"/>
          <w:highlight w:val="none"/>
        </w:rPr>
        <w:t>如有变动</w:t>
      </w:r>
      <w:r>
        <w:rPr>
          <w:rFonts w:eastAsia="仿宋_GB2312"/>
          <w:color w:val="auto"/>
          <w:sz w:val="24"/>
          <w:highlight w:val="none"/>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4ED941A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特殊工种作业人员均应持有相应的资格证明，监理人可以随时检查。</w:t>
      </w:r>
    </w:p>
    <w:p w14:paraId="7FB8101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3.3.3 发包人对于承包人主要施工管理人员</w:t>
      </w:r>
      <w:r>
        <w:rPr>
          <w:rFonts w:hint="eastAsia" w:eastAsia="仿宋_GB2312"/>
          <w:color w:val="auto"/>
          <w:sz w:val="24"/>
          <w:highlight w:val="none"/>
        </w:rPr>
        <w:t>的资格或能力</w:t>
      </w:r>
      <w:r>
        <w:rPr>
          <w:rFonts w:eastAsia="仿宋_GB2312"/>
          <w:color w:val="auto"/>
          <w:sz w:val="24"/>
          <w:highlight w:val="none"/>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534EF2B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6C229B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3.3.5 承包人擅自更换主要施工管理人员，或前述人员未经监理人或发包人同意擅自离开施工现场的，应按照专用合同条款约定承担违约责任。</w:t>
      </w:r>
    </w:p>
    <w:p w14:paraId="31C796D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92" w:name="_Toc351203522"/>
      <w:r>
        <w:rPr>
          <w:rFonts w:ascii="Times New Roman" w:hAnsi="Times New Roman" w:eastAsia="黑体"/>
          <w:b w:val="0"/>
          <w:color w:val="auto"/>
          <w:highlight w:val="none"/>
        </w:rPr>
        <w:t>3</w:t>
      </w:r>
      <w:bookmarkStart w:id="293" w:name="_Toc337558750"/>
      <w:bookmarkStart w:id="294" w:name="_Toc296503050"/>
      <w:bookmarkStart w:id="295" w:name="_Toc296346551"/>
      <w:r>
        <w:rPr>
          <w:rFonts w:ascii="Times New Roman" w:hAnsi="Times New Roman" w:eastAsia="黑体"/>
          <w:b w:val="0"/>
          <w:color w:val="auto"/>
          <w:highlight w:val="none"/>
        </w:rPr>
        <w:t>.4 承包人现场查勘</w:t>
      </w:r>
      <w:bookmarkEnd w:id="292"/>
    </w:p>
    <w:bookmarkEnd w:id="293"/>
    <w:bookmarkEnd w:id="294"/>
    <w:bookmarkEnd w:id="295"/>
    <w:p w14:paraId="50F2A0E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承包人应对基于发包人按照第2.4.3项</w:t>
      </w:r>
      <w:r>
        <w:rPr>
          <w:rFonts w:hint="eastAsia" w:eastAsia="仿宋_GB2312"/>
          <w:color w:val="auto"/>
          <w:sz w:val="24"/>
          <w:highlight w:val="none"/>
        </w:rPr>
        <w:t>〔</w:t>
      </w:r>
      <w:r>
        <w:rPr>
          <w:rFonts w:eastAsia="仿宋_GB2312"/>
          <w:color w:val="auto"/>
          <w:sz w:val="24"/>
          <w:highlight w:val="none"/>
        </w:rPr>
        <w:t>提供基础资料</w:t>
      </w:r>
      <w:r>
        <w:rPr>
          <w:rFonts w:hint="eastAsia" w:eastAsia="仿宋_GB2312"/>
          <w:color w:val="auto"/>
          <w:sz w:val="24"/>
          <w:highlight w:val="none"/>
        </w:rPr>
        <w:t>〕</w:t>
      </w:r>
      <w:r>
        <w:rPr>
          <w:rFonts w:eastAsia="仿宋_GB2312"/>
          <w:color w:val="auto"/>
          <w:sz w:val="24"/>
          <w:highlight w:val="none"/>
        </w:rPr>
        <w:t>提交的基础资料所做出的解释和推断负责，但因基础资料存在错误、遗漏导致承包人解释或推断失实的，由发包人承担责任。</w:t>
      </w:r>
    </w:p>
    <w:p w14:paraId="0712AB5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244B72B">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296" w:name="_Toc351203523"/>
      <w:r>
        <w:rPr>
          <w:rFonts w:ascii="Times New Roman" w:hAnsi="Times New Roman" w:eastAsia="黑体"/>
          <w:b w:val="0"/>
          <w:color w:val="auto"/>
          <w:highlight w:val="none"/>
        </w:rPr>
        <w:t>3</w:t>
      </w:r>
      <w:bookmarkStart w:id="297" w:name="_Toc337558751"/>
      <w:bookmarkStart w:id="298" w:name="_Toc296346552"/>
      <w:bookmarkStart w:id="299" w:name="_Toc296503051"/>
      <w:r>
        <w:rPr>
          <w:rFonts w:ascii="Times New Roman" w:hAnsi="Times New Roman" w:eastAsia="黑体"/>
          <w:b w:val="0"/>
          <w:color w:val="auto"/>
          <w:highlight w:val="none"/>
        </w:rPr>
        <w:t>.5 分包</w:t>
      </w:r>
      <w:bookmarkEnd w:id="296"/>
    </w:p>
    <w:bookmarkEnd w:id="297"/>
    <w:bookmarkEnd w:id="298"/>
    <w:bookmarkEnd w:id="299"/>
    <w:p w14:paraId="5133E92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3.5.1 分包的一般约定</w:t>
      </w:r>
    </w:p>
    <w:p w14:paraId="4F8452C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2269C0A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承包人不得以劳务分包的名义转包或违法分包工程。</w:t>
      </w:r>
    </w:p>
    <w:p w14:paraId="4E102D9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3.5.2 分包的确定</w:t>
      </w:r>
    </w:p>
    <w:p w14:paraId="5DB0F34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承包人应按专用合同条款的约定进行分包，确定分包人。已标价工程量清单或预算书中给定暂估价的专业工程，按照第10.7款</w:t>
      </w:r>
      <w:r>
        <w:rPr>
          <w:rFonts w:hint="eastAsia" w:eastAsia="仿宋_GB2312"/>
          <w:color w:val="auto"/>
          <w:sz w:val="24"/>
          <w:highlight w:val="none"/>
        </w:rPr>
        <w:t>〔</w:t>
      </w:r>
      <w:r>
        <w:rPr>
          <w:rFonts w:eastAsia="仿宋_GB2312"/>
          <w:color w:val="auto"/>
          <w:sz w:val="24"/>
          <w:highlight w:val="none"/>
        </w:rPr>
        <w:t>暂估价</w:t>
      </w:r>
      <w:r>
        <w:rPr>
          <w:rFonts w:hint="eastAsia" w:eastAsia="仿宋_GB2312"/>
          <w:color w:val="auto"/>
          <w:sz w:val="24"/>
          <w:highlight w:val="none"/>
        </w:rPr>
        <w:t>〕</w:t>
      </w:r>
      <w:r>
        <w:rPr>
          <w:rFonts w:eastAsia="仿宋_GB2312"/>
          <w:color w:val="auto"/>
          <w:sz w:val="24"/>
          <w:highlight w:val="none"/>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687208A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3.5.3 分包管理</w:t>
      </w:r>
    </w:p>
    <w:p w14:paraId="79C3571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承包人应向监理人提交分包人的主要施工管理人员表，并对分包人的施工人员进行实名制管理，包括但不限于进出场管理、登记造册以及各种证照的办理。</w:t>
      </w:r>
    </w:p>
    <w:p w14:paraId="55F11EC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3.5.4 分包合同价款</w:t>
      </w:r>
    </w:p>
    <w:p w14:paraId="1E371AF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（1）除本项第（2）目约定的情况或专用合同条款另有约定外，分包合同价款由承包人与分包人结算，</w:t>
      </w:r>
      <w:r>
        <w:rPr>
          <w:rFonts w:hint="eastAsia" w:eastAsia="仿宋_GB2312"/>
          <w:color w:val="auto"/>
          <w:sz w:val="24"/>
          <w:highlight w:val="none"/>
        </w:rPr>
        <w:t>除本协议另有约定外，</w:t>
      </w:r>
      <w:r>
        <w:rPr>
          <w:rFonts w:eastAsia="仿宋_GB2312"/>
          <w:color w:val="auto"/>
          <w:sz w:val="24"/>
          <w:highlight w:val="none"/>
        </w:rPr>
        <w:t>未经承包人同意，发包人不得向分包人支付分包工程价款；</w:t>
      </w:r>
    </w:p>
    <w:p w14:paraId="4311C7E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w:t>
      </w:r>
      <w:r>
        <w:rPr>
          <w:rFonts w:hint="eastAsia" w:eastAsia="仿宋_GB2312"/>
          <w:color w:val="auto"/>
          <w:sz w:val="24"/>
          <w:highlight w:val="none"/>
        </w:rPr>
        <w:t>本协议约定或</w:t>
      </w:r>
      <w:r>
        <w:rPr>
          <w:rFonts w:eastAsia="仿宋_GB2312"/>
          <w:color w:val="auto"/>
          <w:sz w:val="24"/>
          <w:highlight w:val="none"/>
        </w:rPr>
        <w:t>生效法律文书要求发包人向分包人支付分包合同价款的，发包人有权从应付承包人工程款中扣除该部分款项。</w:t>
      </w:r>
    </w:p>
    <w:p w14:paraId="1C2DAFE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3.5.5 分包合同权益的转让</w:t>
      </w:r>
    </w:p>
    <w:p w14:paraId="1FC2B88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00" w:name="_Toc351203524"/>
    </w:p>
    <w:p w14:paraId="0C2D7A3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r>
        <w:rPr>
          <w:rFonts w:ascii="Times New Roman" w:hAnsi="Times New Roman" w:eastAsia="黑体"/>
          <w:b w:val="0"/>
          <w:color w:val="auto"/>
          <w:highlight w:val="none"/>
        </w:rPr>
        <w:t>3.6 工程照管与成品、半成品保护</w:t>
      </w:r>
      <w:bookmarkEnd w:id="300"/>
    </w:p>
    <w:p w14:paraId="47B771A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（1）除专用合同条款另有约定外，自发包人向承包人移交施工现场之日起，承包人应负责照管工程及工程相关的材料、工程设备，直到颁发工程接收证书之日止。</w:t>
      </w:r>
    </w:p>
    <w:p w14:paraId="638F879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2</w:t>
      </w:r>
      <w:r>
        <w:rPr>
          <w:rFonts w:eastAsia="仿宋_GB2312"/>
          <w:color w:val="auto"/>
          <w:sz w:val="24"/>
          <w:highlight w:val="none"/>
        </w:rPr>
        <w:t>）在承包人负责照管期间，因承包人原因造成工程、材料、工程设备损坏的，由承包人负责修复或更换，并承担由此增加的费用和（或）延误的工期。</w:t>
      </w:r>
    </w:p>
    <w:p w14:paraId="145215C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3</w:t>
      </w:r>
      <w:r>
        <w:rPr>
          <w:rFonts w:eastAsia="仿宋_GB2312"/>
          <w:color w:val="auto"/>
          <w:sz w:val="24"/>
          <w:highlight w:val="none"/>
        </w:rPr>
        <w:t>）对合同内分期完成的成品和半成品，在工程接收证书颁发前，由承包人承担保护责任。因承包人原因造成成品或半成品损坏的，由承包人负责修复或更换，并承担由此增加的费用和（或）延误的工期。</w:t>
      </w:r>
    </w:p>
    <w:p w14:paraId="2C1A76A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01" w:name="_Toc351203525"/>
      <w:r>
        <w:rPr>
          <w:rFonts w:ascii="Times New Roman" w:hAnsi="Times New Roman" w:eastAsia="黑体"/>
          <w:b w:val="0"/>
          <w:color w:val="auto"/>
          <w:highlight w:val="none"/>
        </w:rPr>
        <w:t>3</w:t>
      </w:r>
      <w:bookmarkStart w:id="302" w:name="_Toc296503052"/>
      <w:bookmarkStart w:id="303" w:name="_Toc337558752"/>
      <w:bookmarkStart w:id="304" w:name="_Toc296346553"/>
      <w:r>
        <w:rPr>
          <w:rFonts w:ascii="Times New Roman" w:hAnsi="Times New Roman" w:eastAsia="黑体"/>
          <w:b w:val="0"/>
          <w:color w:val="auto"/>
          <w:highlight w:val="none"/>
        </w:rPr>
        <w:t>.7 履约担保</w:t>
      </w:r>
      <w:bookmarkEnd w:id="301"/>
    </w:p>
    <w:bookmarkEnd w:id="302"/>
    <w:bookmarkEnd w:id="303"/>
    <w:bookmarkEnd w:id="304"/>
    <w:p w14:paraId="0E465B6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发包人需要承包人提供履约担保的，由合同当事人在专用合同条款中约定履约担保的方式、金额及期限等。</w:t>
      </w:r>
      <w:r>
        <w:rPr>
          <w:rFonts w:eastAsia="仿宋_GB2312"/>
          <w:color w:val="auto"/>
          <w:sz w:val="24"/>
          <w:highlight w:val="none"/>
        </w:rPr>
        <w:t>履约担保可以采用银行保函或担保公司担保等形式，具体由合同当事人在专用合同条款中约定。</w:t>
      </w:r>
    </w:p>
    <w:p w14:paraId="3C2C5DF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因承包人原因导致工期延长的，继续提供履约担保所增加的费用由承包人承担；非因承包人原因导致工期延长的，继续提供履约担保所增加的费用由发包人承担。</w:t>
      </w:r>
    </w:p>
    <w:p w14:paraId="0D1EDD9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05" w:name="_Toc351203526"/>
      <w:r>
        <w:rPr>
          <w:rFonts w:ascii="Times New Roman" w:hAnsi="Times New Roman" w:eastAsia="黑体"/>
          <w:b w:val="0"/>
          <w:color w:val="auto"/>
          <w:highlight w:val="none"/>
        </w:rPr>
        <w:t>3.8 联合体</w:t>
      </w:r>
      <w:bookmarkEnd w:id="305"/>
    </w:p>
    <w:p w14:paraId="742807E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3.8.1 联合体各方应共同与发包人签订合同协议书。联合体各方应为履行合同</w:t>
      </w:r>
      <w:r>
        <w:rPr>
          <w:rFonts w:hint="eastAsia" w:eastAsia="仿宋_GB2312"/>
          <w:color w:val="auto"/>
          <w:sz w:val="24"/>
          <w:highlight w:val="none"/>
        </w:rPr>
        <w:t>向发包人</w:t>
      </w:r>
      <w:r>
        <w:rPr>
          <w:rFonts w:eastAsia="仿宋_GB2312"/>
          <w:color w:val="auto"/>
          <w:sz w:val="24"/>
          <w:highlight w:val="none"/>
        </w:rPr>
        <w:t>承担连带责任。</w:t>
      </w:r>
    </w:p>
    <w:p w14:paraId="3EC31FA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3.8.2 联合体协议经发包人确认后作为合同附件。在履行合同过程中，未经发包人同意，不得修改联合体协议。</w:t>
      </w:r>
    </w:p>
    <w:p w14:paraId="5EA2062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3.8.3 联合体牵头人负责与发包人和监理人联系，并接受指示，负责组织联合体各成员全面履行合同。</w:t>
      </w:r>
    </w:p>
    <w:p w14:paraId="08D23699">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306" w:name="_Toc351203527"/>
      <w:r>
        <w:rPr>
          <w:rFonts w:ascii="Times New Roman" w:hAnsi="Times New Roman" w:eastAsia="黑体"/>
          <w:b w:val="0"/>
          <w:color w:val="auto"/>
          <w:sz w:val="24"/>
          <w:szCs w:val="24"/>
          <w:highlight w:val="none"/>
        </w:rPr>
        <w:t>4</w:t>
      </w:r>
      <w:bookmarkStart w:id="307" w:name="_Toc296346554"/>
      <w:bookmarkStart w:id="308" w:name="_Toc296503053"/>
      <w:bookmarkStart w:id="309" w:name="_Toc337558753"/>
      <w:r>
        <w:rPr>
          <w:rFonts w:ascii="Times New Roman" w:hAnsi="Times New Roman" w:eastAsia="黑体"/>
          <w:b w:val="0"/>
          <w:color w:val="auto"/>
          <w:sz w:val="24"/>
          <w:szCs w:val="24"/>
          <w:highlight w:val="none"/>
        </w:rPr>
        <w:t>. 监</w:t>
      </w:r>
      <w:bookmarkEnd w:id="307"/>
      <w:bookmarkEnd w:id="308"/>
      <w:r>
        <w:rPr>
          <w:rFonts w:ascii="Times New Roman" w:hAnsi="Times New Roman" w:eastAsia="黑体"/>
          <w:b w:val="0"/>
          <w:color w:val="auto"/>
          <w:sz w:val="24"/>
          <w:szCs w:val="24"/>
          <w:highlight w:val="none"/>
        </w:rPr>
        <w:t>理人</w:t>
      </w:r>
      <w:bookmarkEnd w:id="306"/>
    </w:p>
    <w:bookmarkEnd w:id="309"/>
    <w:p w14:paraId="038542C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10" w:name="_Toc351203528"/>
      <w:r>
        <w:rPr>
          <w:rFonts w:ascii="Times New Roman" w:hAnsi="Times New Roman" w:eastAsia="黑体"/>
          <w:b w:val="0"/>
          <w:color w:val="auto"/>
          <w:highlight w:val="none"/>
        </w:rPr>
        <w:t>4</w:t>
      </w:r>
      <w:bookmarkStart w:id="311" w:name="_Toc296503054"/>
      <w:bookmarkStart w:id="312" w:name="_Toc337558754"/>
      <w:bookmarkStart w:id="313" w:name="_Toc296346555"/>
      <w:r>
        <w:rPr>
          <w:rFonts w:ascii="Times New Roman" w:hAnsi="Times New Roman" w:eastAsia="黑体"/>
          <w:b w:val="0"/>
          <w:color w:val="auto"/>
          <w:highlight w:val="none"/>
        </w:rPr>
        <w:t>.1监理人的一般规定</w:t>
      </w:r>
      <w:bookmarkEnd w:id="310"/>
    </w:p>
    <w:bookmarkEnd w:id="311"/>
    <w:bookmarkEnd w:id="312"/>
    <w:bookmarkEnd w:id="313"/>
    <w:p w14:paraId="2A60ADA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9F2D12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除专用合同条款另有约定外，监理人在施工现场的办公场所、生活场所由承包人提供，所发生的费用由发包人承担。</w:t>
      </w:r>
    </w:p>
    <w:p w14:paraId="534FD90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14" w:name="_Toc351203529"/>
      <w:r>
        <w:rPr>
          <w:rFonts w:ascii="Times New Roman" w:hAnsi="Times New Roman" w:eastAsia="黑体"/>
          <w:b w:val="0"/>
          <w:color w:val="auto"/>
          <w:highlight w:val="none"/>
        </w:rPr>
        <w:t>4</w:t>
      </w:r>
      <w:bookmarkStart w:id="315" w:name="_Toc337558755"/>
      <w:r>
        <w:rPr>
          <w:rFonts w:ascii="Times New Roman" w:hAnsi="Times New Roman" w:eastAsia="黑体"/>
          <w:b w:val="0"/>
          <w:color w:val="auto"/>
          <w:highlight w:val="none"/>
        </w:rPr>
        <w:t>.2监理人员</w:t>
      </w:r>
      <w:bookmarkEnd w:id="314"/>
    </w:p>
    <w:bookmarkEnd w:id="315"/>
    <w:p w14:paraId="3945E36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49316B3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16" w:name="_Toc351203530"/>
      <w:r>
        <w:rPr>
          <w:rFonts w:ascii="Times New Roman" w:hAnsi="Times New Roman" w:eastAsia="黑体"/>
          <w:b w:val="0"/>
          <w:color w:val="auto"/>
          <w:highlight w:val="none"/>
        </w:rPr>
        <w:t>4</w:t>
      </w:r>
      <w:bookmarkStart w:id="317" w:name="_Toc296503055"/>
      <w:bookmarkStart w:id="318" w:name="_Toc296346556"/>
      <w:bookmarkStart w:id="319" w:name="_Toc337558756"/>
      <w:r>
        <w:rPr>
          <w:rFonts w:ascii="Times New Roman" w:hAnsi="Times New Roman" w:eastAsia="黑体"/>
          <w:b w:val="0"/>
          <w:color w:val="auto"/>
          <w:highlight w:val="none"/>
        </w:rPr>
        <w:t>.3</w:t>
      </w:r>
      <w:bookmarkEnd w:id="317"/>
      <w:bookmarkEnd w:id="318"/>
      <w:r>
        <w:rPr>
          <w:rFonts w:ascii="Times New Roman" w:hAnsi="Times New Roman" w:eastAsia="黑体"/>
          <w:b w:val="0"/>
          <w:color w:val="auto"/>
          <w:highlight w:val="none"/>
        </w:rPr>
        <w:t>监理人的指</w:t>
      </w:r>
      <w:bookmarkEnd w:id="319"/>
      <w:r>
        <w:rPr>
          <w:rFonts w:ascii="Times New Roman" w:hAnsi="Times New Roman" w:eastAsia="黑体"/>
          <w:b w:val="0"/>
          <w:color w:val="auto"/>
          <w:highlight w:val="none"/>
        </w:rPr>
        <w:t>示</w:t>
      </w:r>
      <w:bookmarkEnd w:id="316"/>
    </w:p>
    <w:p w14:paraId="07EAE87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9E3C0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eastAsia="仿宋_GB2312"/>
          <w:color w:val="auto"/>
          <w:sz w:val="24"/>
          <w:highlight w:val="none"/>
        </w:rPr>
        <w:t>相应</w:t>
      </w:r>
      <w:r>
        <w:rPr>
          <w:rFonts w:eastAsia="仿宋_GB2312"/>
          <w:color w:val="auto"/>
          <w:sz w:val="24"/>
          <w:highlight w:val="none"/>
        </w:rPr>
        <w:t>责任。除专用合同条款另有约定外，总监理工程师不应将第4.4款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约定应由总监理工程师作出确定的权力授权或委托给其他监理人员。</w:t>
      </w:r>
    </w:p>
    <w:p w14:paraId="1167F6C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承包人对监理人发出的指示有疑问的，应向监理人提出书面异议，监理人应在48小时内对该指示予以确认、更改或撤销，监理人逾期未回复的，承包人有权拒绝执行上述指示。</w:t>
      </w:r>
    </w:p>
    <w:p w14:paraId="5C71F6C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1B14C74C">
      <w:pPr>
        <w:pStyle w:val="5"/>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sz w:val="24"/>
          <w:szCs w:val="24"/>
          <w:highlight w:val="none"/>
        </w:rPr>
      </w:pPr>
      <w:bookmarkStart w:id="320" w:name="_Toc351203531"/>
      <w:r>
        <w:rPr>
          <w:rFonts w:ascii="Times New Roman" w:hAnsi="Times New Roman" w:eastAsia="黑体"/>
          <w:b w:val="0"/>
          <w:color w:val="auto"/>
          <w:sz w:val="24"/>
          <w:szCs w:val="24"/>
          <w:highlight w:val="none"/>
        </w:rPr>
        <w:t>4</w:t>
      </w:r>
      <w:bookmarkStart w:id="321" w:name="_Toc296346558"/>
      <w:bookmarkStart w:id="322" w:name="_Toc296503057"/>
      <w:bookmarkStart w:id="323" w:name="_Toc337558757"/>
      <w:r>
        <w:rPr>
          <w:rFonts w:ascii="Times New Roman" w:hAnsi="Times New Roman" w:eastAsia="黑体"/>
          <w:b w:val="0"/>
          <w:color w:val="auto"/>
          <w:sz w:val="24"/>
          <w:szCs w:val="24"/>
          <w:highlight w:val="none"/>
        </w:rPr>
        <w:t>.4 商定或确定</w:t>
      </w:r>
      <w:bookmarkEnd w:id="320"/>
    </w:p>
    <w:bookmarkEnd w:id="321"/>
    <w:bookmarkEnd w:id="322"/>
    <w:bookmarkEnd w:id="323"/>
    <w:p w14:paraId="072E7F6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w:t>
      </w:r>
      <w:r>
        <w:rPr>
          <w:rFonts w:hint="eastAsia" w:eastAsia="仿宋_GB2312"/>
          <w:color w:val="auto"/>
          <w:sz w:val="24"/>
          <w:highlight w:val="none"/>
        </w:rPr>
        <w:t>当事人</w:t>
      </w:r>
      <w:r>
        <w:rPr>
          <w:rFonts w:eastAsia="仿宋_GB2312"/>
          <w:color w:val="auto"/>
          <w:sz w:val="24"/>
          <w:highlight w:val="none"/>
        </w:rPr>
        <w:t>进行</w:t>
      </w:r>
      <w:r>
        <w:rPr>
          <w:rFonts w:hint="eastAsia" w:eastAsia="仿宋_GB2312"/>
          <w:color w:val="auto"/>
          <w:sz w:val="24"/>
          <w:highlight w:val="none"/>
        </w:rPr>
        <w:t>商定</w:t>
      </w:r>
      <w:r>
        <w:rPr>
          <w:rFonts w:eastAsia="仿宋_GB2312"/>
          <w:color w:val="auto"/>
          <w:sz w:val="24"/>
          <w:highlight w:val="none"/>
        </w:rPr>
        <w:t>或确定时，总监理工程师应当会同合同当事人尽量通过协商达成一致，不能达成一致的，由总监理工程师按照合同约定审慎做出公正的确定。</w:t>
      </w:r>
    </w:p>
    <w:p w14:paraId="1DD9A51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约定处理。争议解决前，合同当事人暂按总监理工程师的确定执行；争议解决后，争议解决的结果与总监理工程师的确定不一致的，按照争议解决的结果执行，由此造成的损失由责任人承担。</w:t>
      </w:r>
    </w:p>
    <w:p w14:paraId="419F8966">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324" w:name="_Toc351203532"/>
      <w:r>
        <w:rPr>
          <w:rFonts w:ascii="Times New Roman" w:hAnsi="Times New Roman" w:eastAsia="黑体"/>
          <w:b w:val="0"/>
          <w:color w:val="auto"/>
          <w:sz w:val="24"/>
          <w:szCs w:val="24"/>
          <w:highlight w:val="none"/>
        </w:rPr>
        <w:t>5</w:t>
      </w:r>
      <w:bookmarkStart w:id="325" w:name="_Toc337558758"/>
      <w:r>
        <w:rPr>
          <w:rFonts w:ascii="Times New Roman" w:hAnsi="Times New Roman" w:eastAsia="黑体"/>
          <w:b w:val="0"/>
          <w:color w:val="auto"/>
          <w:sz w:val="24"/>
          <w:szCs w:val="24"/>
          <w:highlight w:val="none"/>
        </w:rPr>
        <w:t>. 工程质量</w:t>
      </w:r>
      <w:bookmarkEnd w:id="324"/>
    </w:p>
    <w:bookmarkEnd w:id="325"/>
    <w:p w14:paraId="2066D550">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26" w:name="_Toc351203533"/>
      <w:r>
        <w:rPr>
          <w:rFonts w:ascii="Times New Roman" w:hAnsi="Times New Roman" w:eastAsia="黑体"/>
          <w:b w:val="0"/>
          <w:color w:val="auto"/>
          <w:highlight w:val="none"/>
        </w:rPr>
        <w:t>5</w:t>
      </w:r>
      <w:bookmarkStart w:id="327" w:name="_Toc337558759"/>
      <w:r>
        <w:rPr>
          <w:rFonts w:ascii="Times New Roman" w:hAnsi="Times New Roman" w:eastAsia="黑体"/>
          <w:b w:val="0"/>
          <w:color w:val="auto"/>
          <w:highlight w:val="none"/>
        </w:rPr>
        <w:t>.1质量要求</w:t>
      </w:r>
      <w:bookmarkEnd w:id="326"/>
    </w:p>
    <w:bookmarkEnd w:id="327"/>
    <w:p w14:paraId="24122DF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5.1.1 工程质量标准必须符合现行国家有关工程施工质量验收规范和标准的要求。有关工程质量的特殊标准或要求由合同当事人在专用合同条款中约定。</w:t>
      </w:r>
    </w:p>
    <w:p w14:paraId="68791B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5.1.2 因发包人原因造成工程质量未达到合同约定标准的，由发包人承担由此增加的费用和（或）延误的工期。</w:t>
      </w:r>
    </w:p>
    <w:p w14:paraId="092BF8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5.1.3 因承包人原因造成工程质量未达到合同约定标准的，发包人有权要求承包人返工直至工程质量达到合同约定的标准为止，并由承包人承担由此增加的费用和（或）延误的工期。</w:t>
      </w:r>
    </w:p>
    <w:p w14:paraId="76F4202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28" w:name="_Toc351203534"/>
      <w:r>
        <w:rPr>
          <w:rFonts w:ascii="Times New Roman" w:hAnsi="Times New Roman" w:eastAsia="黑体"/>
          <w:b w:val="0"/>
          <w:color w:val="auto"/>
          <w:highlight w:val="none"/>
        </w:rPr>
        <w:t>5</w:t>
      </w:r>
      <w:bookmarkStart w:id="329" w:name="_Toc337558760"/>
      <w:r>
        <w:rPr>
          <w:rFonts w:ascii="Times New Roman" w:hAnsi="Times New Roman" w:eastAsia="黑体"/>
          <w:b w:val="0"/>
          <w:color w:val="auto"/>
          <w:highlight w:val="none"/>
        </w:rPr>
        <w:t>.2质量保证措施</w:t>
      </w:r>
      <w:bookmarkEnd w:id="328"/>
    </w:p>
    <w:bookmarkEnd w:id="329"/>
    <w:p w14:paraId="0E81FF3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outlineLvl w:val="0"/>
        <w:rPr>
          <w:rFonts w:eastAsia="仿宋_GB2312"/>
          <w:color w:val="auto"/>
          <w:sz w:val="24"/>
          <w:highlight w:val="none"/>
        </w:rPr>
      </w:pPr>
      <w:r>
        <w:rPr>
          <w:rFonts w:eastAsia="仿宋_GB2312"/>
          <w:color w:val="auto"/>
          <w:sz w:val="24"/>
          <w:highlight w:val="none"/>
        </w:rPr>
        <w:t>5.2.1 发包人的质量管理</w:t>
      </w:r>
    </w:p>
    <w:p w14:paraId="2C28977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发包人应按照法律规定及合同约定完成与工程质量有关的各项工作。</w:t>
      </w:r>
    </w:p>
    <w:p w14:paraId="2C47190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5.2.2 承包人的质量管理</w:t>
      </w:r>
    </w:p>
    <w:p w14:paraId="3E97095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承包人按照第7.1款</w:t>
      </w:r>
      <w:r>
        <w:rPr>
          <w:rFonts w:hint="eastAsia" w:eastAsia="仿宋_GB2312"/>
          <w:color w:val="auto"/>
          <w:sz w:val="24"/>
          <w:highlight w:val="none"/>
        </w:rPr>
        <w:t>〔</w:t>
      </w:r>
      <w:r>
        <w:rPr>
          <w:rFonts w:eastAsia="仿宋_GB2312"/>
          <w:color w:val="auto"/>
          <w:sz w:val="24"/>
          <w:highlight w:val="none"/>
        </w:rPr>
        <w:t>施工组织设计</w:t>
      </w:r>
      <w:r>
        <w:rPr>
          <w:rFonts w:hint="eastAsia" w:eastAsia="仿宋_GB2312"/>
          <w:color w:val="auto"/>
          <w:sz w:val="24"/>
          <w:highlight w:val="none"/>
        </w:rPr>
        <w:t>〕</w:t>
      </w:r>
      <w:r>
        <w:rPr>
          <w:rFonts w:eastAsia="仿宋_GB2312"/>
          <w:color w:val="auto"/>
          <w:sz w:val="24"/>
          <w:highlight w:val="none"/>
        </w:rPr>
        <w:t>约定向发包人和监理人提交工程质量保证体系及措施文件，建立完善的质量检查制度，并提交相应的工程质量文件。对于发包人和监理人违反法律规定和合同约定的错误指示，承包人有权拒绝实施。</w:t>
      </w:r>
    </w:p>
    <w:p w14:paraId="434F11F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承包人应对施工人员进行质量教育和技术培训，定期考核施工人员的劳动技能，严格执行施工规范和操作规程。</w:t>
      </w:r>
    </w:p>
    <w:p w14:paraId="4B723BF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7873C59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outlineLvl w:val="0"/>
        <w:rPr>
          <w:rFonts w:eastAsia="仿宋_GB2312"/>
          <w:color w:val="auto"/>
          <w:sz w:val="24"/>
          <w:highlight w:val="none"/>
        </w:rPr>
      </w:pPr>
      <w:r>
        <w:rPr>
          <w:rFonts w:eastAsia="仿宋_GB2312"/>
          <w:color w:val="auto"/>
          <w:sz w:val="24"/>
          <w:highlight w:val="none"/>
        </w:rPr>
        <w:t>5.2.3 监理人的质量检查和检验</w:t>
      </w:r>
    </w:p>
    <w:p w14:paraId="0C6F9DD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1077B0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0706A1CB">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30" w:name="_Toc351203535"/>
      <w:r>
        <w:rPr>
          <w:rFonts w:ascii="Times New Roman" w:hAnsi="Times New Roman" w:eastAsia="黑体"/>
          <w:b w:val="0"/>
          <w:color w:val="auto"/>
          <w:highlight w:val="none"/>
        </w:rPr>
        <w:t>5</w:t>
      </w:r>
      <w:bookmarkStart w:id="331" w:name="_Toc337558761"/>
      <w:r>
        <w:rPr>
          <w:rFonts w:ascii="Times New Roman" w:hAnsi="Times New Roman" w:eastAsia="黑体"/>
          <w:b w:val="0"/>
          <w:color w:val="auto"/>
          <w:highlight w:val="none"/>
        </w:rPr>
        <w:t>.3 隐蔽工程检查</w:t>
      </w:r>
      <w:bookmarkEnd w:id="330"/>
    </w:p>
    <w:bookmarkEnd w:id="331"/>
    <w:p w14:paraId="2479A6B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5.3.1承包人自检</w:t>
      </w:r>
    </w:p>
    <w:p w14:paraId="69FD764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承包人应当对工程隐蔽部位进行自检，并经自检确认是否具备覆盖条件。</w:t>
      </w:r>
    </w:p>
    <w:p w14:paraId="3BAF335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5.3.2检查程序</w:t>
      </w:r>
    </w:p>
    <w:p w14:paraId="4B50AD1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除专用合同条款另有约定外，工程隐蔽部位经承包人自检确认具备覆盖条件的，承包人应在</w:t>
      </w:r>
      <w:r>
        <w:rPr>
          <w:rFonts w:hint="eastAsia" w:eastAsia="仿宋_GB2312"/>
          <w:color w:val="auto"/>
          <w:sz w:val="24"/>
          <w:highlight w:val="none"/>
        </w:rPr>
        <w:t>共同</w:t>
      </w:r>
      <w:r>
        <w:rPr>
          <w:rFonts w:eastAsia="仿宋_GB2312"/>
          <w:color w:val="auto"/>
          <w:sz w:val="24"/>
          <w:highlight w:val="none"/>
        </w:rPr>
        <w:t>检查前48小时书面通知监理人检查，通知中应载明隐蔽检查的内容、时间和地点，并应附有自检记录和必要的检查资料。</w:t>
      </w:r>
    </w:p>
    <w:p w14:paraId="710D8FE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305608A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eastAsia="仿宋_GB2312"/>
          <w:color w:val="auto"/>
          <w:sz w:val="24"/>
          <w:highlight w:val="none"/>
        </w:rPr>
        <w:t>〔</w:t>
      </w:r>
      <w:r>
        <w:rPr>
          <w:rFonts w:eastAsia="仿宋_GB2312"/>
          <w:color w:val="auto"/>
          <w:sz w:val="24"/>
          <w:highlight w:val="none"/>
        </w:rPr>
        <w:t>重新检查</w:t>
      </w:r>
      <w:r>
        <w:rPr>
          <w:rFonts w:hint="eastAsia" w:eastAsia="仿宋_GB2312"/>
          <w:color w:val="auto"/>
          <w:sz w:val="24"/>
          <w:highlight w:val="none"/>
        </w:rPr>
        <w:t>〕</w:t>
      </w:r>
      <w:r>
        <w:rPr>
          <w:rFonts w:eastAsia="仿宋_GB2312"/>
          <w:color w:val="auto"/>
          <w:sz w:val="24"/>
          <w:highlight w:val="none"/>
        </w:rPr>
        <w:t>的约定重新检查。</w:t>
      </w:r>
    </w:p>
    <w:p w14:paraId="6F97AF9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5.3.3 重新检查</w:t>
      </w:r>
    </w:p>
    <w:p w14:paraId="2937E60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0819BE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5.3.4 承包人私自覆盖</w:t>
      </w:r>
    </w:p>
    <w:p w14:paraId="6746A73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1C89A89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32" w:name="_Toc351203536"/>
      <w:r>
        <w:rPr>
          <w:rFonts w:ascii="Times New Roman" w:hAnsi="Times New Roman" w:eastAsia="黑体"/>
          <w:b w:val="0"/>
          <w:color w:val="auto"/>
          <w:highlight w:val="none"/>
        </w:rPr>
        <w:t>5</w:t>
      </w:r>
      <w:bookmarkStart w:id="333" w:name="_Toc337558762"/>
      <w:r>
        <w:rPr>
          <w:rFonts w:ascii="Times New Roman" w:hAnsi="Times New Roman" w:eastAsia="黑体"/>
          <w:b w:val="0"/>
          <w:color w:val="auto"/>
          <w:highlight w:val="none"/>
        </w:rPr>
        <w:t>.4不合格工程的处理</w:t>
      </w:r>
      <w:bookmarkEnd w:id="332"/>
    </w:p>
    <w:bookmarkEnd w:id="333"/>
    <w:p w14:paraId="6815B13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5.4.1 因承包人原因造成工程不合格的，发包人有权随时要求承包人采取补救措施，直至达到合同要求的质量标准，由此增加的费用和（或）延误的工期由承包人承担。无法补救的，按照第13.2.4项</w:t>
      </w:r>
      <w:r>
        <w:rPr>
          <w:rFonts w:hint="eastAsia" w:eastAsia="仿宋_GB2312"/>
          <w:color w:val="auto"/>
          <w:sz w:val="24"/>
          <w:highlight w:val="none"/>
        </w:rPr>
        <w:t>〔</w:t>
      </w:r>
      <w:r>
        <w:rPr>
          <w:rFonts w:eastAsia="仿宋_GB2312"/>
          <w:color w:val="auto"/>
          <w:sz w:val="24"/>
          <w:highlight w:val="none"/>
        </w:rPr>
        <w:t>拒绝接收全部或部分工程</w:t>
      </w:r>
      <w:r>
        <w:rPr>
          <w:rFonts w:hint="eastAsia" w:eastAsia="仿宋_GB2312"/>
          <w:color w:val="auto"/>
          <w:sz w:val="24"/>
          <w:highlight w:val="none"/>
        </w:rPr>
        <w:t>〕</w:t>
      </w:r>
      <w:r>
        <w:rPr>
          <w:rFonts w:eastAsia="仿宋_GB2312"/>
          <w:color w:val="auto"/>
          <w:sz w:val="24"/>
          <w:highlight w:val="none"/>
        </w:rPr>
        <w:t xml:space="preserve">约定执行。 </w:t>
      </w:r>
    </w:p>
    <w:p w14:paraId="233CC80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5.4.2 因发包人原因造成工程不合格的，由此增加的费用和（或）延误的工期由发包人承担，并支付承包人合理的利润。</w:t>
      </w:r>
    </w:p>
    <w:p w14:paraId="6DD272BB">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34" w:name="_Toc351203537"/>
      <w:r>
        <w:rPr>
          <w:rFonts w:ascii="Times New Roman" w:hAnsi="Times New Roman" w:eastAsia="黑体"/>
          <w:b w:val="0"/>
          <w:color w:val="auto"/>
          <w:highlight w:val="none"/>
        </w:rPr>
        <w:t>5.5 质量争议检测</w:t>
      </w:r>
      <w:bookmarkEnd w:id="334"/>
    </w:p>
    <w:p w14:paraId="3D8866F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合同当事人对工程质量有争议的，由双方协商确定的工程质量检测机构鉴定，由此产生的费用及因此造成的损失，由责任方承担。</w:t>
      </w:r>
    </w:p>
    <w:p w14:paraId="34E4103E">
      <w:pPr>
        <w:pageBreakBefore w:val="0"/>
        <w:kinsoku/>
        <w:wordWrap/>
        <w:overflowPunct/>
        <w:topLinePunct w:val="0"/>
        <w:autoSpaceDE w:val="0"/>
        <w:autoSpaceDN w:val="0"/>
        <w:bidi w:val="0"/>
        <w:adjustRightInd w:val="0"/>
        <w:spacing w:line="288" w:lineRule="auto"/>
        <w:ind w:left="0" w:leftChars="0"/>
        <w:jc w:val="left"/>
        <w:textAlignment w:val="auto"/>
        <w:rPr>
          <w:rFonts w:eastAsia="仿宋_GB2312"/>
          <w:color w:val="auto"/>
          <w:sz w:val="24"/>
          <w:highlight w:val="none"/>
        </w:rPr>
      </w:pPr>
      <w:r>
        <w:rPr>
          <w:rFonts w:eastAsia="仿宋_GB2312"/>
          <w:color w:val="auto"/>
          <w:sz w:val="24"/>
          <w:highlight w:val="none"/>
        </w:rPr>
        <w:t>合同当事人均有责任的，由双方根据其责任分别承担。合同当事人无法达成一致的，按照第4.4款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执行。</w:t>
      </w:r>
    </w:p>
    <w:p w14:paraId="2C4FD891">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335" w:name="_Toc351203538"/>
      <w:r>
        <w:rPr>
          <w:rFonts w:ascii="Times New Roman" w:hAnsi="Times New Roman" w:eastAsia="黑体"/>
          <w:b w:val="0"/>
          <w:color w:val="auto"/>
          <w:sz w:val="24"/>
          <w:szCs w:val="24"/>
          <w:highlight w:val="none"/>
        </w:rPr>
        <w:t>6</w:t>
      </w:r>
      <w:bookmarkStart w:id="336" w:name="_Toc337558763"/>
      <w:r>
        <w:rPr>
          <w:rFonts w:ascii="Times New Roman" w:hAnsi="Times New Roman" w:eastAsia="黑体"/>
          <w:b w:val="0"/>
          <w:color w:val="auto"/>
          <w:sz w:val="24"/>
          <w:szCs w:val="24"/>
          <w:highlight w:val="none"/>
        </w:rPr>
        <w:t>. 安全文明施工与环境保护</w:t>
      </w:r>
      <w:bookmarkEnd w:id="335"/>
    </w:p>
    <w:bookmarkEnd w:id="336"/>
    <w:p w14:paraId="0E33F57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37" w:name="_Toc351203539"/>
      <w:r>
        <w:rPr>
          <w:rFonts w:ascii="Times New Roman" w:hAnsi="Times New Roman" w:eastAsia="黑体"/>
          <w:b w:val="0"/>
          <w:color w:val="auto"/>
          <w:highlight w:val="none"/>
        </w:rPr>
        <w:t>6</w:t>
      </w:r>
      <w:bookmarkStart w:id="338" w:name="_Toc337558764"/>
      <w:r>
        <w:rPr>
          <w:rFonts w:ascii="Times New Roman" w:hAnsi="Times New Roman" w:eastAsia="黑体"/>
          <w:b w:val="0"/>
          <w:color w:val="auto"/>
          <w:highlight w:val="none"/>
        </w:rPr>
        <w:t>.1安全文明施工</w:t>
      </w:r>
      <w:bookmarkEnd w:id="337"/>
    </w:p>
    <w:bookmarkEnd w:id="338"/>
    <w:p w14:paraId="7A5B9D74">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6.1.1安全生产要求</w:t>
      </w:r>
    </w:p>
    <w:p w14:paraId="27B46E3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4FF41BCD">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在施工过程中，如遇到突发的地质变动、事先未知的地下施工障碍等影响施工安全的紧急情况，</w:t>
      </w:r>
      <w:r>
        <w:rPr>
          <w:rFonts w:hint="eastAsia" w:eastAsia="仿宋_GB2312"/>
          <w:color w:val="auto"/>
          <w:sz w:val="24"/>
          <w:highlight w:val="none"/>
        </w:rPr>
        <w:t>承包人应及时报告监理人和发包人，</w:t>
      </w:r>
      <w:r>
        <w:rPr>
          <w:rFonts w:eastAsia="仿宋_GB2312"/>
          <w:color w:val="auto"/>
          <w:sz w:val="24"/>
          <w:highlight w:val="none"/>
        </w:rPr>
        <w:t>发包人应当及时下令停工并报政府有关行政管理部门采取应急措施。</w:t>
      </w:r>
    </w:p>
    <w:p w14:paraId="62DB64A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因安全生产需要暂停施工的，按照第7.8款</w:t>
      </w:r>
      <w:r>
        <w:rPr>
          <w:rFonts w:hint="eastAsia" w:eastAsia="仿宋_GB2312"/>
          <w:color w:val="auto"/>
          <w:sz w:val="24"/>
          <w:highlight w:val="none"/>
        </w:rPr>
        <w:t>〔</w:t>
      </w:r>
      <w:r>
        <w:rPr>
          <w:rFonts w:eastAsia="仿宋_GB2312"/>
          <w:color w:val="auto"/>
          <w:sz w:val="24"/>
          <w:highlight w:val="none"/>
        </w:rPr>
        <w:t>暂停施工</w:t>
      </w:r>
      <w:r>
        <w:rPr>
          <w:rFonts w:hint="eastAsia" w:eastAsia="仿宋_GB2312"/>
          <w:color w:val="auto"/>
          <w:sz w:val="24"/>
          <w:highlight w:val="none"/>
        </w:rPr>
        <w:t>〕</w:t>
      </w:r>
      <w:r>
        <w:rPr>
          <w:rFonts w:eastAsia="仿宋_GB2312"/>
          <w:color w:val="auto"/>
          <w:sz w:val="24"/>
          <w:highlight w:val="none"/>
        </w:rPr>
        <w:t>的约定执行。</w:t>
      </w:r>
    </w:p>
    <w:p w14:paraId="15B265EB">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6.1.2 安全生产保证措施</w:t>
      </w:r>
    </w:p>
    <w:p w14:paraId="77FCA1C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承包人应当按照有关规定编制安全技术措施或者专项施工方案，建立安全生产责任制度、治安保卫制度及安全生产教育培训制度，并按安全生产法律规定及合同约定履行安全职责，</w:t>
      </w:r>
      <w:r>
        <w:rPr>
          <w:rFonts w:hint="eastAsia" w:eastAsia="仿宋_GB2312"/>
          <w:color w:val="auto"/>
          <w:sz w:val="24"/>
          <w:highlight w:val="none"/>
        </w:rPr>
        <w:t>如实</w:t>
      </w:r>
      <w:r>
        <w:rPr>
          <w:rFonts w:eastAsia="仿宋_GB2312"/>
          <w:color w:val="auto"/>
          <w:sz w:val="24"/>
          <w:highlight w:val="none"/>
        </w:rPr>
        <w:t>编制工程安全生产的有关记录，接受发包人、监理人及政府安全监督部门的检查与监督。</w:t>
      </w:r>
    </w:p>
    <w:p w14:paraId="31D6BB4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6.1.3特别安全生产事项</w:t>
      </w:r>
    </w:p>
    <w:p w14:paraId="15DBCCB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C486EBB">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71CCB9E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56048EB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需单独编制危险性较大分部分项专项工程施工方案的，及要求进行专家论证的超过一定规模的危险性较大的分部分项工程，承包人应及时编制和组织论证。</w:t>
      </w:r>
    </w:p>
    <w:p w14:paraId="07E3B429">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6.1.4 治安保卫</w:t>
      </w:r>
    </w:p>
    <w:p w14:paraId="45834CC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除专用合同条款另有约定外，发包人应与当地公安部门协商，在现场建立治安管理机构或联防组织，统一管理施工场地的治安保卫事项，履行合同工程的治安保卫职责。</w:t>
      </w:r>
    </w:p>
    <w:p w14:paraId="59255DD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发包人和承包人除应协助现场治安管理机构或联防组织维护施工场地的社会治安外，还应做好包括生活区在内的各自管辖区的治安保卫工作。</w:t>
      </w:r>
    </w:p>
    <w:p w14:paraId="098EAC8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eastAsia="仿宋_GB2312"/>
          <w:color w:val="auto"/>
          <w:sz w:val="24"/>
          <w:highlight w:val="none"/>
        </w:rPr>
        <w:t>和</w:t>
      </w:r>
      <w:r>
        <w:rPr>
          <w:rFonts w:eastAsia="仿宋_GB2312"/>
          <w:color w:val="auto"/>
          <w:sz w:val="24"/>
          <w:highlight w:val="none"/>
        </w:rPr>
        <w:t>财产损失。</w:t>
      </w:r>
    </w:p>
    <w:p w14:paraId="417D3DDD">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6.1.5 文明施工</w:t>
      </w:r>
    </w:p>
    <w:p w14:paraId="7CBB0F1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承包人在工程施工期间，应当采取措施保持施工现场平整，物料堆放整齐。工程所在地有关政府行政管理部门有特殊要求的，按照其要求执行。</w:t>
      </w:r>
      <w:r>
        <w:rPr>
          <w:rFonts w:hint="eastAsia" w:eastAsia="仿宋_GB2312"/>
          <w:color w:val="auto"/>
          <w:sz w:val="24"/>
          <w:highlight w:val="none"/>
        </w:rPr>
        <w:t>合同当事人对文明施工有其他要求的，可以在专用合同条款中明确。</w:t>
      </w:r>
    </w:p>
    <w:p w14:paraId="2F3DD97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2CC7F6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6.1.6 安全文明施工费</w:t>
      </w:r>
    </w:p>
    <w:p w14:paraId="2A41403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安全文明施工费由发包人承担，发包人不得以任何形式扣减该部分费用。因基准日期后合同所适用的法律或政府有关规定发生变化，增加的安全文明施工费由发包人承担。</w:t>
      </w:r>
    </w:p>
    <w:p w14:paraId="2449E3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41B4736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2BB368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6.1.7 紧急情况</w:t>
      </w:r>
      <w:r>
        <w:rPr>
          <w:rFonts w:hint="eastAsia" w:eastAsia="仿宋_GB2312"/>
          <w:color w:val="auto"/>
          <w:sz w:val="24"/>
          <w:highlight w:val="none"/>
        </w:rPr>
        <w:t>处理</w:t>
      </w:r>
    </w:p>
    <w:p w14:paraId="23273D7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336E046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6.1.8 事故处理</w:t>
      </w:r>
    </w:p>
    <w:p w14:paraId="1EACAFA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61DB5C4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6.1.9 安全生产责任</w:t>
      </w:r>
    </w:p>
    <w:p w14:paraId="376FFBF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6.1.9.1 发包人的安全责任</w:t>
      </w:r>
    </w:p>
    <w:p w14:paraId="5E22FDD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发包人应负责赔偿以下各种情况造成</w:t>
      </w:r>
      <w:r>
        <w:rPr>
          <w:rFonts w:hint="eastAsia" w:eastAsia="仿宋_GB2312"/>
          <w:color w:val="auto"/>
          <w:sz w:val="24"/>
          <w:highlight w:val="none"/>
        </w:rPr>
        <w:t>的</w:t>
      </w:r>
      <w:r>
        <w:rPr>
          <w:rFonts w:eastAsia="仿宋_GB2312"/>
          <w:color w:val="auto"/>
          <w:sz w:val="24"/>
          <w:highlight w:val="none"/>
        </w:rPr>
        <w:t>损失：</w:t>
      </w:r>
    </w:p>
    <w:p w14:paraId="7F70EE4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（1）工程或工程的任何部分对土地的占用所造成的第三者财产损失；</w:t>
      </w:r>
    </w:p>
    <w:p w14:paraId="2A721D72">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（2）由于发包人原因在施工场地及其毗邻地带造成的第三者人身伤亡和财产损失</w:t>
      </w:r>
      <w:r>
        <w:rPr>
          <w:rFonts w:hint="eastAsia" w:eastAsia="仿宋_GB2312"/>
          <w:color w:val="auto"/>
          <w:sz w:val="24"/>
          <w:highlight w:val="none"/>
        </w:rPr>
        <w:t>；</w:t>
      </w:r>
    </w:p>
    <w:p w14:paraId="76E0576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（3）由于发包人原因对承包人、监理人造成的人员人身伤亡和财产损失；</w:t>
      </w:r>
    </w:p>
    <w:p w14:paraId="17871FE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（4）由于发包人原因造成的发包人自身人员的人身伤害以及财产损失。</w:t>
      </w:r>
    </w:p>
    <w:p w14:paraId="35E0C8C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6.1.9.2 承包人的安全责任</w:t>
      </w:r>
    </w:p>
    <w:p w14:paraId="0B84241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由于承包人原因在施工场地内及其毗邻地带造成的</w:t>
      </w:r>
      <w:r>
        <w:rPr>
          <w:rFonts w:hint="eastAsia" w:eastAsia="仿宋_GB2312"/>
          <w:color w:val="auto"/>
          <w:sz w:val="24"/>
          <w:highlight w:val="none"/>
        </w:rPr>
        <w:t>发包人、监理人以及</w:t>
      </w:r>
      <w:r>
        <w:rPr>
          <w:rFonts w:eastAsia="仿宋_GB2312"/>
          <w:color w:val="auto"/>
          <w:sz w:val="24"/>
          <w:highlight w:val="none"/>
        </w:rPr>
        <w:t>第三者人员伤亡和财产损失，由承包人负责赔偿。</w:t>
      </w:r>
    </w:p>
    <w:p w14:paraId="6768272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39" w:name="_Toc351203540"/>
      <w:r>
        <w:rPr>
          <w:rFonts w:ascii="Times New Roman" w:hAnsi="Times New Roman" w:eastAsia="黑体"/>
          <w:b w:val="0"/>
          <w:color w:val="auto"/>
          <w:highlight w:val="none"/>
        </w:rPr>
        <w:t>6</w:t>
      </w:r>
      <w:bookmarkStart w:id="340" w:name="_Toc337558765"/>
      <w:r>
        <w:rPr>
          <w:rFonts w:ascii="Times New Roman" w:hAnsi="Times New Roman" w:eastAsia="黑体"/>
          <w:b w:val="0"/>
          <w:color w:val="auto"/>
          <w:highlight w:val="none"/>
        </w:rPr>
        <w:t>.2 职业健康</w:t>
      </w:r>
      <w:bookmarkEnd w:id="339"/>
    </w:p>
    <w:bookmarkEnd w:id="340"/>
    <w:p w14:paraId="21B28C2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6.2.1 劳动保护</w:t>
      </w:r>
    </w:p>
    <w:p w14:paraId="59B7D2F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7C243D6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155511D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w:t>
      </w:r>
      <w:r>
        <w:rPr>
          <w:rFonts w:hint="eastAsia" w:eastAsia="仿宋_GB2312"/>
          <w:color w:val="auto"/>
          <w:sz w:val="24"/>
          <w:highlight w:val="none"/>
        </w:rPr>
        <w:t>法律</w:t>
      </w:r>
      <w:r>
        <w:rPr>
          <w:rFonts w:eastAsia="仿宋_GB2312"/>
          <w:color w:val="auto"/>
          <w:sz w:val="24"/>
          <w:highlight w:val="none"/>
        </w:rPr>
        <w:t>规定安排工作时间，保证其雇佣人员享有休息和休假的权利。因工程施工的特殊需要占用休假日或延长工作时间的，应不超过法律规定的限度，并按法律规定给予补休或付酬。</w:t>
      </w:r>
    </w:p>
    <w:p w14:paraId="7B9ACC4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6.2.2 生活条件</w:t>
      </w:r>
    </w:p>
    <w:p w14:paraId="7C9AE7A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5DB6C0A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41" w:name="_Toc351203541"/>
      <w:r>
        <w:rPr>
          <w:rFonts w:ascii="Times New Roman" w:hAnsi="Times New Roman" w:eastAsia="黑体"/>
          <w:b w:val="0"/>
          <w:color w:val="auto"/>
          <w:highlight w:val="none"/>
        </w:rPr>
        <w:t>6</w:t>
      </w:r>
      <w:bookmarkStart w:id="342" w:name="_Toc337558766"/>
      <w:r>
        <w:rPr>
          <w:rFonts w:ascii="Times New Roman" w:hAnsi="Times New Roman" w:eastAsia="黑体"/>
          <w:b w:val="0"/>
          <w:color w:val="auto"/>
          <w:highlight w:val="none"/>
        </w:rPr>
        <w:t>.3 环境保护</w:t>
      </w:r>
      <w:bookmarkEnd w:id="341"/>
    </w:p>
    <w:bookmarkEnd w:id="342"/>
    <w:p w14:paraId="470A64D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4CA9A1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承包人应当承担因其原因引起的环境污染侵权损害赔偿责任，因上述环境污染引起纠纷而导致暂停施工的，由此增加的费用和（或）延误的工期由承包人承担。</w:t>
      </w:r>
    </w:p>
    <w:p w14:paraId="1B85467C">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343" w:name="_Toc351203542"/>
      <w:r>
        <w:rPr>
          <w:rFonts w:ascii="Times New Roman" w:hAnsi="Times New Roman" w:eastAsia="黑体"/>
          <w:b w:val="0"/>
          <w:color w:val="auto"/>
          <w:sz w:val="24"/>
          <w:szCs w:val="24"/>
          <w:highlight w:val="none"/>
        </w:rPr>
        <w:t>7</w:t>
      </w:r>
      <w:bookmarkStart w:id="344" w:name="_Toc337558767"/>
      <w:r>
        <w:rPr>
          <w:rFonts w:ascii="Times New Roman" w:hAnsi="Times New Roman" w:eastAsia="黑体"/>
          <w:b w:val="0"/>
          <w:color w:val="auto"/>
          <w:sz w:val="24"/>
          <w:szCs w:val="24"/>
          <w:highlight w:val="none"/>
        </w:rPr>
        <w:t>. 工期和进度</w:t>
      </w:r>
      <w:bookmarkEnd w:id="343"/>
    </w:p>
    <w:bookmarkEnd w:id="344"/>
    <w:p w14:paraId="62EDC17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45" w:name="_Toc351203543"/>
      <w:r>
        <w:rPr>
          <w:rFonts w:ascii="Times New Roman" w:hAnsi="Times New Roman" w:eastAsia="黑体"/>
          <w:b w:val="0"/>
          <w:color w:val="auto"/>
          <w:highlight w:val="none"/>
        </w:rPr>
        <w:t>7</w:t>
      </w:r>
      <w:bookmarkStart w:id="346" w:name="_Toc337558768"/>
      <w:bookmarkStart w:id="347" w:name="_Toc296503066"/>
      <w:bookmarkStart w:id="348" w:name="_Toc296346567"/>
      <w:r>
        <w:rPr>
          <w:rFonts w:ascii="Times New Roman" w:hAnsi="Times New Roman" w:eastAsia="黑体"/>
          <w:b w:val="0"/>
          <w:color w:val="auto"/>
          <w:highlight w:val="none"/>
        </w:rPr>
        <w:t>.1施工组织设计</w:t>
      </w:r>
      <w:bookmarkEnd w:id="345"/>
    </w:p>
    <w:bookmarkEnd w:id="346"/>
    <w:p w14:paraId="5623B17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7.1.1 施工组织设计的内容</w:t>
      </w:r>
    </w:p>
    <w:p w14:paraId="325C2E1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施工组织设计应包含以下内容：</w:t>
      </w:r>
    </w:p>
    <w:p w14:paraId="156239D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（1）施工方案； </w:t>
      </w:r>
    </w:p>
    <w:p w14:paraId="74510FF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（2）施工现场平面布置图；</w:t>
      </w:r>
    </w:p>
    <w:p w14:paraId="64DE7F6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（3）施工进度计划和保证措施； </w:t>
      </w:r>
    </w:p>
    <w:p w14:paraId="46CA51E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（4）劳动力及材料供应计划；</w:t>
      </w:r>
    </w:p>
    <w:p w14:paraId="5AB41F2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（5）施工机械设备的选用；</w:t>
      </w:r>
    </w:p>
    <w:p w14:paraId="4B1CAD2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（6）质量保证体系及措施；</w:t>
      </w:r>
    </w:p>
    <w:p w14:paraId="262CA18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（7）安全生产、文明施工措施；</w:t>
      </w:r>
    </w:p>
    <w:p w14:paraId="193D1CB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（8）环境保护、成本控制措施</w:t>
      </w:r>
      <w:r>
        <w:rPr>
          <w:rFonts w:hint="eastAsia" w:eastAsia="仿宋_GB2312"/>
          <w:color w:val="auto"/>
          <w:sz w:val="24"/>
          <w:highlight w:val="none"/>
        </w:rPr>
        <w:t>；</w:t>
      </w:r>
    </w:p>
    <w:p w14:paraId="5882A70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（9）合同当事人约定的其他内容</w:t>
      </w:r>
      <w:r>
        <w:rPr>
          <w:rFonts w:eastAsia="仿宋_GB2312"/>
          <w:color w:val="auto"/>
          <w:sz w:val="24"/>
          <w:highlight w:val="none"/>
        </w:rPr>
        <w:t>。</w:t>
      </w:r>
    </w:p>
    <w:p w14:paraId="274F045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7.1.2 施工组织设计的提交和修改</w:t>
      </w:r>
    </w:p>
    <w:p w14:paraId="1D65A7E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除专用合同条款另有约定外，承包人应在合同签订后14天内，但至迟不得晚于第7.3.2项</w:t>
      </w:r>
      <w:r>
        <w:rPr>
          <w:rFonts w:hint="eastAsia" w:eastAsia="仿宋_GB2312"/>
          <w:color w:val="auto"/>
          <w:sz w:val="24"/>
          <w:highlight w:val="none"/>
        </w:rPr>
        <w:t>〔</w:t>
      </w:r>
      <w:r>
        <w:rPr>
          <w:rFonts w:eastAsia="仿宋_GB2312"/>
          <w:color w:val="auto"/>
          <w:sz w:val="24"/>
          <w:highlight w:val="none"/>
        </w:rPr>
        <w:t>开工通知</w:t>
      </w:r>
      <w:r>
        <w:rPr>
          <w:rFonts w:hint="eastAsia" w:eastAsia="仿宋_GB2312"/>
          <w:color w:val="auto"/>
          <w:sz w:val="24"/>
          <w:highlight w:val="none"/>
        </w:rPr>
        <w:t>〕</w:t>
      </w:r>
      <w:r>
        <w:rPr>
          <w:rFonts w:eastAsia="仿宋_GB2312"/>
          <w:color w:val="auto"/>
          <w:sz w:val="24"/>
          <w:highlight w:val="none"/>
        </w:rPr>
        <w:t>载明的开工日期前7天，向监理人提交详细的施工组织设计，并由监理人报送发包人。</w:t>
      </w:r>
      <w:r>
        <w:rPr>
          <w:rFonts w:hint="eastAsia" w:eastAsia="仿宋_GB2312"/>
          <w:color w:val="auto"/>
          <w:sz w:val="24"/>
          <w:highlight w:val="none"/>
        </w:rPr>
        <w:t>除专用合同条款另有约定外，发包人和监理人应在监理人收到施工组织设计后7天内确认或提出修改意见</w:t>
      </w:r>
      <w:r>
        <w:rPr>
          <w:rFonts w:eastAsia="仿宋_GB2312"/>
          <w:color w:val="auto"/>
          <w:sz w:val="24"/>
          <w:highlight w:val="none"/>
        </w:rPr>
        <w:t>。对发包人和监理人提出的合理意见和要求，承包人应自费修改完善。根据工程实际情况需要修改施工组织设计的，承包人应向发包人和监理人提交修改后的施工组织设计。</w:t>
      </w:r>
    </w:p>
    <w:p w14:paraId="5FE6911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施工进度计划的编制和修改按照第7.2款</w:t>
      </w:r>
      <w:r>
        <w:rPr>
          <w:rFonts w:hint="eastAsia" w:eastAsia="仿宋_GB2312"/>
          <w:color w:val="auto"/>
          <w:sz w:val="24"/>
          <w:highlight w:val="none"/>
        </w:rPr>
        <w:t>〔</w:t>
      </w:r>
      <w:r>
        <w:rPr>
          <w:rFonts w:eastAsia="仿宋_GB2312"/>
          <w:color w:val="auto"/>
          <w:sz w:val="24"/>
          <w:highlight w:val="none"/>
        </w:rPr>
        <w:t>施工进度计划</w:t>
      </w:r>
      <w:r>
        <w:rPr>
          <w:rFonts w:hint="eastAsia" w:eastAsia="仿宋_GB2312"/>
          <w:color w:val="auto"/>
          <w:sz w:val="24"/>
          <w:highlight w:val="none"/>
        </w:rPr>
        <w:t>〕</w:t>
      </w:r>
      <w:r>
        <w:rPr>
          <w:rFonts w:eastAsia="仿宋_GB2312"/>
          <w:color w:val="auto"/>
          <w:sz w:val="24"/>
          <w:highlight w:val="none"/>
        </w:rPr>
        <w:t>执行。</w:t>
      </w:r>
    </w:p>
    <w:p w14:paraId="2B59398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49" w:name="_Toc351203544"/>
      <w:r>
        <w:rPr>
          <w:rFonts w:ascii="Times New Roman" w:hAnsi="Times New Roman" w:eastAsia="黑体"/>
          <w:b w:val="0"/>
          <w:color w:val="auto"/>
          <w:highlight w:val="none"/>
        </w:rPr>
        <w:t>7</w:t>
      </w:r>
      <w:bookmarkStart w:id="350" w:name="_Toc337558769"/>
      <w:r>
        <w:rPr>
          <w:rFonts w:ascii="Times New Roman" w:hAnsi="Times New Roman" w:eastAsia="黑体"/>
          <w:b w:val="0"/>
          <w:color w:val="auto"/>
          <w:highlight w:val="none"/>
        </w:rPr>
        <w:t>.2 施工进度计划</w:t>
      </w:r>
      <w:bookmarkEnd w:id="349"/>
    </w:p>
    <w:bookmarkEnd w:id="350"/>
    <w:p w14:paraId="1901F5B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7.2.1 施工进度计划的编制</w:t>
      </w:r>
    </w:p>
    <w:p w14:paraId="7B3D6F3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承包人应按照第7.1款</w:t>
      </w:r>
      <w:r>
        <w:rPr>
          <w:rFonts w:hint="eastAsia" w:eastAsia="仿宋_GB2312"/>
          <w:color w:val="auto"/>
          <w:sz w:val="24"/>
          <w:highlight w:val="none"/>
        </w:rPr>
        <w:t>〔</w:t>
      </w:r>
      <w:r>
        <w:rPr>
          <w:rFonts w:eastAsia="仿宋_GB2312"/>
          <w:color w:val="auto"/>
          <w:sz w:val="24"/>
          <w:highlight w:val="none"/>
        </w:rPr>
        <w:t>施工组织设计</w:t>
      </w:r>
      <w:r>
        <w:rPr>
          <w:rFonts w:hint="eastAsia" w:eastAsia="仿宋_GB2312"/>
          <w:color w:val="auto"/>
          <w:sz w:val="24"/>
          <w:highlight w:val="none"/>
        </w:rPr>
        <w:t>〕</w:t>
      </w:r>
      <w:r>
        <w:rPr>
          <w:rFonts w:eastAsia="仿宋_GB2312"/>
          <w:color w:val="auto"/>
          <w:sz w:val="24"/>
          <w:highlight w:val="none"/>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7EE047C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7.2.2 施工进度计划的修订</w:t>
      </w:r>
    </w:p>
    <w:p w14:paraId="7D2D888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56DCC0D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51" w:name="_Toc351203545"/>
      <w:r>
        <w:rPr>
          <w:rFonts w:ascii="Times New Roman" w:hAnsi="Times New Roman" w:eastAsia="黑体"/>
          <w:b w:val="0"/>
          <w:color w:val="auto"/>
          <w:highlight w:val="none"/>
        </w:rPr>
        <w:t>7</w:t>
      </w:r>
      <w:bookmarkStart w:id="352" w:name="_Toc337558770"/>
      <w:r>
        <w:rPr>
          <w:rFonts w:ascii="Times New Roman" w:hAnsi="Times New Roman" w:eastAsia="黑体"/>
          <w:b w:val="0"/>
          <w:color w:val="auto"/>
          <w:highlight w:val="none"/>
        </w:rPr>
        <w:t>.3 开工</w:t>
      </w:r>
      <w:bookmarkEnd w:id="351"/>
    </w:p>
    <w:p w14:paraId="6DE00CA4">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7.3.1 开工准备</w:t>
      </w:r>
    </w:p>
    <w:p w14:paraId="4751E36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除专用合同条款另有约定外，承包人应按照第7.1款</w:t>
      </w:r>
      <w:r>
        <w:rPr>
          <w:rFonts w:hint="eastAsia" w:eastAsia="仿宋_GB2312"/>
          <w:color w:val="auto"/>
          <w:sz w:val="24"/>
          <w:highlight w:val="none"/>
        </w:rPr>
        <w:t>〔</w:t>
      </w:r>
      <w:r>
        <w:rPr>
          <w:rFonts w:eastAsia="仿宋_GB2312"/>
          <w:color w:val="auto"/>
          <w:sz w:val="24"/>
          <w:highlight w:val="none"/>
        </w:rPr>
        <w:t>施工组织设计</w:t>
      </w:r>
      <w:r>
        <w:rPr>
          <w:rFonts w:hint="eastAsia" w:eastAsia="仿宋_GB2312"/>
          <w:color w:val="auto"/>
          <w:sz w:val="24"/>
          <w:highlight w:val="none"/>
        </w:rPr>
        <w:t>〕</w:t>
      </w:r>
      <w:r>
        <w:rPr>
          <w:rFonts w:eastAsia="仿宋_GB2312"/>
          <w:color w:val="auto"/>
          <w:sz w:val="24"/>
          <w:highlight w:val="none"/>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2B8E52D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除专用合同条款另有约定外，合同当事人应按约定完成开工准备工作。</w:t>
      </w:r>
    </w:p>
    <w:p w14:paraId="0E0BF8B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7.3.2 开工通知</w:t>
      </w:r>
    </w:p>
    <w:bookmarkEnd w:id="352"/>
    <w:p w14:paraId="7C504CD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2FA0598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3596605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53" w:name="_Toc351203546"/>
      <w:r>
        <w:rPr>
          <w:rFonts w:ascii="Times New Roman" w:hAnsi="Times New Roman" w:eastAsia="黑体"/>
          <w:b w:val="0"/>
          <w:color w:val="auto"/>
          <w:highlight w:val="none"/>
        </w:rPr>
        <w:t>7.4测量放线</w:t>
      </w:r>
      <w:bookmarkEnd w:id="353"/>
    </w:p>
    <w:p w14:paraId="64FA9F1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7.4.1 除专用合同条款另有约定外，发包人应在至迟不得晚于第7.3.2项</w:t>
      </w:r>
      <w:r>
        <w:rPr>
          <w:rFonts w:hint="eastAsia" w:eastAsia="仿宋_GB2312"/>
          <w:color w:val="auto"/>
          <w:sz w:val="24"/>
          <w:highlight w:val="none"/>
        </w:rPr>
        <w:t>〔</w:t>
      </w:r>
      <w:r>
        <w:rPr>
          <w:rFonts w:eastAsia="仿宋_GB2312"/>
          <w:color w:val="auto"/>
          <w:sz w:val="24"/>
          <w:highlight w:val="none"/>
        </w:rPr>
        <w:t>开工通知</w:t>
      </w:r>
      <w:r>
        <w:rPr>
          <w:rFonts w:hint="eastAsia" w:eastAsia="仿宋_GB2312"/>
          <w:color w:val="auto"/>
          <w:sz w:val="24"/>
          <w:highlight w:val="none"/>
        </w:rPr>
        <w:t>〕</w:t>
      </w:r>
      <w:r>
        <w:rPr>
          <w:rFonts w:eastAsia="仿宋_GB2312"/>
          <w:color w:val="auto"/>
          <w:sz w:val="24"/>
          <w:highlight w:val="none"/>
        </w:rPr>
        <w:t>载明的开工日期前7天通过监理人向承包人提供测量基准点、基准线和水准点及其书面资料。发包人应对其提供的测量基准点、基准线和水准点及其书面资料的真实性、准确性和完整性负责。</w:t>
      </w:r>
    </w:p>
    <w:p w14:paraId="7DB69CC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1AA8E6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7262A7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施工过程中对施工现场内水准点等测量标志物的保护工作由承包人负责。</w:t>
      </w:r>
      <w:bookmarkStart w:id="354" w:name="_Toc351203547"/>
    </w:p>
    <w:p w14:paraId="3E38B6CE">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r>
        <w:rPr>
          <w:rFonts w:ascii="Times New Roman" w:hAnsi="Times New Roman" w:eastAsia="黑体"/>
          <w:b w:val="0"/>
          <w:color w:val="auto"/>
          <w:highlight w:val="none"/>
        </w:rPr>
        <w:t>7</w:t>
      </w:r>
      <w:bookmarkEnd w:id="347"/>
      <w:bookmarkEnd w:id="348"/>
      <w:bookmarkStart w:id="355" w:name="_Toc296346574"/>
      <w:bookmarkStart w:id="356" w:name="_Toc296503073"/>
      <w:bookmarkStart w:id="357" w:name="_Toc337558772"/>
      <w:r>
        <w:rPr>
          <w:rFonts w:ascii="Times New Roman" w:hAnsi="Times New Roman" w:eastAsia="黑体"/>
          <w:b w:val="0"/>
          <w:color w:val="auto"/>
          <w:highlight w:val="none"/>
        </w:rPr>
        <w:t>.5</w:t>
      </w:r>
      <w:r>
        <w:rPr>
          <w:rFonts w:hint="eastAsia" w:ascii="Times New Roman" w:hAnsi="Times New Roman" w:eastAsia="黑体"/>
          <w:b w:val="0"/>
          <w:color w:val="auto"/>
          <w:highlight w:val="none"/>
        </w:rPr>
        <w:t xml:space="preserve"> </w:t>
      </w:r>
      <w:r>
        <w:rPr>
          <w:rFonts w:ascii="Times New Roman" w:hAnsi="Times New Roman" w:eastAsia="黑体"/>
          <w:b w:val="0"/>
          <w:color w:val="auto"/>
          <w:highlight w:val="none"/>
        </w:rPr>
        <w:t>工期延误</w:t>
      </w:r>
      <w:bookmarkEnd w:id="354"/>
    </w:p>
    <w:bookmarkEnd w:id="355"/>
    <w:bookmarkEnd w:id="356"/>
    <w:bookmarkEnd w:id="357"/>
    <w:p w14:paraId="20C9DBE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7.5.1 因发包人原因导致工期延误</w:t>
      </w:r>
    </w:p>
    <w:p w14:paraId="7B06B37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在合同履行过程中，因下列情况导致工期延误和（或）费用增加的，由发包人承担由此延误的工期和（或）增加的费用，且发包人应支付承包人合理的利润： </w:t>
      </w:r>
    </w:p>
    <w:p w14:paraId="4B1FC80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（1）发包人未能按合同约定提供图纸或所提供图纸不符合合同约定的；</w:t>
      </w:r>
    </w:p>
    <w:p w14:paraId="1D4A834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（2）发包人未能按合同约定提供施工现场、施工条件、基础资料、许可、批准等开工条件的；</w:t>
      </w:r>
    </w:p>
    <w:p w14:paraId="4E99F0A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（3）发包人提供的测量基准点、基准线和水准点及其书面资料存在错误或疏漏的；</w:t>
      </w:r>
    </w:p>
    <w:p w14:paraId="02B1748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5</w:t>
      </w:r>
      <w:r>
        <w:rPr>
          <w:rFonts w:eastAsia="仿宋_GB2312"/>
          <w:color w:val="auto"/>
          <w:sz w:val="24"/>
          <w:highlight w:val="none"/>
        </w:rPr>
        <w:t>）监理人未按合同约定发出指示、批准等文件的；</w:t>
      </w:r>
    </w:p>
    <w:p w14:paraId="6CCF6A2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w:t>
      </w:r>
      <w:r>
        <w:rPr>
          <w:rFonts w:hint="eastAsia" w:eastAsia="仿宋_GB2312"/>
          <w:color w:val="auto"/>
          <w:sz w:val="24"/>
          <w:highlight w:val="none"/>
        </w:rPr>
        <w:t>6</w:t>
      </w:r>
      <w:r>
        <w:rPr>
          <w:rFonts w:eastAsia="仿宋_GB2312"/>
          <w:color w:val="auto"/>
          <w:sz w:val="24"/>
          <w:highlight w:val="none"/>
        </w:rPr>
        <w:t>）专用合同条款中约定的其他情形。</w:t>
      </w:r>
    </w:p>
    <w:p w14:paraId="6C284C9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eastAsia="仿宋_GB2312"/>
          <w:color w:val="auto"/>
          <w:sz w:val="24"/>
          <w:highlight w:val="none"/>
        </w:rPr>
        <w:t>〔</w:t>
      </w:r>
      <w:r>
        <w:rPr>
          <w:rFonts w:eastAsia="仿宋_GB2312"/>
          <w:color w:val="auto"/>
          <w:sz w:val="24"/>
          <w:highlight w:val="none"/>
        </w:rPr>
        <w:t>施工进度计划的修订</w:t>
      </w:r>
      <w:r>
        <w:rPr>
          <w:rFonts w:hint="eastAsia" w:eastAsia="仿宋_GB2312"/>
          <w:color w:val="auto"/>
          <w:sz w:val="24"/>
          <w:highlight w:val="none"/>
        </w:rPr>
        <w:t>〕</w:t>
      </w:r>
      <w:r>
        <w:rPr>
          <w:rFonts w:eastAsia="仿宋_GB2312"/>
          <w:color w:val="auto"/>
          <w:sz w:val="24"/>
          <w:highlight w:val="none"/>
        </w:rPr>
        <w:t>执行。</w:t>
      </w:r>
    </w:p>
    <w:p w14:paraId="610EEEF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7.5.2 因承包人原因导致工期延误</w:t>
      </w:r>
    </w:p>
    <w:p w14:paraId="14F300F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bookmarkStart w:id="358" w:name="_Toc296346577"/>
      <w:bookmarkStart w:id="359" w:name="_Toc296503076"/>
      <w:r>
        <w:rPr>
          <w:rFonts w:eastAsia="仿宋_GB2312"/>
          <w:color w:val="auto"/>
          <w:sz w:val="24"/>
          <w:highlight w:val="none"/>
        </w:rPr>
        <w:t>因</w:t>
      </w:r>
      <w:bookmarkEnd w:id="358"/>
      <w:bookmarkEnd w:id="359"/>
      <w:r>
        <w:rPr>
          <w:rFonts w:eastAsia="仿宋_GB2312"/>
          <w:color w:val="auto"/>
          <w:sz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14:paraId="49786E73">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60" w:name="_Toc351203548"/>
      <w:r>
        <w:rPr>
          <w:rFonts w:ascii="Times New Roman" w:hAnsi="Times New Roman" w:eastAsia="黑体"/>
          <w:b w:val="0"/>
          <w:color w:val="auto"/>
          <w:highlight w:val="none"/>
        </w:rPr>
        <w:t>7</w:t>
      </w:r>
      <w:bookmarkStart w:id="361" w:name="_Toc337558773"/>
      <w:bookmarkStart w:id="362" w:name="_Toc296346575"/>
      <w:bookmarkStart w:id="363" w:name="_Toc296503074"/>
      <w:bookmarkStart w:id="364" w:name="_Toc296503077"/>
      <w:bookmarkStart w:id="365" w:name="_Toc296346578"/>
      <w:r>
        <w:rPr>
          <w:rFonts w:ascii="Times New Roman" w:hAnsi="Times New Roman" w:eastAsia="黑体"/>
          <w:b w:val="0"/>
          <w:color w:val="auto"/>
          <w:highlight w:val="none"/>
        </w:rPr>
        <w:t>.6 不利物质条件</w:t>
      </w:r>
      <w:bookmarkEnd w:id="360"/>
    </w:p>
    <w:bookmarkEnd w:id="361"/>
    <w:bookmarkEnd w:id="362"/>
    <w:bookmarkEnd w:id="363"/>
    <w:p w14:paraId="2C321B8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1955E2A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eastAsia="仿宋_GB2312"/>
          <w:color w:val="auto"/>
          <w:sz w:val="24"/>
          <w:highlight w:val="none"/>
        </w:rPr>
        <w:t>〔</w:t>
      </w:r>
      <w:r>
        <w:rPr>
          <w:rFonts w:eastAsia="仿宋_GB2312"/>
          <w:color w:val="auto"/>
          <w:sz w:val="24"/>
          <w:highlight w:val="none"/>
        </w:rPr>
        <w:t>变更</w:t>
      </w:r>
      <w:r>
        <w:rPr>
          <w:rFonts w:hint="eastAsia" w:eastAsia="仿宋_GB2312"/>
          <w:color w:val="auto"/>
          <w:sz w:val="24"/>
          <w:highlight w:val="none"/>
        </w:rPr>
        <w:t>〕</w:t>
      </w:r>
      <w:r>
        <w:rPr>
          <w:rFonts w:eastAsia="仿宋_GB2312"/>
          <w:color w:val="auto"/>
          <w:sz w:val="24"/>
          <w:highlight w:val="none"/>
        </w:rPr>
        <w:t>约定执行。承包人因采取合理措施而增加的费用和（或）延误的工期由发包人承担。</w:t>
      </w:r>
    </w:p>
    <w:p w14:paraId="0EE502C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66" w:name="_Toc351203549"/>
      <w:r>
        <w:rPr>
          <w:rFonts w:ascii="Times New Roman" w:hAnsi="Times New Roman" w:eastAsia="黑体"/>
          <w:b w:val="0"/>
          <w:color w:val="auto"/>
          <w:highlight w:val="none"/>
        </w:rPr>
        <w:t>7</w:t>
      </w:r>
      <w:bookmarkStart w:id="367" w:name="_Toc296346576"/>
      <w:bookmarkStart w:id="368" w:name="_Toc296503075"/>
      <w:bookmarkStart w:id="369" w:name="_Toc337558774"/>
      <w:r>
        <w:rPr>
          <w:rFonts w:ascii="Times New Roman" w:hAnsi="Times New Roman" w:eastAsia="黑体"/>
          <w:b w:val="0"/>
          <w:color w:val="auto"/>
          <w:highlight w:val="none"/>
        </w:rPr>
        <w:t>.7</w:t>
      </w:r>
      <w:r>
        <w:rPr>
          <w:rFonts w:hint="eastAsia" w:ascii="Times New Roman" w:hAnsi="Times New Roman" w:eastAsia="黑体"/>
          <w:b w:val="0"/>
          <w:color w:val="auto"/>
          <w:highlight w:val="none"/>
        </w:rPr>
        <w:t xml:space="preserve"> </w:t>
      </w:r>
      <w:r>
        <w:rPr>
          <w:rFonts w:ascii="Times New Roman" w:hAnsi="Times New Roman" w:eastAsia="黑体"/>
          <w:b w:val="0"/>
          <w:color w:val="auto"/>
          <w:highlight w:val="none"/>
        </w:rPr>
        <w:t>异常恶劣的气候条件</w:t>
      </w:r>
      <w:bookmarkEnd w:id="366"/>
    </w:p>
    <w:bookmarkEnd w:id="367"/>
    <w:bookmarkEnd w:id="368"/>
    <w:bookmarkEnd w:id="369"/>
    <w:p w14:paraId="02A750A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67CEB6E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承包人应采取克服异常恶劣的气候条件的合理措施继续施工，并及时通知发包人和监理人。监理人经发包人同意后应当及时发出指示，指示构成变更的，按第10条</w:t>
      </w:r>
      <w:r>
        <w:rPr>
          <w:rFonts w:hint="eastAsia" w:eastAsia="仿宋_GB2312"/>
          <w:color w:val="auto"/>
          <w:sz w:val="24"/>
          <w:highlight w:val="none"/>
        </w:rPr>
        <w:t>〔</w:t>
      </w:r>
      <w:r>
        <w:rPr>
          <w:rFonts w:eastAsia="仿宋_GB2312"/>
          <w:color w:val="auto"/>
          <w:sz w:val="24"/>
          <w:highlight w:val="none"/>
        </w:rPr>
        <w:t>变更</w:t>
      </w:r>
      <w:r>
        <w:rPr>
          <w:rFonts w:hint="eastAsia" w:eastAsia="仿宋_GB2312"/>
          <w:color w:val="auto"/>
          <w:sz w:val="24"/>
          <w:highlight w:val="none"/>
        </w:rPr>
        <w:t>〕</w:t>
      </w:r>
      <w:r>
        <w:rPr>
          <w:rFonts w:eastAsia="仿宋_GB2312"/>
          <w:color w:val="auto"/>
          <w:sz w:val="24"/>
          <w:highlight w:val="none"/>
        </w:rPr>
        <w:t>约定办理。承包人因采取合理措施而增加的费用和（或）延误的工期由发包人承担。</w:t>
      </w:r>
      <w:bookmarkStart w:id="370" w:name="_Toc351203550"/>
    </w:p>
    <w:p w14:paraId="004C267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outlineLvl w:val="0"/>
        <w:rPr>
          <w:rFonts w:eastAsia="黑体"/>
          <w:bCs/>
          <w:color w:val="auto"/>
          <w:sz w:val="24"/>
          <w:highlight w:val="none"/>
        </w:rPr>
      </w:pPr>
      <w:r>
        <w:rPr>
          <w:rFonts w:eastAsia="黑体"/>
          <w:bCs/>
          <w:color w:val="auto"/>
          <w:sz w:val="24"/>
          <w:highlight w:val="none"/>
        </w:rPr>
        <w:t>7</w:t>
      </w:r>
      <w:bookmarkStart w:id="371" w:name="_Toc337558775"/>
      <w:r>
        <w:rPr>
          <w:rFonts w:eastAsia="黑体"/>
          <w:bCs/>
          <w:color w:val="auto"/>
          <w:sz w:val="24"/>
          <w:highlight w:val="none"/>
        </w:rPr>
        <w:t>.8</w:t>
      </w:r>
      <w:r>
        <w:rPr>
          <w:rFonts w:hint="eastAsia" w:eastAsia="黑体"/>
          <w:bCs/>
          <w:color w:val="auto"/>
          <w:sz w:val="24"/>
          <w:highlight w:val="none"/>
        </w:rPr>
        <w:t xml:space="preserve"> </w:t>
      </w:r>
      <w:r>
        <w:rPr>
          <w:rFonts w:eastAsia="黑体"/>
          <w:bCs/>
          <w:color w:val="auto"/>
          <w:sz w:val="24"/>
          <w:highlight w:val="none"/>
        </w:rPr>
        <w:t>暂停施工</w:t>
      </w:r>
      <w:bookmarkEnd w:id="370"/>
    </w:p>
    <w:bookmarkEnd w:id="364"/>
    <w:bookmarkEnd w:id="365"/>
    <w:bookmarkEnd w:id="371"/>
    <w:p w14:paraId="046BC26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7.8.1发包人原因引起的暂停施工</w:t>
      </w:r>
    </w:p>
    <w:p w14:paraId="350E8F5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因发包人原因引起暂停施工的，监理人经发包人同意后，应及时下达暂停施工指示。情况紧急且监理人未及时下达暂停施工指示的，按照第7.8.4项</w:t>
      </w:r>
      <w:r>
        <w:rPr>
          <w:rFonts w:hint="eastAsia" w:eastAsia="仿宋_GB2312"/>
          <w:color w:val="auto"/>
          <w:sz w:val="24"/>
          <w:highlight w:val="none"/>
        </w:rPr>
        <w:t>〔</w:t>
      </w:r>
      <w:r>
        <w:rPr>
          <w:rFonts w:eastAsia="仿宋_GB2312"/>
          <w:color w:val="auto"/>
          <w:sz w:val="24"/>
          <w:highlight w:val="none"/>
        </w:rPr>
        <w:t>紧急情况下的暂停施工</w:t>
      </w:r>
      <w:r>
        <w:rPr>
          <w:rFonts w:hint="eastAsia" w:eastAsia="仿宋_GB2312"/>
          <w:color w:val="auto"/>
          <w:sz w:val="24"/>
          <w:highlight w:val="none"/>
        </w:rPr>
        <w:t>〕</w:t>
      </w:r>
      <w:r>
        <w:rPr>
          <w:rFonts w:eastAsia="仿宋_GB2312"/>
          <w:color w:val="auto"/>
          <w:sz w:val="24"/>
          <w:highlight w:val="none"/>
        </w:rPr>
        <w:t>执行。</w:t>
      </w:r>
    </w:p>
    <w:p w14:paraId="0A9EBAB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因发包人原因引起的暂停施工，发包人应承担由此增加的费用和（或）延误的工期，并支付承包人合理的利润。</w:t>
      </w:r>
    </w:p>
    <w:p w14:paraId="066EB10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7.8.2 承包人原因引起的暂停施工</w:t>
      </w:r>
    </w:p>
    <w:p w14:paraId="5F8B0D6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因承包人原因引起的暂停施工，承包人应承担由此增加的费用和（或）延误的工期，且承包人在收到监理人复工指示后</w:t>
      </w:r>
      <w:r>
        <w:rPr>
          <w:rFonts w:hint="eastAsia" w:eastAsia="仿宋_GB2312"/>
          <w:color w:val="auto"/>
          <w:sz w:val="24"/>
          <w:highlight w:val="none"/>
        </w:rPr>
        <w:t>84</w:t>
      </w:r>
      <w:r>
        <w:rPr>
          <w:rFonts w:eastAsia="仿宋_GB2312"/>
          <w:color w:val="auto"/>
          <w:sz w:val="24"/>
          <w:highlight w:val="none"/>
        </w:rPr>
        <w:t>天内仍未复工的，视为第16.2.1项</w:t>
      </w:r>
      <w:r>
        <w:rPr>
          <w:rFonts w:hint="eastAsia" w:eastAsia="仿宋_GB2312"/>
          <w:color w:val="auto"/>
          <w:sz w:val="24"/>
          <w:highlight w:val="none"/>
        </w:rPr>
        <w:t>〔</w:t>
      </w:r>
      <w:r>
        <w:rPr>
          <w:rFonts w:eastAsia="仿宋_GB2312"/>
          <w:color w:val="auto"/>
          <w:sz w:val="24"/>
          <w:highlight w:val="none"/>
        </w:rPr>
        <w:t>承包人违约的情形</w:t>
      </w:r>
      <w:r>
        <w:rPr>
          <w:rFonts w:hint="eastAsia" w:eastAsia="仿宋_GB2312"/>
          <w:color w:val="auto"/>
          <w:sz w:val="24"/>
          <w:highlight w:val="none"/>
        </w:rPr>
        <w:t>〕</w:t>
      </w:r>
      <w:r>
        <w:rPr>
          <w:rFonts w:eastAsia="仿宋_GB2312"/>
          <w:color w:val="auto"/>
          <w:sz w:val="24"/>
          <w:highlight w:val="none"/>
        </w:rPr>
        <w:t>第（7）目约定的承包人无法继续履行合同的情形。</w:t>
      </w:r>
    </w:p>
    <w:p w14:paraId="748D5FF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7.8.3 指示暂停施工</w:t>
      </w:r>
    </w:p>
    <w:p w14:paraId="6EA8B7A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监理人认为有必要时，并经发包人批准后，可向承包人作出暂停施工的指示，承包人应按监理人指示暂停施工。</w:t>
      </w:r>
    </w:p>
    <w:p w14:paraId="599AE2A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7.8.4 紧急情况下的暂停施工</w:t>
      </w:r>
    </w:p>
    <w:p w14:paraId="25F6F2A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约定处理。</w:t>
      </w:r>
    </w:p>
    <w:p w14:paraId="0DC8729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7.8.5 暂停施工后的复工</w:t>
      </w:r>
    </w:p>
    <w:p w14:paraId="5DE02CD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C244FB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承包人无故拖延和拒绝复工的，承包人承担由此增加的费用和（或）延误的工期；因发包人原因无法按时复工的，按照第7.5.1项</w:t>
      </w:r>
      <w:r>
        <w:rPr>
          <w:rFonts w:hint="eastAsia" w:eastAsia="仿宋_GB2312"/>
          <w:color w:val="auto"/>
          <w:sz w:val="24"/>
          <w:highlight w:val="none"/>
        </w:rPr>
        <w:t>〔</w:t>
      </w:r>
      <w:r>
        <w:rPr>
          <w:rFonts w:eastAsia="仿宋_GB2312"/>
          <w:color w:val="auto"/>
          <w:sz w:val="24"/>
          <w:highlight w:val="none"/>
        </w:rPr>
        <w:t>因发包人原因导致工期延误</w:t>
      </w:r>
      <w:r>
        <w:rPr>
          <w:rFonts w:hint="eastAsia" w:eastAsia="仿宋_GB2312"/>
          <w:color w:val="auto"/>
          <w:sz w:val="24"/>
          <w:highlight w:val="none"/>
        </w:rPr>
        <w:t>〕</w:t>
      </w:r>
      <w:r>
        <w:rPr>
          <w:rFonts w:eastAsia="仿宋_GB2312"/>
          <w:color w:val="auto"/>
          <w:sz w:val="24"/>
          <w:highlight w:val="none"/>
        </w:rPr>
        <w:t>约定办理。</w:t>
      </w:r>
    </w:p>
    <w:p w14:paraId="181276F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7.8.6 暂停施工持续56天以上</w:t>
      </w:r>
    </w:p>
    <w:p w14:paraId="1769F191">
      <w:pPr>
        <w:pageBreakBefore w:val="0"/>
        <w:kinsoku/>
        <w:wordWrap/>
        <w:overflowPunct/>
        <w:topLinePunct w:val="0"/>
        <w:bidi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监理人发出暂停施工指示后56天内未向承包人发出复工通知，除该项停工属于第7.8.2项</w:t>
      </w:r>
      <w:r>
        <w:rPr>
          <w:rFonts w:hint="eastAsia" w:eastAsia="仿宋_GB2312"/>
          <w:color w:val="auto"/>
          <w:sz w:val="24"/>
          <w:highlight w:val="none"/>
        </w:rPr>
        <w:t>〔</w:t>
      </w:r>
      <w:r>
        <w:rPr>
          <w:rFonts w:eastAsia="仿宋_GB2312"/>
          <w:color w:val="auto"/>
          <w:sz w:val="24"/>
          <w:highlight w:val="none"/>
        </w:rPr>
        <w:t>承包人原因引起的暂停施工</w:t>
      </w:r>
      <w:r>
        <w:rPr>
          <w:rFonts w:hint="eastAsia" w:eastAsia="仿宋_GB2312"/>
          <w:color w:val="auto"/>
          <w:sz w:val="24"/>
          <w:highlight w:val="none"/>
        </w:rPr>
        <w:t>〕</w:t>
      </w:r>
      <w:r>
        <w:rPr>
          <w:rFonts w:eastAsia="仿宋_GB2312"/>
          <w:color w:val="auto"/>
          <w:sz w:val="24"/>
          <w:highlight w:val="none"/>
        </w:rPr>
        <w:t>及第17条</w:t>
      </w:r>
      <w:r>
        <w:rPr>
          <w:rFonts w:hint="eastAsia" w:eastAsia="仿宋_GB2312"/>
          <w:color w:val="auto"/>
          <w:sz w:val="24"/>
          <w:highlight w:val="none"/>
        </w:rPr>
        <w:t>〔</w:t>
      </w:r>
      <w:r>
        <w:rPr>
          <w:rFonts w:eastAsia="仿宋_GB2312"/>
          <w:color w:val="auto"/>
          <w:sz w:val="24"/>
          <w:highlight w:val="none"/>
        </w:rPr>
        <w:t>不可抗力</w:t>
      </w:r>
      <w:r>
        <w:rPr>
          <w:rFonts w:hint="eastAsia" w:eastAsia="仿宋_GB2312"/>
          <w:color w:val="auto"/>
          <w:sz w:val="24"/>
          <w:highlight w:val="none"/>
        </w:rPr>
        <w:t>〕</w:t>
      </w:r>
      <w:r>
        <w:rPr>
          <w:rFonts w:eastAsia="仿宋_GB2312"/>
          <w:color w:val="auto"/>
          <w:sz w:val="24"/>
          <w:highlight w:val="none"/>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eastAsia="仿宋_GB2312"/>
          <w:color w:val="auto"/>
          <w:sz w:val="24"/>
          <w:highlight w:val="none"/>
        </w:rPr>
        <w:t>〔</w:t>
      </w:r>
      <w:r>
        <w:rPr>
          <w:rFonts w:eastAsia="仿宋_GB2312"/>
          <w:color w:val="auto"/>
          <w:sz w:val="24"/>
          <w:highlight w:val="none"/>
        </w:rPr>
        <w:t>变更的范围</w:t>
      </w:r>
      <w:r>
        <w:rPr>
          <w:rFonts w:hint="eastAsia" w:eastAsia="仿宋_GB2312"/>
          <w:color w:val="auto"/>
          <w:sz w:val="24"/>
          <w:highlight w:val="none"/>
        </w:rPr>
        <w:t>〕</w:t>
      </w:r>
      <w:r>
        <w:rPr>
          <w:rFonts w:eastAsia="仿宋_GB2312"/>
          <w:color w:val="auto"/>
          <w:sz w:val="24"/>
          <w:highlight w:val="none"/>
        </w:rPr>
        <w:t>第（2）项的可取消工作。</w:t>
      </w:r>
    </w:p>
    <w:p w14:paraId="5664FE5F">
      <w:pPr>
        <w:pageBreakBefore w:val="0"/>
        <w:kinsoku/>
        <w:wordWrap/>
        <w:overflowPunct/>
        <w:topLinePunct w:val="0"/>
        <w:bidi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暂停施工持续</w:t>
      </w:r>
      <w:r>
        <w:rPr>
          <w:rFonts w:hint="eastAsia" w:eastAsia="仿宋_GB2312"/>
          <w:color w:val="auto"/>
          <w:sz w:val="24"/>
          <w:highlight w:val="none"/>
        </w:rPr>
        <w:t>84</w:t>
      </w:r>
      <w:r>
        <w:rPr>
          <w:rFonts w:eastAsia="仿宋_GB2312"/>
          <w:color w:val="auto"/>
          <w:sz w:val="24"/>
          <w:highlight w:val="none"/>
        </w:rPr>
        <w:t>天以上不复工的，且不属于第7.8.2项</w:t>
      </w:r>
      <w:r>
        <w:rPr>
          <w:rFonts w:hint="eastAsia" w:eastAsia="仿宋_GB2312"/>
          <w:color w:val="auto"/>
          <w:sz w:val="24"/>
          <w:highlight w:val="none"/>
        </w:rPr>
        <w:t>〔</w:t>
      </w:r>
      <w:r>
        <w:rPr>
          <w:rFonts w:eastAsia="仿宋_GB2312"/>
          <w:color w:val="auto"/>
          <w:sz w:val="24"/>
          <w:highlight w:val="none"/>
        </w:rPr>
        <w:t>承包人原因引起的暂停施工</w:t>
      </w:r>
      <w:r>
        <w:rPr>
          <w:rFonts w:hint="eastAsia" w:eastAsia="仿宋_GB2312"/>
          <w:color w:val="auto"/>
          <w:sz w:val="24"/>
          <w:highlight w:val="none"/>
        </w:rPr>
        <w:t>〕</w:t>
      </w:r>
      <w:r>
        <w:rPr>
          <w:rFonts w:eastAsia="仿宋_GB2312"/>
          <w:color w:val="auto"/>
          <w:sz w:val="24"/>
          <w:highlight w:val="none"/>
        </w:rPr>
        <w:t>及第17条</w:t>
      </w:r>
      <w:r>
        <w:rPr>
          <w:rFonts w:hint="eastAsia" w:eastAsia="仿宋_GB2312"/>
          <w:color w:val="auto"/>
          <w:sz w:val="24"/>
          <w:highlight w:val="none"/>
        </w:rPr>
        <w:t>〔</w:t>
      </w:r>
      <w:r>
        <w:rPr>
          <w:rFonts w:eastAsia="仿宋_GB2312"/>
          <w:color w:val="auto"/>
          <w:sz w:val="24"/>
          <w:highlight w:val="none"/>
        </w:rPr>
        <w:t>不可抗力</w:t>
      </w:r>
      <w:r>
        <w:rPr>
          <w:rFonts w:hint="eastAsia" w:eastAsia="仿宋_GB2312"/>
          <w:color w:val="auto"/>
          <w:sz w:val="24"/>
          <w:highlight w:val="none"/>
        </w:rPr>
        <w:t>〕</w:t>
      </w:r>
      <w:r>
        <w:rPr>
          <w:rFonts w:eastAsia="仿宋_GB2312"/>
          <w:color w:val="auto"/>
          <w:sz w:val="24"/>
          <w:highlight w:val="none"/>
        </w:rPr>
        <w:t>约定的情形，并影响到整个工程以及合同目的实现的，承包人有权提出价格调整要求，或者解除合同。解除合同的，按照第16.1.3项</w:t>
      </w:r>
      <w:r>
        <w:rPr>
          <w:rFonts w:hint="eastAsia" w:eastAsia="仿宋_GB2312"/>
          <w:color w:val="auto"/>
          <w:sz w:val="24"/>
          <w:highlight w:val="none"/>
        </w:rPr>
        <w:t>〔</w:t>
      </w:r>
      <w:r>
        <w:rPr>
          <w:rFonts w:eastAsia="仿宋_GB2312"/>
          <w:color w:val="auto"/>
          <w:sz w:val="24"/>
          <w:highlight w:val="none"/>
        </w:rPr>
        <w:t>因发包人违约解除合同</w:t>
      </w:r>
      <w:r>
        <w:rPr>
          <w:rFonts w:hint="eastAsia" w:eastAsia="仿宋_GB2312"/>
          <w:color w:val="auto"/>
          <w:sz w:val="24"/>
          <w:highlight w:val="none"/>
        </w:rPr>
        <w:t>〕</w:t>
      </w:r>
      <w:r>
        <w:rPr>
          <w:rFonts w:eastAsia="仿宋_GB2312"/>
          <w:color w:val="auto"/>
          <w:sz w:val="24"/>
          <w:highlight w:val="none"/>
        </w:rPr>
        <w:t>执行。</w:t>
      </w:r>
    </w:p>
    <w:p w14:paraId="7B7F7347">
      <w:pPr>
        <w:pageBreakBefore w:val="0"/>
        <w:kinsoku/>
        <w:wordWrap/>
        <w:overflowPunct/>
        <w:topLinePunct w:val="0"/>
        <w:bidi w:val="0"/>
        <w:spacing w:line="288" w:lineRule="auto"/>
        <w:ind w:left="0" w:leftChars="0" w:firstLine="468" w:firstLineChars="195"/>
        <w:jc w:val="left"/>
        <w:textAlignment w:val="auto"/>
        <w:rPr>
          <w:rFonts w:eastAsia="仿宋_GB2312"/>
          <w:color w:val="auto"/>
          <w:sz w:val="24"/>
          <w:highlight w:val="none"/>
        </w:rPr>
      </w:pPr>
      <w:r>
        <w:rPr>
          <w:rFonts w:eastAsia="仿宋_GB2312"/>
          <w:color w:val="auto"/>
          <w:sz w:val="24"/>
          <w:highlight w:val="none"/>
        </w:rPr>
        <w:t>7.8.7 暂停施工期间的工程照管</w:t>
      </w:r>
    </w:p>
    <w:p w14:paraId="637652C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暂停施工期间，承包人应负责妥善照管工程并提供安全保障，由此增加的费用由责任方承担。</w:t>
      </w:r>
    </w:p>
    <w:p w14:paraId="4D53141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7.8.8 暂停施工的措施</w:t>
      </w:r>
    </w:p>
    <w:p w14:paraId="0736376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暂停施工期间，发包人和承包人均应采取必要的措施确保工程质量及安全，防止因暂停施工扩大损失。</w:t>
      </w:r>
    </w:p>
    <w:p w14:paraId="45F8591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72" w:name="_Toc351203551"/>
      <w:r>
        <w:rPr>
          <w:rFonts w:ascii="Times New Roman" w:hAnsi="Times New Roman" w:eastAsia="黑体"/>
          <w:b w:val="0"/>
          <w:color w:val="auto"/>
          <w:highlight w:val="none"/>
        </w:rPr>
        <w:t>7.9提前竣工</w:t>
      </w:r>
      <w:bookmarkEnd w:id="372"/>
    </w:p>
    <w:p w14:paraId="637E85B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eastAsia="仿宋_GB2312"/>
          <w:color w:val="auto"/>
          <w:sz w:val="24"/>
          <w:highlight w:val="none"/>
        </w:rPr>
        <w:t>承包人认为提前竣工指示无法执行的，应向监理人和发包人提出书面异议，发包人和监理人应在收到异议后7天内予以答复。任何情况下，发包人不得压缩合理工期。</w:t>
      </w:r>
    </w:p>
    <w:p w14:paraId="07DBDC4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7.9.2 发包人要求承包人提前竣工，或承包人提出提前竣工的建议能够给发包人带来效益的，合同当事人可以在专用合同条款中约定提前竣工的奖励。</w:t>
      </w:r>
    </w:p>
    <w:p w14:paraId="189F3943">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373" w:name="_Toc351203552"/>
      <w:r>
        <w:rPr>
          <w:rFonts w:ascii="Times New Roman" w:hAnsi="Times New Roman" w:eastAsia="黑体"/>
          <w:b w:val="0"/>
          <w:color w:val="auto"/>
          <w:sz w:val="24"/>
          <w:szCs w:val="24"/>
          <w:highlight w:val="none"/>
        </w:rPr>
        <w:t>8</w:t>
      </w:r>
      <w:bookmarkStart w:id="374" w:name="_Toc296503058"/>
      <w:bookmarkStart w:id="375" w:name="_Toc337558776"/>
      <w:bookmarkStart w:id="376" w:name="_Toc296346559"/>
      <w:r>
        <w:rPr>
          <w:rFonts w:ascii="Times New Roman" w:hAnsi="Times New Roman" w:eastAsia="黑体"/>
          <w:b w:val="0"/>
          <w:color w:val="auto"/>
          <w:sz w:val="24"/>
          <w:szCs w:val="24"/>
          <w:highlight w:val="none"/>
        </w:rPr>
        <w:t>. 材料与设备</w:t>
      </w:r>
      <w:bookmarkEnd w:id="373"/>
    </w:p>
    <w:bookmarkEnd w:id="374"/>
    <w:bookmarkEnd w:id="375"/>
    <w:bookmarkEnd w:id="376"/>
    <w:p w14:paraId="2F64772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77" w:name="_Toc351203553"/>
      <w:r>
        <w:rPr>
          <w:rFonts w:ascii="Times New Roman" w:hAnsi="Times New Roman" w:eastAsia="黑体"/>
          <w:b w:val="0"/>
          <w:color w:val="auto"/>
          <w:highlight w:val="none"/>
        </w:rPr>
        <w:t>8</w:t>
      </w:r>
      <w:bookmarkStart w:id="378" w:name="_Toc296503059"/>
      <w:bookmarkStart w:id="379" w:name="_Toc337558777"/>
      <w:bookmarkStart w:id="380" w:name="_Toc296346560"/>
      <w:bookmarkStart w:id="381" w:name="_Toc468936960"/>
      <w:r>
        <w:rPr>
          <w:rFonts w:ascii="Times New Roman" w:hAnsi="Times New Roman" w:eastAsia="黑体"/>
          <w:b w:val="0"/>
          <w:color w:val="auto"/>
          <w:highlight w:val="none"/>
        </w:rPr>
        <w:t>.1发包人供应材料与工程设备</w:t>
      </w:r>
      <w:bookmarkEnd w:id="377"/>
    </w:p>
    <w:bookmarkEnd w:id="378"/>
    <w:bookmarkEnd w:id="379"/>
    <w:bookmarkEnd w:id="380"/>
    <w:p w14:paraId="3C3C461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发包人自行供应材料、工程设备的，应在签订合同时在专用合同条款的附件《发包人供应材料设备一览表》中明确材料、工程设备的品种、规格、型号、数量、单价、质量等级和送达地点。</w:t>
      </w:r>
    </w:p>
    <w:p w14:paraId="6F59FDA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承包人应提前30天通过监理人以书面形式通知发包人供应材料与工程设备进场。承包人按照第7.2.2项</w:t>
      </w:r>
      <w:r>
        <w:rPr>
          <w:rFonts w:hint="eastAsia" w:eastAsia="仿宋_GB2312"/>
          <w:color w:val="auto"/>
          <w:sz w:val="24"/>
          <w:highlight w:val="none"/>
        </w:rPr>
        <w:t>〔</w:t>
      </w:r>
      <w:r>
        <w:rPr>
          <w:rFonts w:eastAsia="仿宋_GB2312"/>
          <w:color w:val="auto"/>
          <w:sz w:val="24"/>
          <w:highlight w:val="none"/>
        </w:rPr>
        <w:t>施工进度计划的修订</w:t>
      </w:r>
      <w:r>
        <w:rPr>
          <w:rFonts w:hint="eastAsia" w:eastAsia="仿宋_GB2312"/>
          <w:color w:val="auto"/>
          <w:sz w:val="24"/>
          <w:highlight w:val="none"/>
        </w:rPr>
        <w:t>〕</w:t>
      </w:r>
      <w:r>
        <w:rPr>
          <w:rFonts w:eastAsia="仿宋_GB2312"/>
          <w:color w:val="auto"/>
          <w:sz w:val="24"/>
          <w:highlight w:val="none"/>
        </w:rPr>
        <w:t>约定修订施工进度计划时，需同时提交经修订后的发包人供应材料与工程设备的进场计划。</w:t>
      </w:r>
    </w:p>
    <w:p w14:paraId="6A63ED7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仿宋_GB2312"/>
          <w:color w:val="auto"/>
          <w:highlight w:val="none"/>
        </w:rPr>
      </w:pPr>
      <w:bookmarkStart w:id="382" w:name="_Toc351203554"/>
      <w:r>
        <w:rPr>
          <w:rFonts w:ascii="Times New Roman" w:hAnsi="Times New Roman" w:eastAsia="黑体"/>
          <w:b w:val="0"/>
          <w:color w:val="auto"/>
          <w:highlight w:val="none"/>
        </w:rPr>
        <w:t>8</w:t>
      </w:r>
      <w:bookmarkStart w:id="383" w:name="_Toc296503060"/>
      <w:bookmarkStart w:id="384" w:name="_Toc296346561"/>
      <w:bookmarkStart w:id="385" w:name="_Toc337558778"/>
      <w:r>
        <w:rPr>
          <w:rFonts w:ascii="Times New Roman" w:hAnsi="Times New Roman" w:eastAsia="黑体"/>
          <w:b w:val="0"/>
          <w:color w:val="auto"/>
          <w:highlight w:val="none"/>
        </w:rPr>
        <w:t>.2承包人采购材料与工程设备</w:t>
      </w:r>
      <w:bookmarkEnd w:id="382"/>
    </w:p>
    <w:bookmarkEnd w:id="383"/>
    <w:bookmarkEnd w:id="384"/>
    <w:bookmarkEnd w:id="385"/>
    <w:p w14:paraId="1698EDE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eastAsia="仿宋_GB2312"/>
          <w:color w:val="auto"/>
          <w:sz w:val="24"/>
          <w:highlight w:val="none"/>
        </w:rPr>
        <w:t>相应责任</w:t>
      </w:r>
      <w:r>
        <w:rPr>
          <w:rFonts w:eastAsia="仿宋_GB2312"/>
          <w:color w:val="auto"/>
          <w:sz w:val="24"/>
          <w:highlight w:val="none"/>
        </w:rPr>
        <w:t>。</w:t>
      </w:r>
    </w:p>
    <w:p w14:paraId="03EAA4D0">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86" w:name="_Toc351203555"/>
      <w:r>
        <w:rPr>
          <w:rFonts w:ascii="Times New Roman" w:hAnsi="Times New Roman" w:eastAsia="黑体"/>
          <w:b w:val="0"/>
          <w:color w:val="auto"/>
          <w:highlight w:val="none"/>
        </w:rPr>
        <w:t>8</w:t>
      </w:r>
      <w:bookmarkStart w:id="387" w:name="_Toc296346562"/>
      <w:bookmarkStart w:id="388" w:name="_Toc337558779"/>
      <w:bookmarkStart w:id="389" w:name="_Toc296503061"/>
      <w:r>
        <w:rPr>
          <w:rFonts w:ascii="Times New Roman" w:hAnsi="Times New Roman" w:eastAsia="黑体"/>
          <w:b w:val="0"/>
          <w:color w:val="auto"/>
          <w:highlight w:val="none"/>
        </w:rPr>
        <w:t>.3材料与工程设备的接收与拒收</w:t>
      </w:r>
      <w:bookmarkEnd w:id="386"/>
    </w:p>
    <w:bookmarkEnd w:id="387"/>
    <w:bookmarkEnd w:id="388"/>
    <w:bookmarkEnd w:id="389"/>
    <w:p w14:paraId="5BC16B6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641E57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发包人提供的材料和工程设备的规格、数量或质量不符合合同约定的，或因发包人原因导致交货日期延误或交货地点变更等情况的，按照第16.1款</w:t>
      </w:r>
      <w:r>
        <w:rPr>
          <w:rFonts w:hint="eastAsia" w:eastAsia="仿宋_GB2312"/>
          <w:color w:val="auto"/>
          <w:sz w:val="24"/>
          <w:highlight w:val="none"/>
        </w:rPr>
        <w:t>〔</w:t>
      </w:r>
      <w:r>
        <w:rPr>
          <w:rFonts w:eastAsia="仿宋_GB2312"/>
          <w:color w:val="auto"/>
          <w:sz w:val="24"/>
          <w:highlight w:val="none"/>
        </w:rPr>
        <w:t>发包人违约</w:t>
      </w:r>
      <w:r>
        <w:rPr>
          <w:rFonts w:hint="eastAsia" w:eastAsia="仿宋_GB2312"/>
          <w:color w:val="auto"/>
          <w:sz w:val="24"/>
          <w:highlight w:val="none"/>
        </w:rPr>
        <w:t>〕</w:t>
      </w:r>
      <w:r>
        <w:rPr>
          <w:rFonts w:eastAsia="仿宋_GB2312"/>
          <w:color w:val="auto"/>
          <w:sz w:val="24"/>
          <w:highlight w:val="none"/>
        </w:rPr>
        <w:t>约定办理。</w:t>
      </w:r>
    </w:p>
    <w:p w14:paraId="490E10E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8.3.2 承包人采购的材料和工程设备，应保证产品质量合格，承包人应在材料和工程设备到货前24小时通知监理人检验。承</w:t>
      </w:r>
      <w:bookmarkStart w:id="390" w:name="_Toc250655469"/>
      <w:r>
        <w:rPr>
          <w:rFonts w:eastAsia="仿宋_GB2312"/>
          <w:color w:val="auto"/>
          <w:sz w:val="24"/>
          <w:highlight w:val="none"/>
        </w:rPr>
        <w:t>包人进行永久设备、材料的制造和生产的，应符合相关质量标准，并向监理人提交材料的样本以及有关资料，并应在使用该材料或工程设备之前获得监理人同意。</w:t>
      </w:r>
    </w:p>
    <w:bookmarkEnd w:id="390"/>
    <w:p w14:paraId="3BAA561D">
      <w:pPr>
        <w:pageBreakBefore w:val="0"/>
        <w:kinsoku/>
        <w:wordWrap/>
        <w:overflowPunct/>
        <w:topLinePunct w:val="0"/>
        <w:autoSpaceDE w:val="0"/>
        <w:autoSpaceDN w:val="0"/>
        <w:bidi w:val="0"/>
        <w:adjustRightInd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10B6703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1" w:name="_Toc351203556"/>
      <w:r>
        <w:rPr>
          <w:rFonts w:ascii="Times New Roman" w:hAnsi="Times New Roman" w:eastAsia="黑体"/>
          <w:b w:val="0"/>
          <w:color w:val="auto"/>
          <w:highlight w:val="none"/>
        </w:rPr>
        <w:t>8</w:t>
      </w:r>
      <w:bookmarkStart w:id="392" w:name="_Toc337558780"/>
      <w:bookmarkStart w:id="393" w:name="_Toc296503062"/>
      <w:bookmarkStart w:id="394" w:name="_Toc296346563"/>
      <w:r>
        <w:rPr>
          <w:rFonts w:ascii="Times New Roman" w:hAnsi="Times New Roman" w:eastAsia="黑体"/>
          <w:b w:val="0"/>
          <w:color w:val="auto"/>
          <w:highlight w:val="none"/>
        </w:rPr>
        <w:t>.4材料与工程设备的保管与使用</w:t>
      </w:r>
      <w:bookmarkEnd w:id="391"/>
    </w:p>
    <w:bookmarkEnd w:id="392"/>
    <w:bookmarkEnd w:id="393"/>
    <w:bookmarkEnd w:id="394"/>
    <w:p w14:paraId="41FC24C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8.4.1 发包人供应材料与工程设备的保管与使用</w:t>
      </w:r>
    </w:p>
    <w:p w14:paraId="011CD47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4A0FCD1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发包人供应的材料和工程设备使用前，由承包人负责检验，检验费用由发包人承担，不合格的不得使用。</w:t>
      </w:r>
    </w:p>
    <w:p w14:paraId="5B3AFE5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8.4.2 承包人采购材料与工程设备的保管与使用</w:t>
      </w:r>
    </w:p>
    <w:p w14:paraId="013C038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76604D8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发包人或监理人发现承包人使用不符合设计或有关标准要求的材料和工程设备时，有权要求承包人进行修复、拆除或重新采购，由此增加的费用和（或）延误的工期，由承包人承担。</w:t>
      </w:r>
    </w:p>
    <w:p w14:paraId="678AF4B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5" w:name="_Toc351203557"/>
      <w:r>
        <w:rPr>
          <w:rFonts w:ascii="Times New Roman" w:hAnsi="Times New Roman" w:eastAsia="黑体"/>
          <w:b w:val="0"/>
          <w:color w:val="auto"/>
          <w:highlight w:val="none"/>
        </w:rPr>
        <w:t>8.5禁止使用不合格的材料和工程设备</w:t>
      </w:r>
      <w:bookmarkEnd w:id="395"/>
    </w:p>
    <w:p w14:paraId="58DA9FD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8.5.1 监理人有权拒绝承包人提供的不合格材料或工程设备，并要求承包人立即进行更换。监理人应在更换后再次进行检查和检验，由此增加的费用和（或）延误的工期由承包人承担。</w:t>
      </w:r>
    </w:p>
    <w:p w14:paraId="5632DE0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8.5.2 监理人发现承包人使用了不合格的材料和工程设备，承包人应按照监理人的指示立即改正，并禁止在工程中继续使用不合格的材料和工程设备。</w:t>
      </w:r>
    </w:p>
    <w:p w14:paraId="787BE9E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8.5.3 发包人提供的材料或工程设备不符合合同要求的，承包人有权拒绝，并可要求发包人更换，由此增加的费用和（或）延误的工期由发包人承担</w:t>
      </w:r>
      <w:r>
        <w:rPr>
          <w:rFonts w:hint="eastAsia" w:eastAsia="仿宋_GB2312"/>
          <w:color w:val="auto"/>
          <w:sz w:val="24"/>
          <w:highlight w:val="none"/>
        </w:rPr>
        <w:t>，并支付承包人合理的利润</w:t>
      </w:r>
      <w:r>
        <w:rPr>
          <w:rFonts w:eastAsia="仿宋_GB2312"/>
          <w:color w:val="auto"/>
          <w:sz w:val="24"/>
          <w:highlight w:val="none"/>
        </w:rPr>
        <w:t>。</w:t>
      </w:r>
    </w:p>
    <w:p w14:paraId="44CA75A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6" w:name="_Toc351203558"/>
      <w:r>
        <w:rPr>
          <w:rFonts w:ascii="Times New Roman" w:hAnsi="Times New Roman" w:eastAsia="黑体"/>
          <w:b w:val="0"/>
          <w:color w:val="auto"/>
          <w:highlight w:val="none"/>
        </w:rPr>
        <w:t>8.6 样品</w:t>
      </w:r>
      <w:bookmarkEnd w:id="396"/>
    </w:p>
    <w:p w14:paraId="26105D0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8.6.1</w:t>
      </w:r>
      <w:r>
        <w:rPr>
          <w:rFonts w:eastAsia="仿宋_GB2312"/>
          <w:color w:val="auto"/>
          <w:sz w:val="24"/>
          <w:highlight w:val="none"/>
        </w:rPr>
        <w:tab/>
      </w:r>
      <w:r>
        <w:rPr>
          <w:rFonts w:eastAsia="仿宋_GB2312"/>
          <w:color w:val="auto"/>
          <w:sz w:val="24"/>
          <w:highlight w:val="none"/>
        </w:rPr>
        <w:t>样品的报送</w:t>
      </w:r>
      <w:r>
        <w:rPr>
          <w:rFonts w:hint="eastAsia" w:eastAsia="仿宋_GB2312"/>
          <w:color w:val="auto"/>
          <w:sz w:val="24"/>
          <w:highlight w:val="none"/>
        </w:rPr>
        <w:t>与封存</w:t>
      </w:r>
    </w:p>
    <w:p w14:paraId="5CCD11A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需要承包人报送样品的材料或工程设备，样品的种类、名称、规格、数量等要求均应在专用合同条款中约定。样品的报送程序如下：</w:t>
      </w:r>
    </w:p>
    <w:p w14:paraId="422B448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10EFE6F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5E7CBDB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（3）经发包人和监理人审批确认的样品</w:t>
      </w:r>
      <w:r>
        <w:rPr>
          <w:rFonts w:hint="eastAsia" w:eastAsia="仿宋_GB2312"/>
          <w:color w:val="auto"/>
          <w:sz w:val="24"/>
          <w:highlight w:val="none"/>
        </w:rPr>
        <w:t>应按约定的方法封样，封存的样品</w:t>
      </w:r>
      <w:r>
        <w:rPr>
          <w:rFonts w:eastAsia="仿宋_GB2312"/>
          <w:color w:val="auto"/>
          <w:sz w:val="24"/>
          <w:highlight w:val="none"/>
        </w:rPr>
        <w:t>作为检验工程相关部分的标准之一。承包人在施工过程中不得使用与样品不符的材料或工程设备。</w:t>
      </w:r>
    </w:p>
    <w:p w14:paraId="728603F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（4）发包人和监理人对样品的审批确认仅为确认相关材料或工程设备的特征或用途，不得被理解为对合同的修改或改变，也并不减轻或免除承包人任何的责任和义务。</w:t>
      </w:r>
      <w:r>
        <w:rPr>
          <w:rFonts w:hint="eastAsia" w:eastAsia="仿宋_GB2312"/>
          <w:color w:val="auto"/>
          <w:sz w:val="24"/>
          <w:highlight w:val="none"/>
        </w:rPr>
        <w:t>如果封存的样品修改或改变了合同约定，合同当事人应当以书面协议予以确认。</w:t>
      </w:r>
    </w:p>
    <w:p w14:paraId="1A5324A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8.6.2 样品的保管</w:t>
      </w:r>
    </w:p>
    <w:p w14:paraId="02B2C3C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经批准的样品应由监理人负责封存于现场，承包人应在现场为保存样品提供适当和固定的场所并保持适当和良好的存储环境条件。</w:t>
      </w:r>
    </w:p>
    <w:p w14:paraId="1F0CCB2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7" w:name="_Toc351203559"/>
      <w:r>
        <w:rPr>
          <w:rFonts w:ascii="Times New Roman" w:hAnsi="Times New Roman" w:eastAsia="黑体"/>
          <w:b w:val="0"/>
          <w:color w:val="auto"/>
          <w:highlight w:val="none"/>
        </w:rPr>
        <w:t>8.7材料与工程设备的替代</w:t>
      </w:r>
      <w:bookmarkEnd w:id="397"/>
    </w:p>
    <w:p w14:paraId="48DB9E8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8.7.1 出现下列情况需要使用替代材料和工程设备的，承包人应按照第8.7.2项约定的程序执行：</w:t>
      </w:r>
    </w:p>
    <w:p w14:paraId="2C5D39F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（1）基准日</w:t>
      </w:r>
      <w:r>
        <w:rPr>
          <w:rFonts w:hint="eastAsia" w:eastAsia="仿宋_GB2312"/>
          <w:color w:val="auto"/>
          <w:sz w:val="24"/>
          <w:highlight w:val="none"/>
        </w:rPr>
        <w:t>期</w:t>
      </w:r>
      <w:r>
        <w:rPr>
          <w:rFonts w:eastAsia="仿宋_GB2312"/>
          <w:color w:val="auto"/>
          <w:sz w:val="24"/>
          <w:highlight w:val="none"/>
        </w:rPr>
        <w:t>后生效的法律规定禁止使用的；</w:t>
      </w:r>
    </w:p>
    <w:p w14:paraId="0F86B1C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（2）发包人要求使用替代品的；</w:t>
      </w:r>
    </w:p>
    <w:p w14:paraId="3D5EAD0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（3）因其他原因必须使用替代品的。</w:t>
      </w:r>
    </w:p>
    <w:p w14:paraId="741FE26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8.7.2 承包人应在使用替代材料和工程设备28天前书面通知监理人，并附下列文件：</w:t>
      </w:r>
    </w:p>
    <w:p w14:paraId="063E01A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（1）被替代的材料和工程设备的名称、数量、规格、型号、品牌、性能、价格及其他相关资料；</w:t>
      </w:r>
    </w:p>
    <w:p w14:paraId="13D25B5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（2）替代品的名称、数量、规格、型号、品牌、性能、价格及其他相关资料；</w:t>
      </w:r>
    </w:p>
    <w:p w14:paraId="0806826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（3）替代品与被替代产品之间的差异以及使用替代品可能对工程产生的影响；</w:t>
      </w:r>
    </w:p>
    <w:p w14:paraId="7CC6726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（4）替代品与被替代产品的价格差异；</w:t>
      </w:r>
    </w:p>
    <w:p w14:paraId="6420AFD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（5）使用替代品的理由和原因说明；</w:t>
      </w:r>
    </w:p>
    <w:p w14:paraId="5506A8D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（6）监理人要求的其他文件。</w:t>
      </w:r>
    </w:p>
    <w:p w14:paraId="7B8822D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监理人应在收到通知后14天内向承包人发出经发包人签认的书面指示；监理人逾期发出书面指示的，视为发包人和监理人同意使用替代品。</w:t>
      </w:r>
    </w:p>
    <w:p w14:paraId="30AE3B3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8.7.3 发包人认可使用替代材料和工程设备的，替代材料和工程设备的价格，按照已标价工程量清单或预算书相同项目的价格认定；无相同项目的，参考相似项目价格认定；</w:t>
      </w:r>
      <w:r>
        <w:rPr>
          <w:rFonts w:hint="eastAsia" w:eastAsia="仿宋_GB2312"/>
          <w:color w:val="auto"/>
          <w:sz w:val="24"/>
          <w:highlight w:val="none"/>
        </w:rPr>
        <w:t>既无</w:t>
      </w:r>
      <w:r>
        <w:rPr>
          <w:rFonts w:eastAsia="仿宋_GB2312"/>
          <w:color w:val="auto"/>
          <w:sz w:val="24"/>
          <w:highlight w:val="none"/>
        </w:rPr>
        <w:t>相同项目</w:t>
      </w:r>
      <w:r>
        <w:rPr>
          <w:rFonts w:hint="eastAsia" w:eastAsia="仿宋_GB2312"/>
          <w:color w:val="auto"/>
          <w:sz w:val="24"/>
          <w:highlight w:val="none"/>
        </w:rPr>
        <w:t>也</w:t>
      </w:r>
      <w:r>
        <w:rPr>
          <w:rFonts w:eastAsia="仿宋_GB2312"/>
          <w:color w:val="auto"/>
          <w:sz w:val="24"/>
          <w:highlight w:val="none"/>
        </w:rPr>
        <w:t>无相似项目的，</w:t>
      </w:r>
      <w:r>
        <w:rPr>
          <w:rFonts w:hint="eastAsia" w:eastAsia="仿宋_GB2312"/>
          <w:color w:val="auto"/>
          <w:sz w:val="24"/>
          <w:highlight w:val="none"/>
        </w:rPr>
        <w:t>按照合理的成本与利润构成的原则，</w:t>
      </w:r>
      <w:r>
        <w:rPr>
          <w:rFonts w:eastAsia="仿宋_GB2312"/>
          <w:color w:val="auto"/>
          <w:sz w:val="24"/>
          <w:highlight w:val="none"/>
        </w:rPr>
        <w:t>由合同当事人按照第4.4款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确定价格。</w:t>
      </w:r>
    </w:p>
    <w:p w14:paraId="2721CEF3">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8" w:name="_Toc351203560"/>
      <w:r>
        <w:rPr>
          <w:rFonts w:ascii="Times New Roman" w:hAnsi="Times New Roman" w:eastAsia="黑体"/>
          <w:b w:val="0"/>
          <w:color w:val="auto"/>
          <w:highlight w:val="none"/>
        </w:rPr>
        <w:t>8.8施工设备和临时设施</w:t>
      </w:r>
      <w:bookmarkEnd w:id="398"/>
    </w:p>
    <w:p w14:paraId="570CF55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8.8.1 承包人提供的施工设备和临时设施</w:t>
      </w:r>
    </w:p>
    <w:p w14:paraId="272C621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6CBB1C1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除专用合同条款另有约定外，承包人应自行承担修建临时设施的费用，需要临时占地的，应由发包人办理申请手续并承担相应费用。</w:t>
      </w:r>
    </w:p>
    <w:p w14:paraId="61325AA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8.8.2发包人提供的施工设备和临时设施</w:t>
      </w:r>
    </w:p>
    <w:p w14:paraId="63CBA11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发包人提供的施工设备或临时设施在专用合同条款中约定。</w:t>
      </w:r>
    </w:p>
    <w:p w14:paraId="15EFB79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8.8.3要求承包人增加或更换施工设备</w:t>
      </w:r>
    </w:p>
    <w:p w14:paraId="2862D33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724E3AD3">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399" w:name="_Toc351203561"/>
      <w:r>
        <w:rPr>
          <w:rFonts w:ascii="Times New Roman" w:hAnsi="Times New Roman" w:eastAsia="黑体"/>
          <w:b w:val="0"/>
          <w:color w:val="auto"/>
          <w:highlight w:val="none"/>
        </w:rPr>
        <w:t>8</w:t>
      </w:r>
      <w:bookmarkStart w:id="400" w:name="_Toc337558781"/>
      <w:bookmarkStart w:id="401" w:name="_Toc296503063"/>
      <w:bookmarkStart w:id="402" w:name="_Toc296346564"/>
      <w:r>
        <w:rPr>
          <w:rFonts w:ascii="Times New Roman" w:hAnsi="Times New Roman" w:eastAsia="黑体"/>
          <w:b w:val="0"/>
          <w:color w:val="auto"/>
          <w:highlight w:val="none"/>
        </w:rPr>
        <w:t>.9材料与设备专用</w:t>
      </w:r>
      <w:bookmarkEnd w:id="399"/>
      <w:r>
        <w:rPr>
          <w:rFonts w:hint="eastAsia" w:ascii="Times New Roman" w:hAnsi="Times New Roman" w:eastAsia="黑体"/>
          <w:b w:val="0"/>
          <w:color w:val="auto"/>
          <w:highlight w:val="none"/>
        </w:rPr>
        <w:t>要求</w:t>
      </w:r>
    </w:p>
    <w:bookmarkEnd w:id="400"/>
    <w:bookmarkEnd w:id="401"/>
    <w:bookmarkEnd w:id="402"/>
    <w:p w14:paraId="3E3399E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381"/>
      <w:r>
        <w:rPr>
          <w:rFonts w:eastAsia="仿宋_GB2312"/>
          <w:color w:val="auto"/>
          <w:sz w:val="24"/>
          <w:highlight w:val="none"/>
        </w:rPr>
        <w:t>经发包人批准，承包人可以根据施工进度计划撤走闲置的施工设备和其他物品。</w:t>
      </w:r>
    </w:p>
    <w:p w14:paraId="5CA4FAE1">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403" w:name="_Toc351203562"/>
      <w:r>
        <w:rPr>
          <w:rFonts w:ascii="Times New Roman" w:hAnsi="Times New Roman" w:eastAsia="黑体"/>
          <w:b w:val="0"/>
          <w:color w:val="auto"/>
          <w:sz w:val="24"/>
          <w:szCs w:val="24"/>
          <w:highlight w:val="none"/>
        </w:rPr>
        <w:t>9</w:t>
      </w:r>
      <w:bookmarkStart w:id="404" w:name="_Toc337558782"/>
      <w:bookmarkStart w:id="405" w:name="_Toc296346584"/>
      <w:bookmarkStart w:id="406" w:name="_Toc296503083"/>
      <w:r>
        <w:rPr>
          <w:rFonts w:ascii="Times New Roman" w:hAnsi="Times New Roman" w:eastAsia="黑体"/>
          <w:b w:val="0"/>
          <w:color w:val="auto"/>
          <w:sz w:val="24"/>
          <w:szCs w:val="24"/>
          <w:highlight w:val="none"/>
        </w:rPr>
        <w:t>. 试验与检验</w:t>
      </w:r>
      <w:bookmarkEnd w:id="403"/>
    </w:p>
    <w:bookmarkEnd w:id="404"/>
    <w:p w14:paraId="4039652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07" w:name="_Toc351203563"/>
      <w:r>
        <w:rPr>
          <w:rFonts w:ascii="Times New Roman" w:hAnsi="Times New Roman" w:eastAsia="黑体"/>
          <w:b w:val="0"/>
          <w:color w:val="auto"/>
          <w:highlight w:val="none"/>
        </w:rPr>
        <w:t>9</w:t>
      </w:r>
      <w:bookmarkStart w:id="408" w:name="_Toc337558783"/>
      <w:r>
        <w:rPr>
          <w:rFonts w:ascii="Times New Roman" w:hAnsi="Times New Roman" w:eastAsia="黑体"/>
          <w:b w:val="0"/>
          <w:color w:val="auto"/>
          <w:highlight w:val="none"/>
        </w:rPr>
        <w:t>.1试验设备与试验人员</w:t>
      </w:r>
      <w:bookmarkEnd w:id="407"/>
    </w:p>
    <w:bookmarkEnd w:id="408"/>
    <w:p w14:paraId="74EA53B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C9AAFC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9.1.2 承包人应按专用合同条款的约定提供试验设备、取样装置、试验场所和试验条件，并向监理人提交相应进场计划表。</w:t>
      </w:r>
    </w:p>
    <w:p w14:paraId="355661E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承包人配置的试验设备要符合相应试验规程的要求并经过具有资质的检测单位检测，且在正式使用该试验设备前，需要经过监理人与承包人共同校定。</w:t>
      </w:r>
    </w:p>
    <w:p w14:paraId="4DF6910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9.1.3 承包人应向监理人提交试验人员的名单及其岗位、资格等证明资料，试验人员必须能够熟练进行相应的检测试验，承包人对试验人员的试验程序和试验结果的正确性负责。</w:t>
      </w:r>
    </w:p>
    <w:p w14:paraId="072625D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09" w:name="_Toc351203564"/>
      <w:r>
        <w:rPr>
          <w:rFonts w:ascii="Times New Roman" w:hAnsi="Times New Roman" w:eastAsia="黑体"/>
          <w:b w:val="0"/>
          <w:color w:val="auto"/>
          <w:highlight w:val="none"/>
        </w:rPr>
        <w:t>9</w:t>
      </w:r>
      <w:bookmarkStart w:id="410" w:name="_Toc337558784"/>
      <w:r>
        <w:rPr>
          <w:rFonts w:ascii="Times New Roman" w:hAnsi="Times New Roman" w:eastAsia="黑体"/>
          <w:b w:val="0"/>
          <w:color w:val="auto"/>
          <w:highlight w:val="none"/>
        </w:rPr>
        <w:t>.2取样</w:t>
      </w:r>
      <w:bookmarkEnd w:id="409"/>
    </w:p>
    <w:bookmarkEnd w:id="410"/>
    <w:p w14:paraId="5D86655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试验属于自检性质的，承包人可以单独取样。试验属于监理人抽检性质的，可由监理人取样，也可由承包人的试验人员在监理人的监督下取样。</w:t>
      </w:r>
    </w:p>
    <w:p w14:paraId="07EAE2A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11" w:name="_Toc351203565"/>
      <w:r>
        <w:rPr>
          <w:rFonts w:ascii="Times New Roman" w:hAnsi="Times New Roman" w:eastAsia="黑体"/>
          <w:b w:val="0"/>
          <w:color w:val="auto"/>
          <w:highlight w:val="none"/>
        </w:rPr>
        <w:t>9</w:t>
      </w:r>
      <w:bookmarkStart w:id="412" w:name="_Toc337558785"/>
      <w:r>
        <w:rPr>
          <w:rFonts w:ascii="Times New Roman" w:hAnsi="Times New Roman" w:eastAsia="黑体"/>
          <w:b w:val="0"/>
          <w:color w:val="auto"/>
          <w:highlight w:val="none"/>
        </w:rPr>
        <w:t>.3材料、工程设备和工程的试验和检验</w:t>
      </w:r>
      <w:bookmarkEnd w:id="411"/>
    </w:p>
    <w:bookmarkEnd w:id="412"/>
    <w:p w14:paraId="5906A41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ED11A3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66E8458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7BFAAF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13" w:name="_Toc351203566"/>
      <w:r>
        <w:rPr>
          <w:rFonts w:ascii="Times New Roman" w:hAnsi="Times New Roman" w:eastAsia="黑体"/>
          <w:b w:val="0"/>
          <w:color w:val="auto"/>
          <w:highlight w:val="none"/>
        </w:rPr>
        <w:t>9</w:t>
      </w:r>
      <w:bookmarkStart w:id="414" w:name="_Toc337558786"/>
      <w:r>
        <w:rPr>
          <w:rFonts w:ascii="Times New Roman" w:hAnsi="Times New Roman" w:eastAsia="黑体"/>
          <w:b w:val="0"/>
          <w:color w:val="auto"/>
          <w:highlight w:val="none"/>
        </w:rPr>
        <w:t>.4现场工艺试验</w:t>
      </w:r>
      <w:bookmarkEnd w:id="413"/>
    </w:p>
    <w:bookmarkEnd w:id="414"/>
    <w:p w14:paraId="0F0FF4D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承包人应按合同约定或监理人指示进行现场工艺试验。对大型的现场工艺试验，监理人认为必要时，承包人应根据监理人提出的工艺试验要求，编制工艺试验措施计划，报送监理人审查。</w:t>
      </w:r>
    </w:p>
    <w:p w14:paraId="7231C8C7">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415" w:name="_Toc351203567"/>
      <w:r>
        <w:rPr>
          <w:rFonts w:ascii="Times New Roman" w:hAnsi="Times New Roman" w:eastAsia="黑体"/>
          <w:b w:val="0"/>
          <w:color w:val="auto"/>
          <w:sz w:val="24"/>
          <w:szCs w:val="24"/>
          <w:highlight w:val="none"/>
        </w:rPr>
        <w:t>1</w:t>
      </w:r>
      <w:bookmarkStart w:id="416" w:name="_Toc337558787"/>
      <w:r>
        <w:rPr>
          <w:rFonts w:ascii="Times New Roman" w:hAnsi="Times New Roman" w:eastAsia="黑体"/>
          <w:b w:val="0"/>
          <w:color w:val="auto"/>
          <w:sz w:val="24"/>
          <w:szCs w:val="24"/>
          <w:highlight w:val="none"/>
        </w:rPr>
        <w:t>0. 变更</w:t>
      </w:r>
      <w:bookmarkEnd w:id="405"/>
      <w:bookmarkEnd w:id="406"/>
      <w:bookmarkEnd w:id="415"/>
    </w:p>
    <w:bookmarkEnd w:id="416"/>
    <w:p w14:paraId="7AF07C3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17" w:name="_Toc351203568"/>
      <w:r>
        <w:rPr>
          <w:rFonts w:ascii="Times New Roman" w:hAnsi="Times New Roman" w:eastAsia="黑体"/>
          <w:b w:val="0"/>
          <w:color w:val="auto"/>
          <w:highlight w:val="none"/>
        </w:rPr>
        <w:t>1</w:t>
      </w:r>
      <w:bookmarkStart w:id="418" w:name="_Toc296503084"/>
      <w:bookmarkStart w:id="419" w:name="_Toc337558788"/>
      <w:bookmarkStart w:id="420" w:name="_Toc296346585"/>
      <w:r>
        <w:rPr>
          <w:rFonts w:ascii="Times New Roman" w:hAnsi="Times New Roman" w:eastAsia="黑体"/>
          <w:b w:val="0"/>
          <w:color w:val="auto"/>
          <w:highlight w:val="none"/>
        </w:rPr>
        <w:t>0.1变更的范围</w:t>
      </w:r>
      <w:bookmarkEnd w:id="417"/>
    </w:p>
    <w:bookmarkEnd w:id="418"/>
    <w:bookmarkEnd w:id="419"/>
    <w:bookmarkEnd w:id="420"/>
    <w:p w14:paraId="76DA48F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bookmarkStart w:id="421" w:name="_Toc351203569"/>
      <w:r>
        <w:rPr>
          <w:rFonts w:hint="eastAsia" w:ascii="Times New Roman" w:hAnsi="Times New Roman" w:eastAsia="仿宋_GB2312"/>
          <w:color w:val="auto"/>
          <w:sz w:val="24"/>
          <w:highlight w:val="none"/>
        </w:rPr>
        <w:t>除通用条款外，变更范围的约定:</w:t>
      </w:r>
    </w:p>
    <w:p w14:paraId="2F2EC0E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(1)实行工程量清单招标的工程建设项目，量的风险由发包人承担，价的风险在约定风险范围内的，由承包人承担，风险范围以外的按合同约定。</w:t>
      </w:r>
    </w:p>
    <w:p w14:paraId="2FAAC07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(2)清单项目中特征描述不全的工序、材料或设备名称，如图纸已明确或已指明引用的规范、图集等或是常规工艺必须的工序，均已包括在合同价款中。施工组织设计所描述的技术措施或实际采取的技术措施所发生的费用，视为已体现在承包人合同价的非实体性消耗所发生的费用中。</w:t>
      </w:r>
    </w:p>
    <w:p w14:paraId="44A6AD0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(3)变更签证</w:t>
      </w:r>
    </w:p>
    <w:p w14:paraId="49490C4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①完成发包人要求的合同以外的零星工作或发生非承包人责任事件的工程量按现场签证确定;承包人应在变更事项发生后24小时内向发包人提交签证文件，发包人应在收到现场签证后的48小时内对需要签证的内容进行核实，予以确认或提出修改意见，并提前24小时通知跟踪审计人员进行现场复核。</w:t>
      </w:r>
    </w:p>
    <w:p w14:paraId="12681F9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②工程变更签证单上必须有发包人工地代表、监理工程师、施工单位负责人、全过程管理单位负责人及跟踪审计单位等各方的签字盖章，缺少任何一方签字盖章，该签证均无效，不得作为工程结算的依据，并且签证单上必须明确签证的原因、位置、尺寸(必要时附图)、数量、固定价格及签证时间，方可作为竣工结算的依据;签证单应注意时效性，参照专用条款14.3。所有签证单最终价款的确认以审计单位的结论为准。</w:t>
      </w:r>
    </w:p>
    <w:p w14:paraId="3F908EA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③工程变更单、签证单须连续编号，所附资料须齐全，在竣工结算时无论此变更签证是否会对工程造价产生影响，承包人均应完全整理上交给建设单位，若在结算过程中发现有缺漏页情况，则全部工程签证不被发包人认可，不作为有效的竣工结算依据。</w:t>
      </w:r>
    </w:p>
    <w:p w14:paraId="27BCF88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④)采用计日工的任何一项变更，签证单上应注明工作名称、内容和数量，投入该工作所有人员的姓名、工作、级别和耗用工时;投入该工作的材料名称、类别和数量投入该工作的施工设备型号、台数和耗用台时以及发包人要求提交的其他资料和凭证。</w:t>
      </w:r>
    </w:p>
    <w:p w14:paraId="1798244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(4)设计变更</w:t>
      </w:r>
    </w:p>
    <w:p w14:paraId="42B540B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①设计变更应经设计单位签字(发包人直接要求的设计变更除外)、发包人及监理工程师认可后方才有效，承包人须无条件按照认可后的设计变更予以实施。设计变更实施前，承包人需编制有效预算文件，报请监理单位审批，待发包人完成内部审批流程后，予以实施。承包人依设计变更通知调整施工完成后7个日历天内，将调整增减的工程量以工程签证单的形式同时报送监理工程师和发包人，监理工程师及发包人在收到合格资料后14个日历天内对变更事项及工程量进行核实、计算、确认，达成一致后返回承包人。如果发包人与监理单位对变更签证意见不一致的，以发包人签署的意见为准。</w:t>
      </w:r>
    </w:p>
    <w:p w14:paraId="3E81774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②)如果承包人未在上述规定时间内提交变更工作量报告和签证申请，即被视为承包人放弃变更增加的请求;如果发包人未在上述规定时间内返回确认变更工作量的签证意见，即被视为认可承包人申报工程量。</w:t>
      </w:r>
    </w:p>
    <w:p w14:paraId="07CA298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(5)属于工程量变更减少的，承包人必须在接到变更通知后七个工作日内以工程签证单的形式报送监理工程师和发包人，否则以监理工程师或发包人核减结算为准，不再与承包人核对。</w:t>
      </w:r>
    </w:p>
    <w:p w14:paraId="71A8CDA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(6)清单项目特征描述中凡说明为投标人自主报价的施工内容不得作为变更项目处理，但未施工的内容要按8.2.1.1的办法扣除该部分费用。</w:t>
      </w:r>
    </w:p>
    <w:p w14:paraId="73E5774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r>
        <w:rPr>
          <w:rFonts w:ascii="Times New Roman" w:hAnsi="Times New Roman" w:eastAsia="黑体"/>
          <w:b w:val="0"/>
          <w:color w:val="auto"/>
          <w:highlight w:val="none"/>
        </w:rPr>
        <w:t>1</w:t>
      </w:r>
      <w:bookmarkStart w:id="422" w:name="_Toc296346586"/>
      <w:bookmarkStart w:id="423" w:name="_Toc296503085"/>
      <w:bookmarkStart w:id="424" w:name="_Toc337558789"/>
      <w:r>
        <w:rPr>
          <w:rFonts w:ascii="Times New Roman" w:hAnsi="Times New Roman" w:eastAsia="黑体"/>
          <w:b w:val="0"/>
          <w:color w:val="auto"/>
          <w:highlight w:val="none"/>
        </w:rPr>
        <w:t>0.2变更权</w:t>
      </w:r>
      <w:bookmarkEnd w:id="421"/>
    </w:p>
    <w:bookmarkEnd w:id="422"/>
    <w:bookmarkEnd w:id="423"/>
    <w:bookmarkEnd w:id="424"/>
    <w:p w14:paraId="451E885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3F610A1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涉及设计变更的，应由设计人提供变更后的图纸和说明。如变更超过原设计标准或批准的建设规模时，发包人应及时办理规划、设计变更</w:t>
      </w:r>
      <w:r>
        <w:rPr>
          <w:rFonts w:hint="eastAsia" w:eastAsia="仿宋_GB2312"/>
          <w:color w:val="auto"/>
          <w:sz w:val="24"/>
          <w:highlight w:val="none"/>
        </w:rPr>
        <w:t>等</w:t>
      </w:r>
      <w:r>
        <w:rPr>
          <w:rFonts w:eastAsia="仿宋_GB2312"/>
          <w:color w:val="auto"/>
          <w:sz w:val="24"/>
          <w:highlight w:val="none"/>
        </w:rPr>
        <w:t>审批手续。</w:t>
      </w:r>
    </w:p>
    <w:p w14:paraId="08CD96DD">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25" w:name="_Toc351203570"/>
      <w:r>
        <w:rPr>
          <w:rFonts w:ascii="Times New Roman" w:hAnsi="Times New Roman" w:eastAsia="黑体"/>
          <w:b w:val="0"/>
          <w:color w:val="auto"/>
          <w:highlight w:val="none"/>
        </w:rPr>
        <w:t>1</w:t>
      </w:r>
      <w:bookmarkStart w:id="426" w:name="_Toc296503086"/>
      <w:bookmarkStart w:id="427" w:name="_Toc337558790"/>
      <w:bookmarkStart w:id="428" w:name="_Toc296346587"/>
      <w:r>
        <w:rPr>
          <w:rFonts w:ascii="Times New Roman" w:hAnsi="Times New Roman" w:eastAsia="黑体"/>
          <w:b w:val="0"/>
          <w:color w:val="auto"/>
          <w:highlight w:val="none"/>
        </w:rPr>
        <w:t>0.3变更程序</w:t>
      </w:r>
      <w:bookmarkEnd w:id="425"/>
    </w:p>
    <w:bookmarkEnd w:id="426"/>
    <w:bookmarkEnd w:id="427"/>
    <w:bookmarkEnd w:id="428"/>
    <w:p w14:paraId="522142B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10.3.1 发包人提出变更</w:t>
      </w:r>
    </w:p>
    <w:p w14:paraId="6109940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发包人提出变更的，应通过监理人向承包人发出变更指示，变更指示应说明计划变更的工程范围和变更的内容。</w:t>
      </w:r>
    </w:p>
    <w:p w14:paraId="47802B0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10.3.2 监理人提出变更建议</w:t>
      </w:r>
    </w:p>
    <w:p w14:paraId="1AFE9F2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352B7FB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10.3.3 变更执行</w:t>
      </w:r>
    </w:p>
    <w:p w14:paraId="60CE86C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承包人收到监理人下达的变更指示后，</w:t>
      </w:r>
      <w:r>
        <w:rPr>
          <w:rFonts w:hint="eastAsia" w:eastAsia="仿宋_GB2312"/>
          <w:color w:val="auto"/>
          <w:sz w:val="24"/>
          <w:highlight w:val="none"/>
        </w:rPr>
        <w:t>认为不能执行，应立即</w:t>
      </w:r>
      <w:r>
        <w:rPr>
          <w:rFonts w:eastAsia="仿宋_GB2312"/>
          <w:color w:val="auto"/>
          <w:sz w:val="24"/>
          <w:highlight w:val="none"/>
        </w:rPr>
        <w:t>提出不能执行该变更指示的理由。承包人</w:t>
      </w:r>
      <w:r>
        <w:rPr>
          <w:rFonts w:hint="eastAsia" w:eastAsia="仿宋_GB2312"/>
          <w:color w:val="auto"/>
          <w:sz w:val="24"/>
          <w:highlight w:val="none"/>
        </w:rPr>
        <w:t>认为可以</w:t>
      </w:r>
      <w:r>
        <w:rPr>
          <w:rFonts w:eastAsia="仿宋_GB2312"/>
          <w:color w:val="auto"/>
          <w:sz w:val="24"/>
          <w:highlight w:val="none"/>
        </w:rPr>
        <w:t>执行变更的，</w:t>
      </w:r>
      <w:r>
        <w:rPr>
          <w:rFonts w:hint="eastAsia" w:eastAsia="仿宋_GB2312"/>
          <w:color w:val="auto"/>
          <w:sz w:val="24"/>
          <w:highlight w:val="none"/>
        </w:rPr>
        <w:t>应当书面说明实施该变更指示对合同价格和工期的影响，且合同当事人应当按照第10.4款〔变更估价〕约定确定变更估价</w:t>
      </w:r>
      <w:r>
        <w:rPr>
          <w:rFonts w:eastAsia="仿宋_GB2312"/>
          <w:color w:val="auto"/>
          <w:sz w:val="24"/>
          <w:highlight w:val="none"/>
        </w:rPr>
        <w:t>。</w:t>
      </w:r>
    </w:p>
    <w:p w14:paraId="6E16A769">
      <w:pPr>
        <w:pStyle w:val="6"/>
        <w:pageBreakBefore w:val="0"/>
        <w:kinsoku/>
        <w:wordWrap/>
        <w:overflowPunct/>
        <w:topLinePunct w:val="0"/>
        <w:bidi w:val="0"/>
        <w:spacing w:before="0" w:after="0" w:line="288" w:lineRule="auto"/>
        <w:ind w:left="0" w:leftChars="0" w:firstLine="480" w:firstLineChars="200"/>
        <w:textAlignment w:val="auto"/>
        <w:rPr>
          <w:color w:val="auto"/>
          <w:highlight w:val="none"/>
        </w:rPr>
      </w:pPr>
      <w:bookmarkStart w:id="429" w:name="_Toc351203571"/>
      <w:r>
        <w:rPr>
          <w:rFonts w:ascii="Times New Roman" w:hAnsi="Times New Roman" w:eastAsia="黑体"/>
          <w:b w:val="0"/>
          <w:color w:val="auto"/>
          <w:highlight w:val="none"/>
        </w:rPr>
        <w:t>1</w:t>
      </w:r>
      <w:bookmarkStart w:id="430" w:name="_Toc296503087"/>
      <w:bookmarkStart w:id="431" w:name="_Toc296346588"/>
      <w:bookmarkStart w:id="432" w:name="_Toc337558791"/>
      <w:r>
        <w:rPr>
          <w:rFonts w:ascii="Times New Roman" w:hAnsi="Times New Roman" w:eastAsia="黑体"/>
          <w:b w:val="0"/>
          <w:color w:val="auto"/>
          <w:highlight w:val="none"/>
        </w:rPr>
        <w:t>0.4变更</w:t>
      </w:r>
      <w:r>
        <w:rPr>
          <w:rFonts w:ascii="Times New Roman" w:hAnsi="Times New Roman" w:eastAsia="黑体" w:cs="Times New Roman"/>
          <w:b w:val="0"/>
          <w:color w:val="auto"/>
          <w:highlight w:val="none"/>
        </w:rPr>
        <w:t>估价</w:t>
      </w:r>
      <w:bookmarkEnd w:id="429"/>
      <w:bookmarkEnd w:id="430"/>
      <w:bookmarkEnd w:id="431"/>
      <w:bookmarkEnd w:id="432"/>
      <w:bookmarkStart w:id="433" w:name="_Toc351203572"/>
      <w:r>
        <w:rPr>
          <w:rFonts w:hint="eastAsia" w:ascii="Times New Roman" w:hAnsi="Times New Roman" w:eastAsia="黑体" w:cs="Times New Roman"/>
          <w:b w:val="0"/>
          <w:color w:val="auto"/>
          <w:highlight w:val="none"/>
        </w:rPr>
        <w:t>、签证估价</w:t>
      </w:r>
    </w:p>
    <w:p w14:paraId="76215CC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10.4.1变更、签证估价的原则</w:t>
      </w:r>
    </w:p>
    <w:p w14:paraId="78F1456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关于变更、签证估价的约定:</w:t>
      </w:r>
    </w:p>
    <w:p w14:paraId="5AFFD3F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10.4.1.1因工程量偏差、工程量清单漏项或漏量、工程变更等引起已标价工程量清单项目或其工程量发生变化时，均按照下列规定调整价款:</w:t>
      </w:r>
    </w:p>
    <w:p w14:paraId="23744F7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1.已标价工程量清单中已有相同项目的，按投标书相同项目的综合单价计算，但当清单项目的工程数量发生变化，且工程量偏差超过15%时，按照下列办法调整:</w:t>
      </w:r>
    </w:p>
    <w:p w14:paraId="4019C87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(1)当01&gt;1.15Q0时</w:t>
      </w:r>
    </w:p>
    <w:p w14:paraId="382D8D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S=1.15Q0xP0+(Q1-1.1500)xP1</w:t>
      </w:r>
    </w:p>
    <w:p w14:paraId="4697478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此时综合单价P1的计算按以下公式:</w:t>
      </w:r>
    </w:p>
    <w:p w14:paraId="34A07B2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①当P0&gt; P2x(1+15%)时，P1按照P2x(1+15%)调整;</w:t>
      </w:r>
    </w:p>
    <w:p w14:paraId="0BA0A6D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②当PO≤ P2x(1+15%)时，P1=P0.</w:t>
      </w:r>
    </w:p>
    <w:p w14:paraId="2D2C3CC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当Q1&lt;0.85Q0时(包括Q1=0)</w:t>
      </w:r>
    </w:p>
    <w:p w14:paraId="15244F2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S=Q1xP1+(0.85Q0-Q1)x(P0-P1)</w:t>
      </w:r>
    </w:p>
    <w:p w14:paraId="2CFD28C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此时综合单价P1的计算按以下公式:</w:t>
      </w:r>
    </w:p>
    <w:p w14:paraId="0711B76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当P0&lt; P2x(1-L) x(1-15%)时,P1按照P2x(1-L) x(1-15%)调整:</w:t>
      </w:r>
    </w:p>
    <w:p w14:paraId="4DB4C55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当P0&gt;P2x(1-L)x(1-15%)时，P1=P0。</w:t>
      </w:r>
    </w:p>
    <w:p w14:paraId="2B03E19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上述公式中:</w:t>
      </w:r>
    </w:p>
    <w:p w14:paraId="4EF32EA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S---调整后的某一分部工程费结算价:</w:t>
      </w:r>
    </w:p>
    <w:p w14:paraId="6251CF1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Q1---最终完成的工程量(包括Q1=0的情形);</w:t>
      </w:r>
    </w:p>
    <w:p w14:paraId="7782094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Q0---招标洁单中列出的工程量:</w:t>
      </w:r>
    </w:p>
    <w:p w14:paraId="52A9FE6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P1---重新调整的综合单价;</w:t>
      </w:r>
    </w:p>
    <w:p w14:paraId="5E91453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P0---承包人在工程量清单中填报的综合单价。</w:t>
      </w:r>
    </w:p>
    <w:p w14:paraId="0619A86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P2---发包人最高投标限价相应项目的综合单价:</w:t>
      </w:r>
    </w:p>
    <w:p w14:paraId="215F15B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L---承包人报价浮动率[(1-(中标价-暂列金额)/(最高投标限价-暂列金额))*100%]。</w:t>
      </w:r>
    </w:p>
    <w:p w14:paraId="57D10F8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2.已标价工程量清单中无相同项目但有类似项目的，可在合理范围内参照投标书类似项目的综合单价计算;</w:t>
      </w:r>
    </w:p>
    <w:p w14:paraId="0A4EA10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3.已标价工程量清单中没有相同项目也没有类似于变更、漏项项目的，由承包人根据变更工程资料、计量规则、计价办法和工程造价管理机构发布的指导价和承包人报价浮动率提出变更工程项目的单价，并报发包人确认后调整:</w:t>
      </w:r>
    </w:p>
    <w:p w14:paraId="0583D58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承包人报价浮动率=(1-(中标价-暂列金额)/(最高投标限价-暂列金额))*100%</w:t>
      </w:r>
    </w:p>
    <w:p w14:paraId="2DA40D1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4.已标价工程量清单中没有相同项目也没有类似于变更、漏项项目的，且工程造价管理机构发布的信息价缺价的，由承包人根据变更工程资料、计量规则、计价办法和通过市场调查等取得有合法依据的市场价格提出变更工程项目的单价，并报发包人确认后调整，《徐州工程造价信息》中没有相应材料指导价的，根据市场价双方比价或者由发包人经招标确定价格后，计入相应的定额计价，但该部分材料价格不再参与下浮，其余部分按照中标时中标价(扣除暂列金额部分)与最高投标限价(扣除暂列金额部分)整体下浮比率下浮。</w:t>
      </w:r>
    </w:p>
    <w:p w14:paraId="0996EBC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10.4.1.2对认质认价材料，在工程结算时仅计取材料差价及税金，其它费用不再调</w:t>
      </w:r>
    </w:p>
    <w:p w14:paraId="7DE0ACA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整。</w:t>
      </w:r>
    </w:p>
    <w:p w14:paraId="2F4D523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10.4.1.3 因分部分项工程量清单漏项或非承包人原因的工程变更,造成施工组织设计或施工方案变更，引起措施项目发生变化时，承包人应事先将拟实施的方案提交发包人确认，并应详细说明与原方案措施项目相比变化的情况，拟实施的方案经发承包双方确认后执行，措施项目费应按下列原则调整:</w:t>
      </w:r>
    </w:p>
    <w:p w14:paraId="445730F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①“按总价计算的措施项目”中安全文明施工费按投标时费率进行调整，其他总价措施费除“建筑工人实名制费”和“扬尘污染增加费"外,其余费用不因工程量的增减或工程变更而调整,“建筑工人实名制费”和“扬尘污染增加费”如中标单位未按省市文件规定的采取具体措施实施，此两项费用结算时不予计取；</w:t>
      </w:r>
    </w:p>
    <w:p w14:paraId="5FFF382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ascii="Times New Roman" w:hAnsi="Times New Roman" w:eastAsia="仿宋_GB2312"/>
          <w:color w:val="auto"/>
          <w:sz w:val="24"/>
          <w:highlight w:val="none"/>
        </w:rPr>
        <w:t xml:space="preserve">②)“采用单价计算的措施项目”发生关联变化时，根据实际发生变化的措施项目，按合同 </w:t>
      </w:r>
      <w:r>
        <w:rPr>
          <w:rFonts w:hint="eastAsia" w:ascii="Times New Roman" w:hAnsi="Times New Roman" w:eastAsia="仿宋_GB2312"/>
          <w:color w:val="auto"/>
          <w:sz w:val="24"/>
          <w:highlight w:val="none"/>
        </w:rPr>
        <w:t>8</w:t>
      </w:r>
      <w:r>
        <w:rPr>
          <w:rFonts w:ascii="Times New Roman" w:hAnsi="Times New Roman" w:eastAsia="仿宋_GB2312"/>
          <w:color w:val="auto"/>
          <w:sz w:val="24"/>
          <w:highlight w:val="none"/>
        </w:rPr>
        <w:t>.</w:t>
      </w:r>
      <w:r>
        <w:rPr>
          <w:rFonts w:hint="eastAsia" w:ascii="Times New Roman" w:hAnsi="Times New Roman" w:eastAsia="仿宋_GB2312"/>
          <w:color w:val="auto"/>
          <w:sz w:val="24"/>
          <w:highlight w:val="none"/>
        </w:rPr>
        <w:t>2</w:t>
      </w:r>
      <w:r>
        <w:rPr>
          <w:rFonts w:ascii="Times New Roman" w:hAnsi="Times New Roman" w:eastAsia="仿宋_GB2312"/>
          <w:color w:val="auto"/>
          <w:sz w:val="24"/>
          <w:highlight w:val="none"/>
        </w:rPr>
        <w:t>.1规定确定单价。</w:t>
      </w:r>
    </w:p>
    <w:p w14:paraId="5D1AB6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ascii="Times New Roman" w:hAnsi="Times New Roman" w:eastAsia="仿宋_GB2312"/>
          <w:color w:val="auto"/>
          <w:sz w:val="24"/>
          <w:highlight w:val="none"/>
        </w:rPr>
        <w:t>③原措施费中没有的措施项目，由承包人根据措施项目变更情况，提出适当的措施费变更要求，经发包人确认后调整:合同有约定的按合同执行。</w:t>
      </w:r>
    </w:p>
    <w:p w14:paraId="64E3562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ascii="Times New Roman" w:hAnsi="Times New Roman" w:eastAsia="仿宋_GB2312"/>
          <w:color w:val="auto"/>
          <w:sz w:val="24"/>
          <w:highlight w:val="none"/>
        </w:rPr>
        <w:t>如果承包人未事先将拟实施的方案提交给发包人确认，则视为工程变更不引起措施项目费的调整或承包人放弃调整措施项目的权利。</w:t>
      </w:r>
    </w:p>
    <w:p w14:paraId="006DBA5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w:t>
      </w:r>
      <w:r>
        <w:rPr>
          <w:rFonts w:ascii="Times New Roman" w:hAnsi="Times New Roman" w:eastAsia="仿宋_GB2312"/>
          <w:color w:val="auto"/>
          <w:sz w:val="24"/>
          <w:highlight w:val="none"/>
        </w:rPr>
        <w:t>4项目特征描述不全或不符的项目:清单项目中特征描述不全的工序或施工内容、材料和设备名称，如图纸已明确或已指明引用的规范、图集等或是常规工艺必须的工序，视为费用已包括在合同价款中，不得再以项目特征描述不全或者其他理由主张价格变更。承包人应按照发包人提供的设计图纸实施合同工程，若在合同行期间出现设计图纸(含设计变更)与招标工程量清单任一项目的特征描述不符，且该变化引起项目工程造价增减变化的，应按照实际施工的项目特征，根据本合同</w:t>
      </w:r>
      <w:r>
        <w:rPr>
          <w:rFonts w:hint="eastAsia" w:ascii="Times New Roman" w:hAnsi="Times New Roman" w:eastAsia="仿宋_GB2312"/>
          <w:color w:val="auto"/>
          <w:sz w:val="24"/>
          <w:highlight w:val="none"/>
        </w:rPr>
        <w:t>8</w:t>
      </w:r>
      <w:r>
        <w:rPr>
          <w:rFonts w:ascii="Times New Roman" w:hAnsi="Times New Roman" w:eastAsia="仿宋_GB2312"/>
          <w:color w:val="auto"/>
          <w:sz w:val="24"/>
          <w:highlight w:val="none"/>
        </w:rPr>
        <w:t>.</w:t>
      </w:r>
      <w:r>
        <w:rPr>
          <w:rFonts w:hint="eastAsia" w:ascii="Times New Roman" w:hAnsi="Times New Roman" w:eastAsia="仿宋_GB2312"/>
          <w:color w:val="auto"/>
          <w:sz w:val="24"/>
          <w:highlight w:val="none"/>
        </w:rPr>
        <w:t>2</w:t>
      </w:r>
      <w:r>
        <w:rPr>
          <w:rFonts w:ascii="Times New Roman" w:hAnsi="Times New Roman" w:eastAsia="仿宋_GB2312"/>
          <w:color w:val="auto"/>
          <w:sz w:val="24"/>
          <w:highlight w:val="none"/>
        </w:rPr>
        <w:t>.1.1条相关条款的规定重新确定相应工程量洁单项目的综合单价，并调整合同价款。</w:t>
      </w:r>
    </w:p>
    <w:p w14:paraId="0C91713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ascii="Times New Roman" w:hAnsi="Times New Roman" w:eastAsia="仿宋_GB2312"/>
          <w:color w:val="auto"/>
          <w:sz w:val="24"/>
          <w:highlight w:val="none"/>
        </w:rPr>
      </w:pPr>
      <w:r>
        <w:rPr>
          <w:rFonts w:hint="eastAsia" w:ascii="Times New Roman" w:hAnsi="Times New Roman" w:eastAsia="仿宋_GB2312"/>
          <w:color w:val="auto"/>
          <w:sz w:val="24"/>
          <w:highlight w:val="none"/>
        </w:rPr>
        <w:t>10.4.1.</w:t>
      </w:r>
      <w:r>
        <w:rPr>
          <w:rFonts w:ascii="Times New Roman" w:hAnsi="Times New Roman" w:eastAsia="仿宋_GB2312"/>
          <w:color w:val="auto"/>
          <w:sz w:val="24"/>
          <w:highlight w:val="none"/>
        </w:rPr>
        <w:t>5 发包人根据施工现场实际情况，有权增减施工内容及对应的费用，承包人须无条件接受，同时不得因为施工内容的减少向发包人索赔其它任何费用。</w:t>
      </w:r>
    </w:p>
    <w:p w14:paraId="42B1493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r>
        <w:rPr>
          <w:rFonts w:ascii="Times New Roman" w:hAnsi="Times New Roman" w:eastAsia="黑体"/>
          <w:b w:val="0"/>
          <w:color w:val="auto"/>
          <w:highlight w:val="none"/>
        </w:rPr>
        <w:t>1</w:t>
      </w:r>
      <w:bookmarkStart w:id="434" w:name="_Toc337558792"/>
      <w:bookmarkStart w:id="435" w:name="_Toc296346595"/>
      <w:bookmarkStart w:id="436" w:name="_Toc296503094"/>
      <w:r>
        <w:rPr>
          <w:rFonts w:ascii="Times New Roman" w:hAnsi="Times New Roman" w:eastAsia="黑体"/>
          <w:b w:val="0"/>
          <w:color w:val="auto"/>
          <w:highlight w:val="none"/>
        </w:rPr>
        <w:t>0.5承包人的合理化建议</w:t>
      </w:r>
      <w:bookmarkEnd w:id="433"/>
    </w:p>
    <w:bookmarkEnd w:id="434"/>
    <w:bookmarkEnd w:id="435"/>
    <w:bookmarkEnd w:id="436"/>
    <w:p w14:paraId="26536A9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承包人提出合理化建议的，应向监理人提交合理化建议说明，说明建议的内容和理由，以及实施该建议对合同价格和工期的影响。</w:t>
      </w:r>
    </w:p>
    <w:p w14:paraId="692DC2B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eastAsia="仿宋_GB2312"/>
          <w:color w:val="auto"/>
          <w:sz w:val="24"/>
          <w:highlight w:val="none"/>
        </w:rPr>
        <w:t>〔</w:t>
      </w:r>
      <w:r>
        <w:rPr>
          <w:rFonts w:eastAsia="仿宋_GB2312"/>
          <w:color w:val="auto"/>
          <w:sz w:val="24"/>
          <w:highlight w:val="none"/>
        </w:rPr>
        <w:t>变更估价</w:t>
      </w:r>
      <w:r>
        <w:rPr>
          <w:rFonts w:hint="eastAsia" w:eastAsia="仿宋_GB2312"/>
          <w:color w:val="auto"/>
          <w:sz w:val="24"/>
          <w:highlight w:val="none"/>
        </w:rPr>
        <w:t>〕</w:t>
      </w:r>
      <w:r>
        <w:rPr>
          <w:rFonts w:eastAsia="仿宋_GB2312"/>
          <w:color w:val="auto"/>
          <w:sz w:val="24"/>
          <w:highlight w:val="none"/>
        </w:rPr>
        <w:t>约定执行。发包人不同意变更的，监理人应书面通知承包人。</w:t>
      </w:r>
    </w:p>
    <w:p w14:paraId="1B94548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合理化建议降低了合同价格或者提高了工程经济效益的，发包人可对承包人给予奖励，奖励的方法和金额在专用合同条款中约定。</w:t>
      </w:r>
    </w:p>
    <w:p w14:paraId="247B9BA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仿宋_GB2312"/>
          <w:color w:val="auto"/>
          <w:highlight w:val="none"/>
        </w:rPr>
      </w:pPr>
      <w:bookmarkStart w:id="437" w:name="_Toc351203573"/>
      <w:r>
        <w:rPr>
          <w:rFonts w:ascii="Times New Roman" w:hAnsi="Times New Roman" w:eastAsia="黑体"/>
          <w:b w:val="0"/>
          <w:color w:val="auto"/>
          <w:highlight w:val="none"/>
        </w:rPr>
        <w:t>1</w:t>
      </w:r>
      <w:bookmarkStart w:id="438" w:name="_Toc337558793"/>
      <w:r>
        <w:rPr>
          <w:rFonts w:ascii="Times New Roman" w:hAnsi="Times New Roman" w:eastAsia="黑体"/>
          <w:b w:val="0"/>
          <w:color w:val="auto"/>
          <w:highlight w:val="none"/>
        </w:rPr>
        <w:t>0.6变更引起的工期调整</w:t>
      </w:r>
      <w:bookmarkEnd w:id="437"/>
      <w:r>
        <w:rPr>
          <w:rFonts w:ascii="Times New Roman" w:hAnsi="Times New Roman" w:eastAsia="黑体"/>
          <w:b w:val="0"/>
          <w:color w:val="auto"/>
          <w:highlight w:val="none"/>
        </w:rPr>
        <w:t xml:space="preserve"> </w:t>
      </w:r>
      <w:bookmarkEnd w:id="438"/>
      <w:r>
        <w:rPr>
          <w:rFonts w:ascii="Times New Roman" w:hAnsi="Times New Roman" w:eastAsia="黑体"/>
          <w:b w:val="0"/>
          <w:color w:val="auto"/>
          <w:highlight w:val="none"/>
        </w:rPr>
        <w:t xml:space="preserve"> </w:t>
      </w:r>
      <w:r>
        <w:rPr>
          <w:rFonts w:ascii="Times New Roman" w:hAnsi="Times New Roman" w:eastAsia="仿宋_GB2312"/>
          <w:color w:val="auto"/>
          <w:highlight w:val="none"/>
        </w:rPr>
        <w:t xml:space="preserve"> </w:t>
      </w:r>
    </w:p>
    <w:p w14:paraId="350F42F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因变更引起工期变化的，合同当事人均可要求调整合同工期，由合同当事人按照第4.4款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并参考工程所在地的工期定额标准确定增减工期天数。</w:t>
      </w:r>
    </w:p>
    <w:p w14:paraId="2589BE4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39" w:name="_Toc351203574"/>
      <w:r>
        <w:rPr>
          <w:rFonts w:ascii="Times New Roman" w:hAnsi="Times New Roman" w:eastAsia="黑体"/>
          <w:b w:val="0"/>
          <w:color w:val="auto"/>
          <w:highlight w:val="none"/>
        </w:rPr>
        <w:t>10.7暂估价</w:t>
      </w:r>
      <w:bookmarkEnd w:id="439"/>
    </w:p>
    <w:p w14:paraId="30555F8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暂估价专业分包工程、</w:t>
      </w:r>
      <w:r>
        <w:rPr>
          <w:rFonts w:hint="eastAsia" w:eastAsia="仿宋_GB2312"/>
          <w:color w:val="auto"/>
          <w:sz w:val="24"/>
          <w:highlight w:val="none"/>
        </w:rPr>
        <w:t>服务、</w:t>
      </w:r>
      <w:r>
        <w:rPr>
          <w:rFonts w:eastAsia="仿宋_GB2312"/>
          <w:color w:val="auto"/>
          <w:sz w:val="24"/>
          <w:highlight w:val="none"/>
        </w:rPr>
        <w:t>材料和工程设备的明细由合同当事人在专用合同条款中约定。</w:t>
      </w:r>
    </w:p>
    <w:p w14:paraId="563E2DD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10.7.1 依法必须招标的暂估价项目</w:t>
      </w:r>
    </w:p>
    <w:p w14:paraId="2A7221C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对于依法必须招标的暂估价项目，采取以下第1种方式确定</w:t>
      </w:r>
      <w:r>
        <w:rPr>
          <w:rFonts w:hint="eastAsia" w:eastAsia="仿宋_GB2312"/>
          <w:color w:val="auto"/>
          <w:sz w:val="24"/>
          <w:highlight w:val="none"/>
        </w:rPr>
        <w:t>。合同当事人也可以在</w:t>
      </w:r>
      <w:r>
        <w:rPr>
          <w:rFonts w:eastAsia="仿宋_GB2312"/>
          <w:color w:val="auto"/>
          <w:sz w:val="24"/>
          <w:highlight w:val="none"/>
        </w:rPr>
        <w:t>专用合同条款</w:t>
      </w:r>
      <w:r>
        <w:rPr>
          <w:rFonts w:hint="eastAsia" w:eastAsia="仿宋_GB2312"/>
          <w:color w:val="auto"/>
          <w:sz w:val="24"/>
          <w:highlight w:val="none"/>
        </w:rPr>
        <w:t>中选择其他招标方式。</w:t>
      </w:r>
    </w:p>
    <w:p w14:paraId="77865C0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第1种方式：对于依法必须招标的暂估价项目，由承包人招标，对该暂估价项目的确认和批准按照以下约定执行：</w:t>
      </w:r>
    </w:p>
    <w:p w14:paraId="7885741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32C3D12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eastAsia="仿宋_GB2312"/>
          <w:color w:val="auto"/>
          <w:sz w:val="24"/>
          <w:highlight w:val="none"/>
        </w:rPr>
        <w:t>并按照法律规定参加评标</w:t>
      </w:r>
      <w:r>
        <w:rPr>
          <w:rFonts w:eastAsia="仿宋_GB2312"/>
          <w:color w:val="auto"/>
          <w:sz w:val="24"/>
          <w:highlight w:val="none"/>
        </w:rPr>
        <w:t>；</w:t>
      </w:r>
    </w:p>
    <w:p w14:paraId="1D3B9891">
      <w:pPr>
        <w:pageBreakBefore w:val="0"/>
        <w:kinsoku/>
        <w:wordWrap/>
        <w:overflowPunct/>
        <w:topLinePunct w:val="0"/>
        <w:bidi w:val="0"/>
        <w:spacing w:line="288" w:lineRule="auto"/>
        <w:ind w:left="0" w:leftChars="0"/>
        <w:jc w:val="left"/>
        <w:textAlignment w:val="auto"/>
        <w:rPr>
          <w:rFonts w:eastAsia="仿宋_GB2312"/>
          <w:color w:val="auto"/>
          <w:sz w:val="24"/>
          <w:highlight w:val="none"/>
        </w:rPr>
      </w:pPr>
      <w:r>
        <w:rPr>
          <w:rFonts w:eastAsia="仿宋_GB2312"/>
          <w:color w:val="auto"/>
          <w:sz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1258AC8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EDF4CD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10.7.2不属于依法必须招标的暂估价项目</w:t>
      </w:r>
    </w:p>
    <w:p w14:paraId="0793F53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除专用合同条款另有约定外，对于不属于依法必须招标的暂估价项目，采取以下第1种方式确定：</w:t>
      </w:r>
      <w:r>
        <w:rPr>
          <w:rFonts w:hint="eastAsia" w:eastAsia="仿宋_GB2312"/>
          <w:color w:val="auto"/>
          <w:sz w:val="24"/>
          <w:highlight w:val="none"/>
        </w:rPr>
        <w:t xml:space="preserve"> </w:t>
      </w:r>
    </w:p>
    <w:p w14:paraId="523293B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第1种方式：对于不属于依法必须招标的暂估价项目，按本项约定确认和批准：</w:t>
      </w:r>
    </w:p>
    <w:p w14:paraId="795AE7A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2F7575F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（2）发包人认为承包人确定的供应商、分包人无法满足工程质量或合同要求的，发包人可以要求承包人重新确定暂估价项目的供应商、分包人;</w:t>
      </w:r>
    </w:p>
    <w:p w14:paraId="483A5FA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（3）承包人应当在签订暂估价合同后7天内，将暂估价合同副本报送发包人留存。</w:t>
      </w:r>
    </w:p>
    <w:p w14:paraId="0274D0A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第2种方式：承包人按照第10.7.1项</w:t>
      </w:r>
      <w:r>
        <w:rPr>
          <w:rFonts w:hint="eastAsia" w:eastAsia="仿宋_GB2312"/>
          <w:color w:val="auto"/>
          <w:sz w:val="24"/>
          <w:highlight w:val="none"/>
        </w:rPr>
        <w:t>〔</w:t>
      </w:r>
      <w:r>
        <w:rPr>
          <w:rFonts w:eastAsia="仿宋_GB2312"/>
          <w:color w:val="auto"/>
          <w:sz w:val="24"/>
          <w:highlight w:val="none"/>
        </w:rPr>
        <w:t>依法必须招标的暂估价项目</w:t>
      </w:r>
      <w:r>
        <w:rPr>
          <w:rFonts w:hint="eastAsia" w:eastAsia="仿宋_GB2312"/>
          <w:color w:val="auto"/>
          <w:sz w:val="24"/>
          <w:highlight w:val="none"/>
        </w:rPr>
        <w:t>〕</w:t>
      </w:r>
      <w:r>
        <w:rPr>
          <w:rFonts w:eastAsia="仿宋_GB2312"/>
          <w:color w:val="auto"/>
          <w:sz w:val="24"/>
          <w:highlight w:val="none"/>
        </w:rPr>
        <w:t>约定的第1种方式确定暂估价项目。</w:t>
      </w:r>
    </w:p>
    <w:p w14:paraId="5676677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第3种方式：承包人直接实施的暂估价项目</w:t>
      </w:r>
    </w:p>
    <w:p w14:paraId="176C52A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承包人具备实施暂估价项目的资格和条件的，经发包人和承包人协商一致后，可由承包人自行实施暂估价项目，合同当事人可以在专用合同条款约定具体事项。</w:t>
      </w:r>
    </w:p>
    <w:p w14:paraId="31AB4B9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37F12C2">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40" w:name="_Toc351203575"/>
      <w:r>
        <w:rPr>
          <w:rFonts w:ascii="Times New Roman" w:hAnsi="Times New Roman" w:eastAsia="黑体"/>
          <w:b w:val="0"/>
          <w:color w:val="auto"/>
          <w:highlight w:val="none"/>
        </w:rPr>
        <w:t>1</w:t>
      </w:r>
      <w:bookmarkStart w:id="441" w:name="_Toc337558794"/>
      <w:bookmarkStart w:id="442" w:name="_Toc322522561"/>
      <w:bookmarkStart w:id="443" w:name="_Toc296503090"/>
      <w:bookmarkStart w:id="444" w:name="_Toc296346591"/>
      <w:r>
        <w:rPr>
          <w:rFonts w:ascii="Times New Roman" w:hAnsi="Times New Roman" w:eastAsia="黑体"/>
          <w:b w:val="0"/>
          <w:color w:val="auto"/>
          <w:highlight w:val="none"/>
        </w:rPr>
        <w:t>0.8暂列金额</w:t>
      </w:r>
      <w:bookmarkEnd w:id="440"/>
    </w:p>
    <w:bookmarkEnd w:id="441"/>
    <w:p w14:paraId="0CFF537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暂列金额应按照发包人的要求使用，发包人的要求应通过监理人发出。</w:t>
      </w:r>
      <w:r>
        <w:rPr>
          <w:rFonts w:hint="eastAsia" w:eastAsia="仿宋_GB2312"/>
          <w:color w:val="auto"/>
          <w:sz w:val="24"/>
          <w:highlight w:val="none"/>
        </w:rPr>
        <w:t>合同当事人可以在专用合同条款中协商确定有关事项。</w:t>
      </w:r>
    </w:p>
    <w:bookmarkEnd w:id="442"/>
    <w:bookmarkEnd w:id="443"/>
    <w:bookmarkEnd w:id="444"/>
    <w:p w14:paraId="3A322F3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45" w:name="_Toc351203576"/>
      <w:r>
        <w:rPr>
          <w:rFonts w:ascii="Times New Roman" w:hAnsi="Times New Roman" w:eastAsia="黑体"/>
          <w:b w:val="0"/>
          <w:color w:val="auto"/>
          <w:highlight w:val="none"/>
        </w:rPr>
        <w:t>1</w:t>
      </w:r>
      <w:bookmarkStart w:id="446" w:name="_Toc296346592"/>
      <w:bookmarkStart w:id="447" w:name="_Toc337558796"/>
      <w:bookmarkStart w:id="448" w:name="_Toc296503091"/>
      <w:r>
        <w:rPr>
          <w:rFonts w:ascii="Times New Roman" w:hAnsi="Times New Roman" w:eastAsia="黑体"/>
          <w:b w:val="0"/>
          <w:color w:val="auto"/>
          <w:highlight w:val="none"/>
        </w:rPr>
        <w:t>0.9计日工</w:t>
      </w:r>
      <w:bookmarkEnd w:id="445"/>
      <w:r>
        <w:rPr>
          <w:rFonts w:ascii="Times New Roman" w:hAnsi="Times New Roman" w:eastAsia="黑体"/>
          <w:b w:val="0"/>
          <w:color w:val="auto"/>
          <w:highlight w:val="none"/>
        </w:rPr>
        <w:t xml:space="preserve"> </w:t>
      </w:r>
      <w:bookmarkEnd w:id="446"/>
      <w:bookmarkEnd w:id="447"/>
      <w:bookmarkEnd w:id="448"/>
    </w:p>
    <w:p w14:paraId="324AE85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需要采用计日工方式的，经发包人同意后</w:t>
      </w:r>
      <w:r>
        <w:rPr>
          <w:rFonts w:eastAsia="仿宋_GB2312"/>
          <w:color w:val="auto"/>
          <w:sz w:val="24"/>
          <w:highlight w:val="none"/>
        </w:rPr>
        <w:t>，由监理人通知承包人以计日工计价方式实施</w:t>
      </w:r>
      <w:r>
        <w:rPr>
          <w:rFonts w:hint="eastAsia" w:eastAsia="仿宋_GB2312"/>
          <w:color w:val="auto"/>
          <w:sz w:val="24"/>
          <w:highlight w:val="none"/>
        </w:rPr>
        <w:t>相应</w:t>
      </w:r>
      <w:r>
        <w:rPr>
          <w:rFonts w:eastAsia="仿宋_GB2312"/>
          <w:color w:val="auto"/>
          <w:sz w:val="24"/>
          <w:highlight w:val="none"/>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确定</w:t>
      </w:r>
      <w:r>
        <w:rPr>
          <w:rFonts w:hint="eastAsia" w:eastAsia="仿宋_GB2312"/>
          <w:color w:val="auto"/>
          <w:sz w:val="24"/>
          <w:highlight w:val="none"/>
        </w:rPr>
        <w:t>计日工</w:t>
      </w:r>
      <w:r>
        <w:rPr>
          <w:rFonts w:eastAsia="仿宋_GB2312"/>
          <w:color w:val="auto"/>
          <w:sz w:val="24"/>
          <w:highlight w:val="none"/>
        </w:rPr>
        <w:t>的单价。</w:t>
      </w:r>
    </w:p>
    <w:p w14:paraId="7EBF24E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采用计日工计价的任何一项工作，承包人应在该项工作实施过程中，每天提交以下报表和有关凭证报送监理人审查：</w:t>
      </w:r>
    </w:p>
    <w:p w14:paraId="05F74B3F">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（1）工作名称、内容和数量；</w:t>
      </w:r>
    </w:p>
    <w:p w14:paraId="7B0E72A5">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（2）投入该工作的所有人员的姓名、专业、工种、级别和耗用工时；</w:t>
      </w:r>
    </w:p>
    <w:p w14:paraId="74511E12">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（3）投入该工作的材料类别和数量；</w:t>
      </w:r>
    </w:p>
    <w:p w14:paraId="66FB9BBD">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（4）投入该工作的施工设备型号、台数和耗用台时；</w:t>
      </w:r>
    </w:p>
    <w:p w14:paraId="5D927D98">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（5）其他有关资料和凭证。</w:t>
      </w:r>
    </w:p>
    <w:p w14:paraId="57E92B8D">
      <w:pPr>
        <w:pageBreakBefore w:val="0"/>
        <w:kinsoku/>
        <w:wordWrap/>
        <w:overflowPunct/>
        <w:topLinePunct w:val="0"/>
        <w:bidi w:val="0"/>
        <w:spacing w:line="288" w:lineRule="auto"/>
        <w:ind w:left="0" w:leftChars="0" w:firstLine="360" w:firstLineChars="150"/>
        <w:jc w:val="left"/>
        <w:textAlignment w:val="auto"/>
        <w:rPr>
          <w:rFonts w:eastAsia="仿宋_GB2312"/>
          <w:color w:val="auto"/>
          <w:sz w:val="24"/>
          <w:highlight w:val="none"/>
        </w:rPr>
      </w:pPr>
      <w:r>
        <w:rPr>
          <w:rFonts w:eastAsia="仿宋_GB2312"/>
          <w:color w:val="auto"/>
          <w:sz w:val="24"/>
          <w:highlight w:val="none"/>
        </w:rPr>
        <w:t xml:space="preserve"> 计日工由承包人汇总后，列入最近一期进度付款申请单，由监理人审查并经发包人批准后列入进度付款。</w:t>
      </w:r>
    </w:p>
    <w:p w14:paraId="27389950">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449" w:name="_Toc351203577"/>
      <w:r>
        <w:rPr>
          <w:rFonts w:ascii="Times New Roman" w:hAnsi="Times New Roman" w:eastAsia="黑体"/>
          <w:b w:val="0"/>
          <w:color w:val="auto"/>
          <w:sz w:val="24"/>
          <w:szCs w:val="24"/>
          <w:highlight w:val="none"/>
        </w:rPr>
        <w:t>11. 价格调整</w:t>
      </w:r>
      <w:bookmarkEnd w:id="449"/>
    </w:p>
    <w:p w14:paraId="415E6AC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50" w:name="_Toc351203578"/>
      <w:bookmarkStart w:id="451" w:name="_Toc296346593"/>
      <w:bookmarkStart w:id="452" w:name="_Toc337558797"/>
      <w:bookmarkStart w:id="453" w:name="_Toc296503092"/>
      <w:r>
        <w:rPr>
          <w:rFonts w:ascii="Times New Roman" w:hAnsi="Times New Roman" w:eastAsia="黑体"/>
          <w:b w:val="0"/>
          <w:color w:val="auto"/>
          <w:highlight w:val="none"/>
        </w:rPr>
        <w:t>11.1市场价格波动引起的调整</w:t>
      </w:r>
      <w:bookmarkEnd w:id="450"/>
    </w:p>
    <w:bookmarkEnd w:id="451"/>
    <w:bookmarkEnd w:id="452"/>
    <w:bookmarkEnd w:id="453"/>
    <w:p w14:paraId="5E33308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除专用合同条款另有约定外，市场价格波动超过合同当事人约定的范围，合同价格应当调整。合同当事人可以在专用合同条款中约定选择以下一种方式对合同价格进行调整：</w:t>
      </w:r>
    </w:p>
    <w:p w14:paraId="6CD99BE2">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第1种方式：采用价格指数</w:t>
      </w:r>
      <w:r>
        <w:rPr>
          <w:rFonts w:hint="eastAsia" w:eastAsia="仿宋_GB2312"/>
          <w:color w:val="auto"/>
          <w:sz w:val="24"/>
          <w:highlight w:val="none"/>
        </w:rPr>
        <w:t>进行价格</w:t>
      </w:r>
      <w:r>
        <w:rPr>
          <w:rFonts w:eastAsia="仿宋_GB2312"/>
          <w:color w:val="auto"/>
          <w:sz w:val="24"/>
          <w:highlight w:val="none"/>
        </w:rPr>
        <w:t>调整。</w:t>
      </w:r>
    </w:p>
    <w:p w14:paraId="733E1C11">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（1）价格调整公式</w:t>
      </w:r>
    </w:p>
    <w:p w14:paraId="30C7B8D4">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因人工、材料和设备等价格波动影响合同价格时，根据专用合同条款中约定的数据，按以下公式计算差额并调整合同价格：</w:t>
      </w:r>
    </w:p>
    <w:p w14:paraId="790A7235">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position w:val="-30"/>
          <w:sz w:val="24"/>
          <w:highlight w:val="none"/>
        </w:rPr>
        <w:object>
          <v:shape id="_x0000_i1025" o:spt="75" type="#_x0000_t75" style="height:44.45pt;width:360pt;" o:ole="t" filled="f" o:preferrelative="t" stroked="f" coordsize="21600,21600">
            <v:path/>
            <v:fill on="f" focussize="0,0"/>
            <v:stroke on="f" joinstyle="miter"/>
            <v:imagedata r:id="rId16" o:title=""/>
            <o:lock v:ext="edit" aspectratio="t"/>
            <w10:wrap type="none"/>
            <w10:anchorlock/>
          </v:shape>
          <o:OLEObject Type="Embed" ProgID="Equation.3" ShapeID="_x0000_i1025" DrawAspect="Content" ObjectID="_1468075725" r:id="rId15">
            <o:LockedField>false</o:LockedField>
          </o:OLEObject>
        </w:object>
      </w:r>
    </w:p>
    <w:p w14:paraId="20CC4940">
      <w:pPr>
        <w:pageBreakBefore w:val="0"/>
        <w:tabs>
          <w:tab w:val="left" w:pos="0"/>
          <w:tab w:val="left" w:pos="360"/>
          <w:tab w:val="left" w:pos="540"/>
        </w:tabs>
        <w:kinsoku/>
        <w:wordWrap/>
        <w:overflowPunct/>
        <w:topLinePunct w:val="0"/>
        <w:bidi w:val="0"/>
        <w:spacing w:line="288" w:lineRule="auto"/>
        <w:ind w:left="0" w:leftChars="0" w:firstLine="640"/>
        <w:textAlignment w:val="auto"/>
        <w:rPr>
          <w:rFonts w:eastAsia="仿宋_GB2312"/>
          <w:color w:val="auto"/>
          <w:sz w:val="24"/>
          <w:highlight w:val="none"/>
        </w:rPr>
      </w:pPr>
      <w:r>
        <w:rPr>
          <w:rFonts w:eastAsia="仿宋_GB2312"/>
          <w:color w:val="auto"/>
          <w:sz w:val="24"/>
          <w:highlight w:val="none"/>
        </w:rPr>
        <w:t>公式中：ΔP——需调整的价格差额；</w:t>
      </w:r>
    </w:p>
    <w:p w14:paraId="5822E89A">
      <w:pPr>
        <w:pageBreakBefore w:val="0"/>
        <w:tabs>
          <w:tab w:val="left" w:pos="0"/>
          <w:tab w:val="left" w:pos="360"/>
          <w:tab w:val="left" w:pos="540"/>
        </w:tabs>
        <w:kinsoku/>
        <w:wordWrap/>
        <w:overflowPunct/>
        <w:topLinePunct w:val="0"/>
        <w:bidi w:val="0"/>
        <w:spacing w:line="288" w:lineRule="auto"/>
        <w:ind w:left="0" w:leftChars="0" w:firstLine="1440" w:firstLineChars="600"/>
        <w:textAlignment w:val="auto"/>
        <w:rPr>
          <w:rFonts w:eastAsia="仿宋_GB2312"/>
          <w:color w:val="auto"/>
          <w:sz w:val="24"/>
          <w:highlight w:val="none"/>
        </w:rPr>
      </w:pPr>
      <w:r>
        <w:rPr>
          <w:rFonts w:eastAsia="仿宋_GB2312"/>
          <w:color w:val="auto"/>
          <w:position w:val="-6"/>
          <w:sz w:val="24"/>
          <w:highlight w:val="none"/>
        </w:rPr>
        <w:object>
          <v:shape id="_x0000_i1026" o:spt="75" type="#_x0000_t75" style="height:18.15pt;width:18.15pt;" o:ole="t" filled="f" o:preferrelative="t" stroked="f" coordsize="21600,21600">
            <v:path/>
            <v:fill on="f" focussize="0,0"/>
            <v:stroke on="f" joinstyle="miter"/>
            <v:imagedata r:id="rId18" o:title=""/>
            <o:lock v:ext="edit" aspectratio="t"/>
            <w10:wrap type="none"/>
            <w10:anchorlock/>
          </v:shape>
          <o:OLEObject Type="Embed" ProgID="Equation.3" ShapeID="_x0000_i1026" DrawAspect="Content" ObjectID="_1468075726" r:id="rId17">
            <o:LockedField>false</o:LockedField>
          </o:OLEObject>
        </w:object>
      </w:r>
      <w:r>
        <w:rPr>
          <w:rFonts w:eastAsia="仿宋_GB2312"/>
          <w:color w:val="auto"/>
          <w:sz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4E42394E">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A——定值权重（即不调部分的权重）；</w:t>
      </w:r>
    </w:p>
    <w:p w14:paraId="5D9D4B9D">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position w:val="-10"/>
          <w:sz w:val="24"/>
          <w:highlight w:val="none"/>
        </w:rPr>
        <w:object>
          <v:shape id="_x0000_i1027" o:spt="75" type="#_x0000_t75" style="height:21.3pt;width:101.45pt;" o:ole="t" filled="f" o:preferrelative="t" stroked="f" coordsize="21600,21600">
            <v:path/>
            <v:fill on="f" focussize="0,0"/>
            <v:stroke on="f" joinstyle="miter"/>
            <v:imagedata r:id="rId20" o:title=""/>
            <o:lock v:ext="edit" aspectratio="t"/>
            <w10:wrap type="none"/>
            <w10:anchorlock/>
          </v:shape>
          <o:OLEObject Type="Embed" ProgID="Equation.3" ShapeID="_x0000_i1027" DrawAspect="Content" ObjectID="_1468075727" r:id="rId19">
            <o:LockedField>false</o:LockedField>
          </o:OLEObject>
        </w:object>
      </w:r>
      <w:r>
        <w:rPr>
          <w:rFonts w:eastAsia="仿宋_GB2312"/>
          <w:color w:val="auto"/>
          <w:sz w:val="24"/>
          <w:highlight w:val="none"/>
        </w:rPr>
        <w:t>——各可调因子的变值权重（即可调部分的权重），为各可调因子在签约合同价中所占的比例；</w:t>
      </w:r>
    </w:p>
    <w:p w14:paraId="766A9D8C">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position w:val="-10"/>
          <w:sz w:val="24"/>
          <w:highlight w:val="none"/>
        </w:rPr>
        <w:object>
          <v:shape id="_x0000_i1028" o:spt="75" type="#_x0000_t75" style="height:20.05pt;width:102.05pt;" o:ole="t" filled="f" o:preferrelative="t" stroked="f" coordsize="21600,21600">
            <v:path/>
            <v:fill on="f" focussize="0,0"/>
            <v:stroke on="f" joinstyle="miter"/>
            <v:imagedata r:id="rId22" o:title=""/>
            <o:lock v:ext="edit" aspectratio="t"/>
            <w10:wrap type="none"/>
            <w10:anchorlock/>
          </v:shape>
          <o:OLEObject Type="Embed" ProgID="Equation.3" ShapeID="_x0000_i1028" DrawAspect="Content" ObjectID="_1468075728" r:id="rId21">
            <o:LockedField>false</o:LockedField>
          </o:OLEObject>
        </w:object>
      </w:r>
      <w:r>
        <w:rPr>
          <w:rFonts w:eastAsia="仿宋_GB2312"/>
          <w:color w:val="auto"/>
          <w:sz w:val="24"/>
          <w:highlight w:val="none"/>
        </w:rPr>
        <w:t>——各可调因子的现行价格指数，指约定的付款证书相关周期最后一天的前42天的各可调因子的价格指数；</w:t>
      </w:r>
    </w:p>
    <w:p w14:paraId="732B0A0E">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position w:val="-10"/>
          <w:sz w:val="24"/>
          <w:highlight w:val="none"/>
        </w:rPr>
        <w:object>
          <v:shape id="_x0000_i1029" o:spt="75" type="#_x0000_t75" style="height:20.05pt;width:108.3pt;" o:ole="t" filled="f" o:preferrelative="t" stroked="f" coordsize="21600,21600">
            <v:path/>
            <v:fill on="f" focussize="0,0"/>
            <v:stroke on="f" joinstyle="miter"/>
            <v:imagedata r:id="rId24" o:title=""/>
            <o:lock v:ext="edit" aspectratio="t"/>
            <w10:wrap type="none"/>
            <w10:anchorlock/>
          </v:shape>
          <o:OLEObject Type="Embed" ProgID="Equation.3" ShapeID="_x0000_i1029" DrawAspect="Content" ObjectID="_1468075729" r:id="rId23">
            <o:LockedField>false</o:LockedField>
          </o:OLEObject>
        </w:object>
      </w:r>
      <w:r>
        <w:rPr>
          <w:rFonts w:eastAsia="仿宋_GB2312"/>
          <w:color w:val="auto"/>
          <w:sz w:val="24"/>
          <w:highlight w:val="none"/>
        </w:rPr>
        <w:t>——各可调因子的基本价格指数，指基准日期的各可调因子的价格指数。</w:t>
      </w:r>
    </w:p>
    <w:p w14:paraId="552DA136">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28E84A2">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（2）暂时确定调整差额</w:t>
      </w:r>
    </w:p>
    <w:p w14:paraId="408329E5">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在计算调整差额时无现行价格指数的，合同当事人同意暂用前次价格指数计算。实际价格指数有调整的，合同当事人进行相应调整。</w:t>
      </w:r>
    </w:p>
    <w:p w14:paraId="02EB1761">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（3）权重的调整</w:t>
      </w:r>
    </w:p>
    <w:p w14:paraId="0FEC87E8">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因变更导致合同约定的权重不合理时，按照第4.4款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执行。</w:t>
      </w:r>
    </w:p>
    <w:p w14:paraId="00269472">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（4）因承包人原因工期延误后的价格调整</w:t>
      </w:r>
    </w:p>
    <w:p w14:paraId="631996A1">
      <w:pPr>
        <w:pageBreakBefore w:val="0"/>
        <w:tabs>
          <w:tab w:val="left" w:pos="0"/>
          <w:tab w:val="left" w:pos="360"/>
          <w:tab w:val="left" w:pos="540"/>
        </w:tabs>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67B487B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第2种方式：采用造价信息</w:t>
      </w:r>
      <w:r>
        <w:rPr>
          <w:rFonts w:hint="eastAsia" w:eastAsia="仿宋_GB2312"/>
          <w:color w:val="auto"/>
          <w:sz w:val="24"/>
          <w:highlight w:val="none"/>
        </w:rPr>
        <w:t>进行价格</w:t>
      </w:r>
      <w:r>
        <w:rPr>
          <w:rFonts w:eastAsia="仿宋_GB2312"/>
          <w:color w:val="auto"/>
          <w:sz w:val="24"/>
          <w:highlight w:val="none"/>
        </w:rPr>
        <w:t>调整。</w:t>
      </w:r>
    </w:p>
    <w:p w14:paraId="13C6541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eastAsia="仿宋_GB2312"/>
          <w:color w:val="auto"/>
          <w:sz w:val="24"/>
          <w:highlight w:val="none"/>
        </w:rPr>
        <w:t>量</w:t>
      </w:r>
      <w:r>
        <w:rPr>
          <w:rFonts w:eastAsia="仿宋_GB2312"/>
          <w:color w:val="auto"/>
          <w:sz w:val="24"/>
          <w:highlight w:val="none"/>
        </w:rPr>
        <w:t>应由发包人审批，发包人确认需调整的材料单价及数量，作为调整合同价格的依据。</w:t>
      </w:r>
    </w:p>
    <w:p w14:paraId="3A93BD9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50DCD9D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（2）材料、工程设备价格变化的价款调整按照发包人提供的基准价格，按以下风险范围规定执行:</w:t>
      </w:r>
    </w:p>
    <w:p w14:paraId="439CF4D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宋体" w:hAnsi="宋体" w:cs="宋体"/>
          <w:color w:val="auto"/>
          <w:sz w:val="24"/>
          <w:highlight w:val="none"/>
        </w:rPr>
        <w:t>①</w:t>
      </w:r>
      <w:r>
        <w:rPr>
          <w:rFonts w:eastAsia="仿宋_GB2312"/>
          <w:color w:val="auto"/>
          <w:sz w:val="24"/>
          <w:highlight w:val="none"/>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776A256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宋体" w:hAnsi="宋体" w:cs="宋体"/>
          <w:color w:val="auto"/>
          <w:sz w:val="24"/>
          <w:highlight w:val="none"/>
        </w:rPr>
        <w:t>②</w:t>
      </w:r>
      <w:r>
        <w:rPr>
          <w:rFonts w:eastAsia="仿宋_GB2312"/>
          <w:color w:val="auto"/>
          <w:sz w:val="24"/>
          <w:highlight w:val="none"/>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3E2B162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宋体" w:hAnsi="宋体" w:cs="宋体"/>
          <w:color w:val="auto"/>
          <w:sz w:val="24"/>
          <w:highlight w:val="none"/>
        </w:rPr>
        <w:t>③</w:t>
      </w:r>
      <w:r>
        <w:rPr>
          <w:rFonts w:eastAsia="仿宋_GB2312"/>
          <w:color w:val="auto"/>
          <w:sz w:val="24"/>
          <w:highlight w:val="none"/>
        </w:rPr>
        <w:t>承包人在已标价工程量清单或预算书中载明材料单价等于基准价格的：除专用合同条款另有约定外，合同履行期间材料单价涨跌幅以基准价格为基础超过±5%时，其超过部分据实调整。</w:t>
      </w:r>
    </w:p>
    <w:p w14:paraId="15FD8F5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宋体" w:hAnsi="宋体" w:cs="宋体"/>
          <w:color w:val="auto"/>
          <w:sz w:val="24"/>
          <w:highlight w:val="none"/>
        </w:rPr>
        <w:t>④</w:t>
      </w:r>
      <w:r>
        <w:rPr>
          <w:rFonts w:eastAsia="仿宋_GB2312"/>
          <w:color w:val="auto"/>
          <w:sz w:val="24"/>
          <w:highlight w:val="none"/>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3B70C6C9">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7086E01D">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（3）施工机械台班单价或施工机械使用费发生变化超过省级或行业建设主管部门或其授权的工程造价管理机构规定的范围时，按规定调整合同价格。</w:t>
      </w:r>
    </w:p>
    <w:p w14:paraId="0150A33D">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第3种方式：专用合同条款约定的其他方式。</w:t>
      </w:r>
    </w:p>
    <w:p w14:paraId="0D93017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54" w:name="_Toc351203579"/>
      <w:bookmarkStart w:id="455" w:name="_Toc296503093"/>
      <w:bookmarkStart w:id="456" w:name="_Toc296346594"/>
      <w:bookmarkStart w:id="457" w:name="_Toc337558798"/>
      <w:r>
        <w:rPr>
          <w:rFonts w:ascii="Times New Roman" w:hAnsi="Times New Roman" w:eastAsia="黑体"/>
          <w:b w:val="0"/>
          <w:color w:val="auto"/>
          <w:highlight w:val="none"/>
        </w:rPr>
        <w:t>11.2法律变化引起的调整</w:t>
      </w:r>
      <w:bookmarkEnd w:id="454"/>
    </w:p>
    <w:bookmarkEnd w:id="455"/>
    <w:bookmarkEnd w:id="456"/>
    <w:bookmarkEnd w:id="457"/>
    <w:p w14:paraId="5BAB6BA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基准日</w:t>
      </w:r>
      <w:r>
        <w:rPr>
          <w:rFonts w:hint="eastAsia" w:eastAsia="仿宋_GB2312"/>
          <w:color w:val="auto"/>
          <w:sz w:val="24"/>
          <w:highlight w:val="none"/>
        </w:rPr>
        <w:t>期</w:t>
      </w:r>
      <w:r>
        <w:rPr>
          <w:rFonts w:eastAsia="仿宋_GB2312"/>
          <w:color w:val="auto"/>
          <w:sz w:val="24"/>
          <w:highlight w:val="none"/>
        </w:rPr>
        <w:t>后，法律变化</w:t>
      </w:r>
      <w:r>
        <w:rPr>
          <w:rFonts w:hint="eastAsia" w:eastAsia="仿宋_GB2312"/>
          <w:color w:val="auto"/>
          <w:sz w:val="24"/>
          <w:highlight w:val="none"/>
        </w:rPr>
        <w:t>导致承包人在合同履行过程中所需要的费用发生除第11.1款〔市场价格波动引起的调整〕约定以外的增加时，由发包人承担由此增加的费用；减少时，应从合同价格中予以扣减。</w:t>
      </w:r>
      <w:r>
        <w:rPr>
          <w:rFonts w:eastAsia="仿宋_GB2312"/>
          <w:color w:val="auto"/>
          <w:sz w:val="24"/>
          <w:highlight w:val="none"/>
        </w:rPr>
        <w:t>基准日</w:t>
      </w:r>
      <w:r>
        <w:rPr>
          <w:rFonts w:hint="eastAsia" w:eastAsia="仿宋_GB2312"/>
          <w:color w:val="auto"/>
          <w:sz w:val="24"/>
          <w:highlight w:val="none"/>
        </w:rPr>
        <w:t>期</w:t>
      </w:r>
      <w:r>
        <w:rPr>
          <w:rFonts w:eastAsia="仿宋_GB2312"/>
          <w:color w:val="auto"/>
          <w:sz w:val="24"/>
          <w:highlight w:val="none"/>
        </w:rPr>
        <w:t>后，</w:t>
      </w:r>
      <w:r>
        <w:rPr>
          <w:rFonts w:hint="eastAsia" w:eastAsia="仿宋_GB2312"/>
          <w:color w:val="auto"/>
          <w:sz w:val="24"/>
          <w:highlight w:val="none"/>
        </w:rPr>
        <w:t>因</w:t>
      </w:r>
      <w:r>
        <w:rPr>
          <w:rFonts w:eastAsia="仿宋_GB2312"/>
          <w:color w:val="auto"/>
          <w:sz w:val="24"/>
          <w:highlight w:val="none"/>
        </w:rPr>
        <w:t>法律变化</w:t>
      </w:r>
      <w:r>
        <w:rPr>
          <w:rFonts w:hint="eastAsia" w:eastAsia="仿宋_GB2312"/>
          <w:color w:val="auto"/>
          <w:sz w:val="24"/>
          <w:highlight w:val="none"/>
        </w:rPr>
        <w:t>造成工期延误时，工期应予以顺延。</w:t>
      </w:r>
    </w:p>
    <w:p w14:paraId="5A4DA099">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因法律变化引起的合同价格和工期调整，合同当事人无法达成一致的，由总监理工程师按第4.4款〔商定或确定〕的约定处理。</w:t>
      </w:r>
    </w:p>
    <w:p w14:paraId="6F16F54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因承包人原因造成工期延误，在工期延误期间出现法律变化的，由此增加的费用和（或）延误的工期由承包人承担。</w:t>
      </w:r>
    </w:p>
    <w:p w14:paraId="5ECCB3FB">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458" w:name="_Toc351203580"/>
      <w:bookmarkStart w:id="459" w:name="_Toc337558799"/>
      <w:bookmarkStart w:id="460" w:name="_Toc296346597"/>
      <w:bookmarkStart w:id="461" w:name="_Toc296503096"/>
      <w:r>
        <w:rPr>
          <w:rFonts w:ascii="Times New Roman" w:hAnsi="Times New Roman" w:eastAsia="黑体"/>
          <w:b w:val="0"/>
          <w:color w:val="auto"/>
          <w:sz w:val="24"/>
          <w:szCs w:val="24"/>
          <w:highlight w:val="none"/>
        </w:rPr>
        <w:t>12. 合同价格、计量与支付</w:t>
      </w:r>
      <w:bookmarkEnd w:id="458"/>
    </w:p>
    <w:bookmarkEnd w:id="459"/>
    <w:p w14:paraId="6E21828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62" w:name="_Toc351203581"/>
      <w:bookmarkStart w:id="463" w:name="_Toc337558800"/>
      <w:r>
        <w:rPr>
          <w:rFonts w:ascii="Times New Roman" w:hAnsi="Times New Roman" w:eastAsia="黑体"/>
          <w:b w:val="0"/>
          <w:color w:val="auto"/>
          <w:highlight w:val="none"/>
        </w:rPr>
        <w:t>12.1 合同价</w:t>
      </w:r>
      <w:bookmarkEnd w:id="460"/>
      <w:bookmarkEnd w:id="461"/>
      <w:r>
        <w:rPr>
          <w:rFonts w:ascii="Times New Roman" w:hAnsi="Times New Roman" w:eastAsia="黑体"/>
          <w:b w:val="0"/>
          <w:color w:val="auto"/>
          <w:highlight w:val="none"/>
        </w:rPr>
        <w:t>格形式</w:t>
      </w:r>
      <w:bookmarkEnd w:id="462"/>
    </w:p>
    <w:bookmarkEnd w:id="463"/>
    <w:p w14:paraId="1698F61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发包人和承包人应在合同协议书中</w:t>
      </w:r>
      <w:r>
        <w:rPr>
          <w:rFonts w:hint="eastAsia" w:eastAsia="仿宋_GB2312"/>
          <w:color w:val="auto"/>
          <w:sz w:val="24"/>
          <w:highlight w:val="none"/>
        </w:rPr>
        <w:t>选择</w:t>
      </w:r>
      <w:r>
        <w:rPr>
          <w:rFonts w:eastAsia="仿宋_GB2312"/>
          <w:color w:val="auto"/>
          <w:sz w:val="24"/>
          <w:highlight w:val="none"/>
        </w:rPr>
        <w:t xml:space="preserve">下列一种合同价格形式： </w:t>
      </w:r>
    </w:p>
    <w:p w14:paraId="0525BF2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w:t>
      </w:r>
      <w:r>
        <w:rPr>
          <w:rFonts w:hint="eastAsia" w:eastAsia="仿宋_GB2312"/>
          <w:color w:val="auto"/>
          <w:sz w:val="24"/>
          <w:highlight w:val="none"/>
        </w:rPr>
        <w:t>.</w:t>
      </w:r>
      <w:r>
        <w:rPr>
          <w:rFonts w:eastAsia="仿宋_GB2312"/>
          <w:color w:val="auto"/>
          <w:sz w:val="24"/>
          <w:highlight w:val="none"/>
        </w:rPr>
        <w:t>单价合同</w:t>
      </w:r>
    </w:p>
    <w:p w14:paraId="1423EDA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eastAsia="仿宋_GB2312"/>
          <w:color w:val="auto"/>
          <w:sz w:val="24"/>
          <w:highlight w:val="none"/>
        </w:rPr>
        <w:t>〔</w:t>
      </w:r>
      <w:r>
        <w:rPr>
          <w:rFonts w:eastAsia="仿宋_GB2312"/>
          <w:color w:val="auto"/>
          <w:sz w:val="24"/>
          <w:highlight w:val="none"/>
        </w:rPr>
        <w:t>市场价格波动引起的调整</w:t>
      </w:r>
      <w:r>
        <w:rPr>
          <w:rFonts w:hint="eastAsia" w:eastAsia="仿宋_GB2312"/>
          <w:color w:val="auto"/>
          <w:sz w:val="24"/>
          <w:highlight w:val="none"/>
        </w:rPr>
        <w:t>〕</w:t>
      </w:r>
      <w:r>
        <w:rPr>
          <w:rFonts w:eastAsia="仿宋_GB2312"/>
          <w:color w:val="auto"/>
          <w:sz w:val="24"/>
          <w:highlight w:val="none"/>
        </w:rPr>
        <w:t>约定执行。</w:t>
      </w:r>
    </w:p>
    <w:p w14:paraId="415FE98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w:t>
      </w:r>
      <w:r>
        <w:rPr>
          <w:rFonts w:hint="eastAsia" w:eastAsia="仿宋_GB2312"/>
          <w:color w:val="auto"/>
          <w:sz w:val="24"/>
          <w:highlight w:val="none"/>
        </w:rPr>
        <w:t>.</w:t>
      </w:r>
      <w:r>
        <w:rPr>
          <w:rFonts w:eastAsia="仿宋_GB2312"/>
          <w:color w:val="auto"/>
          <w:sz w:val="24"/>
          <w:highlight w:val="none"/>
        </w:rPr>
        <w:t>总价合同</w:t>
      </w:r>
    </w:p>
    <w:p w14:paraId="178E575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eastAsia="仿宋_GB2312"/>
          <w:color w:val="auto"/>
          <w:sz w:val="24"/>
          <w:highlight w:val="none"/>
        </w:rPr>
        <w:t>〔</w:t>
      </w:r>
      <w:r>
        <w:rPr>
          <w:rFonts w:eastAsia="仿宋_GB2312"/>
          <w:color w:val="auto"/>
          <w:sz w:val="24"/>
          <w:highlight w:val="none"/>
        </w:rPr>
        <w:t>市场价格波动引起的调整</w:t>
      </w:r>
      <w:r>
        <w:rPr>
          <w:rFonts w:hint="eastAsia" w:eastAsia="仿宋_GB2312"/>
          <w:color w:val="auto"/>
          <w:sz w:val="24"/>
          <w:highlight w:val="none"/>
        </w:rPr>
        <w:t>〕</w:t>
      </w:r>
      <w:r>
        <w:rPr>
          <w:rFonts w:eastAsia="仿宋_GB2312"/>
          <w:color w:val="auto"/>
          <w:sz w:val="24"/>
          <w:highlight w:val="none"/>
        </w:rPr>
        <w:t>、因法律变化引起的调整按第11.2款</w:t>
      </w:r>
      <w:r>
        <w:rPr>
          <w:rFonts w:hint="eastAsia" w:eastAsia="仿宋_GB2312"/>
          <w:color w:val="auto"/>
          <w:sz w:val="24"/>
          <w:highlight w:val="none"/>
        </w:rPr>
        <w:t>〔</w:t>
      </w:r>
      <w:r>
        <w:rPr>
          <w:rFonts w:eastAsia="仿宋_GB2312"/>
          <w:color w:val="auto"/>
          <w:sz w:val="24"/>
          <w:highlight w:val="none"/>
        </w:rPr>
        <w:t>法律变化引起的调整</w:t>
      </w:r>
      <w:r>
        <w:rPr>
          <w:rFonts w:hint="eastAsia" w:eastAsia="仿宋_GB2312"/>
          <w:color w:val="auto"/>
          <w:sz w:val="24"/>
          <w:highlight w:val="none"/>
        </w:rPr>
        <w:t>〕</w:t>
      </w:r>
      <w:r>
        <w:rPr>
          <w:rFonts w:eastAsia="仿宋_GB2312"/>
          <w:color w:val="auto"/>
          <w:sz w:val="24"/>
          <w:highlight w:val="none"/>
        </w:rPr>
        <w:t>约定执行。</w:t>
      </w:r>
    </w:p>
    <w:p w14:paraId="4AB9EED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w:t>
      </w:r>
      <w:r>
        <w:rPr>
          <w:rFonts w:hint="eastAsia" w:eastAsia="仿宋_GB2312"/>
          <w:color w:val="auto"/>
          <w:sz w:val="24"/>
          <w:highlight w:val="none"/>
        </w:rPr>
        <w:t>.</w:t>
      </w:r>
      <w:r>
        <w:rPr>
          <w:rFonts w:eastAsia="仿宋_GB2312"/>
          <w:color w:val="auto"/>
          <w:sz w:val="24"/>
          <w:highlight w:val="none"/>
        </w:rPr>
        <w:t>其它价格形式</w:t>
      </w:r>
    </w:p>
    <w:p w14:paraId="5A0C6B1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合同当事人可在专用合同条款中约定其他合同价格形式。</w:t>
      </w:r>
    </w:p>
    <w:p w14:paraId="2975726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64" w:name="_Toc296503097"/>
      <w:bookmarkStart w:id="465" w:name="_Toc296346598"/>
      <w:bookmarkStart w:id="466" w:name="_Toc351203582"/>
      <w:bookmarkStart w:id="467" w:name="_Toc337558801"/>
      <w:r>
        <w:rPr>
          <w:rFonts w:ascii="Times New Roman" w:hAnsi="Times New Roman" w:eastAsia="黑体"/>
          <w:b w:val="0"/>
          <w:color w:val="auto"/>
          <w:highlight w:val="none"/>
        </w:rPr>
        <w:t>12.2预</w:t>
      </w:r>
      <w:bookmarkEnd w:id="464"/>
      <w:bookmarkEnd w:id="465"/>
      <w:bookmarkStart w:id="468" w:name="_Toc296503100"/>
      <w:bookmarkStart w:id="469" w:name="_Toc296346601"/>
      <w:r>
        <w:rPr>
          <w:rFonts w:ascii="Times New Roman" w:hAnsi="Times New Roman" w:eastAsia="黑体"/>
          <w:b w:val="0"/>
          <w:color w:val="auto"/>
          <w:highlight w:val="none"/>
        </w:rPr>
        <w:t>付款</w:t>
      </w:r>
      <w:bookmarkEnd w:id="466"/>
    </w:p>
    <w:bookmarkEnd w:id="467"/>
    <w:bookmarkEnd w:id="468"/>
    <w:bookmarkEnd w:id="469"/>
    <w:p w14:paraId="19B1B3F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12.2.1预付款的支付</w:t>
      </w:r>
    </w:p>
    <w:p w14:paraId="5152554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预付款的支付按照专用合同条款约定执行，但至迟应在开工通知载明的开工日期7天前支付。预付款应当用于材料、工程设备、施工设备的采购及修建临时工程、组织施工队伍进场等。</w:t>
      </w:r>
    </w:p>
    <w:p w14:paraId="5E9DC43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除专用合同条款另有约定外，预付款在进度付款中同比例扣回。在颁发工程接收证书前，提前解除合同的，尚未扣完的预付款应与合同价款一并结算。</w:t>
      </w:r>
    </w:p>
    <w:p w14:paraId="657CE91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发包人逾期支付预付款超过7天的，承包人有权向发包人发出要求预付的催告通知，发包人收到通知后7天内仍未支付的，承包人有权暂停施工，并按第16.1.1项</w:t>
      </w:r>
      <w:r>
        <w:rPr>
          <w:rFonts w:hint="eastAsia" w:eastAsia="仿宋_GB2312"/>
          <w:color w:val="auto"/>
          <w:sz w:val="24"/>
          <w:highlight w:val="none"/>
        </w:rPr>
        <w:t>〔</w:t>
      </w:r>
      <w:r>
        <w:rPr>
          <w:rFonts w:eastAsia="仿宋_GB2312"/>
          <w:color w:val="auto"/>
          <w:sz w:val="24"/>
          <w:highlight w:val="none"/>
        </w:rPr>
        <w:t>发包人违约的情形</w:t>
      </w:r>
      <w:r>
        <w:rPr>
          <w:rFonts w:hint="eastAsia" w:eastAsia="仿宋_GB2312"/>
          <w:color w:val="auto"/>
          <w:sz w:val="24"/>
          <w:highlight w:val="none"/>
        </w:rPr>
        <w:t>〕</w:t>
      </w:r>
      <w:r>
        <w:rPr>
          <w:rFonts w:eastAsia="仿宋_GB2312"/>
          <w:color w:val="auto"/>
          <w:sz w:val="24"/>
          <w:highlight w:val="none"/>
        </w:rPr>
        <w:t>执行。</w:t>
      </w:r>
    </w:p>
    <w:p w14:paraId="0405F36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12.2.2 预付款担保</w:t>
      </w:r>
    </w:p>
    <w:p w14:paraId="7357F2D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发包人要求承包人提供预付款担保的</w:t>
      </w:r>
      <w:r>
        <w:rPr>
          <w:rFonts w:eastAsia="仿宋_GB2312"/>
          <w:color w:val="auto"/>
          <w:sz w:val="24"/>
          <w:highlight w:val="none"/>
        </w:rPr>
        <w:t>，承包人应在发包人支付预付款7天前提供预付款担保</w:t>
      </w:r>
      <w:r>
        <w:rPr>
          <w:rFonts w:hint="eastAsia" w:eastAsia="仿宋_GB2312"/>
          <w:color w:val="auto"/>
          <w:sz w:val="24"/>
          <w:highlight w:val="none"/>
        </w:rPr>
        <w:t>，</w:t>
      </w:r>
      <w:r>
        <w:rPr>
          <w:rFonts w:eastAsia="仿宋_GB2312"/>
          <w:color w:val="auto"/>
          <w:sz w:val="24"/>
          <w:highlight w:val="none"/>
        </w:rPr>
        <w:t>专用合同条款另有约定</w:t>
      </w:r>
      <w:r>
        <w:rPr>
          <w:rFonts w:hint="eastAsia" w:eastAsia="仿宋_GB2312"/>
          <w:color w:val="auto"/>
          <w:sz w:val="24"/>
          <w:highlight w:val="none"/>
        </w:rPr>
        <w:t>除</w:t>
      </w:r>
      <w:r>
        <w:rPr>
          <w:rFonts w:eastAsia="仿宋_GB2312"/>
          <w:color w:val="auto"/>
          <w:sz w:val="24"/>
          <w:highlight w:val="none"/>
        </w:rPr>
        <w:t>外。预付款担保可采用银行保函、担保公司担保等形式，具体由合同当事人在专用合同条款中约定。在预付款完全扣回之前，承包人应保证预付款担保持续有效。</w:t>
      </w:r>
    </w:p>
    <w:p w14:paraId="100CDB7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发包人在工程款中逐期扣回预付款后，预付款担保额度应相应减少，但剩余的预付款担保金额不得低于未被扣回的预付款金额。</w:t>
      </w:r>
    </w:p>
    <w:p w14:paraId="584BE2F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70" w:name="_Toc351203583"/>
      <w:bookmarkStart w:id="471" w:name="_Toc337558802"/>
      <w:r>
        <w:rPr>
          <w:rFonts w:ascii="Times New Roman" w:hAnsi="Times New Roman" w:eastAsia="黑体"/>
          <w:b w:val="0"/>
          <w:color w:val="auto"/>
          <w:highlight w:val="none"/>
        </w:rPr>
        <w:t>12.3计量</w:t>
      </w:r>
      <w:bookmarkEnd w:id="470"/>
    </w:p>
    <w:bookmarkEnd w:id="471"/>
    <w:p w14:paraId="724EA77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12.3.1 计量原则</w:t>
      </w:r>
    </w:p>
    <w:p w14:paraId="4E7B97F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工程量计量按照合同约定的工程量计算规则、图纸及变更指示</w:t>
      </w:r>
      <w:r>
        <w:rPr>
          <w:rFonts w:hint="eastAsia" w:eastAsia="仿宋_GB2312"/>
          <w:color w:val="auto"/>
          <w:sz w:val="24"/>
          <w:highlight w:val="none"/>
        </w:rPr>
        <w:t>等</w:t>
      </w:r>
      <w:r>
        <w:rPr>
          <w:rFonts w:eastAsia="仿宋_GB2312"/>
          <w:color w:val="auto"/>
          <w:sz w:val="24"/>
          <w:highlight w:val="none"/>
        </w:rPr>
        <w:t>进行计量。工程量计算规则应以相关的国家标准、行业标准</w:t>
      </w:r>
      <w:r>
        <w:rPr>
          <w:rFonts w:hint="eastAsia" w:eastAsia="仿宋_GB2312"/>
          <w:color w:val="auto"/>
          <w:sz w:val="24"/>
          <w:highlight w:val="none"/>
        </w:rPr>
        <w:t>等</w:t>
      </w:r>
      <w:r>
        <w:rPr>
          <w:rFonts w:eastAsia="仿宋_GB2312"/>
          <w:color w:val="auto"/>
          <w:sz w:val="24"/>
          <w:highlight w:val="none"/>
        </w:rPr>
        <w:t>为依据，由合同当事人在专用合同条款中约定。</w:t>
      </w:r>
    </w:p>
    <w:p w14:paraId="76818B7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12.3.2 计量周期</w:t>
      </w:r>
    </w:p>
    <w:p w14:paraId="62D0189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除专用合同条款另有约定外，工程量的计量按月进行。</w:t>
      </w:r>
    </w:p>
    <w:p w14:paraId="644B3F5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12.3.3 单价合同的计量</w:t>
      </w:r>
    </w:p>
    <w:p w14:paraId="35C94C6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除专用合同条款另有约定外，单价合同的计量按照本项约定执行：</w:t>
      </w:r>
    </w:p>
    <w:p w14:paraId="068447C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（1）承包人应于每月25日向监理人报送上月20日至当月19日已完成的工程量报告，并附具进度付款申请单、已完成工程量报表和有关资料。</w:t>
      </w:r>
    </w:p>
    <w:p w14:paraId="1BC1B67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182D18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（3）监理人未在收到承包人提交的工程量报表后的7天内完成审核的，承包人报送的工程量报告中的工程量视为承包人实际完成的工程量，据此计算工程价款。</w:t>
      </w:r>
    </w:p>
    <w:p w14:paraId="42ACBBA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12.3.4 总价合同的计量</w:t>
      </w:r>
    </w:p>
    <w:p w14:paraId="77A8A61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除专用合同条款另有约定外，按</w:t>
      </w:r>
      <w:r>
        <w:rPr>
          <w:rFonts w:hint="eastAsia" w:eastAsia="仿宋_GB2312"/>
          <w:color w:val="auto"/>
          <w:sz w:val="24"/>
          <w:highlight w:val="none"/>
        </w:rPr>
        <w:t>月计量支付</w:t>
      </w:r>
      <w:r>
        <w:rPr>
          <w:rFonts w:eastAsia="仿宋_GB2312"/>
          <w:color w:val="auto"/>
          <w:sz w:val="24"/>
          <w:highlight w:val="none"/>
        </w:rPr>
        <w:t>的总价合同，按照本项约定执行：</w:t>
      </w:r>
    </w:p>
    <w:p w14:paraId="1BF90D8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（1）承包人应于每月25日向监理人报送上月20日至当月19日已完成的工程量报告，并附具进度付款申请单、已完成工程量报表和有关资料。</w:t>
      </w:r>
    </w:p>
    <w:p w14:paraId="3C881AF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C7EDD9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12.3.5 总价合同采用支付分解表计量支付的，可以按照第12.3.4项</w:t>
      </w:r>
      <w:r>
        <w:rPr>
          <w:rFonts w:hint="eastAsia" w:eastAsia="仿宋_GB2312"/>
          <w:color w:val="auto"/>
          <w:sz w:val="24"/>
          <w:highlight w:val="none"/>
        </w:rPr>
        <w:t>〔</w:t>
      </w:r>
      <w:r>
        <w:rPr>
          <w:rFonts w:eastAsia="仿宋_GB2312"/>
          <w:color w:val="auto"/>
          <w:sz w:val="24"/>
          <w:highlight w:val="none"/>
        </w:rPr>
        <w:t>总价合同的计量</w:t>
      </w:r>
      <w:r>
        <w:rPr>
          <w:rFonts w:hint="eastAsia" w:eastAsia="仿宋_GB2312"/>
          <w:color w:val="auto"/>
          <w:sz w:val="24"/>
          <w:highlight w:val="none"/>
        </w:rPr>
        <w:t>〕</w:t>
      </w:r>
      <w:r>
        <w:rPr>
          <w:rFonts w:eastAsia="仿宋_GB2312"/>
          <w:color w:val="auto"/>
          <w:sz w:val="24"/>
          <w:highlight w:val="none"/>
        </w:rPr>
        <w:t>约定进行计量，但合同价款按照支付分解表进行支付。</w:t>
      </w:r>
    </w:p>
    <w:p w14:paraId="3A084A6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12.3.6 其他价格形式合同的计量</w:t>
      </w:r>
    </w:p>
    <w:p w14:paraId="6B1BACC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合同当事人可在专用合同条款中约定其他价格形式合同的计量方式和程序。</w:t>
      </w:r>
    </w:p>
    <w:p w14:paraId="1FC1550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72" w:name="_Toc296346602"/>
      <w:bookmarkStart w:id="473" w:name="_Toc296503101"/>
      <w:bookmarkStart w:id="474" w:name="_Toc351203584"/>
      <w:bookmarkStart w:id="475" w:name="_Toc337558803"/>
      <w:r>
        <w:rPr>
          <w:rFonts w:ascii="Times New Roman" w:hAnsi="Times New Roman" w:eastAsia="黑体"/>
          <w:b w:val="0"/>
          <w:color w:val="auto"/>
          <w:highlight w:val="none"/>
        </w:rPr>
        <w:t>12.4工程进度款支</w:t>
      </w:r>
      <w:bookmarkEnd w:id="472"/>
      <w:bookmarkEnd w:id="473"/>
      <w:r>
        <w:rPr>
          <w:rFonts w:ascii="Times New Roman" w:hAnsi="Times New Roman" w:eastAsia="黑体"/>
          <w:b w:val="0"/>
          <w:color w:val="auto"/>
          <w:highlight w:val="none"/>
        </w:rPr>
        <w:t>付</w:t>
      </w:r>
      <w:bookmarkEnd w:id="474"/>
    </w:p>
    <w:bookmarkEnd w:id="475"/>
    <w:p w14:paraId="56E86AB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outlineLvl w:val="0"/>
        <w:rPr>
          <w:rFonts w:eastAsia="仿宋_GB2312"/>
          <w:color w:val="auto"/>
          <w:sz w:val="24"/>
          <w:highlight w:val="none"/>
        </w:rPr>
      </w:pPr>
      <w:r>
        <w:rPr>
          <w:rFonts w:eastAsia="仿宋_GB2312"/>
          <w:color w:val="auto"/>
          <w:sz w:val="24"/>
          <w:highlight w:val="none"/>
        </w:rPr>
        <w:t>12.4.1 付款周期</w:t>
      </w:r>
    </w:p>
    <w:p w14:paraId="2D53325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除专用合同条款另有约定外，付款周期应按照第12.3.2</w:t>
      </w:r>
      <w:r>
        <w:rPr>
          <w:rFonts w:hint="eastAsia" w:eastAsia="仿宋_GB2312"/>
          <w:color w:val="auto"/>
          <w:sz w:val="24"/>
          <w:highlight w:val="none"/>
        </w:rPr>
        <w:t>项〔</w:t>
      </w:r>
      <w:r>
        <w:rPr>
          <w:rFonts w:eastAsia="仿宋_GB2312"/>
          <w:color w:val="auto"/>
          <w:sz w:val="24"/>
          <w:highlight w:val="none"/>
        </w:rPr>
        <w:t>计量周期</w:t>
      </w:r>
      <w:r>
        <w:rPr>
          <w:rFonts w:hint="eastAsia" w:eastAsia="仿宋_GB2312"/>
          <w:color w:val="auto"/>
          <w:sz w:val="24"/>
          <w:highlight w:val="none"/>
        </w:rPr>
        <w:t>〕</w:t>
      </w:r>
      <w:r>
        <w:rPr>
          <w:rFonts w:eastAsia="仿宋_GB2312"/>
          <w:color w:val="auto"/>
          <w:sz w:val="24"/>
          <w:highlight w:val="none"/>
        </w:rPr>
        <w:t>的约定与计量周期保持一致。</w:t>
      </w:r>
    </w:p>
    <w:p w14:paraId="6BBF2C7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12.4.2 进度付款申请单的编制</w:t>
      </w:r>
    </w:p>
    <w:p w14:paraId="2019AA8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除专用合同条款另有约定外，进度付款申请单应包括下列内容：</w:t>
      </w:r>
    </w:p>
    <w:p w14:paraId="13B0841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（1）截至本次付款周期已完成工作对应的金额；</w:t>
      </w:r>
    </w:p>
    <w:p w14:paraId="75C942C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（2）根据第10条</w:t>
      </w:r>
      <w:r>
        <w:rPr>
          <w:rFonts w:hint="eastAsia" w:eastAsia="仿宋_GB2312"/>
          <w:color w:val="auto"/>
          <w:sz w:val="24"/>
          <w:highlight w:val="none"/>
        </w:rPr>
        <w:t>〔</w:t>
      </w:r>
      <w:r>
        <w:rPr>
          <w:rFonts w:eastAsia="仿宋_GB2312"/>
          <w:color w:val="auto"/>
          <w:sz w:val="24"/>
          <w:highlight w:val="none"/>
        </w:rPr>
        <w:t>变更</w:t>
      </w:r>
      <w:r>
        <w:rPr>
          <w:rFonts w:hint="eastAsia" w:eastAsia="仿宋_GB2312"/>
          <w:color w:val="auto"/>
          <w:sz w:val="24"/>
          <w:highlight w:val="none"/>
        </w:rPr>
        <w:t>〕</w:t>
      </w:r>
      <w:r>
        <w:rPr>
          <w:rFonts w:eastAsia="仿宋_GB2312"/>
          <w:color w:val="auto"/>
          <w:sz w:val="24"/>
          <w:highlight w:val="none"/>
        </w:rPr>
        <w:t>应增加和扣减的变更金额；</w:t>
      </w:r>
    </w:p>
    <w:p w14:paraId="4513718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（3）根据第12.2款</w:t>
      </w:r>
      <w:r>
        <w:rPr>
          <w:rFonts w:hint="eastAsia" w:eastAsia="仿宋_GB2312"/>
          <w:color w:val="auto"/>
          <w:sz w:val="24"/>
          <w:highlight w:val="none"/>
        </w:rPr>
        <w:t>〔</w:t>
      </w:r>
      <w:r>
        <w:rPr>
          <w:rFonts w:eastAsia="仿宋_GB2312"/>
          <w:color w:val="auto"/>
          <w:sz w:val="24"/>
          <w:highlight w:val="none"/>
        </w:rPr>
        <w:t>预付款</w:t>
      </w:r>
      <w:r>
        <w:rPr>
          <w:rFonts w:hint="eastAsia" w:eastAsia="仿宋_GB2312"/>
          <w:color w:val="auto"/>
          <w:sz w:val="24"/>
          <w:highlight w:val="none"/>
        </w:rPr>
        <w:t>〕</w:t>
      </w:r>
      <w:r>
        <w:rPr>
          <w:rFonts w:eastAsia="仿宋_GB2312"/>
          <w:color w:val="auto"/>
          <w:sz w:val="24"/>
          <w:highlight w:val="none"/>
        </w:rPr>
        <w:t>约定应支付的预付款和扣减的返还预付款；</w:t>
      </w:r>
    </w:p>
    <w:p w14:paraId="15F752E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（4）根据第15.3款</w:t>
      </w:r>
      <w:r>
        <w:rPr>
          <w:rFonts w:hint="eastAsia" w:eastAsia="仿宋_GB2312"/>
          <w:color w:val="auto"/>
          <w:sz w:val="24"/>
          <w:highlight w:val="none"/>
        </w:rPr>
        <w:t>〔</w:t>
      </w:r>
      <w:r>
        <w:rPr>
          <w:rFonts w:eastAsia="仿宋_GB2312"/>
          <w:color w:val="auto"/>
          <w:sz w:val="24"/>
          <w:highlight w:val="none"/>
        </w:rPr>
        <w:t>质量保证金</w:t>
      </w:r>
      <w:r>
        <w:rPr>
          <w:rFonts w:hint="eastAsia" w:eastAsia="仿宋_GB2312"/>
          <w:color w:val="auto"/>
          <w:sz w:val="24"/>
          <w:highlight w:val="none"/>
        </w:rPr>
        <w:t>〕</w:t>
      </w:r>
      <w:r>
        <w:rPr>
          <w:rFonts w:eastAsia="仿宋_GB2312"/>
          <w:color w:val="auto"/>
          <w:sz w:val="24"/>
          <w:highlight w:val="none"/>
        </w:rPr>
        <w:t>约定应扣减的质量保证金；</w:t>
      </w:r>
    </w:p>
    <w:p w14:paraId="4C33983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（5）根据第19条</w:t>
      </w:r>
      <w:r>
        <w:rPr>
          <w:rFonts w:hint="eastAsia" w:eastAsia="仿宋_GB2312"/>
          <w:color w:val="auto"/>
          <w:sz w:val="24"/>
          <w:highlight w:val="none"/>
        </w:rPr>
        <w:t>〔</w:t>
      </w:r>
      <w:r>
        <w:rPr>
          <w:rFonts w:eastAsia="仿宋_GB2312"/>
          <w:color w:val="auto"/>
          <w:sz w:val="24"/>
          <w:highlight w:val="none"/>
        </w:rPr>
        <w:t>索赔</w:t>
      </w:r>
      <w:r>
        <w:rPr>
          <w:rFonts w:hint="eastAsia" w:eastAsia="仿宋_GB2312"/>
          <w:color w:val="auto"/>
          <w:sz w:val="24"/>
          <w:highlight w:val="none"/>
        </w:rPr>
        <w:t>〕</w:t>
      </w:r>
      <w:r>
        <w:rPr>
          <w:rFonts w:eastAsia="仿宋_GB2312"/>
          <w:color w:val="auto"/>
          <w:sz w:val="24"/>
          <w:highlight w:val="none"/>
        </w:rPr>
        <w:t>应增加和扣减的索赔金额；</w:t>
      </w:r>
    </w:p>
    <w:p w14:paraId="726285C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（6）对已签发的进度款支付证书中出现错误的修正，应在本次进度付款中支付或扣除的金额；</w:t>
      </w:r>
    </w:p>
    <w:p w14:paraId="48B459A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（7）根据合同约定应增加和扣减的其他金额。</w:t>
      </w:r>
    </w:p>
    <w:p w14:paraId="49DF19A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outlineLvl w:val="0"/>
        <w:rPr>
          <w:rFonts w:eastAsia="仿宋_GB2312"/>
          <w:color w:val="auto"/>
          <w:sz w:val="24"/>
          <w:highlight w:val="none"/>
        </w:rPr>
      </w:pPr>
      <w:r>
        <w:rPr>
          <w:rFonts w:eastAsia="仿宋_GB2312"/>
          <w:color w:val="auto"/>
          <w:sz w:val="24"/>
          <w:highlight w:val="none"/>
        </w:rPr>
        <w:t>12.4.3 进度付款申请单的提交</w:t>
      </w:r>
    </w:p>
    <w:p w14:paraId="0EE8F7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（1）单价合同进度付款申请单的提交</w:t>
      </w:r>
    </w:p>
    <w:p w14:paraId="1A76B01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单价合同的进度付款申请单，按照第12.3.3项</w:t>
      </w:r>
      <w:r>
        <w:rPr>
          <w:rFonts w:hint="eastAsia" w:eastAsia="仿宋_GB2312"/>
          <w:color w:val="auto"/>
          <w:sz w:val="24"/>
          <w:highlight w:val="none"/>
        </w:rPr>
        <w:t>〔</w:t>
      </w:r>
      <w:r>
        <w:rPr>
          <w:rFonts w:eastAsia="仿宋_GB2312"/>
          <w:color w:val="auto"/>
          <w:sz w:val="24"/>
          <w:highlight w:val="none"/>
        </w:rPr>
        <w:t>单价合同的计量</w:t>
      </w:r>
      <w:r>
        <w:rPr>
          <w:rFonts w:hint="eastAsia" w:eastAsia="仿宋_GB2312"/>
          <w:color w:val="auto"/>
          <w:sz w:val="24"/>
          <w:highlight w:val="none"/>
        </w:rPr>
        <w:t>〕</w:t>
      </w:r>
      <w:r>
        <w:rPr>
          <w:rFonts w:eastAsia="仿宋_GB2312"/>
          <w:color w:val="auto"/>
          <w:sz w:val="24"/>
          <w:highlight w:val="none"/>
        </w:rPr>
        <w:t>约定的时间按月向监理人提交，并附上已完成工程量报表和有关资料。单价合同中的总价项目按月进行支付分解，并汇总列入当期进度付款申请单。</w:t>
      </w:r>
    </w:p>
    <w:p w14:paraId="564F170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（2）总价合同进度付款申请单的提交</w:t>
      </w:r>
    </w:p>
    <w:p w14:paraId="3334821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总价合同按</w:t>
      </w:r>
      <w:r>
        <w:rPr>
          <w:rFonts w:hint="eastAsia" w:eastAsia="仿宋_GB2312"/>
          <w:color w:val="auto"/>
          <w:sz w:val="24"/>
          <w:highlight w:val="none"/>
        </w:rPr>
        <w:t>月计量支付的</w:t>
      </w:r>
      <w:r>
        <w:rPr>
          <w:rFonts w:eastAsia="仿宋_GB2312"/>
          <w:color w:val="auto"/>
          <w:sz w:val="24"/>
          <w:highlight w:val="none"/>
        </w:rPr>
        <w:t>，承包人按照第12.3.4项</w:t>
      </w:r>
      <w:r>
        <w:rPr>
          <w:rFonts w:hint="eastAsia" w:eastAsia="仿宋_GB2312"/>
          <w:color w:val="auto"/>
          <w:sz w:val="24"/>
          <w:highlight w:val="none"/>
        </w:rPr>
        <w:t>〔</w:t>
      </w:r>
      <w:r>
        <w:rPr>
          <w:rFonts w:eastAsia="仿宋_GB2312"/>
          <w:color w:val="auto"/>
          <w:sz w:val="24"/>
          <w:highlight w:val="none"/>
        </w:rPr>
        <w:t>总价合同的计量</w:t>
      </w:r>
      <w:r>
        <w:rPr>
          <w:rFonts w:hint="eastAsia" w:eastAsia="仿宋_GB2312"/>
          <w:color w:val="auto"/>
          <w:sz w:val="24"/>
          <w:highlight w:val="none"/>
        </w:rPr>
        <w:t>〕</w:t>
      </w:r>
      <w:r>
        <w:rPr>
          <w:rFonts w:eastAsia="仿宋_GB2312"/>
          <w:color w:val="auto"/>
          <w:sz w:val="24"/>
          <w:highlight w:val="none"/>
        </w:rPr>
        <w:t>约定的时间按月向监理人提交进度付款申请单，并附上已完成工程量报表和有关资料。</w:t>
      </w:r>
    </w:p>
    <w:p w14:paraId="006EF4C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总价合同按支付分解表支付的，承包人应按照第12.4.6项</w:t>
      </w:r>
      <w:r>
        <w:rPr>
          <w:rFonts w:hint="eastAsia" w:eastAsia="仿宋_GB2312"/>
          <w:color w:val="auto"/>
          <w:sz w:val="24"/>
          <w:highlight w:val="none"/>
        </w:rPr>
        <w:t>〔</w:t>
      </w:r>
      <w:r>
        <w:rPr>
          <w:rFonts w:eastAsia="仿宋_GB2312"/>
          <w:color w:val="auto"/>
          <w:sz w:val="24"/>
          <w:highlight w:val="none"/>
        </w:rPr>
        <w:t>支付分解表</w:t>
      </w:r>
      <w:r>
        <w:rPr>
          <w:rFonts w:hint="eastAsia" w:eastAsia="仿宋_GB2312"/>
          <w:color w:val="auto"/>
          <w:sz w:val="24"/>
          <w:highlight w:val="none"/>
        </w:rPr>
        <w:t>〕</w:t>
      </w:r>
      <w:r>
        <w:rPr>
          <w:rFonts w:eastAsia="仿宋_GB2312"/>
          <w:color w:val="auto"/>
          <w:sz w:val="24"/>
          <w:highlight w:val="none"/>
        </w:rPr>
        <w:t>及第12.4.2项</w:t>
      </w:r>
      <w:r>
        <w:rPr>
          <w:rFonts w:hint="eastAsia" w:eastAsia="仿宋_GB2312"/>
          <w:color w:val="auto"/>
          <w:sz w:val="24"/>
          <w:highlight w:val="none"/>
        </w:rPr>
        <w:t>〔</w:t>
      </w:r>
      <w:r>
        <w:rPr>
          <w:rFonts w:eastAsia="仿宋_GB2312"/>
          <w:color w:val="auto"/>
          <w:sz w:val="24"/>
          <w:highlight w:val="none"/>
        </w:rPr>
        <w:t>进度付款申请单的编制</w:t>
      </w:r>
      <w:r>
        <w:rPr>
          <w:rFonts w:hint="eastAsia" w:eastAsia="仿宋_GB2312"/>
          <w:color w:val="auto"/>
          <w:sz w:val="24"/>
          <w:highlight w:val="none"/>
        </w:rPr>
        <w:t>〕</w:t>
      </w:r>
      <w:r>
        <w:rPr>
          <w:rFonts w:eastAsia="仿宋_GB2312"/>
          <w:color w:val="auto"/>
          <w:sz w:val="24"/>
          <w:highlight w:val="none"/>
        </w:rPr>
        <w:t>的约定向监理人提交进度付款申请单。</w:t>
      </w:r>
    </w:p>
    <w:p w14:paraId="3BB098D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（3）其他价格形式合同的进度付款申请单的提交</w:t>
      </w:r>
    </w:p>
    <w:p w14:paraId="00E4F65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合同当事人可在专用合同条款中约定其他价格形式合同的进度付款申请单的编制和提交程序。</w:t>
      </w:r>
    </w:p>
    <w:p w14:paraId="6ACBDC7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12.4.4 进度款审核和支付</w:t>
      </w:r>
    </w:p>
    <w:p w14:paraId="29D5D88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（1）除专用合同条款另有约定外，监理人应在收到承包人进度付款申请单以及相关资料后7天内完成审查并报送发包人。</w:t>
      </w:r>
    </w:p>
    <w:p w14:paraId="0BDFF4C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w:t>
      </w:r>
    </w:p>
    <w:p w14:paraId="29BE524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（2）除专用合同条款另有约定外，发包人应在进度款支付证书或临时进度款支付证书签发后14天内完成支付。</w:t>
      </w:r>
    </w:p>
    <w:p w14:paraId="0568564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（3）发包人签发进度款支付证书或临时进度款支付证书，不表明发包人已同意、批准或接受了承包人完成的相应部分的工作。</w:t>
      </w:r>
    </w:p>
    <w:p w14:paraId="0EC2906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12.4.5 进度付款的修正</w:t>
      </w:r>
    </w:p>
    <w:p w14:paraId="592A722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在对已签发的进度款支付证书进行阶段汇总和复核中发现错误、遗漏或重复的，发包人和承包人均有权提出修正申请。经发包人和承包人同意的修正，应在下期进度付款中支付或扣除。</w:t>
      </w:r>
    </w:p>
    <w:p w14:paraId="4C69CE2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12.4.6 支付分解表</w:t>
      </w:r>
    </w:p>
    <w:p w14:paraId="1216B0C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w:t>
      </w:r>
      <w:r>
        <w:rPr>
          <w:rFonts w:hint="eastAsia" w:eastAsia="仿宋_GB2312"/>
          <w:color w:val="auto"/>
          <w:sz w:val="24"/>
          <w:highlight w:val="none"/>
        </w:rPr>
        <w:t>.</w:t>
      </w:r>
      <w:r>
        <w:rPr>
          <w:rFonts w:eastAsia="仿宋_GB2312"/>
          <w:color w:val="auto"/>
          <w:sz w:val="24"/>
          <w:highlight w:val="none"/>
        </w:rPr>
        <w:t>支付分解表的编制要求</w:t>
      </w:r>
    </w:p>
    <w:p w14:paraId="0B88400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（1）支付分解表中所列的每期付款金额，应为第12.4.2项</w:t>
      </w:r>
      <w:r>
        <w:rPr>
          <w:rFonts w:hint="eastAsia" w:eastAsia="仿宋_GB2312"/>
          <w:color w:val="auto"/>
          <w:sz w:val="24"/>
          <w:highlight w:val="none"/>
        </w:rPr>
        <w:t>〔</w:t>
      </w:r>
      <w:r>
        <w:rPr>
          <w:rFonts w:eastAsia="仿宋_GB2312"/>
          <w:color w:val="auto"/>
          <w:sz w:val="24"/>
          <w:highlight w:val="none"/>
        </w:rPr>
        <w:t>进度付款申请单的编制</w:t>
      </w:r>
      <w:r>
        <w:rPr>
          <w:rFonts w:hint="eastAsia" w:eastAsia="仿宋_GB2312"/>
          <w:color w:val="auto"/>
          <w:sz w:val="24"/>
          <w:highlight w:val="none"/>
        </w:rPr>
        <w:t>〕</w:t>
      </w:r>
      <w:r>
        <w:rPr>
          <w:rFonts w:eastAsia="仿宋_GB2312"/>
          <w:color w:val="auto"/>
          <w:sz w:val="24"/>
          <w:highlight w:val="none"/>
        </w:rPr>
        <w:t>第（1）</w:t>
      </w:r>
      <w:r>
        <w:rPr>
          <w:rFonts w:hint="eastAsia" w:eastAsia="仿宋_GB2312"/>
          <w:color w:val="auto"/>
          <w:sz w:val="24"/>
          <w:highlight w:val="none"/>
        </w:rPr>
        <w:t>目</w:t>
      </w:r>
      <w:r>
        <w:rPr>
          <w:rFonts w:eastAsia="仿宋_GB2312"/>
          <w:color w:val="auto"/>
          <w:sz w:val="24"/>
          <w:highlight w:val="none"/>
        </w:rPr>
        <w:t>的估算金额；</w:t>
      </w:r>
    </w:p>
    <w:p w14:paraId="050DD4F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（2）实际进度与施工进度计划不一致的，合同当事人可按照第4.4款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修改支付分解表；</w:t>
      </w:r>
    </w:p>
    <w:p w14:paraId="7EAFE1F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（3）不采用支付分解表的，承包人应向发包人和监理人提交按季度编制的支付估算分解表，用于支付参考。</w:t>
      </w:r>
    </w:p>
    <w:p w14:paraId="3C7BCF1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w:t>
      </w:r>
      <w:r>
        <w:rPr>
          <w:rFonts w:hint="eastAsia" w:eastAsia="仿宋_GB2312"/>
          <w:color w:val="auto"/>
          <w:sz w:val="24"/>
          <w:highlight w:val="none"/>
        </w:rPr>
        <w:t>.</w:t>
      </w:r>
      <w:r>
        <w:rPr>
          <w:rFonts w:eastAsia="仿宋_GB2312"/>
          <w:color w:val="auto"/>
          <w:sz w:val="24"/>
          <w:highlight w:val="none"/>
        </w:rPr>
        <w:t>总价合同支付分解表的编制与审批</w:t>
      </w:r>
    </w:p>
    <w:p w14:paraId="74C3840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（1）除专用合同条款另有约定外，承包人应根据第7.2款</w:t>
      </w:r>
      <w:r>
        <w:rPr>
          <w:rFonts w:hint="eastAsia" w:eastAsia="仿宋_GB2312"/>
          <w:color w:val="auto"/>
          <w:sz w:val="24"/>
          <w:highlight w:val="none"/>
        </w:rPr>
        <w:t>〔</w:t>
      </w:r>
      <w:r>
        <w:rPr>
          <w:rFonts w:eastAsia="仿宋_GB2312"/>
          <w:color w:val="auto"/>
          <w:sz w:val="24"/>
          <w:highlight w:val="none"/>
        </w:rPr>
        <w:t>施工进度计划</w:t>
      </w:r>
      <w:r>
        <w:rPr>
          <w:rFonts w:hint="eastAsia" w:eastAsia="仿宋_GB2312"/>
          <w:color w:val="auto"/>
          <w:sz w:val="24"/>
          <w:highlight w:val="none"/>
        </w:rPr>
        <w:t>〕</w:t>
      </w:r>
      <w:r>
        <w:rPr>
          <w:rFonts w:eastAsia="仿宋_GB2312"/>
          <w:color w:val="auto"/>
          <w:sz w:val="24"/>
          <w:highlight w:val="none"/>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0BAD245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（2）监理人应在收到支付分解表后7天内完成审核并报送发包人。发包人应在收到经监理人审核的支付分解表后7天内完成审批，经发包人批准的支付分解表为有约束力的支付分解表。</w:t>
      </w:r>
    </w:p>
    <w:p w14:paraId="0C57D3C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w:t>
      </w:r>
      <w:r>
        <w:rPr>
          <w:rFonts w:hint="eastAsia" w:eastAsia="仿宋_GB2312"/>
          <w:color w:val="auto"/>
          <w:sz w:val="24"/>
          <w:highlight w:val="none"/>
        </w:rPr>
        <w:t>.</w:t>
      </w:r>
      <w:r>
        <w:rPr>
          <w:rFonts w:eastAsia="仿宋_GB2312"/>
          <w:color w:val="auto"/>
          <w:sz w:val="24"/>
          <w:highlight w:val="none"/>
        </w:rPr>
        <w:t>单价合同的总价项目支付分解表的编制与审批</w:t>
      </w:r>
    </w:p>
    <w:p w14:paraId="20645FA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45B61B6D">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76" w:name="_Toc351203585"/>
      <w:r>
        <w:rPr>
          <w:rFonts w:ascii="Times New Roman" w:hAnsi="Times New Roman" w:eastAsia="黑体"/>
          <w:b w:val="0"/>
          <w:color w:val="auto"/>
          <w:highlight w:val="none"/>
        </w:rPr>
        <w:t>12.5支付账户</w:t>
      </w:r>
      <w:bookmarkEnd w:id="476"/>
    </w:p>
    <w:p w14:paraId="7647004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发包人应将合同价款支付至合同协议书中约定的承包人账户。</w:t>
      </w:r>
    </w:p>
    <w:p w14:paraId="1CE3BD21">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477" w:name="_Toc351203586"/>
      <w:bookmarkStart w:id="478" w:name="_Toc296503106"/>
      <w:bookmarkStart w:id="479" w:name="_Toc337558804"/>
      <w:bookmarkStart w:id="480" w:name="_Toc322522574"/>
      <w:bookmarkStart w:id="481" w:name="_Toc296346607"/>
      <w:r>
        <w:rPr>
          <w:rFonts w:ascii="Times New Roman" w:hAnsi="Times New Roman" w:eastAsia="黑体"/>
          <w:b w:val="0"/>
          <w:color w:val="auto"/>
          <w:sz w:val="24"/>
          <w:szCs w:val="24"/>
          <w:highlight w:val="none"/>
        </w:rPr>
        <w:t>13. 验收和工程试车</w:t>
      </w:r>
      <w:bookmarkEnd w:id="477"/>
    </w:p>
    <w:bookmarkEnd w:id="478"/>
    <w:bookmarkEnd w:id="479"/>
    <w:bookmarkEnd w:id="480"/>
    <w:bookmarkEnd w:id="481"/>
    <w:p w14:paraId="67DB5A2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82" w:name="_Toc351203587"/>
      <w:bookmarkStart w:id="483" w:name="_Toc337558805"/>
      <w:bookmarkStart w:id="484" w:name="_Toc296346611"/>
      <w:bookmarkStart w:id="485" w:name="_Toc296503110"/>
      <w:r>
        <w:rPr>
          <w:rFonts w:ascii="Times New Roman" w:hAnsi="Times New Roman" w:eastAsia="黑体"/>
          <w:b w:val="0"/>
          <w:color w:val="auto"/>
          <w:highlight w:val="none"/>
        </w:rPr>
        <w:t>13.1分部分项工程验收</w:t>
      </w:r>
      <w:bookmarkEnd w:id="482"/>
    </w:p>
    <w:bookmarkEnd w:id="483"/>
    <w:p w14:paraId="651E68B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13.1.1 分部分项工程质量应符合国家有关工程施工验收规范、标准及合同约定，承包人应按照施工组织设计的要求完成分部分项工程施工。</w:t>
      </w:r>
    </w:p>
    <w:p w14:paraId="5AA48A4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75589B8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分部分项工程的验收资料应当作为竣工资料的组成部分。</w:t>
      </w:r>
    </w:p>
    <w:p w14:paraId="63547C6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86" w:name="_Toc351203588"/>
      <w:bookmarkStart w:id="487" w:name="_Toc337558806"/>
      <w:r>
        <w:rPr>
          <w:rFonts w:ascii="Times New Roman" w:hAnsi="Times New Roman" w:eastAsia="黑体"/>
          <w:b w:val="0"/>
          <w:color w:val="auto"/>
          <w:highlight w:val="none"/>
        </w:rPr>
        <w:t>13.2竣工验收</w:t>
      </w:r>
      <w:bookmarkEnd w:id="486"/>
    </w:p>
    <w:bookmarkEnd w:id="484"/>
    <w:bookmarkEnd w:id="485"/>
    <w:bookmarkEnd w:id="487"/>
    <w:p w14:paraId="3B35C2A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13.2.1竣工验收条件</w:t>
      </w:r>
    </w:p>
    <w:p w14:paraId="187959D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工程具备以下条件的，承包人可以申请竣工验收：</w:t>
      </w:r>
    </w:p>
    <w:p w14:paraId="0278201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（1）除发包人同意的甩项</w:t>
      </w:r>
      <w:r>
        <w:rPr>
          <w:rFonts w:hint="eastAsia" w:eastAsia="仿宋_GB2312"/>
          <w:color w:val="auto"/>
          <w:sz w:val="24"/>
          <w:highlight w:val="none"/>
        </w:rPr>
        <w:t>工作</w:t>
      </w:r>
      <w:r>
        <w:rPr>
          <w:rFonts w:eastAsia="仿宋_GB2312"/>
          <w:color w:val="auto"/>
          <w:sz w:val="24"/>
          <w:highlight w:val="none"/>
        </w:rPr>
        <w:t>和缺陷修补工作外，合同范围内的全部工程以及有关工作，包括合同要求的试验、试运行以及检验均已完成，并符合合同要求；</w:t>
      </w:r>
    </w:p>
    <w:p w14:paraId="5572DDE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（2）已按合同约定编制了甩项</w:t>
      </w:r>
      <w:r>
        <w:rPr>
          <w:rFonts w:hint="eastAsia" w:eastAsia="仿宋_GB2312"/>
          <w:color w:val="auto"/>
          <w:sz w:val="24"/>
          <w:highlight w:val="none"/>
        </w:rPr>
        <w:t>工作</w:t>
      </w:r>
      <w:r>
        <w:rPr>
          <w:rFonts w:eastAsia="仿宋_GB2312"/>
          <w:color w:val="auto"/>
          <w:sz w:val="24"/>
          <w:highlight w:val="none"/>
        </w:rPr>
        <w:t>和缺陷修补工作清单以及相应的施工计划；</w:t>
      </w:r>
    </w:p>
    <w:p w14:paraId="32B8BE5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（3）已按合同约定的内容和份数备齐竣工资料。</w:t>
      </w:r>
    </w:p>
    <w:p w14:paraId="746A058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13.2.2竣工验收程序</w:t>
      </w:r>
    </w:p>
    <w:p w14:paraId="2262557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除专用合同条款另有约定外，承包人申请竣工验收的，应当按照以下程序进行：</w:t>
      </w:r>
    </w:p>
    <w:p w14:paraId="3176B9F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32C9D20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（2）监理人审查后认为已具备竣工验收条件的，应将竣工验收申请报告提交发包人，发包人应在收到</w:t>
      </w:r>
      <w:r>
        <w:rPr>
          <w:rFonts w:hint="eastAsia" w:eastAsia="仿宋_GB2312"/>
          <w:color w:val="auto"/>
          <w:sz w:val="24"/>
          <w:highlight w:val="none"/>
        </w:rPr>
        <w:t>经</w:t>
      </w:r>
      <w:r>
        <w:rPr>
          <w:rFonts w:eastAsia="仿宋_GB2312"/>
          <w:color w:val="auto"/>
          <w:sz w:val="24"/>
          <w:highlight w:val="none"/>
        </w:rPr>
        <w:t>监理人审核的竣工验收申请报告后28天内</w:t>
      </w:r>
      <w:r>
        <w:rPr>
          <w:rFonts w:hint="eastAsia" w:eastAsia="仿宋_GB2312"/>
          <w:color w:val="auto"/>
          <w:sz w:val="24"/>
          <w:highlight w:val="none"/>
        </w:rPr>
        <w:t>审批</w:t>
      </w:r>
      <w:r>
        <w:rPr>
          <w:rFonts w:eastAsia="仿宋_GB2312"/>
          <w:color w:val="auto"/>
          <w:sz w:val="24"/>
          <w:highlight w:val="none"/>
        </w:rPr>
        <w:t>完毕并组织监理人、承包人、设计人等相关单位完成竣工验收。</w:t>
      </w:r>
    </w:p>
    <w:p w14:paraId="038A924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（3）竣工验收合格的，发包人应在验收合格后14天内向承包人签发工程接收证书。</w:t>
      </w:r>
    </w:p>
    <w:p w14:paraId="761AC22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B971E8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F7AB1C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除专用合同条款另有约定外，发包人不按照本项约定组织竣工验收、颁发工程接收证书的，每逾期一天，应以签约合同价为基数，按照中国人民银行发布的同期</w:t>
      </w:r>
      <w:r>
        <w:rPr>
          <w:rFonts w:hint="eastAsia" w:eastAsia="仿宋_GB2312"/>
          <w:color w:val="auto"/>
          <w:sz w:val="24"/>
          <w:highlight w:val="none"/>
        </w:rPr>
        <w:t>L</w:t>
      </w:r>
      <w:r>
        <w:rPr>
          <w:rFonts w:eastAsia="仿宋_GB2312"/>
          <w:color w:val="auto"/>
          <w:sz w:val="24"/>
          <w:highlight w:val="none"/>
        </w:rPr>
        <w:t>PR支付违约金。</w:t>
      </w:r>
    </w:p>
    <w:p w14:paraId="5102001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13.2.3竣工日期</w:t>
      </w:r>
    </w:p>
    <w:p w14:paraId="54C98CF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工程经竣工验收合格的，以承包人提交竣工验收申请报告之日为实际竣工日期，并在工程接收证书中载明；因发包人原因，未在监理人收到承包人提交的竣工验收申请报告42天内完成</w:t>
      </w:r>
      <w:r>
        <w:rPr>
          <w:rFonts w:hint="eastAsia" w:eastAsia="仿宋_GB2312"/>
          <w:color w:val="auto"/>
          <w:sz w:val="24"/>
          <w:highlight w:val="none"/>
        </w:rPr>
        <w:t>竣工</w:t>
      </w:r>
      <w:r>
        <w:rPr>
          <w:rFonts w:eastAsia="仿宋_GB2312"/>
          <w:color w:val="auto"/>
          <w:sz w:val="24"/>
          <w:highlight w:val="none"/>
        </w:rPr>
        <w:t>验收</w:t>
      </w:r>
      <w:r>
        <w:rPr>
          <w:rFonts w:hint="eastAsia" w:eastAsia="仿宋_GB2312"/>
          <w:color w:val="auto"/>
          <w:sz w:val="24"/>
          <w:highlight w:val="none"/>
        </w:rPr>
        <w:t>，或完成竣工验收不予签发工程接收证书</w:t>
      </w:r>
      <w:r>
        <w:rPr>
          <w:rFonts w:eastAsia="仿宋_GB2312"/>
          <w:color w:val="auto"/>
          <w:sz w:val="24"/>
          <w:highlight w:val="none"/>
        </w:rPr>
        <w:t>的，以提交竣工验</w:t>
      </w:r>
      <w:bookmarkStart w:id="488" w:name="#go14"/>
      <w:bookmarkEnd w:id="488"/>
      <w:r>
        <w:rPr>
          <w:rFonts w:eastAsia="仿宋_GB2312"/>
          <w:color w:val="auto"/>
          <w:sz w:val="24"/>
          <w:highlight w:val="none"/>
        </w:rPr>
        <w:t>收申请报告的日期为实际竣工日期；工程未经竣工验收，发包人擅自使用的，以转移占有工程之日为实际竣工日期。</w:t>
      </w:r>
    </w:p>
    <w:p w14:paraId="533235E0">
      <w:pPr>
        <w:pageBreakBefore w:val="0"/>
        <w:kinsoku/>
        <w:wordWrap/>
        <w:overflowPunct/>
        <w:topLinePunct w:val="0"/>
        <w:bidi w:val="0"/>
        <w:spacing w:line="288" w:lineRule="auto"/>
        <w:ind w:left="0" w:leftChars="0" w:firstLine="480" w:firstLineChars="200"/>
        <w:jc w:val="left"/>
        <w:textAlignment w:val="auto"/>
        <w:outlineLvl w:val="0"/>
        <w:rPr>
          <w:rFonts w:eastAsia="仿宋_GB2312"/>
          <w:color w:val="auto"/>
          <w:sz w:val="24"/>
          <w:highlight w:val="none"/>
        </w:rPr>
      </w:pPr>
      <w:r>
        <w:rPr>
          <w:rFonts w:eastAsia="仿宋_GB2312"/>
          <w:color w:val="auto"/>
          <w:sz w:val="24"/>
          <w:highlight w:val="none"/>
        </w:rPr>
        <w:t>13.2.4 拒绝接收全部或部分工程</w:t>
      </w:r>
    </w:p>
    <w:p w14:paraId="4849B12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对于竣工验收不合格的工程，承包人完成整改后，</w:t>
      </w:r>
      <w:r>
        <w:rPr>
          <w:rFonts w:hint="eastAsia" w:eastAsia="仿宋_GB2312"/>
          <w:color w:val="auto"/>
          <w:sz w:val="24"/>
          <w:highlight w:val="none"/>
        </w:rPr>
        <w:t>应当</w:t>
      </w:r>
      <w:r>
        <w:rPr>
          <w:rFonts w:eastAsia="仿宋_GB2312"/>
          <w:color w:val="auto"/>
          <w:sz w:val="24"/>
          <w:highlight w:val="none"/>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4E1E431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13.2.5 移交、接收全部与部分工程</w:t>
      </w:r>
    </w:p>
    <w:p w14:paraId="7A01ABD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除专用合同条款另有约定外，</w:t>
      </w:r>
      <w:r>
        <w:rPr>
          <w:rFonts w:eastAsia="仿宋_GB2312"/>
          <w:color w:val="auto"/>
          <w:sz w:val="24"/>
          <w:highlight w:val="none"/>
        </w:rPr>
        <w:t>合同当事人应当在颁发工程接收证书</w:t>
      </w:r>
      <w:r>
        <w:rPr>
          <w:rFonts w:hint="eastAsia" w:eastAsia="仿宋_GB2312"/>
          <w:color w:val="auto"/>
          <w:sz w:val="24"/>
          <w:highlight w:val="none"/>
        </w:rPr>
        <w:t>后7天内</w:t>
      </w:r>
      <w:r>
        <w:rPr>
          <w:rFonts w:eastAsia="仿宋_GB2312"/>
          <w:color w:val="auto"/>
          <w:sz w:val="24"/>
          <w:highlight w:val="none"/>
        </w:rPr>
        <w:t>完成工程的移交。</w:t>
      </w:r>
    </w:p>
    <w:p w14:paraId="2D2A3E0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发包人无正当理由不接收工程的，发包人自</w:t>
      </w:r>
      <w:r>
        <w:rPr>
          <w:rFonts w:hint="eastAsia" w:eastAsia="仿宋_GB2312"/>
          <w:color w:val="auto"/>
          <w:sz w:val="24"/>
          <w:highlight w:val="none"/>
        </w:rPr>
        <w:t>应当接收工程</w:t>
      </w:r>
      <w:r>
        <w:rPr>
          <w:rFonts w:eastAsia="仿宋_GB2312"/>
          <w:color w:val="auto"/>
          <w:sz w:val="24"/>
          <w:highlight w:val="none"/>
        </w:rPr>
        <w:t>之日起，承担工程照管、成品保护、保管等与工程有关的各项费用</w:t>
      </w:r>
      <w:r>
        <w:rPr>
          <w:rFonts w:hint="eastAsia" w:eastAsia="仿宋_GB2312"/>
          <w:color w:val="auto"/>
          <w:sz w:val="24"/>
          <w:highlight w:val="none"/>
        </w:rPr>
        <w:t>，合同当事人可以在专用合同条款中另行约定发包人逾期接收工程的违约责任</w:t>
      </w:r>
      <w:r>
        <w:rPr>
          <w:rFonts w:eastAsia="仿宋_GB2312"/>
          <w:color w:val="auto"/>
          <w:sz w:val="24"/>
          <w:highlight w:val="none"/>
        </w:rPr>
        <w:t>。</w:t>
      </w:r>
    </w:p>
    <w:p w14:paraId="489B8F1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承包人无正当理由不移交工程的，</w:t>
      </w:r>
      <w:r>
        <w:rPr>
          <w:rFonts w:hint="eastAsia" w:eastAsia="仿宋_GB2312"/>
          <w:color w:val="auto"/>
          <w:sz w:val="24"/>
          <w:highlight w:val="none"/>
        </w:rPr>
        <w:t>承包人应承担</w:t>
      </w:r>
      <w:r>
        <w:rPr>
          <w:rFonts w:eastAsia="仿宋_GB2312"/>
          <w:color w:val="auto"/>
          <w:sz w:val="24"/>
          <w:highlight w:val="none"/>
        </w:rPr>
        <w:t>工程照管、成品保护、保管等与工程有关的各项费用</w:t>
      </w:r>
      <w:r>
        <w:rPr>
          <w:rFonts w:hint="eastAsia" w:eastAsia="仿宋_GB2312"/>
          <w:color w:val="auto"/>
          <w:sz w:val="24"/>
          <w:highlight w:val="none"/>
        </w:rPr>
        <w:t>，合同当事人可以在专用合同条款中另行约定承包人无正当理由不移交工程的违约责任</w:t>
      </w:r>
      <w:r>
        <w:rPr>
          <w:rFonts w:eastAsia="仿宋_GB2312"/>
          <w:color w:val="auto"/>
          <w:sz w:val="24"/>
          <w:highlight w:val="none"/>
        </w:rPr>
        <w:t>。</w:t>
      </w:r>
    </w:p>
    <w:p w14:paraId="12CDC77E">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89" w:name="_Toc351203589"/>
      <w:bookmarkStart w:id="490" w:name="_Toc337558807"/>
      <w:bookmarkStart w:id="491" w:name="_Toc296346612"/>
      <w:bookmarkStart w:id="492" w:name="_Toc296503111"/>
      <w:r>
        <w:rPr>
          <w:rFonts w:ascii="Times New Roman" w:hAnsi="Times New Roman" w:eastAsia="黑体"/>
          <w:b w:val="0"/>
          <w:color w:val="auto"/>
          <w:highlight w:val="none"/>
        </w:rPr>
        <w:t>13.3工程试车</w:t>
      </w:r>
      <w:bookmarkEnd w:id="489"/>
    </w:p>
    <w:bookmarkEnd w:id="490"/>
    <w:bookmarkEnd w:id="491"/>
    <w:bookmarkEnd w:id="492"/>
    <w:p w14:paraId="7B6AE79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13.3.1试车程序</w:t>
      </w:r>
    </w:p>
    <w:p w14:paraId="4F437C3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工程需要试车的，除专用合同条款另有约定外，试车内容应与承包人承包范围相一致，试车费用由承包人承担。工程试车应按如下程序进行：</w:t>
      </w:r>
    </w:p>
    <w:p w14:paraId="6B02686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66C50B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1461954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7EA7ECD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13.3.2 试车中的责任</w:t>
      </w:r>
    </w:p>
    <w:p w14:paraId="0B35516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1781259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508C537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13.3.3 投料试车</w:t>
      </w:r>
    </w:p>
    <w:p w14:paraId="326B0A3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如需进行投料试车的，</w:t>
      </w:r>
      <w:r>
        <w:rPr>
          <w:rFonts w:eastAsia="仿宋_GB2312"/>
          <w:color w:val="auto"/>
          <w:sz w:val="24"/>
          <w:highlight w:val="none"/>
        </w:rPr>
        <w:t>发包人</w:t>
      </w:r>
      <w:r>
        <w:rPr>
          <w:rFonts w:hint="eastAsia" w:eastAsia="仿宋_GB2312"/>
          <w:color w:val="auto"/>
          <w:sz w:val="24"/>
          <w:highlight w:val="none"/>
        </w:rPr>
        <w:t>应在</w:t>
      </w:r>
      <w:r>
        <w:rPr>
          <w:rFonts w:eastAsia="仿宋_GB2312"/>
          <w:color w:val="auto"/>
          <w:sz w:val="24"/>
          <w:highlight w:val="none"/>
        </w:rPr>
        <w:t>工程竣工验收后</w:t>
      </w:r>
      <w:r>
        <w:rPr>
          <w:rFonts w:hint="eastAsia" w:eastAsia="仿宋_GB2312"/>
          <w:color w:val="auto"/>
          <w:sz w:val="24"/>
          <w:highlight w:val="none"/>
        </w:rPr>
        <w:t>组织</w:t>
      </w:r>
      <w:r>
        <w:rPr>
          <w:rFonts w:eastAsia="仿宋_GB2312"/>
          <w:color w:val="auto"/>
          <w:sz w:val="24"/>
          <w:highlight w:val="none"/>
        </w:rPr>
        <w:t>投料试车</w:t>
      </w:r>
      <w:r>
        <w:rPr>
          <w:rFonts w:hint="eastAsia" w:eastAsia="仿宋_GB2312"/>
          <w:color w:val="auto"/>
          <w:sz w:val="24"/>
          <w:highlight w:val="none"/>
        </w:rPr>
        <w:t>。</w:t>
      </w:r>
      <w:r>
        <w:rPr>
          <w:rFonts w:eastAsia="仿宋_GB2312"/>
          <w:color w:val="auto"/>
          <w:sz w:val="24"/>
          <w:highlight w:val="none"/>
        </w:rPr>
        <w:t>发包人要求在工程竣工验收前进行或需要承包人配合时，应征得承包人同意</w:t>
      </w:r>
      <w:r>
        <w:rPr>
          <w:rFonts w:hint="eastAsia" w:eastAsia="仿宋_GB2312"/>
          <w:color w:val="auto"/>
          <w:sz w:val="24"/>
          <w:highlight w:val="none"/>
        </w:rPr>
        <w:t>，并在专用合同条款中约定有关事项</w:t>
      </w:r>
      <w:r>
        <w:rPr>
          <w:rFonts w:eastAsia="仿宋_GB2312"/>
          <w:color w:val="auto"/>
          <w:sz w:val="24"/>
          <w:highlight w:val="none"/>
        </w:rPr>
        <w:t>。</w:t>
      </w:r>
    </w:p>
    <w:p w14:paraId="4F73E83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投料试车合格的，费用由发包人承担；因承包人原因造成投料试车不合格的，承包人应按照发包人要求进行整改，由此产生的整改费用由承包人承担；非因承包人原因导致投料试车不合格的，</w:t>
      </w:r>
      <w:r>
        <w:rPr>
          <w:rFonts w:hint="eastAsia" w:eastAsia="仿宋_GB2312"/>
          <w:color w:val="auto"/>
          <w:sz w:val="24"/>
          <w:highlight w:val="none"/>
        </w:rPr>
        <w:t>如</w:t>
      </w:r>
      <w:r>
        <w:rPr>
          <w:rFonts w:eastAsia="仿宋_GB2312"/>
          <w:color w:val="auto"/>
          <w:sz w:val="24"/>
          <w:highlight w:val="none"/>
        </w:rPr>
        <w:t>发包人要求承包人进行整改</w:t>
      </w:r>
      <w:r>
        <w:rPr>
          <w:rFonts w:hint="eastAsia" w:eastAsia="仿宋_GB2312"/>
          <w:color w:val="auto"/>
          <w:sz w:val="24"/>
          <w:highlight w:val="none"/>
        </w:rPr>
        <w:t>的</w:t>
      </w:r>
      <w:r>
        <w:rPr>
          <w:rFonts w:eastAsia="仿宋_GB2312"/>
          <w:color w:val="auto"/>
          <w:sz w:val="24"/>
          <w:highlight w:val="none"/>
        </w:rPr>
        <w:t>，由此产生的费用由发包人承担。</w:t>
      </w:r>
    </w:p>
    <w:p w14:paraId="2C9FCEE9">
      <w:pPr>
        <w:pStyle w:val="6"/>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highlight w:val="none"/>
        </w:rPr>
      </w:pPr>
      <w:bookmarkStart w:id="493" w:name="_Toc337558808"/>
      <w:r>
        <w:rPr>
          <w:rFonts w:ascii="Times New Roman" w:hAnsi="Times New Roman" w:eastAsia="黑体"/>
          <w:b w:val="0"/>
          <w:color w:val="auto"/>
          <w:highlight w:val="none"/>
        </w:rPr>
        <w:t xml:space="preserve">    </w:t>
      </w:r>
      <w:bookmarkStart w:id="494" w:name="_Toc351203590"/>
      <w:r>
        <w:rPr>
          <w:rFonts w:ascii="Times New Roman" w:hAnsi="Times New Roman" w:eastAsia="黑体"/>
          <w:b w:val="0"/>
          <w:color w:val="auto"/>
          <w:highlight w:val="none"/>
        </w:rPr>
        <w:t>13.4提前交付单位工程的验收</w:t>
      </w:r>
      <w:bookmarkEnd w:id="494"/>
    </w:p>
    <w:bookmarkEnd w:id="493"/>
    <w:p w14:paraId="09D1871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13.4.1 发包人需要在工程竣工前使用单位工程的，或承包人提出提前交付已经竣工的单位工程且经发包人同意的，可进行单位工程验收，验收的程序按照第13.2款</w:t>
      </w:r>
      <w:r>
        <w:rPr>
          <w:rFonts w:hint="eastAsia" w:eastAsia="仿宋_GB2312"/>
          <w:color w:val="auto"/>
          <w:sz w:val="24"/>
          <w:highlight w:val="none"/>
        </w:rPr>
        <w:t>〔</w:t>
      </w:r>
      <w:r>
        <w:rPr>
          <w:rFonts w:eastAsia="仿宋_GB2312"/>
          <w:color w:val="auto"/>
          <w:sz w:val="24"/>
          <w:highlight w:val="none"/>
        </w:rPr>
        <w:t>竣工验收</w:t>
      </w:r>
      <w:r>
        <w:rPr>
          <w:rFonts w:hint="eastAsia" w:eastAsia="仿宋_GB2312"/>
          <w:color w:val="auto"/>
          <w:sz w:val="24"/>
          <w:highlight w:val="none"/>
        </w:rPr>
        <w:t>〕</w:t>
      </w:r>
      <w:r>
        <w:rPr>
          <w:rFonts w:eastAsia="仿宋_GB2312"/>
          <w:color w:val="auto"/>
          <w:sz w:val="24"/>
          <w:highlight w:val="none"/>
        </w:rPr>
        <w:t>的约定进行。</w:t>
      </w:r>
    </w:p>
    <w:p w14:paraId="4637DA3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67BB428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13.4.2 发包人要求在工程竣工前交付单位工程，由此导致承包人费用增加和（或）工期延误的，由发包人承担由此增加的费用和（或）延误的工期，并支付承包人合理的利润。</w:t>
      </w:r>
    </w:p>
    <w:p w14:paraId="15F4FB82">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95" w:name="_Toc351203591"/>
      <w:r>
        <w:rPr>
          <w:rFonts w:ascii="Times New Roman" w:hAnsi="Times New Roman" w:eastAsia="黑体"/>
          <w:b w:val="0"/>
          <w:color w:val="auto"/>
          <w:highlight w:val="none"/>
        </w:rPr>
        <w:t>13.5 施工期运行</w:t>
      </w:r>
      <w:bookmarkEnd w:id="495"/>
    </w:p>
    <w:p w14:paraId="72616D5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13.5.1 施工期运行是指合同工程尚未全部竣工，其中某项或某几项单位工程或工程设备安装已竣工，根据专用合同条款约定，需要投入施工期运行的，经发包人按第13.4款</w:t>
      </w:r>
      <w:r>
        <w:rPr>
          <w:rFonts w:hint="eastAsia" w:eastAsia="仿宋_GB2312"/>
          <w:color w:val="auto"/>
          <w:sz w:val="24"/>
          <w:highlight w:val="none"/>
        </w:rPr>
        <w:t>〔</w:t>
      </w:r>
      <w:r>
        <w:rPr>
          <w:rFonts w:eastAsia="仿宋_GB2312"/>
          <w:color w:val="auto"/>
          <w:sz w:val="24"/>
          <w:highlight w:val="none"/>
        </w:rPr>
        <w:t>提前交付单位工程的验收</w:t>
      </w:r>
      <w:r>
        <w:rPr>
          <w:rFonts w:hint="eastAsia" w:eastAsia="仿宋_GB2312"/>
          <w:color w:val="auto"/>
          <w:sz w:val="24"/>
          <w:highlight w:val="none"/>
        </w:rPr>
        <w:t>〕</w:t>
      </w:r>
      <w:r>
        <w:rPr>
          <w:rFonts w:eastAsia="仿宋_GB2312"/>
          <w:color w:val="auto"/>
          <w:sz w:val="24"/>
          <w:highlight w:val="none"/>
        </w:rPr>
        <w:t>的约定验收合格，证明能确保安全后，才能在施工期投入运行。</w:t>
      </w:r>
    </w:p>
    <w:p w14:paraId="1EAD590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13.5.2 在施工期运行中发现工程或工程设备损坏或存在缺陷的，由承包人按第15.2款</w:t>
      </w:r>
      <w:r>
        <w:rPr>
          <w:rFonts w:hint="eastAsia" w:eastAsia="仿宋_GB2312"/>
          <w:color w:val="auto"/>
          <w:sz w:val="24"/>
          <w:highlight w:val="none"/>
        </w:rPr>
        <w:t>〔</w:t>
      </w:r>
      <w:r>
        <w:rPr>
          <w:rFonts w:eastAsia="仿宋_GB2312"/>
          <w:color w:val="auto"/>
          <w:sz w:val="24"/>
          <w:highlight w:val="none"/>
        </w:rPr>
        <w:t>缺陷责任期</w:t>
      </w:r>
      <w:r>
        <w:rPr>
          <w:rFonts w:hint="eastAsia" w:eastAsia="仿宋_GB2312"/>
          <w:color w:val="auto"/>
          <w:sz w:val="24"/>
          <w:highlight w:val="none"/>
        </w:rPr>
        <w:t>〕</w:t>
      </w:r>
      <w:r>
        <w:rPr>
          <w:rFonts w:eastAsia="仿宋_GB2312"/>
          <w:color w:val="auto"/>
          <w:sz w:val="24"/>
          <w:highlight w:val="none"/>
        </w:rPr>
        <w:t>约定进行修复。</w:t>
      </w:r>
    </w:p>
    <w:p w14:paraId="7B3D766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496" w:name="_Toc296503112"/>
      <w:bookmarkStart w:id="497" w:name="_Toc296346613"/>
      <w:bookmarkStart w:id="498" w:name="_Toc351203592"/>
      <w:bookmarkStart w:id="499" w:name="_Toc337558809"/>
      <w:r>
        <w:rPr>
          <w:rFonts w:ascii="Times New Roman" w:hAnsi="Times New Roman" w:eastAsia="黑体"/>
          <w:b w:val="0"/>
          <w:color w:val="auto"/>
          <w:highlight w:val="none"/>
        </w:rPr>
        <w:t>13.6 竣工退</w:t>
      </w:r>
      <w:bookmarkEnd w:id="496"/>
      <w:bookmarkEnd w:id="497"/>
      <w:r>
        <w:rPr>
          <w:rFonts w:ascii="Times New Roman" w:hAnsi="Times New Roman" w:eastAsia="黑体"/>
          <w:b w:val="0"/>
          <w:color w:val="auto"/>
          <w:highlight w:val="none"/>
        </w:rPr>
        <w:t>场</w:t>
      </w:r>
      <w:bookmarkEnd w:id="498"/>
    </w:p>
    <w:bookmarkEnd w:id="499"/>
    <w:p w14:paraId="7FF50A5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13.6.1 竣工退场</w:t>
      </w:r>
    </w:p>
    <w:p w14:paraId="769B78C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颁发工程接收证书后，承包人应按以下要求对施工现场进行清理：</w:t>
      </w:r>
    </w:p>
    <w:p w14:paraId="4576941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（1）施工现场内残留的垃圾已全部清除出场；</w:t>
      </w:r>
    </w:p>
    <w:p w14:paraId="711CDA3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（2）临时工程已拆除，场地已进行清理、平整或复原；</w:t>
      </w:r>
    </w:p>
    <w:p w14:paraId="7AEBC32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（3）按合同约定应撤离的人员、承包人施工设备和剩余的材料，包括废弃的施工设备和材料，已按计划撤离施工现场；</w:t>
      </w:r>
    </w:p>
    <w:p w14:paraId="41AB578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（4）施工现场周边及其附近道路、河道的施工堆积物，已全部清理；</w:t>
      </w:r>
    </w:p>
    <w:p w14:paraId="6548FF0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（5）施工现场其他场地清理工作已全部完成。</w:t>
      </w:r>
    </w:p>
    <w:p w14:paraId="3C6D73F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4E07515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13.6.2 地表还原</w:t>
      </w:r>
    </w:p>
    <w:p w14:paraId="09C8DC7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9BF655F">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00" w:name="_Toc351203593"/>
      <w:bookmarkStart w:id="501" w:name="_Toc337558810"/>
      <w:bookmarkStart w:id="502" w:name="_Toc296503113"/>
      <w:bookmarkStart w:id="503" w:name="_Toc296346614"/>
      <w:r>
        <w:rPr>
          <w:rFonts w:ascii="Times New Roman" w:hAnsi="Times New Roman" w:eastAsia="黑体"/>
          <w:b w:val="0"/>
          <w:color w:val="auto"/>
          <w:sz w:val="24"/>
          <w:szCs w:val="24"/>
          <w:highlight w:val="none"/>
        </w:rPr>
        <w:t>14. 竣工结算</w:t>
      </w:r>
      <w:bookmarkEnd w:id="500"/>
    </w:p>
    <w:bookmarkEnd w:id="501"/>
    <w:p w14:paraId="3EA0F60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04" w:name="_Toc351203594"/>
      <w:bookmarkStart w:id="505" w:name="_Toc337558811"/>
      <w:r>
        <w:rPr>
          <w:rFonts w:ascii="Times New Roman" w:hAnsi="Times New Roman" w:eastAsia="黑体"/>
          <w:b w:val="0"/>
          <w:color w:val="auto"/>
          <w:highlight w:val="none"/>
        </w:rPr>
        <w:t>14.1 竣工结算申请</w:t>
      </w:r>
      <w:bookmarkEnd w:id="504"/>
    </w:p>
    <w:bookmarkEnd w:id="505"/>
    <w:p w14:paraId="400B68F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除专用合同条款另有约定外，承包人应在工程竣工验收合格后28天内向发包人和监理人提交竣工结算申请单，并提交完整的结算资料，</w:t>
      </w:r>
      <w:r>
        <w:rPr>
          <w:rFonts w:hint="eastAsia" w:eastAsia="仿宋_GB2312"/>
          <w:color w:val="auto"/>
          <w:sz w:val="24"/>
          <w:highlight w:val="none"/>
        </w:rPr>
        <w:t>有关</w:t>
      </w:r>
      <w:r>
        <w:rPr>
          <w:rFonts w:eastAsia="仿宋_GB2312"/>
          <w:color w:val="auto"/>
          <w:sz w:val="24"/>
          <w:highlight w:val="none"/>
        </w:rPr>
        <w:t>竣工结算申请单</w:t>
      </w:r>
      <w:r>
        <w:rPr>
          <w:rFonts w:hint="eastAsia" w:eastAsia="仿宋_GB2312"/>
          <w:color w:val="auto"/>
          <w:sz w:val="24"/>
          <w:highlight w:val="none"/>
        </w:rPr>
        <w:t>的资料清单和</w:t>
      </w:r>
      <w:r>
        <w:rPr>
          <w:rFonts w:eastAsia="仿宋_GB2312"/>
          <w:color w:val="auto"/>
          <w:sz w:val="24"/>
          <w:highlight w:val="none"/>
        </w:rPr>
        <w:t>份数</w:t>
      </w:r>
      <w:r>
        <w:rPr>
          <w:rFonts w:hint="eastAsia" w:eastAsia="仿宋_GB2312"/>
          <w:color w:val="auto"/>
          <w:sz w:val="24"/>
          <w:highlight w:val="none"/>
        </w:rPr>
        <w:t>等要求</w:t>
      </w:r>
      <w:r>
        <w:rPr>
          <w:rFonts w:eastAsia="仿宋_GB2312"/>
          <w:color w:val="auto"/>
          <w:sz w:val="24"/>
          <w:highlight w:val="none"/>
        </w:rPr>
        <w:t>由合同当事人在专用合同条款中约定。</w:t>
      </w:r>
    </w:p>
    <w:p w14:paraId="10C5F62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除专用合同条款另有约定外，竣工结算申请单应包括以下内容：</w:t>
      </w:r>
    </w:p>
    <w:p w14:paraId="1581727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（1）竣工结算合同价格；</w:t>
      </w:r>
    </w:p>
    <w:p w14:paraId="2211047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（2）发包人已支付承包人的款项；</w:t>
      </w:r>
    </w:p>
    <w:p w14:paraId="01E51CC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（3）应扣留的质量保证金</w:t>
      </w:r>
      <w:r>
        <w:rPr>
          <w:rFonts w:hint="eastAsia" w:eastAsia="仿宋_GB2312"/>
          <w:color w:val="auto"/>
          <w:sz w:val="24"/>
          <w:highlight w:val="none"/>
        </w:rPr>
        <w:t>。已缴纳履约保证金的或提供其他工程质量担保方式的除外</w:t>
      </w:r>
      <w:r>
        <w:rPr>
          <w:rFonts w:eastAsia="仿宋_GB2312"/>
          <w:color w:val="auto"/>
          <w:sz w:val="24"/>
          <w:highlight w:val="none"/>
        </w:rPr>
        <w:t xml:space="preserve">； </w:t>
      </w:r>
    </w:p>
    <w:p w14:paraId="4D8DC61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（4）发包人应支付承包人的合同价款。</w:t>
      </w:r>
    </w:p>
    <w:p w14:paraId="52F4A13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06" w:name="_Toc351203595"/>
      <w:bookmarkStart w:id="507" w:name="_Toc337558812"/>
      <w:r>
        <w:rPr>
          <w:rFonts w:ascii="Times New Roman" w:hAnsi="Times New Roman" w:eastAsia="黑体"/>
          <w:b w:val="0"/>
          <w:color w:val="auto"/>
          <w:highlight w:val="none"/>
        </w:rPr>
        <w:t>14.2 竣工结算审核</w:t>
      </w:r>
      <w:bookmarkEnd w:id="506"/>
    </w:p>
    <w:bookmarkEnd w:id="507"/>
    <w:p w14:paraId="0DD8C0E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（1）除专用合同条款另有约定外，监理人应在收到竣工结算申请单后14天内完成核查并报送发包人。发包人应在收到监理人提交的经审核的竣工结算申请单后14天内完成</w:t>
      </w:r>
      <w:r>
        <w:rPr>
          <w:rFonts w:hint="eastAsia" w:eastAsia="仿宋_GB2312"/>
          <w:color w:val="auto"/>
          <w:sz w:val="24"/>
          <w:highlight w:val="none"/>
        </w:rPr>
        <w:t>审批</w:t>
      </w:r>
      <w:r>
        <w:rPr>
          <w:rFonts w:eastAsia="仿宋_GB2312"/>
          <w:color w:val="auto"/>
          <w:sz w:val="24"/>
          <w:highlight w:val="none"/>
        </w:rPr>
        <w:t>，并由监理人向承包人签发经发包人签认的竣工付款证书。监理人或发包人对竣工结算申请单有异议的，有权要求承包人进行修正和提供补充资料，承包人应提交修正后的竣工结算申请单。</w:t>
      </w:r>
    </w:p>
    <w:p w14:paraId="4F6DFBB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（3）承包人对发包人签认的竣工付款证书有异议的，对于有异议部分应在收到发包人签认的竣工付款证书后7天内提出异议，并由合同当事人按照专用合同条款约定</w:t>
      </w:r>
      <w:r>
        <w:rPr>
          <w:rFonts w:hint="eastAsia" w:eastAsia="仿宋_GB2312"/>
          <w:color w:val="auto"/>
          <w:sz w:val="24"/>
          <w:highlight w:val="none"/>
        </w:rPr>
        <w:t>的方式和程序</w:t>
      </w:r>
      <w:r>
        <w:rPr>
          <w:rFonts w:eastAsia="仿宋_GB2312"/>
          <w:color w:val="auto"/>
          <w:sz w:val="24"/>
          <w:highlight w:val="none"/>
        </w:rPr>
        <w:t>进行复核，或按照第20条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约定处理。对于无异议部分，发包人应签发临时竣工付款证书，并按本款第（2）项完成付款</w:t>
      </w:r>
      <w:r>
        <w:rPr>
          <w:rFonts w:hint="eastAsia" w:eastAsia="仿宋_GB2312"/>
          <w:color w:val="auto"/>
          <w:sz w:val="24"/>
          <w:highlight w:val="none"/>
        </w:rPr>
        <w:t>。</w:t>
      </w:r>
      <w:r>
        <w:rPr>
          <w:rFonts w:eastAsia="仿宋_GB2312"/>
          <w:color w:val="auto"/>
          <w:sz w:val="24"/>
          <w:highlight w:val="none"/>
        </w:rPr>
        <w:t>承包人逾期未提出异议的，视为认可发包人的</w:t>
      </w:r>
      <w:r>
        <w:rPr>
          <w:rFonts w:hint="eastAsia" w:eastAsia="仿宋_GB2312"/>
          <w:color w:val="auto"/>
          <w:sz w:val="24"/>
          <w:highlight w:val="none"/>
        </w:rPr>
        <w:t>审批</w:t>
      </w:r>
      <w:r>
        <w:rPr>
          <w:rFonts w:eastAsia="仿宋_GB2312"/>
          <w:color w:val="auto"/>
          <w:sz w:val="24"/>
          <w:highlight w:val="none"/>
        </w:rPr>
        <w:t>结果。</w:t>
      </w:r>
    </w:p>
    <w:p w14:paraId="495DACF6">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08" w:name="_Toc351203596"/>
      <w:bookmarkStart w:id="509" w:name="_Toc337558813"/>
      <w:r>
        <w:rPr>
          <w:rFonts w:ascii="Times New Roman" w:hAnsi="Times New Roman" w:eastAsia="黑体"/>
          <w:b w:val="0"/>
          <w:color w:val="auto"/>
          <w:highlight w:val="none"/>
        </w:rPr>
        <w:t>14.3 甩项竣工协议</w:t>
      </w:r>
      <w:bookmarkEnd w:id="508"/>
    </w:p>
    <w:bookmarkEnd w:id="509"/>
    <w:p w14:paraId="29C13648">
      <w:pPr>
        <w:pageBreakBefore w:val="0"/>
        <w:kinsoku/>
        <w:wordWrap/>
        <w:overflowPunct/>
        <w:topLinePunct w:val="0"/>
        <w:autoSpaceDE w:val="0"/>
        <w:autoSpaceDN w:val="0"/>
        <w:bidi w:val="0"/>
        <w:adjustRightInd w:val="0"/>
        <w:spacing w:line="288" w:lineRule="auto"/>
        <w:ind w:left="0" w:leftChars="0" w:firstLine="470" w:firstLineChars="196"/>
        <w:jc w:val="left"/>
        <w:textAlignment w:val="auto"/>
        <w:rPr>
          <w:rFonts w:eastAsia="仿宋_GB2312"/>
          <w:color w:val="auto"/>
          <w:sz w:val="24"/>
          <w:highlight w:val="none"/>
        </w:rPr>
      </w:pPr>
      <w:r>
        <w:rPr>
          <w:rFonts w:eastAsia="仿宋_GB2312"/>
          <w:color w:val="auto"/>
          <w:sz w:val="24"/>
          <w:highlight w:val="none"/>
        </w:rPr>
        <w:t>发包人要求甩项竣工的，合同当事人应签订甩项竣工协议。在甩项竣工协议中应明确，合同当事人按照第14.1款</w:t>
      </w:r>
      <w:r>
        <w:rPr>
          <w:rFonts w:hint="eastAsia" w:eastAsia="仿宋_GB2312"/>
          <w:color w:val="auto"/>
          <w:sz w:val="24"/>
          <w:highlight w:val="none"/>
        </w:rPr>
        <w:t>〔</w:t>
      </w:r>
      <w:r>
        <w:rPr>
          <w:rFonts w:eastAsia="仿宋_GB2312"/>
          <w:color w:val="auto"/>
          <w:sz w:val="24"/>
          <w:highlight w:val="none"/>
        </w:rPr>
        <w:t>竣工</w:t>
      </w:r>
      <w:r>
        <w:rPr>
          <w:rFonts w:hint="eastAsia" w:eastAsia="仿宋_GB2312"/>
          <w:color w:val="auto"/>
          <w:sz w:val="24"/>
          <w:highlight w:val="none"/>
        </w:rPr>
        <w:t>结算</w:t>
      </w:r>
      <w:r>
        <w:rPr>
          <w:rFonts w:eastAsia="仿宋_GB2312"/>
          <w:color w:val="auto"/>
          <w:sz w:val="24"/>
          <w:highlight w:val="none"/>
        </w:rPr>
        <w:t>申请</w:t>
      </w:r>
      <w:r>
        <w:rPr>
          <w:rFonts w:hint="eastAsia" w:eastAsia="仿宋_GB2312"/>
          <w:color w:val="auto"/>
          <w:sz w:val="24"/>
          <w:highlight w:val="none"/>
        </w:rPr>
        <w:t>〕</w:t>
      </w:r>
      <w:r>
        <w:rPr>
          <w:rFonts w:eastAsia="仿宋_GB2312"/>
          <w:color w:val="auto"/>
          <w:sz w:val="24"/>
          <w:highlight w:val="none"/>
        </w:rPr>
        <w:t>及14.2款</w:t>
      </w:r>
      <w:r>
        <w:rPr>
          <w:rFonts w:hint="eastAsia" w:eastAsia="仿宋_GB2312"/>
          <w:color w:val="auto"/>
          <w:sz w:val="24"/>
          <w:highlight w:val="none"/>
        </w:rPr>
        <w:t>〔</w:t>
      </w:r>
      <w:r>
        <w:rPr>
          <w:rFonts w:eastAsia="仿宋_GB2312"/>
          <w:color w:val="auto"/>
          <w:sz w:val="24"/>
          <w:highlight w:val="none"/>
        </w:rPr>
        <w:t>竣工结算审核</w:t>
      </w:r>
      <w:r>
        <w:rPr>
          <w:rFonts w:hint="eastAsia" w:eastAsia="仿宋_GB2312"/>
          <w:color w:val="auto"/>
          <w:sz w:val="24"/>
          <w:highlight w:val="none"/>
        </w:rPr>
        <w:t>〕</w:t>
      </w:r>
      <w:r>
        <w:rPr>
          <w:rFonts w:eastAsia="仿宋_GB2312"/>
          <w:color w:val="auto"/>
          <w:sz w:val="24"/>
          <w:highlight w:val="none"/>
        </w:rPr>
        <w:t>的约定，</w:t>
      </w:r>
      <w:r>
        <w:rPr>
          <w:rFonts w:hint="eastAsia" w:eastAsia="仿宋_GB2312"/>
          <w:color w:val="auto"/>
          <w:sz w:val="24"/>
          <w:highlight w:val="none"/>
        </w:rPr>
        <w:t>对已</w:t>
      </w:r>
      <w:r>
        <w:rPr>
          <w:rFonts w:eastAsia="仿宋_GB2312"/>
          <w:color w:val="auto"/>
          <w:sz w:val="24"/>
          <w:highlight w:val="none"/>
        </w:rPr>
        <w:t>完合格工程</w:t>
      </w:r>
      <w:r>
        <w:rPr>
          <w:rFonts w:hint="eastAsia" w:eastAsia="仿宋_GB2312"/>
          <w:color w:val="auto"/>
          <w:sz w:val="24"/>
          <w:highlight w:val="none"/>
        </w:rPr>
        <w:t>进行</w:t>
      </w:r>
      <w:r>
        <w:rPr>
          <w:rFonts w:eastAsia="仿宋_GB2312"/>
          <w:color w:val="auto"/>
          <w:sz w:val="24"/>
          <w:highlight w:val="none"/>
        </w:rPr>
        <w:t>结算，并支付相应</w:t>
      </w:r>
      <w:r>
        <w:rPr>
          <w:rFonts w:hint="eastAsia" w:eastAsia="仿宋_GB2312"/>
          <w:color w:val="auto"/>
          <w:sz w:val="24"/>
          <w:highlight w:val="none"/>
        </w:rPr>
        <w:t>合同</w:t>
      </w:r>
      <w:r>
        <w:rPr>
          <w:rFonts w:eastAsia="仿宋_GB2312"/>
          <w:color w:val="auto"/>
          <w:sz w:val="24"/>
          <w:highlight w:val="none"/>
        </w:rPr>
        <w:t>价款。</w:t>
      </w:r>
    </w:p>
    <w:p w14:paraId="744C249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10" w:name="_Toc351203597"/>
      <w:bookmarkStart w:id="511" w:name="_Toc337558814"/>
      <w:r>
        <w:rPr>
          <w:rFonts w:ascii="Times New Roman" w:hAnsi="Times New Roman" w:eastAsia="黑体"/>
          <w:b w:val="0"/>
          <w:color w:val="auto"/>
          <w:highlight w:val="none"/>
        </w:rPr>
        <w:t>14.4 最终结清</w:t>
      </w:r>
      <w:bookmarkEnd w:id="510"/>
    </w:p>
    <w:bookmarkEnd w:id="511"/>
    <w:p w14:paraId="2825D80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14.4.1 最终结清申请单</w:t>
      </w:r>
    </w:p>
    <w:p w14:paraId="4EDC7C1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（1）除专用合同条款另有约定外，承包人应在缺陷责任期终止证书颁发后7天内，按专用合同条款约定的份数向发包人提交最终结清申请单，并提供相关证明材料。</w:t>
      </w:r>
    </w:p>
    <w:p w14:paraId="7B91ADD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除专用合同条款另有约定外，最终结清申请单应列明质量保证金、应扣除的质量保证金、缺陷责任期内发生的增减费用。</w:t>
      </w:r>
    </w:p>
    <w:p w14:paraId="1EC6D40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（2）发包人对最终结清申请单内容有异议的，有权要求承包人进行修正和提供补充资料，承包人应向发包人提交修正后的最终结清申请单。</w:t>
      </w:r>
    </w:p>
    <w:p w14:paraId="4CC07F3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14.4.2 最终结清证书和支付</w:t>
      </w:r>
    </w:p>
    <w:p w14:paraId="0FDDFC3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（1）除专用合同条款另有约定外，发包人应在收到承包人提交的最终结清申请单后14天内完成审批并向承包人颁发最终结清证书。</w:t>
      </w:r>
    </w:p>
    <w:p w14:paraId="52216E2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（3）承包人对发包人颁发的最终结清证书有异议的，按第20条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的约定办理。</w:t>
      </w:r>
    </w:p>
    <w:p w14:paraId="678C5D8E">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12" w:name="_Toc351203598"/>
      <w:bookmarkStart w:id="513" w:name="_Toc337558815"/>
      <w:r>
        <w:rPr>
          <w:rFonts w:ascii="Times New Roman" w:hAnsi="Times New Roman" w:eastAsia="黑体"/>
          <w:b w:val="0"/>
          <w:color w:val="auto"/>
          <w:sz w:val="24"/>
          <w:szCs w:val="24"/>
          <w:highlight w:val="none"/>
        </w:rPr>
        <w:t>15. 缺陷责任与保修</w:t>
      </w:r>
      <w:bookmarkEnd w:id="512"/>
    </w:p>
    <w:bookmarkEnd w:id="502"/>
    <w:bookmarkEnd w:id="503"/>
    <w:bookmarkEnd w:id="513"/>
    <w:p w14:paraId="0EEE0D0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14" w:name="_Toc351203599"/>
      <w:bookmarkStart w:id="515" w:name="_Toc337558816"/>
      <w:bookmarkStart w:id="516" w:name="_Toc296346615"/>
      <w:bookmarkStart w:id="517" w:name="_Toc296503114"/>
      <w:r>
        <w:rPr>
          <w:rFonts w:ascii="Times New Roman" w:hAnsi="Times New Roman" w:eastAsia="黑体"/>
          <w:b w:val="0"/>
          <w:color w:val="auto"/>
          <w:highlight w:val="none"/>
        </w:rPr>
        <w:t>15.1 工程保修的原则</w:t>
      </w:r>
      <w:bookmarkEnd w:id="514"/>
    </w:p>
    <w:bookmarkEnd w:id="515"/>
    <w:p w14:paraId="5D772D8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在工程移交发包人后，因承包人原因产生的质量缺陷，承包人应承担质量缺陷责任和保修义务。缺陷责任期届满，承包人仍应按合同约定的工程各部位保修年限承担保修义务。</w:t>
      </w:r>
    </w:p>
    <w:p w14:paraId="401A2EF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18" w:name="_Toc351203600"/>
      <w:bookmarkStart w:id="519" w:name="_Toc337558817"/>
      <w:r>
        <w:rPr>
          <w:rFonts w:ascii="Times New Roman" w:hAnsi="Times New Roman" w:eastAsia="黑体"/>
          <w:b w:val="0"/>
          <w:color w:val="auto"/>
          <w:highlight w:val="none"/>
        </w:rPr>
        <w:t>15.2 缺陷责任期</w:t>
      </w:r>
      <w:bookmarkEnd w:id="516"/>
      <w:bookmarkEnd w:id="517"/>
      <w:bookmarkEnd w:id="518"/>
    </w:p>
    <w:bookmarkEnd w:id="519"/>
    <w:p w14:paraId="4787B56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15.2.1 缺陷责任期</w:t>
      </w:r>
      <w:r>
        <w:rPr>
          <w:rFonts w:hint="eastAsia" w:eastAsia="仿宋_GB2312"/>
          <w:color w:val="auto"/>
          <w:sz w:val="24"/>
          <w:highlight w:val="none"/>
        </w:rPr>
        <w:t>从工程通过竣工验收之日</w:t>
      </w:r>
      <w:r>
        <w:rPr>
          <w:rFonts w:eastAsia="仿宋_GB2312"/>
          <w:color w:val="auto"/>
          <w:sz w:val="24"/>
          <w:highlight w:val="none"/>
        </w:rPr>
        <w:t>起计算，合同当事人应在专用合同条款约定缺陷责任期的具体期限，但该期限最长不超过24个月。</w:t>
      </w:r>
    </w:p>
    <w:p w14:paraId="3C47392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单位工程先于全部工程进行验收，经验收合格并交付使用的，该单位工程缺陷责任期自单位工程验收合格之日起算。</w:t>
      </w:r>
      <w:r>
        <w:rPr>
          <w:rFonts w:hint="eastAsia" w:eastAsia="仿宋_GB2312"/>
          <w:color w:val="auto"/>
          <w:sz w:val="24"/>
          <w:highlight w:val="none"/>
        </w:rPr>
        <w:t>因承包人原因导致工程无法按合同约定期限进行竣工验收的，缺陷责任期从实际通过竣工验收之日起计算。</w:t>
      </w:r>
      <w:r>
        <w:rPr>
          <w:rFonts w:eastAsia="仿宋_GB2312"/>
          <w:color w:val="auto"/>
          <w:sz w:val="24"/>
          <w:highlight w:val="none"/>
        </w:rPr>
        <w:t>因发包人原因导致工程无法按合同约定期限进行竣工验收的，</w:t>
      </w:r>
      <w:r>
        <w:rPr>
          <w:rFonts w:hint="eastAsia" w:eastAsia="仿宋_GB2312"/>
          <w:color w:val="auto"/>
          <w:sz w:val="24"/>
          <w:highlight w:val="none"/>
        </w:rPr>
        <w:t>在承包人提交竣工验收报告90天后，工程自动进入缺陷责任期</w:t>
      </w:r>
      <w:r>
        <w:rPr>
          <w:rFonts w:eastAsia="仿宋_GB2312"/>
          <w:color w:val="auto"/>
          <w:sz w:val="24"/>
          <w:highlight w:val="none"/>
        </w:rPr>
        <w:t>；发包人未经竣工验收擅自使用工程的，缺陷责任期自工程转移占有之日起开始计算。</w:t>
      </w:r>
    </w:p>
    <w:p w14:paraId="1368C6B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15.2.2</w:t>
      </w:r>
      <w:r>
        <w:rPr>
          <w:rFonts w:hint="eastAsia" w:eastAsia="仿宋_GB2312"/>
          <w:color w:val="auto"/>
          <w:sz w:val="24"/>
          <w:highlight w:val="none"/>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eastAsia="仿宋_GB2312"/>
          <w:color w:val="auto"/>
          <w:sz w:val="24"/>
          <w:highlight w:val="none"/>
        </w:rPr>
        <w:t>发包人有权要求承</w:t>
      </w:r>
      <w:r>
        <w:rPr>
          <w:rFonts w:eastAsia="仿宋_GB2312"/>
          <w:bCs/>
          <w:color w:val="auto"/>
          <w:sz w:val="24"/>
          <w:highlight w:val="none"/>
        </w:rPr>
        <w:t>包人延长缺陷责任期，</w:t>
      </w:r>
      <w:r>
        <w:rPr>
          <w:rFonts w:eastAsia="仿宋_GB2312"/>
          <w:color w:val="auto"/>
          <w:sz w:val="24"/>
          <w:highlight w:val="none"/>
        </w:rPr>
        <w:t>并应在原缺陷责任期届满前发出延长通知</w:t>
      </w:r>
      <w:r>
        <w:rPr>
          <w:rFonts w:hint="eastAsia" w:eastAsia="仿宋_GB2312"/>
          <w:color w:val="auto"/>
          <w:sz w:val="24"/>
          <w:highlight w:val="none"/>
        </w:rPr>
        <w:t>。</w:t>
      </w:r>
      <w:r>
        <w:rPr>
          <w:rFonts w:eastAsia="仿宋_GB2312"/>
          <w:bCs/>
          <w:color w:val="auto"/>
          <w:sz w:val="24"/>
          <w:highlight w:val="none"/>
        </w:rPr>
        <w:t>但缺陷责任期</w:t>
      </w:r>
      <w:r>
        <w:rPr>
          <w:rFonts w:hint="eastAsia" w:eastAsia="仿宋_GB2312"/>
          <w:bCs/>
          <w:color w:val="auto"/>
          <w:sz w:val="24"/>
          <w:highlight w:val="none"/>
        </w:rPr>
        <w:t>（含延长部分）</w:t>
      </w:r>
      <w:r>
        <w:rPr>
          <w:rFonts w:eastAsia="仿宋_GB2312"/>
          <w:bCs/>
          <w:color w:val="auto"/>
          <w:sz w:val="24"/>
          <w:highlight w:val="none"/>
        </w:rPr>
        <w:t>最长</w:t>
      </w:r>
      <w:r>
        <w:rPr>
          <w:rFonts w:eastAsia="仿宋_GB2312"/>
          <w:color w:val="auto"/>
          <w:sz w:val="24"/>
          <w:highlight w:val="none"/>
        </w:rPr>
        <w:t>不能超过24个月。</w:t>
      </w:r>
    </w:p>
    <w:p w14:paraId="359B444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由他人原因造成的缺陷，发包人负责组织维修，承包人不承担费用，且发包人不得从保证金中扣除费用。</w:t>
      </w:r>
    </w:p>
    <w:p w14:paraId="20961DD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15.2.3 任何一项缺陷或损坏修复后，经检查证明其影响了工程或工程设备的使用性能，承包人应重新进行合同约定的试验和试运行，试验和试运行的全部费用应由责任方承担。</w:t>
      </w:r>
    </w:p>
    <w:p w14:paraId="3A02E19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15.2.4</w:t>
      </w:r>
      <w:r>
        <w:rPr>
          <w:rFonts w:hint="eastAsia" w:eastAsia="仿宋_GB2312"/>
          <w:color w:val="auto"/>
          <w:sz w:val="24"/>
          <w:highlight w:val="none"/>
        </w:rPr>
        <w:t xml:space="preserve"> </w:t>
      </w:r>
      <w:r>
        <w:rPr>
          <w:rFonts w:eastAsia="仿宋_GB2312"/>
          <w:color w:val="auto"/>
          <w:sz w:val="24"/>
          <w:highlight w:val="none"/>
        </w:rPr>
        <w:t>除专用合同条款另有约定外，承包人应于缺陷责任期届满后7天内向发包人发出缺陷责任期</w:t>
      </w:r>
      <w:r>
        <w:rPr>
          <w:rFonts w:hint="eastAsia" w:eastAsia="仿宋_GB2312"/>
          <w:color w:val="auto"/>
          <w:sz w:val="24"/>
          <w:highlight w:val="none"/>
        </w:rPr>
        <w:t>届</w:t>
      </w:r>
      <w:r>
        <w:rPr>
          <w:rFonts w:eastAsia="仿宋_GB2312"/>
          <w:color w:val="auto"/>
          <w:sz w:val="24"/>
          <w:highlight w:val="none"/>
        </w:rPr>
        <w:t>满通知，发包人应在</w:t>
      </w:r>
      <w:r>
        <w:rPr>
          <w:rFonts w:hint="eastAsia" w:eastAsia="仿宋_GB2312"/>
          <w:color w:val="auto"/>
          <w:sz w:val="24"/>
          <w:highlight w:val="none"/>
        </w:rPr>
        <w:t>收</w:t>
      </w:r>
      <w:r>
        <w:rPr>
          <w:rFonts w:eastAsia="仿宋_GB2312"/>
          <w:color w:val="auto"/>
          <w:sz w:val="24"/>
          <w:highlight w:val="none"/>
        </w:rPr>
        <w:t>到缺陷责任期满通知后14天内核实承包人是否履行缺陷</w:t>
      </w:r>
      <w:r>
        <w:rPr>
          <w:rFonts w:hint="eastAsia" w:eastAsia="仿宋_GB2312"/>
          <w:color w:val="auto"/>
          <w:sz w:val="24"/>
          <w:highlight w:val="none"/>
        </w:rPr>
        <w:t>修复</w:t>
      </w:r>
      <w:r>
        <w:rPr>
          <w:rFonts w:eastAsia="仿宋_GB2312"/>
          <w:color w:val="auto"/>
          <w:sz w:val="24"/>
          <w:highlight w:val="none"/>
        </w:rPr>
        <w:t>义务，承包人未能履行缺陷</w:t>
      </w:r>
      <w:r>
        <w:rPr>
          <w:rFonts w:hint="eastAsia" w:eastAsia="仿宋_GB2312"/>
          <w:color w:val="auto"/>
          <w:sz w:val="24"/>
          <w:highlight w:val="none"/>
        </w:rPr>
        <w:t>修复</w:t>
      </w:r>
      <w:r>
        <w:rPr>
          <w:rFonts w:eastAsia="仿宋_GB2312"/>
          <w:color w:val="auto"/>
          <w:sz w:val="24"/>
          <w:highlight w:val="none"/>
        </w:rPr>
        <w:t>义务的，发包人有权扣除相应金额的维修费用。发包人应在</w:t>
      </w:r>
      <w:r>
        <w:rPr>
          <w:rFonts w:hint="eastAsia" w:eastAsia="仿宋_GB2312"/>
          <w:color w:val="auto"/>
          <w:sz w:val="24"/>
          <w:highlight w:val="none"/>
        </w:rPr>
        <w:t>收到</w:t>
      </w:r>
      <w:r>
        <w:rPr>
          <w:rFonts w:eastAsia="仿宋_GB2312"/>
          <w:color w:val="auto"/>
          <w:sz w:val="24"/>
          <w:highlight w:val="none"/>
        </w:rPr>
        <w:t>缺陷责任期</w:t>
      </w:r>
      <w:r>
        <w:rPr>
          <w:rFonts w:hint="eastAsia" w:eastAsia="仿宋_GB2312"/>
          <w:color w:val="auto"/>
          <w:sz w:val="24"/>
          <w:highlight w:val="none"/>
        </w:rPr>
        <w:t>届</w:t>
      </w:r>
      <w:r>
        <w:rPr>
          <w:rFonts w:eastAsia="仿宋_GB2312"/>
          <w:color w:val="auto"/>
          <w:sz w:val="24"/>
          <w:highlight w:val="none"/>
        </w:rPr>
        <w:t>满</w:t>
      </w:r>
      <w:r>
        <w:rPr>
          <w:rFonts w:hint="eastAsia" w:eastAsia="仿宋_GB2312"/>
          <w:color w:val="auto"/>
          <w:sz w:val="24"/>
          <w:highlight w:val="none"/>
        </w:rPr>
        <w:t>通知后</w:t>
      </w:r>
      <w:r>
        <w:rPr>
          <w:rFonts w:eastAsia="仿宋_GB2312"/>
          <w:color w:val="auto"/>
          <w:sz w:val="24"/>
          <w:highlight w:val="none"/>
        </w:rPr>
        <w:t>14天内，向承包人颁发缺陷责任期终止证</w:t>
      </w:r>
      <w:r>
        <w:rPr>
          <w:rFonts w:hint="eastAsia" w:eastAsia="仿宋_GB2312"/>
          <w:color w:val="auto"/>
          <w:sz w:val="24"/>
          <w:highlight w:val="none"/>
        </w:rPr>
        <w:t>书</w:t>
      </w:r>
      <w:r>
        <w:rPr>
          <w:rFonts w:eastAsia="仿宋_GB2312"/>
          <w:color w:val="auto"/>
          <w:sz w:val="24"/>
          <w:highlight w:val="none"/>
        </w:rPr>
        <w:t>。</w:t>
      </w:r>
    </w:p>
    <w:p w14:paraId="1B94878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20" w:name="_Toc351203601"/>
      <w:bookmarkStart w:id="521" w:name="_Toc337558818"/>
      <w:bookmarkStart w:id="522" w:name="_Toc296346616"/>
      <w:bookmarkStart w:id="523" w:name="_Toc296503115"/>
      <w:r>
        <w:rPr>
          <w:rFonts w:ascii="Times New Roman" w:hAnsi="Times New Roman" w:eastAsia="黑体"/>
          <w:b w:val="0"/>
          <w:color w:val="auto"/>
          <w:highlight w:val="none"/>
        </w:rPr>
        <w:t>15.3 质量保证金</w:t>
      </w:r>
      <w:bookmarkEnd w:id="520"/>
    </w:p>
    <w:bookmarkEnd w:id="521"/>
    <w:p w14:paraId="2C20896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经合同当事人协商一致扣留质量保证金的，应在专用合同条款中予以明确。</w:t>
      </w:r>
    </w:p>
    <w:p w14:paraId="77433CA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在工程项目竣工前，承包人已经提供履约担保的，发包人不得同时预留工程质量保证金。</w:t>
      </w:r>
    </w:p>
    <w:p w14:paraId="697BD55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15.3.1 </w:t>
      </w:r>
      <w:r>
        <w:rPr>
          <w:rFonts w:hint="eastAsia" w:eastAsia="仿宋_GB2312"/>
          <w:color w:val="auto"/>
          <w:sz w:val="24"/>
          <w:highlight w:val="none"/>
        </w:rPr>
        <w:t>承包人提供</w:t>
      </w:r>
      <w:r>
        <w:rPr>
          <w:rFonts w:eastAsia="仿宋_GB2312"/>
          <w:color w:val="auto"/>
          <w:sz w:val="24"/>
          <w:highlight w:val="none"/>
        </w:rPr>
        <w:t>质量保证金的</w:t>
      </w:r>
      <w:r>
        <w:rPr>
          <w:rFonts w:hint="eastAsia" w:eastAsia="仿宋_GB2312"/>
          <w:color w:val="auto"/>
          <w:sz w:val="24"/>
          <w:highlight w:val="none"/>
        </w:rPr>
        <w:t>方</w:t>
      </w:r>
      <w:r>
        <w:rPr>
          <w:rFonts w:eastAsia="仿宋_GB2312"/>
          <w:color w:val="auto"/>
          <w:sz w:val="24"/>
          <w:highlight w:val="none"/>
        </w:rPr>
        <w:t>式</w:t>
      </w:r>
    </w:p>
    <w:p w14:paraId="4EB5889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承包人提供</w:t>
      </w:r>
      <w:r>
        <w:rPr>
          <w:rFonts w:eastAsia="仿宋_GB2312"/>
          <w:color w:val="auto"/>
          <w:sz w:val="24"/>
          <w:highlight w:val="none"/>
        </w:rPr>
        <w:t>质量保证金</w:t>
      </w:r>
      <w:r>
        <w:rPr>
          <w:rFonts w:hint="eastAsia" w:eastAsia="仿宋_GB2312"/>
          <w:color w:val="auto"/>
          <w:sz w:val="24"/>
          <w:highlight w:val="none"/>
        </w:rPr>
        <w:t>有</w:t>
      </w:r>
      <w:r>
        <w:rPr>
          <w:rFonts w:eastAsia="仿宋_GB2312"/>
          <w:color w:val="auto"/>
          <w:sz w:val="24"/>
          <w:highlight w:val="none"/>
        </w:rPr>
        <w:t>以下</w:t>
      </w:r>
      <w:r>
        <w:rPr>
          <w:rFonts w:hint="eastAsia" w:eastAsia="仿宋_GB2312"/>
          <w:color w:val="auto"/>
          <w:sz w:val="24"/>
          <w:highlight w:val="none"/>
        </w:rPr>
        <w:t>三种方</w:t>
      </w:r>
      <w:r>
        <w:rPr>
          <w:rFonts w:eastAsia="仿宋_GB2312"/>
          <w:color w:val="auto"/>
          <w:sz w:val="24"/>
          <w:highlight w:val="none"/>
        </w:rPr>
        <w:t>式：</w:t>
      </w:r>
    </w:p>
    <w:p w14:paraId="2545ABA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（1）质量保证金保函； </w:t>
      </w:r>
    </w:p>
    <w:p w14:paraId="7CD5D76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w:t>
      </w:r>
      <w:r>
        <w:rPr>
          <w:rFonts w:eastAsia="仿宋_GB2312"/>
          <w:color w:val="auto"/>
          <w:sz w:val="24"/>
          <w:highlight w:val="none"/>
        </w:rPr>
        <w:t>2）相应比例的工程款；</w:t>
      </w:r>
    </w:p>
    <w:p w14:paraId="32B4EEF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（3）双方约定的其他</w:t>
      </w:r>
      <w:r>
        <w:rPr>
          <w:rFonts w:hint="eastAsia" w:eastAsia="仿宋_GB2312"/>
          <w:color w:val="auto"/>
          <w:sz w:val="24"/>
          <w:highlight w:val="none"/>
        </w:rPr>
        <w:t>方</w:t>
      </w:r>
      <w:r>
        <w:rPr>
          <w:rFonts w:eastAsia="仿宋_GB2312"/>
          <w:color w:val="auto"/>
          <w:sz w:val="24"/>
          <w:highlight w:val="none"/>
        </w:rPr>
        <w:t>式。</w:t>
      </w:r>
    </w:p>
    <w:p w14:paraId="6241743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除专用合同条款另有约定外，质量保证金</w:t>
      </w:r>
      <w:r>
        <w:rPr>
          <w:rFonts w:hint="eastAsia" w:eastAsia="仿宋_GB2312"/>
          <w:color w:val="auto"/>
          <w:sz w:val="24"/>
          <w:highlight w:val="none"/>
        </w:rPr>
        <w:t>原则上</w:t>
      </w:r>
      <w:r>
        <w:rPr>
          <w:rFonts w:eastAsia="仿宋_GB2312"/>
          <w:color w:val="auto"/>
          <w:sz w:val="24"/>
          <w:highlight w:val="none"/>
        </w:rPr>
        <w:t>采</w:t>
      </w:r>
      <w:r>
        <w:rPr>
          <w:rFonts w:hint="eastAsia" w:eastAsia="仿宋_GB2312"/>
          <w:color w:val="auto"/>
          <w:sz w:val="24"/>
          <w:highlight w:val="none"/>
        </w:rPr>
        <w:t>用上述</w:t>
      </w:r>
      <w:r>
        <w:rPr>
          <w:rFonts w:eastAsia="仿宋_GB2312"/>
          <w:color w:val="auto"/>
          <w:sz w:val="24"/>
          <w:highlight w:val="none"/>
        </w:rPr>
        <w:t>第（1）种</w:t>
      </w:r>
      <w:r>
        <w:rPr>
          <w:rFonts w:hint="eastAsia" w:eastAsia="仿宋_GB2312"/>
          <w:color w:val="auto"/>
          <w:sz w:val="24"/>
          <w:highlight w:val="none"/>
        </w:rPr>
        <w:t>方式。</w:t>
      </w:r>
    </w:p>
    <w:p w14:paraId="0413678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15.3.2 质量保证金的扣留</w:t>
      </w:r>
    </w:p>
    <w:p w14:paraId="7778475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质量保证金</w:t>
      </w:r>
      <w:r>
        <w:rPr>
          <w:rFonts w:hint="eastAsia" w:eastAsia="仿宋_GB2312"/>
          <w:color w:val="auto"/>
          <w:sz w:val="24"/>
          <w:highlight w:val="none"/>
        </w:rPr>
        <w:t>的</w:t>
      </w:r>
      <w:r>
        <w:rPr>
          <w:rFonts w:eastAsia="仿宋_GB2312"/>
          <w:color w:val="auto"/>
          <w:sz w:val="24"/>
          <w:highlight w:val="none"/>
        </w:rPr>
        <w:t>扣留</w:t>
      </w:r>
      <w:r>
        <w:rPr>
          <w:rFonts w:hint="eastAsia" w:eastAsia="仿宋_GB2312"/>
          <w:color w:val="auto"/>
          <w:sz w:val="24"/>
          <w:highlight w:val="none"/>
        </w:rPr>
        <w:t>有</w:t>
      </w:r>
      <w:r>
        <w:rPr>
          <w:rFonts w:eastAsia="仿宋_GB2312"/>
          <w:color w:val="auto"/>
          <w:sz w:val="24"/>
          <w:highlight w:val="none"/>
        </w:rPr>
        <w:t>以下</w:t>
      </w:r>
      <w:r>
        <w:rPr>
          <w:rFonts w:hint="eastAsia" w:eastAsia="仿宋_GB2312"/>
          <w:color w:val="auto"/>
          <w:sz w:val="24"/>
          <w:highlight w:val="none"/>
        </w:rPr>
        <w:t>三</w:t>
      </w:r>
      <w:r>
        <w:rPr>
          <w:rFonts w:eastAsia="仿宋_GB2312"/>
          <w:color w:val="auto"/>
          <w:sz w:val="24"/>
          <w:highlight w:val="none"/>
        </w:rPr>
        <w:t>种</w:t>
      </w:r>
      <w:r>
        <w:rPr>
          <w:rFonts w:hint="eastAsia" w:eastAsia="仿宋_GB2312"/>
          <w:color w:val="auto"/>
          <w:sz w:val="24"/>
          <w:highlight w:val="none"/>
        </w:rPr>
        <w:t>方式</w:t>
      </w:r>
      <w:r>
        <w:rPr>
          <w:rFonts w:eastAsia="仿宋_GB2312"/>
          <w:color w:val="auto"/>
          <w:sz w:val="24"/>
          <w:highlight w:val="none"/>
        </w:rPr>
        <w:t>：</w:t>
      </w:r>
    </w:p>
    <w:p w14:paraId="5C55BA8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（1）在支付工程进度款时逐次扣留，在此情形下，质量保证金的计算基数不包括预付款的支付、扣回以及价格调整的金额；</w:t>
      </w:r>
    </w:p>
    <w:p w14:paraId="5FE0E84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（2）工</w:t>
      </w:r>
      <w:bookmarkStart w:id="524" w:name="#go6"/>
      <w:bookmarkEnd w:id="524"/>
      <w:r>
        <w:rPr>
          <w:rFonts w:eastAsia="仿宋_GB2312"/>
          <w:color w:val="auto"/>
          <w:sz w:val="24"/>
          <w:highlight w:val="none"/>
        </w:rPr>
        <w:t>程竣工结算时一次性扣留质量保证金；</w:t>
      </w:r>
    </w:p>
    <w:p w14:paraId="523B46C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（3）双方约定的其他扣留方式。</w:t>
      </w:r>
    </w:p>
    <w:p w14:paraId="4717247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除专用合同条款另有约定外，质量保证金</w:t>
      </w:r>
      <w:r>
        <w:rPr>
          <w:rFonts w:hint="eastAsia" w:eastAsia="仿宋_GB2312"/>
          <w:color w:val="auto"/>
          <w:sz w:val="24"/>
          <w:highlight w:val="none"/>
        </w:rPr>
        <w:t>的</w:t>
      </w:r>
      <w:r>
        <w:rPr>
          <w:rFonts w:eastAsia="仿宋_GB2312"/>
          <w:color w:val="auto"/>
          <w:sz w:val="24"/>
          <w:highlight w:val="none"/>
        </w:rPr>
        <w:t>扣留</w:t>
      </w:r>
      <w:r>
        <w:rPr>
          <w:rFonts w:hint="eastAsia" w:eastAsia="仿宋_GB2312"/>
          <w:color w:val="auto"/>
          <w:sz w:val="24"/>
          <w:highlight w:val="none"/>
        </w:rPr>
        <w:t>原则上</w:t>
      </w:r>
      <w:r>
        <w:rPr>
          <w:rFonts w:eastAsia="仿宋_GB2312"/>
          <w:color w:val="auto"/>
          <w:sz w:val="24"/>
          <w:highlight w:val="none"/>
        </w:rPr>
        <w:t>采</w:t>
      </w:r>
      <w:r>
        <w:rPr>
          <w:rFonts w:hint="eastAsia" w:eastAsia="仿宋_GB2312"/>
          <w:color w:val="auto"/>
          <w:sz w:val="24"/>
          <w:highlight w:val="none"/>
        </w:rPr>
        <w:t>用上述</w:t>
      </w:r>
      <w:r>
        <w:rPr>
          <w:rFonts w:eastAsia="仿宋_GB2312"/>
          <w:color w:val="auto"/>
          <w:sz w:val="24"/>
          <w:highlight w:val="none"/>
        </w:rPr>
        <w:t>第（1）种方式</w:t>
      </w:r>
      <w:r>
        <w:rPr>
          <w:rFonts w:hint="eastAsia" w:eastAsia="仿宋_GB2312"/>
          <w:color w:val="auto"/>
          <w:sz w:val="24"/>
          <w:highlight w:val="none"/>
        </w:rPr>
        <w:t>。</w:t>
      </w:r>
    </w:p>
    <w:p w14:paraId="5DDF0A2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w:t>
      </w:r>
      <w:bookmarkStart w:id="525" w:name="#go4"/>
      <w:bookmarkEnd w:id="525"/>
      <w:r>
        <w:rPr>
          <w:rFonts w:eastAsia="仿宋_GB2312"/>
          <w:color w:val="auto"/>
          <w:sz w:val="24"/>
          <w:highlight w:val="none"/>
        </w:rPr>
        <w:t>包人累计扣留的质量保证金不得超过</w:t>
      </w:r>
      <w:r>
        <w:rPr>
          <w:rFonts w:hint="eastAsia" w:eastAsia="仿宋_GB2312"/>
          <w:color w:val="auto"/>
          <w:sz w:val="24"/>
          <w:highlight w:val="none"/>
        </w:rPr>
        <w:t>工程价款结算总额</w:t>
      </w:r>
      <w:r>
        <w:rPr>
          <w:rFonts w:eastAsia="仿宋_GB2312"/>
          <w:color w:val="auto"/>
          <w:sz w:val="24"/>
          <w:highlight w:val="none"/>
        </w:rPr>
        <w:t>的3%</w:t>
      </w:r>
      <w:r>
        <w:rPr>
          <w:rFonts w:hint="eastAsia" w:eastAsia="仿宋_GB2312"/>
          <w:color w:val="auto"/>
          <w:sz w:val="24"/>
          <w:highlight w:val="none"/>
        </w:rPr>
        <w:t>。如</w:t>
      </w:r>
      <w:r>
        <w:rPr>
          <w:rFonts w:eastAsia="仿宋_GB2312"/>
          <w:color w:val="auto"/>
          <w:sz w:val="24"/>
          <w:highlight w:val="none"/>
        </w:rPr>
        <w:t>承包人在发包人签发竣工付款证书后28天内提交质量保证金保函，发包人应同时退还扣留的作为质量保证金的工程价款</w:t>
      </w:r>
      <w:r>
        <w:rPr>
          <w:rFonts w:hint="eastAsia" w:eastAsia="仿宋_GB2312"/>
          <w:color w:val="auto"/>
          <w:sz w:val="24"/>
          <w:highlight w:val="none"/>
        </w:rPr>
        <w:t>；保函金额不得超过工程价款结算总额的3%</w:t>
      </w:r>
      <w:r>
        <w:rPr>
          <w:rFonts w:eastAsia="仿宋_GB2312"/>
          <w:color w:val="auto"/>
          <w:sz w:val="24"/>
          <w:highlight w:val="none"/>
        </w:rPr>
        <w:t>。</w:t>
      </w:r>
    </w:p>
    <w:p w14:paraId="5096407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发包人在退还质量保证金的同时</w:t>
      </w:r>
      <w:r>
        <w:rPr>
          <w:rFonts w:eastAsia="仿宋_GB2312"/>
          <w:color w:val="auto"/>
          <w:sz w:val="24"/>
          <w:highlight w:val="none"/>
        </w:rPr>
        <w:t>按照中国人民银行发布的同期同类贷款基准利率支付</w:t>
      </w:r>
      <w:r>
        <w:rPr>
          <w:rFonts w:hint="eastAsia" w:eastAsia="仿宋_GB2312"/>
          <w:color w:val="auto"/>
          <w:sz w:val="24"/>
          <w:highlight w:val="none"/>
        </w:rPr>
        <w:t>利息。</w:t>
      </w:r>
    </w:p>
    <w:p w14:paraId="2F348A3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15.3.3 质量保证金的退还</w:t>
      </w:r>
    </w:p>
    <w:p w14:paraId="0DA86B6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缺陷责任期内，承包人认真履行合同约定的责任，到期后，承包人可向发包人申请返还保证金。</w:t>
      </w:r>
    </w:p>
    <w:p w14:paraId="112C2F9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6729CAE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发包人和承包人对保证金预留、返还以及工程维修质量、费用有争议的，按本合同第20条约定的争议和纠纷解决程序处理</w:t>
      </w:r>
      <w:r>
        <w:rPr>
          <w:rFonts w:eastAsia="仿宋_GB2312"/>
          <w:color w:val="auto"/>
          <w:sz w:val="24"/>
          <w:highlight w:val="none"/>
        </w:rPr>
        <w:t>。</w:t>
      </w:r>
    </w:p>
    <w:p w14:paraId="4959079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26" w:name="_Toc351203602"/>
      <w:bookmarkStart w:id="527" w:name="_Toc337558819"/>
      <w:r>
        <w:rPr>
          <w:rFonts w:ascii="Times New Roman" w:hAnsi="Times New Roman" w:eastAsia="黑体"/>
          <w:b w:val="0"/>
          <w:color w:val="auto"/>
          <w:highlight w:val="none"/>
        </w:rPr>
        <w:t>15.4 保修</w:t>
      </w:r>
      <w:bookmarkEnd w:id="526"/>
    </w:p>
    <w:bookmarkEnd w:id="522"/>
    <w:bookmarkEnd w:id="523"/>
    <w:bookmarkEnd w:id="527"/>
    <w:p w14:paraId="7784C3E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15.4.1保修责任</w:t>
      </w:r>
    </w:p>
    <w:p w14:paraId="3B5C80E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66C943A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发包人未经竣工验收擅自使用工程的，保修期自转移占有之日起算。</w:t>
      </w:r>
    </w:p>
    <w:p w14:paraId="5234560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15.4.2 修复费用</w:t>
      </w:r>
    </w:p>
    <w:p w14:paraId="3CD5ED0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保修期内，修复的费用按照以下约定处理：</w:t>
      </w:r>
    </w:p>
    <w:p w14:paraId="75F37AF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（1）保修期内，因承包人原因造成工程的缺陷、损坏，承包人应负责修复，并承担修复的费用以及因工程的缺陷、损坏造成的人身伤害和财产损失；</w:t>
      </w:r>
    </w:p>
    <w:p w14:paraId="18C02F0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（2）保修期内，因发包人使用不当造成工程的缺陷、损坏，可以委托承包人修复，但发包人应承担修复的费用，并支付承包人合理利润；</w:t>
      </w:r>
    </w:p>
    <w:p w14:paraId="1FD8809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（3）因其他原因造成工程的缺陷、损坏，可以委托承包人修复，发包人应承担修复的费用，并支付承包人合理的利润，因工程的缺陷、损坏造成的人身伤害和财产损失由责任方承担。</w:t>
      </w:r>
    </w:p>
    <w:p w14:paraId="4FCA46B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15.4.3 修复通知</w:t>
      </w:r>
    </w:p>
    <w:p w14:paraId="1E08ED1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577BA3A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15.4.4 未能修复</w:t>
      </w:r>
    </w:p>
    <w:p w14:paraId="3D422EE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eastAsia="仿宋_GB2312"/>
          <w:color w:val="auto"/>
          <w:sz w:val="24"/>
          <w:highlight w:val="none"/>
        </w:rPr>
        <w:t>但修复范围超出缺陷或损坏范围的，超出范围部分的修复费用由发包人承担。</w:t>
      </w:r>
    </w:p>
    <w:p w14:paraId="2F0D7F8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15.4.5 承包人出入权</w:t>
      </w:r>
    </w:p>
    <w:p w14:paraId="33E309D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7FD0067">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28" w:name="_Toc351203603"/>
      <w:bookmarkStart w:id="529" w:name="_Toc337558820"/>
      <w:r>
        <w:rPr>
          <w:rFonts w:ascii="Times New Roman" w:hAnsi="Times New Roman" w:eastAsia="黑体"/>
          <w:b w:val="0"/>
          <w:color w:val="auto"/>
          <w:sz w:val="24"/>
          <w:szCs w:val="24"/>
          <w:highlight w:val="none"/>
        </w:rPr>
        <w:t>16. 违约</w:t>
      </w:r>
      <w:bookmarkEnd w:id="528"/>
    </w:p>
    <w:bookmarkEnd w:id="529"/>
    <w:p w14:paraId="300548F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30" w:name="_Toc296503129"/>
      <w:bookmarkStart w:id="531" w:name="_Toc296346630"/>
      <w:bookmarkStart w:id="532" w:name="_Toc351203604"/>
      <w:bookmarkStart w:id="533" w:name="_Toc337558821"/>
      <w:r>
        <w:rPr>
          <w:rFonts w:ascii="Times New Roman" w:hAnsi="Times New Roman" w:eastAsia="黑体"/>
          <w:b w:val="0"/>
          <w:color w:val="auto"/>
          <w:highlight w:val="none"/>
        </w:rPr>
        <w:t>16.1 发</w:t>
      </w:r>
      <w:bookmarkEnd w:id="530"/>
      <w:bookmarkEnd w:id="531"/>
      <w:r>
        <w:rPr>
          <w:rFonts w:ascii="Times New Roman" w:hAnsi="Times New Roman" w:eastAsia="黑体"/>
          <w:b w:val="0"/>
          <w:color w:val="auto"/>
          <w:highlight w:val="none"/>
        </w:rPr>
        <w:t>包人违约</w:t>
      </w:r>
      <w:bookmarkEnd w:id="532"/>
    </w:p>
    <w:bookmarkEnd w:id="533"/>
    <w:p w14:paraId="55CCBB2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16.1.1 发包人违约的情形</w:t>
      </w:r>
    </w:p>
    <w:p w14:paraId="2A35242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在合同履行过程中发生的下列情形，属于发包人违约：</w:t>
      </w:r>
    </w:p>
    <w:p w14:paraId="53B7F91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（1）因发包人原因未能在计划开工日期前7天内下达开工通知的；</w:t>
      </w:r>
    </w:p>
    <w:p w14:paraId="53DB4E1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（2）因发包人原因未能按合同约定支付合同价款的；</w:t>
      </w:r>
    </w:p>
    <w:p w14:paraId="1F50337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（3）发包人违反第10.1款</w:t>
      </w:r>
      <w:r>
        <w:rPr>
          <w:rFonts w:hint="eastAsia" w:eastAsia="仿宋_GB2312"/>
          <w:color w:val="auto"/>
          <w:sz w:val="24"/>
          <w:highlight w:val="none"/>
        </w:rPr>
        <w:t>〔</w:t>
      </w:r>
      <w:r>
        <w:rPr>
          <w:rFonts w:eastAsia="仿宋_GB2312"/>
          <w:color w:val="auto"/>
          <w:sz w:val="24"/>
          <w:highlight w:val="none"/>
        </w:rPr>
        <w:t>变更的范围</w:t>
      </w:r>
      <w:r>
        <w:rPr>
          <w:rFonts w:hint="eastAsia" w:eastAsia="仿宋_GB2312"/>
          <w:color w:val="auto"/>
          <w:sz w:val="24"/>
          <w:highlight w:val="none"/>
        </w:rPr>
        <w:t>〕</w:t>
      </w:r>
      <w:r>
        <w:rPr>
          <w:rFonts w:eastAsia="仿宋_GB2312"/>
          <w:color w:val="auto"/>
          <w:sz w:val="24"/>
          <w:highlight w:val="none"/>
        </w:rPr>
        <w:t>第（2）项约定，自行实施被取消的工作或转由他人实施的；</w:t>
      </w:r>
    </w:p>
    <w:p w14:paraId="62D3CF1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（4）发包人提供的材料、工程设备的规格、数量或质量不符合合同约定，或因发包人原因导致交货日期延误或交货地点变更等情况的；</w:t>
      </w:r>
    </w:p>
    <w:p w14:paraId="72BBDA2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（5）因发包人违反合同约定造成暂停施工的；</w:t>
      </w:r>
    </w:p>
    <w:p w14:paraId="2BABEFB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（6）发包人无正当理由没有在约定期限内发出复工指示，导致承包人无法复工的；</w:t>
      </w:r>
    </w:p>
    <w:p w14:paraId="7E191812">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（7）发包人明确表示或者以其行为表明不履行合同主要义务的；</w:t>
      </w:r>
    </w:p>
    <w:p w14:paraId="23BD78C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（8）发包人未能按照合同约定履行其他义务的。</w:t>
      </w:r>
    </w:p>
    <w:p w14:paraId="36CE54A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2492BB5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16.1.2 发包人违约的责任</w:t>
      </w:r>
    </w:p>
    <w:p w14:paraId="2C2A2B0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发包人应承担因其违约给承包人增加的费用和（或）延误的工期，并支付承包人合理的利润。此外，合同当事人可在专用合同条款中另行约定发包人违约责任的承担方式和计算方法。</w:t>
      </w:r>
    </w:p>
    <w:p w14:paraId="68C0D83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16.1.3 因发包人违约解除合同</w:t>
      </w:r>
    </w:p>
    <w:p w14:paraId="4933DD2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除专用合同条款另有约定外，承包人按第16.1.1项</w:t>
      </w:r>
      <w:r>
        <w:rPr>
          <w:rFonts w:hint="eastAsia" w:eastAsia="仿宋_GB2312"/>
          <w:color w:val="auto"/>
          <w:sz w:val="24"/>
          <w:highlight w:val="none"/>
        </w:rPr>
        <w:t>〔</w:t>
      </w:r>
      <w:r>
        <w:rPr>
          <w:rFonts w:eastAsia="仿宋_GB2312"/>
          <w:color w:val="auto"/>
          <w:sz w:val="24"/>
          <w:highlight w:val="none"/>
        </w:rPr>
        <w:t>发包人违约的情形</w:t>
      </w:r>
      <w:r>
        <w:rPr>
          <w:rFonts w:hint="eastAsia" w:eastAsia="仿宋_GB2312"/>
          <w:color w:val="auto"/>
          <w:sz w:val="24"/>
          <w:highlight w:val="none"/>
        </w:rPr>
        <w:t>〕</w:t>
      </w:r>
      <w:r>
        <w:rPr>
          <w:rFonts w:eastAsia="仿宋_GB2312"/>
          <w:color w:val="auto"/>
          <w:sz w:val="24"/>
          <w:highlight w:val="none"/>
        </w:rPr>
        <w:t>约定暂停施工满28天后</w:t>
      </w:r>
      <w:r>
        <w:rPr>
          <w:rFonts w:hint="eastAsia" w:eastAsia="仿宋_GB2312"/>
          <w:color w:val="auto"/>
          <w:sz w:val="24"/>
          <w:highlight w:val="none"/>
        </w:rPr>
        <w:t>，</w:t>
      </w:r>
      <w:r>
        <w:rPr>
          <w:rFonts w:eastAsia="仿宋_GB2312"/>
          <w:color w:val="auto"/>
          <w:sz w:val="24"/>
          <w:highlight w:val="none"/>
        </w:rPr>
        <w:t>发包人仍不纠正其违约行为并致使合同目的不能实现的，</w:t>
      </w:r>
      <w:r>
        <w:rPr>
          <w:rFonts w:hint="eastAsia" w:eastAsia="仿宋_GB2312"/>
          <w:color w:val="auto"/>
          <w:sz w:val="24"/>
          <w:highlight w:val="none"/>
        </w:rPr>
        <w:t>或</w:t>
      </w:r>
      <w:r>
        <w:rPr>
          <w:rFonts w:eastAsia="仿宋_GB2312"/>
          <w:color w:val="auto"/>
          <w:sz w:val="24"/>
          <w:highlight w:val="none"/>
        </w:rPr>
        <w:t>出现第16.1.1项</w:t>
      </w:r>
      <w:r>
        <w:rPr>
          <w:rFonts w:hint="eastAsia" w:eastAsia="仿宋_GB2312"/>
          <w:color w:val="auto"/>
          <w:sz w:val="24"/>
          <w:highlight w:val="none"/>
        </w:rPr>
        <w:t>〔</w:t>
      </w:r>
      <w:r>
        <w:rPr>
          <w:rFonts w:eastAsia="仿宋_GB2312"/>
          <w:color w:val="auto"/>
          <w:sz w:val="24"/>
          <w:highlight w:val="none"/>
        </w:rPr>
        <w:t>发包人违约的情形</w:t>
      </w:r>
      <w:r>
        <w:rPr>
          <w:rFonts w:hint="eastAsia" w:eastAsia="仿宋_GB2312"/>
          <w:color w:val="auto"/>
          <w:sz w:val="24"/>
          <w:highlight w:val="none"/>
        </w:rPr>
        <w:t>〕</w:t>
      </w:r>
      <w:r>
        <w:rPr>
          <w:rFonts w:eastAsia="仿宋_GB2312"/>
          <w:color w:val="auto"/>
          <w:sz w:val="24"/>
          <w:highlight w:val="none"/>
        </w:rPr>
        <w:t>第（7）目约定的违约情况，承包人有权解除合同，发包人应承担由此增加的费用，并支付承包人合理的利润。</w:t>
      </w:r>
    </w:p>
    <w:p w14:paraId="65B7B77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16.1.4 因发包人违约解除合同后的付款</w:t>
      </w:r>
    </w:p>
    <w:p w14:paraId="540761EC">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承包人按照本款约定解除合同的，发包人应在解除合同后28天内支付下列款项，并解除履约担保：</w:t>
      </w:r>
    </w:p>
    <w:p w14:paraId="3A446BF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（1）合同解除前所完成工作的价款；</w:t>
      </w:r>
    </w:p>
    <w:p w14:paraId="6DEE6BF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（2）承包人为工程施工订购并已付款的材料、工程设备和其他物品的价款；</w:t>
      </w:r>
    </w:p>
    <w:p w14:paraId="6EB009D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（3）承包人撤离施工现场以及遣散承包人人员的款项；</w:t>
      </w:r>
    </w:p>
    <w:p w14:paraId="7277534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（4）按照合同约定在合同解除前应支付的违约金；</w:t>
      </w:r>
    </w:p>
    <w:p w14:paraId="66C3A01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（5）按照合同约定应当支付给承包人的其他款项；</w:t>
      </w:r>
    </w:p>
    <w:p w14:paraId="79E17A9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（6）按照合同约定应退还的质量保证金；</w:t>
      </w:r>
    </w:p>
    <w:p w14:paraId="5A287301">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（7）因解除合同给承包人造成的损失。</w:t>
      </w:r>
    </w:p>
    <w:p w14:paraId="5CD0D54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合同当事人未能就解除合同后的结清达成一致的，按照第20条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的约定处理。</w:t>
      </w:r>
    </w:p>
    <w:p w14:paraId="52934F4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承包人应妥善做好已完工程和与工程有关的已购材料、工程设备的保护和移交工作，并将施工设备和人员撤出施工现场，发包人应为承包人撤出提供必要条件。</w:t>
      </w:r>
    </w:p>
    <w:p w14:paraId="78541C2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34" w:name="_Toc351203605"/>
      <w:bookmarkStart w:id="535" w:name="_Toc296503131"/>
      <w:bookmarkStart w:id="536" w:name="_Toc337558822"/>
      <w:bookmarkStart w:id="537" w:name="_Toc296346632"/>
      <w:r>
        <w:rPr>
          <w:rFonts w:ascii="Times New Roman" w:hAnsi="Times New Roman" w:eastAsia="黑体"/>
          <w:b w:val="0"/>
          <w:color w:val="auto"/>
          <w:highlight w:val="none"/>
        </w:rPr>
        <w:t>16.2 承包人违约</w:t>
      </w:r>
      <w:bookmarkEnd w:id="534"/>
    </w:p>
    <w:bookmarkEnd w:id="535"/>
    <w:bookmarkEnd w:id="536"/>
    <w:bookmarkEnd w:id="537"/>
    <w:p w14:paraId="4DC8A5B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16.2.1 承包人违约的情形</w:t>
      </w:r>
    </w:p>
    <w:p w14:paraId="258B058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在合同履行过程中发生的下列情形，属于承包人违约：</w:t>
      </w:r>
    </w:p>
    <w:p w14:paraId="615FB28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（1）承包人违反合同约定进行转包或违法分包的；</w:t>
      </w:r>
    </w:p>
    <w:p w14:paraId="2F51D95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（2）承包人违反合同约定采购和使用不合格的材料和工程设备的；</w:t>
      </w:r>
    </w:p>
    <w:p w14:paraId="720C8E3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（3）因承包人原因导致工程质量不符合合同要求的； </w:t>
      </w:r>
    </w:p>
    <w:p w14:paraId="66B8AE1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（4）承包人违反第8.9款</w:t>
      </w:r>
      <w:r>
        <w:rPr>
          <w:rFonts w:hint="eastAsia" w:eastAsia="仿宋_GB2312"/>
          <w:color w:val="auto"/>
          <w:sz w:val="24"/>
          <w:highlight w:val="none"/>
        </w:rPr>
        <w:t>〔</w:t>
      </w:r>
      <w:r>
        <w:rPr>
          <w:rFonts w:eastAsia="仿宋_GB2312"/>
          <w:color w:val="auto"/>
          <w:sz w:val="24"/>
          <w:highlight w:val="none"/>
        </w:rPr>
        <w:t>材料与设备专用</w:t>
      </w:r>
      <w:r>
        <w:rPr>
          <w:rFonts w:hint="eastAsia" w:eastAsia="仿宋_GB2312"/>
          <w:color w:val="auto"/>
          <w:sz w:val="24"/>
          <w:highlight w:val="none"/>
        </w:rPr>
        <w:t>要求〕</w:t>
      </w:r>
      <w:r>
        <w:rPr>
          <w:rFonts w:eastAsia="仿宋_GB2312"/>
          <w:color w:val="auto"/>
          <w:sz w:val="24"/>
          <w:highlight w:val="none"/>
        </w:rPr>
        <w:t>的约定，未经批准，私自将已按照合同约定进入施工现场的材料或设备撤离施工现场的；</w:t>
      </w:r>
    </w:p>
    <w:p w14:paraId="55FCA28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（5）承包人未能按施工进度计划及时完成合同约定的工作，造成工期延误的；</w:t>
      </w:r>
    </w:p>
    <w:p w14:paraId="57F3983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（6）承包人在缺陷责任期及保修期内，未能在合理期限对工程缺陷进行修复，或拒绝按发包人要求进行修复的；</w:t>
      </w:r>
    </w:p>
    <w:p w14:paraId="37225B6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（7）承包人明确表示或者以其行为表明不履行合同主要义务的；</w:t>
      </w:r>
    </w:p>
    <w:p w14:paraId="3C1962D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（8）承包人未能按照合同约定履行其他义务的。</w:t>
      </w:r>
    </w:p>
    <w:p w14:paraId="34F0FB6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承包人发生除本项第（7）目约定以外的其他违约情况时，监理人可向承包人发出整改通知，要求其在指定的期限内改正。</w:t>
      </w:r>
    </w:p>
    <w:p w14:paraId="1BE9E54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16.2.2 承包人违约的责任</w:t>
      </w:r>
    </w:p>
    <w:p w14:paraId="770DB17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承包人应承担因其违约行为而增加的费用</w:t>
      </w:r>
      <w:r>
        <w:rPr>
          <w:rFonts w:hint="eastAsia" w:eastAsia="仿宋_GB2312"/>
          <w:color w:val="auto"/>
          <w:sz w:val="24"/>
          <w:highlight w:val="none"/>
        </w:rPr>
        <w:t>和（或）延误的</w:t>
      </w:r>
      <w:r>
        <w:rPr>
          <w:rFonts w:eastAsia="仿宋_GB2312"/>
          <w:color w:val="auto"/>
          <w:sz w:val="24"/>
          <w:highlight w:val="none"/>
        </w:rPr>
        <w:t>工期。此外，合同当事人可在专用合同条款中另行约定承包人违约责任的承担方式和计算方法。</w:t>
      </w:r>
    </w:p>
    <w:p w14:paraId="635E899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16.2.3 因承包人违约解除合同</w:t>
      </w:r>
    </w:p>
    <w:p w14:paraId="3CD1FBE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除专用合同条款另有约定外，出现第16.2.1项</w:t>
      </w:r>
      <w:r>
        <w:rPr>
          <w:rFonts w:hint="eastAsia" w:eastAsia="仿宋_GB2312"/>
          <w:color w:val="auto"/>
          <w:sz w:val="24"/>
          <w:highlight w:val="none"/>
        </w:rPr>
        <w:t>〔</w:t>
      </w:r>
      <w:r>
        <w:rPr>
          <w:rFonts w:eastAsia="仿宋_GB2312"/>
          <w:color w:val="auto"/>
          <w:sz w:val="24"/>
          <w:highlight w:val="none"/>
        </w:rPr>
        <w:t>承包人违约的情形</w:t>
      </w:r>
      <w:r>
        <w:rPr>
          <w:rFonts w:hint="eastAsia" w:eastAsia="仿宋_GB2312"/>
          <w:color w:val="auto"/>
          <w:sz w:val="24"/>
          <w:highlight w:val="none"/>
        </w:rPr>
        <w:t>〕</w:t>
      </w:r>
      <w:r>
        <w:rPr>
          <w:rFonts w:eastAsia="仿宋_GB2312"/>
          <w:color w:val="auto"/>
          <w:sz w:val="24"/>
          <w:highlight w:val="none"/>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eastAsia="仿宋_GB2312"/>
          <w:color w:val="auto"/>
          <w:sz w:val="24"/>
          <w:highlight w:val="none"/>
        </w:rPr>
        <w:t>合同当事人应在专用合同条款约定相应费用的承担方式。</w:t>
      </w:r>
      <w:r>
        <w:rPr>
          <w:rFonts w:eastAsia="仿宋_GB2312"/>
          <w:color w:val="auto"/>
          <w:sz w:val="24"/>
          <w:highlight w:val="none"/>
        </w:rPr>
        <w:t>发包人</w:t>
      </w:r>
      <w:r>
        <w:rPr>
          <w:rFonts w:hint="eastAsia" w:eastAsia="仿宋_GB2312"/>
          <w:color w:val="auto"/>
          <w:sz w:val="24"/>
          <w:highlight w:val="none"/>
        </w:rPr>
        <w:t>继续使用的</w:t>
      </w:r>
      <w:r>
        <w:rPr>
          <w:rFonts w:eastAsia="仿宋_GB2312"/>
          <w:color w:val="auto"/>
          <w:sz w:val="24"/>
          <w:highlight w:val="none"/>
        </w:rPr>
        <w:t>行为不免除或减轻承包人应承担的违约责任。</w:t>
      </w:r>
    </w:p>
    <w:p w14:paraId="5EBA1C7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16.2.4因承包人违约解除合同后的处理</w:t>
      </w:r>
    </w:p>
    <w:p w14:paraId="24E306F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因承包人原因导致合同解除的，则合同当事人应在合同解除后28天内完成估价、付款和清算，并按以下约定执行：</w:t>
      </w:r>
    </w:p>
    <w:p w14:paraId="348F876D">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（1）合同解除后，按第4.4款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商定或确定承包人实际完成工作对应的合同价款，以及承包人已提供的材料、工程设备、施工设备和临时工程等的价值；</w:t>
      </w:r>
    </w:p>
    <w:p w14:paraId="014B3BF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（2）合同解除后，承包人应支付的违约金；</w:t>
      </w:r>
    </w:p>
    <w:p w14:paraId="3E4729C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（3）合同解除后，因解除合同给发包人造成的损失；</w:t>
      </w:r>
    </w:p>
    <w:p w14:paraId="4B1A64A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（4）合同解除后，承包人应按照发包人要求和监理人的指示完成现场的清理和撤离；</w:t>
      </w:r>
    </w:p>
    <w:p w14:paraId="4E932F4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（5）发包人和承包人应在合同解除后进行清算，出具最终结清付款证书，结清全部款项。</w:t>
      </w:r>
    </w:p>
    <w:p w14:paraId="7F8AB3B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因承包人违约解除合同的，</w:t>
      </w:r>
      <w:r>
        <w:rPr>
          <w:rFonts w:eastAsia="仿宋_GB2312"/>
          <w:color w:val="auto"/>
          <w:sz w:val="24"/>
          <w:highlight w:val="none"/>
        </w:rPr>
        <w:t>发包人有权暂停对承包人的付款，查清各项付款和已扣款项。发包人和承包人未能就合同解除后的清算和款项支付达成一致的，按照第20条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的约定处理。</w:t>
      </w:r>
    </w:p>
    <w:p w14:paraId="071DD21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16.2.5采购合同权益转让</w:t>
      </w:r>
    </w:p>
    <w:p w14:paraId="1E11AF5F">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2781A262">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38" w:name="_Toc351203606"/>
      <w:r>
        <w:rPr>
          <w:rFonts w:ascii="Times New Roman" w:hAnsi="Times New Roman" w:eastAsia="黑体"/>
          <w:b w:val="0"/>
          <w:color w:val="auto"/>
          <w:highlight w:val="none"/>
        </w:rPr>
        <w:t>16.3 第三人造成的违约</w:t>
      </w:r>
      <w:bookmarkEnd w:id="538"/>
    </w:p>
    <w:p w14:paraId="333F5F6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在履行合同过程中，一方当事人因第三人的原因造成违约的，应当向对方当事人承担违约责任。一方当事人和第三人之间的纠纷，依照法律规定或者按照约定解决。</w:t>
      </w:r>
    </w:p>
    <w:p w14:paraId="213B7EB5">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39" w:name="_Toc351203607"/>
      <w:bookmarkStart w:id="540" w:name="_Toc337558823"/>
      <w:bookmarkStart w:id="541" w:name="_Toc296346617"/>
      <w:bookmarkStart w:id="542" w:name="_Toc296503116"/>
      <w:r>
        <w:rPr>
          <w:rFonts w:ascii="Times New Roman" w:hAnsi="Times New Roman" w:eastAsia="黑体"/>
          <w:b w:val="0"/>
          <w:color w:val="auto"/>
          <w:sz w:val="24"/>
          <w:szCs w:val="24"/>
          <w:highlight w:val="none"/>
        </w:rPr>
        <w:t>17. 不可抗力</w:t>
      </w:r>
      <w:bookmarkEnd w:id="539"/>
      <w:r>
        <w:rPr>
          <w:rFonts w:ascii="Times New Roman" w:hAnsi="Times New Roman" w:eastAsia="黑体"/>
          <w:b w:val="0"/>
          <w:color w:val="auto"/>
          <w:sz w:val="24"/>
          <w:szCs w:val="24"/>
          <w:highlight w:val="none"/>
        </w:rPr>
        <w:t xml:space="preserve"> </w:t>
      </w:r>
      <w:bookmarkEnd w:id="540"/>
      <w:bookmarkEnd w:id="541"/>
      <w:bookmarkEnd w:id="542"/>
    </w:p>
    <w:p w14:paraId="0278B78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43" w:name="_Toc351203608"/>
      <w:bookmarkStart w:id="544" w:name="_Toc296503117"/>
      <w:bookmarkStart w:id="545" w:name="_Toc337558824"/>
      <w:bookmarkStart w:id="546" w:name="_Toc296346618"/>
      <w:r>
        <w:rPr>
          <w:rFonts w:ascii="Times New Roman" w:hAnsi="Times New Roman" w:eastAsia="黑体"/>
          <w:b w:val="0"/>
          <w:color w:val="auto"/>
          <w:highlight w:val="none"/>
        </w:rPr>
        <w:t>17.1 不可抗力的确认</w:t>
      </w:r>
      <w:bookmarkEnd w:id="543"/>
    </w:p>
    <w:bookmarkEnd w:id="544"/>
    <w:bookmarkEnd w:id="545"/>
    <w:bookmarkEnd w:id="546"/>
    <w:p w14:paraId="6C2489D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50C9870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的约定处理。发生争议时，按第20条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的约定处理。</w:t>
      </w:r>
    </w:p>
    <w:p w14:paraId="5E4DFAA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47" w:name="_Toc351203609"/>
      <w:bookmarkStart w:id="548" w:name="_Toc296503118"/>
      <w:bookmarkStart w:id="549" w:name="_Toc337558825"/>
      <w:bookmarkStart w:id="550" w:name="_Toc296346619"/>
      <w:r>
        <w:rPr>
          <w:rFonts w:ascii="Times New Roman" w:hAnsi="Times New Roman" w:eastAsia="黑体"/>
          <w:b w:val="0"/>
          <w:color w:val="auto"/>
          <w:highlight w:val="none"/>
        </w:rPr>
        <w:t>17.2 不可抗力的通知</w:t>
      </w:r>
      <w:bookmarkEnd w:id="547"/>
    </w:p>
    <w:bookmarkEnd w:id="548"/>
    <w:bookmarkEnd w:id="549"/>
    <w:bookmarkEnd w:id="550"/>
    <w:p w14:paraId="70967E3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hint="eastAsia" w:eastAsia="仿宋_GB2312"/>
          <w:color w:val="auto"/>
          <w:sz w:val="24"/>
          <w:highlight w:val="none"/>
        </w:rPr>
        <w:t>合同</w:t>
      </w:r>
      <w:r>
        <w:rPr>
          <w:rFonts w:eastAsia="仿宋_GB2312"/>
          <w:color w:val="auto"/>
          <w:sz w:val="24"/>
          <w:highlight w:val="none"/>
        </w:rPr>
        <w:t>一方当事人遇到不可抗力事件，使其履行合同义务受到阻碍时，应立即通知合同另一方当事人和监理人，书面说明不可抗力和受阻碍的详细情况，并提供必要的证明。</w:t>
      </w:r>
    </w:p>
    <w:p w14:paraId="5875B74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37045BB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51" w:name="_Toc351203610"/>
      <w:bookmarkStart w:id="552" w:name="_Toc296503119"/>
      <w:bookmarkStart w:id="553" w:name="_Toc337558826"/>
      <w:bookmarkStart w:id="554" w:name="_Toc296346620"/>
      <w:r>
        <w:rPr>
          <w:rFonts w:ascii="Times New Roman" w:hAnsi="Times New Roman" w:eastAsia="黑体"/>
          <w:b w:val="0"/>
          <w:color w:val="auto"/>
          <w:highlight w:val="none"/>
        </w:rPr>
        <w:t>17.3 不可抗力后果的承担</w:t>
      </w:r>
      <w:bookmarkEnd w:id="551"/>
    </w:p>
    <w:bookmarkEnd w:id="552"/>
    <w:bookmarkEnd w:id="553"/>
    <w:bookmarkEnd w:id="554"/>
    <w:p w14:paraId="3D3FFF5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17.3.1 </w:t>
      </w:r>
      <w:r>
        <w:rPr>
          <w:rFonts w:hint="eastAsia" w:eastAsia="仿宋_GB2312"/>
          <w:color w:val="auto"/>
          <w:sz w:val="24"/>
          <w:highlight w:val="none"/>
        </w:rPr>
        <w:t>不可抗力引起的后果及造成的损失由合同当事人按照法律规定及合同约定各自承担。</w:t>
      </w:r>
      <w:r>
        <w:rPr>
          <w:rFonts w:eastAsia="仿宋_GB2312"/>
          <w:color w:val="auto"/>
          <w:sz w:val="24"/>
          <w:highlight w:val="none"/>
        </w:rPr>
        <w:t>不可抗力发生前已完</w:t>
      </w:r>
      <w:r>
        <w:rPr>
          <w:rFonts w:hint="eastAsia" w:eastAsia="仿宋_GB2312"/>
          <w:color w:val="auto"/>
          <w:sz w:val="24"/>
          <w:highlight w:val="none"/>
        </w:rPr>
        <w:t>成的</w:t>
      </w:r>
      <w:r>
        <w:rPr>
          <w:rFonts w:eastAsia="仿宋_GB2312"/>
          <w:color w:val="auto"/>
          <w:sz w:val="24"/>
          <w:highlight w:val="none"/>
        </w:rPr>
        <w:t>工程应当按照合同约定进行计量</w:t>
      </w:r>
      <w:r>
        <w:rPr>
          <w:rFonts w:hint="eastAsia" w:eastAsia="仿宋_GB2312"/>
          <w:color w:val="auto"/>
          <w:sz w:val="24"/>
          <w:highlight w:val="none"/>
        </w:rPr>
        <w:t>支付</w:t>
      </w:r>
      <w:r>
        <w:rPr>
          <w:rFonts w:eastAsia="仿宋_GB2312"/>
          <w:color w:val="auto"/>
          <w:sz w:val="24"/>
          <w:highlight w:val="none"/>
        </w:rPr>
        <w:t>。</w:t>
      </w:r>
    </w:p>
    <w:p w14:paraId="5B33370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17.3.2 不可抗力导致的人员伤亡、财产损失、费用增加和（或）工期延误等后果，由合同当事人按以下原则承担：</w:t>
      </w:r>
    </w:p>
    <w:p w14:paraId="56D29E2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（1）永久工程、已运至施工现场的材料和工程设备的损坏，以及因工程损坏造成的第三人人员伤亡和财产损失由发包人承担；</w:t>
      </w:r>
    </w:p>
    <w:p w14:paraId="690AD24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（2）承包人施工设备的损坏由承包人承担；</w:t>
      </w:r>
    </w:p>
    <w:p w14:paraId="5F31D4E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（3）发包人和承包人承担各自人员伤亡和财产的损失；</w:t>
      </w:r>
    </w:p>
    <w:p w14:paraId="15C12CA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EDA1BB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（5）因不可抗力引起或将引起工期延误，发包人要求赶工的，由此增加的赶工费用由发包人承担；</w:t>
      </w:r>
    </w:p>
    <w:p w14:paraId="006625A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（6）承包人在停工期间按照发包人要求照管、清理和修复工程的费用由发包人承担。</w:t>
      </w:r>
    </w:p>
    <w:p w14:paraId="69BF604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不可抗力发生后，合同当事人均应采取措施尽量避免和减少损失的扩大，任何一方当事人没有采取有效措施导致损失扩大的，应对扩大的损失承担责任。</w:t>
      </w:r>
    </w:p>
    <w:p w14:paraId="6DDD00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因合同一方迟延履行合同义务，在迟延履行期间遭遇不可抗力的，不免除其违约责任。</w:t>
      </w:r>
    </w:p>
    <w:p w14:paraId="526610C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55" w:name="_Toc351203611"/>
      <w:bookmarkStart w:id="556" w:name="_Toc337558827"/>
      <w:r>
        <w:rPr>
          <w:rFonts w:ascii="Times New Roman" w:hAnsi="Times New Roman" w:eastAsia="黑体"/>
          <w:b w:val="0"/>
          <w:color w:val="auto"/>
          <w:highlight w:val="none"/>
        </w:rPr>
        <w:t>17.4 因不可抗力解除合同</w:t>
      </w:r>
      <w:bookmarkEnd w:id="555"/>
    </w:p>
    <w:bookmarkEnd w:id="556"/>
    <w:p w14:paraId="309F0268">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因不可抗力导致合同无法履行连续超过84天或累计超过140天的，发包人和承包人均有权解除合同。合同解除后，由双方当事人按照第4.4款</w:t>
      </w:r>
      <w:r>
        <w:rPr>
          <w:rFonts w:hint="eastAsia" w:eastAsia="仿宋_GB2312"/>
          <w:color w:val="auto"/>
          <w:sz w:val="24"/>
          <w:highlight w:val="none"/>
        </w:rPr>
        <w:t>〔</w:t>
      </w:r>
      <w:r>
        <w:rPr>
          <w:rFonts w:eastAsia="仿宋_GB2312"/>
          <w:color w:val="auto"/>
          <w:sz w:val="24"/>
          <w:highlight w:val="none"/>
        </w:rPr>
        <w:t>商定或确定</w:t>
      </w:r>
      <w:r>
        <w:rPr>
          <w:rFonts w:hint="eastAsia" w:eastAsia="仿宋_GB2312"/>
          <w:color w:val="auto"/>
          <w:sz w:val="24"/>
          <w:highlight w:val="none"/>
        </w:rPr>
        <w:t>〕</w:t>
      </w:r>
      <w:r>
        <w:rPr>
          <w:rFonts w:eastAsia="仿宋_GB2312"/>
          <w:color w:val="auto"/>
          <w:sz w:val="24"/>
          <w:highlight w:val="none"/>
        </w:rPr>
        <w:t>商定或确定发包人应支付的款项，该款项包括：</w:t>
      </w:r>
    </w:p>
    <w:p w14:paraId="5F2C0E4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（1）合同解除前承包人已完成工作的价款；</w:t>
      </w:r>
    </w:p>
    <w:p w14:paraId="382C59A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（2）承包人为工程订购的并已交付给承包人，或承包人有责任接受交付的材料、工程设备和其他物品的价款；</w:t>
      </w:r>
    </w:p>
    <w:p w14:paraId="1877A3A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（3）发包人要求承包人退货或解除订货合同而产生的费用，或因不能退货或解除合同而产生的损失；</w:t>
      </w:r>
    </w:p>
    <w:p w14:paraId="40CCE9B2">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（4）承包人撤离施工现场以及遣散承包人人员的费用；</w:t>
      </w:r>
    </w:p>
    <w:p w14:paraId="102E30D4">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（5）按照合同约定在合同解除前应支付给承包人的其他款项；</w:t>
      </w:r>
    </w:p>
    <w:p w14:paraId="5713DC5A">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（6）扣减承包人按照合同约定应向发包人支付的款项；</w:t>
      </w:r>
    </w:p>
    <w:p w14:paraId="2FF9506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（7）双方商定或确定的其他款项。</w:t>
      </w:r>
    </w:p>
    <w:p w14:paraId="0A8E1B8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除专用合同条款另有约定外，合同解除后，发包人应在商定或确定上述款项后28天内完成上述款项的支付。</w:t>
      </w:r>
    </w:p>
    <w:p w14:paraId="08C27537">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57" w:name="_Toc351203612"/>
      <w:bookmarkStart w:id="558" w:name="_Toc337558828"/>
      <w:bookmarkStart w:id="559" w:name="_Toc296503120"/>
      <w:bookmarkStart w:id="560" w:name="_Toc296346621"/>
      <w:r>
        <w:rPr>
          <w:rFonts w:ascii="Times New Roman" w:hAnsi="Times New Roman" w:eastAsia="黑体"/>
          <w:b w:val="0"/>
          <w:color w:val="auto"/>
          <w:sz w:val="24"/>
          <w:szCs w:val="24"/>
          <w:highlight w:val="none"/>
        </w:rPr>
        <w:t>18. 保险</w:t>
      </w:r>
      <w:bookmarkEnd w:id="557"/>
    </w:p>
    <w:bookmarkEnd w:id="558"/>
    <w:bookmarkEnd w:id="559"/>
    <w:bookmarkEnd w:id="560"/>
    <w:p w14:paraId="271785CA">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61" w:name="_Toc351203613"/>
      <w:bookmarkStart w:id="562" w:name="_Toc337558829"/>
      <w:bookmarkStart w:id="563" w:name="_Toc296346622"/>
      <w:bookmarkStart w:id="564" w:name="_Toc296503121"/>
      <w:r>
        <w:rPr>
          <w:rFonts w:ascii="Times New Roman" w:hAnsi="Times New Roman" w:eastAsia="黑体"/>
          <w:b w:val="0"/>
          <w:color w:val="auto"/>
          <w:highlight w:val="none"/>
        </w:rPr>
        <w:t>18.1 工程保险</w:t>
      </w:r>
      <w:bookmarkEnd w:id="561"/>
    </w:p>
    <w:bookmarkEnd w:id="562"/>
    <w:bookmarkEnd w:id="563"/>
    <w:bookmarkEnd w:id="564"/>
    <w:p w14:paraId="4C7462CF">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除专用合同条款另有约定外，发包人应投保建筑工程一切险或安装工程一切险；发包人委托承包人投保的，因投保产生的保险费和其他相关费用由发包人承担。</w:t>
      </w:r>
    </w:p>
    <w:p w14:paraId="27FF838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65" w:name="_Toc351203614"/>
      <w:bookmarkStart w:id="566" w:name="_Toc337558830"/>
      <w:bookmarkStart w:id="567" w:name="_Toc296346623"/>
      <w:bookmarkStart w:id="568" w:name="_Toc296503122"/>
      <w:r>
        <w:rPr>
          <w:rFonts w:ascii="Times New Roman" w:hAnsi="Times New Roman" w:eastAsia="黑体"/>
          <w:b w:val="0"/>
          <w:color w:val="auto"/>
          <w:highlight w:val="none"/>
        </w:rPr>
        <w:t>18.2 工伤保险</w:t>
      </w:r>
      <w:bookmarkEnd w:id="565"/>
    </w:p>
    <w:bookmarkEnd w:id="566"/>
    <w:bookmarkEnd w:id="567"/>
    <w:bookmarkEnd w:id="568"/>
    <w:p w14:paraId="1065B43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18.2.1 发包人应依照法律规定参加工伤保险，并为在施工现场的全部员工办理工伤保险，缴纳工伤保险费，并要求监理人及由发包人为履行合同聘请的第三方依法参加工伤保险。</w:t>
      </w:r>
    </w:p>
    <w:p w14:paraId="28BEE06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18.2.2 承包人应依照法律规定参加工伤保险，并为其履行合同的全部员工办理工伤保险，缴纳工伤保险费，并要求分包人及由承包人为履行合同聘请的第三方依法参加工伤保险。</w:t>
      </w:r>
    </w:p>
    <w:p w14:paraId="3DB4452F">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69" w:name="_Toc351203615"/>
      <w:bookmarkStart w:id="570" w:name="_Toc296503125"/>
      <w:bookmarkStart w:id="571" w:name="_Toc296346626"/>
      <w:bookmarkStart w:id="572" w:name="_Toc337558831"/>
      <w:r>
        <w:rPr>
          <w:rFonts w:ascii="Times New Roman" w:hAnsi="Times New Roman" w:eastAsia="黑体"/>
          <w:b w:val="0"/>
          <w:color w:val="auto"/>
          <w:highlight w:val="none"/>
        </w:rPr>
        <w:t>18.3其他保险</w:t>
      </w:r>
      <w:bookmarkEnd w:id="569"/>
    </w:p>
    <w:bookmarkEnd w:id="570"/>
    <w:bookmarkEnd w:id="571"/>
    <w:bookmarkEnd w:id="572"/>
    <w:p w14:paraId="47CEED85">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发包人和承包人可以为其施工现场的全部人员办理意外伤害保险并支付保险费，包括其员工及为履行合同聘请的第三方的人员，具体事项由合同当事人在专用合同条款约定。</w:t>
      </w:r>
    </w:p>
    <w:p w14:paraId="687AF229">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除专用合同条款另有约定外，承包人应为其施工设备等办理财产保险。</w:t>
      </w:r>
    </w:p>
    <w:p w14:paraId="4FA90FD8">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73" w:name="_Toc351203616"/>
      <w:r>
        <w:rPr>
          <w:rFonts w:ascii="Times New Roman" w:hAnsi="Times New Roman" w:eastAsia="黑体"/>
          <w:b w:val="0"/>
          <w:color w:val="auto"/>
          <w:highlight w:val="none"/>
        </w:rPr>
        <w:t>18.4持续保险</w:t>
      </w:r>
      <w:bookmarkEnd w:id="573"/>
    </w:p>
    <w:p w14:paraId="23D1C276">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合同当事人应与保险人保持联系，使保险人能够随时了解工程实施中的变动，并确保按保险合同条款要求持续保险。</w:t>
      </w:r>
    </w:p>
    <w:p w14:paraId="411DFF69">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74" w:name="_Toc351203617"/>
      <w:bookmarkStart w:id="575" w:name="_Toc296503126"/>
      <w:bookmarkStart w:id="576" w:name="_Toc296346627"/>
      <w:bookmarkStart w:id="577" w:name="_Toc337558832"/>
      <w:r>
        <w:rPr>
          <w:rFonts w:ascii="Times New Roman" w:hAnsi="Times New Roman" w:eastAsia="黑体"/>
          <w:b w:val="0"/>
          <w:color w:val="auto"/>
          <w:highlight w:val="none"/>
        </w:rPr>
        <w:t>18.5 保险凭证</w:t>
      </w:r>
      <w:bookmarkEnd w:id="574"/>
    </w:p>
    <w:bookmarkEnd w:id="575"/>
    <w:bookmarkEnd w:id="576"/>
    <w:bookmarkEnd w:id="577"/>
    <w:p w14:paraId="36DC311E">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合同当事人应及时向另一方当事人提交其已投保的各项保险的凭证和保险单复印件。</w:t>
      </w:r>
    </w:p>
    <w:p w14:paraId="38551ACC">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78" w:name="_Toc351203618"/>
      <w:bookmarkStart w:id="579" w:name="_Toc296346628"/>
      <w:bookmarkStart w:id="580" w:name="_Toc337558833"/>
      <w:bookmarkStart w:id="581" w:name="_Toc296503127"/>
      <w:r>
        <w:rPr>
          <w:rFonts w:ascii="Times New Roman" w:hAnsi="Times New Roman" w:eastAsia="黑体"/>
          <w:b w:val="0"/>
          <w:color w:val="auto"/>
          <w:highlight w:val="none"/>
        </w:rPr>
        <w:t>18.6 未按约定投保的补救</w:t>
      </w:r>
      <w:bookmarkEnd w:id="578"/>
    </w:p>
    <w:bookmarkEnd w:id="579"/>
    <w:bookmarkEnd w:id="580"/>
    <w:bookmarkEnd w:id="581"/>
    <w:p w14:paraId="33F1E837">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18.6.1发包人未按合同约定办理保险，或未能使保险持续有效的，则承包人可代为办理，所需费用由发包人承担。发包人未按合同约定办理保险，导致未能得到足额赔偿的，由发包人负责补足。</w:t>
      </w:r>
    </w:p>
    <w:p w14:paraId="6266533B">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18.6.2承包人未按合同约定办理保险，或未能使保险持续有效的，则发包人可代为办理，所需费用由承包人承担。承包人未按合同约定办理保险，导致未能得到足额赔偿的，由承包人负责补足。</w:t>
      </w:r>
    </w:p>
    <w:p w14:paraId="0A93E2B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82" w:name="_Toc351203619"/>
      <w:bookmarkStart w:id="583" w:name="_Toc337558834"/>
      <w:r>
        <w:rPr>
          <w:rFonts w:ascii="Times New Roman" w:hAnsi="Times New Roman" w:eastAsia="黑体"/>
          <w:b w:val="0"/>
          <w:color w:val="auto"/>
          <w:highlight w:val="none"/>
        </w:rPr>
        <w:t>18.7 通知义务</w:t>
      </w:r>
      <w:bookmarkEnd w:id="582"/>
    </w:p>
    <w:bookmarkEnd w:id="583"/>
    <w:p w14:paraId="666C5520">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650A88A3">
      <w:pPr>
        <w:pageBreakBefore w:val="0"/>
        <w:kinsoku/>
        <w:wordWrap/>
        <w:overflowPunct/>
        <w:topLinePunct w:val="0"/>
        <w:bidi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保险事故发生时，投保人应按照保险合同规定的条件和期限及时向保险人报告。发包人和承包人应当在知道保险事故发生后及时通知对方。</w:t>
      </w:r>
    </w:p>
    <w:p w14:paraId="6028B126">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584" w:name="_Toc351203620"/>
      <w:bookmarkStart w:id="585" w:name="_Toc296346641"/>
      <w:bookmarkStart w:id="586" w:name="_Toc337558835"/>
      <w:bookmarkStart w:id="587" w:name="_Toc296503140"/>
      <w:r>
        <w:rPr>
          <w:rFonts w:ascii="Times New Roman" w:hAnsi="Times New Roman" w:eastAsia="黑体"/>
          <w:b w:val="0"/>
          <w:color w:val="auto"/>
          <w:sz w:val="24"/>
          <w:szCs w:val="24"/>
          <w:highlight w:val="none"/>
        </w:rPr>
        <w:t>19. 索赔</w:t>
      </w:r>
      <w:bookmarkEnd w:id="584"/>
    </w:p>
    <w:bookmarkEnd w:id="585"/>
    <w:bookmarkEnd w:id="586"/>
    <w:bookmarkEnd w:id="587"/>
    <w:p w14:paraId="1420FA2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88" w:name="_Toc351203621"/>
      <w:bookmarkStart w:id="589" w:name="_Toc296503141"/>
      <w:bookmarkStart w:id="590" w:name="_Toc337558836"/>
      <w:bookmarkStart w:id="591" w:name="_Toc296346642"/>
      <w:r>
        <w:rPr>
          <w:rFonts w:ascii="Times New Roman" w:hAnsi="Times New Roman" w:eastAsia="黑体"/>
          <w:b w:val="0"/>
          <w:color w:val="auto"/>
          <w:highlight w:val="none"/>
        </w:rPr>
        <w:t>19.1承包人的索赔</w:t>
      </w:r>
      <w:bookmarkEnd w:id="588"/>
    </w:p>
    <w:bookmarkEnd w:id="589"/>
    <w:bookmarkEnd w:id="590"/>
    <w:bookmarkEnd w:id="591"/>
    <w:p w14:paraId="5028E9C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根据合同约定，承包人认为有权得到追加付款和（或）延长工期的，应按以下程序向</w:t>
      </w:r>
      <w:r>
        <w:rPr>
          <w:rFonts w:hint="eastAsia" w:eastAsia="仿宋_GB2312"/>
          <w:color w:val="auto"/>
          <w:sz w:val="24"/>
          <w:highlight w:val="none"/>
        </w:rPr>
        <w:t>发包</w:t>
      </w:r>
      <w:r>
        <w:rPr>
          <w:rFonts w:eastAsia="仿宋_GB2312"/>
          <w:color w:val="auto"/>
          <w:sz w:val="24"/>
          <w:highlight w:val="none"/>
        </w:rPr>
        <w:t>人提出索赔：</w:t>
      </w:r>
    </w:p>
    <w:p w14:paraId="4C9E5C8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2516975">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（2）承包人应在发出索赔意向通知书后28天内，向监理人正式递交索赔报告；索赔报告应详细说明索赔理由以及要求追加的付款金额和（或）延长的工期，并附必要的记录和证明材料；</w:t>
      </w:r>
    </w:p>
    <w:p w14:paraId="38479E5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（3）索赔事件具有持续影响的，承包人应按合理时间间隔继续递交延续索赔通知，说明持续影响的实际情况和记录，列出累计的追加付款金额和（或）工期延长天数；</w:t>
      </w:r>
    </w:p>
    <w:p w14:paraId="2E92851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（4）在索赔事件影响结束后28天内，承包人应向监理人递交最终索赔报告，说明最终要求索赔的追加付款金额和（或）延长的工期，并附必要的记录和证明材料。</w:t>
      </w:r>
    </w:p>
    <w:p w14:paraId="46088524">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92" w:name="_Toc351203622"/>
      <w:bookmarkStart w:id="593" w:name="_Toc337558837"/>
      <w:bookmarkStart w:id="594" w:name="_Toc296346643"/>
      <w:bookmarkStart w:id="595" w:name="_Toc296503142"/>
      <w:r>
        <w:rPr>
          <w:rFonts w:ascii="Times New Roman" w:hAnsi="Times New Roman" w:eastAsia="黑体"/>
          <w:b w:val="0"/>
          <w:color w:val="auto"/>
          <w:highlight w:val="none"/>
        </w:rPr>
        <w:t>19.2 对承包人索赔的处理</w:t>
      </w:r>
      <w:bookmarkEnd w:id="592"/>
    </w:p>
    <w:bookmarkEnd w:id="593"/>
    <w:bookmarkEnd w:id="594"/>
    <w:bookmarkEnd w:id="595"/>
    <w:p w14:paraId="4FE8A25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对承包人索赔的处理如下：</w:t>
      </w:r>
    </w:p>
    <w:p w14:paraId="2AA91C3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（1）监理人应在收到索赔报告后14天内完成审查并报送发包人。监理人对索赔报告存在异议的，有权要求承包人提交全部原始记录副本；</w:t>
      </w:r>
    </w:p>
    <w:p w14:paraId="34ACCC7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（3）承包人接受索赔处理结果的，索赔款项在当期进度款中进行支付；承包人不接受索赔处理结果的，按照第20条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约定处理。</w:t>
      </w:r>
    </w:p>
    <w:p w14:paraId="642DB512">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596" w:name="_Toc351203623"/>
      <w:bookmarkStart w:id="597" w:name="_Toc296503143"/>
      <w:bookmarkStart w:id="598" w:name="_Toc337558838"/>
      <w:bookmarkStart w:id="599" w:name="_Toc296346644"/>
      <w:r>
        <w:rPr>
          <w:rFonts w:ascii="Times New Roman" w:hAnsi="Times New Roman" w:eastAsia="黑体"/>
          <w:b w:val="0"/>
          <w:color w:val="auto"/>
          <w:highlight w:val="none"/>
        </w:rPr>
        <w:t>19.3发包人的索赔</w:t>
      </w:r>
      <w:bookmarkEnd w:id="596"/>
    </w:p>
    <w:bookmarkEnd w:id="597"/>
    <w:bookmarkEnd w:id="598"/>
    <w:bookmarkEnd w:id="599"/>
    <w:p w14:paraId="48884F5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根据合同约定，发包人认为有权得到赔付金额和（或）延长缺陷责任期的，监理人应向承包人发出通知并附有详细的证明。</w:t>
      </w:r>
    </w:p>
    <w:p w14:paraId="3058108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3D7FAC31">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00" w:name="_Toc351203624"/>
      <w:bookmarkStart w:id="601" w:name="_Toc296503144"/>
      <w:bookmarkStart w:id="602" w:name="_Toc337558839"/>
      <w:bookmarkStart w:id="603" w:name="_Toc296346645"/>
      <w:r>
        <w:rPr>
          <w:rFonts w:ascii="Times New Roman" w:hAnsi="Times New Roman" w:eastAsia="黑体"/>
          <w:b w:val="0"/>
          <w:color w:val="auto"/>
          <w:highlight w:val="none"/>
        </w:rPr>
        <w:t>19.4 对发包人索赔的处理</w:t>
      </w:r>
      <w:bookmarkEnd w:id="600"/>
    </w:p>
    <w:bookmarkEnd w:id="601"/>
    <w:bookmarkEnd w:id="602"/>
    <w:bookmarkEnd w:id="603"/>
    <w:p w14:paraId="65FDABC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对发包人索赔的处理如下：</w:t>
      </w:r>
    </w:p>
    <w:p w14:paraId="4FB3617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（1）承包人收到发包人提交的索赔报告后，应及时审查索赔报告的内容、查验发包人证明材料；</w:t>
      </w:r>
    </w:p>
    <w:p w14:paraId="2FAF9F6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（2）承包人应在收到索赔报告或有关索赔的进一步证明材料后28天内，将索赔处理结果答复发包人。如果承包人未在上述期限内作出答复的，则视为对发包人索赔要求的认可；</w:t>
      </w:r>
    </w:p>
    <w:p w14:paraId="7F81EAB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（3）承包人接受索赔处理结果的，发包人可从应支付给承包人的合同价款中扣除赔付的金额或延长缺陷责任期；发包人不接受索赔处理结果的，按第20条</w:t>
      </w:r>
      <w:r>
        <w:rPr>
          <w:rFonts w:hint="eastAsia" w:eastAsia="仿宋_GB2312"/>
          <w:color w:val="auto"/>
          <w:sz w:val="24"/>
          <w:highlight w:val="none"/>
        </w:rPr>
        <w:t>〔</w:t>
      </w:r>
      <w:r>
        <w:rPr>
          <w:rFonts w:eastAsia="仿宋_GB2312"/>
          <w:color w:val="auto"/>
          <w:sz w:val="24"/>
          <w:highlight w:val="none"/>
        </w:rPr>
        <w:t>争议解决</w:t>
      </w:r>
      <w:r>
        <w:rPr>
          <w:rFonts w:hint="eastAsia" w:eastAsia="仿宋_GB2312"/>
          <w:color w:val="auto"/>
          <w:sz w:val="24"/>
          <w:highlight w:val="none"/>
        </w:rPr>
        <w:t>〕</w:t>
      </w:r>
      <w:r>
        <w:rPr>
          <w:rFonts w:eastAsia="仿宋_GB2312"/>
          <w:color w:val="auto"/>
          <w:sz w:val="24"/>
          <w:highlight w:val="none"/>
        </w:rPr>
        <w:t>约定处理。</w:t>
      </w:r>
    </w:p>
    <w:p w14:paraId="3617055D">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04" w:name="_Toc351203625"/>
      <w:r>
        <w:rPr>
          <w:rFonts w:ascii="Times New Roman" w:hAnsi="Times New Roman" w:eastAsia="黑体"/>
          <w:b w:val="0"/>
          <w:color w:val="auto"/>
          <w:highlight w:val="none"/>
        </w:rPr>
        <w:t>19.5 提出索赔的期限</w:t>
      </w:r>
      <w:bookmarkEnd w:id="604"/>
    </w:p>
    <w:p w14:paraId="2C359D5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（1）承包人按第14.2款</w:t>
      </w:r>
      <w:r>
        <w:rPr>
          <w:rFonts w:hint="eastAsia" w:eastAsia="仿宋_GB2312"/>
          <w:color w:val="auto"/>
          <w:sz w:val="24"/>
          <w:highlight w:val="none"/>
        </w:rPr>
        <w:t>〔</w:t>
      </w:r>
      <w:r>
        <w:rPr>
          <w:rFonts w:eastAsia="仿宋_GB2312"/>
          <w:color w:val="auto"/>
          <w:sz w:val="24"/>
          <w:highlight w:val="none"/>
        </w:rPr>
        <w:t>竣工结算审核</w:t>
      </w:r>
      <w:r>
        <w:rPr>
          <w:rFonts w:hint="eastAsia" w:eastAsia="仿宋_GB2312"/>
          <w:color w:val="auto"/>
          <w:sz w:val="24"/>
          <w:highlight w:val="none"/>
        </w:rPr>
        <w:t>〕</w:t>
      </w:r>
      <w:r>
        <w:rPr>
          <w:rFonts w:eastAsia="仿宋_GB2312"/>
          <w:color w:val="auto"/>
          <w:sz w:val="24"/>
          <w:highlight w:val="none"/>
        </w:rPr>
        <w:t>约定接收竣工付款证书后，应被视为已无权再提出在工程接收证书颁发前所发生的任何索赔。</w:t>
      </w:r>
    </w:p>
    <w:p w14:paraId="1FE1392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（2）承包人按第14.4款</w:t>
      </w:r>
      <w:r>
        <w:rPr>
          <w:rFonts w:hint="eastAsia" w:eastAsia="仿宋_GB2312"/>
          <w:color w:val="auto"/>
          <w:sz w:val="24"/>
          <w:highlight w:val="none"/>
        </w:rPr>
        <w:t>〔</w:t>
      </w:r>
      <w:r>
        <w:rPr>
          <w:rFonts w:eastAsia="仿宋_GB2312"/>
          <w:color w:val="auto"/>
          <w:sz w:val="24"/>
          <w:highlight w:val="none"/>
        </w:rPr>
        <w:t>最终结清</w:t>
      </w:r>
      <w:r>
        <w:rPr>
          <w:rFonts w:hint="eastAsia" w:eastAsia="仿宋_GB2312"/>
          <w:color w:val="auto"/>
          <w:sz w:val="24"/>
          <w:highlight w:val="none"/>
        </w:rPr>
        <w:t>〕</w:t>
      </w:r>
      <w:r>
        <w:rPr>
          <w:rFonts w:eastAsia="仿宋_GB2312"/>
          <w:color w:val="auto"/>
          <w:sz w:val="24"/>
          <w:highlight w:val="none"/>
        </w:rPr>
        <w:t>提交的最终结清申请单中，只限于提出工程接收证书颁发后发生的索赔。提出索赔的期限自接受最终结清证书时终止。</w:t>
      </w:r>
    </w:p>
    <w:p w14:paraId="1E59F891">
      <w:pPr>
        <w:pStyle w:val="5"/>
        <w:pageBreakBefore w:val="0"/>
        <w:kinsoku/>
        <w:wordWrap/>
        <w:overflowPunct/>
        <w:topLinePunct w:val="0"/>
        <w:bidi w:val="0"/>
        <w:spacing w:before="0" w:after="0" w:line="288" w:lineRule="auto"/>
        <w:ind w:left="0" w:leftChars="0"/>
        <w:textAlignment w:val="auto"/>
        <w:rPr>
          <w:rFonts w:ascii="Times New Roman" w:hAnsi="Times New Roman" w:eastAsia="黑体"/>
          <w:b w:val="0"/>
          <w:color w:val="auto"/>
          <w:sz w:val="24"/>
          <w:szCs w:val="24"/>
          <w:highlight w:val="none"/>
        </w:rPr>
      </w:pPr>
      <w:bookmarkStart w:id="605" w:name="_Toc351203626"/>
      <w:r>
        <w:rPr>
          <w:rFonts w:ascii="Times New Roman" w:hAnsi="Times New Roman" w:eastAsia="黑体"/>
          <w:b w:val="0"/>
          <w:color w:val="auto"/>
          <w:sz w:val="24"/>
          <w:szCs w:val="24"/>
          <w:highlight w:val="none"/>
        </w:rPr>
        <w:t>20</w:t>
      </w:r>
      <w:bookmarkStart w:id="606" w:name="_Toc296346647"/>
      <w:bookmarkStart w:id="607" w:name="_Toc296503146"/>
      <w:bookmarkStart w:id="608" w:name="_Toc337558840"/>
      <w:r>
        <w:rPr>
          <w:rFonts w:ascii="Times New Roman" w:hAnsi="Times New Roman" w:eastAsia="黑体"/>
          <w:b w:val="0"/>
          <w:color w:val="auto"/>
          <w:sz w:val="24"/>
          <w:szCs w:val="24"/>
          <w:highlight w:val="none"/>
        </w:rPr>
        <w:t>. 争议解决</w:t>
      </w:r>
      <w:bookmarkEnd w:id="605"/>
    </w:p>
    <w:bookmarkEnd w:id="606"/>
    <w:bookmarkEnd w:id="607"/>
    <w:bookmarkEnd w:id="608"/>
    <w:p w14:paraId="7CA1880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09" w:name="_Toc351203627"/>
      <w:bookmarkStart w:id="610" w:name="_Toc296503147"/>
      <w:bookmarkStart w:id="611" w:name="_Toc337558841"/>
      <w:bookmarkStart w:id="612" w:name="_Toc296346648"/>
      <w:r>
        <w:rPr>
          <w:rFonts w:ascii="Times New Roman" w:hAnsi="Times New Roman" w:eastAsia="黑体"/>
          <w:b w:val="0"/>
          <w:color w:val="auto"/>
          <w:highlight w:val="none"/>
        </w:rPr>
        <w:t>20.1和解</w:t>
      </w:r>
      <w:bookmarkEnd w:id="609"/>
    </w:p>
    <w:bookmarkEnd w:id="610"/>
    <w:bookmarkEnd w:id="611"/>
    <w:bookmarkEnd w:id="612"/>
    <w:p w14:paraId="5BEC349B">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合同当事人可以就争议自行和解，自行和解达成协议的经双方签字并盖章后作为合同补充文件，双方均应遵照执行。</w:t>
      </w:r>
    </w:p>
    <w:p w14:paraId="0FAB03D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13" w:name="_Toc351203628"/>
      <w:r>
        <w:rPr>
          <w:rFonts w:ascii="Times New Roman" w:hAnsi="Times New Roman" w:eastAsia="黑体"/>
          <w:b w:val="0"/>
          <w:color w:val="auto"/>
          <w:highlight w:val="none"/>
        </w:rPr>
        <w:t>20</w:t>
      </w:r>
      <w:bookmarkStart w:id="614" w:name="_Toc337558842"/>
      <w:bookmarkStart w:id="615" w:name="_Toc296346649"/>
      <w:bookmarkStart w:id="616" w:name="_Toc296503148"/>
      <w:r>
        <w:rPr>
          <w:rFonts w:ascii="Times New Roman" w:hAnsi="Times New Roman" w:eastAsia="黑体"/>
          <w:b w:val="0"/>
          <w:color w:val="auto"/>
          <w:highlight w:val="none"/>
        </w:rPr>
        <w:t>.2调解</w:t>
      </w:r>
      <w:bookmarkEnd w:id="613"/>
    </w:p>
    <w:bookmarkEnd w:id="614"/>
    <w:bookmarkEnd w:id="615"/>
    <w:bookmarkEnd w:id="616"/>
    <w:p w14:paraId="2EBF074E">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合同当事人可以就争议请求建设行政主管部门</w:t>
      </w:r>
      <w:r>
        <w:rPr>
          <w:rFonts w:hint="eastAsia" w:eastAsia="仿宋_GB2312"/>
          <w:color w:val="auto"/>
          <w:sz w:val="24"/>
          <w:highlight w:val="none"/>
        </w:rPr>
        <w:t>、行业协会</w:t>
      </w:r>
      <w:r>
        <w:rPr>
          <w:rFonts w:eastAsia="仿宋_GB2312"/>
          <w:color w:val="auto"/>
          <w:sz w:val="24"/>
          <w:highlight w:val="none"/>
        </w:rPr>
        <w:t>或</w:t>
      </w:r>
      <w:r>
        <w:rPr>
          <w:rFonts w:hint="eastAsia" w:eastAsia="仿宋_GB2312"/>
          <w:color w:val="auto"/>
          <w:sz w:val="24"/>
          <w:highlight w:val="none"/>
        </w:rPr>
        <w:t>其他</w:t>
      </w:r>
      <w:r>
        <w:rPr>
          <w:rFonts w:eastAsia="仿宋_GB2312"/>
          <w:color w:val="auto"/>
          <w:sz w:val="24"/>
          <w:highlight w:val="none"/>
        </w:rPr>
        <w:t>第三方进行调解，调解达成协议的，经双方签字并盖章后作为合同补充文件，双方均应遵照执行。</w:t>
      </w:r>
    </w:p>
    <w:p w14:paraId="7187F7A7">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17" w:name="_Toc351203629"/>
      <w:bookmarkStart w:id="618" w:name="_Toc296503149"/>
      <w:bookmarkStart w:id="619" w:name="_Toc296346650"/>
      <w:bookmarkStart w:id="620" w:name="_Toc337558843"/>
      <w:r>
        <w:rPr>
          <w:rFonts w:ascii="Times New Roman" w:hAnsi="Times New Roman" w:eastAsia="黑体"/>
          <w:b w:val="0"/>
          <w:color w:val="auto"/>
          <w:highlight w:val="none"/>
        </w:rPr>
        <w:t>20.3争议评审</w:t>
      </w:r>
      <w:bookmarkEnd w:id="617"/>
    </w:p>
    <w:bookmarkEnd w:id="618"/>
    <w:bookmarkEnd w:id="619"/>
    <w:bookmarkEnd w:id="620"/>
    <w:p w14:paraId="0834A3F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合同当事人在专用合同条款中约定采取争议评审方式解决争议</w:t>
      </w:r>
      <w:r>
        <w:rPr>
          <w:rFonts w:hint="eastAsia" w:eastAsia="仿宋_GB2312"/>
          <w:color w:val="auto"/>
          <w:sz w:val="24"/>
          <w:highlight w:val="none"/>
        </w:rPr>
        <w:t>以及评审规则，并</w:t>
      </w:r>
      <w:r>
        <w:rPr>
          <w:rFonts w:eastAsia="仿宋_GB2312"/>
          <w:color w:val="auto"/>
          <w:sz w:val="24"/>
          <w:highlight w:val="none"/>
        </w:rPr>
        <w:t xml:space="preserve">按下列约定执行： </w:t>
      </w:r>
    </w:p>
    <w:p w14:paraId="66836D48">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20.3.1 争议评审小组的确定</w:t>
      </w:r>
    </w:p>
    <w:p w14:paraId="5B045D96">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合同当事人可以共同选择一名或三名争议评审员，组成争议评审小组。除专用合同条款另有约定外，合同当事人应当自合同签订后28天内，或者争议发生后14天内，选定争议评审员。</w:t>
      </w:r>
    </w:p>
    <w:p w14:paraId="51873C0D">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eastAsia="仿宋_GB2312"/>
          <w:color w:val="auto"/>
          <w:sz w:val="24"/>
          <w:highlight w:val="none"/>
        </w:rPr>
        <w:t>评审</w:t>
      </w:r>
      <w:r>
        <w:rPr>
          <w:rFonts w:eastAsia="仿宋_GB2312"/>
          <w:color w:val="auto"/>
          <w:sz w:val="24"/>
          <w:highlight w:val="none"/>
        </w:rPr>
        <w:t xml:space="preserve">机构指定第三名首席争议评审员。 </w:t>
      </w:r>
    </w:p>
    <w:p w14:paraId="4C17A28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除专用合同条款另有约定外，评审员报酬由发包人和承包人各承担一半。</w:t>
      </w:r>
    </w:p>
    <w:p w14:paraId="41C2ECC9">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20.3.2 争议评审小组的决定</w:t>
      </w:r>
    </w:p>
    <w:p w14:paraId="6E02A964">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77296161">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20.3.3 争议评审小组决定的效力</w:t>
      </w:r>
    </w:p>
    <w:p w14:paraId="0989B06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争议评审小组作出的书面决定经合同当事人签字确认后，对双方具有约束力，双方应遵照执行。</w:t>
      </w:r>
    </w:p>
    <w:p w14:paraId="024194D3">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任何一方当事人不接受争议评审小组决定</w:t>
      </w:r>
      <w:r>
        <w:rPr>
          <w:rFonts w:hint="eastAsia" w:eastAsia="仿宋_GB2312"/>
          <w:color w:val="auto"/>
          <w:sz w:val="24"/>
          <w:highlight w:val="none"/>
        </w:rPr>
        <w:t>或不履行争议评审小组决定的</w:t>
      </w:r>
      <w:r>
        <w:rPr>
          <w:rFonts w:eastAsia="仿宋_GB2312"/>
          <w:color w:val="auto"/>
          <w:sz w:val="24"/>
          <w:highlight w:val="none"/>
        </w:rPr>
        <w:t>，双方可选择采用其他争议解决方式。</w:t>
      </w:r>
    </w:p>
    <w:p w14:paraId="28F70C9D">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21" w:name="_Toc351203630"/>
      <w:bookmarkStart w:id="622" w:name="_Toc296503150"/>
      <w:bookmarkStart w:id="623" w:name="_Toc337558844"/>
      <w:bookmarkStart w:id="624" w:name="_Toc296346651"/>
      <w:r>
        <w:rPr>
          <w:rFonts w:ascii="Times New Roman" w:hAnsi="Times New Roman" w:eastAsia="黑体"/>
          <w:b w:val="0"/>
          <w:color w:val="auto"/>
          <w:highlight w:val="none"/>
        </w:rPr>
        <w:t>20.4仲裁或诉讼</w:t>
      </w:r>
      <w:bookmarkEnd w:id="621"/>
    </w:p>
    <w:bookmarkEnd w:id="622"/>
    <w:bookmarkEnd w:id="623"/>
    <w:bookmarkEnd w:id="624"/>
    <w:p w14:paraId="28ABB217">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因合同及合同有关事项产生的争议，合同当事人可以在专用合同条款中约定以下一种方式解决争议：</w:t>
      </w:r>
    </w:p>
    <w:p w14:paraId="5DDBD8AC">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（1）向约定的仲裁委员会申请仲裁；</w:t>
      </w:r>
    </w:p>
    <w:p w14:paraId="561420CA">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（2）向有管辖权的人民法院起诉。</w:t>
      </w:r>
    </w:p>
    <w:p w14:paraId="5D3ACB35">
      <w:pPr>
        <w:pStyle w:val="6"/>
        <w:pageBreakBefore w:val="0"/>
        <w:kinsoku/>
        <w:wordWrap/>
        <w:overflowPunct/>
        <w:topLinePunct w:val="0"/>
        <w:bidi w:val="0"/>
        <w:spacing w:before="0" w:after="0" w:line="288" w:lineRule="auto"/>
        <w:ind w:left="0" w:leftChars="0" w:firstLine="480" w:firstLineChars="200"/>
        <w:textAlignment w:val="auto"/>
        <w:rPr>
          <w:rFonts w:ascii="Times New Roman" w:hAnsi="Times New Roman" w:eastAsia="黑体"/>
          <w:b w:val="0"/>
          <w:color w:val="auto"/>
          <w:highlight w:val="none"/>
        </w:rPr>
      </w:pPr>
      <w:bookmarkStart w:id="625" w:name="_Toc351203631"/>
      <w:bookmarkStart w:id="626" w:name="_Toc296503152"/>
      <w:bookmarkStart w:id="627" w:name="_Toc337558845"/>
      <w:bookmarkStart w:id="628" w:name="_Toc296346653"/>
      <w:r>
        <w:rPr>
          <w:rFonts w:ascii="Times New Roman" w:hAnsi="Times New Roman" w:eastAsia="黑体"/>
          <w:b w:val="0"/>
          <w:color w:val="auto"/>
          <w:highlight w:val="none"/>
        </w:rPr>
        <w:t>20.5争议解决条款效力</w:t>
      </w:r>
      <w:bookmarkEnd w:id="625"/>
    </w:p>
    <w:bookmarkEnd w:id="626"/>
    <w:bookmarkEnd w:id="627"/>
    <w:bookmarkEnd w:id="628"/>
    <w:p w14:paraId="3392AAB0">
      <w:pPr>
        <w:pageBreakBefore w:val="0"/>
        <w:kinsoku/>
        <w:wordWrap/>
        <w:overflowPunct/>
        <w:topLinePunct w:val="0"/>
        <w:autoSpaceDE w:val="0"/>
        <w:autoSpaceDN w:val="0"/>
        <w:bidi w:val="0"/>
        <w:adjustRightInd w:val="0"/>
        <w:spacing w:line="288" w:lineRule="auto"/>
        <w:ind w:left="0" w:leftChars="0" w:firstLine="480" w:firstLineChars="200"/>
        <w:jc w:val="left"/>
        <w:textAlignment w:val="auto"/>
        <w:rPr>
          <w:rFonts w:eastAsia="仿宋_GB2312"/>
          <w:color w:val="auto"/>
          <w:sz w:val="24"/>
          <w:highlight w:val="none"/>
        </w:rPr>
      </w:pPr>
      <w:r>
        <w:rPr>
          <w:rFonts w:eastAsia="仿宋_GB2312"/>
          <w:color w:val="auto"/>
          <w:sz w:val="24"/>
          <w:highlight w:val="none"/>
        </w:rPr>
        <w:t xml:space="preserve">合同有关争议解决的条款独立存在，合同的变更、解除、终止、无效或者被撤销均不影响其效力。 </w:t>
      </w:r>
    </w:p>
    <w:p w14:paraId="1CAAF423">
      <w:pPr>
        <w:pStyle w:val="4"/>
        <w:pageBreakBefore w:val="0"/>
        <w:kinsoku/>
        <w:wordWrap/>
        <w:overflowPunct/>
        <w:topLinePunct w:val="0"/>
        <w:bidi w:val="0"/>
        <w:spacing w:before="0" w:after="0" w:line="288" w:lineRule="auto"/>
        <w:ind w:left="0" w:leftChars="0"/>
        <w:jc w:val="center"/>
        <w:textAlignment w:val="auto"/>
        <w:rPr>
          <w:rFonts w:ascii="华文中宋" w:hAnsi="华文中宋" w:eastAsia="华文中宋"/>
          <w:color w:val="auto"/>
          <w:sz w:val="24"/>
          <w:szCs w:val="24"/>
          <w:highlight w:val="none"/>
        </w:rPr>
      </w:pPr>
      <w:bookmarkStart w:id="629" w:name="_Toc351203632"/>
      <w:r>
        <w:rPr>
          <w:rFonts w:ascii="华文中宋" w:hAnsi="华文中宋" w:eastAsia="华文中宋"/>
          <w:color w:val="auto"/>
          <w:sz w:val="24"/>
          <w:szCs w:val="24"/>
          <w:highlight w:val="none"/>
        </w:rPr>
        <w:br w:type="page"/>
      </w:r>
      <w:bookmarkEnd w:id="629"/>
      <w:r>
        <w:rPr>
          <w:rFonts w:eastAsia="黑体"/>
          <w:color w:val="auto"/>
          <w:highlight w:val="none"/>
        </w:rPr>
        <w:t xml:space="preserve">第三部分 </w:t>
      </w:r>
      <w:r>
        <w:rPr>
          <w:rFonts w:hint="eastAsia" w:eastAsia="黑体"/>
          <w:color w:val="auto"/>
          <w:highlight w:val="none"/>
        </w:rPr>
        <w:t>专用合同条款</w:t>
      </w:r>
    </w:p>
    <w:p w14:paraId="6564A027">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一、词语定义及合同文件</w:t>
      </w:r>
    </w:p>
    <w:p w14:paraId="6060F645">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1、合同文件及解释顺序</w:t>
      </w:r>
    </w:p>
    <w:p w14:paraId="02D4A9C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合同文件组成及解释顺序：</w:t>
      </w:r>
      <w:r>
        <w:rPr>
          <w:rFonts w:hint="eastAsia" w:eastAsia="仿宋_GB2312"/>
          <w:color w:val="auto"/>
          <w:sz w:val="24"/>
          <w:highlight w:val="none"/>
          <w:u w:val="single"/>
        </w:rPr>
        <w:t>执行通用条款第1.5款规定。</w:t>
      </w:r>
    </w:p>
    <w:p w14:paraId="33831D87">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2、语言文字和适用法律、标准及规范</w:t>
      </w:r>
    </w:p>
    <w:p w14:paraId="481087C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w:t>
      </w:r>
      <w:r>
        <w:rPr>
          <w:rFonts w:eastAsia="仿宋_GB2312"/>
          <w:color w:val="auto"/>
          <w:sz w:val="24"/>
          <w:highlight w:val="none"/>
        </w:rPr>
        <w:t>.</w:t>
      </w:r>
      <w:r>
        <w:rPr>
          <w:rFonts w:hint="eastAsia" w:eastAsia="仿宋_GB2312"/>
          <w:color w:val="auto"/>
          <w:sz w:val="24"/>
          <w:highlight w:val="none"/>
        </w:rPr>
        <w:t>1本合同除使用汉语外，还使用</w:t>
      </w:r>
      <w:r>
        <w:rPr>
          <w:rFonts w:hint="eastAsia" w:eastAsia="仿宋_GB2312"/>
          <w:color w:val="auto"/>
          <w:sz w:val="24"/>
          <w:highlight w:val="none"/>
          <w:u w:val="single"/>
        </w:rPr>
        <w:t xml:space="preserve">    /   </w:t>
      </w:r>
      <w:r>
        <w:rPr>
          <w:rFonts w:hint="eastAsia" w:eastAsia="仿宋_GB2312"/>
          <w:color w:val="auto"/>
          <w:sz w:val="24"/>
          <w:highlight w:val="none"/>
        </w:rPr>
        <w:t xml:space="preserve"> 语言文字。</w:t>
      </w:r>
    </w:p>
    <w:p w14:paraId="3D35D5E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w:t>
      </w:r>
      <w:r>
        <w:rPr>
          <w:rFonts w:eastAsia="仿宋_GB2312"/>
          <w:color w:val="auto"/>
          <w:sz w:val="24"/>
          <w:highlight w:val="none"/>
        </w:rPr>
        <w:t>.2</w:t>
      </w:r>
      <w:r>
        <w:rPr>
          <w:rFonts w:hint="eastAsia" w:eastAsia="仿宋_GB2312"/>
          <w:color w:val="auto"/>
          <w:sz w:val="24"/>
          <w:highlight w:val="none"/>
        </w:rPr>
        <w:t>适用法律和法规</w:t>
      </w:r>
    </w:p>
    <w:p w14:paraId="555CCFDF">
      <w:pPr>
        <w:pageBreakBefore w:val="0"/>
        <w:kinsoku/>
        <w:wordWrap/>
        <w:overflowPunct/>
        <w:topLinePunct w:val="0"/>
        <w:bidi w:val="0"/>
        <w:spacing w:line="288" w:lineRule="auto"/>
        <w:ind w:left="0" w:leftChars="0" w:firstLine="480" w:firstLineChars="200"/>
        <w:textAlignment w:val="auto"/>
        <w:rPr>
          <w:color w:val="auto"/>
          <w:sz w:val="24"/>
          <w:highlight w:val="none"/>
          <w:u w:val="single"/>
        </w:rPr>
      </w:pPr>
      <w:r>
        <w:rPr>
          <w:rFonts w:hint="eastAsia" w:eastAsia="仿宋_GB2312"/>
          <w:color w:val="auto"/>
          <w:sz w:val="24"/>
          <w:highlight w:val="none"/>
        </w:rPr>
        <w:t>需要明示的法律、行政法规：</w:t>
      </w:r>
      <w:r>
        <w:rPr>
          <w:rFonts w:hint="eastAsia" w:eastAsia="仿宋_GB2312"/>
          <w:color w:val="auto"/>
          <w:sz w:val="24"/>
          <w:highlight w:val="none"/>
          <w:u w:val="single"/>
        </w:rPr>
        <w:t>执行现行国家、地方现行及其使用的法律、行政法规的相关规定。</w:t>
      </w:r>
    </w:p>
    <w:p w14:paraId="649F71A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w:t>
      </w:r>
      <w:r>
        <w:rPr>
          <w:rFonts w:eastAsia="仿宋_GB2312"/>
          <w:color w:val="auto"/>
          <w:sz w:val="24"/>
          <w:highlight w:val="none"/>
        </w:rPr>
        <w:t>.3</w:t>
      </w:r>
      <w:r>
        <w:rPr>
          <w:rFonts w:hint="eastAsia" w:eastAsia="仿宋_GB2312"/>
          <w:color w:val="auto"/>
          <w:sz w:val="24"/>
          <w:highlight w:val="none"/>
        </w:rPr>
        <w:t>适用标准、规范</w:t>
      </w:r>
    </w:p>
    <w:p w14:paraId="53D7229A">
      <w:pPr>
        <w:pageBreakBefore w:val="0"/>
        <w:kinsoku/>
        <w:wordWrap/>
        <w:overflowPunct/>
        <w:topLinePunct w:val="0"/>
        <w:bidi w:val="0"/>
        <w:spacing w:line="288" w:lineRule="auto"/>
        <w:ind w:left="0" w:leftChars="0" w:firstLine="480" w:firstLineChars="200"/>
        <w:textAlignment w:val="auto"/>
        <w:rPr>
          <w:color w:val="auto"/>
          <w:sz w:val="24"/>
          <w:highlight w:val="none"/>
          <w:u w:val="single"/>
        </w:rPr>
      </w:pPr>
      <w:r>
        <w:rPr>
          <w:rFonts w:hint="eastAsia" w:eastAsia="仿宋_GB2312"/>
          <w:color w:val="auto"/>
          <w:sz w:val="24"/>
          <w:highlight w:val="none"/>
        </w:rPr>
        <w:t>适用标准、规范的名称：</w:t>
      </w:r>
      <w:r>
        <w:rPr>
          <w:rFonts w:hint="eastAsia" w:eastAsia="仿宋_GB2312"/>
          <w:color w:val="auto"/>
          <w:sz w:val="24"/>
          <w:highlight w:val="none"/>
          <w:u w:val="single"/>
        </w:rPr>
        <w:t>执行现行国家、地方及其使用的标准、规范。</w:t>
      </w:r>
    </w:p>
    <w:p w14:paraId="7F57441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u w:val="single"/>
        </w:rPr>
      </w:pPr>
      <w:r>
        <w:rPr>
          <w:rFonts w:hint="eastAsia" w:eastAsia="仿宋_GB2312"/>
          <w:color w:val="auto"/>
          <w:sz w:val="24"/>
          <w:highlight w:val="none"/>
        </w:rPr>
        <w:t>发包人提供标准、规范的时间：</w:t>
      </w:r>
      <w:r>
        <w:rPr>
          <w:rFonts w:hint="eastAsia" w:eastAsia="仿宋_GB2312"/>
          <w:color w:val="auto"/>
          <w:sz w:val="24"/>
          <w:highlight w:val="none"/>
          <w:u w:val="single"/>
        </w:rPr>
        <w:t xml:space="preserve">  /  </w:t>
      </w:r>
    </w:p>
    <w:p w14:paraId="51DCE207">
      <w:pPr>
        <w:pageBreakBefore w:val="0"/>
        <w:kinsoku/>
        <w:wordWrap/>
        <w:overflowPunct/>
        <w:topLinePunct w:val="0"/>
        <w:bidi w:val="0"/>
        <w:spacing w:line="288" w:lineRule="auto"/>
        <w:ind w:left="0" w:leftChars="0" w:firstLine="480" w:firstLineChars="200"/>
        <w:textAlignment w:val="auto"/>
        <w:rPr>
          <w:color w:val="auto"/>
          <w:sz w:val="24"/>
          <w:highlight w:val="none"/>
          <w:u w:val="single"/>
        </w:rPr>
      </w:pPr>
      <w:r>
        <w:rPr>
          <w:rFonts w:hint="eastAsia" w:eastAsia="仿宋_GB2312"/>
          <w:color w:val="auto"/>
          <w:sz w:val="24"/>
          <w:highlight w:val="none"/>
        </w:rPr>
        <w:t>国内没有相应标准、规范时原约定：</w:t>
      </w:r>
      <w:r>
        <w:rPr>
          <w:rFonts w:hint="eastAsia" w:eastAsia="仿宋_GB2312"/>
          <w:color w:val="auto"/>
          <w:sz w:val="24"/>
          <w:highlight w:val="none"/>
          <w:u w:val="single"/>
        </w:rPr>
        <w:t xml:space="preserve">  /  </w:t>
      </w:r>
    </w:p>
    <w:p w14:paraId="21D80A20">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3.图纸</w:t>
      </w:r>
    </w:p>
    <w:p w14:paraId="7809307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w:t>
      </w:r>
      <w:r>
        <w:rPr>
          <w:rFonts w:eastAsia="仿宋_GB2312"/>
          <w:color w:val="auto"/>
          <w:sz w:val="24"/>
          <w:highlight w:val="none"/>
        </w:rPr>
        <w:t>.1</w:t>
      </w:r>
      <w:r>
        <w:rPr>
          <w:rFonts w:hint="eastAsia" w:eastAsia="仿宋_GB2312"/>
          <w:color w:val="auto"/>
          <w:sz w:val="24"/>
          <w:highlight w:val="none"/>
        </w:rPr>
        <w:t>发包人向承包人提供图纸日期和套数：</w:t>
      </w:r>
      <w:r>
        <w:rPr>
          <w:rFonts w:hint="eastAsia" w:eastAsia="仿宋_GB2312"/>
          <w:color w:val="auto"/>
          <w:sz w:val="24"/>
          <w:highlight w:val="none"/>
          <w:u w:val="single"/>
        </w:rPr>
        <w:t xml:space="preserve">  /   </w:t>
      </w:r>
    </w:p>
    <w:p w14:paraId="1394F99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w:t>
      </w:r>
      <w:r>
        <w:rPr>
          <w:rFonts w:eastAsia="仿宋_GB2312"/>
          <w:color w:val="auto"/>
          <w:sz w:val="24"/>
          <w:highlight w:val="none"/>
        </w:rPr>
        <w:t>.2</w:t>
      </w:r>
      <w:r>
        <w:rPr>
          <w:rFonts w:hint="eastAsia" w:eastAsia="仿宋_GB2312"/>
          <w:color w:val="auto"/>
          <w:sz w:val="24"/>
          <w:highlight w:val="none"/>
        </w:rPr>
        <w:t>发包人对图纸的保密要求：</w:t>
      </w:r>
      <w:r>
        <w:rPr>
          <w:rFonts w:hint="eastAsia" w:eastAsia="仿宋_GB2312"/>
          <w:color w:val="auto"/>
          <w:sz w:val="24"/>
          <w:highlight w:val="none"/>
          <w:u w:val="single"/>
        </w:rPr>
        <w:t>不得向第三方提供。</w:t>
      </w:r>
    </w:p>
    <w:p w14:paraId="553887F3">
      <w:pPr>
        <w:pageBreakBefore w:val="0"/>
        <w:kinsoku/>
        <w:wordWrap/>
        <w:overflowPunct/>
        <w:topLinePunct w:val="0"/>
        <w:bidi w:val="0"/>
        <w:spacing w:line="288" w:lineRule="auto"/>
        <w:ind w:left="0" w:leftChars="0" w:firstLine="480" w:firstLineChars="200"/>
        <w:textAlignment w:val="auto"/>
        <w:rPr>
          <w:color w:val="auto"/>
          <w:sz w:val="24"/>
          <w:highlight w:val="none"/>
          <w:u w:val="single"/>
        </w:rPr>
      </w:pPr>
      <w:r>
        <w:rPr>
          <w:rFonts w:hint="eastAsia" w:eastAsia="仿宋_GB2312"/>
          <w:color w:val="auto"/>
          <w:sz w:val="24"/>
          <w:highlight w:val="none"/>
        </w:rPr>
        <w:t>3.3使用国外图纸的要求及费用承担：</w:t>
      </w:r>
      <w:r>
        <w:rPr>
          <w:rFonts w:hint="eastAsia" w:eastAsia="仿宋_GB2312"/>
          <w:color w:val="auto"/>
          <w:sz w:val="24"/>
          <w:highlight w:val="none"/>
          <w:u w:val="single"/>
        </w:rPr>
        <w:t xml:space="preserve">        /    。</w:t>
      </w:r>
      <w:r>
        <w:rPr>
          <w:rFonts w:hint="eastAsia"/>
          <w:color w:val="auto"/>
          <w:sz w:val="24"/>
          <w:highlight w:val="none"/>
          <w:u w:val="single"/>
        </w:rPr>
        <w:t xml:space="preserve">    </w:t>
      </w:r>
    </w:p>
    <w:p w14:paraId="74C44A8B">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二、双方一般权利和义务</w:t>
      </w:r>
    </w:p>
    <w:p w14:paraId="296CAB76">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5、工程师</w:t>
      </w:r>
    </w:p>
    <w:p w14:paraId="48FA962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5.</w:t>
      </w:r>
      <w:r>
        <w:rPr>
          <w:rFonts w:hint="eastAsia" w:eastAsia="仿宋_GB2312"/>
          <w:color w:val="auto"/>
          <w:sz w:val="24"/>
          <w:highlight w:val="none"/>
        </w:rPr>
        <w:t>1全过程咨询公司委派的监理工程师</w:t>
      </w:r>
    </w:p>
    <w:p w14:paraId="505FFAB0">
      <w:pPr>
        <w:pageBreakBefore w:val="0"/>
        <w:kinsoku/>
        <w:wordWrap/>
        <w:overflowPunct/>
        <w:topLinePunct w:val="0"/>
        <w:bidi w:val="0"/>
        <w:spacing w:line="288" w:lineRule="auto"/>
        <w:ind w:left="0" w:leftChars="0" w:firstLine="480"/>
        <w:textAlignment w:val="auto"/>
        <w:rPr>
          <w:color w:val="auto"/>
          <w:sz w:val="24"/>
          <w:highlight w:val="none"/>
          <w:u w:val="single"/>
        </w:rPr>
      </w:pPr>
      <w:r>
        <w:rPr>
          <w:rFonts w:hint="eastAsia" w:eastAsia="仿宋_GB2312"/>
          <w:color w:val="auto"/>
          <w:sz w:val="24"/>
          <w:highlight w:val="none"/>
        </w:rPr>
        <w:t>姓名：</w:t>
      </w:r>
      <w:r>
        <w:rPr>
          <w:rFonts w:hint="eastAsia" w:eastAsia="仿宋_GB2312"/>
          <w:b/>
          <w:bCs/>
          <w:color w:val="auto"/>
          <w:sz w:val="24"/>
          <w:highlight w:val="none"/>
          <w:u w:val="single"/>
        </w:rPr>
        <w:t xml:space="preserve">                  </w:t>
      </w:r>
      <w:r>
        <w:rPr>
          <w:rFonts w:hint="eastAsia" w:eastAsia="仿宋_GB2312"/>
          <w:color w:val="auto"/>
          <w:sz w:val="24"/>
          <w:highlight w:val="none"/>
        </w:rPr>
        <w:t>发包人委托的</w:t>
      </w:r>
      <w:r>
        <w:rPr>
          <w:rFonts w:hint="eastAsia"/>
          <w:color w:val="auto"/>
          <w:sz w:val="24"/>
          <w:highlight w:val="none"/>
        </w:rPr>
        <w:t>职权：</w:t>
      </w:r>
      <w:r>
        <w:rPr>
          <w:rFonts w:hint="eastAsia" w:eastAsia="仿宋_GB2312"/>
          <w:color w:val="auto"/>
          <w:sz w:val="24"/>
          <w:highlight w:val="none"/>
          <w:u w:val="single"/>
        </w:rPr>
        <w:t>施工阶段的“三控、三管、一协调”，即对工程建设的质量、进度、投资的有效控制，对工程建设的安全生产、合同、信息的有效管理，协调有关单位的工作关系，开工、竣工验收的各项准备工作，配合竣工结算审核。竣工后保修阶段的服务。工程质量、工期、造价控制。</w:t>
      </w:r>
    </w:p>
    <w:p w14:paraId="0D211093">
      <w:pPr>
        <w:pageBreakBefore w:val="0"/>
        <w:kinsoku/>
        <w:wordWrap/>
        <w:overflowPunct/>
        <w:topLinePunct w:val="0"/>
        <w:bidi w:val="0"/>
        <w:spacing w:line="288" w:lineRule="auto"/>
        <w:ind w:left="0" w:leftChars="0" w:firstLine="480" w:firstLineChars="200"/>
        <w:textAlignment w:val="auto"/>
        <w:rPr>
          <w:rFonts w:ascii="宋体" w:hAnsi="宋体"/>
          <w:color w:val="auto"/>
          <w:sz w:val="24"/>
          <w:highlight w:val="none"/>
          <w:u w:val="single"/>
        </w:rPr>
      </w:pPr>
      <w:r>
        <w:rPr>
          <w:rFonts w:hint="eastAsia" w:eastAsia="仿宋_GB2312"/>
          <w:color w:val="auto"/>
          <w:sz w:val="24"/>
          <w:highlight w:val="none"/>
          <w:u w:val="none"/>
        </w:rPr>
        <w:t>需要取得发包人批准才能行使的职权</w:t>
      </w:r>
      <w:r>
        <w:rPr>
          <w:rFonts w:hint="eastAsia"/>
          <w:color w:val="auto"/>
          <w:sz w:val="24"/>
          <w:highlight w:val="none"/>
        </w:rPr>
        <w:t>：</w:t>
      </w:r>
      <w:r>
        <w:rPr>
          <w:rFonts w:hint="eastAsia" w:eastAsia="仿宋_GB2312"/>
          <w:color w:val="auto"/>
          <w:sz w:val="24"/>
          <w:highlight w:val="none"/>
          <w:u w:val="single"/>
        </w:rPr>
        <w:t>监理向承包人签发停工令、经济签证、工程变更应取得发包人同意。</w:t>
      </w:r>
    </w:p>
    <w:p w14:paraId="48859AB0">
      <w:pPr>
        <w:pageBreakBefore w:val="0"/>
        <w:kinsoku/>
        <w:wordWrap/>
        <w:overflowPunct/>
        <w:topLinePunct w:val="0"/>
        <w:bidi w:val="0"/>
        <w:spacing w:line="288" w:lineRule="auto"/>
        <w:ind w:left="0" w:leftChars="0" w:firstLine="480" w:firstLineChars="200"/>
        <w:textAlignment w:val="auto"/>
        <w:rPr>
          <w:rFonts w:hint="eastAsia" w:eastAsia="仿宋_GB2312"/>
          <w:color w:val="auto"/>
          <w:sz w:val="24"/>
          <w:highlight w:val="none"/>
          <w:u w:val="none"/>
        </w:rPr>
      </w:pPr>
      <w:r>
        <w:rPr>
          <w:rFonts w:hint="eastAsia" w:eastAsia="仿宋_GB2312"/>
          <w:color w:val="auto"/>
          <w:sz w:val="24"/>
          <w:highlight w:val="none"/>
          <w:u w:val="none"/>
        </w:rPr>
        <w:t>5.2发包人派驻的项目专员</w:t>
      </w:r>
    </w:p>
    <w:p w14:paraId="488C301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u w:val="single"/>
        </w:rPr>
      </w:pPr>
      <w:r>
        <w:rPr>
          <w:rFonts w:hint="eastAsia" w:eastAsia="仿宋_GB2312"/>
          <w:color w:val="auto"/>
          <w:sz w:val="24"/>
          <w:highlight w:val="none"/>
          <w:u w:val="none"/>
        </w:rPr>
        <w:t>姓名</w:t>
      </w:r>
      <w:r>
        <w:rPr>
          <w:rFonts w:hint="eastAsia"/>
          <w:color w:val="auto"/>
          <w:sz w:val="24"/>
          <w:highlight w:val="none"/>
        </w:rPr>
        <w:t>：</w:t>
      </w:r>
      <w:r>
        <w:rPr>
          <w:rFonts w:hint="eastAsia" w:eastAsia="仿宋_GB2312"/>
          <w:b/>
          <w:color w:val="auto"/>
          <w:sz w:val="24"/>
          <w:highlight w:val="none"/>
          <w:u w:val="single"/>
        </w:rPr>
        <w:t xml:space="preserve">                   </w:t>
      </w:r>
      <w:r>
        <w:rPr>
          <w:rFonts w:hint="eastAsia" w:eastAsia="仿宋_GB2312"/>
          <w:color w:val="auto"/>
          <w:sz w:val="24"/>
          <w:highlight w:val="none"/>
          <w:u w:val="none"/>
        </w:rPr>
        <w:t>职权</w:t>
      </w:r>
      <w:r>
        <w:rPr>
          <w:rFonts w:hint="eastAsia"/>
          <w:color w:val="auto"/>
          <w:sz w:val="24"/>
          <w:highlight w:val="none"/>
        </w:rPr>
        <w:t>：</w:t>
      </w:r>
      <w:r>
        <w:rPr>
          <w:rFonts w:hint="eastAsia" w:eastAsia="仿宋_GB2312"/>
          <w:color w:val="auto"/>
          <w:sz w:val="24"/>
          <w:highlight w:val="none"/>
          <w:u w:val="single"/>
        </w:rPr>
        <w:t>全权负责现场的协调和管理工作，行使发包人施工阶段的控制、协调、管理及签证。</w:t>
      </w:r>
    </w:p>
    <w:p w14:paraId="451EFB77">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eastAsia="仿宋_GB2312"/>
          <w:color w:val="auto"/>
          <w:sz w:val="24"/>
          <w:highlight w:val="none"/>
        </w:rPr>
        <w:t>5.</w:t>
      </w:r>
      <w:r>
        <w:rPr>
          <w:rFonts w:hint="eastAsia" w:eastAsia="仿宋_GB2312"/>
          <w:color w:val="auto"/>
          <w:sz w:val="24"/>
          <w:highlight w:val="none"/>
        </w:rPr>
        <w:t>3派驻的跟踪审计人员</w:t>
      </w:r>
    </w:p>
    <w:p w14:paraId="50A1D4C7">
      <w:pPr>
        <w:pageBreakBefore w:val="0"/>
        <w:kinsoku/>
        <w:wordWrap/>
        <w:overflowPunct/>
        <w:topLinePunct w:val="0"/>
        <w:bidi w:val="0"/>
        <w:spacing w:line="288" w:lineRule="auto"/>
        <w:ind w:left="0" w:leftChars="0" w:firstLine="480"/>
        <w:textAlignment w:val="auto"/>
        <w:rPr>
          <w:color w:val="auto"/>
          <w:sz w:val="24"/>
          <w:highlight w:val="none"/>
          <w:u w:val="single"/>
        </w:rPr>
      </w:pPr>
      <w:r>
        <w:rPr>
          <w:rFonts w:hint="eastAsia" w:eastAsia="仿宋_GB2312"/>
          <w:color w:val="auto"/>
          <w:sz w:val="24"/>
          <w:highlight w:val="none"/>
        </w:rPr>
        <w:t>姓名：</w:t>
      </w:r>
      <w:r>
        <w:rPr>
          <w:rFonts w:hint="eastAsia" w:eastAsia="仿宋_GB2312"/>
          <w:b/>
          <w:color w:val="auto"/>
          <w:sz w:val="24"/>
          <w:highlight w:val="none"/>
          <w:u w:val="single"/>
        </w:rPr>
        <w:t xml:space="preserve">                   </w:t>
      </w:r>
      <w:r>
        <w:rPr>
          <w:rFonts w:hint="eastAsia" w:eastAsia="仿宋_GB2312"/>
          <w:color w:val="auto"/>
          <w:sz w:val="24"/>
          <w:highlight w:val="none"/>
        </w:rPr>
        <w:t>职权：</w:t>
      </w:r>
      <w:r>
        <w:rPr>
          <w:rFonts w:hint="eastAsia" w:eastAsia="仿宋_GB2312"/>
          <w:color w:val="auto"/>
          <w:sz w:val="24"/>
          <w:highlight w:val="none"/>
          <w:u w:val="single"/>
        </w:rPr>
        <w:t>对项目投标范围内容及发生变更的内容进行复核确认，在审计处授权范围内，负责现场工程计量复核确认及工程项目的审核工作。</w:t>
      </w:r>
    </w:p>
    <w:p w14:paraId="6B6CBA3F">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hint="eastAsia" w:eastAsia="仿宋_GB2312"/>
          <w:color w:val="auto"/>
          <w:sz w:val="24"/>
          <w:highlight w:val="none"/>
        </w:rPr>
        <w:t>5.4使用单位派驻的项目专员</w:t>
      </w:r>
    </w:p>
    <w:p w14:paraId="4531E890">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hint="eastAsia" w:eastAsia="仿宋_GB2312"/>
          <w:color w:val="auto"/>
          <w:sz w:val="24"/>
          <w:highlight w:val="none"/>
        </w:rPr>
        <w:t>姓名：</w:t>
      </w:r>
      <w:r>
        <w:rPr>
          <w:rFonts w:hint="eastAsia" w:eastAsia="仿宋_GB2312"/>
          <w:b/>
          <w:color w:val="auto"/>
          <w:sz w:val="24"/>
          <w:highlight w:val="none"/>
          <w:u w:val="single"/>
        </w:rPr>
        <w:t xml:space="preserve">                   </w:t>
      </w:r>
      <w:r>
        <w:rPr>
          <w:rFonts w:hint="eastAsia" w:eastAsia="仿宋_GB2312"/>
          <w:color w:val="auto"/>
          <w:sz w:val="24"/>
          <w:highlight w:val="none"/>
        </w:rPr>
        <w:t>职权：</w:t>
      </w:r>
      <w:r>
        <w:rPr>
          <w:rFonts w:hint="eastAsia" w:eastAsia="仿宋_GB2312"/>
          <w:color w:val="auto"/>
          <w:sz w:val="24"/>
          <w:highlight w:val="none"/>
          <w:u w:val="single"/>
        </w:rPr>
        <w:t>全权负责建设方与使用方之间的协调工作，参与方案、材料的选择和变更工程量的签证。协助施工企业办理各类水电手续。</w:t>
      </w:r>
    </w:p>
    <w:p w14:paraId="26B3C8E3">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6、项目经理</w:t>
      </w:r>
    </w:p>
    <w:p w14:paraId="5A2E6782">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hint="eastAsia" w:eastAsia="仿宋_GB2312"/>
          <w:color w:val="auto"/>
          <w:sz w:val="24"/>
          <w:highlight w:val="none"/>
        </w:rPr>
        <w:t>6.1现场负责人：</w:t>
      </w:r>
      <w:r>
        <w:rPr>
          <w:rFonts w:hint="eastAsia" w:ascii="Times New Roman" w:hAnsi="Times New Roman" w:eastAsia="仿宋_GB2312"/>
          <w:b/>
          <w:color w:val="auto"/>
          <w:sz w:val="24"/>
          <w:highlight w:val="none"/>
          <w:u w:val="single"/>
        </w:rPr>
        <w:t xml:space="preserve">      </w:t>
      </w:r>
    </w:p>
    <w:p w14:paraId="4145C529">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6.2根据投标文件要求，以上人员必须每天在施工现场接受在岗考评，发现未在现场一次处以</w:t>
      </w:r>
      <w:r>
        <w:rPr>
          <w:rFonts w:hint="eastAsia" w:eastAsia="仿宋_GB2312"/>
          <w:b/>
          <w:color w:val="auto"/>
          <w:sz w:val="24"/>
          <w:highlight w:val="none"/>
          <w:u w:val="single"/>
        </w:rPr>
        <w:t>5</w:t>
      </w:r>
      <w:r>
        <w:rPr>
          <w:rFonts w:eastAsia="仿宋_GB2312"/>
          <w:b/>
          <w:color w:val="auto"/>
          <w:sz w:val="24"/>
          <w:highlight w:val="none"/>
          <w:u w:val="single"/>
        </w:rPr>
        <w:t>00</w:t>
      </w:r>
      <w:r>
        <w:rPr>
          <w:rFonts w:hint="eastAsia" w:eastAsia="仿宋_GB2312"/>
          <w:b/>
          <w:color w:val="auto"/>
          <w:sz w:val="24"/>
          <w:highlight w:val="none"/>
          <w:u w:val="single"/>
        </w:rPr>
        <w:t>元</w:t>
      </w:r>
      <w:r>
        <w:rPr>
          <w:rFonts w:hint="eastAsia" w:ascii="等线" w:hAnsi="等线" w:eastAsia="仿宋_GB2312"/>
          <w:color w:val="auto"/>
          <w:sz w:val="24"/>
          <w:highlight w:val="none"/>
        </w:rPr>
        <w:t>违约金。</w:t>
      </w:r>
    </w:p>
    <w:p w14:paraId="2CA9950E">
      <w:pPr>
        <w:pageBreakBefore w:val="0"/>
        <w:kinsoku/>
        <w:wordWrap/>
        <w:overflowPunct/>
        <w:topLinePunct w:val="0"/>
        <w:bidi w:val="0"/>
        <w:spacing w:line="288" w:lineRule="auto"/>
        <w:ind w:left="0" w:leftChars="0" w:firstLine="482" w:firstLineChars="200"/>
        <w:textAlignment w:val="auto"/>
        <w:rPr>
          <w:b/>
          <w:color w:val="auto"/>
          <w:sz w:val="24"/>
          <w:highlight w:val="none"/>
        </w:rPr>
      </w:pPr>
      <w:r>
        <w:rPr>
          <w:rFonts w:hint="eastAsia"/>
          <w:b/>
          <w:color w:val="auto"/>
          <w:sz w:val="24"/>
          <w:highlight w:val="none"/>
        </w:rPr>
        <w:t>7、发包人工作</w:t>
      </w:r>
    </w:p>
    <w:p w14:paraId="00C807CA">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（1）施工场地具备施工条件要求及完成的时间：开工前。</w:t>
      </w:r>
    </w:p>
    <w:p w14:paraId="14DF91B9">
      <w:pPr>
        <w:pageBreakBefore w:val="0"/>
        <w:kinsoku/>
        <w:wordWrap/>
        <w:overflowPunct/>
        <w:topLinePunct w:val="0"/>
        <w:bidi w:val="0"/>
        <w:spacing w:line="288" w:lineRule="auto"/>
        <w:ind w:left="480" w:leftChars="0" w:hanging="480" w:hangingChars="200"/>
        <w:textAlignment w:val="auto"/>
        <w:rPr>
          <w:rFonts w:eastAsia="仿宋_GB2312"/>
          <w:color w:val="auto"/>
          <w:sz w:val="24"/>
          <w:highlight w:val="none"/>
        </w:rPr>
      </w:pPr>
      <w:r>
        <w:rPr>
          <w:rFonts w:hint="eastAsia" w:eastAsia="仿宋_GB2312"/>
          <w:color w:val="auto"/>
          <w:sz w:val="24"/>
          <w:highlight w:val="none"/>
        </w:rPr>
        <w:t>（2）将施工所需的水、电、电讯线路接至施工场地的时间、地点和供应要求：开工前，施工中所发生的水、电费用由施工单位自理。</w:t>
      </w:r>
    </w:p>
    <w:p w14:paraId="5FE628AB">
      <w:pPr>
        <w:pageBreakBefore w:val="0"/>
        <w:kinsoku/>
        <w:wordWrap/>
        <w:overflowPunct/>
        <w:topLinePunct w:val="0"/>
        <w:bidi w:val="0"/>
        <w:spacing w:line="288" w:lineRule="auto"/>
        <w:ind w:left="0" w:leftChars="0" w:hanging="540"/>
        <w:textAlignment w:val="auto"/>
        <w:rPr>
          <w:rFonts w:eastAsia="仿宋_GB2312"/>
          <w:color w:val="auto"/>
          <w:sz w:val="24"/>
          <w:highlight w:val="none"/>
        </w:rPr>
      </w:pPr>
      <w:r>
        <w:rPr>
          <w:rFonts w:hint="eastAsia" w:eastAsia="仿宋_GB2312"/>
          <w:color w:val="auto"/>
          <w:sz w:val="24"/>
          <w:highlight w:val="none"/>
        </w:rPr>
        <w:t>（3）施工场地与公共道路的通道开通时间和要求：开工前。</w:t>
      </w:r>
    </w:p>
    <w:p w14:paraId="1BB311E3">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（4）工程地质和地下管线资料的提供时间：开工前。</w:t>
      </w:r>
    </w:p>
    <w:p w14:paraId="3FC1E085">
      <w:pPr>
        <w:pageBreakBefore w:val="0"/>
        <w:kinsoku/>
        <w:wordWrap/>
        <w:overflowPunct/>
        <w:topLinePunct w:val="0"/>
        <w:bidi w:val="0"/>
        <w:spacing w:line="288" w:lineRule="auto"/>
        <w:ind w:left="0" w:leftChars="0" w:hanging="540"/>
        <w:textAlignment w:val="auto"/>
        <w:rPr>
          <w:rFonts w:eastAsia="仿宋_GB2312"/>
          <w:color w:val="auto"/>
          <w:sz w:val="24"/>
          <w:highlight w:val="none"/>
        </w:rPr>
      </w:pPr>
      <w:r>
        <w:rPr>
          <w:rFonts w:hint="eastAsia" w:eastAsia="仿宋_GB2312"/>
          <w:color w:val="auto"/>
          <w:sz w:val="24"/>
          <w:highlight w:val="none"/>
        </w:rPr>
        <w:t>（5）由发包人办理的施工所需证件、批件的名称和完成时间：开工前。</w:t>
      </w:r>
    </w:p>
    <w:p w14:paraId="0BCF2ADB">
      <w:pPr>
        <w:pageBreakBefore w:val="0"/>
        <w:kinsoku/>
        <w:wordWrap/>
        <w:overflowPunct/>
        <w:topLinePunct w:val="0"/>
        <w:bidi w:val="0"/>
        <w:spacing w:line="288" w:lineRule="auto"/>
        <w:ind w:left="0" w:leftChars="0" w:hanging="360"/>
        <w:textAlignment w:val="auto"/>
        <w:rPr>
          <w:rFonts w:eastAsia="仿宋_GB2312"/>
          <w:color w:val="auto"/>
          <w:sz w:val="24"/>
          <w:highlight w:val="none"/>
        </w:rPr>
      </w:pPr>
      <w:r>
        <w:rPr>
          <w:rFonts w:hint="eastAsia" w:eastAsia="仿宋_GB2312"/>
          <w:color w:val="auto"/>
          <w:sz w:val="24"/>
          <w:highlight w:val="none"/>
        </w:rPr>
        <w:t>（6）水准点与坐标控制点交验要求：开工前。</w:t>
      </w:r>
    </w:p>
    <w:p w14:paraId="25ABD38D">
      <w:pPr>
        <w:pageBreakBefore w:val="0"/>
        <w:kinsoku/>
        <w:wordWrap/>
        <w:overflowPunct/>
        <w:topLinePunct w:val="0"/>
        <w:bidi w:val="0"/>
        <w:spacing w:line="288" w:lineRule="auto"/>
        <w:ind w:left="0" w:leftChars="0" w:hanging="360"/>
        <w:textAlignment w:val="auto"/>
        <w:rPr>
          <w:rFonts w:eastAsia="仿宋_GB2312"/>
          <w:color w:val="auto"/>
          <w:sz w:val="24"/>
          <w:highlight w:val="none"/>
        </w:rPr>
      </w:pPr>
      <w:r>
        <w:rPr>
          <w:rFonts w:hint="eastAsia" w:eastAsia="仿宋_GB2312"/>
          <w:color w:val="auto"/>
          <w:sz w:val="24"/>
          <w:highlight w:val="none"/>
        </w:rPr>
        <w:t>（7）图纸会审和设计交底时间：开工前。</w:t>
      </w:r>
    </w:p>
    <w:p w14:paraId="4BDF8058">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（8）协调处理施工场地周围地下管线和邻近建筑物、构筑物（含文物保护建筑）古树名木的保护工作。</w:t>
      </w:r>
    </w:p>
    <w:p w14:paraId="584B8BAE">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（9）双方约定发包人应做的其他工作：协助办理入校相关手续。</w:t>
      </w:r>
    </w:p>
    <w:p w14:paraId="653A78A3">
      <w:pPr>
        <w:pageBreakBefore w:val="0"/>
        <w:kinsoku/>
        <w:wordWrap/>
        <w:overflowPunct/>
        <w:topLinePunct w:val="0"/>
        <w:bidi w:val="0"/>
        <w:spacing w:line="288" w:lineRule="auto"/>
        <w:ind w:left="0" w:leftChars="0"/>
        <w:textAlignment w:val="auto"/>
        <w:rPr>
          <w:color w:val="auto"/>
          <w:sz w:val="24"/>
          <w:highlight w:val="none"/>
          <w:u w:val="single"/>
        </w:rPr>
      </w:pPr>
      <w:r>
        <w:rPr>
          <w:rFonts w:hint="eastAsia"/>
          <w:color w:val="auto"/>
          <w:sz w:val="24"/>
          <w:highlight w:val="none"/>
        </w:rPr>
        <w:t>（10）</w:t>
      </w:r>
      <w:r>
        <w:rPr>
          <w:rFonts w:hint="eastAsia"/>
          <w:b/>
          <w:color w:val="auto"/>
          <w:sz w:val="24"/>
          <w:highlight w:val="none"/>
        </w:rPr>
        <w:t>承包人以投标材料市场没有或价格高等原因拖延施工，发包人可以更换承包人并不承担由此产生的各种费用，同时可以依约追究承包方迟延施工责任</w:t>
      </w:r>
    </w:p>
    <w:p w14:paraId="0F32EAAC">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8、承包人工作</w:t>
      </w:r>
    </w:p>
    <w:p w14:paraId="2F6179B7">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    8</w:t>
      </w:r>
      <w:r>
        <w:rPr>
          <w:rFonts w:eastAsia="仿宋_GB2312"/>
          <w:color w:val="auto"/>
          <w:sz w:val="24"/>
          <w:highlight w:val="none"/>
        </w:rPr>
        <w:t>.1</w:t>
      </w:r>
      <w:r>
        <w:rPr>
          <w:rFonts w:hint="eastAsia" w:eastAsia="仿宋_GB2312"/>
          <w:color w:val="auto"/>
          <w:sz w:val="24"/>
          <w:highlight w:val="none"/>
        </w:rPr>
        <w:t>承包人应按约定时间和要求，完成以下工作：</w:t>
      </w:r>
    </w:p>
    <w:p w14:paraId="498721EB">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（1）需由设计资质等级和业务范围允许的承包人完成的设计文件提交时间：无</w:t>
      </w:r>
    </w:p>
    <w:p w14:paraId="602D164D">
      <w:pPr>
        <w:pageBreakBefore w:val="0"/>
        <w:kinsoku/>
        <w:wordWrap/>
        <w:overflowPunct/>
        <w:topLinePunct w:val="0"/>
        <w:bidi w:val="0"/>
        <w:spacing w:line="288" w:lineRule="auto"/>
        <w:ind w:left="480" w:leftChars="0" w:hanging="480" w:hangingChars="200"/>
        <w:textAlignment w:val="auto"/>
        <w:rPr>
          <w:rFonts w:eastAsia="仿宋_GB2312"/>
          <w:color w:val="auto"/>
          <w:sz w:val="24"/>
          <w:highlight w:val="none"/>
        </w:rPr>
      </w:pPr>
      <w:r>
        <w:rPr>
          <w:rFonts w:hint="eastAsia" w:eastAsia="仿宋_GB2312"/>
          <w:color w:val="auto"/>
          <w:sz w:val="24"/>
          <w:highlight w:val="none"/>
        </w:rPr>
        <w:t>（2）应提供计划、报表的名称及完成时间：施工组织设计、施工进度计划、月计划开工前报，周计划每周一报。</w:t>
      </w:r>
    </w:p>
    <w:p w14:paraId="3CBD7153">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（3）承担施工安全保卫工作及非夜间施工照明的责任和要求：由承包方承担。</w:t>
      </w:r>
    </w:p>
    <w:p w14:paraId="4AB13F77">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（4）向发包人提供的办公和生活房屋及设施的要求：由承包方承担。</w:t>
      </w:r>
    </w:p>
    <w:p w14:paraId="0CDC888F">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（5）需承包人办理的有关施工场地交通、水电、环卫和施工噪音管理等手续：按有关规定办理。（后勤集团办理）</w:t>
      </w:r>
    </w:p>
    <w:p w14:paraId="036F7EA4">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（6）已完工程成品保护的特殊要求及费用承担：未交付前由承包方负责，如有损坏，应自费修复。</w:t>
      </w:r>
    </w:p>
    <w:p w14:paraId="6759FEE4">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rPr>
        <w:t>（7）施工场地周围地下管线和邻近建筑物、构筑物（含文物保护建筑）、古树名木的保护要求及费用承担：</w:t>
      </w:r>
      <w:r>
        <w:rPr>
          <w:rFonts w:hint="eastAsia" w:eastAsia="仿宋_GB2312"/>
          <w:color w:val="auto"/>
          <w:sz w:val="24"/>
          <w:highlight w:val="none"/>
          <w:u w:val="single"/>
        </w:rPr>
        <w:t>执行通用条款第1.9条。</w:t>
      </w:r>
    </w:p>
    <w:p w14:paraId="02945C34">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（8）施工场地清洁卫生的要求：施工期间保持现场清洁卫生，垃圾清运出校。发包方提出的要求及整改意见，要及时完成。</w:t>
      </w:r>
    </w:p>
    <w:p w14:paraId="10A1F589">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（9）双方约定承包人应做的其他工作：保证施工现场的安全，教职员工及学生正常的工作、学习、休息不受影响、生活不受影响。教育施工工人文明施工，不得赤膊、穿拖鞋、吸烟。</w:t>
      </w:r>
    </w:p>
    <w:p w14:paraId="3055368E">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（10）发包人委托承包人办理的工作：承包方有义务配合发包方办理工程相关手续。</w:t>
      </w:r>
    </w:p>
    <w:p w14:paraId="501AAF64">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（11）工程内容中有绿植拆铺要在施工前报物业服务中心统一上报绿委，绿委同意后方可进行绿植的拆铺，同时破坏的绿植承包人应在工程竣工后一周内进行免费恢复。</w:t>
      </w:r>
    </w:p>
    <w:p w14:paraId="2AC765F2">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（12）由于在主要教学办公区域施工，</w:t>
      </w:r>
      <w:r>
        <w:rPr>
          <w:rFonts w:eastAsia="仿宋_GB2312"/>
          <w:color w:val="auto"/>
          <w:sz w:val="24"/>
          <w:highlight w:val="none"/>
        </w:rPr>
        <w:t>施工现场实行封闭式管</w:t>
      </w:r>
      <w:r>
        <w:rPr>
          <w:rFonts w:hint="eastAsia" w:eastAsia="仿宋_GB2312"/>
          <w:color w:val="auto"/>
          <w:sz w:val="24"/>
          <w:highlight w:val="none"/>
        </w:rPr>
        <w:t>理，需要做好施工现场的固定围护，警示标语醒目，晚间留有警示灯。</w:t>
      </w:r>
    </w:p>
    <w:p w14:paraId="3E9ECDDB">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三、施工组织设计和工期</w:t>
      </w:r>
    </w:p>
    <w:p w14:paraId="6D4C1556">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9、进度计划</w:t>
      </w:r>
    </w:p>
    <w:p w14:paraId="1ADB68B9">
      <w:pPr>
        <w:pageBreakBefore w:val="0"/>
        <w:kinsoku/>
        <w:wordWrap/>
        <w:overflowPunct/>
        <w:topLinePunct w:val="0"/>
        <w:bidi w:val="0"/>
        <w:spacing w:line="288" w:lineRule="auto"/>
        <w:ind w:left="480" w:leftChars="0" w:hanging="480" w:hangingChars="200"/>
        <w:textAlignment w:val="auto"/>
        <w:rPr>
          <w:rFonts w:eastAsia="仿宋_GB2312"/>
          <w:color w:val="auto"/>
          <w:sz w:val="24"/>
          <w:highlight w:val="none"/>
          <w:u w:val="single"/>
        </w:rPr>
      </w:pPr>
      <w:r>
        <w:rPr>
          <w:rFonts w:hint="eastAsia"/>
          <w:color w:val="auto"/>
          <w:sz w:val="24"/>
          <w:highlight w:val="none"/>
        </w:rPr>
        <w:t xml:space="preserve">    </w:t>
      </w:r>
      <w:r>
        <w:rPr>
          <w:rFonts w:hint="eastAsia" w:eastAsia="仿宋_GB2312"/>
          <w:color w:val="auto"/>
          <w:sz w:val="24"/>
          <w:highlight w:val="none"/>
        </w:rPr>
        <w:t>9</w:t>
      </w:r>
      <w:r>
        <w:rPr>
          <w:rFonts w:eastAsia="仿宋_GB2312"/>
          <w:color w:val="auto"/>
          <w:sz w:val="24"/>
          <w:highlight w:val="none"/>
        </w:rPr>
        <w:t>.1</w:t>
      </w:r>
      <w:r>
        <w:rPr>
          <w:rFonts w:hint="eastAsia" w:eastAsia="仿宋_GB2312"/>
          <w:color w:val="auto"/>
          <w:sz w:val="24"/>
          <w:highlight w:val="none"/>
        </w:rPr>
        <w:t>承包人提供施工组织设计（施工方案）和进度计划的时间：</w:t>
      </w:r>
      <w:r>
        <w:rPr>
          <w:rFonts w:hint="eastAsia" w:eastAsia="仿宋_GB2312"/>
          <w:color w:val="auto"/>
          <w:sz w:val="24"/>
          <w:highlight w:val="none"/>
          <w:u w:val="single"/>
        </w:rPr>
        <w:t>发包人签发</w:t>
      </w:r>
    </w:p>
    <w:p w14:paraId="6E4D4B02">
      <w:pPr>
        <w:pageBreakBefore w:val="0"/>
        <w:kinsoku/>
        <w:wordWrap/>
        <w:overflowPunct/>
        <w:topLinePunct w:val="0"/>
        <w:bidi w:val="0"/>
        <w:spacing w:line="288" w:lineRule="auto"/>
        <w:ind w:left="480" w:leftChars="0" w:hanging="480" w:hangingChars="200"/>
        <w:textAlignment w:val="auto"/>
        <w:rPr>
          <w:rFonts w:eastAsia="仿宋_GB2312"/>
          <w:color w:val="auto"/>
          <w:sz w:val="24"/>
          <w:highlight w:val="none"/>
          <w:u w:val="single"/>
        </w:rPr>
      </w:pPr>
      <w:r>
        <w:rPr>
          <w:rFonts w:hint="eastAsia" w:eastAsia="仿宋_GB2312"/>
          <w:color w:val="auto"/>
          <w:sz w:val="24"/>
          <w:highlight w:val="none"/>
          <w:u w:val="single"/>
        </w:rPr>
        <w:t>中标通知书后三天内。约定开工前向发包方及监理提供，并经发包方及监理方确</w:t>
      </w:r>
    </w:p>
    <w:p w14:paraId="264388B5">
      <w:pPr>
        <w:pageBreakBefore w:val="0"/>
        <w:kinsoku/>
        <w:wordWrap/>
        <w:overflowPunct/>
        <w:topLinePunct w:val="0"/>
        <w:bidi w:val="0"/>
        <w:spacing w:line="288" w:lineRule="auto"/>
        <w:ind w:left="480" w:leftChars="0" w:hanging="480" w:hangingChars="200"/>
        <w:textAlignment w:val="auto"/>
        <w:rPr>
          <w:rFonts w:eastAsia="仿宋_GB2312"/>
          <w:color w:val="auto"/>
          <w:sz w:val="24"/>
          <w:highlight w:val="none"/>
          <w:u w:val="single"/>
        </w:rPr>
      </w:pPr>
      <w:r>
        <w:rPr>
          <w:rFonts w:hint="eastAsia" w:eastAsia="仿宋_GB2312"/>
          <w:color w:val="auto"/>
          <w:sz w:val="24"/>
          <w:highlight w:val="none"/>
          <w:u w:val="single"/>
        </w:rPr>
        <w:t>认后实施。</w:t>
      </w:r>
    </w:p>
    <w:p w14:paraId="07E060B3">
      <w:pPr>
        <w:pageBreakBefore w:val="0"/>
        <w:kinsoku/>
        <w:wordWrap/>
        <w:overflowPunct/>
        <w:topLinePunct w:val="0"/>
        <w:bidi w:val="0"/>
        <w:spacing w:line="288" w:lineRule="auto"/>
        <w:ind w:left="0" w:leftChars="0" w:firstLine="480" w:firstLineChars="200"/>
        <w:textAlignment w:val="auto"/>
        <w:rPr>
          <w:color w:val="auto"/>
          <w:sz w:val="24"/>
          <w:highlight w:val="none"/>
          <w:u w:val="single"/>
        </w:rPr>
      </w:pPr>
      <w:r>
        <w:rPr>
          <w:rFonts w:hint="eastAsia" w:eastAsia="仿宋_GB2312"/>
          <w:color w:val="auto"/>
          <w:sz w:val="24"/>
          <w:highlight w:val="none"/>
        </w:rPr>
        <w:t>9.2工程师确认的时间：</w:t>
      </w:r>
      <w:r>
        <w:rPr>
          <w:rFonts w:hint="eastAsia" w:eastAsia="仿宋_GB2312"/>
          <w:color w:val="auto"/>
          <w:sz w:val="24"/>
          <w:highlight w:val="none"/>
          <w:u w:val="single"/>
        </w:rPr>
        <w:t>收到后3日内给予确认或提出修改意见。</w:t>
      </w:r>
    </w:p>
    <w:p w14:paraId="45EA5771">
      <w:pPr>
        <w:pageBreakBefore w:val="0"/>
        <w:kinsoku/>
        <w:wordWrap/>
        <w:overflowPunct/>
        <w:topLinePunct w:val="0"/>
        <w:bidi w:val="0"/>
        <w:spacing w:line="288" w:lineRule="auto"/>
        <w:ind w:left="480" w:leftChars="0" w:hanging="480" w:hangingChars="200"/>
        <w:textAlignment w:val="auto"/>
        <w:rPr>
          <w:color w:val="auto"/>
          <w:sz w:val="24"/>
          <w:highlight w:val="none"/>
          <w:u w:val="single"/>
        </w:rPr>
      </w:pPr>
      <w:r>
        <w:rPr>
          <w:rFonts w:hint="eastAsia"/>
          <w:color w:val="auto"/>
          <w:sz w:val="24"/>
          <w:highlight w:val="none"/>
        </w:rPr>
        <w:t xml:space="preserve">   </w:t>
      </w:r>
      <w:r>
        <w:rPr>
          <w:rFonts w:hint="eastAsia" w:eastAsia="仿宋_GB2312"/>
          <w:color w:val="auto"/>
          <w:sz w:val="24"/>
          <w:highlight w:val="none"/>
        </w:rPr>
        <w:t xml:space="preserve"> 9</w:t>
      </w:r>
      <w:r>
        <w:rPr>
          <w:rFonts w:eastAsia="仿宋_GB2312"/>
          <w:color w:val="auto"/>
          <w:sz w:val="24"/>
          <w:highlight w:val="none"/>
        </w:rPr>
        <w:t>.</w:t>
      </w:r>
      <w:r>
        <w:rPr>
          <w:rFonts w:hint="eastAsia" w:eastAsia="仿宋_GB2312"/>
          <w:color w:val="auto"/>
          <w:sz w:val="24"/>
          <w:highlight w:val="none"/>
        </w:rPr>
        <w:t>3群体工程中有关进度计划的要求：</w:t>
      </w:r>
      <w:r>
        <w:rPr>
          <w:rFonts w:hint="eastAsia"/>
          <w:color w:val="auto"/>
          <w:sz w:val="24"/>
          <w:highlight w:val="none"/>
          <w:u w:val="single"/>
        </w:rPr>
        <w:t xml:space="preserve">    /   </w:t>
      </w:r>
    </w:p>
    <w:p w14:paraId="4A296E88">
      <w:pPr>
        <w:pageBreakBefore w:val="0"/>
        <w:kinsoku/>
        <w:wordWrap/>
        <w:overflowPunct/>
        <w:topLinePunct w:val="0"/>
        <w:bidi w:val="0"/>
        <w:spacing w:line="288" w:lineRule="auto"/>
        <w:ind w:left="0" w:leftChars="0"/>
        <w:textAlignment w:val="auto"/>
        <w:rPr>
          <w:b/>
          <w:color w:val="auto"/>
          <w:sz w:val="24"/>
          <w:highlight w:val="none"/>
        </w:rPr>
      </w:pPr>
      <w:r>
        <w:rPr>
          <w:b/>
          <w:color w:val="auto"/>
          <w:sz w:val="24"/>
          <w:highlight w:val="none"/>
        </w:rPr>
        <w:t>1</w:t>
      </w:r>
      <w:r>
        <w:rPr>
          <w:rFonts w:hint="eastAsia"/>
          <w:b/>
          <w:color w:val="auto"/>
          <w:sz w:val="24"/>
          <w:highlight w:val="none"/>
        </w:rPr>
        <w:t>0、工期延误</w:t>
      </w:r>
    </w:p>
    <w:p w14:paraId="32822123">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eastAsia="仿宋_GB2312"/>
          <w:color w:val="auto"/>
          <w:sz w:val="24"/>
          <w:highlight w:val="none"/>
        </w:rPr>
        <w:t>1</w:t>
      </w:r>
      <w:r>
        <w:rPr>
          <w:rFonts w:hint="eastAsia" w:eastAsia="仿宋_GB2312"/>
          <w:color w:val="auto"/>
          <w:sz w:val="24"/>
          <w:highlight w:val="none"/>
        </w:rPr>
        <w:t>0</w:t>
      </w:r>
      <w:r>
        <w:rPr>
          <w:rFonts w:eastAsia="仿宋_GB2312"/>
          <w:color w:val="auto"/>
          <w:sz w:val="24"/>
          <w:highlight w:val="none"/>
        </w:rPr>
        <w:t>.1</w:t>
      </w:r>
      <w:r>
        <w:rPr>
          <w:rFonts w:hint="eastAsia" w:eastAsia="仿宋_GB2312"/>
          <w:color w:val="auto"/>
          <w:sz w:val="24"/>
          <w:highlight w:val="none"/>
        </w:rPr>
        <w:t>双方约定工期顺延的其他情况：</w:t>
      </w:r>
      <w:r>
        <w:rPr>
          <w:rFonts w:hint="eastAsia" w:eastAsia="仿宋_GB2312"/>
          <w:color w:val="auto"/>
          <w:sz w:val="24"/>
          <w:highlight w:val="none"/>
          <w:u w:val="single"/>
        </w:rPr>
        <w:t>执行合同通用条款第7.5.1条，甲方书面签证确认。</w:t>
      </w:r>
    </w:p>
    <w:p w14:paraId="453E0B5D">
      <w:pPr>
        <w:pageBreakBefore w:val="0"/>
        <w:kinsoku/>
        <w:wordWrap/>
        <w:overflowPunct/>
        <w:topLinePunct w:val="0"/>
        <w:bidi w:val="0"/>
        <w:spacing w:line="288" w:lineRule="auto"/>
        <w:ind w:left="0" w:leftChars="0" w:firstLine="480"/>
        <w:textAlignment w:val="auto"/>
        <w:rPr>
          <w:color w:val="auto"/>
          <w:sz w:val="24"/>
          <w:highlight w:val="none"/>
          <w:u w:val="single"/>
        </w:rPr>
      </w:pPr>
      <w:r>
        <w:rPr>
          <w:rFonts w:hint="eastAsia" w:eastAsia="仿宋_GB2312"/>
          <w:color w:val="auto"/>
          <w:sz w:val="24"/>
          <w:highlight w:val="none"/>
        </w:rPr>
        <w:t>10.2约定以外的工期延误：</w:t>
      </w:r>
      <w:r>
        <w:rPr>
          <w:rFonts w:hint="eastAsia" w:eastAsia="仿宋_GB2312"/>
          <w:color w:val="auto"/>
          <w:sz w:val="24"/>
          <w:highlight w:val="none"/>
          <w:u w:val="single"/>
        </w:rPr>
        <w:t>执行合同专用条款第7.5.2条。</w:t>
      </w:r>
    </w:p>
    <w:p w14:paraId="7846CBD8">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hint="eastAsia" w:eastAsia="仿宋_GB2312"/>
          <w:color w:val="auto"/>
          <w:sz w:val="24"/>
          <w:highlight w:val="none"/>
        </w:rPr>
        <w:t>10.3双方约定开工日期：</w:t>
      </w:r>
      <w:r>
        <w:rPr>
          <w:rFonts w:hint="eastAsia" w:eastAsia="仿宋_GB2312"/>
          <w:color w:val="auto"/>
          <w:sz w:val="24"/>
          <w:highlight w:val="none"/>
          <w:u w:val="single"/>
        </w:rPr>
        <w:t>若特殊情况以实际开工日期计算。</w:t>
      </w:r>
    </w:p>
    <w:p w14:paraId="4F070E3C">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hint="eastAsia" w:eastAsia="仿宋_GB2312"/>
          <w:color w:val="auto"/>
          <w:sz w:val="24"/>
          <w:highlight w:val="none"/>
        </w:rPr>
        <w:t>10.4因发包人原因导致工期变化：</w:t>
      </w:r>
      <w:r>
        <w:rPr>
          <w:rFonts w:hint="eastAsia" w:eastAsia="仿宋_GB2312"/>
          <w:color w:val="auto"/>
          <w:sz w:val="24"/>
          <w:highlight w:val="none"/>
          <w:u w:val="single"/>
        </w:rPr>
        <w:t>本工程因设计变更、经济签证等原因造成的工程量增减，可以根据总监理工程师批复后调整工期。</w:t>
      </w:r>
    </w:p>
    <w:p w14:paraId="5CB9FBDF">
      <w:pPr>
        <w:pageBreakBefore w:val="0"/>
        <w:kinsoku/>
        <w:wordWrap/>
        <w:overflowPunct/>
        <w:topLinePunct w:val="0"/>
        <w:bidi w:val="0"/>
        <w:spacing w:line="288" w:lineRule="auto"/>
        <w:ind w:left="0" w:leftChars="0" w:firstLine="480"/>
        <w:textAlignment w:val="auto"/>
        <w:rPr>
          <w:color w:val="auto"/>
          <w:sz w:val="24"/>
          <w:highlight w:val="none"/>
        </w:rPr>
      </w:pPr>
      <w:r>
        <w:rPr>
          <w:rFonts w:hint="eastAsia" w:eastAsia="仿宋_GB2312"/>
          <w:color w:val="auto"/>
          <w:sz w:val="24"/>
          <w:highlight w:val="none"/>
        </w:rPr>
        <w:t>10.5工期延期处理办法：</w:t>
      </w:r>
      <w:r>
        <w:rPr>
          <w:rFonts w:hint="eastAsia" w:eastAsia="仿宋_GB2312"/>
          <w:b/>
          <w:color w:val="auto"/>
          <w:sz w:val="24"/>
          <w:highlight w:val="none"/>
          <w:u w:val="single"/>
        </w:rPr>
        <w:t>承包方应当在项目竣工验收前或分部分项工程完成前上报延期报告，发包方根据项目管理规定，由总监理工程师在收到延期报告三个工作日内完成批复。承包方不能按规定时间上报延期报告本项目工期不延期，超过合同工期按每拖延一天，罚合同总价的1‰并直接从工程结算款中扣除。</w:t>
      </w:r>
    </w:p>
    <w:p w14:paraId="66007F50">
      <w:pPr>
        <w:pageBreakBefore w:val="0"/>
        <w:kinsoku/>
        <w:wordWrap/>
        <w:overflowPunct/>
        <w:topLinePunct w:val="0"/>
        <w:bidi w:val="0"/>
        <w:spacing w:line="288" w:lineRule="auto"/>
        <w:ind w:left="0" w:leftChars="0" w:firstLine="480"/>
        <w:textAlignment w:val="auto"/>
        <w:rPr>
          <w:b/>
          <w:color w:val="auto"/>
          <w:sz w:val="24"/>
          <w:highlight w:val="none"/>
        </w:rPr>
      </w:pPr>
      <w:r>
        <w:rPr>
          <w:rFonts w:hint="eastAsia"/>
          <w:b/>
          <w:color w:val="auto"/>
          <w:sz w:val="24"/>
          <w:highlight w:val="none"/>
        </w:rPr>
        <w:t>四、质量与验收</w:t>
      </w:r>
    </w:p>
    <w:p w14:paraId="3C211015">
      <w:pPr>
        <w:pageBreakBefore w:val="0"/>
        <w:kinsoku/>
        <w:wordWrap/>
        <w:overflowPunct/>
        <w:topLinePunct w:val="0"/>
        <w:bidi w:val="0"/>
        <w:spacing w:line="288" w:lineRule="auto"/>
        <w:ind w:left="0" w:leftChars="0"/>
        <w:textAlignment w:val="auto"/>
        <w:rPr>
          <w:b/>
          <w:color w:val="auto"/>
          <w:sz w:val="24"/>
          <w:highlight w:val="none"/>
        </w:rPr>
      </w:pPr>
      <w:r>
        <w:rPr>
          <w:b/>
          <w:color w:val="auto"/>
          <w:sz w:val="24"/>
          <w:highlight w:val="none"/>
        </w:rPr>
        <w:t>1</w:t>
      </w:r>
      <w:r>
        <w:rPr>
          <w:rFonts w:hint="eastAsia"/>
          <w:b/>
          <w:color w:val="auto"/>
          <w:sz w:val="24"/>
          <w:highlight w:val="none"/>
        </w:rPr>
        <w:t>1、隐蔽工程和中间验收</w:t>
      </w:r>
    </w:p>
    <w:p w14:paraId="5B72BE4F">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eastAsia="仿宋_GB2312"/>
          <w:color w:val="auto"/>
          <w:sz w:val="24"/>
          <w:highlight w:val="none"/>
        </w:rPr>
        <w:t>1</w:t>
      </w:r>
      <w:r>
        <w:rPr>
          <w:rFonts w:hint="eastAsia" w:eastAsia="仿宋_GB2312"/>
          <w:color w:val="auto"/>
          <w:sz w:val="24"/>
          <w:highlight w:val="none"/>
        </w:rPr>
        <w:t>1</w:t>
      </w:r>
      <w:r>
        <w:rPr>
          <w:rFonts w:eastAsia="仿宋_GB2312"/>
          <w:color w:val="auto"/>
          <w:sz w:val="24"/>
          <w:highlight w:val="none"/>
        </w:rPr>
        <w:t>.1</w:t>
      </w:r>
      <w:r>
        <w:rPr>
          <w:rFonts w:hint="eastAsia" w:eastAsia="仿宋_GB2312"/>
          <w:color w:val="auto"/>
          <w:sz w:val="24"/>
          <w:highlight w:val="none"/>
        </w:rPr>
        <w:t>双方约定中间验收部位：</w:t>
      </w:r>
      <w:r>
        <w:rPr>
          <w:rFonts w:hint="eastAsia" w:eastAsia="仿宋_GB2312"/>
          <w:color w:val="auto"/>
          <w:sz w:val="24"/>
          <w:highlight w:val="none"/>
          <w:u w:val="single"/>
        </w:rPr>
        <w:t>执行通用条款第5.3条</w:t>
      </w:r>
    </w:p>
    <w:p w14:paraId="5BFBBDE1">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hint="eastAsia" w:eastAsia="仿宋_GB2312"/>
          <w:color w:val="auto"/>
          <w:sz w:val="24"/>
          <w:highlight w:val="none"/>
        </w:rPr>
        <w:t>11.2隐蔽工程覆盖前的检查：</w:t>
      </w:r>
      <w:r>
        <w:rPr>
          <w:rFonts w:hint="eastAsia" w:eastAsia="仿宋_GB2312"/>
          <w:color w:val="auto"/>
          <w:sz w:val="24"/>
          <w:highlight w:val="none"/>
          <w:u w:val="single"/>
        </w:rPr>
        <w:t>未经甲方工程师批准，工程的任何部位不能覆盖，当任何部分的隐蔽工程或基础已经</w:t>
      </w:r>
      <w:r>
        <w:rPr>
          <w:rFonts w:hint="eastAsia" w:eastAsia="仿宋_GB2312"/>
          <w:b/>
          <w:color w:val="auto"/>
          <w:sz w:val="24"/>
          <w:highlight w:val="none"/>
          <w:u w:val="single"/>
        </w:rPr>
        <w:t>具备检验条件时，</w:t>
      </w:r>
      <w:r>
        <w:rPr>
          <w:rFonts w:hint="eastAsia" w:eastAsia="仿宋_GB2312"/>
          <w:color w:val="auto"/>
          <w:sz w:val="24"/>
          <w:highlight w:val="none"/>
          <w:u w:val="single"/>
        </w:rPr>
        <w:t>承包方应及时通知甲方工程师。甲方工程师在接到承包方通知48小时后没有批复，承包方可以覆盖这部分工程或基础。</w:t>
      </w:r>
    </w:p>
    <w:p w14:paraId="63B05121">
      <w:pPr>
        <w:pageBreakBefore w:val="0"/>
        <w:kinsoku/>
        <w:wordWrap/>
        <w:overflowPunct/>
        <w:topLinePunct w:val="0"/>
        <w:bidi w:val="0"/>
        <w:spacing w:line="288" w:lineRule="auto"/>
        <w:ind w:left="0" w:leftChars="0"/>
        <w:textAlignment w:val="auto"/>
        <w:rPr>
          <w:color w:val="auto"/>
          <w:sz w:val="24"/>
          <w:highlight w:val="none"/>
        </w:rPr>
      </w:pPr>
      <w:r>
        <w:rPr>
          <w:rFonts w:hint="eastAsia"/>
          <w:b/>
          <w:color w:val="auto"/>
          <w:sz w:val="24"/>
          <w:highlight w:val="none"/>
        </w:rPr>
        <w:t xml:space="preserve"> 12、</w:t>
      </w:r>
      <w:r>
        <w:rPr>
          <w:rFonts w:hint="eastAsia"/>
          <w:color w:val="auto"/>
          <w:sz w:val="24"/>
          <w:highlight w:val="none"/>
        </w:rPr>
        <w:t>工程试车</w:t>
      </w:r>
    </w:p>
    <w:p w14:paraId="7E254A82">
      <w:pPr>
        <w:pageBreakBefore w:val="0"/>
        <w:numPr>
          <w:ilvl w:val="0"/>
          <w:numId w:val="6"/>
        </w:numPr>
        <w:kinsoku/>
        <w:wordWrap/>
        <w:overflowPunct/>
        <w:topLinePunct w:val="0"/>
        <w:bidi w:val="0"/>
        <w:spacing w:line="288" w:lineRule="auto"/>
        <w:ind w:left="0" w:leftChars="0"/>
        <w:textAlignment w:val="auto"/>
        <w:rPr>
          <w:color w:val="auto"/>
          <w:sz w:val="24"/>
          <w:highlight w:val="none"/>
          <w:u w:val="single"/>
        </w:rPr>
      </w:pPr>
      <w:r>
        <w:rPr>
          <w:rFonts w:eastAsia="仿宋_GB2312"/>
          <w:color w:val="auto"/>
          <w:sz w:val="24"/>
          <w:highlight w:val="none"/>
        </w:rPr>
        <w:t>1</w:t>
      </w:r>
      <w:r>
        <w:rPr>
          <w:rFonts w:hint="eastAsia" w:eastAsia="仿宋_GB2312"/>
          <w:color w:val="auto"/>
          <w:sz w:val="24"/>
          <w:highlight w:val="none"/>
        </w:rPr>
        <w:t>2</w:t>
      </w:r>
      <w:r>
        <w:rPr>
          <w:rFonts w:eastAsia="仿宋_GB2312"/>
          <w:color w:val="auto"/>
          <w:sz w:val="24"/>
          <w:highlight w:val="none"/>
        </w:rPr>
        <w:t>.</w:t>
      </w:r>
      <w:r>
        <w:rPr>
          <w:rFonts w:hint="eastAsia" w:eastAsia="仿宋_GB2312"/>
          <w:color w:val="auto"/>
          <w:sz w:val="24"/>
          <w:highlight w:val="none"/>
        </w:rPr>
        <w:t xml:space="preserve">1试车费用的承担：   </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p>
    <w:p w14:paraId="77A8502A">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五、安全文明施工</w:t>
      </w:r>
    </w:p>
    <w:p w14:paraId="0F184DAD">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hint="eastAsia" w:eastAsia="仿宋_GB2312"/>
          <w:color w:val="auto"/>
          <w:sz w:val="24"/>
          <w:highlight w:val="none"/>
        </w:rPr>
        <w:t>13.1执行通用条款6.1条</w:t>
      </w:r>
    </w:p>
    <w:p w14:paraId="3268A769">
      <w:pPr>
        <w:pageBreakBefore w:val="0"/>
        <w:kinsoku/>
        <w:wordWrap/>
        <w:overflowPunct/>
        <w:topLinePunct w:val="0"/>
        <w:bidi w:val="0"/>
        <w:spacing w:line="288" w:lineRule="auto"/>
        <w:ind w:left="0" w:leftChars="0" w:firstLine="480"/>
        <w:textAlignment w:val="auto"/>
        <w:rPr>
          <w:rFonts w:eastAsia="仿宋_GB2312"/>
          <w:color w:val="auto"/>
          <w:sz w:val="24"/>
          <w:highlight w:val="none"/>
        </w:rPr>
      </w:pPr>
      <w:r>
        <w:rPr>
          <w:rFonts w:hint="eastAsia" w:eastAsia="仿宋_GB2312"/>
          <w:color w:val="auto"/>
          <w:sz w:val="24"/>
          <w:highlight w:val="none"/>
        </w:rPr>
        <w:t>13.2各种安全文明措施严格按照徐州市规定执行。</w:t>
      </w:r>
    </w:p>
    <w:p w14:paraId="73EB3E82">
      <w:pPr>
        <w:pageBreakBefore w:val="0"/>
        <w:kinsoku/>
        <w:wordWrap/>
        <w:overflowPunct/>
        <w:topLinePunct w:val="0"/>
        <w:bidi w:val="0"/>
        <w:spacing w:line="288" w:lineRule="auto"/>
        <w:ind w:left="0" w:leftChars="0" w:firstLine="480"/>
        <w:textAlignment w:val="auto"/>
        <w:rPr>
          <w:color w:val="auto"/>
          <w:sz w:val="24"/>
          <w:highlight w:val="none"/>
        </w:rPr>
      </w:pPr>
      <w:r>
        <w:rPr>
          <w:rFonts w:hint="eastAsia" w:eastAsia="仿宋_GB2312"/>
          <w:color w:val="auto"/>
          <w:sz w:val="24"/>
          <w:highlight w:val="none"/>
        </w:rPr>
        <w:t>13.3环境保护</w:t>
      </w:r>
      <w:r>
        <w:rPr>
          <w:rFonts w:hint="eastAsia"/>
          <w:color w:val="auto"/>
          <w:sz w:val="24"/>
          <w:highlight w:val="none"/>
        </w:rPr>
        <w:t>：</w:t>
      </w:r>
      <w:r>
        <w:rPr>
          <w:rFonts w:hint="eastAsia" w:eastAsia="仿宋_GB2312"/>
          <w:b/>
          <w:color w:val="auto"/>
          <w:sz w:val="24"/>
          <w:highlight w:val="none"/>
          <w:u w:val="single"/>
        </w:rPr>
        <w:t>垃圾堆放、外运以及</w:t>
      </w:r>
      <w:r>
        <w:rPr>
          <w:rFonts w:eastAsia="仿宋_GB2312"/>
          <w:b/>
          <w:color w:val="auto"/>
          <w:sz w:val="24"/>
          <w:highlight w:val="none"/>
          <w:u w:val="single"/>
        </w:rPr>
        <w:t>各种粉尘、废气、噪声、振动对环境的污染和危害</w:t>
      </w:r>
      <w:r>
        <w:rPr>
          <w:rFonts w:hint="eastAsia" w:eastAsia="仿宋_GB2312"/>
          <w:b/>
          <w:color w:val="auto"/>
          <w:sz w:val="24"/>
          <w:highlight w:val="none"/>
          <w:u w:val="single"/>
        </w:rPr>
        <w:t>符合环保要求，并落实保障措施。</w:t>
      </w:r>
    </w:p>
    <w:p w14:paraId="22C9F97D">
      <w:pPr>
        <w:pageBreakBefore w:val="0"/>
        <w:kinsoku/>
        <w:wordWrap/>
        <w:overflowPunct/>
        <w:topLinePunct w:val="0"/>
        <w:bidi w:val="0"/>
        <w:spacing w:line="288" w:lineRule="auto"/>
        <w:ind w:left="0" w:leftChars="0" w:firstLine="480"/>
        <w:textAlignment w:val="auto"/>
        <w:rPr>
          <w:rFonts w:eastAsia="仿宋_GB2312"/>
          <w:b/>
          <w:color w:val="auto"/>
          <w:sz w:val="24"/>
          <w:highlight w:val="none"/>
          <w:u w:val="single"/>
        </w:rPr>
      </w:pPr>
      <w:r>
        <w:rPr>
          <w:rFonts w:hint="eastAsia" w:eastAsia="仿宋_GB2312"/>
          <w:color w:val="auto"/>
          <w:sz w:val="24"/>
          <w:highlight w:val="none"/>
        </w:rPr>
        <w:t>13.4消防要求：</w:t>
      </w:r>
      <w:r>
        <w:rPr>
          <w:rFonts w:hint="eastAsia" w:eastAsia="仿宋_GB2312"/>
          <w:b/>
          <w:color w:val="auto"/>
          <w:sz w:val="24"/>
          <w:highlight w:val="none"/>
          <w:u w:val="single"/>
        </w:rPr>
        <w:t>符合徐州市消防及学校消防相关规定，各相关器材与人员到位。</w:t>
      </w:r>
    </w:p>
    <w:p w14:paraId="3974F86B">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六、合同价款及调整</w:t>
      </w:r>
    </w:p>
    <w:p w14:paraId="576AE9B3">
      <w:pPr>
        <w:pageBreakBefore w:val="0"/>
        <w:kinsoku/>
        <w:wordWrap/>
        <w:overflowPunct/>
        <w:topLinePunct w:val="0"/>
        <w:bidi w:val="0"/>
        <w:spacing w:line="288" w:lineRule="auto"/>
        <w:ind w:left="0" w:leftChars="0" w:firstLine="472" w:firstLineChars="196"/>
        <w:textAlignment w:val="auto"/>
        <w:rPr>
          <w:rFonts w:ascii="宋体" w:hAnsi="宋体"/>
          <w:b/>
          <w:color w:val="auto"/>
          <w:sz w:val="24"/>
          <w:highlight w:val="none"/>
        </w:rPr>
      </w:pPr>
      <w:r>
        <w:rPr>
          <w:rFonts w:hint="eastAsia" w:ascii="宋体" w:hAnsi="宋体"/>
          <w:b/>
          <w:color w:val="auto"/>
          <w:sz w:val="24"/>
          <w:highlight w:val="none"/>
        </w:rPr>
        <w:t>14、合同价款确认</w:t>
      </w:r>
    </w:p>
    <w:p w14:paraId="3B94672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14.1本工程采用</w:t>
      </w:r>
      <w:r>
        <w:rPr>
          <w:rFonts w:hint="eastAsia" w:eastAsia="仿宋_GB2312"/>
          <w:b/>
          <w:bCs/>
          <w:color w:val="auto"/>
          <w:sz w:val="24"/>
          <w:highlight w:val="none"/>
        </w:rPr>
        <w:t>固定单价合同</w:t>
      </w:r>
      <w:r>
        <w:rPr>
          <w:rFonts w:hint="eastAsia" w:eastAsia="仿宋_GB2312"/>
          <w:color w:val="auto"/>
          <w:sz w:val="24"/>
          <w:highlight w:val="none"/>
        </w:rPr>
        <w:t>。招标范围内所有材料价格、人工工资单价、其它费用均不调整。</w:t>
      </w:r>
    </w:p>
    <w:p w14:paraId="4745DE9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14.2现场发生合同外签证，工程变更联系单根据需要由建设单位、使用单位、施工单位、跟踪审计全过程咨询单位等多方签字；工程变更签证单须由建设单位、施工单位、跟踪审计、全过程咨询单位等多方签字确认后方可作为结算依据，否则不予认可。</w:t>
      </w:r>
    </w:p>
    <w:p w14:paraId="5E79332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14.3工程合同外签证时效性：变更方案确定后</w:t>
      </w:r>
      <w:r>
        <w:rPr>
          <w:rFonts w:hint="eastAsia" w:eastAsia="仿宋_GB2312"/>
          <w:b/>
          <w:color w:val="auto"/>
          <w:sz w:val="24"/>
          <w:highlight w:val="none"/>
        </w:rPr>
        <w:t>两日</w:t>
      </w:r>
      <w:r>
        <w:rPr>
          <w:rFonts w:hint="eastAsia" w:eastAsia="仿宋_GB2312"/>
          <w:color w:val="auto"/>
          <w:sz w:val="24"/>
          <w:highlight w:val="none"/>
        </w:rPr>
        <w:t>内上报变更联系单，</w:t>
      </w:r>
      <w:r>
        <w:rPr>
          <w:rFonts w:hint="eastAsia" w:eastAsia="仿宋_GB2312"/>
          <w:b/>
          <w:color w:val="auto"/>
          <w:sz w:val="24"/>
          <w:highlight w:val="none"/>
        </w:rPr>
        <w:t>三日</w:t>
      </w:r>
      <w:r>
        <w:rPr>
          <w:rFonts w:hint="eastAsia" w:eastAsia="仿宋_GB2312"/>
          <w:color w:val="auto"/>
          <w:sz w:val="24"/>
          <w:highlight w:val="none"/>
        </w:rPr>
        <w:t>内完成变更签证单。</w:t>
      </w:r>
    </w:p>
    <w:p w14:paraId="6AAB3E8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14.4合同价款包括的风险</w:t>
      </w:r>
    </w:p>
    <w:p w14:paraId="468A63BC">
      <w:pPr>
        <w:pageBreakBefore w:val="0"/>
        <w:kinsoku/>
        <w:wordWrap/>
        <w:overflowPunct/>
        <w:topLinePunct w:val="0"/>
        <w:bidi w:val="0"/>
        <w:spacing w:line="288" w:lineRule="auto"/>
        <w:ind w:left="600" w:leftChars="0" w:hanging="600" w:hangingChars="250"/>
        <w:textAlignment w:val="auto"/>
        <w:rPr>
          <w:rFonts w:eastAsia="仿宋_GB2312"/>
          <w:color w:val="auto"/>
          <w:sz w:val="24"/>
          <w:highlight w:val="none"/>
          <w:u w:val="single"/>
        </w:rPr>
      </w:pPr>
      <w:r>
        <w:rPr>
          <w:rFonts w:hint="eastAsia" w:eastAsia="仿宋_GB2312"/>
          <w:color w:val="auto"/>
          <w:sz w:val="24"/>
          <w:highlight w:val="none"/>
          <w:u w:val="single"/>
        </w:rPr>
        <w:t>（1）法律、行政法规等国家有关政策性调整；</w:t>
      </w:r>
    </w:p>
    <w:p w14:paraId="462100F5">
      <w:pPr>
        <w:pageBreakBefore w:val="0"/>
        <w:kinsoku/>
        <w:wordWrap/>
        <w:overflowPunct/>
        <w:topLinePunct w:val="0"/>
        <w:bidi w:val="0"/>
        <w:spacing w:line="288" w:lineRule="auto"/>
        <w:ind w:left="600" w:leftChars="0" w:hanging="600" w:hangingChars="250"/>
        <w:textAlignment w:val="auto"/>
        <w:rPr>
          <w:rFonts w:eastAsia="仿宋_GB2312"/>
          <w:color w:val="auto"/>
          <w:sz w:val="24"/>
          <w:highlight w:val="none"/>
          <w:u w:val="single"/>
        </w:rPr>
      </w:pPr>
      <w:r>
        <w:rPr>
          <w:rFonts w:hint="eastAsia" w:eastAsia="仿宋_GB2312"/>
          <w:color w:val="auto"/>
          <w:sz w:val="24"/>
          <w:highlight w:val="none"/>
          <w:u w:val="single"/>
        </w:rPr>
        <w:t>（2）工程造价部门公布的价格调整；</w:t>
      </w:r>
    </w:p>
    <w:p w14:paraId="7B2E92CA">
      <w:pPr>
        <w:pageBreakBefore w:val="0"/>
        <w:kinsoku/>
        <w:wordWrap/>
        <w:overflowPunct/>
        <w:topLinePunct w:val="0"/>
        <w:bidi w:val="0"/>
        <w:spacing w:line="288" w:lineRule="auto"/>
        <w:ind w:left="0" w:leftChars="0" w:firstLine="360" w:firstLineChars="150"/>
        <w:textAlignment w:val="auto"/>
        <w:rPr>
          <w:rFonts w:eastAsia="仿宋_GB2312"/>
          <w:color w:val="auto"/>
          <w:sz w:val="24"/>
          <w:highlight w:val="none"/>
          <w:u w:val="single"/>
        </w:rPr>
      </w:pPr>
      <w:r>
        <w:rPr>
          <w:rFonts w:hint="eastAsia" w:eastAsia="仿宋_GB2312"/>
          <w:color w:val="auto"/>
          <w:sz w:val="24"/>
          <w:highlight w:val="none"/>
          <w:u w:val="single"/>
        </w:rPr>
        <w:t>（3）材料价格风险；</w:t>
      </w:r>
      <w:r>
        <w:rPr>
          <w:rFonts w:eastAsia="仿宋_GB2312"/>
          <w:color w:val="auto"/>
          <w:sz w:val="24"/>
          <w:highlight w:val="none"/>
          <w:u w:val="single"/>
        </w:rPr>
        <w:t xml:space="preserve"> </w:t>
      </w:r>
    </w:p>
    <w:p w14:paraId="44C23CC7">
      <w:pPr>
        <w:pageBreakBefore w:val="0"/>
        <w:kinsoku/>
        <w:wordWrap/>
        <w:overflowPunct/>
        <w:topLinePunct w:val="0"/>
        <w:bidi w:val="0"/>
        <w:spacing w:line="288" w:lineRule="auto"/>
        <w:ind w:left="0" w:leftChars="0" w:firstLine="360" w:firstLineChars="150"/>
        <w:textAlignment w:val="auto"/>
        <w:rPr>
          <w:rFonts w:eastAsia="仿宋_GB2312"/>
          <w:color w:val="auto"/>
          <w:sz w:val="24"/>
          <w:highlight w:val="none"/>
          <w:u w:val="single"/>
        </w:rPr>
      </w:pPr>
      <w:r>
        <w:rPr>
          <w:rFonts w:hint="eastAsia" w:eastAsia="仿宋_GB2312"/>
          <w:color w:val="auto"/>
          <w:sz w:val="24"/>
          <w:highlight w:val="none"/>
          <w:u w:val="single"/>
        </w:rPr>
        <w:t>（4）一周内非承包人原因导致停水、停电造成停工累计超过8小时；</w:t>
      </w:r>
    </w:p>
    <w:p w14:paraId="6AA27F9F">
      <w:pPr>
        <w:pageBreakBefore w:val="0"/>
        <w:kinsoku/>
        <w:wordWrap/>
        <w:overflowPunct/>
        <w:topLinePunct w:val="0"/>
        <w:bidi w:val="0"/>
        <w:spacing w:line="288" w:lineRule="auto"/>
        <w:ind w:left="0" w:leftChars="0" w:firstLine="360" w:firstLineChars="150"/>
        <w:textAlignment w:val="auto"/>
        <w:rPr>
          <w:rFonts w:eastAsia="仿宋_GB2312"/>
          <w:color w:val="auto"/>
          <w:sz w:val="24"/>
          <w:highlight w:val="none"/>
          <w:u w:val="single"/>
        </w:rPr>
      </w:pPr>
      <w:r>
        <w:rPr>
          <w:rFonts w:hint="eastAsia" w:eastAsia="仿宋_GB2312"/>
          <w:color w:val="auto"/>
          <w:sz w:val="24"/>
          <w:highlight w:val="none"/>
          <w:u w:val="single"/>
        </w:rPr>
        <w:t>（5）因发包人原因或重大设计变更造成停工引起的机械停置费、人员误工费；</w:t>
      </w:r>
    </w:p>
    <w:p w14:paraId="7706F516">
      <w:pPr>
        <w:pageBreakBefore w:val="0"/>
        <w:kinsoku/>
        <w:wordWrap/>
        <w:overflowPunct/>
        <w:topLinePunct w:val="0"/>
        <w:bidi w:val="0"/>
        <w:spacing w:line="288" w:lineRule="auto"/>
        <w:ind w:left="0" w:leftChars="0" w:firstLine="360" w:firstLineChars="150"/>
        <w:textAlignment w:val="auto"/>
        <w:rPr>
          <w:rFonts w:eastAsia="仿宋_GB2312"/>
          <w:color w:val="auto"/>
          <w:sz w:val="24"/>
          <w:highlight w:val="none"/>
          <w:u w:val="single"/>
        </w:rPr>
      </w:pPr>
      <w:r>
        <w:rPr>
          <w:rFonts w:hint="eastAsia" w:eastAsia="仿宋_GB2312"/>
          <w:color w:val="auto"/>
          <w:sz w:val="24"/>
          <w:highlight w:val="none"/>
          <w:u w:val="single"/>
        </w:rPr>
        <w:t>（6）招标文件与合同约定的责任与风险</w:t>
      </w:r>
    </w:p>
    <w:p w14:paraId="60F556A2">
      <w:pPr>
        <w:pageBreakBefore w:val="0"/>
        <w:kinsoku/>
        <w:wordWrap/>
        <w:overflowPunct/>
        <w:topLinePunct w:val="0"/>
        <w:bidi w:val="0"/>
        <w:spacing w:line="288" w:lineRule="auto"/>
        <w:ind w:left="0" w:leftChars="0" w:firstLine="472" w:firstLineChars="196"/>
        <w:textAlignment w:val="auto"/>
        <w:rPr>
          <w:rFonts w:ascii="宋体" w:hAnsi="宋体"/>
          <w:b/>
          <w:color w:val="auto"/>
          <w:sz w:val="24"/>
          <w:highlight w:val="none"/>
        </w:rPr>
      </w:pPr>
      <w:r>
        <w:rPr>
          <w:rFonts w:hint="eastAsia" w:ascii="宋体" w:hAnsi="宋体"/>
          <w:b/>
          <w:color w:val="auto"/>
          <w:sz w:val="24"/>
          <w:highlight w:val="none"/>
        </w:rPr>
        <w:t>15、工程价款调整</w:t>
      </w:r>
    </w:p>
    <w:p w14:paraId="3F09789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15.1结算时应严格按相关计价表及计价规范的要求，并结合文件（施工图纸）、施工规范、施工方案编制结算资料。投标人报价中的综合单价，不论对其项目特征是否描述完整，均被认为已包括为完成计价规范中对应项目编码和项目名称的项目所应作的所有工作内容，设计图纸内的全部内容被认为综合在工程量清单中各项工作内容中。</w:t>
      </w:r>
    </w:p>
    <w:p w14:paraId="69651139">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    15.2 竣工结算的工程量按承发包双方在合同中约定应予计量且实际完成的工程量确定，完成发包人要求的合同以外的零星工作或发生非承包人责任事件的工程量按现场签证确定，材料认质认价双方另行约定。</w:t>
      </w:r>
    </w:p>
    <w:p w14:paraId="6552B104">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15.3当工程量清单项目工程量的变化幅度超过10%，且其影响分部分项工程费超过0.1%时，应由承包人在10日内以书面的形式提出工程价款调整要求，由承包人以书面的形式提出增加部分的工程量或减少后剩余部分的工程量的综合单价调整意见，经发包人书面确认后作为结算的依据。承包人和发包人均未以书面形式提出增加部分的工程量或减少后剩余部分的工程量的综合单价调整意见时，均执行原中标综合单价。</w:t>
      </w:r>
    </w:p>
    <w:p w14:paraId="305DC33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15.4因工程变更，造成施工组织设计或施工方案变更，引起措施项目发生变化时，措施项目费不予调整。</w:t>
      </w:r>
    </w:p>
    <w:p w14:paraId="1816E9E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15.5 本工程若发生变更或清单漏项引起新增工程量，其相应综合单价按招标文件规定的招标预算计价编制办法计算，在其基础上下浮9%进行结算。</w:t>
      </w:r>
    </w:p>
    <w:p w14:paraId="4217087F">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16、工程预付款</w:t>
      </w:r>
    </w:p>
    <w:p w14:paraId="08ADCCFA">
      <w:pPr>
        <w:pageBreakBefore w:val="0"/>
        <w:kinsoku/>
        <w:wordWrap/>
        <w:overflowPunct/>
        <w:topLinePunct w:val="0"/>
        <w:bidi w:val="0"/>
        <w:spacing w:line="288" w:lineRule="auto"/>
        <w:ind w:left="0" w:leftChars="0" w:firstLine="480"/>
        <w:textAlignment w:val="auto"/>
        <w:rPr>
          <w:rFonts w:eastAsia="仿宋_GB2312"/>
          <w:color w:val="auto"/>
          <w:sz w:val="24"/>
          <w:highlight w:val="none"/>
          <w:u w:val="single"/>
        </w:rPr>
      </w:pPr>
      <w:r>
        <w:rPr>
          <w:rFonts w:hint="eastAsia" w:eastAsia="仿宋_GB2312"/>
          <w:color w:val="auto"/>
          <w:sz w:val="24"/>
          <w:highlight w:val="none"/>
        </w:rPr>
        <w:t>发包人向承包人预付工程款的时间和金额或占合同价款总额的比例：</w:t>
      </w:r>
      <w:r>
        <w:rPr>
          <w:rFonts w:hint="eastAsia" w:eastAsia="仿宋_GB2312"/>
          <w:color w:val="auto"/>
          <w:sz w:val="24"/>
          <w:highlight w:val="none"/>
          <w:u w:val="single"/>
        </w:rPr>
        <w:t>本工程无预付款</w:t>
      </w:r>
    </w:p>
    <w:p w14:paraId="0E9D4853">
      <w:pPr>
        <w:pageBreakBefore w:val="0"/>
        <w:kinsoku/>
        <w:wordWrap/>
        <w:overflowPunct/>
        <w:topLinePunct w:val="0"/>
        <w:bidi w:val="0"/>
        <w:spacing w:line="288" w:lineRule="auto"/>
        <w:ind w:left="0" w:leftChars="0" w:firstLine="480"/>
        <w:textAlignment w:val="auto"/>
        <w:rPr>
          <w:color w:val="auto"/>
          <w:sz w:val="24"/>
          <w:highlight w:val="none"/>
          <w:u w:val="single"/>
        </w:rPr>
      </w:pPr>
      <w:r>
        <w:rPr>
          <w:rFonts w:hint="eastAsia" w:eastAsia="仿宋_GB2312"/>
          <w:color w:val="auto"/>
          <w:sz w:val="24"/>
          <w:highlight w:val="none"/>
        </w:rPr>
        <w:t xml:space="preserve">扣回工程款的时间、比例： </w:t>
      </w:r>
      <w:r>
        <w:rPr>
          <w:rFonts w:hint="eastAsia" w:eastAsia="仿宋_GB2312"/>
          <w:color w:val="auto"/>
          <w:sz w:val="24"/>
          <w:highlight w:val="none"/>
          <w:u w:val="single"/>
        </w:rPr>
        <w:t xml:space="preserve">        /           </w:t>
      </w:r>
    </w:p>
    <w:p w14:paraId="42EC3FCA">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17、工程量确认</w:t>
      </w:r>
    </w:p>
    <w:p w14:paraId="7C580597">
      <w:pPr>
        <w:pageBreakBefore w:val="0"/>
        <w:kinsoku/>
        <w:wordWrap/>
        <w:overflowPunct/>
        <w:topLinePunct w:val="0"/>
        <w:bidi w:val="0"/>
        <w:spacing w:line="288" w:lineRule="auto"/>
        <w:ind w:left="0" w:leftChars="0"/>
        <w:textAlignment w:val="auto"/>
        <w:rPr>
          <w:b/>
          <w:color w:val="auto"/>
          <w:sz w:val="24"/>
          <w:highlight w:val="none"/>
          <w:u w:val="single"/>
        </w:rPr>
      </w:pPr>
      <w:r>
        <w:rPr>
          <w:rFonts w:hint="eastAsia"/>
          <w:color w:val="auto"/>
          <w:sz w:val="24"/>
          <w:highlight w:val="none"/>
        </w:rPr>
        <w:t xml:space="preserve">  </w:t>
      </w:r>
      <w:r>
        <w:rPr>
          <w:rFonts w:hint="eastAsia" w:eastAsia="仿宋_GB2312"/>
          <w:color w:val="auto"/>
          <w:sz w:val="24"/>
          <w:highlight w:val="none"/>
        </w:rPr>
        <w:t xml:space="preserve">  17</w:t>
      </w:r>
      <w:r>
        <w:rPr>
          <w:rFonts w:eastAsia="仿宋_GB2312"/>
          <w:color w:val="auto"/>
          <w:sz w:val="24"/>
          <w:highlight w:val="none"/>
        </w:rPr>
        <w:t>.1</w:t>
      </w:r>
      <w:r>
        <w:rPr>
          <w:rFonts w:hint="eastAsia" w:eastAsia="仿宋_GB2312"/>
          <w:color w:val="auto"/>
          <w:sz w:val="24"/>
          <w:highlight w:val="none"/>
        </w:rPr>
        <w:t>承包人向工程师提交已完工程量报告的时间：</w:t>
      </w:r>
      <w:r>
        <w:rPr>
          <w:rFonts w:hint="eastAsia" w:eastAsia="仿宋_GB2312"/>
          <w:b/>
          <w:color w:val="auto"/>
          <w:sz w:val="24"/>
          <w:highlight w:val="none"/>
          <w:u w:val="single"/>
        </w:rPr>
        <w:t>工程竣工验收申请前一周。</w:t>
      </w:r>
    </w:p>
    <w:p w14:paraId="57DB708F">
      <w:pPr>
        <w:pageBreakBefore w:val="0"/>
        <w:kinsoku/>
        <w:wordWrap/>
        <w:overflowPunct/>
        <w:topLinePunct w:val="0"/>
        <w:bidi w:val="0"/>
        <w:spacing w:line="288" w:lineRule="auto"/>
        <w:ind w:left="0" w:leftChars="0" w:firstLine="241" w:firstLineChars="100"/>
        <w:textAlignment w:val="auto"/>
        <w:rPr>
          <w:b/>
          <w:color w:val="auto"/>
          <w:sz w:val="24"/>
          <w:highlight w:val="none"/>
        </w:rPr>
      </w:pPr>
      <w:r>
        <w:rPr>
          <w:rFonts w:hint="eastAsia"/>
          <w:b/>
          <w:color w:val="auto"/>
          <w:sz w:val="24"/>
          <w:highlight w:val="none"/>
        </w:rPr>
        <w:t xml:space="preserve">  18、工程款（进度款）支付</w:t>
      </w:r>
    </w:p>
    <w:p w14:paraId="1879FDC9">
      <w:pPr>
        <w:pageBreakBefore w:val="0"/>
        <w:kinsoku/>
        <w:wordWrap/>
        <w:overflowPunct/>
        <w:topLinePunct w:val="0"/>
        <w:bidi w:val="0"/>
        <w:spacing w:line="288" w:lineRule="auto"/>
        <w:ind w:left="0" w:leftChars="0" w:firstLine="482" w:firstLineChars="200"/>
        <w:textAlignment w:val="auto"/>
        <w:rPr>
          <w:rFonts w:eastAsia="仿宋_GB2312"/>
          <w:b/>
          <w:color w:val="auto"/>
          <w:sz w:val="24"/>
          <w:highlight w:val="none"/>
          <w:u w:val="single"/>
        </w:rPr>
      </w:pPr>
      <w:r>
        <w:rPr>
          <w:rFonts w:hint="eastAsia" w:eastAsia="仿宋_GB2312"/>
          <w:b/>
          <w:color w:val="auto"/>
          <w:sz w:val="24"/>
          <w:highlight w:val="none"/>
          <w:u w:val="single"/>
        </w:rPr>
        <w:t>18.1乙方在签订合同前须向甲方缴纳成交金额的3%作为履约保证金。</w:t>
      </w:r>
    </w:p>
    <w:p w14:paraId="1B09C7B6">
      <w:pPr>
        <w:pageBreakBefore w:val="0"/>
        <w:kinsoku/>
        <w:wordWrap/>
        <w:overflowPunct/>
        <w:topLinePunct w:val="0"/>
        <w:bidi w:val="0"/>
        <w:spacing w:line="288" w:lineRule="auto"/>
        <w:ind w:left="0" w:leftChars="0" w:firstLine="482" w:firstLineChars="200"/>
        <w:textAlignment w:val="auto"/>
        <w:rPr>
          <w:rFonts w:eastAsia="仿宋_GB2312"/>
          <w:b/>
          <w:color w:val="auto"/>
          <w:sz w:val="24"/>
          <w:highlight w:val="none"/>
          <w:u w:val="single"/>
        </w:rPr>
      </w:pPr>
      <w:r>
        <w:rPr>
          <w:rFonts w:hint="eastAsia" w:eastAsia="仿宋_GB2312"/>
          <w:b/>
          <w:color w:val="auto"/>
          <w:sz w:val="24"/>
          <w:highlight w:val="none"/>
          <w:u w:val="single"/>
        </w:rPr>
        <w:t>履约保证金的返还：待缺陷责任期满后按甲方支付流程启动履约保证金返还程序无息退还。</w:t>
      </w:r>
    </w:p>
    <w:p w14:paraId="613F53BA">
      <w:pPr>
        <w:pageBreakBefore w:val="0"/>
        <w:kinsoku/>
        <w:wordWrap/>
        <w:overflowPunct/>
        <w:topLinePunct w:val="0"/>
        <w:bidi w:val="0"/>
        <w:spacing w:line="288" w:lineRule="auto"/>
        <w:ind w:left="0" w:leftChars="0" w:firstLine="482" w:firstLineChars="200"/>
        <w:textAlignment w:val="auto"/>
        <w:rPr>
          <w:rFonts w:eastAsia="仿宋_GB2312"/>
          <w:b/>
          <w:color w:val="auto"/>
          <w:sz w:val="24"/>
          <w:highlight w:val="none"/>
          <w:u w:val="single"/>
        </w:rPr>
      </w:pPr>
      <w:r>
        <w:rPr>
          <w:rFonts w:hint="eastAsia" w:eastAsia="仿宋_GB2312"/>
          <w:b/>
          <w:color w:val="auto"/>
          <w:sz w:val="24"/>
          <w:highlight w:val="none"/>
          <w:u w:val="single"/>
        </w:rPr>
        <w:t>18.2本工程资金已落实，本工程无预付款，工程验收合格后，按甲方支付流程启动支付合同价70%（扣除暂列金额）付款程序，结算审计完成后按甲方支付流程启动付至审计审定价100%付款程序。</w:t>
      </w:r>
    </w:p>
    <w:p w14:paraId="557BF2C4">
      <w:pPr>
        <w:pageBreakBefore w:val="0"/>
        <w:kinsoku/>
        <w:wordWrap/>
        <w:overflowPunct/>
        <w:topLinePunct w:val="0"/>
        <w:bidi w:val="0"/>
        <w:spacing w:line="288" w:lineRule="auto"/>
        <w:ind w:left="0" w:leftChars="0" w:firstLine="480" w:firstLineChars="200"/>
        <w:textAlignment w:val="auto"/>
        <w:rPr>
          <w:rFonts w:eastAsia="仿宋_GB2312"/>
          <w:bCs/>
          <w:color w:val="auto"/>
          <w:sz w:val="24"/>
          <w:highlight w:val="none"/>
        </w:rPr>
      </w:pPr>
      <w:r>
        <w:rPr>
          <w:rFonts w:hint="eastAsia" w:eastAsia="仿宋_GB2312"/>
          <w:bCs/>
          <w:color w:val="auto"/>
          <w:sz w:val="24"/>
          <w:highlight w:val="none"/>
        </w:rPr>
        <w:t>18.3支付前，乙方必须提供相应发票，未提供相应发票前，甲方有权拒绝支付。</w:t>
      </w:r>
    </w:p>
    <w:p w14:paraId="0F1D2E23">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七、材料设备供应</w:t>
      </w:r>
    </w:p>
    <w:p w14:paraId="6D7F9B86">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19、发包人供应材料设备</w:t>
      </w:r>
    </w:p>
    <w:p w14:paraId="537E6754">
      <w:pPr>
        <w:pageBreakBefore w:val="0"/>
        <w:kinsoku/>
        <w:wordWrap/>
        <w:overflowPunct/>
        <w:topLinePunct w:val="0"/>
        <w:bidi w:val="0"/>
        <w:spacing w:line="288" w:lineRule="auto"/>
        <w:ind w:left="0" w:leftChars="0"/>
        <w:textAlignment w:val="auto"/>
        <w:rPr>
          <w:color w:val="auto"/>
          <w:sz w:val="24"/>
          <w:highlight w:val="none"/>
        </w:rPr>
      </w:pPr>
      <w:r>
        <w:rPr>
          <w:rFonts w:hint="eastAsia"/>
          <w:color w:val="auto"/>
          <w:sz w:val="24"/>
          <w:highlight w:val="none"/>
        </w:rPr>
        <w:t xml:space="preserve">   </w:t>
      </w:r>
      <w:r>
        <w:rPr>
          <w:rFonts w:hint="eastAsia" w:eastAsia="仿宋_GB2312"/>
          <w:color w:val="auto"/>
          <w:sz w:val="24"/>
          <w:highlight w:val="none"/>
        </w:rPr>
        <w:t xml:space="preserve"> 19</w:t>
      </w:r>
      <w:r>
        <w:rPr>
          <w:rFonts w:eastAsia="仿宋_GB2312"/>
          <w:color w:val="auto"/>
          <w:sz w:val="24"/>
          <w:highlight w:val="none"/>
        </w:rPr>
        <w:t>.</w:t>
      </w:r>
      <w:r>
        <w:rPr>
          <w:rFonts w:hint="eastAsia" w:eastAsia="仿宋_GB2312"/>
          <w:color w:val="auto"/>
          <w:sz w:val="24"/>
          <w:highlight w:val="none"/>
        </w:rPr>
        <w:t>1发包人供应的材料设备与一览表不符时，双方约定发包人承担责任如下：</w:t>
      </w:r>
    </w:p>
    <w:p w14:paraId="334EE0E7">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（1）材料设备单价与一览表不符：执行通用条款8.3.1条</w:t>
      </w:r>
    </w:p>
    <w:p w14:paraId="7416BA28">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（2）材料设备的品种、规格、型号、质量等级与一览表不符：执行通用条款8.3.1条</w:t>
      </w:r>
    </w:p>
    <w:p w14:paraId="26F0923C">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（3）承包人可代为调剂串换的材料：执行通用条款8.3.1条</w:t>
      </w:r>
    </w:p>
    <w:p w14:paraId="7626CB74">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（4）到货地点与一览表不符：执行通用条款8.3.1条</w:t>
      </w:r>
    </w:p>
    <w:p w14:paraId="4958222B">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（5）供应数量与一览表不符：执行通用条款8.3.1条</w:t>
      </w:r>
    </w:p>
    <w:p w14:paraId="55239D5E">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u w:val="single"/>
        </w:rPr>
        <w:t>（6）到货时间与一览表不符：执行通用条款8.3.1条</w:t>
      </w:r>
    </w:p>
    <w:p w14:paraId="5258FF81">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20、承包人采购材料设备</w:t>
      </w:r>
    </w:p>
    <w:p w14:paraId="3B4EE855">
      <w:pPr>
        <w:pageBreakBefore w:val="0"/>
        <w:kinsoku/>
        <w:wordWrap/>
        <w:overflowPunct/>
        <w:topLinePunct w:val="0"/>
        <w:bidi w:val="0"/>
        <w:spacing w:line="288" w:lineRule="auto"/>
        <w:ind w:left="0" w:leftChars="0"/>
        <w:textAlignment w:val="auto"/>
        <w:rPr>
          <w:color w:val="auto"/>
          <w:sz w:val="24"/>
          <w:highlight w:val="none"/>
          <w:u w:val="single"/>
        </w:rPr>
      </w:pPr>
      <w:r>
        <w:rPr>
          <w:rFonts w:hint="eastAsia"/>
          <w:color w:val="auto"/>
          <w:sz w:val="24"/>
          <w:highlight w:val="none"/>
        </w:rPr>
        <w:t xml:space="preserve"> </w:t>
      </w:r>
      <w:r>
        <w:rPr>
          <w:rFonts w:hint="eastAsia" w:eastAsia="仿宋_GB2312"/>
          <w:color w:val="auto"/>
          <w:sz w:val="24"/>
          <w:highlight w:val="none"/>
        </w:rPr>
        <w:t xml:space="preserve">   20</w:t>
      </w:r>
      <w:r>
        <w:rPr>
          <w:rFonts w:eastAsia="仿宋_GB2312"/>
          <w:color w:val="auto"/>
          <w:sz w:val="24"/>
          <w:highlight w:val="none"/>
        </w:rPr>
        <w:t>.1</w:t>
      </w:r>
      <w:r>
        <w:rPr>
          <w:rFonts w:hint="eastAsia" w:eastAsia="仿宋_GB2312"/>
          <w:color w:val="auto"/>
          <w:sz w:val="24"/>
          <w:highlight w:val="none"/>
        </w:rPr>
        <w:t>承包人采购材料设备的约定：</w:t>
      </w:r>
      <w:r>
        <w:rPr>
          <w:rFonts w:hint="eastAsia" w:eastAsia="仿宋_GB2312"/>
          <w:color w:val="auto"/>
          <w:sz w:val="24"/>
          <w:highlight w:val="none"/>
          <w:u w:val="single"/>
        </w:rPr>
        <w:t>执行通用条款第8.4.2条。</w:t>
      </w:r>
    </w:p>
    <w:p w14:paraId="5D33D101">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八、人工、材料价格调整</w:t>
      </w:r>
    </w:p>
    <w:p w14:paraId="27E6022F">
      <w:pPr>
        <w:pageBreakBefore w:val="0"/>
        <w:kinsoku/>
        <w:wordWrap/>
        <w:overflowPunct/>
        <w:topLinePunct w:val="0"/>
        <w:bidi w:val="0"/>
        <w:spacing w:line="288" w:lineRule="auto"/>
        <w:ind w:left="0" w:leftChars="0" w:firstLine="482" w:firstLineChars="200"/>
        <w:textAlignment w:val="auto"/>
        <w:rPr>
          <w:rFonts w:eastAsia="仿宋_GB2312"/>
          <w:b/>
          <w:color w:val="auto"/>
          <w:sz w:val="24"/>
          <w:highlight w:val="none"/>
        </w:rPr>
      </w:pPr>
      <w:r>
        <w:rPr>
          <w:rFonts w:hint="eastAsia" w:eastAsia="仿宋_GB2312"/>
          <w:b/>
          <w:color w:val="auto"/>
          <w:sz w:val="24"/>
          <w:highlight w:val="none"/>
        </w:rPr>
        <w:t>市场材料价格波动引起工程材料价格变动：承包人投标时应充分考虑市场材料价格波动导致的风险，结算时不予调整。因发包人原因造成延期开工超过两个月的且主要材料价格波动超过20%的，主要材料价格予以调整，主要材料下降时按投标价执行；价格上涨时，按投标价*（开工月份信息价/清单编制月份信息价）进行调整。</w:t>
      </w:r>
    </w:p>
    <w:p w14:paraId="3DEE915A">
      <w:pPr>
        <w:pageBreakBefore w:val="0"/>
        <w:kinsoku/>
        <w:wordWrap/>
        <w:overflowPunct/>
        <w:topLinePunct w:val="0"/>
        <w:bidi w:val="0"/>
        <w:spacing w:line="288" w:lineRule="auto"/>
        <w:ind w:left="0" w:leftChars="0" w:firstLine="482" w:firstLineChars="200"/>
        <w:textAlignment w:val="auto"/>
        <w:rPr>
          <w:color w:val="auto"/>
          <w:highlight w:val="none"/>
        </w:rPr>
      </w:pPr>
      <w:r>
        <w:rPr>
          <w:rFonts w:hint="eastAsia" w:eastAsia="仿宋_GB2312"/>
          <w:b/>
          <w:color w:val="auto"/>
          <w:sz w:val="24"/>
          <w:highlight w:val="none"/>
        </w:rPr>
        <w:t xml:space="preserve">人工费不予调整 。   </w:t>
      </w:r>
    </w:p>
    <w:p w14:paraId="044B0017">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九、竣工验收与质保</w:t>
      </w:r>
    </w:p>
    <w:p w14:paraId="4C4F3664">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21、竣工验收</w:t>
      </w:r>
    </w:p>
    <w:p w14:paraId="15E67179">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color w:val="auto"/>
          <w:sz w:val="24"/>
          <w:highlight w:val="none"/>
        </w:rPr>
        <w:t xml:space="preserve">    </w:t>
      </w:r>
      <w:r>
        <w:rPr>
          <w:rFonts w:hint="eastAsia" w:eastAsia="仿宋_GB2312"/>
          <w:color w:val="auto"/>
          <w:sz w:val="24"/>
          <w:highlight w:val="none"/>
        </w:rPr>
        <w:t>21</w:t>
      </w:r>
      <w:r>
        <w:rPr>
          <w:rFonts w:eastAsia="仿宋_GB2312"/>
          <w:color w:val="auto"/>
          <w:sz w:val="24"/>
          <w:highlight w:val="none"/>
        </w:rPr>
        <w:t>.1</w:t>
      </w:r>
      <w:r>
        <w:rPr>
          <w:rFonts w:hint="eastAsia" w:eastAsia="仿宋_GB2312"/>
          <w:color w:val="auto"/>
          <w:sz w:val="24"/>
          <w:highlight w:val="none"/>
        </w:rPr>
        <w:t>承包人提供竣工图的约定：工程竣工验收合格后一周内。</w:t>
      </w:r>
    </w:p>
    <w:p w14:paraId="449BEBF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21</w:t>
      </w:r>
      <w:r>
        <w:rPr>
          <w:rFonts w:eastAsia="仿宋_GB2312"/>
          <w:color w:val="auto"/>
          <w:sz w:val="24"/>
          <w:highlight w:val="none"/>
        </w:rPr>
        <w:t>.</w:t>
      </w:r>
      <w:r>
        <w:rPr>
          <w:rFonts w:hint="eastAsia" w:eastAsia="仿宋_GB2312"/>
          <w:color w:val="auto"/>
          <w:sz w:val="24"/>
          <w:highlight w:val="none"/>
        </w:rPr>
        <w:t>2中间交工工程的范围和竣工时间：</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p>
    <w:p w14:paraId="2CB79D93">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22、质量保修</w:t>
      </w:r>
    </w:p>
    <w:p w14:paraId="1B24D125">
      <w:pPr>
        <w:pageBreakBefore w:val="0"/>
        <w:kinsoku/>
        <w:wordWrap/>
        <w:overflowPunct/>
        <w:topLinePunct w:val="0"/>
        <w:bidi w:val="0"/>
        <w:spacing w:line="288" w:lineRule="auto"/>
        <w:ind w:left="0" w:leftChars="0"/>
        <w:textAlignment w:val="auto"/>
        <w:rPr>
          <w:rFonts w:eastAsia="仿宋_GB2312"/>
          <w:b/>
          <w:color w:val="auto"/>
          <w:sz w:val="24"/>
          <w:highlight w:val="none"/>
          <w:u w:val="single"/>
        </w:rPr>
      </w:pPr>
      <w:r>
        <w:rPr>
          <w:rFonts w:hint="eastAsia" w:eastAsia="仿宋_GB2312"/>
          <w:b/>
          <w:color w:val="auto"/>
          <w:sz w:val="24"/>
          <w:highlight w:val="none"/>
        </w:rPr>
        <w:t>质量保修期：本工程质量保修期为</w:t>
      </w:r>
      <w:r>
        <w:rPr>
          <w:rFonts w:hint="eastAsia" w:eastAsia="仿宋_GB2312"/>
          <w:b/>
          <w:color w:val="auto"/>
          <w:sz w:val="24"/>
          <w:highlight w:val="none"/>
          <w:u w:val="single"/>
        </w:rPr>
        <w:t xml:space="preserve">  </w:t>
      </w:r>
      <w:r>
        <w:rPr>
          <w:rFonts w:hint="eastAsia" w:eastAsia="仿宋_GB2312"/>
          <w:b/>
          <w:color w:val="auto"/>
          <w:sz w:val="24"/>
          <w:highlight w:val="none"/>
        </w:rPr>
        <w:t>年，有关防水要求的内容为</w:t>
      </w:r>
      <w:r>
        <w:rPr>
          <w:rFonts w:hint="eastAsia" w:eastAsia="仿宋_GB2312"/>
          <w:b/>
          <w:color w:val="auto"/>
          <w:sz w:val="24"/>
          <w:highlight w:val="none"/>
          <w:u w:val="single"/>
        </w:rPr>
        <w:t xml:space="preserve">   </w:t>
      </w:r>
      <w:r>
        <w:rPr>
          <w:rFonts w:hint="eastAsia" w:eastAsia="仿宋_GB2312"/>
          <w:b/>
          <w:color w:val="auto"/>
          <w:sz w:val="24"/>
          <w:highlight w:val="none"/>
        </w:rPr>
        <w:t>年。</w:t>
      </w:r>
    </w:p>
    <w:p w14:paraId="6E782984">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十、违约、索赔和争议</w:t>
      </w:r>
    </w:p>
    <w:p w14:paraId="12DDAC2F">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23、违约</w:t>
      </w:r>
    </w:p>
    <w:p w14:paraId="5D234B08">
      <w:pPr>
        <w:pageBreakBefore w:val="0"/>
        <w:kinsoku/>
        <w:wordWrap/>
        <w:overflowPunct/>
        <w:topLinePunct w:val="0"/>
        <w:bidi w:val="0"/>
        <w:spacing w:line="288" w:lineRule="auto"/>
        <w:ind w:left="0" w:leftChars="0"/>
        <w:textAlignment w:val="auto"/>
        <w:rPr>
          <w:color w:val="auto"/>
          <w:sz w:val="24"/>
          <w:highlight w:val="none"/>
        </w:rPr>
      </w:pPr>
      <w:r>
        <w:rPr>
          <w:rFonts w:hint="eastAsia"/>
          <w:color w:val="auto"/>
          <w:sz w:val="24"/>
          <w:highlight w:val="none"/>
        </w:rPr>
        <w:t xml:space="preserve">    23</w:t>
      </w:r>
      <w:r>
        <w:rPr>
          <w:color w:val="auto"/>
          <w:sz w:val="24"/>
          <w:highlight w:val="none"/>
        </w:rPr>
        <w:t>.1</w:t>
      </w:r>
      <w:r>
        <w:rPr>
          <w:rFonts w:hint="eastAsia"/>
          <w:color w:val="auto"/>
          <w:sz w:val="24"/>
          <w:highlight w:val="none"/>
        </w:rPr>
        <w:t>本合同中关于发包人违约的具体责任如下：</w:t>
      </w:r>
    </w:p>
    <w:p w14:paraId="2E026872">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（1）本合同通用条款第16.1条约定发包人违约应承担的违约责任：执行通用条款。</w:t>
      </w:r>
    </w:p>
    <w:p w14:paraId="2D6D9E87">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（2）本合同通用条款第16.1.2款约定发包人违约应承担的违约责任。</w:t>
      </w:r>
    </w:p>
    <w:p w14:paraId="616774F6">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rPr>
        <w:t>（4）双方约定的发包人其他违约责任：</w:t>
      </w:r>
      <w:r>
        <w:rPr>
          <w:rFonts w:hint="eastAsia" w:eastAsia="仿宋_GB2312"/>
          <w:color w:val="auto"/>
          <w:sz w:val="24"/>
          <w:highlight w:val="none"/>
          <w:u w:val="single"/>
        </w:rPr>
        <w:t xml:space="preserve">  /  </w:t>
      </w:r>
    </w:p>
    <w:p w14:paraId="58FEEBFD">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    23</w:t>
      </w:r>
      <w:r>
        <w:rPr>
          <w:rFonts w:eastAsia="仿宋_GB2312"/>
          <w:color w:val="auto"/>
          <w:sz w:val="24"/>
          <w:highlight w:val="none"/>
        </w:rPr>
        <w:t>.2</w:t>
      </w:r>
      <w:r>
        <w:rPr>
          <w:rFonts w:hint="eastAsia" w:eastAsia="仿宋_GB2312"/>
          <w:color w:val="auto"/>
          <w:sz w:val="24"/>
          <w:highlight w:val="none"/>
        </w:rPr>
        <w:t>本合同中关于承包人违约的具体责任如下：</w:t>
      </w:r>
    </w:p>
    <w:p w14:paraId="46B034F5">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（1）本合同通用条款第</w:t>
      </w:r>
      <w:r>
        <w:rPr>
          <w:rFonts w:eastAsia="仿宋_GB2312"/>
          <w:color w:val="auto"/>
          <w:sz w:val="24"/>
          <w:highlight w:val="none"/>
        </w:rPr>
        <w:t>16.2.2</w:t>
      </w:r>
      <w:r>
        <w:rPr>
          <w:rFonts w:hint="eastAsia" w:eastAsia="仿宋_GB2312"/>
          <w:color w:val="auto"/>
          <w:sz w:val="24"/>
          <w:highlight w:val="none"/>
        </w:rPr>
        <w:t>款约定承包人违约应承担的违约责任：：每拖延一天按合同总价款的千分之一计算违约金。发包人可以从工程支付款中直接扣除。</w:t>
      </w:r>
    </w:p>
    <w:p w14:paraId="70EC71FE">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rPr>
        <w:t>（2）本合同通用条款第</w:t>
      </w:r>
      <w:r>
        <w:rPr>
          <w:rFonts w:eastAsia="仿宋_GB2312"/>
          <w:color w:val="auto"/>
          <w:sz w:val="24"/>
          <w:highlight w:val="none"/>
        </w:rPr>
        <w:t>16.2.2</w:t>
      </w:r>
      <w:r>
        <w:rPr>
          <w:rFonts w:hint="eastAsia" w:eastAsia="仿宋_GB2312"/>
          <w:color w:val="auto"/>
          <w:sz w:val="24"/>
          <w:highlight w:val="none"/>
        </w:rPr>
        <w:t>款约定承包人违约应承担的违约责任：</w:t>
      </w:r>
      <w:r>
        <w:rPr>
          <w:rFonts w:hint="eastAsia" w:eastAsia="仿宋_GB2312"/>
          <w:color w:val="auto"/>
          <w:sz w:val="24"/>
          <w:highlight w:val="none"/>
          <w:u w:val="single"/>
        </w:rPr>
        <w:t xml:space="preserve"> / </w:t>
      </w:r>
    </w:p>
    <w:p w14:paraId="39DE190E">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（3）双方约定的承包人其他违约责任：</w:t>
      </w:r>
      <w:r>
        <w:rPr>
          <w:rFonts w:hint="eastAsia" w:eastAsia="仿宋_GB2312"/>
          <w:color w:val="auto"/>
          <w:sz w:val="24"/>
          <w:highlight w:val="none"/>
          <w:u w:val="single"/>
        </w:rPr>
        <w:t xml:space="preserve">       /         </w:t>
      </w:r>
    </w:p>
    <w:p w14:paraId="18740AA0">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24、争议</w:t>
      </w:r>
    </w:p>
    <w:p w14:paraId="36C85C1D">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color w:val="auto"/>
          <w:sz w:val="24"/>
          <w:highlight w:val="none"/>
        </w:rPr>
        <w:t xml:space="preserve">  </w:t>
      </w:r>
      <w:r>
        <w:rPr>
          <w:rFonts w:hint="eastAsia" w:eastAsia="仿宋_GB2312"/>
          <w:color w:val="auto"/>
          <w:sz w:val="24"/>
          <w:highlight w:val="none"/>
        </w:rPr>
        <w:t xml:space="preserve">  24</w:t>
      </w:r>
      <w:r>
        <w:rPr>
          <w:rFonts w:eastAsia="仿宋_GB2312"/>
          <w:color w:val="auto"/>
          <w:sz w:val="24"/>
          <w:highlight w:val="none"/>
        </w:rPr>
        <w:t>.1</w:t>
      </w:r>
      <w:r>
        <w:rPr>
          <w:rFonts w:hint="eastAsia" w:eastAsia="仿宋_GB2312"/>
          <w:color w:val="auto"/>
          <w:sz w:val="24"/>
          <w:highlight w:val="none"/>
        </w:rPr>
        <w:t>本合同在履行过程中发生的争议，由双方当事人协商解决，协商不成的，按下列第  2 种方式解决；</w:t>
      </w:r>
    </w:p>
    <w:p w14:paraId="3F82A305">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（1）提交 </w:t>
      </w:r>
      <w:r>
        <w:rPr>
          <w:rFonts w:hint="eastAsia" w:eastAsia="仿宋_GB2312"/>
          <w:color w:val="auto"/>
          <w:sz w:val="24"/>
          <w:highlight w:val="none"/>
          <w:u w:val="single"/>
        </w:rPr>
        <w:t xml:space="preserve">      /          </w:t>
      </w:r>
      <w:r>
        <w:rPr>
          <w:rFonts w:hint="eastAsia" w:eastAsia="仿宋_GB2312"/>
          <w:color w:val="auto"/>
          <w:sz w:val="24"/>
          <w:highlight w:val="none"/>
        </w:rPr>
        <w:t xml:space="preserve">  仲裁委员会仲裁；</w:t>
      </w:r>
    </w:p>
    <w:p w14:paraId="11B4D288">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（2）依法向工程所在地人民法院申请诉讼。</w:t>
      </w:r>
    </w:p>
    <w:p w14:paraId="60FD6B78">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十一、其他</w:t>
      </w:r>
    </w:p>
    <w:p w14:paraId="7510C00B">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25、工程分包</w:t>
      </w:r>
    </w:p>
    <w:p w14:paraId="1EA463F4">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color w:val="auto"/>
          <w:sz w:val="24"/>
          <w:highlight w:val="none"/>
        </w:rPr>
        <w:t xml:space="preserve">   </w:t>
      </w:r>
      <w:r>
        <w:rPr>
          <w:rFonts w:hint="eastAsia" w:eastAsia="仿宋_GB2312"/>
          <w:color w:val="auto"/>
          <w:sz w:val="24"/>
          <w:highlight w:val="none"/>
        </w:rPr>
        <w:t xml:space="preserve"> 25</w:t>
      </w:r>
      <w:r>
        <w:rPr>
          <w:rFonts w:eastAsia="仿宋_GB2312"/>
          <w:color w:val="auto"/>
          <w:sz w:val="24"/>
          <w:highlight w:val="none"/>
        </w:rPr>
        <w:t>.1</w:t>
      </w:r>
      <w:r>
        <w:rPr>
          <w:rFonts w:hint="eastAsia" w:eastAsia="仿宋_GB2312"/>
          <w:color w:val="auto"/>
          <w:sz w:val="24"/>
          <w:highlight w:val="none"/>
        </w:rPr>
        <w:t>本工程发包人同意承包人分包的工程：</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p>
    <w:p w14:paraId="239B4828">
      <w:pPr>
        <w:pageBreakBefore w:val="0"/>
        <w:kinsoku/>
        <w:wordWrap/>
        <w:overflowPunct/>
        <w:topLinePunct w:val="0"/>
        <w:bidi w:val="0"/>
        <w:spacing w:line="288" w:lineRule="auto"/>
        <w:ind w:left="0" w:leftChars="0"/>
        <w:textAlignment w:val="auto"/>
        <w:rPr>
          <w:color w:val="auto"/>
          <w:sz w:val="24"/>
          <w:highlight w:val="none"/>
          <w:u w:val="single"/>
        </w:rPr>
      </w:pPr>
      <w:r>
        <w:rPr>
          <w:rFonts w:hint="eastAsia" w:eastAsia="仿宋_GB2312"/>
          <w:color w:val="auto"/>
          <w:sz w:val="24"/>
          <w:highlight w:val="none"/>
        </w:rPr>
        <w:t>分包施工单位为：</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r>
        <w:rPr>
          <w:rFonts w:hint="eastAsia"/>
          <w:color w:val="auto"/>
          <w:sz w:val="24"/>
          <w:highlight w:val="none"/>
          <w:u w:val="single"/>
        </w:rPr>
        <w:t xml:space="preserve"> </w:t>
      </w:r>
    </w:p>
    <w:p w14:paraId="172BE912">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26、不可抗力</w:t>
      </w:r>
    </w:p>
    <w:p w14:paraId="0A991668">
      <w:pPr>
        <w:pageBreakBefore w:val="0"/>
        <w:kinsoku/>
        <w:wordWrap/>
        <w:overflowPunct/>
        <w:topLinePunct w:val="0"/>
        <w:bidi w:val="0"/>
        <w:spacing w:line="288" w:lineRule="auto"/>
        <w:ind w:left="0" w:leftChars="0"/>
        <w:textAlignment w:val="auto"/>
        <w:rPr>
          <w:color w:val="auto"/>
          <w:sz w:val="24"/>
          <w:highlight w:val="none"/>
          <w:u w:val="single"/>
        </w:rPr>
      </w:pPr>
      <w:r>
        <w:rPr>
          <w:rFonts w:hint="eastAsia"/>
          <w:color w:val="auto"/>
          <w:sz w:val="24"/>
          <w:highlight w:val="none"/>
        </w:rPr>
        <w:t xml:space="preserve">    </w:t>
      </w:r>
      <w:r>
        <w:rPr>
          <w:rFonts w:hint="eastAsia" w:eastAsia="仿宋_GB2312"/>
          <w:color w:val="auto"/>
          <w:sz w:val="24"/>
          <w:highlight w:val="none"/>
        </w:rPr>
        <w:t>26</w:t>
      </w:r>
      <w:r>
        <w:rPr>
          <w:rFonts w:eastAsia="仿宋_GB2312"/>
          <w:color w:val="auto"/>
          <w:sz w:val="24"/>
          <w:highlight w:val="none"/>
        </w:rPr>
        <w:t>.1</w:t>
      </w:r>
      <w:r>
        <w:rPr>
          <w:rFonts w:hint="eastAsia" w:eastAsia="仿宋_GB2312"/>
          <w:color w:val="auto"/>
          <w:sz w:val="24"/>
          <w:highlight w:val="none"/>
        </w:rPr>
        <w:t>双方关于不可抗力的约定：疫情、战争、动乱、空中飞行物体坠落或其他非发包人承包人责任造成的爆炸、火灾，以及风、雨、雪、洪、震等自然灾害。</w:t>
      </w:r>
    </w:p>
    <w:p w14:paraId="2DFD5678">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27、保险</w:t>
      </w:r>
    </w:p>
    <w:p w14:paraId="6AEB0665">
      <w:pPr>
        <w:pageBreakBefore w:val="0"/>
        <w:kinsoku/>
        <w:wordWrap/>
        <w:overflowPunct/>
        <w:topLinePunct w:val="0"/>
        <w:bidi w:val="0"/>
        <w:spacing w:line="288" w:lineRule="auto"/>
        <w:ind w:left="0" w:leftChars="0"/>
        <w:textAlignment w:val="auto"/>
        <w:rPr>
          <w:color w:val="auto"/>
          <w:sz w:val="24"/>
          <w:highlight w:val="none"/>
        </w:rPr>
      </w:pPr>
      <w:r>
        <w:rPr>
          <w:rFonts w:hint="eastAsia"/>
          <w:color w:val="auto"/>
          <w:sz w:val="24"/>
          <w:highlight w:val="none"/>
        </w:rPr>
        <w:t xml:space="preserve">    27</w:t>
      </w:r>
      <w:r>
        <w:rPr>
          <w:color w:val="auto"/>
          <w:sz w:val="24"/>
          <w:highlight w:val="none"/>
        </w:rPr>
        <w:t>.</w:t>
      </w:r>
      <w:r>
        <w:rPr>
          <w:rFonts w:hint="eastAsia"/>
          <w:color w:val="auto"/>
          <w:sz w:val="24"/>
          <w:highlight w:val="none"/>
        </w:rPr>
        <w:t>1本工程双方约定投保内容如下：</w:t>
      </w:r>
    </w:p>
    <w:p w14:paraId="5561317F">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（1）发包人投保内容：   </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p>
    <w:p w14:paraId="0CB4C90E">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发包人委托承包人办理的保险事项      </w:t>
      </w:r>
      <w:r>
        <w:rPr>
          <w:rFonts w:hint="eastAsia" w:eastAsia="仿宋_GB2312"/>
          <w:color w:val="auto"/>
          <w:sz w:val="24"/>
          <w:highlight w:val="none"/>
          <w:u w:val="single"/>
        </w:rPr>
        <w:t xml:space="preserve">       /         </w:t>
      </w:r>
      <w:r>
        <w:rPr>
          <w:rFonts w:hint="eastAsia" w:eastAsia="仿宋_GB2312"/>
          <w:color w:val="auto"/>
          <w:sz w:val="24"/>
          <w:highlight w:val="none"/>
        </w:rPr>
        <w:t xml:space="preserve">          </w:t>
      </w:r>
    </w:p>
    <w:p w14:paraId="0E91D17D">
      <w:pPr>
        <w:pageBreakBefore w:val="0"/>
        <w:kinsoku/>
        <w:wordWrap/>
        <w:overflowPunct/>
        <w:topLinePunct w:val="0"/>
        <w:bidi w:val="0"/>
        <w:spacing w:line="288" w:lineRule="auto"/>
        <w:ind w:left="0" w:leftChars="0"/>
        <w:textAlignment w:val="auto"/>
        <w:rPr>
          <w:rFonts w:eastAsia="仿宋_GB2312"/>
          <w:color w:val="auto"/>
          <w:sz w:val="24"/>
          <w:highlight w:val="none"/>
          <w:u w:val="single"/>
        </w:rPr>
      </w:pPr>
      <w:r>
        <w:rPr>
          <w:rFonts w:hint="eastAsia" w:eastAsia="仿宋_GB2312"/>
          <w:color w:val="auto"/>
          <w:sz w:val="24"/>
          <w:highlight w:val="none"/>
        </w:rPr>
        <w:t>（2）承包人投保内容：</w:t>
      </w:r>
      <w:r>
        <w:rPr>
          <w:rFonts w:hint="eastAsia" w:eastAsia="仿宋_GB2312"/>
          <w:color w:val="auto"/>
          <w:sz w:val="24"/>
          <w:highlight w:val="none"/>
          <w:u w:val="single"/>
        </w:rPr>
        <w:t xml:space="preserve"> </w:t>
      </w:r>
      <w:r>
        <w:rPr>
          <w:rFonts w:hint="eastAsia" w:eastAsia="仿宋_GB2312"/>
          <w:b/>
          <w:bCs/>
          <w:color w:val="auto"/>
          <w:sz w:val="24"/>
          <w:highlight w:val="none"/>
          <w:u w:val="single"/>
        </w:rPr>
        <w:t>必须为本项目施工人员办理人身意外险 。</w:t>
      </w:r>
      <w:r>
        <w:rPr>
          <w:rFonts w:hint="eastAsia" w:eastAsia="仿宋_GB2312"/>
          <w:color w:val="auto"/>
          <w:sz w:val="24"/>
          <w:highlight w:val="none"/>
          <w:u w:val="single"/>
        </w:rPr>
        <w:t xml:space="preserve">    </w:t>
      </w:r>
    </w:p>
    <w:p w14:paraId="0B1E731E">
      <w:pPr>
        <w:pageBreakBefore w:val="0"/>
        <w:kinsoku/>
        <w:wordWrap/>
        <w:overflowPunct/>
        <w:topLinePunct w:val="0"/>
        <w:bidi w:val="0"/>
        <w:spacing w:line="288" w:lineRule="auto"/>
        <w:ind w:left="0" w:leftChars="0"/>
        <w:textAlignment w:val="auto"/>
        <w:rPr>
          <w:b/>
          <w:color w:val="auto"/>
          <w:sz w:val="24"/>
          <w:highlight w:val="none"/>
        </w:rPr>
      </w:pPr>
      <w:r>
        <w:rPr>
          <w:rFonts w:hint="eastAsia"/>
          <w:b/>
          <w:color w:val="auto"/>
          <w:sz w:val="24"/>
          <w:highlight w:val="none"/>
        </w:rPr>
        <w:t xml:space="preserve">    28、担保</w:t>
      </w:r>
    </w:p>
    <w:p w14:paraId="2A32FD0C">
      <w:pPr>
        <w:pageBreakBefore w:val="0"/>
        <w:kinsoku/>
        <w:wordWrap/>
        <w:overflowPunct/>
        <w:topLinePunct w:val="0"/>
        <w:bidi w:val="0"/>
        <w:spacing w:line="288" w:lineRule="auto"/>
        <w:ind w:left="0" w:leftChars="0"/>
        <w:textAlignment w:val="auto"/>
        <w:rPr>
          <w:color w:val="auto"/>
          <w:sz w:val="24"/>
          <w:highlight w:val="none"/>
        </w:rPr>
      </w:pPr>
      <w:r>
        <w:rPr>
          <w:rFonts w:hint="eastAsia"/>
          <w:color w:val="auto"/>
          <w:sz w:val="24"/>
          <w:highlight w:val="none"/>
        </w:rPr>
        <w:t xml:space="preserve">    28</w:t>
      </w:r>
      <w:r>
        <w:rPr>
          <w:color w:val="auto"/>
          <w:sz w:val="24"/>
          <w:highlight w:val="none"/>
        </w:rPr>
        <w:t>.</w:t>
      </w:r>
      <w:r>
        <w:rPr>
          <w:rFonts w:hint="eastAsia"/>
          <w:color w:val="auto"/>
          <w:sz w:val="24"/>
          <w:highlight w:val="none"/>
        </w:rPr>
        <w:t>1本工程双方约定担保事项如下：</w:t>
      </w:r>
    </w:p>
    <w:p w14:paraId="01228337">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（1）发包人向承包人提供履约担保，担保方式为：</w:t>
      </w:r>
      <w:r>
        <w:rPr>
          <w:rFonts w:hint="eastAsia" w:eastAsia="仿宋_GB2312"/>
          <w:color w:val="auto"/>
          <w:sz w:val="24"/>
          <w:highlight w:val="none"/>
          <w:u w:val="single"/>
        </w:rPr>
        <w:t xml:space="preserve">     /   </w:t>
      </w:r>
      <w:r>
        <w:rPr>
          <w:rFonts w:hint="eastAsia" w:eastAsia="仿宋_GB2312"/>
          <w:color w:val="auto"/>
          <w:sz w:val="24"/>
          <w:highlight w:val="none"/>
        </w:rPr>
        <w:t xml:space="preserve"> 担保合同作为本合同附件。</w:t>
      </w:r>
    </w:p>
    <w:p w14:paraId="24107DE5">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 xml:space="preserve">（2）承包人向发包人提供履约担保，担保方式为：  </w:t>
      </w:r>
      <w:r>
        <w:rPr>
          <w:rFonts w:hint="eastAsia" w:eastAsia="仿宋_GB2312"/>
          <w:color w:val="auto"/>
          <w:sz w:val="24"/>
          <w:highlight w:val="none"/>
          <w:u w:val="single"/>
        </w:rPr>
        <w:t xml:space="preserve">   /   </w:t>
      </w:r>
      <w:r>
        <w:rPr>
          <w:rFonts w:hint="eastAsia" w:eastAsia="仿宋_GB2312"/>
          <w:color w:val="auto"/>
          <w:sz w:val="24"/>
          <w:highlight w:val="none"/>
        </w:rPr>
        <w:t xml:space="preserve"> 担保合同作为本合同附件。</w:t>
      </w:r>
    </w:p>
    <w:p w14:paraId="27BA746A">
      <w:pPr>
        <w:pageBreakBefore w:val="0"/>
        <w:kinsoku/>
        <w:wordWrap/>
        <w:overflowPunct/>
        <w:topLinePunct w:val="0"/>
        <w:bidi w:val="0"/>
        <w:spacing w:line="288" w:lineRule="auto"/>
        <w:ind w:left="0" w:leftChars="0"/>
        <w:textAlignment w:val="auto"/>
        <w:rPr>
          <w:color w:val="auto"/>
          <w:sz w:val="24"/>
          <w:highlight w:val="none"/>
          <w:u w:val="single"/>
        </w:rPr>
      </w:pPr>
      <w:r>
        <w:rPr>
          <w:rFonts w:hint="eastAsia" w:eastAsia="仿宋_GB2312"/>
          <w:color w:val="auto"/>
          <w:sz w:val="24"/>
          <w:highlight w:val="none"/>
        </w:rPr>
        <w:t xml:space="preserve">（3）双方约定的其他担保事项：    </w:t>
      </w:r>
      <w:r>
        <w:rPr>
          <w:rFonts w:hint="eastAsia" w:eastAsia="仿宋_GB2312"/>
          <w:color w:val="auto"/>
          <w:sz w:val="24"/>
          <w:highlight w:val="none"/>
          <w:u w:val="single"/>
        </w:rPr>
        <w:t xml:space="preserve">                /        </w:t>
      </w:r>
      <w:r>
        <w:rPr>
          <w:rFonts w:hint="eastAsia"/>
          <w:color w:val="auto"/>
          <w:sz w:val="24"/>
          <w:highlight w:val="none"/>
          <w:u w:val="single"/>
        </w:rPr>
        <w:t xml:space="preserve">     </w:t>
      </w:r>
    </w:p>
    <w:p w14:paraId="3710CAA8">
      <w:pPr>
        <w:pageBreakBefore w:val="0"/>
        <w:kinsoku/>
        <w:wordWrap/>
        <w:overflowPunct/>
        <w:topLinePunct w:val="0"/>
        <w:bidi w:val="0"/>
        <w:spacing w:line="288" w:lineRule="auto"/>
        <w:ind w:left="0" w:leftChars="0" w:firstLine="480"/>
        <w:textAlignment w:val="auto"/>
        <w:rPr>
          <w:b/>
          <w:color w:val="auto"/>
          <w:sz w:val="24"/>
          <w:highlight w:val="none"/>
        </w:rPr>
      </w:pPr>
      <w:r>
        <w:rPr>
          <w:rFonts w:hint="eastAsia"/>
          <w:b/>
          <w:color w:val="auto"/>
          <w:sz w:val="24"/>
          <w:highlight w:val="none"/>
        </w:rPr>
        <w:t>29、其他</w:t>
      </w:r>
    </w:p>
    <w:p w14:paraId="1A3B5D72">
      <w:pPr>
        <w:pageBreakBefore w:val="0"/>
        <w:kinsoku/>
        <w:wordWrap/>
        <w:overflowPunct/>
        <w:topLinePunct w:val="0"/>
        <w:bidi w:val="0"/>
        <w:spacing w:line="288" w:lineRule="auto"/>
        <w:ind w:left="0" w:leftChars="0" w:firstLine="435"/>
        <w:textAlignment w:val="auto"/>
        <w:rPr>
          <w:rFonts w:eastAsia="仿宋_GB2312"/>
          <w:color w:val="auto"/>
          <w:sz w:val="24"/>
          <w:highlight w:val="none"/>
        </w:rPr>
      </w:pPr>
      <w:r>
        <w:rPr>
          <w:rFonts w:hint="eastAsia" w:eastAsia="仿宋_GB2312"/>
          <w:color w:val="auto"/>
          <w:sz w:val="24"/>
          <w:highlight w:val="none"/>
        </w:rPr>
        <w:t>29.1承包方严格按照工程量清单内容要求组织施工，原则上不予调整，确需变更需发包方同意并会同使用单位、承包单位、监理、跟踪审计多方签字确认。</w:t>
      </w:r>
    </w:p>
    <w:p w14:paraId="727CA871">
      <w:pPr>
        <w:pageBreakBefore w:val="0"/>
        <w:kinsoku/>
        <w:wordWrap/>
        <w:overflowPunct/>
        <w:topLinePunct w:val="0"/>
        <w:bidi w:val="0"/>
        <w:spacing w:line="288" w:lineRule="auto"/>
        <w:ind w:left="0" w:leftChars="0" w:firstLine="435"/>
        <w:textAlignment w:val="auto"/>
        <w:rPr>
          <w:rFonts w:eastAsia="仿宋_GB2312"/>
          <w:color w:val="auto"/>
          <w:sz w:val="24"/>
          <w:highlight w:val="none"/>
        </w:rPr>
      </w:pPr>
      <w:r>
        <w:rPr>
          <w:rFonts w:hint="eastAsia" w:eastAsia="仿宋_GB2312"/>
          <w:color w:val="auto"/>
          <w:sz w:val="24"/>
          <w:highlight w:val="none"/>
        </w:rPr>
        <w:t>29.2保修期内，因承包人原因发生工程质量问题需要维修，承包人须在接到发包人通知后24小时内赶到现场，并于到场后二日内进行维修；如经过两次（含两次）以上维修，仍未能解决问题或承包人未按要求维修，发包人有权另行委托第三方进行维修，因此而产生的费用将从承包人保证金中双倍扣除，超支部分由承包人承担。保修期内因承包人原因造成的工程质量问题给发包人造成损失的，发包人损失由承包人承担。</w:t>
      </w:r>
    </w:p>
    <w:p w14:paraId="3356E293">
      <w:pPr>
        <w:pageBreakBefore w:val="0"/>
        <w:kinsoku/>
        <w:wordWrap/>
        <w:overflowPunct/>
        <w:topLinePunct w:val="0"/>
        <w:bidi w:val="0"/>
        <w:spacing w:line="288" w:lineRule="auto"/>
        <w:ind w:left="0" w:leftChars="0" w:firstLine="435"/>
        <w:textAlignment w:val="auto"/>
        <w:rPr>
          <w:rFonts w:eastAsia="仿宋_GB2312"/>
          <w:color w:val="auto"/>
          <w:sz w:val="24"/>
          <w:highlight w:val="none"/>
        </w:rPr>
      </w:pPr>
      <w:r>
        <w:rPr>
          <w:rFonts w:hint="eastAsia" w:eastAsia="仿宋_GB2312"/>
          <w:color w:val="auto"/>
          <w:sz w:val="24"/>
          <w:highlight w:val="none"/>
        </w:rPr>
        <w:t>29.3本合同履行期间，承包人与第三方产生的债权、债务均由承包人自行解决与发包人无关。</w:t>
      </w:r>
    </w:p>
    <w:p w14:paraId="273EEE0E">
      <w:pPr>
        <w:pageBreakBefore w:val="0"/>
        <w:kinsoku/>
        <w:wordWrap/>
        <w:overflowPunct/>
        <w:topLinePunct w:val="0"/>
        <w:bidi w:val="0"/>
        <w:spacing w:line="288" w:lineRule="auto"/>
        <w:ind w:left="0" w:leftChars="0" w:firstLine="435"/>
        <w:textAlignment w:val="auto"/>
        <w:rPr>
          <w:rFonts w:eastAsia="仿宋_GB2312"/>
          <w:color w:val="auto"/>
          <w:sz w:val="24"/>
          <w:highlight w:val="none"/>
        </w:rPr>
      </w:pPr>
      <w:r>
        <w:rPr>
          <w:rFonts w:hint="eastAsia" w:eastAsia="仿宋_GB2312"/>
          <w:color w:val="auto"/>
          <w:sz w:val="24"/>
          <w:highlight w:val="none"/>
        </w:rPr>
        <w:t>29.4承包人未经发包人书面认可不得分包，一经发现，视为承包人违约。承包人支付给发包人合同总价10%的违约金，若私下进行转包分包产生纠纷导致的各类费用直接从该项目工程款中提前支付。</w:t>
      </w:r>
    </w:p>
    <w:p w14:paraId="343F61F5">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color w:val="auto"/>
          <w:kern w:val="2"/>
          <w:szCs w:val="24"/>
          <w:highlight w:val="none"/>
        </w:rPr>
      </w:pPr>
      <w:r>
        <w:rPr>
          <w:rFonts w:hint="eastAsia" w:eastAsia="仿宋_GB2312"/>
          <w:color w:val="auto"/>
          <w:kern w:val="2"/>
          <w:szCs w:val="24"/>
          <w:highlight w:val="none"/>
        </w:rPr>
        <w:t>29.5 竣工验收合格后10个工作日内，乙方按甲方相关要求提供工程结算资料，所报工程结算价款符合事实，没有高估冒算的情况。</w:t>
      </w:r>
      <w:r>
        <w:rPr>
          <w:rFonts w:eastAsia="仿宋_GB2312"/>
          <w:color w:val="auto"/>
          <w:kern w:val="2"/>
          <w:szCs w:val="24"/>
          <w:highlight w:val="none"/>
        </w:rPr>
        <w:t>工程项目净审减率超过10%（含10%）的，向施工单位支付工程款时按净审减额的10%扣减审计费；工程项目净审减率在5%—10%之间的（含5%），向施工单位支付工程款时按净审减额的5%扣减审计费；工程项目净审减率在5%以内的，无需扣减审计费</w:t>
      </w:r>
      <w:r>
        <w:rPr>
          <w:rFonts w:hint="eastAsia" w:eastAsia="仿宋_GB2312"/>
          <w:color w:val="auto"/>
          <w:kern w:val="2"/>
          <w:szCs w:val="24"/>
          <w:highlight w:val="none"/>
        </w:rPr>
        <w:t>。</w:t>
      </w:r>
      <w:r>
        <w:rPr>
          <w:rFonts w:hint="eastAsia" w:ascii="宋体" w:hAnsi="宋体" w:cs="宋体"/>
          <w:b/>
          <w:color w:val="auto"/>
          <w:highlight w:val="none"/>
        </w:rPr>
        <w:t>竣工验收合格后提交工程结算资料超过一个月，建设方本年度将不安排结算。竣工验收合格后提交工程结算资料超过十二个月，建设方将不予结算。</w:t>
      </w:r>
    </w:p>
    <w:p w14:paraId="7E9DC9CB">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color w:val="auto"/>
          <w:kern w:val="2"/>
          <w:szCs w:val="24"/>
          <w:highlight w:val="none"/>
        </w:rPr>
      </w:pPr>
      <w:r>
        <w:rPr>
          <w:rFonts w:hint="eastAsia" w:ascii="宋体" w:hAnsi="宋体" w:cs="宋体"/>
          <w:color w:val="auto"/>
          <w:kern w:val="2"/>
          <w:szCs w:val="24"/>
          <w:highlight w:val="none"/>
        </w:rPr>
        <w:t xml:space="preserve">29.6 </w:t>
      </w:r>
      <w:r>
        <w:rPr>
          <w:rFonts w:hint="eastAsia" w:eastAsia="仿宋_GB2312"/>
          <w:color w:val="auto"/>
          <w:kern w:val="2"/>
          <w:szCs w:val="24"/>
          <w:highlight w:val="none"/>
        </w:rPr>
        <w:t>信函接收、回复与发放</w:t>
      </w:r>
    </w:p>
    <w:p w14:paraId="06537021">
      <w:pPr>
        <w:pStyle w:val="362"/>
        <w:pageBreakBefore w:val="0"/>
        <w:kinsoku/>
        <w:wordWrap/>
        <w:overflowPunct/>
        <w:topLinePunct w:val="0"/>
        <w:bidi w:val="0"/>
        <w:spacing w:before="0" w:after="0" w:line="288" w:lineRule="auto"/>
        <w:ind w:left="0" w:leftChars="0" w:right="0" w:firstLine="480" w:firstLineChars="200"/>
        <w:jc w:val="both"/>
        <w:textAlignment w:val="auto"/>
        <w:rPr>
          <w:rFonts w:eastAsia="仿宋_GB2312"/>
          <w:color w:val="auto"/>
          <w:kern w:val="2"/>
          <w:szCs w:val="24"/>
          <w:highlight w:val="none"/>
        </w:rPr>
      </w:pPr>
      <w:r>
        <w:rPr>
          <w:rFonts w:hint="eastAsia" w:eastAsia="仿宋_GB2312"/>
          <w:color w:val="auto"/>
          <w:kern w:val="2"/>
          <w:szCs w:val="24"/>
          <w:highlight w:val="none"/>
        </w:rPr>
        <w:t>承包人向发包人或监理人发出的信函，须一式三份统一由监理工程师（甲方代表）签收。</w:t>
      </w:r>
    </w:p>
    <w:p w14:paraId="4A014D5F">
      <w:pPr>
        <w:pStyle w:val="362"/>
        <w:pageBreakBefore w:val="0"/>
        <w:kinsoku/>
        <w:wordWrap/>
        <w:overflowPunct/>
        <w:topLinePunct w:val="0"/>
        <w:bidi w:val="0"/>
        <w:spacing w:before="0" w:after="0" w:line="288" w:lineRule="auto"/>
        <w:ind w:left="0" w:leftChars="0" w:right="0" w:firstLine="480" w:firstLineChars="200"/>
        <w:jc w:val="both"/>
        <w:textAlignment w:val="auto"/>
        <w:rPr>
          <w:rFonts w:eastAsia="仿宋_GB2312"/>
          <w:color w:val="auto"/>
          <w:kern w:val="2"/>
          <w:szCs w:val="24"/>
          <w:highlight w:val="none"/>
        </w:rPr>
      </w:pPr>
      <w:r>
        <w:rPr>
          <w:rFonts w:hint="eastAsia" w:eastAsia="仿宋_GB2312"/>
          <w:color w:val="auto"/>
          <w:kern w:val="2"/>
          <w:szCs w:val="24"/>
          <w:highlight w:val="none"/>
        </w:rPr>
        <w:t>发包人或监理人向承包人回复信函，统一由监理工程师（甲方代表）按4.3条的职权范围进行回复，若违背4.2条视为无效回复。</w:t>
      </w:r>
    </w:p>
    <w:p w14:paraId="2F0215DF">
      <w:pPr>
        <w:pStyle w:val="362"/>
        <w:pageBreakBefore w:val="0"/>
        <w:kinsoku/>
        <w:wordWrap/>
        <w:overflowPunct/>
        <w:topLinePunct w:val="0"/>
        <w:bidi w:val="0"/>
        <w:spacing w:before="0" w:after="0" w:line="288" w:lineRule="auto"/>
        <w:ind w:left="0" w:leftChars="0" w:right="0" w:firstLine="480" w:firstLineChars="200"/>
        <w:jc w:val="both"/>
        <w:textAlignment w:val="auto"/>
        <w:rPr>
          <w:rFonts w:hint="eastAsia" w:eastAsia="仿宋_GB2312"/>
          <w:color w:val="auto"/>
          <w:kern w:val="2"/>
          <w:szCs w:val="24"/>
          <w:highlight w:val="none"/>
        </w:rPr>
      </w:pPr>
      <w:r>
        <w:rPr>
          <w:rFonts w:hint="eastAsia" w:ascii="宋体" w:hAnsi="宋体" w:cs="宋体"/>
          <w:color w:val="auto"/>
          <w:kern w:val="2"/>
          <w:szCs w:val="24"/>
          <w:highlight w:val="none"/>
        </w:rPr>
        <w:t xml:space="preserve">29.7 </w:t>
      </w:r>
      <w:r>
        <w:rPr>
          <w:rFonts w:hint="eastAsia" w:eastAsia="仿宋_GB2312"/>
          <w:color w:val="auto"/>
          <w:kern w:val="2"/>
          <w:szCs w:val="24"/>
          <w:highlight w:val="none"/>
        </w:rPr>
        <w:t>变更后竣工进度款结算</w:t>
      </w:r>
    </w:p>
    <w:p w14:paraId="7E0DD61D">
      <w:pPr>
        <w:pStyle w:val="362"/>
        <w:pageBreakBefore w:val="0"/>
        <w:kinsoku/>
        <w:wordWrap/>
        <w:overflowPunct/>
        <w:topLinePunct w:val="0"/>
        <w:bidi w:val="0"/>
        <w:spacing w:before="0" w:after="0" w:line="288" w:lineRule="auto"/>
        <w:ind w:left="0" w:leftChars="0" w:right="0" w:firstLine="480" w:firstLineChars="200"/>
        <w:jc w:val="both"/>
        <w:textAlignment w:val="auto"/>
        <w:rPr>
          <w:rFonts w:eastAsia="仿宋_GB2312"/>
          <w:color w:val="auto"/>
          <w:kern w:val="2"/>
          <w:szCs w:val="24"/>
          <w:highlight w:val="none"/>
        </w:rPr>
      </w:pPr>
      <w:r>
        <w:rPr>
          <w:rFonts w:hint="eastAsia" w:eastAsia="仿宋_GB2312"/>
          <w:color w:val="auto"/>
          <w:kern w:val="2"/>
          <w:szCs w:val="24"/>
          <w:highlight w:val="none"/>
        </w:rPr>
        <w:t>若有进度款时，工程变更预算价小于合同价的10%时，竣工验收合格审计完成后付至合同约定的比率；工程变更价大于合同价的10%时，竣工验收合格审计完成后付至实际完成工程量价款合同约定的比率。（有跟踪审计工程实际完成工程量预算价由跟踪审计确认；无跟踪审计工程实际完成工程量预算价由建设方确认）</w:t>
      </w:r>
    </w:p>
    <w:p w14:paraId="73DC0906">
      <w:pPr>
        <w:pStyle w:val="362"/>
        <w:pageBreakBefore w:val="0"/>
        <w:kinsoku/>
        <w:wordWrap/>
        <w:overflowPunct/>
        <w:topLinePunct w:val="0"/>
        <w:bidi w:val="0"/>
        <w:spacing w:before="0" w:after="0" w:line="288" w:lineRule="auto"/>
        <w:ind w:left="0" w:leftChars="0" w:right="0" w:firstLine="480" w:firstLineChars="200"/>
        <w:jc w:val="both"/>
        <w:textAlignment w:val="auto"/>
        <w:rPr>
          <w:rFonts w:hint="eastAsia" w:eastAsia="仿宋_GB2312"/>
          <w:color w:val="auto"/>
          <w:kern w:val="2"/>
          <w:szCs w:val="24"/>
          <w:highlight w:val="none"/>
        </w:rPr>
      </w:pPr>
      <w:r>
        <w:rPr>
          <w:rFonts w:hint="eastAsia" w:ascii="宋体" w:hAnsi="宋体" w:cs="宋体"/>
          <w:color w:val="auto"/>
          <w:kern w:val="2"/>
          <w:szCs w:val="24"/>
          <w:highlight w:val="none"/>
        </w:rPr>
        <w:t xml:space="preserve">29.8 </w:t>
      </w:r>
      <w:r>
        <w:rPr>
          <w:rFonts w:hint="eastAsia" w:eastAsia="仿宋_GB2312"/>
          <w:color w:val="auto"/>
          <w:kern w:val="2"/>
          <w:szCs w:val="24"/>
          <w:highlight w:val="none"/>
        </w:rPr>
        <w:t>建筑产品交付</w:t>
      </w:r>
    </w:p>
    <w:p w14:paraId="5B5319FF">
      <w:pPr>
        <w:pStyle w:val="362"/>
        <w:pageBreakBefore w:val="0"/>
        <w:kinsoku/>
        <w:wordWrap/>
        <w:overflowPunct/>
        <w:topLinePunct w:val="0"/>
        <w:bidi w:val="0"/>
        <w:spacing w:before="0" w:after="0" w:line="288" w:lineRule="auto"/>
        <w:ind w:left="0" w:leftChars="0" w:right="0" w:firstLine="480" w:firstLineChars="200"/>
        <w:jc w:val="both"/>
        <w:textAlignment w:val="auto"/>
        <w:rPr>
          <w:rFonts w:eastAsia="仿宋_GB2312"/>
          <w:color w:val="auto"/>
          <w:kern w:val="2"/>
          <w:szCs w:val="24"/>
          <w:highlight w:val="none"/>
        </w:rPr>
      </w:pPr>
      <w:r>
        <w:rPr>
          <w:rFonts w:hint="eastAsia" w:eastAsia="仿宋_GB2312"/>
          <w:color w:val="auto"/>
          <w:kern w:val="2"/>
          <w:szCs w:val="24"/>
          <w:highlight w:val="none"/>
        </w:rPr>
        <w:t>本修缮工程已完工，经建设单位、使用单位、审计单位等相关单位对本项目进行验收，施工质量均符合设计要求，验收合格。建设单位将此工程全部交付给使用单位进行使用，使用单位从竣工验收合格日开始接收至建筑物构筑物寿命结束负责此建筑物构筑物的使用、管理、维修。负责工程合同约定保修期内与施工企业沟通协调督促施工企业进行相关维修。</w:t>
      </w:r>
    </w:p>
    <w:p w14:paraId="1E193E5B">
      <w:pPr>
        <w:pStyle w:val="362"/>
        <w:pageBreakBefore w:val="0"/>
        <w:kinsoku/>
        <w:wordWrap/>
        <w:overflowPunct/>
        <w:topLinePunct w:val="0"/>
        <w:bidi w:val="0"/>
        <w:spacing w:before="0" w:after="0" w:line="288" w:lineRule="auto"/>
        <w:ind w:left="0" w:leftChars="0" w:right="0" w:firstLine="480" w:firstLineChars="200"/>
        <w:jc w:val="both"/>
        <w:textAlignment w:val="auto"/>
        <w:rPr>
          <w:rFonts w:hint="eastAsia" w:eastAsia="仿宋_GB2312"/>
          <w:color w:val="auto"/>
          <w:kern w:val="2"/>
          <w:szCs w:val="24"/>
          <w:highlight w:val="none"/>
        </w:rPr>
      </w:pPr>
      <w:r>
        <w:rPr>
          <w:rFonts w:hint="eastAsia" w:ascii="宋体" w:hAnsi="宋体"/>
          <w:color w:val="auto"/>
          <w:szCs w:val="28"/>
          <w:highlight w:val="none"/>
        </w:rPr>
        <w:t>29.9</w:t>
      </w:r>
      <w:r>
        <w:rPr>
          <w:rFonts w:hint="eastAsia" w:eastAsia="仿宋_GB2312"/>
          <w:color w:val="auto"/>
          <w:kern w:val="2"/>
          <w:szCs w:val="24"/>
          <w:highlight w:val="none"/>
        </w:rPr>
        <w:t xml:space="preserve"> 其它事项</w:t>
      </w:r>
    </w:p>
    <w:p w14:paraId="4979E00E">
      <w:pPr>
        <w:pStyle w:val="362"/>
        <w:pageBreakBefore w:val="0"/>
        <w:kinsoku/>
        <w:wordWrap/>
        <w:overflowPunct/>
        <w:topLinePunct w:val="0"/>
        <w:bidi w:val="0"/>
        <w:spacing w:before="0" w:after="0" w:line="288" w:lineRule="auto"/>
        <w:ind w:left="0" w:leftChars="0" w:right="0" w:firstLine="480" w:firstLineChars="200"/>
        <w:jc w:val="both"/>
        <w:textAlignment w:val="auto"/>
        <w:rPr>
          <w:rFonts w:eastAsia="仿宋_GB2312"/>
          <w:color w:val="auto"/>
          <w:kern w:val="2"/>
          <w:szCs w:val="24"/>
          <w:highlight w:val="none"/>
        </w:rPr>
      </w:pPr>
      <w:r>
        <w:rPr>
          <w:rFonts w:hint="eastAsia" w:eastAsia="仿宋_GB2312"/>
          <w:color w:val="auto"/>
          <w:kern w:val="2"/>
          <w:szCs w:val="24"/>
          <w:highlight w:val="none"/>
        </w:rPr>
        <w:t>本项目周围环境复杂，特别是场内有上水、电缆、暖气等，请注意安全施工，合理安排施工时间，科学堆放材料及设备，严格按照使用方要求以及切实可行的施工组织计划进行施工，若发生立即整改，造成的损失由施工方承担。同时由于在教学区与生活区施工，禁止影响师生的正常教学与生活，期间施工请施工企业切实保护好原来各种设施设备，若有损坏施工企业免费恢复或按市场价赔偿。</w:t>
      </w:r>
    </w:p>
    <w:p w14:paraId="63955F5C">
      <w:pPr>
        <w:pStyle w:val="362"/>
        <w:pageBreakBefore w:val="0"/>
        <w:kinsoku/>
        <w:wordWrap/>
        <w:overflowPunct/>
        <w:topLinePunct w:val="0"/>
        <w:bidi w:val="0"/>
        <w:spacing w:before="0" w:after="0" w:line="288" w:lineRule="auto"/>
        <w:ind w:left="0" w:leftChars="0" w:right="0" w:firstLine="480" w:firstLineChars="200"/>
        <w:jc w:val="both"/>
        <w:textAlignment w:val="auto"/>
        <w:rPr>
          <w:rFonts w:hint="eastAsia" w:ascii="仿宋" w:hAnsi="仿宋" w:eastAsia="仿宋" w:cs="仿宋"/>
          <w:b/>
          <w:color w:val="auto"/>
          <w:kern w:val="2"/>
          <w:szCs w:val="24"/>
          <w:highlight w:val="none"/>
        </w:rPr>
      </w:pPr>
      <w:r>
        <w:rPr>
          <w:rFonts w:hint="eastAsia" w:ascii="仿宋" w:hAnsi="仿宋" w:eastAsia="仿宋" w:cs="仿宋"/>
          <w:color w:val="auto"/>
          <w:kern w:val="2"/>
          <w:szCs w:val="24"/>
          <w:highlight w:val="none"/>
        </w:rPr>
        <w:t>安全措施：</w:t>
      </w:r>
      <w:r>
        <w:rPr>
          <w:rFonts w:hint="eastAsia" w:ascii="仿宋" w:hAnsi="仿宋" w:eastAsia="仿宋" w:cs="仿宋"/>
          <w:b/>
          <w:color w:val="auto"/>
          <w:kern w:val="2"/>
          <w:szCs w:val="24"/>
          <w:highlight w:val="none"/>
        </w:rPr>
        <w:t>开工前准备好安全施工方案。做好施工现场围挡工作。</w:t>
      </w:r>
    </w:p>
    <w:p w14:paraId="74784A4C">
      <w:pPr>
        <w:pStyle w:val="362"/>
        <w:pageBreakBefore w:val="0"/>
        <w:kinsoku/>
        <w:wordWrap/>
        <w:overflowPunct/>
        <w:topLinePunct w:val="0"/>
        <w:bidi w:val="0"/>
        <w:spacing w:before="0" w:after="0" w:line="288" w:lineRule="auto"/>
        <w:ind w:left="0" w:leftChars="0" w:right="0" w:firstLine="482" w:firstLineChars="200"/>
        <w:jc w:val="both"/>
        <w:textAlignment w:val="auto"/>
        <w:rPr>
          <w:rFonts w:hint="eastAsia" w:ascii="仿宋" w:hAnsi="仿宋" w:eastAsia="仿宋" w:cs="仿宋"/>
          <w:b/>
          <w:color w:val="auto"/>
          <w:kern w:val="2"/>
          <w:szCs w:val="24"/>
          <w:highlight w:val="none"/>
        </w:rPr>
      </w:pPr>
      <w:r>
        <w:rPr>
          <w:rFonts w:hint="eastAsia" w:ascii="仿宋" w:hAnsi="仿宋" w:eastAsia="仿宋" w:cs="仿宋"/>
          <w:b/>
          <w:color w:val="auto"/>
          <w:kern w:val="2"/>
          <w:szCs w:val="24"/>
          <w:highlight w:val="none"/>
        </w:rPr>
        <w:t>由于公共卫生防控及施工时间限制均不增加施工工期，施工企业合理调整施工时间。</w:t>
      </w:r>
    </w:p>
    <w:p w14:paraId="45C74BCE">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09B403F8">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5A08E44F">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222B92C7">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7CAA9B3B">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38121674">
      <w:pPr>
        <w:pStyle w:val="362"/>
        <w:pageBreakBefore w:val="0"/>
        <w:kinsoku/>
        <w:wordWrap/>
        <w:overflowPunct/>
        <w:topLinePunct w:val="0"/>
        <w:bidi w:val="0"/>
        <w:spacing w:before="0" w:after="0" w:line="288" w:lineRule="auto"/>
        <w:ind w:left="0" w:leftChars="0" w:right="0" w:firstLine="480" w:firstLineChars="200"/>
        <w:jc w:val="both"/>
        <w:textAlignment w:val="auto"/>
        <w:rPr>
          <w:rFonts w:ascii="宋体" w:hAnsi="宋体" w:cs="宋体"/>
          <w:b/>
          <w:color w:val="auto"/>
          <w:kern w:val="2"/>
          <w:szCs w:val="24"/>
          <w:highlight w:val="none"/>
        </w:rPr>
      </w:pPr>
    </w:p>
    <w:p w14:paraId="64A5B94A">
      <w:pPr>
        <w:pageBreakBefore w:val="0"/>
        <w:kinsoku/>
        <w:wordWrap/>
        <w:overflowPunct/>
        <w:topLinePunct w:val="0"/>
        <w:bidi w:val="0"/>
        <w:spacing w:line="288" w:lineRule="auto"/>
        <w:ind w:left="0" w:leftChars="0"/>
        <w:jc w:val="center"/>
        <w:textAlignment w:val="auto"/>
        <w:rPr>
          <w:rFonts w:eastAsia="黑体"/>
          <w:color w:val="auto"/>
          <w:sz w:val="30"/>
          <w:szCs w:val="30"/>
          <w:highlight w:val="none"/>
        </w:rPr>
      </w:pPr>
      <w:r>
        <w:rPr>
          <w:rFonts w:hint="eastAsia" w:eastAsia="黑体"/>
          <w:color w:val="auto"/>
          <w:sz w:val="30"/>
          <w:szCs w:val="30"/>
          <w:highlight w:val="none"/>
        </w:rPr>
        <w:t>第四部分附件</w:t>
      </w:r>
    </w:p>
    <w:p w14:paraId="44C2371B">
      <w:pPr>
        <w:pageBreakBefore w:val="0"/>
        <w:kinsoku/>
        <w:wordWrap/>
        <w:overflowPunct/>
        <w:topLinePunct w:val="0"/>
        <w:bidi w:val="0"/>
        <w:spacing w:line="288" w:lineRule="auto"/>
        <w:ind w:left="0" w:leftChars="0"/>
        <w:textAlignment w:val="auto"/>
        <w:rPr>
          <w:rFonts w:eastAsia="黑体"/>
          <w:color w:val="auto"/>
          <w:sz w:val="24"/>
          <w:highlight w:val="none"/>
        </w:rPr>
      </w:pPr>
      <w:r>
        <w:rPr>
          <w:rFonts w:eastAsia="仿宋_GB2312"/>
          <w:color w:val="auto"/>
          <w:sz w:val="24"/>
          <w:highlight w:val="none"/>
        </w:rPr>
        <w:t>附件</w:t>
      </w:r>
      <w:r>
        <w:rPr>
          <w:rFonts w:hint="eastAsia" w:eastAsia="仿宋_GB2312"/>
          <w:color w:val="auto"/>
          <w:sz w:val="24"/>
          <w:highlight w:val="none"/>
        </w:rPr>
        <w:t>1</w:t>
      </w:r>
      <w:r>
        <w:rPr>
          <w:rFonts w:eastAsia="仿宋_GB2312"/>
          <w:color w:val="auto"/>
          <w:sz w:val="24"/>
          <w:highlight w:val="none"/>
        </w:rPr>
        <w:t>：</w:t>
      </w:r>
      <w:r>
        <w:rPr>
          <w:rFonts w:eastAsia="黑体"/>
          <w:color w:val="auto"/>
          <w:sz w:val="24"/>
          <w:highlight w:val="none"/>
        </w:rPr>
        <w:t xml:space="preserve">    </w:t>
      </w:r>
    </w:p>
    <w:p w14:paraId="69C8DDDF">
      <w:pPr>
        <w:pageBreakBefore w:val="0"/>
        <w:kinsoku/>
        <w:wordWrap/>
        <w:overflowPunct/>
        <w:topLinePunct w:val="0"/>
        <w:bidi w:val="0"/>
        <w:spacing w:line="288" w:lineRule="auto"/>
        <w:ind w:left="0" w:leftChars="0"/>
        <w:jc w:val="center"/>
        <w:textAlignment w:val="auto"/>
        <w:rPr>
          <w:rFonts w:eastAsia="黑体"/>
          <w:color w:val="auto"/>
          <w:sz w:val="24"/>
          <w:highlight w:val="none"/>
        </w:rPr>
      </w:pPr>
      <w:r>
        <w:rPr>
          <w:rFonts w:eastAsia="黑体"/>
          <w:color w:val="auto"/>
          <w:sz w:val="24"/>
          <w:highlight w:val="none"/>
        </w:rPr>
        <w:t>工程质量保修书</w:t>
      </w:r>
    </w:p>
    <w:p w14:paraId="59F4B6C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发包人（全称）：</w:t>
      </w:r>
      <w:r>
        <w:rPr>
          <w:rFonts w:hint="eastAsia" w:ascii="Times New Roman" w:hAnsi="Times New Roman" w:eastAsia="仿宋_GB2312"/>
          <w:b/>
          <w:color w:val="auto"/>
          <w:sz w:val="24"/>
          <w:highlight w:val="none"/>
          <w:u w:val="single"/>
        </w:rPr>
        <w:t xml:space="preserve">江苏师范大学 </w:t>
      </w:r>
      <w:r>
        <w:rPr>
          <w:rFonts w:eastAsia="仿宋_GB2312"/>
          <w:color w:val="auto"/>
          <w:sz w:val="24"/>
          <w:highlight w:val="none"/>
        </w:rPr>
        <w:t xml:space="preserve"> </w:t>
      </w:r>
    </w:p>
    <w:p w14:paraId="1C142F42">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eastAsia="仿宋_GB2312"/>
          <w:color w:val="auto"/>
          <w:sz w:val="24"/>
          <w:highlight w:val="none"/>
        </w:rPr>
        <w:t>　　承包人（全称）：</w:t>
      </w:r>
      <w:r>
        <w:rPr>
          <w:rFonts w:hint="eastAsia" w:ascii="Times New Roman" w:hAnsi="Times New Roman" w:eastAsia="仿宋_GB2312"/>
          <w:b/>
          <w:color w:val="auto"/>
          <w:sz w:val="24"/>
          <w:highlight w:val="none"/>
          <w:u w:val="single"/>
        </w:rPr>
        <w:t xml:space="preserve">             </w:t>
      </w:r>
    </w:p>
    <w:p w14:paraId="4D65B757">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eastAsia="仿宋_GB2312"/>
          <w:color w:val="auto"/>
          <w:sz w:val="24"/>
          <w:highlight w:val="none"/>
        </w:rPr>
        <w:t>　　发包人和承包人根据《中华人民共和国建筑法》和《建设工程质量管理条例》，经协商一致就</w:t>
      </w:r>
      <w:r>
        <w:rPr>
          <w:rFonts w:hint="eastAsia" w:eastAsia="仿宋_GB2312"/>
          <w:b/>
          <w:bCs/>
          <w:color w:val="auto"/>
          <w:sz w:val="24"/>
          <w:highlight w:val="none"/>
          <w:u w:val="single"/>
        </w:rPr>
        <w:t xml:space="preserve">                              </w:t>
      </w:r>
      <w:r>
        <w:rPr>
          <w:rFonts w:eastAsia="仿宋_GB2312"/>
          <w:color w:val="auto"/>
          <w:sz w:val="24"/>
          <w:highlight w:val="none"/>
        </w:rPr>
        <w:t>（工程全称）签订工程质量保修书。</w:t>
      </w:r>
    </w:p>
    <w:p w14:paraId="52375F91">
      <w:pPr>
        <w:pageBreakBefore w:val="0"/>
        <w:kinsoku/>
        <w:wordWrap/>
        <w:overflowPunct/>
        <w:topLinePunct w:val="0"/>
        <w:bidi w:val="0"/>
        <w:spacing w:line="288" w:lineRule="auto"/>
        <w:ind w:left="0" w:leftChars="0"/>
        <w:textAlignment w:val="auto"/>
        <w:outlineLvl w:val="0"/>
        <w:rPr>
          <w:rFonts w:eastAsia="黑体"/>
          <w:color w:val="auto"/>
          <w:sz w:val="24"/>
          <w:highlight w:val="none"/>
        </w:rPr>
      </w:pPr>
      <w:r>
        <w:rPr>
          <w:rFonts w:eastAsia="黑体"/>
          <w:color w:val="auto"/>
          <w:sz w:val="24"/>
          <w:highlight w:val="none"/>
        </w:rPr>
        <w:t>　　一、工程质量保修范围和内容</w:t>
      </w:r>
    </w:p>
    <w:p w14:paraId="315A2B26">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eastAsia="仿宋_GB2312"/>
          <w:color w:val="auto"/>
          <w:sz w:val="24"/>
          <w:highlight w:val="none"/>
        </w:rPr>
        <w:t>　　承包人在质量保修期内，按照有关法律规定和合同约定，承担工程质量保修责任。</w:t>
      </w:r>
    </w:p>
    <w:p w14:paraId="6B3612BD">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eastAsia="仿宋_GB2312"/>
          <w:color w:val="auto"/>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479D6DF">
      <w:pPr>
        <w:pageBreakBefore w:val="0"/>
        <w:kinsoku/>
        <w:wordWrap/>
        <w:overflowPunct/>
        <w:topLinePunct w:val="0"/>
        <w:bidi w:val="0"/>
        <w:spacing w:line="288" w:lineRule="auto"/>
        <w:ind w:left="0" w:leftChars="0" w:firstLine="241" w:firstLineChars="100"/>
        <w:textAlignment w:val="auto"/>
        <w:outlineLvl w:val="0"/>
        <w:rPr>
          <w:rFonts w:eastAsia="黑体"/>
          <w:color w:val="auto"/>
          <w:sz w:val="24"/>
          <w:highlight w:val="none"/>
        </w:rPr>
      </w:pPr>
      <w:r>
        <w:rPr>
          <w:rFonts w:eastAsia="仿宋_GB2312"/>
          <w:b/>
          <w:color w:val="auto"/>
          <w:sz w:val="24"/>
          <w:highlight w:val="none"/>
        </w:rPr>
        <w:t>　</w:t>
      </w:r>
      <w:r>
        <w:rPr>
          <w:rFonts w:eastAsia="黑体"/>
          <w:color w:val="auto"/>
          <w:sz w:val="24"/>
          <w:highlight w:val="none"/>
        </w:rPr>
        <w:t>二、质量保修期</w:t>
      </w:r>
    </w:p>
    <w:p w14:paraId="2134E66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根据《建设工程质量管理条例》及有关规定，工程的质量保修期如下：</w:t>
      </w:r>
    </w:p>
    <w:p w14:paraId="0576E804">
      <w:pPr>
        <w:pageBreakBefore w:val="0"/>
        <w:kinsoku/>
        <w:wordWrap/>
        <w:overflowPunct/>
        <w:topLinePunct w:val="0"/>
        <w:bidi w:val="0"/>
        <w:spacing w:line="288" w:lineRule="auto"/>
        <w:ind w:left="0" w:leftChars="0" w:firstLine="480" w:firstLineChars="200"/>
        <w:textAlignment w:val="auto"/>
        <w:rPr>
          <w:rFonts w:ascii="仿宋_GB2312" w:eastAsia="仿宋_GB2312"/>
          <w:color w:val="auto"/>
          <w:sz w:val="24"/>
          <w:highlight w:val="none"/>
        </w:rPr>
      </w:pPr>
      <w:r>
        <w:rPr>
          <w:rFonts w:hint="eastAsia" w:ascii="仿宋_GB2312" w:eastAsia="仿宋_GB2312"/>
          <w:color w:val="auto"/>
          <w:sz w:val="24"/>
          <w:highlight w:val="none"/>
        </w:rPr>
        <w:t>1</w:t>
      </w:r>
      <w:r>
        <w:rPr>
          <w:rFonts w:hint="eastAsia" w:eastAsia="仿宋_GB2312"/>
          <w:color w:val="auto"/>
          <w:sz w:val="24"/>
          <w:highlight w:val="none"/>
        </w:rPr>
        <w:t>．</w:t>
      </w:r>
      <w:r>
        <w:rPr>
          <w:rFonts w:hint="eastAsia" w:ascii="仿宋_GB2312" w:eastAsia="仿宋_GB2312"/>
          <w:color w:val="auto"/>
          <w:sz w:val="24"/>
          <w:highlight w:val="none"/>
        </w:rPr>
        <w:t>地基基础工程和主体结构工程为设计文件规定的工程合理使用年限；</w:t>
      </w:r>
    </w:p>
    <w:p w14:paraId="3DAF8D9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u w:val="single"/>
        </w:rPr>
      </w:pPr>
      <w:r>
        <w:rPr>
          <w:rFonts w:hint="eastAsia" w:eastAsia="仿宋_GB2312"/>
          <w:color w:val="auto"/>
          <w:sz w:val="24"/>
          <w:highlight w:val="none"/>
        </w:rPr>
        <w:t>2</w:t>
      </w:r>
      <w:r>
        <w:rPr>
          <w:rFonts w:hint="eastAsia" w:ascii="仿宋_GB2312" w:eastAsia="仿宋_GB2312"/>
          <w:color w:val="auto"/>
          <w:sz w:val="24"/>
          <w:highlight w:val="none"/>
        </w:rPr>
        <w:t>．</w:t>
      </w:r>
      <w:r>
        <w:rPr>
          <w:rFonts w:eastAsia="仿宋_GB2312"/>
          <w:color w:val="auto"/>
          <w:sz w:val="24"/>
          <w:highlight w:val="none"/>
        </w:rPr>
        <w:t>屋面防水工程、有防水要求的卫生间、房间和外墙面的防渗</w:t>
      </w:r>
      <w:r>
        <w:rPr>
          <w:rFonts w:hint="eastAsia" w:eastAsia="仿宋_GB2312"/>
          <w:color w:val="auto"/>
          <w:sz w:val="24"/>
          <w:highlight w:val="none"/>
        </w:rPr>
        <w:t>为</w:t>
      </w:r>
      <w:r>
        <w:rPr>
          <w:rFonts w:hint="eastAsia" w:eastAsia="仿宋_GB2312"/>
          <w:color w:val="auto"/>
          <w:sz w:val="24"/>
          <w:highlight w:val="none"/>
          <w:u w:val="single"/>
        </w:rPr>
        <w:t xml:space="preserve">5  </w:t>
      </w:r>
      <w:r>
        <w:rPr>
          <w:rFonts w:eastAsia="仿宋_GB2312"/>
          <w:color w:val="auto"/>
          <w:sz w:val="24"/>
          <w:highlight w:val="none"/>
        </w:rPr>
        <w:t>年；</w:t>
      </w:r>
    </w:p>
    <w:p w14:paraId="12D78CCF">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w:t>
      </w:r>
      <w:r>
        <w:rPr>
          <w:rFonts w:hint="eastAsia" w:ascii="仿宋_GB2312" w:eastAsia="仿宋_GB2312"/>
          <w:color w:val="auto"/>
          <w:sz w:val="24"/>
          <w:highlight w:val="none"/>
        </w:rPr>
        <w:t>．</w:t>
      </w:r>
      <w:r>
        <w:rPr>
          <w:rFonts w:eastAsia="仿宋_GB2312"/>
          <w:color w:val="auto"/>
          <w:sz w:val="24"/>
          <w:highlight w:val="none"/>
        </w:rPr>
        <w:t>装修工程为</w:t>
      </w:r>
      <w:r>
        <w:rPr>
          <w:rFonts w:hint="eastAsia" w:eastAsia="仿宋_GB2312"/>
          <w:color w:val="auto"/>
          <w:sz w:val="24"/>
          <w:highlight w:val="none"/>
          <w:u w:val="single"/>
        </w:rPr>
        <w:t xml:space="preserve"> 2 </w:t>
      </w:r>
      <w:r>
        <w:rPr>
          <w:rFonts w:eastAsia="仿宋_GB2312"/>
          <w:color w:val="auto"/>
          <w:sz w:val="24"/>
          <w:highlight w:val="none"/>
        </w:rPr>
        <w:t>年；</w:t>
      </w:r>
    </w:p>
    <w:p w14:paraId="7241A874">
      <w:pPr>
        <w:pageBreakBefore w:val="0"/>
        <w:kinsoku/>
        <w:wordWrap/>
        <w:overflowPunct/>
        <w:topLinePunct w:val="0"/>
        <w:bidi w:val="0"/>
        <w:spacing w:line="288" w:lineRule="auto"/>
        <w:ind w:left="0" w:leftChars="0" w:firstLine="420" w:firstLineChars="175"/>
        <w:textAlignment w:val="auto"/>
        <w:rPr>
          <w:rFonts w:eastAsia="仿宋_GB2312"/>
          <w:color w:val="auto"/>
          <w:sz w:val="24"/>
          <w:highlight w:val="none"/>
        </w:rPr>
      </w:pPr>
      <w:r>
        <w:rPr>
          <w:rFonts w:hint="eastAsia" w:eastAsia="仿宋_GB2312"/>
          <w:color w:val="auto"/>
          <w:sz w:val="24"/>
          <w:highlight w:val="none"/>
        </w:rPr>
        <w:t>4</w:t>
      </w:r>
      <w:r>
        <w:rPr>
          <w:rFonts w:hint="eastAsia" w:ascii="仿宋_GB2312" w:eastAsia="仿宋_GB2312"/>
          <w:color w:val="auto"/>
          <w:sz w:val="24"/>
          <w:highlight w:val="none"/>
        </w:rPr>
        <w:t>．</w:t>
      </w:r>
      <w:r>
        <w:rPr>
          <w:rFonts w:eastAsia="仿宋_GB2312"/>
          <w:color w:val="auto"/>
          <w:sz w:val="24"/>
          <w:highlight w:val="none"/>
        </w:rPr>
        <w:t>电气管线、给排水管道、设备安装工程为</w:t>
      </w:r>
      <w:r>
        <w:rPr>
          <w:rFonts w:hint="eastAsia" w:eastAsia="仿宋_GB2312"/>
          <w:color w:val="auto"/>
          <w:sz w:val="24"/>
          <w:highlight w:val="none"/>
          <w:u w:val="single"/>
        </w:rPr>
        <w:t xml:space="preserve">2  </w:t>
      </w:r>
      <w:r>
        <w:rPr>
          <w:rFonts w:eastAsia="仿宋_GB2312"/>
          <w:color w:val="auto"/>
          <w:sz w:val="24"/>
          <w:highlight w:val="none"/>
        </w:rPr>
        <w:t>年；</w:t>
      </w:r>
    </w:p>
    <w:p w14:paraId="5BE86060">
      <w:pPr>
        <w:pageBreakBefore w:val="0"/>
        <w:kinsoku/>
        <w:wordWrap/>
        <w:overflowPunct/>
        <w:topLinePunct w:val="0"/>
        <w:bidi w:val="0"/>
        <w:spacing w:line="288" w:lineRule="auto"/>
        <w:ind w:left="0" w:leftChars="0" w:firstLine="420" w:firstLineChars="175"/>
        <w:textAlignment w:val="auto"/>
        <w:rPr>
          <w:rFonts w:eastAsia="仿宋_GB2312"/>
          <w:color w:val="auto"/>
          <w:sz w:val="24"/>
          <w:highlight w:val="none"/>
        </w:rPr>
      </w:pPr>
      <w:r>
        <w:rPr>
          <w:rFonts w:hint="eastAsia" w:eastAsia="仿宋_GB2312"/>
          <w:color w:val="auto"/>
          <w:sz w:val="24"/>
          <w:highlight w:val="none"/>
        </w:rPr>
        <w:t>5</w:t>
      </w:r>
      <w:r>
        <w:rPr>
          <w:rFonts w:hint="eastAsia" w:ascii="仿宋_GB2312" w:eastAsia="仿宋_GB2312"/>
          <w:color w:val="auto"/>
          <w:sz w:val="24"/>
          <w:highlight w:val="none"/>
        </w:rPr>
        <w:t>．</w:t>
      </w:r>
      <w:r>
        <w:rPr>
          <w:rFonts w:eastAsia="仿宋_GB2312"/>
          <w:color w:val="auto"/>
          <w:sz w:val="24"/>
          <w:highlight w:val="none"/>
        </w:rPr>
        <w:t>供热与供冷系统为</w:t>
      </w:r>
      <w:r>
        <w:rPr>
          <w:rFonts w:eastAsia="仿宋_GB2312"/>
          <w:color w:val="auto"/>
          <w:sz w:val="24"/>
          <w:highlight w:val="none"/>
          <w:u w:val="single"/>
        </w:rPr>
        <w:t xml:space="preserve"> </w:t>
      </w:r>
      <w:r>
        <w:rPr>
          <w:rFonts w:hint="eastAsia" w:eastAsia="仿宋_GB2312"/>
          <w:color w:val="auto"/>
          <w:sz w:val="24"/>
          <w:highlight w:val="none"/>
          <w:u w:val="single"/>
        </w:rPr>
        <w:t>2</w:t>
      </w:r>
      <w:r>
        <w:rPr>
          <w:rFonts w:eastAsia="仿宋_GB2312"/>
          <w:color w:val="auto"/>
          <w:sz w:val="24"/>
          <w:highlight w:val="none"/>
          <w:u w:val="single"/>
        </w:rPr>
        <w:t xml:space="preserve"> </w:t>
      </w:r>
      <w:r>
        <w:rPr>
          <w:rFonts w:eastAsia="仿宋_GB2312"/>
          <w:color w:val="auto"/>
          <w:sz w:val="24"/>
          <w:highlight w:val="none"/>
        </w:rPr>
        <w:t>个采暖期、供冷期；</w:t>
      </w:r>
    </w:p>
    <w:p w14:paraId="7CC634FD">
      <w:pPr>
        <w:pageBreakBefore w:val="0"/>
        <w:kinsoku/>
        <w:wordWrap/>
        <w:overflowPunct/>
        <w:topLinePunct w:val="0"/>
        <w:bidi w:val="0"/>
        <w:spacing w:line="288" w:lineRule="auto"/>
        <w:ind w:left="0" w:leftChars="0" w:firstLine="420" w:firstLineChars="175"/>
        <w:textAlignment w:val="auto"/>
        <w:rPr>
          <w:rFonts w:eastAsia="仿宋_GB2312"/>
          <w:color w:val="auto"/>
          <w:sz w:val="24"/>
          <w:highlight w:val="none"/>
        </w:rPr>
      </w:pPr>
      <w:r>
        <w:rPr>
          <w:rFonts w:hint="eastAsia" w:eastAsia="仿宋_GB2312"/>
          <w:color w:val="auto"/>
          <w:sz w:val="24"/>
          <w:highlight w:val="none"/>
        </w:rPr>
        <w:t>6</w:t>
      </w:r>
      <w:r>
        <w:rPr>
          <w:rFonts w:hint="eastAsia" w:ascii="仿宋_GB2312" w:eastAsia="仿宋_GB2312"/>
          <w:color w:val="auto"/>
          <w:sz w:val="24"/>
          <w:highlight w:val="none"/>
        </w:rPr>
        <w:t>．</w:t>
      </w:r>
      <w:r>
        <w:rPr>
          <w:rFonts w:eastAsia="仿宋_GB2312"/>
          <w:color w:val="auto"/>
          <w:sz w:val="24"/>
          <w:highlight w:val="none"/>
        </w:rPr>
        <w:t>住宅小区内的给排水设施、道路等配套工程为</w:t>
      </w:r>
      <w:r>
        <w:rPr>
          <w:rFonts w:hint="eastAsia" w:eastAsia="仿宋_GB2312"/>
          <w:color w:val="auto"/>
          <w:sz w:val="24"/>
          <w:highlight w:val="none"/>
          <w:u w:val="single"/>
        </w:rPr>
        <w:t xml:space="preserve">2 </w:t>
      </w:r>
      <w:r>
        <w:rPr>
          <w:rFonts w:eastAsia="仿宋_GB2312"/>
          <w:color w:val="auto"/>
          <w:sz w:val="24"/>
          <w:highlight w:val="none"/>
          <w:u w:val="single"/>
        </w:rPr>
        <w:t xml:space="preserve">  </w:t>
      </w:r>
      <w:r>
        <w:rPr>
          <w:rFonts w:eastAsia="仿宋_GB2312"/>
          <w:color w:val="auto"/>
          <w:sz w:val="24"/>
          <w:highlight w:val="none"/>
        </w:rPr>
        <w:t>年；</w:t>
      </w:r>
    </w:p>
    <w:p w14:paraId="5AEBC040">
      <w:pPr>
        <w:pageBreakBefore w:val="0"/>
        <w:kinsoku/>
        <w:wordWrap/>
        <w:overflowPunct/>
        <w:topLinePunct w:val="0"/>
        <w:bidi w:val="0"/>
        <w:spacing w:line="288" w:lineRule="auto"/>
        <w:ind w:left="0" w:leftChars="0" w:firstLine="420" w:firstLineChars="175"/>
        <w:textAlignment w:val="auto"/>
        <w:rPr>
          <w:rFonts w:eastAsia="仿宋_GB2312"/>
          <w:color w:val="auto"/>
          <w:sz w:val="24"/>
          <w:highlight w:val="none"/>
        </w:rPr>
      </w:pPr>
      <w:r>
        <w:rPr>
          <w:rFonts w:hint="eastAsia" w:eastAsia="仿宋_GB2312"/>
          <w:color w:val="auto"/>
          <w:sz w:val="24"/>
          <w:highlight w:val="none"/>
        </w:rPr>
        <w:t>7</w:t>
      </w:r>
      <w:r>
        <w:rPr>
          <w:rFonts w:hint="eastAsia" w:ascii="仿宋_GB2312" w:eastAsia="仿宋_GB2312"/>
          <w:color w:val="auto"/>
          <w:sz w:val="24"/>
          <w:highlight w:val="none"/>
        </w:rPr>
        <w:t>．</w:t>
      </w:r>
      <w:r>
        <w:rPr>
          <w:rFonts w:eastAsia="仿宋_GB2312"/>
          <w:color w:val="auto"/>
          <w:sz w:val="24"/>
          <w:highlight w:val="none"/>
        </w:rPr>
        <w:t>其他项目保修期限约定如下：</w:t>
      </w:r>
      <w:r>
        <w:rPr>
          <w:rFonts w:hint="eastAsia" w:eastAsia="仿宋_GB2312"/>
          <w:color w:val="auto"/>
          <w:sz w:val="24"/>
          <w:highlight w:val="none"/>
          <w:u w:val="single"/>
        </w:rPr>
        <w:t>招标范围内所有工程保修期为2年。</w:t>
      </w:r>
    </w:p>
    <w:p w14:paraId="213B3849">
      <w:pPr>
        <w:pageBreakBefore w:val="0"/>
        <w:kinsoku/>
        <w:wordWrap/>
        <w:overflowPunct/>
        <w:topLinePunct w:val="0"/>
        <w:bidi w:val="0"/>
        <w:spacing w:line="288" w:lineRule="auto"/>
        <w:ind w:left="0" w:leftChars="0"/>
        <w:textAlignment w:val="auto"/>
        <w:rPr>
          <w:rFonts w:eastAsia="仿宋_GB2312"/>
          <w:b/>
          <w:color w:val="auto"/>
          <w:sz w:val="24"/>
          <w:highlight w:val="none"/>
        </w:rPr>
      </w:pPr>
      <w:r>
        <w:rPr>
          <w:rFonts w:eastAsia="仿宋_GB2312"/>
          <w:color w:val="auto"/>
          <w:sz w:val="24"/>
          <w:highlight w:val="none"/>
        </w:rPr>
        <w:t>　　</w:t>
      </w:r>
      <w:r>
        <w:rPr>
          <w:rFonts w:eastAsia="仿宋_GB2312"/>
          <w:b/>
          <w:color w:val="auto"/>
          <w:sz w:val="24"/>
          <w:highlight w:val="none"/>
        </w:rPr>
        <w:t>质量保修期自工程竣工验收合格之日起计算。质量保修期</w:t>
      </w:r>
      <w:r>
        <w:rPr>
          <w:rFonts w:hint="eastAsia" w:eastAsia="仿宋_GB2312"/>
          <w:b/>
          <w:color w:val="auto"/>
          <w:sz w:val="24"/>
          <w:highlight w:val="none"/>
        </w:rPr>
        <w:t>内发生问题经维修后，质保时间顺延。</w:t>
      </w:r>
    </w:p>
    <w:p w14:paraId="77EB049C">
      <w:pPr>
        <w:pageBreakBefore w:val="0"/>
        <w:kinsoku/>
        <w:wordWrap/>
        <w:overflowPunct/>
        <w:topLinePunct w:val="0"/>
        <w:bidi w:val="0"/>
        <w:spacing w:line="288" w:lineRule="auto"/>
        <w:ind w:left="0" w:leftChars="0" w:firstLine="480" w:firstLineChars="200"/>
        <w:textAlignment w:val="auto"/>
        <w:outlineLvl w:val="1"/>
        <w:rPr>
          <w:rFonts w:eastAsia="黑体"/>
          <w:color w:val="auto"/>
          <w:sz w:val="24"/>
          <w:highlight w:val="none"/>
        </w:rPr>
      </w:pPr>
      <w:r>
        <w:rPr>
          <w:rFonts w:eastAsia="黑体"/>
          <w:color w:val="auto"/>
          <w:sz w:val="24"/>
          <w:highlight w:val="none"/>
        </w:rPr>
        <w:t>三、缺陷责任期</w:t>
      </w:r>
    </w:p>
    <w:p w14:paraId="0E1CC87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仿宋_GB2312" w:eastAsia="仿宋_GB2312"/>
          <w:color w:val="auto"/>
          <w:sz w:val="24"/>
          <w:highlight w:val="none"/>
        </w:rPr>
        <w:t>1</w:t>
      </w:r>
      <w:r>
        <w:rPr>
          <w:rFonts w:hint="eastAsia" w:eastAsia="仿宋_GB2312"/>
          <w:color w:val="auto"/>
          <w:sz w:val="24"/>
          <w:highlight w:val="none"/>
        </w:rPr>
        <w:t>．本</w:t>
      </w:r>
      <w:r>
        <w:rPr>
          <w:rFonts w:eastAsia="仿宋_GB2312"/>
          <w:color w:val="auto"/>
          <w:sz w:val="24"/>
          <w:highlight w:val="none"/>
        </w:rPr>
        <w:t>工程缺陷责任期为</w:t>
      </w:r>
      <w:r>
        <w:rPr>
          <w:rFonts w:hint="eastAsia" w:eastAsia="仿宋_GB2312"/>
          <w:b/>
          <w:color w:val="auto"/>
          <w:sz w:val="24"/>
          <w:highlight w:val="none"/>
          <w:u w:val="single"/>
        </w:rPr>
        <w:t>24</w:t>
      </w:r>
      <w:r>
        <w:rPr>
          <w:rFonts w:eastAsia="仿宋_GB2312"/>
          <w:color w:val="auto"/>
          <w:sz w:val="24"/>
          <w:highlight w:val="none"/>
        </w:rPr>
        <w:t>个月，缺陷责任期自工程</w:t>
      </w:r>
      <w:r>
        <w:rPr>
          <w:rFonts w:hint="eastAsia" w:eastAsia="仿宋_GB2312"/>
          <w:color w:val="auto"/>
          <w:sz w:val="24"/>
          <w:highlight w:val="none"/>
        </w:rPr>
        <w:t>通过竣工验收</w:t>
      </w:r>
      <w:r>
        <w:rPr>
          <w:rFonts w:eastAsia="仿宋_GB2312"/>
          <w:color w:val="auto"/>
          <w:sz w:val="24"/>
          <w:highlight w:val="none"/>
        </w:rPr>
        <w:t>之日起计算。单位工程先于全部工程进行验收，单位工程缺陷责任期自单位工程验收合格之日起算。</w:t>
      </w:r>
    </w:p>
    <w:p w14:paraId="01423C9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ascii="仿宋_GB2312" w:eastAsia="仿宋_GB2312"/>
          <w:color w:val="auto"/>
          <w:sz w:val="24"/>
          <w:highlight w:val="none"/>
        </w:rPr>
        <w:t>2</w:t>
      </w:r>
      <w:r>
        <w:rPr>
          <w:rFonts w:hint="eastAsia" w:eastAsia="仿宋_GB2312"/>
          <w:color w:val="auto"/>
          <w:sz w:val="24"/>
          <w:highlight w:val="none"/>
        </w:rPr>
        <w:t>．</w:t>
      </w:r>
      <w:r>
        <w:rPr>
          <w:rFonts w:eastAsia="仿宋_GB2312"/>
          <w:color w:val="auto"/>
          <w:sz w:val="24"/>
          <w:highlight w:val="none"/>
        </w:rPr>
        <w:t>缺陷责任期终止后，发包人应退还剩余的质量保证金。</w:t>
      </w:r>
    </w:p>
    <w:p w14:paraId="651B46C4">
      <w:pPr>
        <w:pageBreakBefore w:val="0"/>
        <w:kinsoku/>
        <w:wordWrap/>
        <w:overflowPunct/>
        <w:topLinePunct w:val="0"/>
        <w:bidi w:val="0"/>
        <w:spacing w:line="288" w:lineRule="auto"/>
        <w:ind w:left="0" w:leftChars="0"/>
        <w:textAlignment w:val="auto"/>
        <w:outlineLvl w:val="0"/>
        <w:rPr>
          <w:rFonts w:eastAsia="黑体"/>
          <w:color w:val="auto"/>
          <w:sz w:val="24"/>
          <w:highlight w:val="none"/>
        </w:rPr>
      </w:pPr>
      <w:r>
        <w:rPr>
          <w:rFonts w:eastAsia="黑体"/>
          <w:color w:val="auto"/>
          <w:sz w:val="24"/>
          <w:highlight w:val="none"/>
        </w:rPr>
        <w:t xml:space="preserve">    四、质量保修责任</w:t>
      </w:r>
    </w:p>
    <w:p w14:paraId="6276CC35">
      <w:pPr>
        <w:pageBreakBefore w:val="0"/>
        <w:kinsoku/>
        <w:wordWrap/>
        <w:overflowPunct/>
        <w:topLinePunct w:val="0"/>
        <w:bidi w:val="0"/>
        <w:spacing w:line="288" w:lineRule="auto"/>
        <w:ind w:left="0" w:leftChars="0" w:firstLine="491" w:firstLineChars="205"/>
        <w:textAlignment w:val="auto"/>
        <w:rPr>
          <w:rFonts w:eastAsia="仿宋_GB2312"/>
          <w:color w:val="auto"/>
          <w:sz w:val="24"/>
          <w:highlight w:val="none"/>
        </w:rPr>
      </w:pPr>
      <w:r>
        <w:rPr>
          <w:rFonts w:hint="eastAsia" w:eastAsia="仿宋_GB2312"/>
          <w:color w:val="auto"/>
          <w:sz w:val="24"/>
          <w:highlight w:val="none"/>
        </w:rPr>
        <w:t>1</w:t>
      </w:r>
      <w:r>
        <w:rPr>
          <w:rFonts w:hint="eastAsia" w:ascii="仿宋_GB2312" w:eastAsia="仿宋_GB2312"/>
          <w:color w:val="auto"/>
          <w:sz w:val="24"/>
          <w:highlight w:val="none"/>
        </w:rPr>
        <w:t>．</w:t>
      </w:r>
      <w:r>
        <w:rPr>
          <w:rFonts w:eastAsia="仿宋_GB2312"/>
          <w:color w:val="auto"/>
          <w:sz w:val="24"/>
          <w:highlight w:val="none"/>
        </w:rPr>
        <w:t>属于保修范围、内容的项目，承包人应当在接到保修通知之日起7天内派人保修。承包人不在约定期限内派人保修的，发包人可以委托他人修理。</w:t>
      </w:r>
    </w:p>
    <w:p w14:paraId="0284EDFE">
      <w:pPr>
        <w:pageBreakBefore w:val="0"/>
        <w:kinsoku/>
        <w:wordWrap/>
        <w:overflowPunct/>
        <w:topLinePunct w:val="0"/>
        <w:bidi w:val="0"/>
        <w:spacing w:line="288" w:lineRule="auto"/>
        <w:ind w:left="0" w:leftChars="0" w:firstLine="491" w:firstLineChars="205"/>
        <w:textAlignment w:val="auto"/>
        <w:rPr>
          <w:rFonts w:eastAsia="仿宋_GB2312"/>
          <w:color w:val="auto"/>
          <w:sz w:val="24"/>
          <w:highlight w:val="none"/>
        </w:rPr>
      </w:pPr>
      <w:r>
        <w:rPr>
          <w:rFonts w:hint="eastAsia" w:eastAsia="仿宋_GB2312"/>
          <w:color w:val="auto"/>
          <w:sz w:val="24"/>
          <w:highlight w:val="none"/>
        </w:rPr>
        <w:t>2</w:t>
      </w:r>
      <w:r>
        <w:rPr>
          <w:rFonts w:hint="eastAsia" w:ascii="仿宋_GB2312" w:eastAsia="仿宋_GB2312"/>
          <w:color w:val="auto"/>
          <w:sz w:val="24"/>
          <w:highlight w:val="none"/>
        </w:rPr>
        <w:t>．</w:t>
      </w:r>
      <w:r>
        <w:rPr>
          <w:rFonts w:eastAsia="仿宋_GB2312"/>
          <w:color w:val="auto"/>
          <w:sz w:val="24"/>
          <w:highlight w:val="none"/>
        </w:rPr>
        <w:t>发生紧急事故需抢修的，承包人在接到事故通知后，应当立即到达事故现场抢修。</w:t>
      </w:r>
    </w:p>
    <w:p w14:paraId="40AAC97E">
      <w:pPr>
        <w:pageBreakBefore w:val="0"/>
        <w:kinsoku/>
        <w:wordWrap/>
        <w:overflowPunct/>
        <w:topLinePunct w:val="0"/>
        <w:bidi w:val="0"/>
        <w:spacing w:line="288" w:lineRule="auto"/>
        <w:ind w:left="0" w:leftChars="0" w:firstLine="491" w:firstLineChars="205"/>
        <w:textAlignment w:val="auto"/>
        <w:rPr>
          <w:rFonts w:eastAsia="仿宋_GB2312"/>
          <w:color w:val="auto"/>
          <w:sz w:val="24"/>
          <w:highlight w:val="none"/>
        </w:rPr>
      </w:pPr>
      <w:r>
        <w:rPr>
          <w:rFonts w:hint="eastAsia" w:eastAsia="仿宋_GB2312"/>
          <w:color w:val="auto"/>
          <w:sz w:val="24"/>
          <w:highlight w:val="none"/>
        </w:rPr>
        <w:t>3</w:t>
      </w:r>
      <w:r>
        <w:rPr>
          <w:rFonts w:hint="eastAsia" w:ascii="仿宋_GB2312" w:eastAsia="仿宋_GB2312"/>
          <w:color w:val="auto"/>
          <w:sz w:val="24"/>
          <w:highlight w:val="none"/>
        </w:rPr>
        <w:t>．</w:t>
      </w:r>
      <w:r>
        <w:rPr>
          <w:rFonts w:eastAsia="仿宋_GB2312"/>
          <w:color w:val="auto"/>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300C4A8">
      <w:pPr>
        <w:pageBreakBefore w:val="0"/>
        <w:kinsoku/>
        <w:wordWrap/>
        <w:overflowPunct/>
        <w:topLinePunct w:val="0"/>
        <w:bidi w:val="0"/>
        <w:spacing w:line="288" w:lineRule="auto"/>
        <w:ind w:left="0" w:leftChars="0" w:firstLine="600" w:firstLineChars="250"/>
        <w:textAlignment w:val="auto"/>
        <w:rPr>
          <w:rFonts w:eastAsia="仿宋_GB2312"/>
          <w:color w:val="auto"/>
          <w:sz w:val="24"/>
          <w:highlight w:val="none"/>
        </w:rPr>
      </w:pPr>
      <w:r>
        <w:rPr>
          <w:rFonts w:hint="eastAsia" w:eastAsia="仿宋_GB2312"/>
          <w:color w:val="auto"/>
          <w:sz w:val="24"/>
          <w:highlight w:val="none"/>
        </w:rPr>
        <w:t>4</w:t>
      </w:r>
      <w:r>
        <w:rPr>
          <w:rFonts w:hint="eastAsia" w:ascii="仿宋_GB2312" w:eastAsia="仿宋_GB2312"/>
          <w:color w:val="auto"/>
          <w:sz w:val="24"/>
          <w:highlight w:val="none"/>
        </w:rPr>
        <w:t>．</w:t>
      </w:r>
      <w:r>
        <w:rPr>
          <w:rFonts w:eastAsia="仿宋_GB2312"/>
          <w:color w:val="auto"/>
          <w:sz w:val="24"/>
          <w:highlight w:val="none"/>
        </w:rPr>
        <w:t>质量保修完成后，由发包人组织验收。</w:t>
      </w:r>
    </w:p>
    <w:p w14:paraId="7F8568B9">
      <w:pPr>
        <w:pageBreakBefore w:val="0"/>
        <w:kinsoku/>
        <w:wordWrap/>
        <w:overflowPunct/>
        <w:topLinePunct w:val="0"/>
        <w:bidi w:val="0"/>
        <w:spacing w:line="288" w:lineRule="auto"/>
        <w:ind w:left="0" w:leftChars="0"/>
        <w:textAlignment w:val="auto"/>
        <w:outlineLvl w:val="0"/>
        <w:rPr>
          <w:rFonts w:eastAsia="黑体"/>
          <w:color w:val="auto"/>
          <w:sz w:val="24"/>
          <w:highlight w:val="none"/>
        </w:rPr>
      </w:pPr>
      <w:r>
        <w:rPr>
          <w:rFonts w:eastAsia="黑体"/>
          <w:color w:val="auto"/>
          <w:sz w:val="24"/>
          <w:highlight w:val="none"/>
        </w:rPr>
        <w:t>　　五、保修费用</w:t>
      </w:r>
    </w:p>
    <w:p w14:paraId="3C0F7F9D">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eastAsia="仿宋_GB2312"/>
          <w:color w:val="auto"/>
          <w:sz w:val="24"/>
          <w:highlight w:val="none"/>
        </w:rPr>
        <w:t>　　保修费用由造成质量缺陷的责任方承担。</w:t>
      </w:r>
    </w:p>
    <w:p w14:paraId="399F6DFF">
      <w:pPr>
        <w:pageBreakBefore w:val="0"/>
        <w:kinsoku/>
        <w:wordWrap/>
        <w:overflowPunct/>
        <w:topLinePunct w:val="0"/>
        <w:bidi w:val="0"/>
        <w:spacing w:line="288" w:lineRule="auto"/>
        <w:ind w:left="0" w:leftChars="0" w:firstLine="600"/>
        <w:jc w:val="left"/>
        <w:textAlignment w:val="auto"/>
        <w:outlineLvl w:val="0"/>
        <w:rPr>
          <w:rFonts w:eastAsia="仿宋_GB2312"/>
          <w:color w:val="auto"/>
          <w:sz w:val="24"/>
          <w:highlight w:val="none"/>
          <w:u w:val="single"/>
        </w:rPr>
      </w:pPr>
      <w:r>
        <w:rPr>
          <w:rFonts w:eastAsia="黑体"/>
          <w:b/>
          <w:color w:val="auto"/>
          <w:sz w:val="24"/>
          <w:highlight w:val="none"/>
        </w:rPr>
        <w:t>六</w:t>
      </w:r>
      <w:r>
        <w:rPr>
          <w:rFonts w:eastAsia="黑体"/>
          <w:color w:val="auto"/>
          <w:sz w:val="24"/>
          <w:highlight w:val="none"/>
        </w:rPr>
        <w:t>、双方约定的其他工程质量保修事项</w:t>
      </w:r>
      <w:r>
        <w:rPr>
          <w:rFonts w:eastAsia="仿宋_GB2312"/>
          <w:color w:val="auto"/>
          <w:sz w:val="24"/>
          <w:highlight w:val="none"/>
        </w:rPr>
        <w:t>：</w:t>
      </w:r>
      <w:r>
        <w:rPr>
          <w:rFonts w:eastAsia="仿宋_GB2312"/>
          <w:color w:val="auto"/>
          <w:sz w:val="24"/>
          <w:highlight w:val="none"/>
          <w:u w:val="single"/>
        </w:rPr>
        <w:t xml:space="preserve">       </w:t>
      </w:r>
      <w:r>
        <w:rPr>
          <w:rFonts w:hint="eastAsia" w:eastAsia="仿宋_GB2312"/>
          <w:color w:val="auto"/>
          <w:sz w:val="24"/>
          <w:highlight w:val="none"/>
          <w:u w:val="single"/>
        </w:rPr>
        <w:t xml:space="preserve"> /   </w:t>
      </w:r>
      <w:r>
        <w:rPr>
          <w:rFonts w:eastAsia="仿宋_GB2312"/>
          <w:color w:val="auto"/>
          <w:sz w:val="24"/>
          <w:highlight w:val="none"/>
          <w:u w:val="single"/>
        </w:rPr>
        <w:t xml:space="preserve">     </w:t>
      </w:r>
      <w:r>
        <w:rPr>
          <w:rFonts w:hint="eastAsia" w:eastAsia="仿宋_GB2312"/>
          <w:color w:val="auto"/>
          <w:sz w:val="24"/>
          <w:highlight w:val="none"/>
          <w:u w:val="single"/>
        </w:rPr>
        <w:t xml:space="preserve"> </w:t>
      </w:r>
      <w:r>
        <w:rPr>
          <w:rFonts w:eastAsia="仿宋_GB2312"/>
          <w:color w:val="auto"/>
          <w:sz w:val="24"/>
          <w:highlight w:val="none"/>
          <w:u w:val="single"/>
        </w:rPr>
        <w:t xml:space="preserve">    </w:t>
      </w:r>
      <w:r>
        <w:rPr>
          <w:rFonts w:eastAsia="仿宋_GB2312"/>
          <w:color w:val="auto"/>
          <w:sz w:val="24"/>
          <w:highlight w:val="none"/>
        </w:rPr>
        <w:t>。</w:t>
      </w:r>
    </w:p>
    <w:p w14:paraId="344B9FD0">
      <w:pPr>
        <w:pageBreakBefore w:val="0"/>
        <w:kinsoku/>
        <w:wordWrap/>
        <w:overflowPunct/>
        <w:topLinePunct w:val="0"/>
        <w:bidi w:val="0"/>
        <w:spacing w:line="288" w:lineRule="auto"/>
        <w:ind w:left="0" w:leftChars="0" w:firstLine="456" w:firstLineChars="190"/>
        <w:textAlignment w:val="auto"/>
        <w:rPr>
          <w:rFonts w:eastAsia="仿宋_GB2312"/>
          <w:color w:val="auto"/>
          <w:sz w:val="24"/>
          <w:highlight w:val="none"/>
        </w:rPr>
      </w:pPr>
      <w:r>
        <w:rPr>
          <w:rFonts w:eastAsia="仿宋_GB2312"/>
          <w:color w:val="auto"/>
          <w:sz w:val="24"/>
          <w:highlight w:val="none"/>
        </w:rPr>
        <w:t>工程质量保修书由发包人、承包人在工程竣工验收前共同签署，作为施工合同附件，其有效期限至保修期满。</w:t>
      </w:r>
    </w:p>
    <w:p w14:paraId="543EAFAD">
      <w:pPr>
        <w:pageBreakBefore w:val="0"/>
        <w:kinsoku/>
        <w:wordWrap/>
        <w:overflowPunct/>
        <w:topLinePunct w:val="0"/>
        <w:bidi w:val="0"/>
        <w:spacing w:line="288" w:lineRule="auto"/>
        <w:ind w:left="0" w:leftChars="0" w:firstLine="480" w:firstLineChars="200"/>
        <w:textAlignment w:val="auto"/>
        <w:rPr>
          <w:rFonts w:ascii="宋体" w:hAnsi="宋体" w:cs="Tahoma"/>
          <w:color w:val="auto"/>
          <w:sz w:val="24"/>
          <w:highlight w:val="none"/>
          <w:shd w:val="clear" w:color="auto" w:fill="FFFFFF"/>
        </w:rPr>
      </w:pPr>
    </w:p>
    <w:p w14:paraId="03E653C5">
      <w:pPr>
        <w:pageBreakBefore w:val="0"/>
        <w:kinsoku/>
        <w:wordWrap/>
        <w:overflowPunct/>
        <w:topLinePunct w:val="0"/>
        <w:bidi w:val="0"/>
        <w:spacing w:line="288" w:lineRule="auto"/>
        <w:ind w:left="0" w:leftChars="0" w:firstLine="480" w:firstLineChars="200"/>
        <w:textAlignment w:val="auto"/>
        <w:rPr>
          <w:rFonts w:ascii="宋体" w:hAnsi="宋体" w:cs="Tahoma"/>
          <w:color w:val="auto"/>
          <w:sz w:val="24"/>
          <w:highlight w:val="none"/>
          <w:shd w:val="clear" w:color="auto" w:fill="FFFFFF"/>
        </w:rPr>
      </w:pPr>
    </w:p>
    <w:p w14:paraId="362870D4">
      <w:pPr>
        <w:pageBreakBefore w:val="0"/>
        <w:kinsoku/>
        <w:wordWrap/>
        <w:overflowPunct/>
        <w:topLinePunct w:val="0"/>
        <w:bidi w:val="0"/>
        <w:spacing w:line="288" w:lineRule="auto"/>
        <w:ind w:left="0" w:leftChars="0" w:firstLine="480" w:firstLineChars="200"/>
        <w:textAlignment w:val="auto"/>
        <w:rPr>
          <w:rFonts w:ascii="宋体" w:hAnsi="宋体" w:cs="Tahoma"/>
          <w:color w:val="auto"/>
          <w:sz w:val="24"/>
          <w:highlight w:val="none"/>
          <w:shd w:val="clear" w:color="auto" w:fill="FFFFFF"/>
        </w:rPr>
      </w:pPr>
    </w:p>
    <w:p w14:paraId="487D3AB3">
      <w:pPr>
        <w:pageBreakBefore w:val="0"/>
        <w:kinsoku/>
        <w:wordWrap/>
        <w:overflowPunct/>
        <w:topLinePunct w:val="0"/>
        <w:bidi w:val="0"/>
        <w:spacing w:line="288" w:lineRule="auto"/>
        <w:ind w:left="0" w:leftChars="0" w:firstLine="480" w:firstLineChars="200"/>
        <w:textAlignment w:val="auto"/>
        <w:rPr>
          <w:rFonts w:ascii="宋体" w:hAnsi="宋体" w:cs="Tahoma"/>
          <w:color w:val="auto"/>
          <w:sz w:val="24"/>
          <w:highlight w:val="none"/>
          <w:shd w:val="clear" w:color="auto" w:fill="FFFFFF"/>
        </w:rPr>
      </w:pPr>
    </w:p>
    <w:p w14:paraId="0741BC06">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7FD6E13B">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718B9755">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13397E4F">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1FAF5BDE">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25640BD9">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0A274027">
      <w:pPr>
        <w:pageBreakBefore w:val="0"/>
        <w:shd w:val="clear" w:color="auto"/>
        <w:kinsoku/>
        <w:wordWrap/>
        <w:overflowPunct/>
        <w:topLinePunct w:val="0"/>
        <w:bidi w:val="0"/>
        <w:spacing w:line="288" w:lineRule="auto"/>
        <w:ind w:left="0" w:leftChars="0"/>
        <w:jc w:val="left"/>
        <w:textAlignment w:val="auto"/>
        <w:rPr>
          <w:rFonts w:ascii="宋体" w:hAnsi="宋体" w:cs="宋体"/>
          <w:color w:val="auto"/>
          <w:sz w:val="24"/>
          <w:highlight w:val="none"/>
        </w:rPr>
      </w:pPr>
    </w:p>
    <w:p w14:paraId="35CD2EED">
      <w:pPr>
        <w:rPr>
          <w:rFonts w:hint="eastAsia" w:eastAsia="仿宋_GB2312"/>
          <w:color w:val="auto"/>
          <w:sz w:val="24"/>
          <w:highlight w:val="none"/>
        </w:rPr>
      </w:pPr>
      <w:r>
        <w:rPr>
          <w:rFonts w:hint="eastAsia" w:eastAsia="仿宋_GB2312"/>
          <w:color w:val="auto"/>
          <w:sz w:val="24"/>
          <w:highlight w:val="none"/>
        </w:rPr>
        <w:br w:type="page"/>
      </w:r>
    </w:p>
    <w:p w14:paraId="1ED4D41D">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附件2：</w:t>
      </w:r>
    </w:p>
    <w:p w14:paraId="65DA1BFF">
      <w:pPr>
        <w:pageBreakBefore w:val="0"/>
        <w:kinsoku/>
        <w:wordWrap/>
        <w:overflowPunct/>
        <w:topLinePunct w:val="0"/>
        <w:bidi w:val="0"/>
        <w:spacing w:line="288" w:lineRule="auto"/>
        <w:ind w:left="0" w:leftChars="0"/>
        <w:jc w:val="center"/>
        <w:textAlignment w:val="auto"/>
        <w:rPr>
          <w:rFonts w:eastAsia="黑体"/>
          <w:color w:val="auto"/>
          <w:sz w:val="24"/>
          <w:highlight w:val="none"/>
        </w:rPr>
      </w:pPr>
      <w:r>
        <w:rPr>
          <w:rFonts w:hint="eastAsia" w:eastAsia="黑体"/>
          <w:color w:val="auto"/>
          <w:sz w:val="24"/>
          <w:highlight w:val="none"/>
        </w:rPr>
        <w:t>维修工程承发包安全文明环保管理协议</w:t>
      </w:r>
    </w:p>
    <w:p w14:paraId="7B710011">
      <w:pPr>
        <w:pageBreakBefore w:val="0"/>
        <w:kinsoku/>
        <w:wordWrap/>
        <w:overflowPunct/>
        <w:topLinePunct w:val="0"/>
        <w:bidi w:val="0"/>
        <w:spacing w:line="288" w:lineRule="auto"/>
        <w:ind w:left="0" w:leftChars="0"/>
        <w:jc w:val="center"/>
        <w:textAlignment w:val="auto"/>
        <w:rPr>
          <w:rFonts w:ascii="宋体" w:hAnsi="宋体"/>
          <w:b/>
          <w:color w:val="auto"/>
          <w:sz w:val="32"/>
          <w:szCs w:val="32"/>
          <w:highlight w:val="none"/>
        </w:rPr>
      </w:pPr>
    </w:p>
    <w:p w14:paraId="391C84BC">
      <w:pPr>
        <w:pageBreakBefore w:val="0"/>
        <w:kinsoku/>
        <w:wordWrap/>
        <w:overflowPunct/>
        <w:topLinePunct w:val="0"/>
        <w:bidi w:val="0"/>
        <w:spacing w:line="288" w:lineRule="auto"/>
        <w:ind w:left="0" w:leftChars="0"/>
        <w:textAlignment w:val="auto"/>
        <w:rPr>
          <w:rFonts w:ascii="宋体" w:hAnsi="宋体"/>
          <w:color w:val="auto"/>
          <w:sz w:val="24"/>
          <w:highlight w:val="none"/>
          <w:u w:val="single"/>
        </w:rPr>
      </w:pPr>
      <w:r>
        <w:rPr>
          <w:rFonts w:hint="eastAsia" w:ascii="宋体" w:hAnsi="宋体"/>
          <w:b/>
          <w:color w:val="auto"/>
          <w:sz w:val="24"/>
          <w:highlight w:val="none"/>
        </w:rPr>
        <w:t>发包人</w:t>
      </w:r>
      <w:r>
        <w:rPr>
          <w:rFonts w:hint="eastAsia" w:ascii="宋体" w:hAnsi="宋体"/>
          <w:color w:val="auto"/>
          <w:sz w:val="24"/>
          <w:highlight w:val="none"/>
        </w:rPr>
        <w:t>（以下简称甲方）</w:t>
      </w:r>
      <w:r>
        <w:rPr>
          <w:rFonts w:hint="eastAsia" w:ascii="宋体" w:hAnsi="宋体"/>
          <w:b/>
          <w:color w:val="auto"/>
          <w:sz w:val="24"/>
          <w:highlight w:val="none"/>
        </w:rPr>
        <w:t>：</w:t>
      </w:r>
      <w:r>
        <w:rPr>
          <w:rFonts w:hint="eastAsia" w:ascii="Times New Roman" w:hAnsi="Times New Roman" w:eastAsia="仿宋_GB2312"/>
          <w:b/>
          <w:color w:val="auto"/>
          <w:sz w:val="24"/>
          <w:highlight w:val="none"/>
          <w:u w:val="single"/>
        </w:rPr>
        <w:t>江苏师范大学</w:t>
      </w:r>
    </w:p>
    <w:p w14:paraId="161D042E">
      <w:pPr>
        <w:pageBreakBefore w:val="0"/>
        <w:kinsoku/>
        <w:wordWrap/>
        <w:overflowPunct/>
        <w:topLinePunct w:val="0"/>
        <w:bidi w:val="0"/>
        <w:spacing w:line="288" w:lineRule="auto"/>
        <w:ind w:left="0" w:leftChars="0"/>
        <w:textAlignment w:val="auto"/>
        <w:rPr>
          <w:rFonts w:ascii="宋体" w:hAnsi="宋体"/>
          <w:color w:val="auto"/>
          <w:sz w:val="24"/>
          <w:highlight w:val="none"/>
          <w:u w:val="single"/>
        </w:rPr>
      </w:pPr>
      <w:r>
        <w:rPr>
          <w:rFonts w:hint="eastAsia" w:ascii="宋体" w:hAnsi="宋体"/>
          <w:b/>
          <w:color w:val="auto"/>
          <w:sz w:val="24"/>
          <w:highlight w:val="none"/>
        </w:rPr>
        <w:t>承包人</w:t>
      </w:r>
      <w:r>
        <w:rPr>
          <w:rFonts w:hint="eastAsia" w:ascii="宋体" w:hAnsi="宋体"/>
          <w:color w:val="auto"/>
          <w:sz w:val="24"/>
          <w:highlight w:val="none"/>
        </w:rPr>
        <w:t>（以下简称乙方）：</w:t>
      </w:r>
      <w:r>
        <w:rPr>
          <w:rFonts w:hint="eastAsia" w:ascii="Times New Roman" w:hAnsi="Times New Roman" w:eastAsia="仿宋_GB2312"/>
          <w:b/>
          <w:color w:val="auto"/>
          <w:sz w:val="24"/>
          <w:highlight w:val="none"/>
          <w:u w:val="single"/>
        </w:rPr>
        <w:t xml:space="preserve">            </w:t>
      </w:r>
    </w:p>
    <w:p w14:paraId="7236110E">
      <w:pPr>
        <w:pageBreakBefore w:val="0"/>
        <w:kinsoku/>
        <w:wordWrap/>
        <w:overflowPunct/>
        <w:topLinePunct w:val="0"/>
        <w:bidi w:val="0"/>
        <w:spacing w:line="288" w:lineRule="auto"/>
        <w:ind w:left="0" w:leftChars="0" w:firstLine="480"/>
        <w:textAlignment w:val="auto"/>
        <w:rPr>
          <w:rFonts w:eastAsia="仿宋_GB2312"/>
          <w:b/>
          <w:color w:val="auto"/>
          <w:sz w:val="24"/>
          <w:highlight w:val="none"/>
          <w:u w:val="single"/>
        </w:rPr>
      </w:pPr>
      <w:r>
        <w:rPr>
          <w:rFonts w:hint="eastAsia" w:eastAsia="仿宋_GB2312"/>
          <w:color w:val="auto"/>
          <w:sz w:val="24"/>
          <w:highlight w:val="none"/>
        </w:rPr>
        <w:t>甲方将</w:t>
      </w:r>
      <w:r>
        <w:rPr>
          <w:rFonts w:hint="eastAsia" w:eastAsia="仿宋_GB2312"/>
          <w:b/>
          <w:bCs/>
          <w:color w:val="auto"/>
          <w:sz w:val="24"/>
          <w:highlight w:val="none"/>
          <w:u w:val="single"/>
        </w:rPr>
        <w:t xml:space="preserve">                     </w:t>
      </w:r>
      <w:r>
        <w:rPr>
          <w:rFonts w:hint="eastAsia" w:eastAsia="仿宋_GB2312"/>
          <w:color w:val="auto"/>
          <w:sz w:val="24"/>
          <w:highlight w:val="none"/>
        </w:rPr>
        <w:t>发包给乙方施工，遵照 “安全第一、预防为主、文明施工、节能高效”的原则，依据徐州市招标和承包工程安全管理有关规定及国家相关法规，为明确双方的安全生产责任，确保施工安全文明，在双方签订工程施工承包合同的同时，签订本协议。</w:t>
      </w:r>
    </w:p>
    <w:p w14:paraId="1F3936B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 甲乙双方必须认真贯彻国家、江苏省和上级劳动保护、安全生产、文明施工主管部门颁发的有关安全生产、消防工作的方针、政策，严格按有关劳动保护的法规、条例的规定精神执行。</w:t>
      </w:r>
    </w:p>
    <w:p w14:paraId="70F4718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2、乙方</w:t>
      </w:r>
      <w:r>
        <w:rPr>
          <w:rFonts w:eastAsia="仿宋_GB2312"/>
          <w:color w:val="auto"/>
          <w:sz w:val="24"/>
          <w:highlight w:val="none"/>
        </w:rPr>
        <w:t>应严格遵守国家及地方政府颁发的安全施工、文明施工等规范、条例，遵守</w:t>
      </w:r>
      <w:r>
        <w:rPr>
          <w:rFonts w:hint="eastAsia" w:eastAsia="仿宋_GB2312"/>
          <w:color w:val="auto"/>
          <w:sz w:val="24"/>
          <w:highlight w:val="none"/>
        </w:rPr>
        <w:t>乙方</w:t>
      </w:r>
      <w:r>
        <w:rPr>
          <w:rFonts w:eastAsia="仿宋_GB2312"/>
          <w:color w:val="auto"/>
          <w:sz w:val="24"/>
          <w:highlight w:val="none"/>
        </w:rPr>
        <w:t>的现场管理规定。</w:t>
      </w:r>
      <w:r>
        <w:rPr>
          <w:rFonts w:hint="eastAsia" w:eastAsia="仿宋_GB2312"/>
          <w:color w:val="auto"/>
          <w:sz w:val="24"/>
          <w:highlight w:val="none"/>
        </w:rPr>
        <w:t>甲方</w:t>
      </w:r>
      <w:r>
        <w:rPr>
          <w:rFonts w:eastAsia="仿宋_GB2312"/>
          <w:color w:val="auto"/>
          <w:sz w:val="24"/>
          <w:highlight w:val="none"/>
        </w:rPr>
        <w:t>将不定期进行检查，达不到文明工地标准的，</w:t>
      </w:r>
      <w:r>
        <w:rPr>
          <w:rFonts w:hint="eastAsia" w:eastAsia="仿宋_GB2312"/>
          <w:color w:val="auto"/>
          <w:sz w:val="24"/>
          <w:highlight w:val="none"/>
        </w:rPr>
        <w:t>甲方</w:t>
      </w:r>
      <w:r>
        <w:rPr>
          <w:rFonts w:eastAsia="仿宋_GB2312"/>
          <w:color w:val="auto"/>
          <w:sz w:val="24"/>
          <w:highlight w:val="none"/>
        </w:rPr>
        <w:t>即可勒令其停工整改。</w:t>
      </w:r>
    </w:p>
    <w:p w14:paraId="6CB4359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 甲乙双方都应有安全管理组织体制。有主抓安全生产的领导、各级专职和兼职的安全干部，并有工种的安全操作规程，有特种作业人员的审证考核制度及各级安全生产岗位责任制和定期安全检查制度等。</w:t>
      </w:r>
    </w:p>
    <w:p w14:paraId="5878AAE9">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4、 甲乙双方在施工前要认真勘察现场：</w:t>
      </w:r>
    </w:p>
    <w:p w14:paraId="28418A62">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 工程项目应由甲方编制施工组织总设计。</w:t>
      </w:r>
    </w:p>
    <w:p w14:paraId="75668DF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 工程项目由乙方按甲方的要求自行编制施工组织设计。</w:t>
      </w:r>
    </w:p>
    <w:p w14:paraId="7A62328B">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以上必须制定有针对性的安全技术、措施计划，并严格按施工组织设计和有关安全要求施工。</w:t>
      </w:r>
    </w:p>
    <w:p w14:paraId="243A06A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5、 甲乙双方的有关领导必须认真对本单位职工进行安全生产制度及安全技术知识教育，增强法制观念，提高职工的安全生产思想意识和自我保护的能力，督促职工自觉遵守安全生产纪律、制度和法规，认真遵守甲方的《校园管理规定》。</w:t>
      </w:r>
    </w:p>
    <w:p w14:paraId="611D9D1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6、 施工前，甲方应对乙方的管理与施工人员进行安全生产、工程施工进场教育，介绍有关安全生产管理制度、规定和要求。乙方应组织召开管理与施工人员安全生产教育会议，并通知甲方委托有关人员出席会议，介绍施工中有关安全、消防等规章制度及要求，乙方必须检查，督促施工人员严格遵守、认真执行。</w:t>
      </w:r>
    </w:p>
    <w:p w14:paraId="481F66B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根据工程项目内容、特点，甲乙双方应做好技术交底，并有交底的书面材料，交底材料一式二份，由甲乙双方各执一份。</w:t>
      </w:r>
    </w:p>
    <w:p w14:paraId="77B3AC7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 xml:space="preserve">7、 </w:t>
      </w:r>
      <w:r>
        <w:rPr>
          <w:rFonts w:hint="eastAsia" w:ascii="Times New Roman" w:hAnsi="Times New Roman" w:eastAsia="仿宋_GB2312"/>
          <w:color w:val="auto"/>
          <w:sz w:val="24"/>
          <w:highlight w:val="none"/>
        </w:rPr>
        <w:t>施工期间，乙方指派</w:t>
      </w:r>
      <w:r>
        <w:rPr>
          <w:rFonts w:hint="eastAsia" w:ascii="Times New Roman" w:hAnsi="Times New Roman" w:eastAsia="仿宋_GB2312"/>
          <w:b/>
          <w:bCs/>
          <w:color w:val="auto"/>
          <w:sz w:val="24"/>
          <w:highlight w:val="none"/>
          <w:u w:val="single"/>
        </w:rPr>
        <w:t xml:space="preserve">      </w:t>
      </w:r>
      <w:r>
        <w:rPr>
          <w:rFonts w:hint="eastAsia" w:ascii="Times New Roman" w:hAnsi="Times New Roman" w:eastAsia="仿宋_GB2312"/>
          <w:color w:val="auto"/>
          <w:sz w:val="24"/>
          <w:highlight w:val="none"/>
        </w:rPr>
        <w:t>同志负责本工程项目的有关安全、消防工作</w:t>
      </w:r>
      <w:r>
        <w:rPr>
          <w:rFonts w:hint="eastAsia" w:eastAsia="仿宋_GB2312"/>
          <w:color w:val="auto"/>
          <w:sz w:val="24"/>
          <w:highlight w:val="none"/>
        </w:rPr>
        <w:t>，甲方指派</w:t>
      </w:r>
      <w:r>
        <w:rPr>
          <w:rFonts w:hint="eastAsia" w:eastAsia="仿宋_GB2312"/>
          <w:b/>
          <w:color w:val="auto"/>
          <w:sz w:val="24"/>
          <w:highlight w:val="none"/>
          <w:u w:val="single"/>
        </w:rPr>
        <w:t xml:space="preserve">      </w:t>
      </w:r>
      <w:r>
        <w:rPr>
          <w:rFonts w:hint="eastAsia" w:eastAsia="仿宋_GB2312"/>
          <w:color w:val="auto"/>
          <w:sz w:val="24"/>
          <w:highlight w:val="none"/>
        </w:rPr>
        <w:t>同志负责联系，监察督促乙方执行有关安全、防火规定，甲乙双方应经常联系，相互协助检查和处理工程施工有关的安全、防火工作，共同预防事故的发生。</w:t>
      </w:r>
    </w:p>
    <w:p w14:paraId="42ECC127">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8、乙方在施工期间，必须严格执行和遵守甲方的安全生产、防火管理的各项规定，接受甲方督促、检查和指导。甲方有协助乙方搞好安全生产、防火管理以及督促检查的义务，对于查出的隐患，乙方必须按期限整改，对甲方违反安全生产规定、制度等情况，乙方有要求甲方整改的权利，甲方应认真整改。</w:t>
      </w:r>
    </w:p>
    <w:p w14:paraId="0FBAC05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9、在生产操作过程中的个人防护用品，有各方自理，甲、乙方都应督促施工人员自觉穿戴好防护用品。</w:t>
      </w:r>
    </w:p>
    <w:p w14:paraId="0A70EAC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10、甲乙双方人员对各自所在的施工区域、作业环境、操作设施设备、工具用具等必须认真检查，发现隐患，立即停止施工，并由有关单位落实整改后方准施工。一经施工， 就表示该施工单位确认施工场所、作业环境、设施设备、工具用具等符合安全要求和处于安全状态，施工单位施工过程中由于上述因素不良而导致的事故后果负责。</w:t>
      </w:r>
    </w:p>
    <w:p w14:paraId="28EA7CE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11、乙方在施工期间所使用的各种设备以及工具等，均由乙方自备。如甲乙双方必须相互借用和租赁，应由双方有关人员办理借用或租赁手续，并制定有关安全使用和管理制度。借出方应保证借出设备与工具完好，并符合安全使用要求。借入方必须进行检验，并做好书面记录，借入使用方一经接受，设备和工具的保管、维修应由借入使用方负责，并严格执行安全操作规程。 在使用过程中，由于设备、工具因素或使用操作不当而造成的伤亡事故，由借入使用方负责。</w:t>
      </w:r>
    </w:p>
    <w:p w14:paraId="46C56EE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12、甲乙双方的人员，对施工的现场脚手架、各类安全防护设施、安全标志和警告牌，不得擅自拆除、更动，如确实学要拆除更动的，必须经工地施工负责人和甲乙方指派的安全管理人员同意，并采取必要、可靠的安全措施后，方能拆除、更动。任何一方人员，擅自拆除所造成的后果，均由该方人员及其单位负责。</w:t>
      </w:r>
    </w:p>
    <w:p w14:paraId="1F3C3903">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13、特种作业必须执行国家《特种作业人员安全技术培训考核管理规定》，经省、市、地区的特种作业安全技术考核站培训后持证上岗，并按规定定期审证。中、小型机械的操作人员必须按规定做到“定机定人”和有证操作，起重吊装作业人员必须遵守“十不吊”规定，严禁违章、无证操作；严禁不懂电器、机械设备的人，擅自操作使用电器、机械设备。</w:t>
      </w:r>
    </w:p>
    <w:p w14:paraId="6463D83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14、甲乙双方必须严格执行各类防火防爆制度，易燃易爆场所严禁吸烟及动用明火，消防器材不准挪作他用。 电焊、气焊作业应按规定办理动火审批手续，严格遵守“十不烧”规定，严禁使用电炉。 冬季施工如必须采用明火加热的防冻措施时，应取得防火主管人员同意，落实防火、防中毒措施，并指派专人值班。</w:t>
      </w:r>
    </w:p>
    <w:p w14:paraId="6569C12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15、乙方需用甲方提供的电器设备，在使用前应先进行检测，并做好检测记录，如不符合安全规定的应及时向甲方提出，甲方应积极整改，整改合格后方准使用，违反本规定或不经甲方许可，擅自乱拉电器线路造成后果均由肇事者单位负责。</w:t>
      </w:r>
    </w:p>
    <w:p w14:paraId="252461A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16、贯彻先订合同后施工的原则，甲方不得指派一方人员从事合同外的施工任务，乙方应拒绝合同外的施工任务，否则由此造成的一切后果均由有关方负责。</w:t>
      </w:r>
    </w:p>
    <w:p w14:paraId="7FC2B44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17、甲乙双方在施工中，应注意地下管线及高压线路的保护，甲方对地下管线和障碍物应详细交底。乙方应贯彻交底要求，如遇有情况，应及时向甲方和有关部门联系，采取保护措施。</w:t>
      </w:r>
    </w:p>
    <w:p w14:paraId="6B8C0B7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18、乙方在签订工程施工合同后，应自觉地向所在地劳动行政等有关部门办理开工安全受监报告手续。</w:t>
      </w:r>
    </w:p>
    <w:p w14:paraId="76A0F39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19、贯彻“谁施工，谁负责安全“的原则。 甲、乙方人员在施工期间造成伤亡、火警、火灾、机械等重大事故（包括甲、乙方责任造成对方人员、他方人员、行人伤亡等），双方应协力进行紧急抢救伤员和保护现场。并按国务院及徐州市有关事故报告规定，在事故发生后的二十四小时内及时报告各自的上级主管部门、所在地劳动行政部门等有关机构。事故的损失和善后处理费用应由乙方解决。</w:t>
      </w:r>
    </w:p>
    <w:p w14:paraId="17AE4246">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20、</w:t>
      </w:r>
      <w:r>
        <w:rPr>
          <w:rFonts w:eastAsia="仿宋_GB2312"/>
          <w:color w:val="auto"/>
          <w:sz w:val="24"/>
          <w:highlight w:val="none"/>
        </w:rPr>
        <w:t>施工现场</w:t>
      </w:r>
      <w:r>
        <w:rPr>
          <w:rFonts w:hint="eastAsia" w:eastAsia="仿宋_GB2312"/>
          <w:color w:val="auto"/>
          <w:sz w:val="24"/>
          <w:highlight w:val="none"/>
        </w:rPr>
        <w:t>乙方</w:t>
      </w:r>
      <w:r>
        <w:rPr>
          <w:rFonts w:eastAsia="仿宋_GB2312"/>
          <w:color w:val="auto"/>
          <w:sz w:val="24"/>
          <w:highlight w:val="none"/>
        </w:rPr>
        <w:t>必须按要求设置“五图一牌”，标牌的内容及形式必须符合相关规定要求。</w:t>
      </w:r>
    </w:p>
    <w:p w14:paraId="13313D7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21、</w:t>
      </w:r>
      <w:r>
        <w:rPr>
          <w:rFonts w:eastAsia="仿宋_GB2312"/>
          <w:color w:val="auto"/>
          <w:sz w:val="24"/>
          <w:highlight w:val="none"/>
        </w:rPr>
        <w:t>施工现场应有恰当的标语和安全警戒标志。标语标牌由</w:t>
      </w:r>
      <w:r>
        <w:rPr>
          <w:rFonts w:hint="eastAsia" w:eastAsia="仿宋_GB2312"/>
          <w:color w:val="auto"/>
          <w:sz w:val="24"/>
          <w:highlight w:val="none"/>
        </w:rPr>
        <w:t>乙方</w:t>
      </w:r>
      <w:r>
        <w:rPr>
          <w:rFonts w:eastAsia="仿宋_GB2312"/>
          <w:color w:val="auto"/>
          <w:sz w:val="24"/>
          <w:highlight w:val="none"/>
        </w:rPr>
        <w:t>拟定，交甲方现场代表审定批准后付诸实施，切勿乱写乱画以及随意张贴悬挂。</w:t>
      </w:r>
    </w:p>
    <w:p w14:paraId="6310B7E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22、</w:t>
      </w:r>
      <w:r>
        <w:rPr>
          <w:rFonts w:eastAsia="仿宋_GB2312"/>
          <w:color w:val="auto"/>
          <w:sz w:val="24"/>
          <w:highlight w:val="none"/>
        </w:rPr>
        <w:t>施工现场实行封闭式管理，各施工单位制定相应的门岗管理制度并严格执行，施工现场的管理人员、施工人员必须佩戴证明身份的证卡进出，非施工人员不得擅自进入施工现场。证卡由施工单位拟定内容及形式，交由甲方审定批准后实施。</w:t>
      </w:r>
    </w:p>
    <w:p w14:paraId="136B19EB">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23、乙方</w:t>
      </w:r>
      <w:r>
        <w:rPr>
          <w:rFonts w:eastAsia="仿宋_GB2312"/>
          <w:color w:val="auto"/>
          <w:sz w:val="24"/>
          <w:highlight w:val="none"/>
        </w:rPr>
        <w:t>在施工现场周边设立围护设施，属临街和居民居住区在建工程的，应当设置封闭式围护设施作业，工地周边50米、出入口100米内无垃圾、污水，保持工地周边整洁。</w:t>
      </w:r>
    </w:p>
    <w:p w14:paraId="0ECE046C">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24、</w:t>
      </w:r>
      <w:r>
        <w:rPr>
          <w:rFonts w:eastAsia="仿宋_GB2312"/>
          <w:color w:val="auto"/>
          <w:sz w:val="24"/>
          <w:highlight w:val="none"/>
        </w:rPr>
        <w:t>施工现场应确保进出道路通畅、平整、坚实，有回旋余地，施工现场应有可靠的排水措施，施工污水沉淀排入甲方指定的地方，排水系统处于正常的使用状态。</w:t>
      </w:r>
    </w:p>
    <w:p w14:paraId="108C519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25、乙方</w:t>
      </w:r>
      <w:r>
        <w:rPr>
          <w:rFonts w:eastAsia="仿宋_GB2312"/>
          <w:color w:val="auto"/>
          <w:sz w:val="24"/>
          <w:highlight w:val="none"/>
        </w:rPr>
        <w:t>应当按照施工</w:t>
      </w:r>
      <w:r>
        <w:rPr>
          <w:rFonts w:hint="eastAsia" w:eastAsia="仿宋_GB2312"/>
          <w:color w:val="auto"/>
          <w:sz w:val="24"/>
          <w:highlight w:val="none"/>
        </w:rPr>
        <w:t>组织计划</w:t>
      </w:r>
      <w:r>
        <w:rPr>
          <w:rFonts w:eastAsia="仿宋_GB2312"/>
          <w:color w:val="auto"/>
          <w:sz w:val="24"/>
          <w:highlight w:val="none"/>
        </w:rPr>
        <w:t>合理布置各项临时设施，堆放大宗材料、成品、半成品和施工机具设备，减少二次倒运与搬迁，不得侵占场内道路及安全防护等设施。建筑物内外的零散碎料和垃圾渣土应及时清理。在施工作业面，工人操作应做到“活完料净脚下清”。</w:t>
      </w:r>
    </w:p>
    <w:p w14:paraId="7223DE9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26、乙方</w:t>
      </w:r>
      <w:r>
        <w:rPr>
          <w:rFonts w:eastAsia="仿宋_GB2312"/>
          <w:color w:val="auto"/>
          <w:sz w:val="24"/>
          <w:highlight w:val="none"/>
        </w:rPr>
        <w:t>遵守国家有关环境保护的法律</w:t>
      </w:r>
      <w:r>
        <w:rPr>
          <w:rFonts w:hint="eastAsia" w:eastAsia="仿宋_GB2312"/>
          <w:color w:val="auto"/>
          <w:sz w:val="24"/>
          <w:highlight w:val="none"/>
        </w:rPr>
        <w:t>法</w:t>
      </w:r>
      <w:r>
        <w:rPr>
          <w:rFonts w:eastAsia="仿宋_GB2312"/>
          <w:color w:val="auto"/>
          <w:sz w:val="24"/>
          <w:highlight w:val="none"/>
        </w:rPr>
        <w:t>规，</w:t>
      </w:r>
      <w:r>
        <w:rPr>
          <w:rFonts w:hint="eastAsia" w:eastAsia="仿宋_GB2312"/>
          <w:color w:val="auto"/>
          <w:sz w:val="24"/>
          <w:highlight w:val="none"/>
        </w:rPr>
        <w:t>严格执行徐州市环境保护各类规定，</w:t>
      </w:r>
      <w:r>
        <w:rPr>
          <w:rFonts w:eastAsia="仿宋_GB2312"/>
          <w:color w:val="auto"/>
          <w:sz w:val="24"/>
          <w:highlight w:val="none"/>
        </w:rPr>
        <w:t>采取有效措施控制施工现场的各种粉尘、废气、固体废弃物以及噪声、振动对环境的污染和危害。</w:t>
      </w:r>
    </w:p>
    <w:p w14:paraId="651EDF35">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27、</w:t>
      </w:r>
      <w:r>
        <w:rPr>
          <w:rFonts w:eastAsia="仿宋_GB2312"/>
          <w:color w:val="auto"/>
          <w:sz w:val="24"/>
          <w:highlight w:val="none"/>
        </w:rPr>
        <w:t>严格按照《中华人民共和国消防条例》的规定，在施工现场内建立和执行防火管理制度，设置符合要求的消防设施，并保持完好的备用状态。在容易发生火灾的地方施工或者储存、使用易燃、易爆器材时，应当采取特殊的消防安全措施。贯彻“谁施工谁负责安全、防火”的原则。</w:t>
      </w:r>
    </w:p>
    <w:p w14:paraId="6C65CF7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28、</w:t>
      </w:r>
      <w:r>
        <w:rPr>
          <w:rFonts w:eastAsia="仿宋_GB2312"/>
          <w:color w:val="auto"/>
          <w:sz w:val="24"/>
          <w:highlight w:val="none"/>
        </w:rPr>
        <w:t>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w:t>
      </w:r>
    </w:p>
    <w:p w14:paraId="18D3FE1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29、乙方</w:t>
      </w:r>
      <w:r>
        <w:rPr>
          <w:rFonts w:eastAsia="仿宋_GB2312"/>
          <w:color w:val="auto"/>
          <w:sz w:val="24"/>
          <w:highlight w:val="none"/>
        </w:rPr>
        <w:t>管理人员及工人在施工现场必须戴安全帽，安全帽的颜色应便于区分；高空作业，必须系安全带，做到高挂低用及牢固，设置必要的警戒；安全平网必须隔层铺设并及时清理，严防高空坠物。</w:t>
      </w:r>
    </w:p>
    <w:p w14:paraId="17C687C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30、乙方</w:t>
      </w:r>
      <w:r>
        <w:rPr>
          <w:rFonts w:eastAsia="仿宋_GB2312"/>
          <w:color w:val="auto"/>
          <w:sz w:val="24"/>
          <w:highlight w:val="none"/>
        </w:rPr>
        <w:t>操作工人必须穿着统一的标准建筑</w:t>
      </w:r>
      <w:r>
        <w:rPr>
          <w:rFonts w:hint="eastAsia" w:eastAsia="仿宋_GB2312"/>
          <w:color w:val="auto"/>
          <w:sz w:val="24"/>
          <w:highlight w:val="none"/>
        </w:rPr>
        <w:t>服装</w:t>
      </w:r>
      <w:r>
        <w:rPr>
          <w:rFonts w:eastAsia="仿宋_GB2312"/>
          <w:color w:val="auto"/>
          <w:sz w:val="24"/>
          <w:highlight w:val="none"/>
        </w:rPr>
        <w:t>上班，且必须定时清洗，不得有明显大面积污垢。</w:t>
      </w:r>
    </w:p>
    <w:p w14:paraId="3652A5B8">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31、乙方</w:t>
      </w:r>
      <w:r>
        <w:rPr>
          <w:rFonts w:eastAsia="仿宋_GB2312"/>
          <w:color w:val="auto"/>
          <w:sz w:val="24"/>
          <w:highlight w:val="none"/>
        </w:rPr>
        <w:t>必须加强对其现场人员的管理约束，合同履行期间严禁发生任何性质的打架斗殴事件。若施工方人员参与打架斗殴，每发生一次除赔偿由此给建设单位造成的直接经济损失外还需按规定进</w:t>
      </w:r>
      <w:r>
        <w:rPr>
          <w:rFonts w:hint="eastAsia" w:eastAsia="仿宋_GB2312"/>
          <w:color w:val="auto"/>
          <w:sz w:val="24"/>
          <w:highlight w:val="none"/>
        </w:rPr>
        <w:t>行2000元/次</w:t>
      </w:r>
      <w:r>
        <w:rPr>
          <w:rFonts w:eastAsia="仿宋_GB2312"/>
          <w:color w:val="auto"/>
          <w:sz w:val="24"/>
          <w:highlight w:val="none"/>
        </w:rPr>
        <w:t>罚款。</w:t>
      </w:r>
    </w:p>
    <w:p w14:paraId="1BAC5CF0">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32、</w:t>
      </w:r>
      <w:r>
        <w:rPr>
          <w:rFonts w:eastAsia="仿宋_GB2312"/>
          <w:color w:val="auto"/>
          <w:sz w:val="24"/>
          <w:highlight w:val="none"/>
        </w:rPr>
        <w:t>为了维护建设场地周边的花园、环境，</w:t>
      </w:r>
      <w:r>
        <w:rPr>
          <w:rFonts w:hint="eastAsia" w:eastAsia="仿宋_GB2312"/>
          <w:color w:val="auto"/>
          <w:sz w:val="24"/>
          <w:highlight w:val="none"/>
        </w:rPr>
        <w:t>乙方</w:t>
      </w:r>
      <w:r>
        <w:rPr>
          <w:rFonts w:eastAsia="仿宋_GB2312"/>
          <w:color w:val="auto"/>
          <w:sz w:val="24"/>
          <w:highlight w:val="none"/>
        </w:rPr>
        <w:t>必须教育工人爱护一草一木，严禁践踏、污染、破坏。</w:t>
      </w:r>
    </w:p>
    <w:p w14:paraId="3E76158A">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33、施工现场杜绝明设置食堂、卫生间、娱乐室等设施，禁止留宿，乙方可以在学校食堂按照相关规定办理就餐手续。</w:t>
      </w:r>
    </w:p>
    <w:p w14:paraId="53252B5E">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34、本协议签订的各项规定使用于立协单位双方。如与国家和当地的有关法规不符，按国家和当地的有关法规执行。</w:t>
      </w:r>
    </w:p>
    <w:p w14:paraId="53FDA5FD">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35、本协议经立协双方签字、盖章有效。并作为施工承包合同的附件。在施工承包合同签约后生效，与施工承包合同具有同等法律效力。协议双方认为有必要可送当地有关部门备案。</w:t>
      </w:r>
    </w:p>
    <w:p w14:paraId="44D5C9E1">
      <w:pPr>
        <w:pageBreakBefore w:val="0"/>
        <w:kinsoku/>
        <w:wordWrap/>
        <w:overflowPunct/>
        <w:topLinePunct w:val="0"/>
        <w:bidi w:val="0"/>
        <w:spacing w:line="288" w:lineRule="auto"/>
        <w:ind w:left="0" w:leftChars="0" w:firstLine="480" w:firstLineChars="200"/>
        <w:textAlignment w:val="auto"/>
        <w:rPr>
          <w:rFonts w:eastAsia="仿宋_GB2312"/>
          <w:color w:val="auto"/>
          <w:sz w:val="24"/>
          <w:highlight w:val="none"/>
        </w:rPr>
      </w:pPr>
      <w:r>
        <w:rPr>
          <w:rFonts w:hint="eastAsia" w:eastAsia="仿宋_GB2312"/>
          <w:color w:val="auto"/>
          <w:sz w:val="24"/>
          <w:highlight w:val="none"/>
        </w:rPr>
        <w:t>36、本协议同工程合同同时生效，甲、乙双方必须严格执行，由于违反本协议而造成伤亡事故，由违约方承担一切经济损失。施工承包合同期满，本协议效力终止。</w:t>
      </w:r>
    </w:p>
    <w:p w14:paraId="58AE96F3">
      <w:pPr>
        <w:pageBreakBefore w:val="0"/>
        <w:kinsoku/>
        <w:wordWrap/>
        <w:overflowPunct/>
        <w:topLinePunct w:val="0"/>
        <w:bidi w:val="0"/>
        <w:spacing w:line="288" w:lineRule="auto"/>
        <w:ind w:left="0" w:leftChars="0"/>
        <w:textAlignment w:val="auto"/>
        <w:rPr>
          <w:rFonts w:ascii="宋体" w:hAnsi="宋体" w:cs="Tahoma"/>
          <w:color w:val="auto"/>
          <w:sz w:val="24"/>
          <w:highlight w:val="none"/>
          <w:shd w:val="clear" w:color="auto" w:fill="FFFFFF"/>
        </w:rPr>
      </w:pPr>
    </w:p>
    <w:p w14:paraId="3CE1DCCB">
      <w:pPr>
        <w:pageBreakBefore w:val="0"/>
        <w:kinsoku/>
        <w:wordWrap/>
        <w:overflowPunct/>
        <w:topLinePunct w:val="0"/>
        <w:bidi w:val="0"/>
        <w:adjustRightInd w:val="0"/>
        <w:snapToGrid w:val="0"/>
        <w:spacing w:line="288" w:lineRule="auto"/>
        <w:ind w:left="0" w:leftChars="0"/>
        <w:textAlignment w:val="auto"/>
        <w:rPr>
          <w:rFonts w:ascii="宋体" w:hAnsi="宋体" w:cs="Tahoma"/>
          <w:color w:val="auto"/>
          <w:sz w:val="24"/>
          <w:highlight w:val="none"/>
          <w:shd w:val="clear" w:color="auto" w:fill="FFFFFF"/>
        </w:rPr>
      </w:pPr>
    </w:p>
    <w:p w14:paraId="3915F80E">
      <w:pPr>
        <w:rPr>
          <w:rFonts w:hint="eastAsia" w:eastAsia="仿宋_GB2312"/>
          <w:color w:val="auto"/>
          <w:sz w:val="24"/>
          <w:highlight w:val="none"/>
        </w:rPr>
      </w:pPr>
      <w:r>
        <w:rPr>
          <w:rFonts w:hint="eastAsia" w:eastAsia="仿宋_GB2312"/>
          <w:color w:val="auto"/>
          <w:sz w:val="24"/>
          <w:highlight w:val="none"/>
        </w:rPr>
        <w:br w:type="page"/>
      </w:r>
    </w:p>
    <w:p w14:paraId="3FE01C88">
      <w:pPr>
        <w:pageBreakBefore w:val="0"/>
        <w:kinsoku/>
        <w:wordWrap/>
        <w:overflowPunct/>
        <w:topLinePunct w:val="0"/>
        <w:bidi w:val="0"/>
        <w:spacing w:line="288" w:lineRule="auto"/>
        <w:ind w:left="0" w:leftChars="0"/>
        <w:textAlignment w:val="auto"/>
        <w:rPr>
          <w:rFonts w:eastAsia="仿宋_GB2312"/>
          <w:color w:val="auto"/>
          <w:sz w:val="24"/>
          <w:highlight w:val="none"/>
        </w:rPr>
      </w:pPr>
      <w:r>
        <w:rPr>
          <w:rFonts w:hint="eastAsia" w:eastAsia="仿宋_GB2312"/>
          <w:color w:val="auto"/>
          <w:sz w:val="24"/>
          <w:highlight w:val="none"/>
        </w:rPr>
        <w:t>附件3：</w:t>
      </w:r>
    </w:p>
    <w:p w14:paraId="13B35D82">
      <w:pPr>
        <w:pageBreakBefore w:val="0"/>
        <w:kinsoku/>
        <w:wordWrap/>
        <w:overflowPunct/>
        <w:topLinePunct w:val="0"/>
        <w:bidi w:val="0"/>
        <w:adjustRightInd w:val="0"/>
        <w:snapToGrid w:val="0"/>
        <w:spacing w:line="288" w:lineRule="auto"/>
        <w:ind w:left="0" w:leftChars="0"/>
        <w:jc w:val="center"/>
        <w:textAlignment w:val="auto"/>
        <w:rPr>
          <w:rFonts w:eastAsia="黑体"/>
          <w:color w:val="auto"/>
          <w:sz w:val="24"/>
          <w:highlight w:val="none"/>
        </w:rPr>
      </w:pPr>
      <w:r>
        <w:rPr>
          <w:rFonts w:hint="eastAsia" w:eastAsia="黑体"/>
          <w:color w:val="auto"/>
          <w:sz w:val="24"/>
          <w:highlight w:val="none"/>
        </w:rPr>
        <w:t>维修工程廉洁承诺书</w:t>
      </w:r>
    </w:p>
    <w:p w14:paraId="6316FE5E">
      <w:pPr>
        <w:pageBreakBefore w:val="0"/>
        <w:kinsoku/>
        <w:wordWrap/>
        <w:overflowPunct/>
        <w:topLinePunct w:val="0"/>
        <w:bidi w:val="0"/>
        <w:adjustRightInd w:val="0"/>
        <w:snapToGrid w:val="0"/>
        <w:spacing w:line="288" w:lineRule="auto"/>
        <w:ind w:left="0" w:leftChars="0"/>
        <w:jc w:val="center"/>
        <w:textAlignment w:val="auto"/>
        <w:rPr>
          <w:rFonts w:ascii="宋体" w:hAnsi="宋体"/>
          <w:b/>
          <w:color w:val="auto"/>
          <w:sz w:val="32"/>
          <w:szCs w:val="32"/>
          <w:highlight w:val="none"/>
        </w:rPr>
      </w:pPr>
    </w:p>
    <w:p w14:paraId="04295A8E">
      <w:pPr>
        <w:pStyle w:val="4"/>
        <w:keepNext w:val="0"/>
        <w:keepLines w:val="0"/>
        <w:pageBreakBefore w:val="0"/>
        <w:kinsoku/>
        <w:wordWrap/>
        <w:overflowPunct/>
        <w:topLinePunct w:val="0"/>
        <w:bidi w:val="0"/>
        <w:spacing w:before="0" w:after="0" w:line="288" w:lineRule="auto"/>
        <w:ind w:left="0" w:leftChars="0"/>
        <w:textAlignment w:val="auto"/>
        <w:rPr>
          <w:rFonts w:ascii="宋体" w:hAnsi="宋体" w:eastAsia="宋体"/>
          <w:b/>
          <w:color w:val="auto"/>
          <w:sz w:val="24"/>
          <w:highlight w:val="none"/>
          <w:u w:val="single"/>
        </w:rPr>
      </w:pPr>
      <w:r>
        <w:rPr>
          <w:rFonts w:ascii="宋体" w:hAnsi="宋体"/>
          <w:b/>
          <w:color w:val="auto"/>
          <w:sz w:val="24"/>
          <w:highlight w:val="none"/>
        </w:rPr>
        <w:t>工程项目名称：</w:t>
      </w:r>
      <w:r>
        <w:rPr>
          <w:rFonts w:hint="eastAsia" w:ascii="宋体" w:hAnsi="宋体" w:cs="Times New Roman"/>
          <w:b/>
          <w:color w:val="auto"/>
          <w:kern w:val="2"/>
          <w:sz w:val="24"/>
          <w:szCs w:val="22"/>
          <w:highlight w:val="none"/>
          <w:u w:val="single"/>
        </w:rPr>
        <w:t xml:space="preserve">                  </w:t>
      </w:r>
    </w:p>
    <w:p w14:paraId="4183BD79">
      <w:pPr>
        <w:pageBreakBefore w:val="0"/>
        <w:kinsoku/>
        <w:wordWrap/>
        <w:overflowPunct/>
        <w:topLinePunct w:val="0"/>
        <w:bidi w:val="0"/>
        <w:spacing w:line="288" w:lineRule="auto"/>
        <w:ind w:left="1928" w:leftChars="0" w:hanging="1928" w:hangingChars="800"/>
        <w:textAlignment w:val="auto"/>
        <w:rPr>
          <w:rFonts w:ascii="宋体" w:hAnsi="宋体"/>
          <w:b/>
          <w:color w:val="auto"/>
          <w:sz w:val="24"/>
          <w:highlight w:val="none"/>
        </w:rPr>
      </w:pPr>
      <w:r>
        <w:rPr>
          <w:rFonts w:ascii="宋体" w:hAnsi="宋体"/>
          <w:b/>
          <w:color w:val="auto"/>
          <w:sz w:val="24"/>
          <w:highlight w:val="none"/>
        </w:rPr>
        <w:t>工程项目地址：</w:t>
      </w:r>
      <w:r>
        <w:rPr>
          <w:rFonts w:hint="eastAsia" w:ascii="宋体" w:hAnsi="宋体"/>
          <w:b/>
          <w:color w:val="auto"/>
          <w:sz w:val="24"/>
          <w:highlight w:val="none"/>
          <w:u w:val="single"/>
        </w:rPr>
        <w:t>江苏师范大学校内及校外八组团</w:t>
      </w:r>
      <w:r>
        <w:rPr>
          <w:rFonts w:ascii="宋体" w:hAnsi="宋体"/>
          <w:b/>
          <w:color w:val="auto"/>
          <w:sz w:val="24"/>
          <w:highlight w:val="none"/>
        </w:rPr>
        <w:t>      </w:t>
      </w:r>
    </w:p>
    <w:p w14:paraId="76089429">
      <w:pPr>
        <w:pageBreakBefore w:val="0"/>
        <w:kinsoku/>
        <w:wordWrap/>
        <w:overflowPunct/>
        <w:topLinePunct w:val="0"/>
        <w:bidi w:val="0"/>
        <w:spacing w:line="288" w:lineRule="auto"/>
        <w:ind w:left="0" w:leftChars="0"/>
        <w:textAlignment w:val="auto"/>
        <w:rPr>
          <w:rFonts w:ascii="宋体" w:hAnsi="宋体"/>
          <w:color w:val="auto"/>
          <w:sz w:val="24"/>
          <w:highlight w:val="none"/>
          <w:u w:val="single"/>
        </w:rPr>
      </w:pPr>
      <w:r>
        <w:rPr>
          <w:rFonts w:hint="eastAsia" w:ascii="宋体" w:hAnsi="宋体"/>
          <w:b/>
          <w:color w:val="auto"/>
          <w:sz w:val="24"/>
          <w:highlight w:val="none"/>
        </w:rPr>
        <w:t>发包人</w:t>
      </w:r>
      <w:r>
        <w:rPr>
          <w:rFonts w:hint="eastAsia" w:ascii="宋体" w:hAnsi="宋体"/>
          <w:color w:val="auto"/>
          <w:sz w:val="24"/>
          <w:highlight w:val="none"/>
        </w:rPr>
        <w:t>（以下简称甲方）</w:t>
      </w:r>
      <w:r>
        <w:rPr>
          <w:rFonts w:hint="eastAsia" w:ascii="宋体" w:hAnsi="宋体"/>
          <w:b/>
          <w:color w:val="auto"/>
          <w:sz w:val="24"/>
          <w:highlight w:val="none"/>
        </w:rPr>
        <w:t>：</w:t>
      </w:r>
      <w:r>
        <w:rPr>
          <w:rFonts w:hint="eastAsia" w:ascii="宋体" w:hAnsi="宋体"/>
          <w:b/>
          <w:color w:val="auto"/>
          <w:sz w:val="24"/>
          <w:highlight w:val="none"/>
          <w:u w:val="single"/>
        </w:rPr>
        <w:t>江苏师范大学</w:t>
      </w:r>
    </w:p>
    <w:p w14:paraId="4228D47E">
      <w:pPr>
        <w:pageBreakBefore w:val="0"/>
        <w:kinsoku/>
        <w:wordWrap/>
        <w:overflowPunct/>
        <w:topLinePunct w:val="0"/>
        <w:bidi w:val="0"/>
        <w:adjustRightInd w:val="0"/>
        <w:snapToGrid w:val="0"/>
        <w:spacing w:line="288" w:lineRule="auto"/>
        <w:ind w:left="0" w:leftChars="0"/>
        <w:textAlignment w:val="auto"/>
        <w:rPr>
          <w:rFonts w:ascii="宋体" w:hAnsi="宋体" w:cs="宋体"/>
          <w:color w:val="auto"/>
          <w:sz w:val="32"/>
          <w:szCs w:val="32"/>
          <w:highlight w:val="none"/>
        </w:rPr>
      </w:pPr>
      <w:r>
        <w:rPr>
          <w:rFonts w:hint="eastAsia" w:ascii="宋体" w:hAnsi="宋体"/>
          <w:b/>
          <w:color w:val="auto"/>
          <w:sz w:val="24"/>
          <w:highlight w:val="none"/>
        </w:rPr>
        <w:t>承包人</w:t>
      </w:r>
      <w:r>
        <w:rPr>
          <w:rFonts w:hint="eastAsia" w:ascii="宋体" w:hAnsi="宋体"/>
          <w:color w:val="auto"/>
          <w:sz w:val="24"/>
          <w:highlight w:val="none"/>
        </w:rPr>
        <w:t>（以下简称乙方）：</w:t>
      </w:r>
      <w:r>
        <w:rPr>
          <w:rFonts w:hint="eastAsia" w:ascii="宋体" w:hAnsi="宋体"/>
          <w:b/>
          <w:color w:val="auto"/>
          <w:sz w:val="24"/>
          <w:highlight w:val="none"/>
          <w:u w:val="single"/>
        </w:rPr>
        <w:t xml:space="preserve">            </w:t>
      </w:r>
    </w:p>
    <w:p w14:paraId="336CB952">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p>
    <w:p w14:paraId="6D0E4691">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b/>
          <w:color w:val="auto"/>
          <w:sz w:val="24"/>
          <w:highlight w:val="none"/>
        </w:rPr>
      </w:pPr>
      <w:r>
        <w:rPr>
          <w:rFonts w:eastAsia="仿宋_GB2312"/>
          <w:b/>
          <w:color w:val="auto"/>
          <w:sz w:val="24"/>
          <w:highlight w:val="none"/>
        </w:rPr>
        <w:t>第一条 甲乙双方的责任</w:t>
      </w:r>
    </w:p>
    <w:p w14:paraId="57B62954">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（一）应严格遵守国家关于市场准入、项目招标投标、工程建设、施工安装和市场活动等有关法律、法规，相关政策，以及廉政建设的各项规定。</w:t>
      </w:r>
    </w:p>
    <w:p w14:paraId="025C50B7">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（二）严格执行建设工程项目承发包合同文件，自觉按合同办事。</w:t>
      </w:r>
    </w:p>
    <w:p w14:paraId="2A911DC0">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（三）业务活动必须坚持公开、公平、公正、诚信、透明的原则（除法律法规另有规定者外），不得为获取不正当的利益，损害国家、集体和对方利益，不得违反工程建设管理、施工安装的规章制度。</w:t>
      </w:r>
    </w:p>
    <w:p w14:paraId="1C2F1B1B">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（四）发现对方在业务活动中有违规、违纪、违法行为的，应及时提醒对方，情节严重的，应向其上级主管部门或纪检监察、司法等有关机关举报。</w:t>
      </w:r>
    </w:p>
    <w:p w14:paraId="562FA8CF">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b/>
          <w:color w:val="auto"/>
          <w:sz w:val="24"/>
          <w:highlight w:val="none"/>
        </w:rPr>
      </w:pPr>
      <w:r>
        <w:rPr>
          <w:rFonts w:eastAsia="仿宋_GB2312"/>
          <w:b/>
          <w:color w:val="auto"/>
          <w:sz w:val="24"/>
          <w:highlight w:val="none"/>
        </w:rPr>
        <w:t>第二条 甲方的责任</w:t>
      </w:r>
    </w:p>
    <w:p w14:paraId="7D6BEA68">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甲方的领导和从事该建设工程项目的工作人员，在工程建设的事前、事中、事后应遵守以下规定：</w:t>
      </w:r>
    </w:p>
    <w:p w14:paraId="300C967C">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（一）不准向乙方和相关单位索要或接受回扣、礼金、有价证券、贵重物品和好处费、感谢费等。</w:t>
      </w:r>
    </w:p>
    <w:p w14:paraId="6DF5F2E1">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（二）不准在乙方和相关单位报销任何应由甲方或个人支付的费用。</w:t>
      </w:r>
    </w:p>
    <w:p w14:paraId="0F7387CB">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（三）不准要求、暗示和接受乙方和相关单位为个人装修住房、婚丧嫁娶、配偶子女的工作安排以及出国（境）、旅游等提供方便。</w:t>
      </w:r>
    </w:p>
    <w:p w14:paraId="5E2D3981">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（四）不准参加有可能影响公正执行公务的乙方和相关单位的宴请和健身、娱乐等活动。</w:t>
      </w:r>
    </w:p>
    <w:p w14:paraId="08040400">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D1A2A53">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b/>
          <w:color w:val="auto"/>
          <w:sz w:val="24"/>
          <w:highlight w:val="none"/>
        </w:rPr>
      </w:pPr>
      <w:r>
        <w:rPr>
          <w:rFonts w:eastAsia="仿宋_GB2312"/>
          <w:b/>
          <w:color w:val="auto"/>
          <w:sz w:val="24"/>
          <w:highlight w:val="none"/>
        </w:rPr>
        <w:t>第三条 乙方的责任</w:t>
      </w:r>
    </w:p>
    <w:p w14:paraId="0FD68015">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应与甲方保持正常的业务交往，按照有关法律法规和程序开展业务工作，严格执行工程建设的有关方针、政策，尤其是有关建筑施工安装的强制性标准和规范，并遵守以下规定：</w:t>
      </w:r>
    </w:p>
    <w:p w14:paraId="32FC5582">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（一）不准以任何理由向甲方、相关单位及其工作人员索要、接受或赠送礼金、有价证券、贵重物品和回扣、好处费、感谢费等。</w:t>
      </w:r>
    </w:p>
    <w:p w14:paraId="156938B1">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（二）不准以任何理由为甲方和相关单位报销应由对方或个人支付的费用。</w:t>
      </w:r>
    </w:p>
    <w:p w14:paraId="00B09753">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（三）不准接受或暗示为甲方、相关单位或个人装修住房、婚丧嫁娶、配偶子女的工作安排以及出国（境）、旅游等提供方便。</w:t>
      </w:r>
    </w:p>
    <w:p w14:paraId="11AA0766">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（四）不准以任何理由为甲方、相关单位或个人组织有可能影响公正执行公务的宴请、健身、娱乐等活动。</w:t>
      </w:r>
    </w:p>
    <w:p w14:paraId="42EA8908">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b/>
          <w:color w:val="auto"/>
          <w:sz w:val="24"/>
          <w:highlight w:val="none"/>
        </w:rPr>
      </w:pPr>
      <w:r>
        <w:rPr>
          <w:rFonts w:eastAsia="仿宋_GB2312"/>
          <w:b/>
          <w:color w:val="auto"/>
          <w:sz w:val="24"/>
          <w:highlight w:val="none"/>
        </w:rPr>
        <w:t>第四条 违约责任</w:t>
      </w:r>
    </w:p>
    <w:p w14:paraId="3A97C6FE">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一）甲方工作人员有违反本协议书第一、二条责任行为的，按照管理权限，依据有关法律法规和规定给予党纪、政纪处分或组织处理；涉嫌犯罪的，移交司法机关追究刑事责任；给乙方单位造成经济损失的，应予以赔偿。</w:t>
      </w:r>
    </w:p>
    <w:p w14:paraId="6BB9E094">
      <w:pPr>
        <w:pageBreakBefore w:val="0"/>
        <w:kinsoku/>
        <w:wordWrap/>
        <w:overflowPunct/>
        <w:topLinePunct w:val="0"/>
        <w:bidi w:val="0"/>
        <w:adjustRightInd w:val="0"/>
        <w:snapToGrid w:val="0"/>
        <w:spacing w:line="288" w:lineRule="auto"/>
        <w:ind w:left="0" w:leftChars="0" w:firstLine="480" w:firstLineChars="200"/>
        <w:textAlignment w:val="auto"/>
        <w:rPr>
          <w:rFonts w:eastAsia="仿宋_GB2312"/>
          <w:color w:val="auto"/>
          <w:sz w:val="24"/>
          <w:highlight w:val="none"/>
        </w:rPr>
      </w:pPr>
      <w:r>
        <w:rPr>
          <w:rFonts w:eastAsia="仿宋_GB2312"/>
          <w:color w:val="auto"/>
          <w:sz w:val="24"/>
          <w:highlight w:val="none"/>
        </w:rPr>
        <w:t>（二）乙方工作人员有违反本协议书第一、三条责任行为的，按照管理权限，依据有关法律法规和规定给予党纪、政纪处分或组织处理；涉嫌犯罪的，移交司法机关追究刑事责任；给甲方单位造成经济损失的，应予以赔偿。</w:t>
      </w:r>
    </w:p>
    <w:p w14:paraId="54E97398">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color w:val="auto"/>
          <w:sz w:val="24"/>
          <w:highlight w:val="none"/>
        </w:rPr>
      </w:pPr>
      <w:r>
        <w:rPr>
          <w:rFonts w:eastAsia="仿宋_GB2312"/>
          <w:b/>
          <w:color w:val="auto"/>
          <w:sz w:val="24"/>
          <w:highlight w:val="none"/>
        </w:rPr>
        <w:t>第五条 </w:t>
      </w:r>
      <w:r>
        <w:rPr>
          <w:rFonts w:eastAsia="仿宋_GB2312"/>
          <w:color w:val="auto"/>
          <w:sz w:val="24"/>
          <w:highlight w:val="none"/>
        </w:rPr>
        <w:t>本协议书作为工程施工合同的附件，与工程施工合同具有同等法律效力。经双方签署后立即生效。</w:t>
      </w:r>
    </w:p>
    <w:p w14:paraId="1B04625E">
      <w:pPr>
        <w:pageBreakBefore w:val="0"/>
        <w:kinsoku/>
        <w:wordWrap/>
        <w:overflowPunct/>
        <w:topLinePunct w:val="0"/>
        <w:bidi w:val="0"/>
        <w:adjustRightInd w:val="0"/>
        <w:snapToGrid w:val="0"/>
        <w:spacing w:line="288" w:lineRule="auto"/>
        <w:ind w:left="0" w:leftChars="0" w:firstLine="482" w:firstLineChars="200"/>
        <w:textAlignment w:val="auto"/>
        <w:rPr>
          <w:rFonts w:eastAsia="仿宋_GB2312"/>
          <w:color w:val="auto"/>
          <w:sz w:val="24"/>
          <w:highlight w:val="none"/>
        </w:rPr>
      </w:pPr>
      <w:r>
        <w:rPr>
          <w:rFonts w:eastAsia="仿宋_GB2312"/>
          <w:b/>
          <w:color w:val="auto"/>
          <w:sz w:val="24"/>
          <w:highlight w:val="none"/>
        </w:rPr>
        <w:t>第六条</w:t>
      </w:r>
      <w:r>
        <w:rPr>
          <w:rFonts w:eastAsia="仿宋_GB2312"/>
          <w:color w:val="auto"/>
          <w:sz w:val="24"/>
          <w:highlight w:val="none"/>
        </w:rPr>
        <w:t> 本协议书的有效期为双方签署之日起至该工程项目竣工验收合格时止。</w:t>
      </w:r>
    </w:p>
    <w:p w14:paraId="123E62F4">
      <w:pPr>
        <w:pStyle w:val="2"/>
        <w:rPr>
          <w:rFonts w:eastAsia="仿宋_GB2312"/>
          <w:color w:val="auto"/>
          <w:sz w:val="24"/>
          <w:highlight w:val="none"/>
        </w:rPr>
      </w:pPr>
    </w:p>
    <w:p w14:paraId="7E66E3F5">
      <w:pPr>
        <w:jc w:val="center"/>
        <w:rPr>
          <w:rFonts w:eastAsia="仿宋_GB2312"/>
          <w:color w:val="auto"/>
          <w:highlight w:val="none"/>
        </w:rPr>
      </w:pPr>
      <w:r>
        <w:rPr>
          <w:rFonts w:hint="eastAsia" w:eastAsia="仿宋_GB2312"/>
          <w:color w:val="auto"/>
          <w:sz w:val="24"/>
          <w:highlight w:val="none"/>
        </w:rPr>
        <w:t>--------------------以下无正文----------------</w:t>
      </w:r>
    </w:p>
    <w:sectPr>
      <w:footerReference r:id="rId11" w:type="first"/>
      <w:footerReference r:id="rId10" w:type="default"/>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A266308-9D4A-4338-8869-038EA2ED6C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F73EC525-8496-4A15-8C20-4F895A11201D}"/>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BB4BD4F-15FB-4C3D-A138-5E11D168CA54}"/>
  </w:font>
  <w:font w:name="Malgun Gothic">
    <w:panose1 w:val="020B0503020000020004"/>
    <w:charset w:val="81"/>
    <w:family w:val="swiss"/>
    <w:pitch w:val="default"/>
    <w:sig w:usb0="9000002F" w:usb1="29D77CFB" w:usb2="00000012" w:usb3="00000000" w:csb0="00080001" w:csb1="00000000"/>
  </w:font>
  <w:font w:name="等线 Light">
    <w:panose1 w:val="02010600030101010101"/>
    <w:charset w:val="86"/>
    <w:family w:val="auto"/>
    <w:pitch w:val="default"/>
    <w:sig w:usb0="A00002BF" w:usb1="38CF7CFA" w:usb2="00000016" w:usb3="00000000" w:csb0="0004000F" w:csb1="00000000"/>
  </w:font>
  <w:font w:name="文鼎粗黑">
    <w:altName w:val="黑体"/>
    <w:panose1 w:val="00000000000000000000"/>
    <w:charset w:val="00"/>
    <w:family w:val="auto"/>
    <w:pitch w:val="default"/>
    <w:sig w:usb0="00000000" w:usb1="00000000" w:usb2="00000000" w:usb3="00000000" w:csb0="00000000" w:csb1="00000000"/>
  </w:font>
  <w:font w:name="长城仿宋">
    <w:altName w:val="仿宋"/>
    <w:panose1 w:val="00000000000000000000"/>
    <w:charset w:val="00"/>
    <w:family w:val="auto"/>
    <w:pitch w:val="default"/>
    <w:sig w:usb0="00000000" w:usb1="00000000" w:usb2="00000000" w:usb3="00000000" w:csb0="00000000"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embedRegular r:id="rId4" w:fontKey="{54B8F383-B4AD-4C6F-91EE-0BA6F245A552}"/>
  </w:font>
  <w:font w:name="隶书">
    <w:panose1 w:val="02010509060101010101"/>
    <w:charset w:val="86"/>
    <w:family w:val="modern"/>
    <w:pitch w:val="default"/>
    <w:sig w:usb0="00000001" w:usb1="080E0000" w:usb2="00000000" w:usb3="00000000" w:csb0="00040000" w:csb1="00000000"/>
    <w:embedRegular r:id="rId5" w:fontKey="{A3E1B3F0-F1A7-4083-8449-20B67F34D9A7}"/>
  </w:font>
  <w:font w:name="华文中宋">
    <w:panose1 w:val="02010600040101010101"/>
    <w:charset w:val="86"/>
    <w:family w:val="auto"/>
    <w:pitch w:val="default"/>
    <w:sig w:usb0="00000287" w:usb1="080F0000" w:usb2="00000000" w:usb3="00000000" w:csb0="0004009F" w:csb1="DFD70000"/>
    <w:embedRegular r:id="rId6" w:fontKey="{74D5DEB9-D016-4F88-BA07-EE999D125AE6}"/>
  </w:font>
  <w:font w:name="等线">
    <w:panose1 w:val="02010600030101010101"/>
    <w:charset w:val="86"/>
    <w:family w:val="auto"/>
    <w:pitch w:val="default"/>
    <w:sig w:usb0="A00002BF" w:usb1="38CF7CFA" w:usb2="00000016" w:usb3="00000000" w:csb0="0004000F" w:csb1="00000000"/>
    <w:embedRegular r:id="rId7" w:fontKey="{D7263109-8F5F-454E-80C7-616F4593D7A8}"/>
  </w:font>
  <w:font w:name="Tahoma">
    <w:panose1 w:val="020B0604030504040204"/>
    <w:charset w:val="00"/>
    <w:family w:val="swiss"/>
    <w:pitch w:val="default"/>
    <w:sig w:usb0="E1002EFF" w:usb1="C000605B" w:usb2="00000029" w:usb3="00000000" w:csb0="200101FF" w:csb1="20280000"/>
    <w:embedRegular r:id="rId8" w:fontKey="{7D7D544E-D4E2-443B-BF05-C0A2FC889104}"/>
  </w:font>
  <w:font w:name="WPSEMBED2">
    <w:panose1 w:val="02010509060101010101"/>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WPSEMBED3">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F3798">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81E6F">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2737F3">
                          <w:pPr>
                            <w:pStyle w:val="2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Gh3Y3AgAAZA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nSd9OhcWCLt1CIz9G+oxNeN9SJfb7j1VeCh2kbIIfe1NEgP0GKKh9cNRa9VHJhPEfDaf&#10;T+CS8I0fyFaIxfjc+RDfKjIsGSX3aGaGF/dXIQ6hY0jKZmnTap0bqi3rSn52+nqSHxw9ANcWORKl&#10;VPpALvbb/sBzS9UDGHkaBiU4uWmR/EqEeCM8JgMFY3fiNY5aE5LQweKsIf/lX/cpHg2Dl7MOk1Zy&#10;i8XiTL+zaCQA42j40diOht2ZS8LoTrG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Hhod2NwIAAGQEAAAOAAAAAAAAAAEAIAAAAB8BAABkcnMvZTJvRG9jLnht&#10;bFBLBQYAAAAABgAGAFkBAADIBQAAAAA=&#10;">
              <v:fill on="f" focussize="0,0"/>
              <v:stroke on="f" weight="0.5pt"/>
              <v:imagedata o:title=""/>
              <o:lock v:ext="edit" aspectratio="f"/>
              <v:textbox inset="0mm,0mm,0mm,0mm" style="mso-fit-shape-to-text:t;">
                <w:txbxContent>
                  <w:p w14:paraId="512737F3">
                    <w:pPr>
                      <w:pStyle w:val="2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C97F">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C40BA5">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JcYp3NwIAAGQEAAAOAAAAAAAAAAEAIAAAAB8BAABkcnMvZTJvRG9jLnht&#10;bFBLBQYAAAAABgAGAFkBAADIBQAAAAA=&#10;">
              <v:fill on="f" focussize="0,0"/>
              <v:stroke on="f" weight="0.5pt"/>
              <v:imagedata o:title=""/>
              <o:lock v:ext="edit" aspectratio="f"/>
              <v:textbox inset="0mm,0mm,0mm,0mm" style="mso-fit-shape-to-text:t;">
                <w:txbxContent>
                  <w:p w14:paraId="78C40BA5">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37723">
    <w:pPr>
      <w:pStyle w:val="255"/>
      <w:ind w:firstLine="57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8AB002">
                          <w:pPr>
                            <w:pStyle w:val="2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l8yvk2AgAAZA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Al8yvk2AgAAZAQAAA4AAAAAAAAAAQAgAAAAHwEAAGRycy9lMm9Eb2MueG1s&#10;UEsFBgAAAAAGAAYAWQEAAMcFAAAAAA==&#10;">
              <v:fill on="f" focussize="0,0"/>
              <v:stroke on="f" weight="0.5pt"/>
              <v:imagedata o:title=""/>
              <o:lock v:ext="edit" aspectratio="f"/>
              <v:textbox inset="0mm,0mm,0mm,0mm" style="mso-fit-shape-to-text:t;">
                <w:txbxContent>
                  <w:p w14:paraId="038AB002">
                    <w:pPr>
                      <w:pStyle w:val="26"/>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D7D78">
    <w:pPr>
      <w:pStyle w:val="2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40EF2">
                          <w:pPr>
                            <w:pStyle w:val="26"/>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9gsuo2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D9gsuo2AgAAZAQAAA4AAAAAAAAAAQAgAAAAHwEAAGRycy9lMm9Eb2MueG1s&#10;UEsFBgAAAAAGAAYAWQEAAMcFAAAAAA==&#10;">
              <v:fill on="f" focussize="0,0"/>
              <v:stroke on="f" weight="0.5pt"/>
              <v:imagedata o:title=""/>
              <o:lock v:ext="edit" aspectratio="f"/>
              <v:textbox inset="0mm,0mm,0mm,0mm" style="mso-fit-shape-to-text:t;">
                <w:txbxContent>
                  <w:p w14:paraId="5B340EF2">
                    <w:pPr>
                      <w:pStyle w:val="26"/>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613EB">
    <w:pPr>
      <w:pStyle w:val="255"/>
      <w:tabs>
        <w:tab w:val="center" w:pos="4153"/>
        <w:tab w:val="right" w:pos="8306"/>
      </w:tabs>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C32AEC">
                          <w:pPr>
                            <w:pStyle w:val="26"/>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T803AgAAZAQAAA4AAABkcnMvZTJvRG9jLnhtbK1UwW4TMRC9I/EP&#10;lu90kyBKF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dr0/NNwIAAGQEAAAOAAAAAAAAAAEAIAAAAB8BAABkcnMvZTJvRG9jLnht&#10;bFBLBQYAAAAABgAGAFkBAADIBQAAAAA=&#10;">
              <v:fill on="f" focussize="0,0"/>
              <v:stroke on="f" weight="0.5pt"/>
              <v:imagedata o:title=""/>
              <o:lock v:ext="edit" aspectratio="f"/>
              <v:textbox inset="0mm,0mm,0mm,0mm" style="mso-fit-shape-to-text:t;">
                <w:txbxContent>
                  <w:p w14:paraId="44C32AEC">
                    <w:pPr>
                      <w:pStyle w:val="26"/>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3E54D">
    <w:pPr>
      <w:pStyle w:val="73"/>
      <w:tabs>
        <w:tab w:val="right" w:pos="4153"/>
        <w:tab w:val="left" w:leader="underscore" w:pos="8306"/>
      </w:tabs>
      <w:jc w:val="right"/>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CE805F">
                          <w:pPr>
                            <w:pStyle w:val="2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laK43AgAAZA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b5WiuNwIAAGQEAAAOAAAAAAAAAAEAIAAAAB8BAABkcnMvZTJvRG9jLnht&#10;bFBLBQYAAAAABgAGAFkBAADIBQAAAAA=&#10;">
              <v:fill on="f" focussize="0,0"/>
              <v:stroke on="f" weight="0.5pt"/>
              <v:imagedata o:title=""/>
              <o:lock v:ext="edit" aspectratio="f"/>
              <v:textbox inset="0mm,0mm,0mm,0mm" style="mso-fit-shape-to-text:t;">
                <w:txbxContent>
                  <w:p w14:paraId="65CE805F">
                    <w:pPr>
                      <w:pStyle w:val="2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8E5F">
    <w:pPr>
      <w:pStyle w:val="73"/>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A6EAB">
                          <w:pPr>
                            <w:pStyle w:val="2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5KpWJNwIAAGQEAAAOAAAAAAAAAAEAIAAAAB8BAABkcnMvZTJvRG9jLnht&#10;bFBLBQYAAAAABgAGAFkBAADIBQAAAAA=&#10;">
              <v:fill on="f" focussize="0,0"/>
              <v:stroke on="f" weight="0.5pt"/>
              <v:imagedata o:title=""/>
              <o:lock v:ext="edit" aspectratio="f"/>
              <v:textbox inset="0mm,0mm,0mm,0mm" style="mso-fit-shape-to-text:t;">
                <w:txbxContent>
                  <w:p w14:paraId="0A3A6EAB">
                    <w:pPr>
                      <w:pStyle w:val="2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7B451">
    <w:pPr>
      <w:pStyle w:val="28"/>
      <w:pBdr>
        <w:bottom w:val="single" w:color="auto" w:sz="4" w:space="0"/>
      </w:pBdr>
      <w:tabs>
        <w:tab w:val="center" w:pos="4153"/>
        <w:tab w:val="right" w:pos="8306"/>
        <w:tab w:val="clear" w:pos="7143"/>
        <w:tab w:val="clear" w:pos="14287"/>
      </w:tabs>
      <w:ind w:firstLine="210"/>
    </w:pPr>
    <w:r>
      <w:rPr>
        <w:rFonts w:hint="eastAsia" w:ascii="隶书" w:hAnsi="隶书" w:eastAsia="隶书" w:cs="隶书"/>
        <w:b/>
        <w:bCs/>
        <w:i/>
        <w:iCs/>
      </w:rPr>
      <w:drawing>
        <wp:inline distT="0" distB="0" distL="0" distR="0">
          <wp:extent cx="173990" cy="160020"/>
          <wp:effectExtent l="0" t="0" r="16510" b="11430"/>
          <wp:docPr id="18" name="图片 21" descr="166929940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1" descr="1669299403653"/>
                  <pic:cNvPicPr>
                    <a:picLocks noChangeAspect="1"/>
                  </pic:cNvPicPr>
                </pic:nvPicPr>
                <pic:blipFill>
                  <a:blip r:embed="rId1"/>
                  <a:stretch>
                    <a:fillRect/>
                  </a:stretch>
                </pic:blipFill>
                <pic:spPr>
                  <a:xfrm>
                    <a:off x="0" y="0"/>
                    <a:ext cx="173990" cy="160020"/>
                  </a:xfrm>
                  <a:prstGeom prst="rect">
                    <a:avLst/>
                  </a:prstGeom>
                  <a:noFill/>
                  <a:ln>
                    <a:noFill/>
                  </a:ln>
                </pic:spPr>
              </pic:pic>
            </a:graphicData>
          </a:graphic>
        </wp:inline>
      </w:drawing>
    </w:r>
    <w:r>
      <w:rPr>
        <w:rFonts w:hint="eastAsia" w:ascii="微软雅黑" w:hAnsi="微软雅黑" w:eastAsia="微软雅黑" w:cs="微软雅黑"/>
      </w:rPr>
      <w:t>江苏科建             毕业生房间粉刷维修及宿舍八组团维修改造工程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379"/>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D4B65C98"/>
    <w:multiLevelType w:val="multilevel"/>
    <w:tmpl w:val="D4B65C98"/>
    <w:lvl w:ilvl="0" w:tentative="0">
      <w:start w:val="8"/>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6"/>
    <w:multiLevelType w:val="singleLevel"/>
    <w:tmpl w:val="00000006"/>
    <w:lvl w:ilvl="0" w:tentative="0">
      <w:start w:val="1"/>
      <w:numFmt w:val="decimal"/>
      <w:suff w:val="nothing"/>
      <w:lvlText w:val="（%1）"/>
      <w:lvlJc w:val="left"/>
    </w:lvl>
  </w:abstractNum>
  <w:abstractNum w:abstractNumId="3">
    <w:nsid w:val="0053208E"/>
    <w:multiLevelType w:val="multilevel"/>
    <w:tmpl w:val="0053208E"/>
    <w:lvl w:ilvl="0" w:tentative="0">
      <w:start w:val="1"/>
      <w:numFmt w:val="decimal"/>
      <w:pStyle w:val="93"/>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532A41D"/>
    <w:multiLevelType w:val="multilevel"/>
    <w:tmpl w:val="5532A41D"/>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96807C9"/>
    <w:multiLevelType w:val="singleLevel"/>
    <w:tmpl w:val="696807C9"/>
    <w:lvl w:ilvl="0" w:tentative="0">
      <w:start w:val="19"/>
      <w:numFmt w:val="decimal"/>
      <w:lvlText w:val=""/>
      <w:lvlJc w:val="left"/>
      <w:pPr>
        <w:tabs>
          <w:tab w:val="left" w:pos="360"/>
        </w:tabs>
        <w:ind w:left="360" w:hanging="360"/>
      </w:pPr>
      <w:rPr>
        <w:rFonts w:hint="default"/>
        <w:u w:val="none"/>
      </w:r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B53"/>
    <w:rsid w:val="002B31C8"/>
    <w:rsid w:val="00332E67"/>
    <w:rsid w:val="003465E5"/>
    <w:rsid w:val="0047543A"/>
    <w:rsid w:val="00550770"/>
    <w:rsid w:val="00652865"/>
    <w:rsid w:val="0065764E"/>
    <w:rsid w:val="00682830"/>
    <w:rsid w:val="006C2B3A"/>
    <w:rsid w:val="006D6481"/>
    <w:rsid w:val="0071695F"/>
    <w:rsid w:val="00832259"/>
    <w:rsid w:val="00886356"/>
    <w:rsid w:val="00990B97"/>
    <w:rsid w:val="00995026"/>
    <w:rsid w:val="009A15DA"/>
    <w:rsid w:val="009C1577"/>
    <w:rsid w:val="00A35F50"/>
    <w:rsid w:val="00A56B53"/>
    <w:rsid w:val="00D35227"/>
    <w:rsid w:val="00D64D47"/>
    <w:rsid w:val="00D703C1"/>
    <w:rsid w:val="00DC4A57"/>
    <w:rsid w:val="00E64EE4"/>
    <w:rsid w:val="00E81E60"/>
    <w:rsid w:val="00E8474C"/>
    <w:rsid w:val="00ED7856"/>
    <w:rsid w:val="00EF25CC"/>
    <w:rsid w:val="02545203"/>
    <w:rsid w:val="041D47D5"/>
    <w:rsid w:val="05AD27E8"/>
    <w:rsid w:val="102E38C6"/>
    <w:rsid w:val="14EB6229"/>
    <w:rsid w:val="16BF34C9"/>
    <w:rsid w:val="16FC471D"/>
    <w:rsid w:val="195B5257"/>
    <w:rsid w:val="1A2E4BEE"/>
    <w:rsid w:val="1DC43734"/>
    <w:rsid w:val="20127999"/>
    <w:rsid w:val="21613B5D"/>
    <w:rsid w:val="2A110088"/>
    <w:rsid w:val="2B9E76FA"/>
    <w:rsid w:val="2C1A04CB"/>
    <w:rsid w:val="2D3B548D"/>
    <w:rsid w:val="37243CC9"/>
    <w:rsid w:val="3AFA14D0"/>
    <w:rsid w:val="3C2638C3"/>
    <w:rsid w:val="3CF03B2D"/>
    <w:rsid w:val="3E86299B"/>
    <w:rsid w:val="3EA03A5D"/>
    <w:rsid w:val="4155201B"/>
    <w:rsid w:val="456F4189"/>
    <w:rsid w:val="4B6A27DB"/>
    <w:rsid w:val="4CBF0E7F"/>
    <w:rsid w:val="4F86411A"/>
    <w:rsid w:val="523D2C08"/>
    <w:rsid w:val="55D04ED0"/>
    <w:rsid w:val="57DD4F82"/>
    <w:rsid w:val="594F3C5E"/>
    <w:rsid w:val="5A483058"/>
    <w:rsid w:val="5B647768"/>
    <w:rsid w:val="5C9246DC"/>
    <w:rsid w:val="5ECD77FC"/>
    <w:rsid w:val="61903065"/>
    <w:rsid w:val="628F156F"/>
    <w:rsid w:val="7490269B"/>
    <w:rsid w:val="76F31C74"/>
    <w:rsid w:val="7AA73B8B"/>
    <w:rsid w:val="7FA428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Calibri" w:hAnsi="Calibri" w:eastAsia="宋体" w:cs="Times New Roman"/>
      <w:sz w:val="21"/>
      <w:szCs w:val="21"/>
      <w:lang w:val="en-US" w:eastAsia="zh-CN" w:bidi="ar-SA"/>
    </w:rPr>
  </w:style>
  <w:style w:type="paragraph" w:styleId="3">
    <w:name w:val="heading 1"/>
    <w:basedOn w:val="1"/>
    <w:next w:val="1"/>
    <w:link w:val="115"/>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11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1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1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2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22"/>
    <w:unhideWhenUsed/>
    <w:qFormat/>
    <w:uiPriority w:val="9"/>
    <w:pPr>
      <w:keepNext/>
      <w:keepLines/>
      <w:spacing w:before="320" w:after="200"/>
      <w:outlineLvl w:val="8"/>
    </w:pPr>
    <w:rPr>
      <w:rFonts w:ascii="Arial" w:hAnsi="Arial" w:eastAsia="Arial" w:cs="Arial"/>
      <w:i/>
      <w:iCs/>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jc w:val="left"/>
    </w:pPr>
    <w:rPr>
      <w:sz w:val="20"/>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qFormat/>
    <w:uiPriority w:val="0"/>
    <w:pPr>
      <w:spacing w:before="120"/>
    </w:pPr>
    <w:rPr>
      <w:rFonts w:ascii="Arial" w:hAnsi="Arial" w:cs="Arial"/>
      <w:sz w:val="24"/>
    </w:rPr>
  </w:style>
  <w:style w:type="paragraph" w:styleId="15">
    <w:name w:val="annotation text"/>
    <w:basedOn w:val="1"/>
    <w:link w:val="375"/>
    <w:semiHidden/>
    <w:unhideWhenUsed/>
    <w:qFormat/>
    <w:uiPriority w:val="99"/>
    <w:pPr>
      <w:jc w:val="left"/>
    </w:pPr>
  </w:style>
  <w:style w:type="paragraph" w:styleId="16">
    <w:name w:val="Body Text"/>
    <w:basedOn w:val="1"/>
    <w:link w:val="377"/>
    <w:qFormat/>
    <w:uiPriority w:val="0"/>
    <w:pPr>
      <w:spacing w:after="120"/>
      <w:jc w:val="left"/>
    </w:pPr>
    <w:rPr>
      <w:rFonts w:ascii="Times New Roman" w:hAnsi="Times New Roman"/>
      <w:sz w:val="20"/>
      <w:szCs w:val="20"/>
    </w:rPr>
  </w:style>
  <w:style w:type="paragraph" w:styleId="17">
    <w:name w:val="Body Text Indent"/>
    <w:basedOn w:val="1"/>
    <w:link w:val="380"/>
    <w:qFormat/>
    <w:uiPriority w:val="0"/>
    <w:pPr>
      <w:spacing w:after="120"/>
      <w:ind w:left="420"/>
    </w:pPr>
  </w:style>
  <w:style w:type="paragraph" w:styleId="18">
    <w:name w:val="Block Text"/>
    <w:basedOn w:val="1"/>
    <w:qFormat/>
    <w:uiPriority w:val="0"/>
    <w:pPr>
      <w:ind w:left="256" w:right="6" w:firstLine="624"/>
    </w:pPr>
    <w:rPr>
      <w:rFonts w:eastAsia="仿宋_GB2312"/>
      <w:sz w:val="28"/>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Date"/>
    <w:basedOn w:val="1"/>
    <w:next w:val="1"/>
    <w:unhideWhenUsed/>
    <w:qFormat/>
    <w:uiPriority w:val="0"/>
    <w:rPr>
      <w:rFonts w:ascii="宋体" w:hAnsi="Times New Roman"/>
    </w:rPr>
  </w:style>
  <w:style w:type="paragraph" w:styleId="24">
    <w:name w:val="endnote text"/>
    <w:basedOn w:val="1"/>
    <w:link w:val="240"/>
    <w:semiHidden/>
    <w:unhideWhenUsed/>
    <w:qFormat/>
    <w:uiPriority w:val="99"/>
    <w:rPr>
      <w:sz w:val="20"/>
    </w:rPr>
  </w:style>
  <w:style w:type="paragraph" w:styleId="25">
    <w:name w:val="Balloon Text"/>
    <w:basedOn w:val="1"/>
    <w:link w:val="378"/>
    <w:semiHidden/>
    <w:unhideWhenUsed/>
    <w:qFormat/>
    <w:uiPriority w:val="99"/>
    <w:rPr>
      <w:sz w:val="18"/>
      <w:szCs w:val="18"/>
    </w:rPr>
  </w:style>
  <w:style w:type="paragraph" w:styleId="26">
    <w:name w:val="footer"/>
    <w:basedOn w:val="1"/>
    <w:link w:val="132"/>
    <w:unhideWhenUsed/>
    <w:qFormat/>
    <w:uiPriority w:val="99"/>
    <w:pPr>
      <w:tabs>
        <w:tab w:val="center" w:pos="7143"/>
        <w:tab w:val="right" w:pos="14287"/>
      </w:tabs>
    </w:pPr>
  </w:style>
  <w:style w:type="paragraph" w:styleId="27">
    <w:name w:val="envelope return"/>
    <w:basedOn w:val="1"/>
    <w:qFormat/>
    <w:uiPriority w:val="0"/>
    <w:rPr>
      <w:rFonts w:ascii="Arial" w:hAnsi="Arial"/>
    </w:rPr>
  </w:style>
  <w:style w:type="paragraph" w:styleId="28">
    <w:name w:val="header"/>
    <w:basedOn w:val="1"/>
    <w:link w:val="130"/>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25"/>
    <w:qFormat/>
    <w:uiPriority w:val="11"/>
    <w:pPr>
      <w:spacing w:before="200" w:after="200"/>
    </w:pPr>
    <w:rPr>
      <w:sz w:val="24"/>
      <w:szCs w:val="24"/>
    </w:rPr>
  </w:style>
  <w:style w:type="paragraph" w:styleId="32">
    <w:name w:val="footnote text"/>
    <w:basedOn w:val="1"/>
    <w:link w:val="239"/>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semiHidden/>
    <w:unhideWhenUsed/>
    <w:qFormat/>
    <w:uiPriority w:val="99"/>
    <w:rPr>
      <w:rFonts w:ascii="Times New Roman" w:hAnsi="Times New Roman"/>
      <w:sz w:val="24"/>
      <w:szCs w:val="24"/>
    </w:rPr>
  </w:style>
  <w:style w:type="paragraph" w:styleId="38">
    <w:name w:val="Title"/>
    <w:basedOn w:val="1"/>
    <w:next w:val="1"/>
    <w:link w:val="124"/>
    <w:qFormat/>
    <w:uiPriority w:val="10"/>
    <w:pPr>
      <w:spacing w:before="300" w:after="200"/>
      <w:contextualSpacing/>
    </w:pPr>
    <w:rPr>
      <w:sz w:val="48"/>
      <w:szCs w:val="48"/>
    </w:rPr>
  </w:style>
  <w:style w:type="paragraph" w:styleId="39">
    <w:name w:val="annotation subject"/>
    <w:basedOn w:val="15"/>
    <w:next w:val="15"/>
    <w:link w:val="374"/>
    <w:qFormat/>
    <w:uiPriority w:val="0"/>
    <w:rPr>
      <w:rFonts w:ascii="Times New Roman" w:hAnsi="Times New Roman"/>
      <w:b/>
      <w:bCs/>
      <w:sz w:val="24"/>
      <w:szCs w:val="24"/>
    </w:rPr>
  </w:style>
  <w:style w:type="table" w:styleId="41">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u w:val="single"/>
    </w:rPr>
  </w:style>
  <w:style w:type="character" w:styleId="46">
    <w:name w:val="annotation reference"/>
    <w:basedOn w:val="42"/>
    <w:semiHidden/>
    <w:unhideWhenUsed/>
    <w:qFormat/>
    <w:uiPriority w:val="99"/>
    <w:rPr>
      <w:sz w:val="21"/>
      <w:szCs w:val="21"/>
    </w:rPr>
  </w:style>
  <w:style w:type="character" w:styleId="47">
    <w:name w:val="footnote reference"/>
    <w:unhideWhenUsed/>
    <w:qFormat/>
    <w:uiPriority w:val="99"/>
    <w:rPr>
      <w:vertAlign w:val="superscript"/>
    </w:rPr>
  </w:style>
  <w:style w:type="table" w:customStyle="1" w:styleId="48">
    <w:name w:val="无格式表格 11"/>
    <w:basedOn w:val="40"/>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49">
    <w:name w:val="无格式表格 21"/>
    <w:basedOn w:val="40"/>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0">
    <w:name w:val="无格式表格 31"/>
    <w:basedOn w:val="40"/>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1">
    <w:name w:val="无格式表格 41"/>
    <w:basedOn w:val="40"/>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2">
    <w:name w:val="无格式表格 51"/>
    <w:basedOn w:val="40"/>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3">
    <w:name w:val="网格表 1 浅色1"/>
    <w:basedOn w:val="40"/>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4">
    <w:name w:val="网格表 21"/>
    <w:basedOn w:val="40"/>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5">
    <w:name w:val="网格表 31"/>
    <w:basedOn w:val="40"/>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6">
    <w:name w:val="网格表 41"/>
    <w:basedOn w:val="40"/>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7">
    <w:name w:val="网格表 5 深色1"/>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58">
    <w:name w:val="网格表 6 彩色1"/>
    <w:basedOn w:val="40"/>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59">
    <w:name w:val="网格表 7 彩色1"/>
    <w:basedOn w:val="40"/>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0">
    <w:name w:val="清单表 1 浅色1"/>
    <w:basedOn w:val="40"/>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1">
    <w:name w:val="清单表 21"/>
    <w:basedOn w:val="40"/>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2">
    <w:name w:val="清单表 31"/>
    <w:basedOn w:val="40"/>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3">
    <w:name w:val="清单表 41"/>
    <w:basedOn w:val="40"/>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4">
    <w:name w:val="清单表 5 深色1"/>
    <w:basedOn w:val="40"/>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5">
    <w:name w:val="清单表 6 彩色1"/>
    <w:basedOn w:val="40"/>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6">
    <w:name w:val="清单表 7 彩色1"/>
    <w:basedOn w:val="40"/>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67">
    <w:name w:val="TOC 标题1"/>
    <w:unhideWhenUsed/>
    <w:qFormat/>
    <w:uiPriority w:val="39"/>
    <w:rPr>
      <w:rFonts w:ascii="Times New Roman" w:hAnsi="Times New Roman" w:eastAsia="宋体" w:cs="Times New Roman"/>
      <w:lang w:val="en-US" w:eastAsia="zh-CN" w:bidi="ar-SA"/>
    </w:rPr>
  </w:style>
  <w:style w:type="paragraph" w:customStyle="1" w:styleId="68">
    <w:name w:val="无间隔1"/>
    <w:qFormat/>
    <w:uiPriority w:val="0"/>
    <w:rPr>
      <w:rFonts w:ascii="Times New Roman" w:hAnsi="Times New Roman" w:eastAsia="宋体" w:cs="Times New Roman"/>
      <w:sz w:val="22"/>
      <w:szCs w:val="22"/>
      <w:lang w:val="en-US" w:eastAsia="en-US" w:bidi="ar-SA"/>
    </w:rPr>
  </w:style>
  <w:style w:type="paragraph" w:customStyle="1" w:styleId="69">
    <w:name w:val="正文文本11"/>
    <w:basedOn w:val="70"/>
    <w:next w:val="75"/>
    <w:link w:val="250"/>
    <w:qFormat/>
    <w:uiPriority w:val="0"/>
    <w:pPr>
      <w:spacing w:after="120"/>
    </w:pPr>
  </w:style>
  <w:style w:type="paragraph" w:customStyle="1" w:styleId="70">
    <w:name w:val="正文12"/>
    <w:next w:val="71"/>
    <w:qFormat/>
    <w:uiPriority w:val="0"/>
    <w:pPr>
      <w:jc w:val="both"/>
    </w:pPr>
    <w:rPr>
      <w:rFonts w:ascii="Calibri" w:hAnsi="Calibri" w:eastAsia="宋体" w:cs="Times New Roman"/>
      <w:sz w:val="21"/>
      <w:szCs w:val="21"/>
      <w:lang w:val="en-US" w:eastAsia="zh-CN" w:bidi="ar-SA"/>
    </w:rPr>
  </w:style>
  <w:style w:type="paragraph" w:customStyle="1" w:styleId="71">
    <w:name w:val="脚注文本1"/>
    <w:basedOn w:val="72"/>
    <w:next w:val="85"/>
    <w:qFormat/>
    <w:uiPriority w:val="0"/>
    <w:rPr>
      <w:sz w:val="18"/>
      <w:szCs w:val="18"/>
    </w:rPr>
  </w:style>
  <w:style w:type="paragraph" w:customStyle="1" w:styleId="72">
    <w:name w:val="正文1"/>
    <w:basedOn w:val="73"/>
    <w:next w:val="79"/>
    <w:link w:val="272"/>
    <w:qFormat/>
    <w:uiPriority w:val="0"/>
    <w:pPr>
      <w:spacing w:line="360" w:lineRule="atLeast"/>
      <w:jc w:val="left"/>
    </w:pPr>
    <w:rPr>
      <w:rFonts w:ascii="宋体"/>
      <w:sz w:val="24"/>
    </w:rPr>
  </w:style>
  <w:style w:type="paragraph" w:customStyle="1" w:styleId="73">
    <w:name w:val="正文11"/>
    <w:next w:val="74"/>
    <w:link w:val="355"/>
    <w:qFormat/>
    <w:uiPriority w:val="0"/>
    <w:pPr>
      <w:jc w:val="both"/>
    </w:pPr>
    <w:rPr>
      <w:rFonts w:ascii="Times New Roman" w:hAnsi="Times New Roman" w:eastAsia="宋体" w:cs="Times New Roman"/>
      <w:lang w:val="en-US" w:eastAsia="zh-CN" w:bidi="ar-SA"/>
    </w:rPr>
  </w:style>
  <w:style w:type="paragraph" w:customStyle="1" w:styleId="74">
    <w:name w:val="文本块1"/>
    <w:basedOn w:val="75"/>
    <w:next w:val="78"/>
    <w:qFormat/>
    <w:uiPriority w:val="0"/>
    <w:pPr>
      <w:ind w:left="256" w:right="6" w:firstLine="624"/>
    </w:pPr>
    <w:rPr>
      <w:rFonts w:eastAsia="仿宋_GB2312"/>
      <w:sz w:val="28"/>
    </w:rPr>
  </w:style>
  <w:style w:type="paragraph" w:customStyle="1" w:styleId="75">
    <w:name w:val="正文111"/>
    <w:next w:val="76"/>
    <w:qFormat/>
    <w:uiPriority w:val="0"/>
    <w:pPr>
      <w:widowControl w:val="0"/>
      <w:jc w:val="both"/>
    </w:pPr>
    <w:rPr>
      <w:rFonts w:ascii="Calibri" w:hAnsi="Calibri" w:eastAsia="宋体" w:cs="Calibri"/>
      <w:color w:val="000000"/>
      <w:sz w:val="22"/>
      <w:szCs w:val="22"/>
      <w:lang w:val="en-US" w:eastAsia="zh-CN" w:bidi="ar-SA"/>
    </w:rPr>
  </w:style>
  <w:style w:type="paragraph" w:customStyle="1" w:styleId="76">
    <w:name w:val="正文文本缩进1"/>
    <w:basedOn w:val="72"/>
    <w:next w:val="77"/>
    <w:qFormat/>
    <w:uiPriority w:val="0"/>
    <w:pPr>
      <w:spacing w:after="120"/>
      <w:ind w:left="420"/>
    </w:pPr>
  </w:style>
  <w:style w:type="paragraph" w:customStyle="1" w:styleId="77">
    <w:name w:val="寄信人地址1"/>
    <w:basedOn w:val="72"/>
    <w:qFormat/>
    <w:uiPriority w:val="0"/>
    <w:rPr>
      <w:rFonts w:ascii="Arial" w:hAnsi="Arial"/>
    </w:rPr>
  </w:style>
  <w:style w:type="paragraph" w:customStyle="1" w:styleId="78">
    <w:name w:val="标题 41"/>
    <w:basedOn w:val="70"/>
    <w:next w:val="73"/>
    <w:qFormat/>
    <w:uiPriority w:val="0"/>
    <w:pPr>
      <w:keepNext/>
      <w:keepLines/>
      <w:spacing w:line="360" w:lineRule="auto"/>
      <w:outlineLvl w:val="3"/>
    </w:pPr>
    <w:rPr>
      <w:rFonts w:ascii="Arial" w:hAnsi="Arial"/>
      <w:b/>
      <w:bCs/>
      <w:szCs w:val="28"/>
    </w:rPr>
  </w:style>
  <w:style w:type="paragraph" w:customStyle="1" w:styleId="79">
    <w:name w:val="目录 11"/>
    <w:basedOn w:val="80"/>
    <w:next w:val="70"/>
    <w:qFormat/>
    <w:uiPriority w:val="0"/>
  </w:style>
  <w:style w:type="paragraph" w:customStyle="1" w:styleId="80">
    <w:name w:val="正文112"/>
    <w:next w:val="8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81">
    <w:name w:val="正文首行缩进1"/>
    <w:basedOn w:val="69"/>
    <w:next w:val="82"/>
    <w:link w:val="264"/>
    <w:qFormat/>
    <w:uiPriority w:val="0"/>
    <w:pPr>
      <w:widowControl w:val="0"/>
      <w:ind w:firstLine="420"/>
    </w:pPr>
  </w:style>
  <w:style w:type="paragraph" w:customStyle="1" w:styleId="82">
    <w:name w:val="正文首行缩进 211"/>
    <w:basedOn w:val="83"/>
    <w:next w:val="80"/>
    <w:qFormat/>
    <w:uiPriority w:val="99"/>
    <w:pPr>
      <w:spacing w:after="0" w:line="360" w:lineRule="auto"/>
      <w:ind w:left="0" w:firstLine="420"/>
    </w:pPr>
    <w:rPr>
      <w:rFonts w:ascii="宋体" w:hAnsi="宋体"/>
    </w:rPr>
  </w:style>
  <w:style w:type="paragraph" w:customStyle="1" w:styleId="83">
    <w:name w:val="正文文本缩进11"/>
    <w:basedOn w:val="73"/>
    <w:next w:val="84"/>
    <w:qFormat/>
    <w:uiPriority w:val="99"/>
    <w:pPr>
      <w:spacing w:after="120"/>
      <w:ind w:left="420"/>
    </w:pPr>
  </w:style>
  <w:style w:type="paragraph" w:customStyle="1" w:styleId="84">
    <w:name w:val="寄信人地址11"/>
    <w:basedOn w:val="1"/>
    <w:qFormat/>
    <w:uiPriority w:val="0"/>
    <w:rPr>
      <w:rFonts w:ascii="Arial" w:hAnsi="Arial"/>
    </w:rPr>
  </w:style>
  <w:style w:type="paragraph" w:customStyle="1" w:styleId="85">
    <w:name w:val="索引 51"/>
    <w:basedOn w:val="70"/>
    <w:next w:val="72"/>
    <w:qFormat/>
    <w:uiPriority w:val="0"/>
    <w:pPr>
      <w:ind w:left="798"/>
    </w:pPr>
  </w:style>
  <w:style w:type="paragraph" w:customStyle="1" w:styleId="86">
    <w:name w:val="TOC 标题113"/>
    <w:unhideWhenUsed/>
    <w:qFormat/>
    <w:uiPriority w:val="39"/>
    <w:rPr>
      <w:rFonts w:ascii="Times New Roman" w:hAnsi="Times New Roman" w:eastAsia="宋体" w:cs="Times New Roman"/>
      <w:lang w:val="en-US" w:eastAsia="zh-CN" w:bidi="ar-SA"/>
    </w:rPr>
  </w:style>
  <w:style w:type="character" w:customStyle="1" w:styleId="87">
    <w:name w:val="标题 1 Char"/>
    <w:link w:val="88"/>
    <w:qFormat/>
    <w:uiPriority w:val="0"/>
    <w:rPr>
      <w:b/>
      <w:bCs/>
      <w:sz w:val="44"/>
      <w:szCs w:val="44"/>
    </w:rPr>
  </w:style>
  <w:style w:type="paragraph" w:customStyle="1" w:styleId="88">
    <w:name w:val="标题 11"/>
    <w:basedOn w:val="73"/>
    <w:next w:val="73"/>
    <w:link w:val="87"/>
    <w:qFormat/>
    <w:uiPriority w:val="0"/>
    <w:pPr>
      <w:keepNext/>
      <w:keepLines/>
      <w:spacing w:before="340" w:after="330" w:line="578" w:lineRule="auto"/>
      <w:outlineLvl w:val="0"/>
    </w:pPr>
    <w:rPr>
      <w:b/>
      <w:bCs/>
      <w:sz w:val="44"/>
      <w:szCs w:val="44"/>
    </w:rPr>
  </w:style>
  <w:style w:type="paragraph" w:customStyle="1" w:styleId="89">
    <w:name w:val="正文文本1"/>
    <w:basedOn w:val="72"/>
    <w:next w:val="90"/>
    <w:qFormat/>
    <w:uiPriority w:val="0"/>
    <w:rPr>
      <w:rFonts w:eastAsia="黑体"/>
      <w:b/>
      <w:bCs/>
      <w:spacing w:val="20"/>
      <w:sz w:val="56"/>
    </w:rPr>
  </w:style>
  <w:style w:type="paragraph" w:customStyle="1" w:styleId="90">
    <w:name w:val="一级条标题"/>
    <w:basedOn w:val="91"/>
    <w:next w:val="9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91">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92">
    <w:name w:val="段"/>
    <w:basedOn w:val="73"/>
    <w:next w:val="1"/>
    <w:qFormat/>
    <w:uiPriority w:val="0"/>
    <w:pPr>
      <w:ind w:firstLine="200"/>
    </w:pPr>
    <w:rPr>
      <w:rFonts w:ascii="宋体"/>
    </w:rPr>
  </w:style>
  <w:style w:type="paragraph" w:customStyle="1" w:styleId="93">
    <w:name w:val="标题 21"/>
    <w:basedOn w:val="70"/>
    <w:next w:val="73"/>
    <w:qFormat/>
    <w:uiPriority w:val="0"/>
    <w:pPr>
      <w:keepNext/>
      <w:keepLines/>
      <w:numPr>
        <w:ilvl w:val="0"/>
        <w:numId w:val="1"/>
      </w:numPr>
      <w:spacing w:before="260" w:after="260" w:line="416" w:lineRule="auto"/>
      <w:outlineLvl w:val="1"/>
    </w:pPr>
    <w:rPr>
      <w:rFonts w:ascii="Cambria" w:hAnsi="Cambria"/>
      <w:b/>
      <w:bCs/>
      <w:sz w:val="28"/>
      <w:szCs w:val="32"/>
    </w:rPr>
  </w:style>
  <w:style w:type="character" w:customStyle="1" w:styleId="94">
    <w:name w:val="标题 3 字符"/>
    <w:link w:val="4"/>
    <w:qFormat/>
    <w:uiPriority w:val="9"/>
    <w:rPr>
      <w:rFonts w:ascii="Arial" w:hAnsi="Arial" w:eastAsia="Arial" w:cs="Arial"/>
      <w:sz w:val="30"/>
      <w:szCs w:val="30"/>
    </w:rPr>
  </w:style>
  <w:style w:type="paragraph" w:customStyle="1" w:styleId="95">
    <w:name w:val="文本块2"/>
    <w:basedOn w:val="1"/>
    <w:qFormat/>
    <w:uiPriority w:val="0"/>
    <w:pPr>
      <w:ind w:left="256" w:right="6" w:firstLine="624"/>
    </w:pPr>
    <w:rPr>
      <w:rFonts w:ascii="Times New Roman" w:hAnsi="Times New Roman" w:eastAsia="仿宋_GB2312"/>
      <w:sz w:val="28"/>
      <w:szCs w:val="20"/>
    </w:rPr>
  </w:style>
  <w:style w:type="paragraph" w:customStyle="1" w:styleId="96">
    <w:name w:val="TOC 标题112"/>
    <w:unhideWhenUsed/>
    <w:qFormat/>
    <w:uiPriority w:val="39"/>
    <w:rPr>
      <w:rFonts w:ascii="Times New Roman" w:hAnsi="Times New Roman"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Heading 5 Char"/>
    <w:qFormat/>
    <w:uiPriority w:val="9"/>
    <w:rPr>
      <w:rFonts w:ascii="Arial" w:hAnsi="Arial" w:eastAsia="Arial" w:cs="Arial"/>
      <w:b/>
      <w:bCs/>
      <w:sz w:val="24"/>
      <w:szCs w:val="24"/>
    </w:rPr>
  </w:style>
  <w:style w:type="character" w:customStyle="1" w:styleId="102">
    <w:name w:val="Heading 6 Char"/>
    <w:qFormat/>
    <w:uiPriority w:val="9"/>
    <w:rPr>
      <w:rFonts w:ascii="Arial" w:hAnsi="Arial" w:eastAsia="Arial" w:cs="Arial"/>
      <w:b/>
      <w:bCs/>
      <w:sz w:val="22"/>
      <w:szCs w:val="22"/>
    </w:rPr>
  </w:style>
  <w:style w:type="character" w:customStyle="1" w:styleId="103">
    <w:name w:val="Heading 7 Char"/>
    <w:qFormat/>
    <w:uiPriority w:val="9"/>
    <w:rPr>
      <w:rFonts w:ascii="Arial" w:hAnsi="Arial" w:eastAsia="Arial" w:cs="Arial"/>
      <w:b/>
      <w:bCs/>
      <w:i/>
      <w:iCs/>
      <w:sz w:val="22"/>
      <w:szCs w:val="22"/>
    </w:rPr>
  </w:style>
  <w:style w:type="character" w:customStyle="1" w:styleId="104">
    <w:name w:val="Heading 8 Char"/>
    <w:qFormat/>
    <w:uiPriority w:val="9"/>
    <w:rPr>
      <w:rFonts w:ascii="Arial" w:hAnsi="Arial" w:eastAsia="Arial" w:cs="Arial"/>
      <w:i/>
      <w:iCs/>
      <w:sz w:val="22"/>
      <w:szCs w:val="22"/>
    </w:rPr>
  </w:style>
  <w:style w:type="character" w:customStyle="1" w:styleId="105">
    <w:name w:val="Heading 9 Char"/>
    <w:qFormat/>
    <w:uiPriority w:val="9"/>
    <w:rPr>
      <w:rFonts w:ascii="Arial" w:hAnsi="Arial" w:eastAsia="Arial" w:cs="Arial"/>
      <w:i/>
      <w:iCs/>
      <w:sz w:val="21"/>
      <w:szCs w:val="21"/>
    </w:rPr>
  </w:style>
  <w:style w:type="character" w:customStyle="1" w:styleId="106">
    <w:name w:val="Title Char"/>
    <w:qFormat/>
    <w:uiPriority w:val="10"/>
    <w:rPr>
      <w:sz w:val="48"/>
      <w:szCs w:val="48"/>
    </w:rPr>
  </w:style>
  <w:style w:type="character" w:customStyle="1" w:styleId="107">
    <w:name w:val="Subtitle Char"/>
    <w:qFormat/>
    <w:uiPriority w:val="11"/>
    <w:rPr>
      <w:sz w:val="24"/>
      <w:szCs w:val="24"/>
    </w:rPr>
  </w:style>
  <w:style w:type="character" w:customStyle="1" w:styleId="108">
    <w:name w:val="Quote Char"/>
    <w:qFormat/>
    <w:uiPriority w:val="29"/>
    <w:rPr>
      <w:i/>
    </w:rPr>
  </w:style>
  <w:style w:type="character" w:customStyle="1" w:styleId="109">
    <w:name w:val="Intense Quote Char"/>
    <w:qFormat/>
    <w:uiPriority w:val="30"/>
    <w:rPr>
      <w:i/>
    </w:rPr>
  </w:style>
  <w:style w:type="character" w:customStyle="1" w:styleId="110">
    <w:name w:val="Header Char"/>
    <w:basedOn w:val="42"/>
    <w:qFormat/>
    <w:uiPriority w:val="99"/>
  </w:style>
  <w:style w:type="character" w:customStyle="1" w:styleId="111">
    <w:name w:val="Caption Char"/>
    <w:qFormat/>
    <w:uiPriority w:val="99"/>
  </w:style>
  <w:style w:type="character" w:customStyle="1" w:styleId="112">
    <w:name w:val="Footnote Text Char"/>
    <w:qFormat/>
    <w:uiPriority w:val="99"/>
    <w:rPr>
      <w:sz w:val="18"/>
    </w:rPr>
  </w:style>
  <w:style w:type="character" w:customStyle="1" w:styleId="113">
    <w:name w:val="Endnote Text Char"/>
    <w:qFormat/>
    <w:uiPriority w:val="99"/>
    <w:rPr>
      <w:sz w:val="20"/>
    </w:rPr>
  </w:style>
  <w:style w:type="paragraph" w:customStyle="1" w:styleId="114">
    <w:name w:val="TOC 标题111"/>
    <w:unhideWhenUsed/>
    <w:qFormat/>
    <w:uiPriority w:val="39"/>
    <w:rPr>
      <w:rFonts w:ascii="Times New Roman" w:hAnsi="Times New Roman" w:eastAsia="宋体" w:cs="Times New Roman"/>
      <w:lang w:val="en-US" w:eastAsia="zh-CN" w:bidi="ar-SA"/>
    </w:rPr>
  </w:style>
  <w:style w:type="character" w:customStyle="1" w:styleId="115">
    <w:name w:val="标题 1 字符"/>
    <w:link w:val="3"/>
    <w:qFormat/>
    <w:uiPriority w:val="9"/>
    <w:rPr>
      <w:rFonts w:ascii="Arial" w:hAnsi="Arial" w:eastAsia="Arial" w:cs="Arial"/>
      <w:sz w:val="40"/>
      <w:szCs w:val="40"/>
    </w:rPr>
  </w:style>
  <w:style w:type="character" w:customStyle="1" w:styleId="116">
    <w:name w:val="标题 2 字符"/>
    <w:link w:val="2"/>
    <w:qFormat/>
    <w:uiPriority w:val="9"/>
    <w:rPr>
      <w:rFonts w:ascii="Arial" w:hAnsi="Arial" w:eastAsia="Arial" w:cs="Arial"/>
      <w:sz w:val="34"/>
    </w:rPr>
  </w:style>
  <w:style w:type="character" w:customStyle="1" w:styleId="117">
    <w:name w:val="标题 4 字符"/>
    <w:link w:val="5"/>
    <w:qFormat/>
    <w:uiPriority w:val="9"/>
    <w:rPr>
      <w:rFonts w:ascii="Arial" w:hAnsi="Arial" w:eastAsia="Arial" w:cs="Arial"/>
      <w:b/>
      <w:bCs/>
      <w:sz w:val="26"/>
      <w:szCs w:val="26"/>
    </w:rPr>
  </w:style>
  <w:style w:type="character" w:customStyle="1" w:styleId="118">
    <w:name w:val="标题 5 字符"/>
    <w:link w:val="6"/>
    <w:qFormat/>
    <w:uiPriority w:val="9"/>
    <w:rPr>
      <w:rFonts w:ascii="Arial" w:hAnsi="Arial" w:eastAsia="Arial" w:cs="Arial"/>
      <w:b/>
      <w:bCs/>
      <w:sz w:val="24"/>
      <w:szCs w:val="24"/>
    </w:rPr>
  </w:style>
  <w:style w:type="character" w:customStyle="1" w:styleId="119">
    <w:name w:val="标题 6 字符"/>
    <w:link w:val="7"/>
    <w:qFormat/>
    <w:uiPriority w:val="9"/>
    <w:rPr>
      <w:rFonts w:ascii="Arial" w:hAnsi="Arial" w:eastAsia="Arial" w:cs="Arial"/>
      <w:b/>
      <w:bCs/>
      <w:sz w:val="22"/>
      <w:szCs w:val="22"/>
    </w:rPr>
  </w:style>
  <w:style w:type="character" w:customStyle="1" w:styleId="120">
    <w:name w:val="标题 7 字符"/>
    <w:link w:val="8"/>
    <w:qFormat/>
    <w:uiPriority w:val="9"/>
    <w:rPr>
      <w:rFonts w:ascii="Arial" w:hAnsi="Arial" w:eastAsia="Arial" w:cs="Arial"/>
      <w:b/>
      <w:bCs/>
      <w:i/>
      <w:iCs/>
      <w:sz w:val="22"/>
      <w:szCs w:val="22"/>
    </w:rPr>
  </w:style>
  <w:style w:type="character" w:customStyle="1" w:styleId="121">
    <w:name w:val="标题 8 字符"/>
    <w:link w:val="9"/>
    <w:qFormat/>
    <w:uiPriority w:val="9"/>
    <w:rPr>
      <w:rFonts w:ascii="Arial" w:hAnsi="Arial" w:eastAsia="Arial" w:cs="Arial"/>
      <w:i/>
      <w:iCs/>
      <w:sz w:val="22"/>
      <w:szCs w:val="22"/>
    </w:rPr>
  </w:style>
  <w:style w:type="character" w:customStyle="1" w:styleId="122">
    <w:name w:val="标题 9 字符"/>
    <w:link w:val="10"/>
    <w:qFormat/>
    <w:uiPriority w:val="9"/>
    <w:rPr>
      <w:rFonts w:ascii="Arial" w:hAnsi="Arial" w:eastAsia="Arial" w:cs="Arial"/>
      <w:i/>
      <w:iCs/>
      <w:sz w:val="21"/>
      <w:szCs w:val="21"/>
    </w:rPr>
  </w:style>
  <w:style w:type="paragraph" w:styleId="123">
    <w:name w:val="No Spacing"/>
    <w:qFormat/>
    <w:uiPriority w:val="1"/>
    <w:rPr>
      <w:rFonts w:ascii="Times New Roman" w:hAnsi="Times New Roman" w:eastAsia="宋体" w:cs="Times New Roman"/>
      <w:lang w:val="en-US" w:eastAsia="zh-CN" w:bidi="ar-SA"/>
    </w:rPr>
  </w:style>
  <w:style w:type="character" w:customStyle="1" w:styleId="124">
    <w:name w:val="标题 字符"/>
    <w:link w:val="38"/>
    <w:qFormat/>
    <w:uiPriority w:val="10"/>
    <w:rPr>
      <w:sz w:val="48"/>
      <w:szCs w:val="48"/>
    </w:rPr>
  </w:style>
  <w:style w:type="character" w:customStyle="1" w:styleId="125">
    <w:name w:val="副标题 字符"/>
    <w:link w:val="31"/>
    <w:qFormat/>
    <w:uiPriority w:val="11"/>
    <w:rPr>
      <w:sz w:val="24"/>
      <w:szCs w:val="24"/>
    </w:rPr>
  </w:style>
  <w:style w:type="paragraph" w:styleId="126">
    <w:name w:val="Quote"/>
    <w:basedOn w:val="1"/>
    <w:next w:val="1"/>
    <w:link w:val="127"/>
    <w:qFormat/>
    <w:uiPriority w:val="29"/>
    <w:pPr>
      <w:ind w:left="720" w:right="720"/>
    </w:pPr>
    <w:rPr>
      <w:i/>
    </w:rPr>
  </w:style>
  <w:style w:type="character" w:customStyle="1" w:styleId="127">
    <w:name w:val="引用 字符"/>
    <w:link w:val="126"/>
    <w:qFormat/>
    <w:uiPriority w:val="29"/>
    <w:rPr>
      <w:i/>
    </w:rPr>
  </w:style>
  <w:style w:type="paragraph" w:styleId="128">
    <w:name w:val="Intense Quote"/>
    <w:basedOn w:val="1"/>
    <w:next w:val="1"/>
    <w:link w:val="12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9">
    <w:name w:val="明显引用 字符"/>
    <w:link w:val="128"/>
    <w:qFormat/>
    <w:uiPriority w:val="30"/>
    <w:rPr>
      <w:i/>
    </w:rPr>
  </w:style>
  <w:style w:type="character" w:customStyle="1" w:styleId="130">
    <w:name w:val="页眉 字符"/>
    <w:link w:val="28"/>
    <w:qFormat/>
    <w:uiPriority w:val="99"/>
  </w:style>
  <w:style w:type="character" w:customStyle="1" w:styleId="131">
    <w:name w:val="Footer Char"/>
    <w:qFormat/>
    <w:uiPriority w:val="99"/>
  </w:style>
  <w:style w:type="character" w:customStyle="1" w:styleId="132">
    <w:name w:val="页脚 字符"/>
    <w:link w:val="26"/>
    <w:qFormat/>
    <w:uiPriority w:val="99"/>
  </w:style>
  <w:style w:type="table" w:customStyle="1" w:styleId="13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3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3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3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3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3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4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6">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7">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8">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2">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53">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54">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55">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56">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7">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7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6">
    <w:name w:val="List Table 1 Light - Accent 1"/>
    <w:qFormat/>
    <w:uiPriority w:val="99"/>
    <w:tblPr>
      <w:tblCellMar>
        <w:top w:w="0" w:type="dxa"/>
        <w:left w:w="0" w:type="dxa"/>
        <w:bottom w:w="0" w:type="dxa"/>
        <w:right w:w="0" w:type="dxa"/>
      </w:tblCellMar>
    </w:tblPr>
  </w:style>
  <w:style w:type="table" w:customStyle="1" w:styleId="177">
    <w:name w:val="List Table 1 Light - Accent 2"/>
    <w:qFormat/>
    <w:uiPriority w:val="99"/>
    <w:tblPr>
      <w:tblCellMar>
        <w:top w:w="0" w:type="dxa"/>
        <w:left w:w="0" w:type="dxa"/>
        <w:bottom w:w="0" w:type="dxa"/>
        <w:right w:w="0" w:type="dxa"/>
      </w:tblCellMar>
    </w:tblPr>
  </w:style>
  <w:style w:type="table" w:customStyle="1" w:styleId="178">
    <w:name w:val="List Table 1 Light - Accent 3"/>
    <w:qFormat/>
    <w:uiPriority w:val="99"/>
    <w:tblPr>
      <w:tblCellMar>
        <w:top w:w="0" w:type="dxa"/>
        <w:left w:w="0" w:type="dxa"/>
        <w:bottom w:w="0" w:type="dxa"/>
        <w:right w:w="0" w:type="dxa"/>
      </w:tblCellMar>
    </w:tblPr>
  </w:style>
  <w:style w:type="table" w:customStyle="1" w:styleId="179">
    <w:name w:val="List Table 1 Light - Accent 4"/>
    <w:qFormat/>
    <w:uiPriority w:val="99"/>
    <w:tblPr>
      <w:tblCellMar>
        <w:top w:w="0" w:type="dxa"/>
        <w:left w:w="0" w:type="dxa"/>
        <w:bottom w:w="0" w:type="dxa"/>
        <w:right w:w="0" w:type="dxa"/>
      </w:tblCellMar>
    </w:tblPr>
  </w:style>
  <w:style w:type="table" w:customStyle="1" w:styleId="180">
    <w:name w:val="List Table 1 Light - Accent 5"/>
    <w:qFormat/>
    <w:uiPriority w:val="99"/>
    <w:tblPr>
      <w:tblCellMar>
        <w:top w:w="0" w:type="dxa"/>
        <w:left w:w="0" w:type="dxa"/>
        <w:bottom w:w="0" w:type="dxa"/>
        <w:right w:w="0" w:type="dxa"/>
      </w:tblCellMar>
    </w:tblPr>
  </w:style>
  <w:style w:type="table" w:customStyle="1" w:styleId="181">
    <w:name w:val="List Table 1 Light - Accent 6"/>
    <w:qFormat/>
    <w:uiPriority w:val="99"/>
    <w:tblPr>
      <w:tblCellMar>
        <w:top w:w="0" w:type="dxa"/>
        <w:left w:w="0" w:type="dxa"/>
        <w:bottom w:w="0" w:type="dxa"/>
        <w:right w:w="0" w:type="dxa"/>
      </w:tblCellMar>
    </w:tblPr>
  </w:style>
  <w:style w:type="table" w:customStyle="1" w:styleId="18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9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9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0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7">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8">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2">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3">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4">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5">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6">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7">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8">
    <w:name w:val="Lined - Accent"/>
    <w:qFormat/>
    <w:uiPriority w:val="99"/>
    <w:rPr>
      <w:color w:val="404040"/>
    </w:rPr>
    <w:tblPr>
      <w:tblCellMar>
        <w:top w:w="0" w:type="dxa"/>
        <w:left w:w="0" w:type="dxa"/>
        <w:bottom w:w="0" w:type="dxa"/>
        <w:right w:w="0" w:type="dxa"/>
      </w:tblCellMar>
    </w:tblPr>
  </w:style>
  <w:style w:type="table" w:customStyle="1" w:styleId="219">
    <w:name w:val="Lined - Accent 1"/>
    <w:qFormat/>
    <w:uiPriority w:val="99"/>
    <w:rPr>
      <w:color w:val="404040"/>
    </w:rPr>
    <w:tblPr>
      <w:tblCellMar>
        <w:top w:w="0" w:type="dxa"/>
        <w:left w:w="0" w:type="dxa"/>
        <w:bottom w:w="0" w:type="dxa"/>
        <w:right w:w="0" w:type="dxa"/>
      </w:tblCellMar>
    </w:tblPr>
  </w:style>
  <w:style w:type="table" w:customStyle="1" w:styleId="220">
    <w:name w:val="Lined - Accent 2"/>
    <w:qFormat/>
    <w:uiPriority w:val="99"/>
    <w:rPr>
      <w:color w:val="404040"/>
    </w:rPr>
    <w:tblPr>
      <w:tblCellMar>
        <w:top w:w="0" w:type="dxa"/>
        <w:left w:w="0" w:type="dxa"/>
        <w:bottom w:w="0" w:type="dxa"/>
        <w:right w:w="0" w:type="dxa"/>
      </w:tblCellMar>
    </w:tblPr>
  </w:style>
  <w:style w:type="table" w:customStyle="1" w:styleId="221">
    <w:name w:val="Lined - Accent 3"/>
    <w:qFormat/>
    <w:uiPriority w:val="99"/>
    <w:rPr>
      <w:color w:val="404040"/>
    </w:rPr>
    <w:tblPr>
      <w:tblCellMar>
        <w:top w:w="0" w:type="dxa"/>
        <w:left w:w="0" w:type="dxa"/>
        <w:bottom w:w="0" w:type="dxa"/>
        <w:right w:w="0" w:type="dxa"/>
      </w:tblCellMar>
    </w:tblPr>
  </w:style>
  <w:style w:type="table" w:customStyle="1" w:styleId="222">
    <w:name w:val="Lined - Accent 4"/>
    <w:qFormat/>
    <w:uiPriority w:val="99"/>
    <w:rPr>
      <w:color w:val="404040"/>
    </w:rPr>
    <w:tblPr>
      <w:tblCellMar>
        <w:top w:w="0" w:type="dxa"/>
        <w:left w:w="0" w:type="dxa"/>
        <w:bottom w:w="0" w:type="dxa"/>
        <w:right w:w="0" w:type="dxa"/>
      </w:tblCellMar>
    </w:tblPr>
  </w:style>
  <w:style w:type="table" w:customStyle="1" w:styleId="223">
    <w:name w:val="Lined - Accent 5"/>
    <w:qFormat/>
    <w:uiPriority w:val="99"/>
    <w:rPr>
      <w:color w:val="404040"/>
    </w:rPr>
    <w:tblPr>
      <w:tblCellMar>
        <w:top w:w="0" w:type="dxa"/>
        <w:left w:w="0" w:type="dxa"/>
        <w:bottom w:w="0" w:type="dxa"/>
        <w:right w:w="0" w:type="dxa"/>
      </w:tblCellMar>
    </w:tblPr>
  </w:style>
  <w:style w:type="table" w:customStyle="1" w:styleId="224">
    <w:name w:val="Lined - Accent 6"/>
    <w:qFormat/>
    <w:uiPriority w:val="99"/>
    <w:rPr>
      <w:color w:val="404040"/>
    </w:rPr>
    <w:tblPr>
      <w:tblCellMar>
        <w:top w:w="0" w:type="dxa"/>
        <w:left w:w="0" w:type="dxa"/>
        <w:bottom w:w="0" w:type="dxa"/>
        <w:right w:w="0" w:type="dxa"/>
      </w:tblCellMar>
    </w:tblPr>
  </w:style>
  <w:style w:type="table" w:customStyle="1" w:styleId="225">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6">
    <w:name w:val="Bordered &amp; Lined - Accent 1"/>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7">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8">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9">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0">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1">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2">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3">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4">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5">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6">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7">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8">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9">
    <w:name w:val="脚注文本 字符"/>
    <w:link w:val="32"/>
    <w:qFormat/>
    <w:uiPriority w:val="99"/>
    <w:rPr>
      <w:sz w:val="18"/>
    </w:rPr>
  </w:style>
  <w:style w:type="character" w:customStyle="1" w:styleId="240">
    <w:name w:val="尾注文本 字符"/>
    <w:link w:val="24"/>
    <w:qFormat/>
    <w:uiPriority w:val="99"/>
    <w:rPr>
      <w:sz w:val="20"/>
    </w:rPr>
  </w:style>
  <w:style w:type="paragraph" w:customStyle="1" w:styleId="241">
    <w:name w:val="TOC 标题11"/>
    <w:unhideWhenUsed/>
    <w:qFormat/>
    <w:uiPriority w:val="39"/>
    <w:rPr>
      <w:rFonts w:ascii="Times New Roman" w:hAnsi="Times New Roman" w:eastAsia="宋体" w:cs="Times New Roman"/>
      <w:lang w:val="en-US" w:eastAsia="zh-CN" w:bidi="ar-SA"/>
    </w:rPr>
  </w:style>
  <w:style w:type="paragraph" w:customStyle="1" w:styleId="242">
    <w:name w:val="标题 211"/>
    <w:basedOn w:val="73"/>
    <w:next w:val="73"/>
    <w:link w:val="246"/>
    <w:qFormat/>
    <w:uiPriority w:val="0"/>
    <w:pPr>
      <w:keepNext/>
      <w:keepLines/>
      <w:spacing w:before="260" w:after="260" w:line="416" w:lineRule="auto"/>
      <w:outlineLvl w:val="1"/>
    </w:pPr>
    <w:rPr>
      <w:rFonts w:ascii="Calibri Light" w:hAnsi="Calibri Light"/>
      <w:b/>
      <w:bCs/>
      <w:sz w:val="32"/>
      <w:szCs w:val="32"/>
    </w:rPr>
  </w:style>
  <w:style w:type="paragraph" w:customStyle="1" w:styleId="243">
    <w:name w:val="标题 31"/>
    <w:basedOn w:val="73"/>
    <w:next w:val="73"/>
    <w:qFormat/>
    <w:uiPriority w:val="0"/>
    <w:pPr>
      <w:keepNext/>
      <w:keepLines/>
      <w:spacing w:line="360" w:lineRule="auto"/>
      <w:outlineLvl w:val="2"/>
    </w:pPr>
    <w:rPr>
      <w:rFonts w:eastAsia="黑体"/>
      <w:b/>
      <w:bCs/>
      <w:sz w:val="21"/>
      <w:szCs w:val="32"/>
    </w:rPr>
  </w:style>
  <w:style w:type="character" w:customStyle="1" w:styleId="244">
    <w:name w:val="默认段落字体1"/>
    <w:qFormat/>
    <w:uiPriority w:val="0"/>
  </w:style>
  <w:style w:type="table" w:customStyle="1" w:styleId="245">
    <w:name w:val="普通表格1"/>
    <w:qFormat/>
    <w:uiPriority w:val="0"/>
    <w:tblPr>
      <w:tblCellMar>
        <w:top w:w="0" w:type="dxa"/>
        <w:left w:w="0" w:type="dxa"/>
        <w:bottom w:w="0" w:type="dxa"/>
        <w:right w:w="0" w:type="dxa"/>
      </w:tblCellMar>
    </w:tblPr>
  </w:style>
  <w:style w:type="character" w:customStyle="1" w:styleId="246">
    <w:name w:val="标题 2 Char"/>
    <w:link w:val="242"/>
    <w:qFormat/>
    <w:uiPriority w:val="0"/>
    <w:rPr>
      <w:rFonts w:ascii="Calibri Light" w:hAnsi="Calibri Light" w:eastAsia="宋体"/>
      <w:b/>
      <w:bCs/>
      <w:sz w:val="32"/>
      <w:szCs w:val="32"/>
    </w:rPr>
  </w:style>
  <w:style w:type="paragraph" w:customStyle="1" w:styleId="247">
    <w:name w:val="正文缩进1"/>
    <w:basedOn w:val="73"/>
    <w:qFormat/>
    <w:uiPriority w:val="0"/>
    <w:pPr>
      <w:ind w:firstLine="420"/>
    </w:pPr>
    <w:rPr>
      <w:sz w:val="21"/>
      <w:szCs w:val="21"/>
    </w:rPr>
  </w:style>
  <w:style w:type="paragraph" w:customStyle="1" w:styleId="248">
    <w:name w:val="批注文字1"/>
    <w:basedOn w:val="73"/>
    <w:link w:val="249"/>
    <w:semiHidden/>
    <w:qFormat/>
    <w:uiPriority w:val="0"/>
    <w:pPr>
      <w:jc w:val="left"/>
    </w:pPr>
    <w:rPr>
      <w:sz w:val="21"/>
    </w:rPr>
  </w:style>
  <w:style w:type="character" w:customStyle="1" w:styleId="249">
    <w:name w:val="批注文字 Char"/>
    <w:link w:val="248"/>
    <w:semiHidden/>
    <w:qFormat/>
    <w:uiPriority w:val="0"/>
    <w:rPr>
      <w:sz w:val="21"/>
    </w:rPr>
  </w:style>
  <w:style w:type="character" w:customStyle="1" w:styleId="250">
    <w:name w:val="正文文本 Char"/>
    <w:link w:val="69"/>
    <w:qFormat/>
    <w:uiPriority w:val="0"/>
  </w:style>
  <w:style w:type="paragraph" w:customStyle="1" w:styleId="251">
    <w:name w:val="日期1"/>
    <w:basedOn w:val="73"/>
    <w:next w:val="73"/>
    <w:link w:val="252"/>
    <w:qFormat/>
    <w:uiPriority w:val="0"/>
    <w:pPr>
      <w:ind w:left="100"/>
    </w:pPr>
  </w:style>
  <w:style w:type="character" w:customStyle="1" w:styleId="252">
    <w:name w:val="日期 Char"/>
    <w:link w:val="251"/>
    <w:semiHidden/>
    <w:qFormat/>
    <w:uiPriority w:val="0"/>
    <w:rPr>
      <w:sz w:val="20"/>
    </w:rPr>
  </w:style>
  <w:style w:type="paragraph" w:customStyle="1" w:styleId="253">
    <w:name w:val="批注框文本1"/>
    <w:basedOn w:val="73"/>
    <w:link w:val="254"/>
    <w:qFormat/>
    <w:uiPriority w:val="0"/>
    <w:rPr>
      <w:sz w:val="18"/>
      <w:szCs w:val="18"/>
    </w:rPr>
  </w:style>
  <w:style w:type="character" w:customStyle="1" w:styleId="254">
    <w:name w:val="批注框文本 Char"/>
    <w:link w:val="253"/>
    <w:semiHidden/>
    <w:qFormat/>
    <w:uiPriority w:val="0"/>
    <w:rPr>
      <w:sz w:val="18"/>
      <w:szCs w:val="18"/>
    </w:rPr>
  </w:style>
  <w:style w:type="paragraph" w:customStyle="1" w:styleId="255">
    <w:name w:val="页脚1"/>
    <w:basedOn w:val="73"/>
    <w:link w:val="256"/>
    <w:qFormat/>
    <w:uiPriority w:val="0"/>
    <w:pPr>
      <w:tabs>
        <w:tab w:val="right" w:pos="4153"/>
        <w:tab w:val="left" w:leader="underscore" w:pos="8306"/>
      </w:tabs>
      <w:jc w:val="left"/>
    </w:pPr>
    <w:rPr>
      <w:sz w:val="18"/>
    </w:rPr>
  </w:style>
  <w:style w:type="character" w:customStyle="1" w:styleId="256">
    <w:name w:val="页脚 Char"/>
    <w:link w:val="255"/>
    <w:qFormat/>
    <w:uiPriority w:val="0"/>
    <w:rPr>
      <w:sz w:val="18"/>
    </w:rPr>
  </w:style>
  <w:style w:type="paragraph" w:customStyle="1" w:styleId="257">
    <w:name w:val="页眉1"/>
    <w:basedOn w:val="73"/>
    <w:link w:val="258"/>
    <w:qFormat/>
    <w:uiPriority w:val="0"/>
    <w:pPr>
      <w:pBdr>
        <w:bottom w:val="single" w:color="000000" w:sz="6" w:space="1"/>
      </w:pBdr>
      <w:tabs>
        <w:tab w:val="right" w:pos="4153"/>
        <w:tab w:val="left" w:leader="underscore" w:pos="8306"/>
      </w:tabs>
      <w:jc w:val="center"/>
    </w:pPr>
    <w:rPr>
      <w:sz w:val="18"/>
      <w:szCs w:val="18"/>
    </w:rPr>
  </w:style>
  <w:style w:type="character" w:customStyle="1" w:styleId="258">
    <w:name w:val="页眉 Char"/>
    <w:link w:val="257"/>
    <w:qFormat/>
    <w:uiPriority w:val="0"/>
    <w:rPr>
      <w:sz w:val="18"/>
      <w:szCs w:val="18"/>
    </w:rPr>
  </w:style>
  <w:style w:type="paragraph" w:customStyle="1" w:styleId="259">
    <w:name w:val="副标题1"/>
    <w:basedOn w:val="73"/>
    <w:next w:val="73"/>
    <w:qFormat/>
    <w:uiPriority w:val="0"/>
    <w:pPr>
      <w:spacing w:before="240" w:after="120" w:line="312" w:lineRule="auto"/>
      <w:ind w:left="100" w:right="100" w:firstLine="200"/>
      <w:jc w:val="center"/>
      <w:outlineLvl w:val="1"/>
    </w:pPr>
    <w:rPr>
      <w:rFonts w:ascii="Cambria" w:hAnsi="Cambria" w:eastAsia="仿宋_GB2312"/>
      <w:b/>
      <w:bCs/>
      <w:sz w:val="32"/>
      <w:szCs w:val="32"/>
    </w:rPr>
  </w:style>
  <w:style w:type="paragraph" w:customStyle="1" w:styleId="260">
    <w:name w:val="目录 21"/>
    <w:basedOn w:val="73"/>
    <w:next w:val="73"/>
    <w:qFormat/>
    <w:uiPriority w:val="0"/>
    <w:pPr>
      <w:ind w:left="420"/>
    </w:pPr>
  </w:style>
  <w:style w:type="paragraph" w:customStyle="1" w:styleId="261">
    <w:name w:val="普通(网站)1"/>
    <w:basedOn w:val="73"/>
    <w:qFormat/>
    <w:uiPriority w:val="0"/>
    <w:pPr>
      <w:spacing w:before="100" w:beforeAutospacing="1" w:after="100" w:afterAutospacing="1"/>
      <w:jc w:val="left"/>
    </w:pPr>
    <w:rPr>
      <w:rFonts w:ascii="宋体" w:hAnsi="宋体"/>
      <w:sz w:val="24"/>
      <w:szCs w:val="24"/>
    </w:rPr>
  </w:style>
  <w:style w:type="paragraph" w:customStyle="1" w:styleId="262">
    <w:name w:val="批注主题1"/>
    <w:basedOn w:val="248"/>
    <w:next w:val="248"/>
    <w:link w:val="263"/>
    <w:qFormat/>
    <w:uiPriority w:val="0"/>
    <w:rPr>
      <w:b/>
      <w:bCs/>
    </w:rPr>
  </w:style>
  <w:style w:type="character" w:customStyle="1" w:styleId="263">
    <w:name w:val="批注主题 Char"/>
    <w:link w:val="262"/>
    <w:semiHidden/>
    <w:qFormat/>
    <w:uiPriority w:val="0"/>
    <w:rPr>
      <w:b/>
      <w:bCs/>
      <w:sz w:val="21"/>
    </w:rPr>
  </w:style>
  <w:style w:type="character" w:customStyle="1" w:styleId="264">
    <w:name w:val="正文首行缩进 Char"/>
    <w:link w:val="81"/>
    <w:qFormat/>
    <w:uiPriority w:val="0"/>
    <w:rPr>
      <w:sz w:val="21"/>
    </w:rPr>
  </w:style>
  <w:style w:type="paragraph" w:customStyle="1" w:styleId="265">
    <w:name w:val="正文首行缩进 21"/>
    <w:basedOn w:val="76"/>
    <w:qFormat/>
    <w:uiPriority w:val="0"/>
    <w:pPr>
      <w:ind w:firstLine="420"/>
    </w:pPr>
    <w:rPr>
      <w:rFonts w:ascii="仿宋_GB2312" w:eastAsia="仿宋_GB2312"/>
      <w:color w:val="FF6600"/>
      <w:sz w:val="21"/>
    </w:rPr>
  </w:style>
  <w:style w:type="table" w:customStyle="1" w:styleId="266">
    <w:name w:val="网格型1"/>
    <w:basedOn w:val="245"/>
    <w:qFormat/>
    <w:uiPriority w:val="0"/>
    <w:pPr>
      <w:widowControl w:val="0"/>
      <w:jc w:val="both"/>
    </w:pPr>
  </w:style>
  <w:style w:type="character" w:customStyle="1" w:styleId="267">
    <w:name w:val="要点1"/>
    <w:qFormat/>
    <w:uiPriority w:val="0"/>
    <w:rPr>
      <w:b/>
      <w:sz w:val="21"/>
    </w:rPr>
  </w:style>
  <w:style w:type="character" w:customStyle="1" w:styleId="268">
    <w:name w:val="页码1"/>
    <w:qFormat/>
    <w:uiPriority w:val="0"/>
  </w:style>
  <w:style w:type="character" w:customStyle="1" w:styleId="269">
    <w:name w:val="强调1"/>
    <w:qFormat/>
    <w:uiPriority w:val="0"/>
    <w:rPr>
      <w:i/>
      <w:sz w:val="20"/>
    </w:rPr>
  </w:style>
  <w:style w:type="character" w:customStyle="1" w:styleId="270">
    <w:name w:val="超链接1"/>
    <w:qFormat/>
    <w:uiPriority w:val="0"/>
    <w:rPr>
      <w:color w:val="0000FF"/>
      <w:sz w:val="20"/>
      <w:u w:val="single"/>
    </w:rPr>
  </w:style>
  <w:style w:type="character" w:customStyle="1" w:styleId="271">
    <w:name w:val="批注引用1"/>
    <w:qFormat/>
    <w:uiPriority w:val="0"/>
    <w:rPr>
      <w:sz w:val="21"/>
      <w:szCs w:val="21"/>
    </w:rPr>
  </w:style>
  <w:style w:type="character" w:customStyle="1" w:styleId="272">
    <w:name w:val="NormalCharacter"/>
    <w:link w:val="72"/>
    <w:semiHidden/>
    <w:qFormat/>
    <w:uiPriority w:val="0"/>
    <w:rPr>
      <w:rFonts w:ascii="宋体"/>
      <w:sz w:val="24"/>
    </w:rPr>
  </w:style>
  <w:style w:type="character" w:customStyle="1" w:styleId="273">
    <w:name w:val="UserStyle_19"/>
    <w:qFormat/>
    <w:uiPriority w:val="0"/>
    <w:rPr>
      <w:b/>
      <w:sz w:val="20"/>
    </w:rPr>
  </w:style>
  <w:style w:type="character" w:customStyle="1" w:styleId="274">
    <w:name w:val="263"/>
    <w:qFormat/>
    <w:uiPriority w:val="0"/>
    <w:rPr>
      <w:b/>
      <w:color w:val="C0504D"/>
      <w:sz w:val="20"/>
      <w:u w:val="single"/>
    </w:rPr>
  </w:style>
  <w:style w:type="character" w:customStyle="1" w:styleId="275">
    <w:name w:val="UserStyle_47"/>
    <w:qFormat/>
    <w:uiPriority w:val="0"/>
    <w:rPr>
      <w:sz w:val="20"/>
    </w:rPr>
  </w:style>
  <w:style w:type="character" w:customStyle="1" w:styleId="276">
    <w:name w:val="UserStyle_43"/>
    <w:qFormat/>
    <w:uiPriority w:val="0"/>
    <w:rPr>
      <w:sz w:val="20"/>
    </w:rPr>
  </w:style>
  <w:style w:type="character" w:customStyle="1" w:styleId="277">
    <w:name w:val="UserStyle_37"/>
    <w:qFormat/>
    <w:uiPriority w:val="0"/>
    <w:rPr>
      <w:b/>
      <w:sz w:val="20"/>
    </w:rPr>
  </w:style>
  <w:style w:type="character" w:customStyle="1" w:styleId="278">
    <w:name w:val="UserStyle_70"/>
    <w:qFormat/>
    <w:uiPriority w:val="0"/>
    <w:rPr>
      <w:sz w:val="20"/>
    </w:rPr>
  </w:style>
  <w:style w:type="character" w:customStyle="1" w:styleId="279">
    <w:name w:val="UserStyle_55"/>
    <w:qFormat/>
    <w:uiPriority w:val="0"/>
    <w:rPr>
      <w:sz w:val="20"/>
    </w:rPr>
  </w:style>
  <w:style w:type="character" w:customStyle="1" w:styleId="280">
    <w:name w:val="UserStyle_0"/>
    <w:link w:val="281"/>
    <w:semiHidden/>
    <w:qFormat/>
    <w:uiPriority w:val="0"/>
    <w:rPr>
      <w:rFonts w:ascii="Courier New" w:hAnsi="Courier New"/>
      <w:sz w:val="20"/>
    </w:rPr>
  </w:style>
  <w:style w:type="paragraph" w:customStyle="1" w:styleId="281">
    <w:name w:val="HtmlPre"/>
    <w:basedOn w:val="73"/>
    <w:link w:val="280"/>
    <w:qFormat/>
    <w:uiPriority w:val="0"/>
    <w:rPr>
      <w:rFonts w:ascii="Courier New" w:hAnsi="Courier New"/>
    </w:rPr>
  </w:style>
  <w:style w:type="character" w:customStyle="1" w:styleId="282">
    <w:name w:val="UserStyle_18"/>
    <w:semiHidden/>
    <w:qFormat/>
    <w:uiPriority w:val="0"/>
    <w:rPr>
      <w:sz w:val="20"/>
    </w:rPr>
  </w:style>
  <w:style w:type="character" w:customStyle="1" w:styleId="283">
    <w:name w:val="UserStyle_56"/>
    <w:qFormat/>
    <w:uiPriority w:val="0"/>
    <w:rPr>
      <w:sz w:val="20"/>
    </w:rPr>
  </w:style>
  <w:style w:type="character" w:customStyle="1" w:styleId="284">
    <w:name w:val="262"/>
    <w:qFormat/>
    <w:uiPriority w:val="0"/>
    <w:rPr>
      <w:color w:val="C0504D"/>
      <w:sz w:val="20"/>
      <w:u w:val="single"/>
    </w:rPr>
  </w:style>
  <w:style w:type="character" w:customStyle="1" w:styleId="285">
    <w:name w:val="UserStyle_46"/>
    <w:qFormat/>
    <w:uiPriority w:val="0"/>
    <w:rPr>
      <w:sz w:val="20"/>
    </w:rPr>
  </w:style>
  <w:style w:type="character" w:customStyle="1" w:styleId="286">
    <w:name w:val="UserStyle_74"/>
    <w:qFormat/>
    <w:uiPriority w:val="0"/>
    <w:rPr>
      <w:b/>
      <w:sz w:val="20"/>
    </w:rPr>
  </w:style>
  <w:style w:type="character" w:customStyle="1" w:styleId="287">
    <w:name w:val="UserStyle_71"/>
    <w:qFormat/>
    <w:uiPriority w:val="0"/>
    <w:rPr>
      <w:sz w:val="20"/>
    </w:rPr>
  </w:style>
  <w:style w:type="character" w:customStyle="1" w:styleId="288">
    <w:name w:val="UserStyle_72"/>
    <w:qFormat/>
    <w:uiPriority w:val="0"/>
    <w:rPr>
      <w:sz w:val="20"/>
    </w:rPr>
  </w:style>
  <w:style w:type="character" w:customStyle="1" w:styleId="289">
    <w:name w:val="UserStyle_7"/>
    <w:qFormat/>
    <w:uiPriority w:val="0"/>
    <w:rPr>
      <w:i/>
      <w:sz w:val="20"/>
    </w:rPr>
  </w:style>
  <w:style w:type="character" w:customStyle="1" w:styleId="290">
    <w:name w:val="UserStyle_68"/>
    <w:qFormat/>
    <w:uiPriority w:val="0"/>
    <w:rPr>
      <w:sz w:val="20"/>
    </w:rPr>
  </w:style>
  <w:style w:type="character" w:customStyle="1" w:styleId="291">
    <w:name w:val="UserStyle_25"/>
    <w:qFormat/>
    <w:uiPriority w:val="0"/>
    <w:rPr>
      <w:sz w:val="20"/>
    </w:rPr>
  </w:style>
  <w:style w:type="character" w:customStyle="1" w:styleId="292">
    <w:name w:val="UserStyle_66"/>
    <w:qFormat/>
    <w:uiPriority w:val="0"/>
    <w:rPr>
      <w:sz w:val="20"/>
    </w:rPr>
  </w:style>
  <w:style w:type="character" w:customStyle="1" w:styleId="293">
    <w:name w:val="UserStyle_38"/>
    <w:qFormat/>
    <w:uiPriority w:val="0"/>
    <w:rPr>
      <w:sz w:val="20"/>
    </w:rPr>
  </w:style>
  <w:style w:type="character" w:customStyle="1" w:styleId="294">
    <w:name w:val="UserStyle_17"/>
    <w:qFormat/>
    <w:uiPriority w:val="0"/>
    <w:rPr>
      <w:sz w:val="20"/>
    </w:rPr>
  </w:style>
  <w:style w:type="character" w:customStyle="1" w:styleId="295">
    <w:name w:val="UserStyle_33"/>
    <w:qFormat/>
    <w:uiPriority w:val="0"/>
    <w:rPr>
      <w:sz w:val="20"/>
    </w:rPr>
  </w:style>
  <w:style w:type="character" w:customStyle="1" w:styleId="296">
    <w:name w:val="UserStyle_45"/>
    <w:qFormat/>
    <w:uiPriority w:val="0"/>
    <w:rPr>
      <w:b/>
      <w:sz w:val="20"/>
    </w:rPr>
  </w:style>
  <w:style w:type="character" w:customStyle="1" w:styleId="297">
    <w:name w:val="UserStyle_57"/>
    <w:qFormat/>
    <w:uiPriority w:val="0"/>
    <w:rPr>
      <w:sz w:val="20"/>
    </w:rPr>
  </w:style>
  <w:style w:type="character" w:customStyle="1" w:styleId="298">
    <w:name w:val="UserStyle_63"/>
    <w:qFormat/>
    <w:uiPriority w:val="0"/>
    <w:rPr>
      <w:sz w:val="20"/>
    </w:rPr>
  </w:style>
  <w:style w:type="character" w:customStyle="1" w:styleId="299">
    <w:name w:val="UserStyle_75"/>
    <w:qFormat/>
    <w:uiPriority w:val="0"/>
    <w:rPr>
      <w:sz w:val="20"/>
    </w:rPr>
  </w:style>
  <w:style w:type="character" w:customStyle="1" w:styleId="300">
    <w:name w:val="UserStyle_23"/>
    <w:qFormat/>
    <w:uiPriority w:val="0"/>
    <w:rPr>
      <w:color w:val="000000"/>
      <w:sz w:val="20"/>
    </w:rPr>
  </w:style>
  <w:style w:type="character" w:customStyle="1" w:styleId="301">
    <w:name w:val="UserStyle_65"/>
    <w:qFormat/>
    <w:uiPriority w:val="0"/>
    <w:rPr>
      <w:sz w:val="20"/>
    </w:rPr>
  </w:style>
  <w:style w:type="character" w:customStyle="1" w:styleId="302">
    <w:name w:val="UserStyle_24"/>
    <w:qFormat/>
    <w:uiPriority w:val="0"/>
    <w:rPr>
      <w:sz w:val="20"/>
    </w:rPr>
  </w:style>
  <w:style w:type="character" w:customStyle="1" w:styleId="303">
    <w:name w:val="UserStyle_50"/>
    <w:qFormat/>
    <w:uiPriority w:val="0"/>
    <w:rPr>
      <w:sz w:val="20"/>
    </w:rPr>
  </w:style>
  <w:style w:type="character" w:customStyle="1" w:styleId="304">
    <w:name w:val="UserStyle_44"/>
    <w:qFormat/>
    <w:uiPriority w:val="0"/>
    <w:rPr>
      <w:b/>
      <w:sz w:val="20"/>
    </w:rPr>
  </w:style>
  <w:style w:type="character" w:customStyle="1" w:styleId="305">
    <w:name w:val="UserStyle_51"/>
    <w:qFormat/>
    <w:uiPriority w:val="0"/>
    <w:rPr>
      <w:sz w:val="20"/>
    </w:rPr>
  </w:style>
  <w:style w:type="character" w:customStyle="1" w:styleId="306">
    <w:name w:val="UserStyle_4"/>
    <w:qFormat/>
    <w:uiPriority w:val="0"/>
    <w:rPr>
      <w:sz w:val="20"/>
    </w:rPr>
  </w:style>
  <w:style w:type="character" w:customStyle="1" w:styleId="307">
    <w:name w:val="UserStyle_52"/>
    <w:semiHidden/>
    <w:qFormat/>
    <w:uiPriority w:val="0"/>
    <w:rPr>
      <w:sz w:val="20"/>
    </w:rPr>
  </w:style>
  <w:style w:type="character" w:customStyle="1" w:styleId="308">
    <w:name w:val="UserStyle_3"/>
    <w:qFormat/>
    <w:uiPriority w:val="0"/>
    <w:rPr>
      <w:sz w:val="20"/>
    </w:rPr>
  </w:style>
  <w:style w:type="character" w:customStyle="1" w:styleId="309">
    <w:name w:val="UserStyle_67"/>
    <w:qFormat/>
    <w:uiPriority w:val="0"/>
    <w:rPr>
      <w:b/>
      <w:sz w:val="20"/>
    </w:rPr>
  </w:style>
  <w:style w:type="character" w:customStyle="1" w:styleId="310">
    <w:name w:val="UserStyle_61"/>
    <w:qFormat/>
    <w:uiPriority w:val="0"/>
    <w:rPr>
      <w:b/>
      <w:sz w:val="20"/>
    </w:rPr>
  </w:style>
  <w:style w:type="character" w:customStyle="1" w:styleId="311">
    <w:name w:val="UserStyle_36"/>
    <w:qFormat/>
    <w:uiPriority w:val="0"/>
    <w:rPr>
      <w:b/>
      <w:sz w:val="20"/>
    </w:rPr>
  </w:style>
  <w:style w:type="character" w:customStyle="1" w:styleId="312">
    <w:name w:val="260"/>
    <w:qFormat/>
    <w:uiPriority w:val="0"/>
    <w:rPr>
      <w:i/>
      <w:color w:val="000000"/>
      <w:sz w:val="21"/>
    </w:rPr>
  </w:style>
  <w:style w:type="character" w:customStyle="1" w:styleId="313">
    <w:name w:val="PageNumber"/>
    <w:qFormat/>
    <w:uiPriority w:val="0"/>
    <w:rPr>
      <w:sz w:val="20"/>
    </w:rPr>
  </w:style>
  <w:style w:type="character" w:customStyle="1" w:styleId="314">
    <w:name w:val="UserStyle_1"/>
    <w:qFormat/>
    <w:uiPriority w:val="0"/>
    <w:rPr>
      <w:sz w:val="20"/>
    </w:rPr>
  </w:style>
  <w:style w:type="character" w:customStyle="1" w:styleId="315">
    <w:name w:val="UserStyle_64"/>
    <w:qFormat/>
    <w:uiPriority w:val="0"/>
    <w:rPr>
      <w:sz w:val="20"/>
    </w:rPr>
  </w:style>
  <w:style w:type="character" w:customStyle="1" w:styleId="316">
    <w:name w:val="UserStyle_21"/>
    <w:qFormat/>
    <w:uiPriority w:val="0"/>
    <w:rPr>
      <w:sz w:val="20"/>
    </w:rPr>
  </w:style>
  <w:style w:type="character" w:customStyle="1" w:styleId="317">
    <w:name w:val="UserStyle_9"/>
    <w:qFormat/>
    <w:uiPriority w:val="0"/>
    <w:rPr>
      <w:sz w:val="20"/>
    </w:rPr>
  </w:style>
  <w:style w:type="character" w:customStyle="1" w:styleId="318">
    <w:name w:val="UserStyle_40"/>
    <w:qFormat/>
    <w:uiPriority w:val="0"/>
    <w:rPr>
      <w:b/>
      <w:sz w:val="20"/>
    </w:rPr>
  </w:style>
  <w:style w:type="character" w:customStyle="1" w:styleId="319">
    <w:name w:val="UserStyle_73"/>
    <w:qFormat/>
    <w:uiPriority w:val="0"/>
    <w:rPr>
      <w:sz w:val="20"/>
    </w:rPr>
  </w:style>
  <w:style w:type="character" w:customStyle="1" w:styleId="320">
    <w:name w:val="UserStyle_30"/>
    <w:qFormat/>
    <w:uiPriority w:val="0"/>
    <w:rPr>
      <w:sz w:val="20"/>
    </w:rPr>
  </w:style>
  <w:style w:type="character" w:customStyle="1" w:styleId="321">
    <w:name w:val="UserStyle_69"/>
    <w:qFormat/>
    <w:uiPriority w:val="0"/>
    <w:rPr>
      <w:b/>
      <w:sz w:val="20"/>
    </w:rPr>
  </w:style>
  <w:style w:type="character" w:customStyle="1" w:styleId="322">
    <w:name w:val="UserStyle_13"/>
    <w:qFormat/>
    <w:uiPriority w:val="0"/>
    <w:rPr>
      <w:b/>
      <w:sz w:val="20"/>
    </w:rPr>
  </w:style>
  <w:style w:type="character" w:customStyle="1" w:styleId="323">
    <w:name w:val="UserStyle_14"/>
    <w:semiHidden/>
    <w:qFormat/>
    <w:uiPriority w:val="0"/>
    <w:rPr>
      <w:sz w:val="20"/>
    </w:rPr>
  </w:style>
  <w:style w:type="character" w:customStyle="1" w:styleId="324">
    <w:name w:val="UserStyle_22"/>
    <w:qFormat/>
    <w:uiPriority w:val="0"/>
    <w:rPr>
      <w:color w:val="0000FF"/>
      <w:sz w:val="20"/>
      <w:u w:val="single"/>
    </w:rPr>
  </w:style>
  <w:style w:type="character" w:customStyle="1" w:styleId="325">
    <w:name w:val="UserStyle_8"/>
    <w:qFormat/>
    <w:uiPriority w:val="0"/>
    <w:rPr>
      <w:sz w:val="20"/>
    </w:rPr>
  </w:style>
  <w:style w:type="character" w:customStyle="1" w:styleId="326">
    <w:name w:val="UserStyle_6"/>
    <w:qFormat/>
    <w:uiPriority w:val="0"/>
    <w:rPr>
      <w:b/>
      <w:sz w:val="20"/>
    </w:rPr>
  </w:style>
  <w:style w:type="character" w:customStyle="1" w:styleId="327">
    <w:name w:val="UserStyle_62"/>
    <w:qFormat/>
    <w:uiPriority w:val="0"/>
    <w:rPr>
      <w:color w:val="FFFF00"/>
      <w:sz w:val="20"/>
    </w:rPr>
  </w:style>
  <w:style w:type="character" w:customStyle="1" w:styleId="328">
    <w:name w:val="UserStyle_48"/>
    <w:qFormat/>
    <w:uiPriority w:val="0"/>
    <w:rPr>
      <w:sz w:val="20"/>
    </w:rPr>
  </w:style>
  <w:style w:type="character" w:customStyle="1" w:styleId="329">
    <w:name w:val="UserStyle_15"/>
    <w:qFormat/>
    <w:uiPriority w:val="0"/>
    <w:rPr>
      <w:b/>
      <w:sz w:val="20"/>
    </w:rPr>
  </w:style>
  <w:style w:type="character" w:customStyle="1" w:styleId="330">
    <w:name w:val="UserStyle_49"/>
    <w:qFormat/>
    <w:uiPriority w:val="0"/>
    <w:rPr>
      <w:sz w:val="20"/>
    </w:rPr>
  </w:style>
  <w:style w:type="character" w:customStyle="1" w:styleId="331">
    <w:name w:val="UserStyle_11"/>
    <w:qFormat/>
    <w:uiPriority w:val="0"/>
    <w:rPr>
      <w:sz w:val="20"/>
    </w:rPr>
  </w:style>
  <w:style w:type="character" w:customStyle="1" w:styleId="332">
    <w:name w:val="UserStyle_34"/>
    <w:qFormat/>
    <w:uiPriority w:val="0"/>
    <w:rPr>
      <w:b/>
      <w:sz w:val="20"/>
    </w:rPr>
  </w:style>
  <w:style w:type="character" w:customStyle="1" w:styleId="333">
    <w:name w:val="UserStyle_29"/>
    <w:qFormat/>
    <w:uiPriority w:val="0"/>
    <w:rPr>
      <w:sz w:val="20"/>
    </w:rPr>
  </w:style>
  <w:style w:type="character" w:customStyle="1" w:styleId="334">
    <w:name w:val="UserStyle_42"/>
    <w:qFormat/>
    <w:uiPriority w:val="0"/>
    <w:rPr>
      <w:sz w:val="20"/>
    </w:rPr>
  </w:style>
  <w:style w:type="character" w:customStyle="1" w:styleId="335">
    <w:name w:val="UserStyle_39"/>
    <w:qFormat/>
    <w:uiPriority w:val="0"/>
    <w:rPr>
      <w:sz w:val="20"/>
    </w:rPr>
  </w:style>
  <w:style w:type="character" w:customStyle="1" w:styleId="336">
    <w:name w:val="UserStyle_35"/>
    <w:qFormat/>
    <w:uiPriority w:val="0"/>
    <w:rPr>
      <w:sz w:val="20"/>
    </w:rPr>
  </w:style>
  <w:style w:type="character" w:customStyle="1" w:styleId="337">
    <w:name w:val="UserStyle_5"/>
    <w:qFormat/>
    <w:uiPriority w:val="0"/>
    <w:rPr>
      <w:sz w:val="20"/>
    </w:rPr>
  </w:style>
  <w:style w:type="character" w:customStyle="1" w:styleId="338">
    <w:name w:val="UserStyle_26"/>
    <w:qFormat/>
    <w:uiPriority w:val="0"/>
    <w:rPr>
      <w:sz w:val="20"/>
    </w:rPr>
  </w:style>
  <w:style w:type="character" w:customStyle="1" w:styleId="339">
    <w:name w:val="264"/>
    <w:qFormat/>
    <w:uiPriority w:val="0"/>
    <w:rPr>
      <w:b/>
      <w:i/>
      <w:sz w:val="21"/>
    </w:rPr>
  </w:style>
  <w:style w:type="character" w:customStyle="1" w:styleId="340">
    <w:name w:val="UserStyle_76"/>
    <w:qFormat/>
    <w:uiPriority w:val="0"/>
    <w:rPr>
      <w:b/>
      <w:sz w:val="20"/>
    </w:rPr>
  </w:style>
  <w:style w:type="character" w:customStyle="1" w:styleId="341">
    <w:name w:val="UserStyle_10"/>
    <w:qFormat/>
    <w:uiPriority w:val="0"/>
    <w:rPr>
      <w:b/>
      <w:sz w:val="20"/>
    </w:rPr>
  </w:style>
  <w:style w:type="character" w:customStyle="1" w:styleId="342">
    <w:name w:val="UserStyle_32"/>
    <w:qFormat/>
    <w:uiPriority w:val="0"/>
    <w:rPr>
      <w:i/>
      <w:sz w:val="20"/>
    </w:rPr>
  </w:style>
  <w:style w:type="character" w:customStyle="1" w:styleId="343">
    <w:name w:val="UserStyle_53"/>
    <w:qFormat/>
    <w:uiPriority w:val="0"/>
    <w:rPr>
      <w:sz w:val="20"/>
    </w:rPr>
  </w:style>
  <w:style w:type="character" w:customStyle="1" w:styleId="344">
    <w:name w:val="UserStyle_2"/>
    <w:qFormat/>
    <w:uiPriority w:val="0"/>
    <w:rPr>
      <w:sz w:val="20"/>
    </w:rPr>
  </w:style>
  <w:style w:type="character" w:customStyle="1" w:styleId="345">
    <w:name w:val="UserStyle_58"/>
    <w:qFormat/>
    <w:uiPriority w:val="0"/>
    <w:rPr>
      <w:sz w:val="20"/>
    </w:rPr>
  </w:style>
  <w:style w:type="character" w:customStyle="1" w:styleId="346">
    <w:name w:val="UserStyle_60"/>
    <w:qFormat/>
    <w:uiPriority w:val="0"/>
    <w:rPr>
      <w:sz w:val="20"/>
    </w:rPr>
  </w:style>
  <w:style w:type="character" w:customStyle="1" w:styleId="347">
    <w:name w:val="UserStyle_54"/>
    <w:qFormat/>
    <w:uiPriority w:val="0"/>
    <w:rPr>
      <w:b/>
      <w:sz w:val="20"/>
    </w:rPr>
  </w:style>
  <w:style w:type="character" w:customStyle="1" w:styleId="348">
    <w:name w:val="UserStyle_16"/>
    <w:qFormat/>
    <w:uiPriority w:val="0"/>
    <w:rPr>
      <w:sz w:val="20"/>
    </w:rPr>
  </w:style>
  <w:style w:type="character" w:customStyle="1" w:styleId="349">
    <w:name w:val="UserStyle_59"/>
    <w:qFormat/>
    <w:uiPriority w:val="0"/>
    <w:rPr>
      <w:b/>
      <w:sz w:val="20"/>
    </w:rPr>
  </w:style>
  <w:style w:type="character" w:customStyle="1" w:styleId="350">
    <w:name w:val="UserStyle_20"/>
    <w:semiHidden/>
    <w:qFormat/>
    <w:uiPriority w:val="0"/>
    <w:rPr>
      <w:sz w:val="20"/>
    </w:rPr>
  </w:style>
  <w:style w:type="character" w:customStyle="1" w:styleId="351">
    <w:name w:val="UserStyle_31"/>
    <w:qFormat/>
    <w:uiPriority w:val="0"/>
    <w:rPr>
      <w:b/>
      <w:sz w:val="20"/>
    </w:rPr>
  </w:style>
  <w:style w:type="character" w:customStyle="1" w:styleId="352">
    <w:name w:val="AnnotationReference"/>
    <w:qFormat/>
    <w:uiPriority w:val="0"/>
    <w:rPr>
      <w:sz w:val="20"/>
    </w:rPr>
  </w:style>
  <w:style w:type="character" w:customStyle="1" w:styleId="353">
    <w:name w:val="UserStyle_12"/>
    <w:qFormat/>
    <w:uiPriority w:val="0"/>
    <w:rPr>
      <w:sz w:val="20"/>
    </w:rPr>
  </w:style>
  <w:style w:type="character" w:customStyle="1" w:styleId="354">
    <w:name w:val="261"/>
    <w:qFormat/>
    <w:uiPriority w:val="0"/>
    <w:rPr>
      <w:i/>
      <w:color w:val="000000"/>
      <w:sz w:val="21"/>
    </w:rPr>
  </w:style>
  <w:style w:type="character" w:customStyle="1" w:styleId="355">
    <w:name w:val="UserStyle_41"/>
    <w:link w:val="73"/>
    <w:qFormat/>
    <w:uiPriority w:val="0"/>
    <w:rPr>
      <w:sz w:val="20"/>
    </w:rPr>
  </w:style>
  <w:style w:type="paragraph" w:styleId="356">
    <w:name w:val="List Paragraph"/>
    <w:basedOn w:val="1"/>
    <w:qFormat/>
    <w:uiPriority w:val="0"/>
    <w:pPr>
      <w:widowControl w:val="0"/>
      <w:spacing w:before="136"/>
      <w:ind w:left="533" w:firstLine="600"/>
      <w:jc w:val="left"/>
    </w:pPr>
    <w:rPr>
      <w:rFonts w:ascii="仿宋" w:hAnsi="仿宋" w:eastAsia="仿宋"/>
      <w:sz w:val="22"/>
      <w:szCs w:val="22"/>
    </w:rPr>
  </w:style>
  <w:style w:type="paragraph" w:customStyle="1" w:styleId="357">
    <w:name w:val="179"/>
    <w:basedOn w:val="73"/>
    <w:qFormat/>
    <w:uiPriority w:val="0"/>
    <w:pPr>
      <w:ind w:firstLine="420"/>
    </w:pPr>
    <w:rPr>
      <w:sz w:val="21"/>
      <w:szCs w:val="22"/>
    </w:rPr>
  </w:style>
  <w:style w:type="paragraph" w:customStyle="1" w:styleId="358">
    <w:name w:val="列出段落1"/>
    <w:basedOn w:val="73"/>
    <w:qFormat/>
    <w:uiPriority w:val="0"/>
    <w:pPr>
      <w:widowControl w:val="0"/>
      <w:ind w:firstLine="420"/>
    </w:pPr>
    <w:rPr>
      <w:sz w:val="21"/>
      <w:szCs w:val="24"/>
    </w:rPr>
  </w:style>
  <w:style w:type="paragraph" w:customStyle="1" w:styleId="359">
    <w:name w:val="Default"/>
    <w:qFormat/>
    <w:uiPriority w:val="0"/>
    <w:pPr>
      <w:widowControl w:val="0"/>
    </w:pPr>
    <w:rPr>
      <w:rFonts w:ascii="宋体" w:hAnsi="宋体" w:eastAsia="Malgun Gothic" w:cs="Times New Roman"/>
      <w:color w:val="000000"/>
      <w:sz w:val="24"/>
      <w:szCs w:val="24"/>
      <w:lang w:val="en-US" w:eastAsia="zh-CN" w:bidi="ar-SA"/>
    </w:rPr>
  </w:style>
  <w:style w:type="paragraph" w:customStyle="1" w:styleId="360">
    <w:name w:val="正文 A A"/>
    <w:qFormat/>
    <w:uiPriority w:val="0"/>
    <w:pPr>
      <w:framePr w:wrap="around" w:vAnchor="margin" w:hAnchor="text" w:y="1"/>
      <w:widowControl w:val="0"/>
      <w:spacing w:line="360" w:lineRule="atLeast"/>
      <w:jc w:val="both"/>
    </w:pPr>
    <w:rPr>
      <w:rFonts w:ascii="Times New Roman" w:hAnsi="Times New Roman" w:eastAsia="宋体" w:cs="Times New Roman"/>
      <w:color w:val="000000"/>
      <w:lang w:val="en-US" w:eastAsia="zh-CN" w:bidi="ar-SA"/>
    </w:rPr>
  </w:style>
  <w:style w:type="paragraph" w:customStyle="1" w:styleId="361">
    <w:name w:val="UserStyle_77"/>
    <w:basedOn w:val="73"/>
    <w:qFormat/>
    <w:uiPriority w:val="0"/>
    <w:pPr>
      <w:spacing w:line="520" w:lineRule="exact"/>
      <w:ind w:firstLine="420"/>
    </w:pPr>
    <w:rPr>
      <w:color w:val="000000"/>
      <w:sz w:val="24"/>
      <w:szCs w:val="24"/>
    </w:rPr>
  </w:style>
  <w:style w:type="paragraph" w:customStyle="1" w:styleId="362">
    <w:name w:val="Blockquote"/>
    <w:qFormat/>
    <w:uiPriority w:val="0"/>
    <w:pPr>
      <w:widowControl w:val="0"/>
      <w:spacing w:before="100" w:after="100"/>
      <w:ind w:left="764" w:right="567"/>
    </w:pPr>
    <w:rPr>
      <w:rFonts w:ascii="Times New Roman" w:hAnsi="Times New Roman" w:eastAsia="Times New Roman" w:cs="Times New Roman"/>
      <w:sz w:val="24"/>
      <w:szCs w:val="22"/>
      <w:lang w:val="en-US" w:eastAsia="zh-CN" w:bidi="ar-SA"/>
    </w:rPr>
  </w:style>
  <w:style w:type="paragraph" w:customStyle="1" w:styleId="363">
    <w:name w:val="HtmlNormal"/>
    <w:basedOn w:val="73"/>
    <w:qFormat/>
    <w:uiPriority w:val="0"/>
    <w:rPr>
      <w:sz w:val="24"/>
      <w:szCs w:val="24"/>
    </w:rPr>
  </w:style>
  <w:style w:type="paragraph" w:customStyle="1" w:styleId="364">
    <w:name w:val="Table Paragraph"/>
    <w:basedOn w:val="73"/>
    <w:qFormat/>
    <w:uiPriority w:val="0"/>
    <w:pPr>
      <w:widowControl w:val="0"/>
      <w:jc w:val="left"/>
    </w:pPr>
    <w:rPr>
      <w:rFonts w:ascii="仿宋" w:hAnsi="仿宋" w:eastAsia="仿宋"/>
      <w:sz w:val="22"/>
      <w:szCs w:val="22"/>
    </w:rPr>
  </w:style>
  <w:style w:type="paragraph" w:customStyle="1" w:styleId="365">
    <w:name w:val="BlockQuote"/>
    <w:basedOn w:val="73"/>
    <w:qFormat/>
    <w:uiPriority w:val="0"/>
    <w:pPr>
      <w:ind w:left="256" w:right="6" w:firstLine="624"/>
    </w:pPr>
    <w:rPr>
      <w:rFonts w:eastAsia="仿宋_GB2312"/>
      <w:sz w:val="28"/>
    </w:rPr>
  </w:style>
  <w:style w:type="table" w:customStyle="1" w:styleId="366">
    <w:name w:val="TableNormal"/>
    <w:semiHidden/>
    <w:qFormat/>
    <w:uiPriority w:val="0"/>
    <w:tblPr>
      <w:tblCellMar>
        <w:top w:w="0" w:type="dxa"/>
        <w:left w:w="0" w:type="dxa"/>
        <w:bottom w:w="0" w:type="dxa"/>
        <w:right w:w="0" w:type="dxa"/>
      </w:tblCellMar>
    </w:tblPr>
  </w:style>
  <w:style w:type="paragraph" w:customStyle="1" w:styleId="367">
    <w:name w:val="TOC 标题2"/>
    <w:basedOn w:val="88"/>
    <w:next w:val="73"/>
    <w:qFormat/>
    <w:uiPriority w:val="0"/>
    <w:pPr>
      <w:spacing w:before="240" w:after="0" w:line="259" w:lineRule="auto"/>
      <w:jc w:val="left"/>
      <w:outlineLvl w:val="9"/>
    </w:pPr>
    <w:rPr>
      <w:rFonts w:ascii="等线 Light" w:hAnsi="等线 Light" w:eastAsia="等线 Light"/>
      <w:b w:val="0"/>
      <w:bCs w:val="0"/>
      <w:color w:val="2F5496"/>
      <w:sz w:val="32"/>
      <w:szCs w:val="32"/>
    </w:rPr>
  </w:style>
  <w:style w:type="paragraph" w:customStyle="1" w:styleId="368">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9">
    <w:name w:val="小标题 1"/>
    <w:basedOn w:val="73"/>
    <w:qFormat/>
    <w:uiPriority w:val="0"/>
    <w:pPr>
      <w:widowControl w:val="0"/>
      <w:spacing w:line="360" w:lineRule="atLeast"/>
    </w:pPr>
    <w:rPr>
      <w:rFonts w:ascii="文鼎粗黑" w:eastAsia="文鼎粗黑"/>
      <w:sz w:val="22"/>
    </w:rPr>
  </w:style>
  <w:style w:type="paragraph" w:customStyle="1" w:styleId="370">
    <w:name w:val="文档正文"/>
    <w:basedOn w:val="73"/>
    <w:qFormat/>
    <w:uiPriority w:val="0"/>
    <w:pPr>
      <w:widowControl w:val="0"/>
      <w:spacing w:line="312" w:lineRule="atLeast"/>
      <w:ind w:firstLine="567"/>
    </w:pPr>
    <w:rPr>
      <w:rFonts w:ascii="长城仿宋" w:eastAsia="长城仿宋"/>
      <w:sz w:val="28"/>
    </w:rPr>
  </w:style>
  <w:style w:type="paragraph" w:customStyle="1" w:styleId="371">
    <w:name w:val="[Normal]"/>
    <w:qFormat/>
    <w:uiPriority w:val="0"/>
    <w:rPr>
      <w:rFonts w:ascii="方正仿宋简体" w:hAnsi="方正仿宋简体" w:eastAsia="方正仿宋简体" w:cs="Times New Roman"/>
      <w:sz w:val="24"/>
      <w:szCs w:val="22"/>
      <w:lang w:val="zh-CN" w:eastAsia="zh-CN" w:bidi="ar-SA"/>
    </w:rPr>
  </w:style>
  <w:style w:type="paragraph" w:customStyle="1" w:styleId="372">
    <w:name w:val="Body text|1"/>
    <w:basedOn w:val="73"/>
    <w:qFormat/>
    <w:uiPriority w:val="0"/>
    <w:pPr>
      <w:widowControl w:val="0"/>
      <w:spacing w:line="425" w:lineRule="auto"/>
      <w:ind w:firstLine="360"/>
    </w:pPr>
    <w:rPr>
      <w:rFonts w:ascii="宋体" w:hAnsi="宋体"/>
      <w:sz w:val="18"/>
      <w:szCs w:val="18"/>
      <w:lang w:val="zh-TW" w:eastAsia="zh-TW" w:bidi="zh-TW"/>
    </w:rPr>
  </w:style>
  <w:style w:type="character" w:customStyle="1" w:styleId="373">
    <w:name w:val="未处理的提及1"/>
    <w:semiHidden/>
    <w:unhideWhenUsed/>
    <w:qFormat/>
    <w:uiPriority w:val="99"/>
    <w:rPr>
      <w:color w:val="605E5C"/>
      <w:shd w:val="clear" w:color="auto" w:fill="E1DFDD"/>
    </w:rPr>
  </w:style>
  <w:style w:type="character" w:customStyle="1" w:styleId="374">
    <w:name w:val="批注主题 字符"/>
    <w:link w:val="39"/>
    <w:qFormat/>
    <w:uiPriority w:val="0"/>
    <w:rPr>
      <w:b/>
      <w:bCs/>
      <w:sz w:val="21"/>
      <w:szCs w:val="24"/>
    </w:rPr>
  </w:style>
  <w:style w:type="character" w:customStyle="1" w:styleId="375">
    <w:name w:val="批注文字 字符"/>
    <w:link w:val="15"/>
    <w:semiHidden/>
    <w:qFormat/>
    <w:uiPriority w:val="99"/>
    <w:rPr>
      <w:rFonts w:ascii="Calibri" w:hAnsi="Calibri"/>
      <w:sz w:val="21"/>
      <w:szCs w:val="21"/>
    </w:rPr>
  </w:style>
  <w:style w:type="character" w:customStyle="1" w:styleId="376">
    <w:name w:val="批注主题 字符1"/>
    <w:semiHidden/>
    <w:qFormat/>
    <w:uiPriority w:val="99"/>
    <w:rPr>
      <w:rFonts w:ascii="Calibri" w:hAnsi="Calibri"/>
      <w:b/>
      <w:bCs/>
      <w:sz w:val="21"/>
      <w:szCs w:val="21"/>
    </w:rPr>
  </w:style>
  <w:style w:type="character" w:customStyle="1" w:styleId="377">
    <w:name w:val="正文文本 字符"/>
    <w:basedOn w:val="42"/>
    <w:link w:val="16"/>
    <w:qFormat/>
    <w:uiPriority w:val="0"/>
  </w:style>
  <w:style w:type="character" w:customStyle="1" w:styleId="378">
    <w:name w:val="批注框文本 字符"/>
    <w:link w:val="25"/>
    <w:semiHidden/>
    <w:qFormat/>
    <w:uiPriority w:val="99"/>
    <w:rPr>
      <w:rFonts w:ascii="Calibri" w:hAnsi="Calibri"/>
      <w:sz w:val="18"/>
      <w:szCs w:val="18"/>
    </w:rPr>
  </w:style>
  <w:style w:type="paragraph" w:customStyle="1" w:styleId="379">
    <w:name w:val="标题 212"/>
    <w:basedOn w:val="72"/>
    <w:next w:val="72"/>
    <w:qFormat/>
    <w:uiPriority w:val="0"/>
    <w:pPr>
      <w:keepNext/>
      <w:keepLines/>
      <w:numPr>
        <w:ilvl w:val="0"/>
        <w:numId w:val="2"/>
      </w:numPr>
      <w:spacing w:before="260" w:after="260" w:line="416" w:lineRule="auto"/>
      <w:outlineLvl w:val="1"/>
    </w:pPr>
    <w:rPr>
      <w:rFonts w:ascii="Cambria" w:hAnsi="Cambria"/>
      <w:bCs/>
      <w:sz w:val="28"/>
      <w:szCs w:val="32"/>
    </w:rPr>
  </w:style>
  <w:style w:type="character" w:customStyle="1" w:styleId="380">
    <w:name w:val="正文文本缩进 字符"/>
    <w:link w:val="17"/>
    <w:qFormat/>
    <w:uiPriority w:val="0"/>
    <w:rPr>
      <w:rFonts w:ascii="Calibri" w:hAnsi="Calibri"/>
      <w:sz w:val="21"/>
      <w:szCs w:val="21"/>
    </w:rPr>
  </w:style>
  <w:style w:type="table" w:customStyle="1" w:styleId="381">
    <w:name w:val="网格型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table" w:customStyle="1" w:styleId="382">
    <w:name w:val="Table Grid Light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383">
    <w:name w:val="无格式表格 1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384">
    <w:name w:val="无格式表格 21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385">
    <w:name w:val="无格式表格 311"/>
    <w:qFormat/>
    <w:uiPriority w:val="99"/>
    <w:tblPr>
      <w:tblCellMar>
        <w:top w:w="0" w:type="dxa"/>
        <w:left w:w="0" w:type="dxa"/>
        <w:bottom w:w="0" w:type="dxa"/>
        <w:right w:w="0" w:type="dxa"/>
      </w:tblCellMar>
    </w:tblPr>
  </w:style>
  <w:style w:type="table" w:customStyle="1" w:styleId="386">
    <w:name w:val="无格式表格 411"/>
    <w:qFormat/>
    <w:uiPriority w:val="99"/>
    <w:tblPr>
      <w:tblCellMar>
        <w:top w:w="0" w:type="dxa"/>
        <w:left w:w="0" w:type="dxa"/>
        <w:bottom w:w="0" w:type="dxa"/>
        <w:right w:w="0" w:type="dxa"/>
      </w:tblCellMar>
    </w:tblPr>
  </w:style>
  <w:style w:type="table" w:customStyle="1" w:styleId="387">
    <w:name w:val="无格式表格 511"/>
    <w:qFormat/>
    <w:uiPriority w:val="99"/>
    <w:tblPr>
      <w:tblCellMar>
        <w:top w:w="0" w:type="dxa"/>
        <w:left w:w="0" w:type="dxa"/>
        <w:bottom w:w="0" w:type="dxa"/>
        <w:right w:w="0" w:type="dxa"/>
      </w:tblCellMar>
    </w:tblPr>
  </w:style>
  <w:style w:type="table" w:customStyle="1" w:styleId="388">
    <w:name w:val="网格表 1 浅色1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389">
    <w:name w:val="Grid Table 1 Light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390">
    <w:name w:val="Grid Table 1 Light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391">
    <w:name w:val="Grid Table 1 Light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392">
    <w:name w:val="Grid Table 1 Light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393">
    <w:name w:val="Grid Table 1 Light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394">
    <w:name w:val="Grid Table 1 Light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395">
    <w:name w:val="网格表 2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396">
    <w:name w:val="Grid Table 2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397">
    <w:name w:val="Grid Table 2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398">
    <w:name w:val="Grid Table 2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399">
    <w:name w:val="Grid Table 2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00">
    <w:name w:val="Grid Table 2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01">
    <w:name w:val="Grid Table 2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02">
    <w:name w:val="网格表 31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403">
    <w:name w:val="Grid Table 3 - Accent 1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404">
    <w:name w:val="Grid Table 3 - Accent 21"/>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05">
    <w:name w:val="Grid Table 3 - Accent 31"/>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06">
    <w:name w:val="Grid Table 3 - Accent 41"/>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07">
    <w:name w:val="Grid Table 3 - Accent 51"/>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08">
    <w:name w:val="Grid Table 3 - Accent 61"/>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09">
    <w:name w:val="网格表 41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410">
    <w:name w:val="Grid Table 4 - Accent 1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411">
    <w:name w:val="Grid Table 4 - Accent 21"/>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412">
    <w:name w:val="Grid Table 4 - Accent 31"/>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413">
    <w:name w:val="Grid Table 4 - Accent 41"/>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414">
    <w:name w:val="Grid Table 4 - Accent 51"/>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415">
    <w:name w:val="Grid Table 4 - Accent 61"/>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416">
    <w:name w:val="网格表 5 深色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17">
    <w:name w:val="Grid Table 5 Dark- Accent 1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18">
    <w:name w:val="Grid Table 5 Dark - Accent 2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19">
    <w:name w:val="Grid Table 5 Dark - Accent 3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0">
    <w:name w:val="Grid Table 5 Dark- Accent 4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1">
    <w:name w:val="Grid Table 5 Dark - Accent 5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2">
    <w:name w:val="Grid Table 5 Dark - Accent 6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423">
    <w:name w:val="网格表 6 彩色1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24">
    <w:name w:val="Grid Table 6 Colorful - Accent 1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425">
    <w:name w:val="Grid Table 6 Colorful - Accent 21"/>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26">
    <w:name w:val="Grid Table 6 Colorful - Accent 31"/>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27">
    <w:name w:val="Grid Table 6 Colorful - Accent 41"/>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28">
    <w:name w:val="Grid Table 6 Colorful - Accent 51"/>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429">
    <w:name w:val="Grid Table 6 Colorful - Accent 61"/>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30">
    <w:name w:val="网格表 7 彩色1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431">
    <w:name w:val="Grid Table 7 Colorful - Accent 1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432">
    <w:name w:val="Grid Table 7 Colorful - Accent 21"/>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433">
    <w:name w:val="Grid Table 7 Colorful - Accent 31"/>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434">
    <w:name w:val="Grid Table 7 Colorful - Accent 41"/>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435">
    <w:name w:val="Grid Table 7 Colorful - Accent 51"/>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436">
    <w:name w:val="Grid Table 7 Colorful - Accent 61"/>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437">
    <w:name w:val="清单表 1 浅色11"/>
    <w:qFormat/>
    <w:uiPriority w:val="99"/>
    <w:tblPr>
      <w:tblCellMar>
        <w:top w:w="0" w:type="dxa"/>
        <w:left w:w="0" w:type="dxa"/>
        <w:bottom w:w="0" w:type="dxa"/>
        <w:right w:w="0" w:type="dxa"/>
      </w:tblCellMar>
    </w:tblPr>
  </w:style>
  <w:style w:type="table" w:customStyle="1" w:styleId="438">
    <w:name w:val="List Table 1 Light - Accent 11"/>
    <w:qFormat/>
    <w:uiPriority w:val="99"/>
    <w:tblPr>
      <w:tblCellMar>
        <w:top w:w="0" w:type="dxa"/>
        <w:left w:w="0" w:type="dxa"/>
        <w:bottom w:w="0" w:type="dxa"/>
        <w:right w:w="0" w:type="dxa"/>
      </w:tblCellMar>
    </w:tblPr>
  </w:style>
  <w:style w:type="table" w:customStyle="1" w:styleId="439">
    <w:name w:val="List Table 1 Light - Accent 21"/>
    <w:qFormat/>
    <w:uiPriority w:val="99"/>
    <w:tblPr>
      <w:tblCellMar>
        <w:top w:w="0" w:type="dxa"/>
        <w:left w:w="0" w:type="dxa"/>
        <w:bottom w:w="0" w:type="dxa"/>
        <w:right w:w="0" w:type="dxa"/>
      </w:tblCellMar>
    </w:tblPr>
  </w:style>
  <w:style w:type="table" w:customStyle="1" w:styleId="440">
    <w:name w:val="List Table 1 Light - Accent 31"/>
    <w:qFormat/>
    <w:uiPriority w:val="99"/>
    <w:tblPr>
      <w:tblCellMar>
        <w:top w:w="0" w:type="dxa"/>
        <w:left w:w="0" w:type="dxa"/>
        <w:bottom w:w="0" w:type="dxa"/>
        <w:right w:w="0" w:type="dxa"/>
      </w:tblCellMar>
    </w:tblPr>
  </w:style>
  <w:style w:type="table" w:customStyle="1" w:styleId="441">
    <w:name w:val="List Table 1 Light - Accent 41"/>
    <w:qFormat/>
    <w:uiPriority w:val="99"/>
    <w:tblPr>
      <w:tblCellMar>
        <w:top w:w="0" w:type="dxa"/>
        <w:left w:w="0" w:type="dxa"/>
        <w:bottom w:w="0" w:type="dxa"/>
        <w:right w:w="0" w:type="dxa"/>
      </w:tblCellMar>
    </w:tblPr>
  </w:style>
  <w:style w:type="table" w:customStyle="1" w:styleId="442">
    <w:name w:val="List Table 1 Light - Accent 51"/>
    <w:qFormat/>
    <w:uiPriority w:val="99"/>
    <w:tblPr>
      <w:tblCellMar>
        <w:top w:w="0" w:type="dxa"/>
        <w:left w:w="0" w:type="dxa"/>
        <w:bottom w:w="0" w:type="dxa"/>
        <w:right w:w="0" w:type="dxa"/>
      </w:tblCellMar>
    </w:tblPr>
  </w:style>
  <w:style w:type="table" w:customStyle="1" w:styleId="443">
    <w:name w:val="List Table 1 Light - Accent 61"/>
    <w:qFormat/>
    <w:uiPriority w:val="99"/>
    <w:tblPr>
      <w:tblCellMar>
        <w:top w:w="0" w:type="dxa"/>
        <w:left w:w="0" w:type="dxa"/>
        <w:bottom w:w="0" w:type="dxa"/>
        <w:right w:w="0" w:type="dxa"/>
      </w:tblCellMar>
    </w:tblPr>
  </w:style>
  <w:style w:type="table" w:customStyle="1" w:styleId="444">
    <w:name w:val="清单表 21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445">
    <w:name w:val="List Table 2 - Accent 1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446">
    <w:name w:val="List Table 2 - Accent 21"/>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447">
    <w:name w:val="List Table 2 - Accent 31"/>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448">
    <w:name w:val="List Table 2 - Accent 41"/>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449">
    <w:name w:val="List Table 2 - Accent 51"/>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450">
    <w:name w:val="List Table 2 - Accent 61"/>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451">
    <w:name w:val="清单表 31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452">
    <w:name w:val="List Table 3 - Accent 1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453">
    <w:name w:val="List Table 3 - Accent 21"/>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454">
    <w:name w:val="List Table 3 - Accent 31"/>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455">
    <w:name w:val="List Table 3 - Accent 41"/>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456">
    <w:name w:val="List Table 3 - Accent 51"/>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457">
    <w:name w:val="List Table 3 - Accent 61"/>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458">
    <w:name w:val="清单表 41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459">
    <w:name w:val="List Table 4 - Accent 1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460">
    <w:name w:val="List Table 4 - Accent 21"/>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461">
    <w:name w:val="List Table 4 - Accent 31"/>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462">
    <w:name w:val="List Table 4 - Accent 41"/>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463">
    <w:name w:val="List Table 4 - Accent 51"/>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464">
    <w:name w:val="List Table 4 - Accent 61"/>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465">
    <w:name w:val="清单表 5 深色1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466">
    <w:name w:val="List Table 5 Dark - Accent 1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467">
    <w:name w:val="List Table 5 Dark - Accent 21"/>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468">
    <w:name w:val="List Table 5 Dark - Accent 31"/>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469">
    <w:name w:val="List Table 5 Dark - Accent 41"/>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470">
    <w:name w:val="List Table 5 Dark - Accent 51"/>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471">
    <w:name w:val="List Table 5 Dark - Accent 61"/>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472">
    <w:name w:val="清单表 6 彩色1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473">
    <w:name w:val="List Table 6 Colorful - Accent 1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474">
    <w:name w:val="List Table 6 Colorful - Accent 21"/>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475">
    <w:name w:val="List Table 6 Colorful - Accent 31"/>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476">
    <w:name w:val="List Table 6 Colorful - Accent 41"/>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477">
    <w:name w:val="List Table 6 Colorful - Accent 51"/>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478">
    <w:name w:val="List Table 6 Colorful - Accent 61"/>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479">
    <w:name w:val="清单表 7 彩色11"/>
    <w:qFormat/>
    <w:uiPriority w:val="99"/>
    <w:tblPr>
      <w:tblBorders>
        <w:right w:val="single" w:color="7F7F7F" w:sz="4" w:space="0"/>
      </w:tblBorders>
      <w:tblCellMar>
        <w:top w:w="0" w:type="dxa"/>
        <w:left w:w="0" w:type="dxa"/>
        <w:bottom w:w="0" w:type="dxa"/>
        <w:right w:w="0" w:type="dxa"/>
      </w:tblCellMar>
    </w:tblPr>
  </w:style>
  <w:style w:type="table" w:customStyle="1" w:styleId="480">
    <w:name w:val="List Table 7 Colorful - Accent 11"/>
    <w:qFormat/>
    <w:uiPriority w:val="99"/>
    <w:tblPr>
      <w:tblBorders>
        <w:right w:val="single" w:color="4F81BD" w:sz="4" w:space="0"/>
      </w:tblBorders>
      <w:tblCellMar>
        <w:top w:w="0" w:type="dxa"/>
        <w:left w:w="0" w:type="dxa"/>
        <w:bottom w:w="0" w:type="dxa"/>
        <w:right w:w="0" w:type="dxa"/>
      </w:tblCellMar>
    </w:tblPr>
  </w:style>
  <w:style w:type="table" w:customStyle="1" w:styleId="481">
    <w:name w:val="List Table 7 Colorful - Accent 21"/>
    <w:qFormat/>
    <w:uiPriority w:val="99"/>
    <w:tblPr>
      <w:tblBorders>
        <w:right w:val="single" w:color="D99695" w:sz="4" w:space="0"/>
      </w:tblBorders>
      <w:tblCellMar>
        <w:top w:w="0" w:type="dxa"/>
        <w:left w:w="0" w:type="dxa"/>
        <w:bottom w:w="0" w:type="dxa"/>
        <w:right w:w="0" w:type="dxa"/>
      </w:tblCellMar>
    </w:tblPr>
  </w:style>
  <w:style w:type="table" w:customStyle="1" w:styleId="482">
    <w:name w:val="List Table 7 Colorful - Accent 31"/>
    <w:qFormat/>
    <w:uiPriority w:val="99"/>
    <w:tblPr>
      <w:tblBorders>
        <w:right w:val="single" w:color="C3D69B" w:sz="4" w:space="0"/>
      </w:tblBorders>
      <w:tblCellMar>
        <w:top w:w="0" w:type="dxa"/>
        <w:left w:w="0" w:type="dxa"/>
        <w:bottom w:w="0" w:type="dxa"/>
        <w:right w:w="0" w:type="dxa"/>
      </w:tblCellMar>
    </w:tblPr>
  </w:style>
  <w:style w:type="table" w:customStyle="1" w:styleId="483">
    <w:name w:val="List Table 7 Colorful - Accent 41"/>
    <w:qFormat/>
    <w:uiPriority w:val="99"/>
    <w:tblPr>
      <w:tblBorders>
        <w:right w:val="single" w:color="B2A1C6" w:sz="4" w:space="0"/>
      </w:tblBorders>
      <w:tblCellMar>
        <w:top w:w="0" w:type="dxa"/>
        <w:left w:w="0" w:type="dxa"/>
        <w:bottom w:w="0" w:type="dxa"/>
        <w:right w:w="0" w:type="dxa"/>
      </w:tblCellMar>
    </w:tblPr>
  </w:style>
  <w:style w:type="table" w:customStyle="1" w:styleId="484">
    <w:name w:val="List Table 7 Colorful - Accent 51"/>
    <w:qFormat/>
    <w:uiPriority w:val="99"/>
    <w:tblPr>
      <w:tblBorders>
        <w:right w:val="single" w:color="92CCDC" w:sz="4" w:space="0"/>
      </w:tblBorders>
      <w:tblCellMar>
        <w:top w:w="0" w:type="dxa"/>
        <w:left w:w="0" w:type="dxa"/>
        <w:bottom w:w="0" w:type="dxa"/>
        <w:right w:w="0" w:type="dxa"/>
      </w:tblCellMar>
    </w:tblPr>
  </w:style>
  <w:style w:type="table" w:customStyle="1" w:styleId="485">
    <w:name w:val="List Table 7 Colorful - Accent 61"/>
    <w:qFormat/>
    <w:uiPriority w:val="99"/>
    <w:tblPr>
      <w:tblBorders>
        <w:right w:val="single" w:color="FAC090" w:sz="4" w:space="0"/>
      </w:tblBorders>
      <w:tblCellMar>
        <w:top w:w="0" w:type="dxa"/>
        <w:left w:w="0" w:type="dxa"/>
        <w:bottom w:w="0" w:type="dxa"/>
        <w:right w:w="0" w:type="dxa"/>
      </w:tblCellMar>
    </w:tblPr>
  </w:style>
  <w:style w:type="table" w:customStyle="1" w:styleId="486">
    <w:name w:val="Lined - Accent 11"/>
    <w:qFormat/>
    <w:uiPriority w:val="99"/>
    <w:rPr>
      <w:color w:val="404040"/>
    </w:rPr>
    <w:tblPr>
      <w:tblCellMar>
        <w:top w:w="0" w:type="dxa"/>
        <w:left w:w="0" w:type="dxa"/>
        <w:bottom w:w="0" w:type="dxa"/>
        <w:right w:w="0" w:type="dxa"/>
      </w:tblCellMar>
    </w:tblPr>
  </w:style>
  <w:style w:type="table" w:customStyle="1" w:styleId="487">
    <w:name w:val="Lined - Accent 21"/>
    <w:qFormat/>
    <w:uiPriority w:val="99"/>
    <w:rPr>
      <w:color w:val="404040"/>
    </w:rPr>
    <w:tblPr>
      <w:tblCellMar>
        <w:top w:w="0" w:type="dxa"/>
        <w:left w:w="0" w:type="dxa"/>
        <w:bottom w:w="0" w:type="dxa"/>
        <w:right w:w="0" w:type="dxa"/>
      </w:tblCellMar>
    </w:tblPr>
  </w:style>
  <w:style w:type="table" w:customStyle="1" w:styleId="488">
    <w:name w:val="Lined - Accent 31"/>
    <w:qFormat/>
    <w:uiPriority w:val="99"/>
    <w:rPr>
      <w:color w:val="404040"/>
    </w:rPr>
    <w:tblPr>
      <w:tblCellMar>
        <w:top w:w="0" w:type="dxa"/>
        <w:left w:w="0" w:type="dxa"/>
        <w:bottom w:w="0" w:type="dxa"/>
        <w:right w:w="0" w:type="dxa"/>
      </w:tblCellMar>
    </w:tblPr>
  </w:style>
  <w:style w:type="table" w:customStyle="1" w:styleId="489">
    <w:name w:val="Lined - Accent 41"/>
    <w:qFormat/>
    <w:uiPriority w:val="99"/>
    <w:rPr>
      <w:color w:val="404040"/>
    </w:rPr>
    <w:tblPr>
      <w:tblCellMar>
        <w:top w:w="0" w:type="dxa"/>
        <w:left w:w="0" w:type="dxa"/>
        <w:bottom w:w="0" w:type="dxa"/>
        <w:right w:w="0" w:type="dxa"/>
      </w:tblCellMar>
    </w:tblPr>
  </w:style>
  <w:style w:type="table" w:customStyle="1" w:styleId="490">
    <w:name w:val="Lined - Accent 51"/>
    <w:qFormat/>
    <w:uiPriority w:val="99"/>
    <w:rPr>
      <w:color w:val="404040"/>
    </w:rPr>
    <w:tblPr>
      <w:tblCellMar>
        <w:top w:w="0" w:type="dxa"/>
        <w:left w:w="0" w:type="dxa"/>
        <w:bottom w:w="0" w:type="dxa"/>
        <w:right w:w="0" w:type="dxa"/>
      </w:tblCellMar>
    </w:tblPr>
  </w:style>
  <w:style w:type="table" w:customStyle="1" w:styleId="491">
    <w:name w:val="Lined - Accent 61"/>
    <w:qFormat/>
    <w:uiPriority w:val="99"/>
    <w:rPr>
      <w:color w:val="404040"/>
    </w:rPr>
    <w:tblPr>
      <w:tblCellMar>
        <w:top w:w="0" w:type="dxa"/>
        <w:left w:w="0" w:type="dxa"/>
        <w:bottom w:w="0" w:type="dxa"/>
        <w:right w:w="0" w:type="dxa"/>
      </w:tblCellMar>
    </w:tblPr>
  </w:style>
  <w:style w:type="table" w:customStyle="1" w:styleId="492">
    <w:name w:val="Bordered &amp; Lined - Accent 1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493">
    <w:name w:val="Bordered &amp; Lined - Accent 21"/>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494">
    <w:name w:val="Bordered &amp; Lined - Accent 31"/>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495">
    <w:name w:val="Bordered &amp; Lined - Accent 41"/>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496">
    <w:name w:val="Bordered &amp; Lined - Accent 51"/>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497">
    <w:name w:val="Bordered &amp; Lined - Accent 61"/>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498">
    <w:name w:val="Bordered1"/>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499">
    <w:name w:val="Bordered - Accent 1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500">
    <w:name w:val="Bordered - Accent 21"/>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501">
    <w:name w:val="Bordered - Accent 31"/>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502">
    <w:name w:val="Bordered - Accent 41"/>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503">
    <w:name w:val="Bordered - Accent 51"/>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504">
    <w:name w:val="Bordered - Accent 61"/>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505">
    <w:name w:val="普通表格11"/>
    <w:qFormat/>
    <w:uiPriority w:val="0"/>
    <w:tblPr>
      <w:tblCellMar>
        <w:top w:w="0" w:type="dxa"/>
        <w:left w:w="0" w:type="dxa"/>
        <w:bottom w:w="0" w:type="dxa"/>
        <w:right w:w="0" w:type="dxa"/>
      </w:tblCellMar>
    </w:tblPr>
  </w:style>
  <w:style w:type="table" w:customStyle="1" w:styleId="506">
    <w:name w:val="网格型11"/>
    <w:basedOn w:val="245"/>
    <w:qFormat/>
    <w:uiPriority w:val="0"/>
    <w:pPr>
      <w:widowControl w:val="0"/>
      <w:jc w:val="both"/>
    </w:pPr>
  </w:style>
  <w:style w:type="paragraph" w:customStyle="1" w:styleId="507">
    <w:name w:val="列出段落2"/>
    <w:basedOn w:val="73"/>
    <w:qFormat/>
    <w:uiPriority w:val="0"/>
    <w:pPr>
      <w:widowControl w:val="0"/>
      <w:ind w:firstLine="420"/>
    </w:pPr>
    <w:rPr>
      <w:sz w:val="21"/>
      <w:szCs w:val="24"/>
    </w:rPr>
  </w:style>
  <w:style w:type="table" w:customStyle="1" w:styleId="508">
    <w:name w:val="TableNormal1"/>
    <w:semiHidden/>
    <w:qFormat/>
    <w:uiPriority w:val="0"/>
    <w:tblPr>
      <w:tblCellMar>
        <w:top w:w="0" w:type="dxa"/>
        <w:left w:w="0" w:type="dxa"/>
        <w:bottom w:w="0" w:type="dxa"/>
        <w:right w:w="0" w:type="dxa"/>
      </w:tblCellMar>
    </w:tblPr>
  </w:style>
  <w:style w:type="paragraph" w:customStyle="1" w:styleId="509">
    <w:name w:val="_Style 11"/>
    <w:qFormat/>
    <w:uiPriority w:val="1"/>
    <w:pPr>
      <w:widowControl w:val="0"/>
      <w:jc w:val="both"/>
    </w:pPr>
    <w:rPr>
      <w:rFonts w:ascii="宋体" w:hAnsi="宋体" w:eastAsia="宋体" w:cs="宋体"/>
      <w:sz w:val="21"/>
      <w:szCs w:val="22"/>
      <w:lang w:val="en-US" w:eastAsia="zh-CN" w:bidi="ar-SA"/>
    </w:rPr>
  </w:style>
  <w:style w:type="paragraph" w:customStyle="1" w:styleId="510">
    <w:name w:val="首行缩进"/>
    <w:basedOn w:val="1"/>
    <w:qFormat/>
    <w:uiPriority w:val="0"/>
    <w:pPr>
      <w:ind w:firstLine="480"/>
    </w:pPr>
    <w:rPr>
      <w:lang w:val="zh-CN"/>
    </w:rPr>
  </w:style>
  <w:style w:type="character" w:customStyle="1" w:styleId="511">
    <w:name w:val="fontstyle01"/>
    <w:qFormat/>
    <w:uiPriority w:val="0"/>
    <w:rPr>
      <w:rFonts w:hint="eastAsia" w:ascii="宋体" w:hAnsi="宋体" w:eastAsia="宋体"/>
      <w:color w:val="000000"/>
      <w:sz w:val="24"/>
      <w:szCs w:val="24"/>
    </w:rPr>
  </w:style>
  <w:style w:type="paragraph" w:customStyle="1" w:styleId="512">
    <w:name w:val="正文文本111"/>
    <w:basedOn w:val="513"/>
    <w:next w:val="70"/>
    <w:qFormat/>
    <w:uiPriority w:val="0"/>
    <w:pPr>
      <w:tabs>
        <w:tab w:val="left" w:pos="3585"/>
        <w:tab w:val="left" w:pos="5984"/>
      </w:tabs>
      <w:spacing w:line="360" w:lineRule="auto"/>
      <w:ind w:firstLine="476"/>
      <w:jc w:val="left"/>
    </w:pPr>
  </w:style>
  <w:style w:type="paragraph" w:customStyle="1" w:styleId="513">
    <w:name w:val="正文1121"/>
    <w:next w:val="512"/>
    <w:qFormat/>
    <w:uiPriority w:val="0"/>
    <w:pPr>
      <w:widowControl w:val="0"/>
      <w:jc w:val="both"/>
    </w:pPr>
    <w:rPr>
      <w:rFonts w:ascii="Calibri" w:hAnsi="Calibri" w:eastAsia="宋体" w:cs="Times New Roman"/>
      <w:sz w:val="21"/>
      <w:szCs w:val="24"/>
      <w:lang w:val="en-US" w:eastAsia="zh-CN" w:bidi="ar-SA"/>
    </w:rPr>
  </w:style>
  <w:style w:type="paragraph" w:customStyle="1" w:styleId="514">
    <w:name w:val="正文1111"/>
    <w:next w:val="515"/>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5">
    <w:name w:val="文本块11"/>
    <w:basedOn w:val="514"/>
    <w:qFormat/>
    <w:uiPriority w:val="0"/>
    <w:pPr>
      <w:widowControl/>
      <w:ind w:left="567" w:right="454" w:firstLine="498"/>
      <w:jc w:val="left"/>
    </w:pPr>
    <w:rPr>
      <w:rFonts w:ascii="仿宋_GB2312" w:eastAsia="仿宋_GB2312"/>
      <w:sz w:val="30"/>
      <w:szCs w:val="20"/>
    </w:rPr>
  </w:style>
  <w:style w:type="paragraph" w:customStyle="1" w:styleId="516">
    <w:name w:val="脚注文本11"/>
    <w:basedOn w:val="1"/>
    <w:next w:val="517"/>
    <w:unhideWhenUsed/>
    <w:qFormat/>
    <w:uiPriority w:val="0"/>
    <w:pPr>
      <w:spacing w:after="40"/>
    </w:pPr>
    <w:rPr>
      <w:sz w:val="18"/>
    </w:rPr>
  </w:style>
  <w:style w:type="paragraph" w:customStyle="1" w:styleId="517">
    <w:name w:val="索引 511"/>
    <w:basedOn w:val="1"/>
    <w:next w:val="1"/>
    <w:qFormat/>
    <w:uiPriority w:val="0"/>
    <w:pPr>
      <w:ind w:left="798"/>
      <w:jc w:val="left"/>
    </w:pPr>
  </w:style>
  <w:style w:type="paragraph" w:customStyle="1" w:styleId="518">
    <w:name w:val="_Style 9"/>
    <w:basedOn w:val="3"/>
    <w:next w:val="1"/>
    <w:qFormat/>
    <w:uiPriority w:val="0"/>
    <w:pPr>
      <w:spacing w:before="340" w:after="330" w:line="576" w:lineRule="auto"/>
      <w:outlineLvl w:val="9"/>
    </w:pPr>
    <w:rPr>
      <w:rFonts w:ascii="Calibri" w:hAnsi="Calibri"/>
      <w:sz w:val="44"/>
    </w:rPr>
  </w:style>
  <w:style w:type="paragraph" w:customStyle="1" w:styleId="519">
    <w:name w:val="WPSOffice手动目录 1"/>
    <w:qFormat/>
    <w:uiPriority w:val="0"/>
    <w:rPr>
      <w:rFonts w:ascii="Times New Roman" w:hAnsi="Times New Roman" w:eastAsia="宋体" w:cs="Times New Roman"/>
      <w:lang w:val="en-US" w:eastAsia="zh-CN" w:bidi="ar-SA"/>
    </w:rPr>
  </w:style>
  <w:style w:type="paragraph" w:customStyle="1" w:styleId="520">
    <w:name w:val="WPSOffice手动目录 2"/>
    <w:qFormat/>
    <w:uiPriority w:val="0"/>
    <w:rPr>
      <w:rFonts w:ascii="Times New Roman" w:hAnsi="Times New Roman" w:eastAsia="宋体" w:cs="Times New Roman"/>
      <w:lang w:val="en-US" w:eastAsia="zh-CN" w:bidi="ar-SA"/>
    </w:rPr>
  </w:style>
  <w:style w:type="paragraph" w:customStyle="1" w:styleId="521">
    <w:name w:val="彩色列表 - 着色 11"/>
    <w:basedOn w:val="1"/>
    <w:qFormat/>
    <w:uiPriority w:val="0"/>
    <w:pPr>
      <w:ind w:firstLine="420"/>
    </w:pPr>
    <w:rPr>
      <w:rFonts w:ascii="Times New Roman" w:hAnsi="Times New Roman"/>
      <w:sz w:val="20"/>
    </w:rPr>
  </w:style>
  <w:style w:type="character" w:customStyle="1" w:styleId="522">
    <w:name w:val="NormalCharacter1"/>
    <w:semiHidden/>
    <w:qFormat/>
    <w:uiPriority w:val="0"/>
    <w:rPr>
      <w:sz w:val="21"/>
      <w:szCs w:val="24"/>
      <w:lang w:val="en-US" w:eastAsia="zh-CN" w:bidi="ar-SA"/>
    </w:rPr>
  </w:style>
  <w:style w:type="paragraph" w:customStyle="1" w:styleId="523">
    <w:name w:val="reader-word-layer reader-word-s1-7"/>
    <w:basedOn w:val="1"/>
    <w:qFormat/>
    <w:uiPriority w:val="0"/>
    <w:pPr>
      <w:spacing w:before="100" w:beforeAutospacing="1" w:after="100" w:afterAutospacing="1"/>
      <w:jc w:val="left"/>
    </w:pPr>
    <w:rPr>
      <w:rFonts w:ascii="宋体" w:hAnsi="宋体" w:cs="宋体"/>
      <w:sz w:val="24"/>
    </w:rPr>
  </w:style>
  <w:style w:type="paragraph" w:customStyle="1" w:styleId="524">
    <w:name w:val="BodyText1I"/>
    <w:basedOn w:val="525"/>
    <w:qFormat/>
    <w:uiPriority w:val="0"/>
    <w:pPr>
      <w:spacing w:after="0"/>
    </w:pPr>
    <w:rPr>
      <w:rFonts w:eastAsia="仿宋"/>
      <w:sz w:val="24"/>
    </w:rPr>
  </w:style>
  <w:style w:type="paragraph" w:customStyle="1" w:styleId="525">
    <w:name w:val="BodyText"/>
    <w:basedOn w:val="1"/>
    <w:qFormat/>
    <w:uiPriority w:val="0"/>
    <w:pPr>
      <w:spacing w:after="120"/>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8.wmf"/><Relationship Id="rId23" Type="http://schemas.openxmlformats.org/officeDocument/2006/relationships/oleObject" Target="embeddings/oleObject5.bin"/><Relationship Id="rId22" Type="http://schemas.openxmlformats.org/officeDocument/2006/relationships/image" Target="media/image7.wmf"/><Relationship Id="rId21" Type="http://schemas.openxmlformats.org/officeDocument/2006/relationships/oleObject" Target="embeddings/oleObject4.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3.bin"/><Relationship Id="rId18" Type="http://schemas.openxmlformats.org/officeDocument/2006/relationships/image" Target="media/image5.wmf"/><Relationship Id="rId17" Type="http://schemas.openxmlformats.org/officeDocument/2006/relationships/oleObject" Target="embeddings/oleObject2.bin"/><Relationship Id="rId16" Type="http://schemas.openxmlformats.org/officeDocument/2006/relationships/image" Target="media/image4.wmf"/><Relationship Id="rId15" Type="http://schemas.openxmlformats.org/officeDocument/2006/relationships/oleObject" Target="embeddings/oleObject1.bin"/><Relationship Id="rId14" Type="http://schemas.openxmlformats.org/officeDocument/2006/relationships/image" Target="media/image3.png"/><Relationship Id="rId13" Type="http://schemas.openxmlformats.org/officeDocument/2006/relationships/image" Target="media/image2.jpeg"/><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110</Pages>
  <Words>3471</Words>
  <Characters>4025</Characters>
  <Lines>702</Lines>
  <Paragraphs>197</Paragraphs>
  <TotalTime>22</TotalTime>
  <ScaleCrop>false</ScaleCrop>
  <LinksUpToDate>false</LinksUpToDate>
  <CharactersWithSpaces>4101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2022-12-08T22:37:00Z</dcterms:created>
  <dc:creator>Administrator</dc:creator>
  <cp:lastModifiedBy>猪宝贝</cp:lastModifiedBy>
  <dcterms:modified xsi:type="dcterms:W3CDTF">2026-07-09T07:48:55Z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7172F7765E604CC3BD20AB5B5E4B60BF_13</vt:lpwstr>
  </property>
  <property fmtid="{D5CDD505-2E9C-101B-9397-08002B2CF9AE}" pid="4" name="KSOTemplateDocerSaveRecord">
    <vt:lpwstr>eyJoZGlkIjoiNGE3NTRiNjhkNzA3NzAwMzE5Mjk4NWQ4ZGU1MjM4NDEiLCJ1c2VySWQiOiI0ODkyMzMxMDQifQ==</vt:lpwstr>
  </property>
</Properties>
</file>