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pPr>
      <w:r/>
      <w:r/>
    </w:p>
    <w:p>
      <w:pPr>
        <w:pStyle w:val="696"/>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696"/>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746"/>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696"/>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746"/>
        <w:rPr>
          <w:rFonts w:hint="eastAsia"/>
        </w:rPr>
      </w:pPr>
      <w:r>
        <w:rPr>
          <w:rFonts w:hint="eastAsia"/>
        </w:rPr>
      </w:r>
      <w:r/>
    </w:p>
    <w:p>
      <w:pPr>
        <w:pStyle w:val="696"/>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项目名称：大型仪器智慧管理与共享服务平台二期项目</w:t>
      </w:r>
      <w:r>
        <w:rPr>
          <w:rFonts w:hint="eastAsia" w:ascii="方正黑体_GBK" w:hAnsi="方正黑体_GBK" w:eastAsia="方正黑体_GBK" w:cs="方正黑体_GBK"/>
          <w:b w:val="0"/>
          <w:bCs w:val="0"/>
          <w:color w:val="000000"/>
          <w:sz w:val="28"/>
          <w:szCs w:val="28"/>
        </w:rPr>
      </w:r>
      <w:r/>
    </w:p>
    <w:p>
      <w:pPr>
        <w:pStyle w:val="696"/>
        <w:ind w:firstLine="84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eastAsia" w:ascii="Times New Roman" w:hAnsi="Times New Roman" w:eastAsia="方正黑体_GBK" w:cs="Times New Roman"/>
          <w:color w:val="000000"/>
          <w:sz w:val="28"/>
          <w:szCs w:val="28"/>
        </w:rPr>
        <w:t xml:space="preserve">JSZC-320000-SCZX-C2026-0325</w:t>
      </w:r>
      <w:r>
        <w:rPr>
          <w:rFonts w:ascii="Arial" w:hAnsi="Arial"/>
          <w:b/>
          <w:bCs/>
          <w:color w:val="000000"/>
          <w:sz w:val="28"/>
          <w:szCs w:val="28"/>
        </w:rPr>
        <w:t xml:space="preserve">            </w:t>
      </w:r>
      <w:r>
        <w:rPr>
          <w:rFonts w:ascii="Arial" w:hAnsi="Arial"/>
          <w:b/>
          <w:bCs/>
          <w:color w:val="000000"/>
          <w:sz w:val="28"/>
          <w:szCs w:val="28"/>
        </w:rPr>
      </w:r>
      <w:r/>
    </w:p>
    <w:p>
      <w:pPr>
        <w:pStyle w:val="696"/>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left"/>
        <w:spacing w:line="360" w:lineRule="auto"/>
        <w:rPr>
          <w:rFonts w:hint="eastAsia" w:ascii="宋体" w:hAnsi="宋体"/>
          <w:sz w:val="24"/>
          <w:szCs w:val="24"/>
        </w:rPr>
      </w:pPr>
      <w:r>
        <w:rPr>
          <w:rFonts w:hint="eastAsia" w:ascii="宋体" w:hAnsi="宋体"/>
          <w:sz w:val="24"/>
          <w:szCs w:val="24"/>
        </w:rPr>
      </w:r>
      <w:r/>
    </w:p>
    <w:p>
      <w:pPr>
        <w:pStyle w:val="69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69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8</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69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6"/>
        <w:jc w:val="center"/>
        <w:spacing w:before="120" w:after="120" w:line="360" w:lineRule="auto"/>
        <w:rPr>
          <w:rFonts w:hint="eastAsia" w:ascii="Arial" w:hAnsi="Arial"/>
          <w:sz w:val="24"/>
          <w:szCs w:val="24"/>
        </w:rPr>
      </w:pPr>
      <w:r>
        <w:rPr>
          <w:rFonts w:hint="eastAsia" w:ascii="Arial" w:hAnsi="Arial"/>
          <w:sz w:val="24"/>
          <w:szCs w:val="24"/>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6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17</w:t>
      </w:r>
      <w:r>
        <w:rPr>
          <w:rFonts w:ascii="方正黑体_GBK" w:hAnsi="方正黑体_GBK" w:eastAsia="方正黑体_GBK" w:cs="方正黑体_GBK"/>
          <w:b w:val="0"/>
          <w:bCs/>
          <w:sz w:val="28"/>
          <w:szCs w:val="28"/>
          <w:lang w:val="en-US" w:eastAsia="zh-CN"/>
        </w:rPr>
      </w:r>
      <w:r/>
    </w:p>
    <w:p>
      <w:pPr>
        <w:pStyle w:val="6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6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38</w:t>
      </w:r>
      <w:r>
        <w:rPr>
          <w:rFonts w:ascii="方正黑体_GBK" w:hAnsi="方正黑体_GBK" w:eastAsia="方正黑体_GBK" w:cs="方正黑体_GBK"/>
          <w:b w:val="0"/>
          <w:bCs/>
          <w:sz w:val="28"/>
          <w:szCs w:val="28"/>
          <w:lang w:val="en-US" w:eastAsia="zh-CN"/>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响应文件格式………………………………4</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lang w:val="en-US" w:eastAsia="zh-CN"/>
        </w:rPr>
      </w:r>
      <w:r/>
    </w:p>
    <w:p>
      <w:pPr>
        <w:pStyle w:val="696"/>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rPr>
      </w:pPr>
      <w:r>
        <w:rPr>
          <w:rFonts w:hint="eastAsia" w:ascii="Times New Roman" w:hAnsi="Times New Roman"/>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rPr>
          <w:rFonts w:hint="eastAsia" w:ascii="Times New Roman" w:hAnsi="Times New Roman"/>
          <w:szCs w:val="21"/>
        </w:rPr>
      </w:r>
      <w:r/>
    </w:p>
    <w:p>
      <w:pPr>
        <w:pStyle w:val="696"/>
        <w:rPr>
          <w:rFonts w:hint="eastAsia" w:ascii="Times New Roman" w:hAnsi="Times New Roman"/>
          <w:szCs w:val="21"/>
        </w:rPr>
      </w:pPr>
      <w:r/>
      <w:bookmarkEnd w:id="0"/>
      <w:r>
        <w:rPr>
          <w:rFonts w:hint="eastAsia" w:ascii="Times New Roman" w:hAnsi="Times New Roman"/>
          <w:szCs w:val="21"/>
        </w:rPr>
      </w:r>
      <w:r/>
    </w:p>
    <w:p>
      <w:pPr>
        <w:pStyle w:val="696"/>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受江苏省产品质量监督检验研究院的委托，江苏省政府采购中心就大型仪器智慧管理与共享服务平台二期项目(JSZC-320000-SCZX-C2026-0325)项目进行竞争性磋商采购，欢迎符合条件的供应商参加磋商。</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大型仪器智慧管理与共享服务平台二期项目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黑体_GBK" w:cs="Times New Roman"/>
          <w:b w:val="0"/>
          <w:bCs w:val="0"/>
          <w:color w:val="000000" w:themeColor="text1"/>
          <w:sz w:val="28"/>
          <w:szCs w:val="28"/>
          <w:lang w:val="en-US" w:eastAsia="zh-CN"/>
        </w:rPr>
        <w:t xml:space="preserve">8</w:t>
      </w:r>
      <w:r>
        <w:rPr>
          <w:rFonts w:hint="eastAsia" w:ascii="方正仿宋_GBK" w:hAnsi="方正仿宋_GBK" w:eastAsia="方正仿宋_GBK" w:cs="方正仿宋_GBK"/>
          <w:bCs/>
          <w:color w:val="000000" w:themeColor="text1"/>
          <w:sz w:val="28"/>
          <w:szCs w:val="28"/>
          <w:u w:val="none"/>
        </w:rPr>
        <w:t xml:space="preserve">月</w:t>
      </w:r>
      <w:r>
        <w:rPr>
          <w:rFonts w:hint="eastAsia" w:ascii="方正仿宋_GBK" w:hAnsi="方正仿宋_GBK" w:eastAsia="方正仿宋_GBK" w:cs="方正仿宋_GBK"/>
          <w:bCs/>
          <w:color w:val="000000" w:themeColor="text1"/>
          <w:sz w:val="28"/>
          <w:szCs w:val="28"/>
          <w:u w:val="none"/>
        </w:rPr>
        <w:t xml:space="preserve">11日9</w:t>
      </w:r>
      <w:r>
        <w:rPr>
          <w:rFonts w:hint="eastAsia" w:ascii="方正仿宋_GBK" w:hAnsi="方正仿宋_GBK" w:eastAsia="方正仿宋_GBK" w:cs="方正仿宋_GBK"/>
          <w:bCs/>
          <w:color w:val="000000" w:themeColor="text1"/>
          <w:sz w:val="28"/>
          <w:szCs w:val="28"/>
          <w:u w:val="none"/>
          <w:lang w:val="en-US" w:eastAsia="zh-CN"/>
        </w:rPr>
        <w:t xml:space="preserve">时30</w:t>
      </w:r>
      <w:r>
        <w:rPr>
          <w:rFonts w:hint="eastAsia" w:ascii="方正仿宋_GBK" w:hAnsi="方正仿宋_GBK" w:eastAsia="方正仿宋_GBK" w:cs="方正仿宋_GBK"/>
          <w:bCs/>
          <w:color w:val="000000" w:themeColor="text1"/>
          <w:sz w:val="28"/>
          <w:szCs w:val="28"/>
          <w:u w:val="none"/>
        </w:rPr>
        <w:t xml:space="preserve">分</w:t>
      </w:r>
      <w:r>
        <w:rPr>
          <w:rFonts w:hint="eastAsia" w:ascii="方正仿宋_GBK" w:hAnsi="方正仿宋_GBK" w:eastAsia="方正仿宋_GBK" w:cs="方正仿宋_GBK"/>
          <w:bCs/>
          <w:sz w:val="28"/>
          <w:szCs w:val="28"/>
          <w:u w:val="none"/>
        </w:rPr>
        <w:t xml:space="preserve">（北京时间）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sz w:val="28"/>
          <w:szCs w:val="28"/>
        </w:rPr>
        <w:t xml:space="preserve">JSZC-320000-SCZX-C2026-0325</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Times New Roman" w:hAnsi="Times New Roman" w:eastAsia="方正黑体_GBK" w:cs="Times New Roman"/>
          <w:b w:val="0"/>
          <w:bCs w:val="0"/>
          <w:sz w:val="28"/>
          <w:szCs w:val="28"/>
          <w:lang w:eastAsia="zh-CN"/>
        </w:rPr>
      </w:pPr>
      <w:r>
        <w:rPr>
          <w:rFonts w:hint="eastAsia" w:ascii="方正仿宋_GBK" w:hAnsi="方正仿宋_GBK" w:eastAsia="方正仿宋_GBK" w:cs="方正仿宋_GBK"/>
          <w:sz w:val="28"/>
          <w:szCs w:val="28"/>
        </w:rPr>
        <w:t xml:space="preserve">2.项目名称：</w:t>
      </w:r>
      <w:bookmarkEnd w:id="11"/>
      <w:r>
        <w:rPr>
          <w:rFonts w:hint="eastAsia" w:ascii="Times New Roman" w:hAnsi="Times New Roman" w:eastAsia="方正黑体_GBK" w:cs="Times New Roman"/>
          <w:b w:val="0"/>
          <w:bCs w:val="0"/>
          <w:sz w:val="28"/>
          <w:szCs w:val="28"/>
          <w:lang w:eastAsia="zh-CN"/>
        </w:rPr>
        <w:t xml:space="preserve">大型仪器智慧管理与共享服务平台二期项目</w:t>
      </w:r>
      <w:r>
        <w:rPr>
          <w:rFonts w:hint="eastAsia" w:ascii="Times New Roman" w:hAnsi="Times New Roman" w:eastAsia="方正黑体_GBK" w:cs="Times New Roman"/>
          <w:b w:val="0"/>
          <w:bCs w:val="0"/>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包号</w:t>
            </w:r>
            <w:r>
              <w:rPr>
                <w:rFonts w:hint="eastAsia" w:ascii="方正仿宋_GBK" w:hAnsi="方正仿宋_GBK" w:eastAsia="方正仿宋_GBK" w:cs="方正仿宋_GBK"/>
                <w:sz w:val="28"/>
                <w:szCs w:val="28"/>
                <w:lang w:val="en-US" w:eastAsia="zh-CN" w:bidi="ar-SA"/>
              </w:rPr>
            </w:r>
            <w:r/>
          </w:p>
        </w:tc>
        <w:tc>
          <w:tcPr>
            <w:tcW w:w="325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预算金额</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（人民币：万元）</w:t>
            </w:r>
            <w:r>
              <w:rPr>
                <w:rFonts w:hint="eastAsia" w:ascii="方正仿宋_GBK" w:hAnsi="方正仿宋_GBK" w:eastAsia="方正仿宋_GBK" w:cs="方正仿宋_GBK"/>
                <w:sz w:val="28"/>
                <w:szCs w:val="28"/>
                <w:lang w:val="en-US" w:eastAsia="zh-CN" w:bidi="ar-SA"/>
              </w:rPr>
            </w:r>
            <w:r/>
          </w:p>
        </w:tc>
      </w:tr>
      <w:tr>
        <w:trPr/>
        <w:tc>
          <w:tcPr>
            <w:tcW w:w="115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3250" w:type="dxa"/>
            <w:vAlign w:val="top"/>
            <w:textDirection w:val="lrTb"/>
            <w:noWrap w:val="false"/>
          </w:tcPr>
          <w:p>
            <w:pPr>
              <w:pStyle w:val="696"/>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bidi="ar-SA"/>
              </w:rPr>
            </w:pPr>
            <w:r>
              <w:rPr>
                <w:rFonts w:hint="eastAsia" w:ascii="Times New Roman" w:hAnsi="Times New Roman" w:eastAsia="方正黑体_GBK" w:cs="Times New Roman"/>
                <w:b w:val="0"/>
                <w:bCs w:val="0"/>
                <w:sz w:val="28"/>
                <w:szCs w:val="28"/>
                <w:lang w:val="en-US" w:eastAsia="zh-CN" w:bidi="ar-SA"/>
              </w:rPr>
              <w:t xml:space="preserve">30</w:t>
            </w:r>
            <w:r>
              <w:rPr>
                <w:rFonts w:ascii="方正仿宋_GBK" w:hAnsi="方正仿宋_GBK" w:eastAsia="方正仿宋_GBK" w:cs="方正仿宋_GBK"/>
                <w:sz w:val="28"/>
                <w:szCs w:val="28"/>
                <w:lang w:val="en-US" w:eastAsia="zh-CN" w:bidi="ar-SA"/>
              </w:rPr>
            </w:r>
            <w:r/>
          </w:p>
        </w:tc>
      </w:tr>
    </w:tbl>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96"/>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采购</w:t>
            </w:r>
            <w:r>
              <w:rPr>
                <w:rFonts w:hint="eastAsia" w:ascii="方正仿宋_GBK" w:hAnsi="方正仿宋_GBK" w:eastAsia="方正仿宋_GBK" w:cs="方正仿宋_GBK"/>
                <w:color w:val="000000"/>
                <w:sz w:val="28"/>
                <w:szCs w:val="28"/>
                <w:lang w:val="en-US" w:eastAsia="zh-CN" w:bidi="ar-SA"/>
              </w:rPr>
            </w:r>
            <w:r/>
          </w:p>
          <w:p>
            <w:pPr>
              <w:pStyle w:val="696"/>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包号</w:t>
            </w:r>
            <w:r>
              <w:rPr>
                <w:rFonts w:hint="eastAsia" w:ascii="方正仿宋_GBK" w:hAnsi="方正仿宋_GBK" w:eastAsia="方正仿宋_GBK" w:cs="方正仿宋_GBK"/>
                <w:color w:val="000000"/>
                <w:sz w:val="28"/>
                <w:szCs w:val="28"/>
                <w:lang w:val="en-US" w:eastAsia="zh-CN" w:bidi="ar-SA"/>
              </w:rPr>
            </w:r>
            <w:r/>
          </w:p>
        </w:tc>
        <w:tc>
          <w:tcPr>
            <w:tcW w:w="3233" w:type="dxa"/>
            <w:vAlign w:val="top"/>
            <w:textDirection w:val="lrTb"/>
            <w:noWrap w:val="false"/>
          </w:tcPr>
          <w:p>
            <w:pPr>
              <w:pStyle w:val="696"/>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最高限价</w:t>
            </w:r>
            <w:r>
              <w:rPr>
                <w:rFonts w:hint="eastAsia" w:ascii="方正仿宋_GBK" w:hAnsi="方正仿宋_GBK" w:eastAsia="方正仿宋_GBK" w:cs="方正仿宋_GBK"/>
                <w:color w:val="000000"/>
                <w:sz w:val="28"/>
                <w:szCs w:val="28"/>
                <w:lang w:val="en-US" w:eastAsia="zh-CN" w:bidi="ar-SA"/>
              </w:rPr>
            </w:r>
            <w:r/>
          </w:p>
          <w:p>
            <w:pPr>
              <w:pStyle w:val="696"/>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（人民币：万元）</w:t>
            </w:r>
            <w:r>
              <w:rPr>
                <w:rFonts w:hint="eastAsia" w:ascii="方正仿宋_GBK" w:hAnsi="方正仿宋_GBK" w:eastAsia="方正仿宋_GBK" w:cs="方正仿宋_GBK"/>
                <w:color w:val="000000"/>
                <w:sz w:val="28"/>
                <w:szCs w:val="28"/>
                <w:lang w:val="en-US" w:eastAsia="zh-CN" w:bidi="ar-SA"/>
              </w:rPr>
            </w:r>
            <w:r/>
          </w:p>
        </w:tc>
      </w:tr>
      <w:tr>
        <w:trPr/>
        <w:tc>
          <w:tcPr>
            <w:tcW w:w="1148" w:type="dxa"/>
            <w:vAlign w:val="top"/>
            <w:textDirection w:val="lrTb"/>
            <w:noWrap w:val="false"/>
          </w:tcPr>
          <w:p>
            <w:pPr>
              <w:pStyle w:val="696"/>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w:t>
            </w:r>
            <w:r>
              <w:rPr>
                <w:rFonts w:hint="eastAsia" w:ascii="方正仿宋_GBK" w:hAnsi="方正仿宋_GBK" w:eastAsia="方正仿宋_GBK" w:cs="方正仿宋_GBK"/>
                <w:color w:val="000000"/>
                <w:sz w:val="28"/>
                <w:szCs w:val="28"/>
                <w:lang w:val="en-US" w:eastAsia="zh-CN" w:bidi="ar-SA"/>
              </w:rPr>
            </w:r>
            <w:r/>
          </w:p>
        </w:tc>
        <w:tc>
          <w:tcPr>
            <w:tcW w:w="3233" w:type="dxa"/>
            <w:vAlign w:val="top"/>
            <w:textDirection w:val="lrTb"/>
            <w:noWrap w:val="false"/>
          </w:tcPr>
          <w:p>
            <w:pPr>
              <w:pStyle w:val="696"/>
              <w:jc w:val="center"/>
              <w:pageBreakBefore w:val="0"/>
              <w:spacing w:line="400" w:lineRule="exact"/>
              <w:widowControl w:val="off"/>
              <w:rPr>
                <w:rFonts w:ascii="方正仿宋_GBK" w:hAnsi="方正仿宋_GBK" w:eastAsia="方正仿宋_GBK" w:cs="方正仿宋_GBK"/>
                <w:color w:val="000000"/>
                <w:sz w:val="28"/>
                <w:szCs w:val="28"/>
                <w:lang w:val="en-US" w:eastAsia="zh-CN" w:bidi="ar-SA"/>
              </w:rPr>
            </w:pPr>
            <w:r>
              <w:rPr>
                <w:rFonts w:hint="eastAsia" w:ascii="Times New Roman" w:hAnsi="Times New Roman" w:eastAsia="方正黑体_GBK" w:cs="Times New Roman"/>
                <w:b w:val="0"/>
                <w:bCs w:val="0"/>
                <w:sz w:val="28"/>
                <w:szCs w:val="28"/>
                <w:lang w:val="en-US" w:eastAsia="zh-CN" w:bidi="ar-SA"/>
              </w:rPr>
              <w:t xml:space="preserve">30</w:t>
            </w:r>
            <w:r>
              <w:rPr>
                <w:rFonts w:ascii="方正仿宋_GBK" w:hAnsi="方正仿宋_GBK" w:eastAsia="方正仿宋_GBK" w:cs="方正仿宋_GBK"/>
                <w:color w:val="000000"/>
                <w:sz w:val="28"/>
                <w:szCs w:val="28"/>
                <w:lang w:val="en-US" w:eastAsia="zh-CN" w:bidi="ar-SA"/>
              </w:rPr>
            </w:r>
            <w:r/>
          </w:p>
        </w:tc>
      </w:tr>
    </w:tbl>
    <w:p>
      <w:pPr>
        <w:pStyle w:val="696"/>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w:t>
      </w:r>
      <w:r>
        <w:rPr>
          <w:rFonts w:hint="eastAsia" w:ascii="方正仿宋_GBK" w:hAnsi="方正仿宋_GBK" w:eastAsia="方正仿宋_GBK" w:cs="方正仿宋_GBK"/>
          <w:sz w:val="28"/>
          <w:szCs w:val="28"/>
          <w:lang w:eastAsia="zh-CN"/>
        </w:rPr>
        <w:t xml:space="preserve">大型仪器智慧管理与共享平台已完成基础平台搭建，实现了仪器信息管理、预约共享、信用评价等核心功能。本次升级在大型仪器智慧管理与共享服务平台一期建设成果基础上进行软件功能升级与扩展，并新增终端硬件覆盖，重点扩大仪器设备的接入范围与管理深度，提升共享服务的便利性和管理精细化水平，满足实验室对仪器设备管理的实时性、连续性及未来业务扩展需求。系统部署需兼容现有的平台系统，适配原有技术架构、部署环境及相关接口体系，确保无缝对接、协同工作和业务连续。</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方正仿宋_GBK" w:hAnsi="方正仿宋_GBK" w:eastAsia="方正仿宋_GBK" w:cs="方正仿宋_GBK"/>
          <w:sz w:val="28"/>
          <w:szCs w:val="28"/>
          <w:lang w:eastAsia="zh-CN"/>
        </w:rPr>
        <w:t xml:space="preserve">合同签订之日起</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个月内完成系统开发、部署安装、调试等工作。</w:t>
      </w:r>
      <w:r>
        <w:rPr>
          <w:rFonts w:hint="eastAsia" w:ascii="方正仿宋_GBK" w:hAnsi="方正仿宋_GBK" w:eastAsia="方正仿宋_GBK" w:cs="方正仿宋_GBK"/>
          <w:sz w:val="28"/>
          <w:szCs w:val="28"/>
          <w:lang w:eastAsia="zh-CN"/>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28359080"/>
      <w:r/>
      <w:bookmarkStart w:id="13" w:name="_Toc35393791"/>
      <w:r/>
      <w:bookmarkStart w:id="14" w:name="_Toc35393622"/>
      <w:r/>
      <w:bookmarkStart w:id="15" w:name="_Toc38985264"/>
      <w:r/>
      <w:bookmarkStart w:id="16" w:name="_Toc28359003"/>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792"/>
      <w:r/>
      <w:bookmarkStart w:id="18" w:name="_Toc35393623"/>
      <w:r/>
      <w:bookmarkStart w:id="19" w:name="_Toc28359004"/>
      <w:r/>
      <w:bookmarkStart w:id="20" w:name="_Toc28359081"/>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96"/>
        <w:ind w:left="559" w:firstLine="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采购包号</w:t>
            </w:r>
            <w:r>
              <w:rPr>
                <w:rFonts w:hint="eastAsia" w:ascii="方正仿宋_GBK" w:hAnsi="方正仿宋_GBK" w:eastAsia="方正仿宋_GBK" w:cs="方正仿宋_GBK"/>
                <w:sz w:val="28"/>
                <w:szCs w:val="28"/>
                <w:lang w:val="en-US" w:eastAsia="zh-CN" w:bidi="ar-SA"/>
              </w:rPr>
            </w:r>
            <w:r/>
          </w:p>
        </w:tc>
        <w:tc>
          <w:tcPr>
            <w:tcW w:w="157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是否接受联合体参与磋商</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（是/否）</w:t>
            </w:r>
            <w:r>
              <w:rPr>
                <w:rFonts w:hint="eastAsia" w:ascii="方正仿宋_GBK" w:hAnsi="方正仿宋_GBK" w:eastAsia="方正仿宋_GBK" w:cs="方正仿宋_GBK"/>
                <w:sz w:val="28"/>
                <w:szCs w:val="28"/>
                <w:lang w:val="en-US" w:eastAsia="zh-CN" w:bidi="ar-SA"/>
              </w:rPr>
            </w:r>
            <w:r/>
          </w:p>
        </w:tc>
        <w:tc>
          <w:tcPr>
            <w:tcW w:w="213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该采购包中联合体成员</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数量上限</w:t>
            </w:r>
            <w:r>
              <w:rPr>
                <w:rFonts w:hint="eastAsia" w:ascii="方正仿宋_GBK" w:hAnsi="方正仿宋_GBK" w:eastAsia="方正仿宋_GBK" w:cs="方正仿宋_GBK"/>
                <w:sz w:val="28"/>
                <w:szCs w:val="28"/>
                <w:lang w:val="en-US" w:eastAsia="zh-CN" w:bidi="ar-SA"/>
              </w:rPr>
            </w:r>
            <w:r/>
          </w:p>
        </w:tc>
      </w:tr>
      <w:tr>
        <w:trPr/>
        <w:tc>
          <w:tcPr>
            <w:tcW w:w="80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157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否</w:t>
            </w:r>
            <w:r>
              <w:rPr>
                <w:rFonts w:hint="eastAsia" w:ascii="方正仿宋_GBK" w:hAnsi="方正仿宋_GBK" w:eastAsia="方正仿宋_GBK" w:cs="方正仿宋_GBK"/>
                <w:sz w:val="28"/>
                <w:szCs w:val="28"/>
                <w:lang w:val="en-US" w:eastAsia="zh-CN" w:bidi="ar-SA"/>
              </w:rPr>
            </w:r>
            <w:r/>
          </w:p>
        </w:tc>
        <w:tc>
          <w:tcPr>
            <w:tcW w:w="213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tc>
      </w:tr>
    </w:tbl>
    <w:p>
      <w:pPr>
        <w:pStyle w:val="696"/>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采购包号</w:t>
            </w:r>
            <w:r>
              <w:rPr>
                <w:rFonts w:hint="eastAsia" w:ascii="方正仿宋_GBK" w:hAnsi="方正仿宋_GBK" w:eastAsia="方正仿宋_GBK" w:cs="方正仿宋_GBK"/>
                <w:sz w:val="28"/>
                <w:szCs w:val="28"/>
                <w:lang w:val="en-US" w:eastAsia="zh-CN" w:bidi="ar-SA"/>
              </w:rPr>
            </w:r>
            <w:r/>
          </w:p>
        </w:tc>
        <w:tc>
          <w:tcPr>
            <w:tcW w:w="37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特定资格要求</w:t>
            </w:r>
            <w:r>
              <w:rPr>
                <w:rFonts w:hint="eastAsia" w:ascii="方正仿宋_GBK" w:hAnsi="方正仿宋_GBK" w:eastAsia="方正仿宋_GBK" w:cs="方正仿宋_GBK"/>
                <w:sz w:val="28"/>
                <w:szCs w:val="28"/>
                <w:lang w:val="en-US" w:eastAsia="zh-CN" w:bidi="ar-SA"/>
              </w:rPr>
            </w:r>
            <w:r/>
          </w:p>
        </w:tc>
      </w:tr>
      <w:tr>
        <w:trPr/>
        <w:tc>
          <w:tcPr>
            <w:tcW w:w="8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37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tc>
      </w:tr>
    </w:tbl>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bookmarkEnd w:id="17"/>
      <w:r/>
      <w:bookmarkEnd w:id="18"/>
      <w:r/>
      <w:bookmarkEnd w:id="19"/>
      <w:r/>
      <w:bookmarkEnd w:id="20"/>
      <w:r/>
      <w:bookmarkEnd w:id="21"/>
      <w:r>
        <w:rPr>
          <w:rFonts w:hint="eastAsia" w:ascii="方正仿宋_GBK" w:hAnsi="方正仿宋_GBK" w:eastAsia="方正仿宋_GBK" w:cs="方正仿宋_GBK"/>
          <w:sz w:val="28"/>
          <w:szCs w:val="28"/>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2" w:name="_Toc28359082"/>
      <w:r/>
      <w:bookmarkStart w:id="23" w:name="_Toc28359005"/>
      <w:r/>
      <w:bookmarkStart w:id="24" w:name="_Toc38985266"/>
      <w:r/>
      <w:bookmarkStart w:id="25" w:name="_Toc35393793"/>
      <w:r/>
      <w:bookmarkStart w:id="26" w:name="_Toc35393624"/>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color w:val="ff0000"/>
          <w:sz w:val="28"/>
          <w:szCs w:val="28"/>
        </w:rPr>
      </w:pPr>
      <w:r>
        <w:rPr>
          <w:rFonts w:hint="eastAsia" w:ascii="方正仿宋_GBK" w:hAnsi="方正仿宋_GBK" w:eastAsia="方正仿宋_GBK" w:cs="方正仿宋_GBK"/>
          <w:bCs/>
          <w:color w:val="000000"/>
          <w:sz w:val="28"/>
          <w:szCs w:val="28"/>
          <w:u w:val="none"/>
        </w:rPr>
        <w:t xml:space="preserve">1.</w:t>
      </w:r>
      <w:r>
        <w:rPr>
          <w:rFonts w:hint="eastAsia" w:ascii="Times New Roman" w:hAnsi="Times New Roman" w:eastAsia="方正黑体_GBK" w:cs="Times New Roman"/>
          <w:b w:val="0"/>
          <w:bCs w:val="0"/>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黑体_GBK" w:cs="Times New Roman"/>
          <w:b w:val="0"/>
          <w:bCs w:val="0"/>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方正仿宋_GBK" w:hAnsi="方正仿宋_GBK" w:eastAsia="方正仿宋_GBK" w:cs="方正仿宋_GBK"/>
          <w:bCs/>
          <w:color w:val="000000"/>
          <w:sz w:val="28"/>
          <w:szCs w:val="28"/>
          <w:u w:val="none"/>
        </w:rPr>
        <w:t xml:space="preserve">11日</w:t>
      </w:r>
      <w:r>
        <w:rPr>
          <w:rFonts w:hint="eastAsia" w:ascii="Times New Roman" w:hAnsi="Times New Roman" w:eastAsia="方正黑体_GBK" w:cs="Times New Roman"/>
          <w:b w:val="0"/>
          <w:bCs w:val="0"/>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lang w:val="en-US" w:eastAsia="zh-CN"/>
        </w:rPr>
        <w:t xml:space="preserve">时30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ff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07"/>
      <w:r/>
      <w:bookmarkStart w:id="28" w:name="_Toc35393625"/>
      <w:r/>
      <w:bookmarkStart w:id="29" w:name="_Toc35393794"/>
      <w:r/>
      <w:bookmarkStart w:id="30" w:name="_Toc38985267"/>
      <w:r/>
      <w:bookmarkStart w:id="31" w:name="_Toc2835908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626"/>
      <w:r/>
      <w:bookmarkStart w:id="33" w:name="_Toc35393795"/>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35393796"/>
      <w:r/>
      <w:bookmarkStart w:id="36" w:name="_Toc38985269"/>
      <w:r/>
      <w:bookmarkStart w:id="37" w:name="_Toc28359085"/>
      <w:r/>
      <w:bookmarkStart w:id="38" w:name="_Toc35393627"/>
      <w:r/>
      <w:bookmarkStart w:id="39" w:name="_Toc28359008"/>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696"/>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江苏省产品质量监督检验研究院</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　南京市秦淮区光华东街5号　</w:t>
      </w:r>
      <w:r>
        <w:rPr>
          <w:rFonts w:hint="eastAsia" w:ascii="方正仿宋_GBK" w:hAnsi="方正仿宋_GBK" w:eastAsia="方正仿宋_GBK" w:cs="方正仿宋_GBK"/>
          <w:sz w:val="28"/>
          <w:szCs w:val="28"/>
          <w:u w:val="single"/>
        </w:rPr>
      </w:r>
      <w:r/>
    </w:p>
    <w:p>
      <w:pPr>
        <w:pStyle w:val="696"/>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eastAsia="zh-CN"/>
        </w:rPr>
        <w:t xml:space="preserve">黄筱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025-84470230　</w:t>
      </w:r>
      <w:bookmarkStart w:id="42" w:name="_Toc28359009"/>
      <w:r/>
      <w:bookmarkStart w:id="43" w:name="_Toc28359086"/>
      <w:r>
        <w:rPr>
          <w:rFonts w:hint="eastAsia" w:ascii="方正仿宋_GBK" w:hAnsi="方正仿宋_GBK" w:eastAsia="方正仿宋_GBK" w:cs="方正仿宋_GBK"/>
          <w:sz w:val="28"/>
          <w:szCs w:val="28"/>
          <w:u w:val="single"/>
        </w:rPr>
      </w:r>
      <w:r/>
    </w:p>
    <w:p>
      <w:pPr>
        <w:pStyle w:val="696"/>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南京市汉中门大街145号</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蔡</w:t>
      </w:r>
      <w:r>
        <w:rPr>
          <w:rFonts w:hint="eastAsia" w:ascii="方正仿宋_GBK" w:hAnsi="方正仿宋_GBK" w:eastAsia="方正仿宋_GBK" w:cs="方正仿宋_GBK"/>
          <w:sz w:val="28"/>
          <w:szCs w:val="28"/>
          <w:u w:val="single"/>
          <w:lang w:eastAsia="zh-CN"/>
        </w:rPr>
        <w:t xml:space="preserve">昊</w:t>
      </w:r>
      <w:r>
        <w:rPr>
          <w:rFonts w:hint="eastAsia" w:ascii="方正仿宋_GBK" w:hAnsi="方正仿宋_GBK" w:eastAsia="方正仿宋_GBK" w:cs="方正仿宋_GBK"/>
          <w:sz w:val="28"/>
          <w:szCs w:val="28"/>
          <w:u w:val="single"/>
        </w:rPr>
        <w:t xml:space="preserve">、徐</w:t>
      </w:r>
      <w:r>
        <w:rPr>
          <w:rFonts w:hint="eastAsia" w:ascii="方正仿宋_GBK" w:hAnsi="方正仿宋_GBK" w:eastAsia="方正仿宋_GBK" w:cs="方正仿宋_GBK"/>
          <w:sz w:val="28"/>
          <w:szCs w:val="28"/>
          <w:u w:val="single"/>
          <w:lang w:eastAsia="zh-CN"/>
        </w:rPr>
        <w:t xml:space="preserve">晨义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ind w:firstLine="560"/>
        <w:keepLines w:val="0"/>
        <w:keepNext w:val="0"/>
        <w:pageBreakBefore w:val="0"/>
        <w:spacing w:line="40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025-83668561/025-83668521</w:t>
      </w:r>
      <w:bookmarkEnd w:id="40"/>
      <w:r/>
      <w:bookmarkEnd w:id="41"/>
      <w:r>
        <w:rPr>
          <w:rFonts w:hint="eastAsia" w:ascii="方正仿宋_GBK" w:hAnsi="方正仿宋_GBK" w:eastAsia="方正仿宋_GBK" w:cs="方正仿宋_GBK"/>
          <w:sz w:val="28"/>
          <w:szCs w:val="28"/>
          <w:highlight w:val="none"/>
          <w:shd w:val="clear" w:color="ffffff" w:fill="d9d9d9"/>
        </w:rPr>
      </w:r>
      <w:r/>
    </w:p>
    <w:p>
      <w:pPr>
        <w:pStyle w:val="6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bookmarkEnd w:id="1"/>
      <w:r/>
      <w:bookmarkEnd w:id="2"/>
      <w:r/>
      <w:bookmarkEnd w:id="3"/>
      <w:r/>
      <w:bookmarkEnd w:id="4"/>
      <w:r/>
      <w:bookmarkEnd w:id="5"/>
      <w:r>
        <w:rPr>
          <w:rFonts w:hint="eastAsia" w:ascii="方正仿宋_GBK" w:hAnsi="方正仿宋_GBK" w:eastAsia="方正仿宋_GBK" w:cs="方正仿宋_GBK"/>
          <w:sz w:val="28"/>
          <w:szCs w:val="28"/>
        </w:rPr>
      </w:r>
      <w:r/>
    </w:p>
    <w:p>
      <w:pPr>
        <w:pStyle w:val="696"/>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4" w:name="_Toc120614211"/>
      <w:r/>
      <w:bookmarkStart w:id="45" w:name="_Toc20823275"/>
      <w:r/>
      <w:bookmarkStart w:id="46" w:name="_Toc513029203"/>
      <w:r/>
      <w:bookmarkStart w:id="47" w:name="_Toc16938519"/>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bookmarkEnd w:id="45"/>
      <w:r/>
      <w:bookmarkEnd w:id="46"/>
      <w:r/>
      <w:bookmarkEnd w:id="47"/>
      <w:r/>
      <w:bookmarkEnd w:id="48"/>
      <w:r>
        <w:rPr>
          <w:rFonts w:hint="eastAsia" w:ascii="方正黑体_GBK" w:hAnsi="方正黑体_GBK" w:eastAsia="方正黑体_GBK" w:cs="方正黑体_GBK"/>
          <w:b w:val="0"/>
          <w:bCs w:val="0"/>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9" w:name="_Toc513029209"/>
      <w:r/>
      <w:bookmarkStart w:id="50" w:name="_Toc20823281"/>
      <w:r/>
      <w:bookmarkStart w:id="51" w:name="_Toc16938525"/>
      <w:r/>
      <w:bookmarkStart w:id="52" w:name="_Toc120614215"/>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513029206"/>
      <w:r/>
      <w:bookmarkStart w:id="62" w:name="_Toc20823278"/>
      <w:r/>
      <w:bookmarkStart w:id="63" w:name="_Toc16938522"/>
      <w:r/>
      <w:bookmarkStart w:id="64" w:name="_Toc462564067"/>
      <w:r/>
      <w:bookmarkStart w:id="65" w:name="_Toc513029207"/>
      <w:r/>
      <w:bookmarkStart w:id="66" w:name="_Toc16938523"/>
      <w:r/>
      <w:bookmarkStart w:id="67" w:name="_Toc20823279"/>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bookmarkEnd w:id="49"/>
      <w:r/>
      <w:bookmarkEnd w:id="50"/>
      <w:r/>
      <w:bookmarkEnd w:id="51"/>
      <w:r/>
      <w:bookmarkEnd w:id="52"/>
      <w:r>
        <w:rPr>
          <w:rFonts w:hint="eastAsia" w:ascii="方正仿宋_GBK" w:hAnsi="方正仿宋_GBK" w:eastAsia="方正仿宋_GBK" w:cs="方正仿宋_GBK"/>
          <w:bCs/>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68" w:name="_Toc462564072"/>
      <w:r/>
      <w:bookmarkStart w:id="69" w:name="_Toc120614216"/>
      <w:r/>
      <w:bookmarkStart w:id="70" w:name="_Toc16938529"/>
      <w:r/>
      <w:bookmarkStart w:id="71" w:name="_Toc20823285"/>
      <w:r/>
      <w:bookmarkStart w:id="72"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513029212"/>
      <w:r/>
      <w:bookmarkStart w:id="78" w:name="_Toc20823284"/>
      <w:r/>
      <w:bookmarkStart w:id="79"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bookmarkEnd w:id="68"/>
      <w:r/>
      <w:bookmarkEnd w:id="69"/>
      <w:r/>
      <w:bookmarkEnd w:id="70"/>
      <w:r/>
      <w:bookmarkEnd w:id="71"/>
      <w:r/>
      <w:bookmarkEnd w:id="72"/>
      <w:r>
        <w:rPr>
          <w:rFonts w:hint="eastAsia" w:ascii="方正仿宋_GBK" w:hAnsi="方正仿宋_GBK" w:eastAsia="方正仿宋_GBK" w:cs="方正仿宋_GBK"/>
          <w:bCs/>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80" w:name="_Hlt26954852"/>
      <w:r/>
      <w:bookmarkEnd w:id="80"/>
      <w:r/>
      <w:bookmarkStart w:id="81" w:name="_Hlt26954739"/>
      <w:r/>
      <w:bookmarkEnd w:id="81"/>
      <w:r/>
      <w:bookmarkStart w:id="82" w:name="_Toc16938530"/>
      <w:r/>
      <w:bookmarkStart w:id="83" w:name="_Toc462564073"/>
      <w:r/>
      <w:bookmarkStart w:id="84" w:name="_Toc20823286"/>
      <w:r/>
      <w:bookmarkStart w:id="85" w:name="_Toc513029214"/>
      <w:r/>
      <w:bookmarkStart w:id="86" w:name="_Toc120614217"/>
      <w:r/>
      <w:bookmarkStart w:id="87" w:name="_Toc20823296"/>
      <w:r/>
      <w:bookmarkStart w:id="88" w:name="_Toc16938540"/>
      <w:r/>
      <w:bookmarkStart w:id="89" w:name="_Toc51302922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513029215"/>
      <w:r/>
      <w:bookmarkStart w:id="92" w:name="_Toc462564074"/>
      <w:r/>
      <w:bookmarkStart w:id="93"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14577354"/>
      <w:r/>
      <w:bookmarkStart w:id="95" w:name="_Toc513029216"/>
      <w:r/>
      <w:bookmarkStart w:id="96" w:name="_Toc49090507"/>
      <w:r/>
      <w:bookmarkStart w:id="97" w:name="_Toc513029219"/>
      <w:r/>
      <w:bookmarkStart w:id="98" w:name="_Toc49090509"/>
      <w:r/>
      <w:bookmarkStart w:id="99" w:name="_Toc49090508"/>
      <w:r/>
      <w:bookmarkStart w:id="100" w:name="_Toc14577355"/>
      <w:r/>
      <w:bookmarkStart w:id="101" w:name="_Hlt26954838"/>
      <w:r/>
      <w:bookmarkEnd w:id="101"/>
      <w:r/>
      <w:bookmarkStart w:id="102" w:name="_Hlt26670360"/>
      <w:r/>
      <w:bookmarkEnd w:id="102"/>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96"/>
      <w:r/>
      <w:bookmarkEnd w:id="97"/>
      <w:r/>
      <w:bookmarkEnd w:id="98"/>
      <w:r/>
      <w:bookmarkEnd w:id="104"/>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99"/>
      <w:r/>
      <w:bookmarkEnd w:id="100"/>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6"/>
      <w:r/>
      <w:bookmarkEnd w:id="105"/>
      <w:r/>
      <w:bookmarkStart w:id="106" w:name="_Hlt26954846"/>
      <w:r/>
      <w:bookmarkEnd w:id="106"/>
      <w:r/>
      <w:bookmarkStart w:id="107" w:name="_Hlt26954848"/>
      <w:r/>
      <w:bookmarkEnd w:id="107"/>
      <w:r/>
      <w:bookmarkStart w:id="108" w:name="_Hlt26954731"/>
      <w:r/>
      <w:bookmarkEnd w:id="108"/>
      <w:r/>
      <w:bookmarkStart w:id="109" w:name="_Hlt26670482"/>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bookmarkEnd w:id="110"/>
      <w:r/>
      <w:bookmarkEnd w:id="111"/>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bookmarkEnd w:id="86"/>
      <w:r/>
      <w:bookmarkEnd w:id="87"/>
      <w:r/>
      <w:bookmarkEnd w:id="88"/>
      <w:r/>
      <w:bookmarkEnd w:id="89"/>
      <w:r>
        <w:rPr>
          <w:rFonts w:hint="eastAsia" w:ascii="方正仿宋_GBK" w:hAnsi="方正仿宋_GBK" w:eastAsia="方正仿宋_GBK" w:cs="方正仿宋_GBK"/>
          <w:bCs/>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14" w:name="_Toc513029229"/>
      <w:r/>
      <w:bookmarkStart w:id="115" w:name="_Toc120614218"/>
      <w:r/>
      <w:bookmarkStart w:id="116" w:name="_Toc16938545"/>
      <w:r/>
      <w:bookmarkStart w:id="117" w:name="_Toc20823301"/>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513029225"/>
      <w:r/>
      <w:bookmarkStart w:id="121"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20823302"/>
      <w:r/>
      <w:bookmarkStart w:id="132" w:name="_Toc16938546"/>
      <w:r/>
      <w:bookmarkStart w:id="133" w:name="_Toc513029230"/>
      <w:r/>
      <w:bookmarkStart w:id="134" w:name="_Toc20823304"/>
      <w:r/>
      <w:bookmarkStart w:id="135" w:name="_Toc16938548"/>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bookmarkEnd w:id="137"/>
      <w:r/>
      <w:bookmarkEnd w:id="138"/>
      <w:r/>
      <w:bookmarkEnd w:id="139"/>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bookmarkEnd w:id="134"/>
      <w:r/>
      <w:bookmarkEnd w:id="135"/>
      <w:r/>
      <w:bookmarkEnd w:id="136"/>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513029233"/>
      <w:r/>
      <w:bookmarkStart w:id="141" w:name="_Toc20823305"/>
      <w:r/>
      <w:bookmarkStart w:id="142"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96"/>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val="en-US" w:eastAsia="zh-CN"/>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513029234"/>
      <w:r/>
      <w:bookmarkStart w:id="144" w:name="_Toc16938550"/>
      <w:r/>
      <w:bookmarkStart w:id="145"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96"/>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6938551"/>
      <w:r/>
      <w:bookmarkStart w:id="147" w:name="_Toc20823307"/>
      <w:r/>
      <w:bookmarkStart w:id="148" w:name="_Toc120614219"/>
      <w:r/>
      <w:bookmarkStart w:id="149" w:name="_Toc513029235"/>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6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96"/>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96"/>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20823308"/>
      <w:r/>
      <w:bookmarkStart w:id="157"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bookmarkEnd w:id="154"/>
      <w:r/>
      <w:bookmarkEnd w:id="155"/>
      <w:r/>
      <w:bookmarkEnd w:id="156"/>
      <w:r/>
      <w:bookmarkEnd w:id="157"/>
      <w:r>
        <w:rPr>
          <w:rFonts w:hint="eastAsia" w:ascii="方正仿宋_GBK" w:hAnsi="方正仿宋_GBK" w:eastAsia="方正仿宋_GBK" w:cs="方正仿宋_GBK"/>
          <w:bCs/>
          <w:sz w:val="28"/>
          <w:szCs w:val="28"/>
        </w:rPr>
      </w:r>
      <w:r/>
    </w:p>
    <w:p>
      <w:pPr>
        <w:pStyle w:val="6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58" w:name="_Toc479757207"/>
      <w:r/>
      <w:bookmarkStart w:id="159" w:name="_Toc20823314"/>
      <w:r/>
      <w:bookmarkStart w:id="160" w:name="_Toc120614221"/>
      <w:r/>
      <w:bookmarkStart w:id="161" w:name="_Toc513029242"/>
      <w:r/>
      <w:bookmarkStart w:id="162" w:name="_Toc16938558"/>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16938553"/>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3"/>
      <w:r/>
      <w:bookmarkEnd w:id="164"/>
      <w:r/>
      <w:bookmarkEnd w:id="165"/>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6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96"/>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96"/>
        <w:jc w:val="both"/>
        <w:spacing w:before="156" w:after="156"/>
        <w:rPr>
          <w:rFonts w:hint="eastAsia" w:ascii="宋体" w:hAnsi="宋体"/>
          <w:b/>
          <w:sz w:val="30"/>
          <w:szCs w:val="21"/>
        </w:rPr>
        <w:outlineLvl w:val="0"/>
      </w:pPr>
      <w:r/>
      <w:bookmarkStart w:id="166" w:name="_Toc20823315"/>
      <w:r/>
      <w:bookmarkStart w:id="167" w:name="_Toc16938559"/>
      <w:r/>
      <w:bookmarkStart w:id="168" w:name="_Toc513029243"/>
      <w:r>
        <w:rPr>
          <w:rFonts w:hint="eastAsia" w:ascii="宋体" w:hAnsi="宋体"/>
          <w:b/>
          <w:sz w:val="30"/>
          <w:szCs w:val="21"/>
        </w:rPr>
      </w:r>
      <w:r/>
    </w:p>
    <w:p>
      <w:pPr>
        <w:pStyle w:val="74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696"/>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96"/>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96"/>
        <w:ind w:firstLine="480"/>
        <w:jc w:val="right"/>
        <w:spacing w:line="500" w:lineRule="exact"/>
        <w:rPr>
          <w:rFonts w:ascii="Times New Roman" w:hAnsi="Times New Roman"/>
          <w:sz w:val="24"/>
          <w:szCs w:val="24"/>
        </w:rPr>
      </w:pPr>
      <w:r>
        <w:rPr>
          <w:rFonts w:ascii="Times New Roman" w:hAnsi="Times New Roman"/>
          <w:sz w:val="24"/>
          <w:szCs w:val="24"/>
        </w:rPr>
      </w:r>
      <w:r/>
    </w:p>
    <w:p>
      <w:pPr>
        <w:pStyle w:val="696"/>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eastAsia="宋体"/>
          <w:sz w:val="24"/>
          <w:szCs w:val="24"/>
          <w:lang w:val="en-US" w:eastAsia="zh-CN"/>
        </w:rPr>
      </w:r>
      <w:r/>
    </w:p>
    <w:p>
      <w:pPr>
        <w:pStyle w:val="696"/>
        <w:ind w:firstLine="480"/>
        <w:jc w:val="right"/>
        <w:spacing w:line="500" w:lineRule="exact"/>
        <w:rPr>
          <w:rFonts w:ascii="Times New Roman" w:hAnsi="Times New Roman"/>
          <w:sz w:val="24"/>
          <w:szCs w:val="24"/>
        </w:rPr>
      </w:pPr>
      <w:r/>
      <w:bookmarkEnd w:id="166"/>
      <w:r/>
      <w:bookmarkEnd w:id="167"/>
      <w:r/>
      <w:bookmarkEnd w:id="168"/>
      <w:r>
        <w:rPr>
          <w:rFonts w:ascii="Times New Roman" w:hAnsi="Times New Roman"/>
          <w:sz w:val="24"/>
          <w:szCs w:val="24"/>
        </w:rPr>
      </w:r>
      <w:r/>
    </w:p>
    <w:p>
      <w:pPr>
        <w:pStyle w:val="882"/>
        <w:keepLines/>
        <w:keepNext/>
        <w:pageBreakBefore w:val="0"/>
        <w:spacing w:line="400" w:lineRule="exact"/>
        <w:widowControl w:val="off"/>
        <w:rPr>
          <w:rFonts w:ascii="宋体" w:hAnsi="Courier New" w:cs="Courier New"/>
          <w:sz w:val="28"/>
          <w:szCs w:val="28"/>
        </w:rPr>
      </w:pPr>
      <w:r/>
      <w:bookmarkStart w:id="169" w:name="_Hlt16619369"/>
      <w:r/>
      <w:bookmarkEnd w:id="169"/>
      <w:r/>
      <w:bookmarkStart w:id="170" w:name="_Hlt16619350"/>
      <w:r/>
      <w:bookmarkStart w:id="171" w:name="_Toc120614244"/>
      <w:r/>
      <w:bookmarkStart w:id="172" w:name="_Toc20823346"/>
      <w:r/>
      <w:bookmarkStart w:id="173" w:name="_Toc16938590"/>
      <w:r/>
      <w:bookmarkStart w:id="174" w:name="_Toc462564139"/>
      <w:r/>
      <w:bookmarkStart w:id="175" w:name="_Toc479757211"/>
      <w:r>
        <w:rPr>
          <w:rFonts w:ascii="黑体" w:hAnsi="Courier New" w:eastAsia="黑体" w:cs="Courier New"/>
          <w:bCs w:val="0"/>
          <w:sz w:val="44"/>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包号</w:t>
            </w:r>
            <w:r>
              <w:rPr>
                <w:rFonts w:hint="eastAsia" w:ascii="方正仿宋_GBK" w:hAnsi="方正仿宋_GBK" w:eastAsia="方正仿宋_GBK" w:cs="方正仿宋_GBK"/>
                <w:sz w:val="28"/>
                <w:szCs w:val="28"/>
                <w:lang w:val="en-US" w:eastAsia="zh-CN" w:bidi="ar-SA"/>
              </w:rPr>
            </w:r>
            <w:r/>
          </w:p>
        </w:tc>
        <w:tc>
          <w:tcPr>
            <w:tcW w:w="1007"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序号</w:t>
            </w:r>
            <w:r>
              <w:rPr>
                <w:rFonts w:hint="eastAsia" w:ascii="方正仿宋_GBK" w:hAnsi="方正仿宋_GBK" w:eastAsia="方正仿宋_GBK" w:cs="方正仿宋_GBK"/>
                <w:sz w:val="28"/>
                <w:szCs w:val="28"/>
                <w:lang w:val="en-US" w:eastAsia="zh-CN" w:bidi="ar-SA"/>
              </w:rPr>
            </w:r>
            <w:r/>
          </w:p>
        </w:tc>
        <w:tc>
          <w:tcPr>
            <w:tcW w:w="27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采购标的</w:t>
            </w:r>
            <w:r>
              <w:rPr>
                <w:rFonts w:hint="eastAsia" w:ascii="方正仿宋_GBK" w:hAnsi="方正仿宋_GBK" w:eastAsia="方正仿宋_GBK" w:cs="方正仿宋_GBK"/>
                <w:sz w:val="28"/>
                <w:szCs w:val="28"/>
                <w:lang w:val="en-US" w:eastAsia="zh-CN" w:bidi="ar-SA"/>
              </w:rPr>
            </w:r>
            <w:r/>
          </w:p>
        </w:tc>
        <w:tc>
          <w:tcPr>
            <w:tcW w:w="2738"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对应中小企业划分标准所属行业</w:t>
            </w:r>
            <w:r>
              <w:rPr>
                <w:rFonts w:hint="eastAsia" w:ascii="方正仿宋_GBK" w:hAnsi="方正仿宋_GBK" w:eastAsia="方正仿宋_GBK" w:cs="方正仿宋_GBK"/>
                <w:sz w:val="28"/>
                <w:szCs w:val="28"/>
                <w:lang w:val="en-US" w:eastAsia="zh-CN" w:bidi="ar-SA"/>
              </w:rPr>
            </w:r>
            <w:r/>
          </w:p>
        </w:tc>
      </w:tr>
      <w:tr>
        <w:trPr>
          <w:cantSplit/>
          <w:trHeight w:val="291"/>
        </w:trPr>
        <w:tc>
          <w:tcPr>
            <w:tcW w:w="1249"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Times New Roman" w:hAnsi="Times New Roman" w:eastAsia="方正仿宋_GBK" w:cs="Times New Roman"/>
                <w:sz w:val="28"/>
                <w:szCs w:val="28"/>
                <w:u w:val="none"/>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1007"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2764" w:type="dxa"/>
            <w:vAlign w:val="top"/>
            <w:textDirection w:val="lrTb"/>
            <w:noWrap w:val="false"/>
          </w:tcPr>
          <w:p>
            <w:pPr>
              <w:pStyle w:val="696"/>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基于K5平台的大型仪器智慧管理与共享服务平台二期升级</w:t>
            </w:r>
            <w:r>
              <w:rPr>
                <w:rFonts w:hint="eastAsia" w:ascii="方正仿宋_GBK" w:hAnsi="方正仿宋_GBK" w:eastAsia="方正仿宋_GBK" w:cs="方正仿宋_GBK"/>
                <w:sz w:val="28"/>
                <w:szCs w:val="28"/>
                <w:lang w:val="en-US" w:eastAsia="zh-CN" w:bidi="ar-SA"/>
              </w:rPr>
              <w:tab/>
            </w:r>
            <w:r>
              <w:rPr>
                <w:rFonts w:hint="eastAsia" w:ascii="方正仿宋_GBK" w:hAnsi="方正仿宋_GBK" w:eastAsia="方正仿宋_GBK" w:cs="方正仿宋_GBK"/>
                <w:sz w:val="28"/>
                <w:szCs w:val="28"/>
                <w:lang w:val="en-US" w:eastAsia="zh-CN" w:bidi="ar-SA"/>
              </w:rPr>
            </w:r>
            <w:r/>
          </w:p>
        </w:tc>
        <w:tc>
          <w:tcPr>
            <w:tcW w:w="2738"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软件和信息技术服务业</w:t>
            </w:r>
            <w:r>
              <w:rPr>
                <w:rFonts w:hint="eastAsia" w:ascii="方正仿宋_GBK" w:hAnsi="方正仿宋_GBK" w:eastAsia="方正仿宋_GBK" w:cs="方正仿宋_GBK"/>
                <w:sz w:val="28"/>
                <w:szCs w:val="28"/>
                <w:lang w:val="en-US" w:eastAsia="zh-CN" w:bidi="ar-SA"/>
              </w:rPr>
            </w:r>
            <w:r/>
          </w:p>
        </w:tc>
      </w:tr>
    </w:tbl>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3.1 项目概况</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大型仪器智慧管理与共享平台已完成基础平台搭建，实现了仪器信息管理、预约共享、信用评价等核心功能。本次升级在大型仪器智慧管理与共享服务平台一期建设成果基础上进行软件功能升级与扩展，并新增终端硬件覆盖，重点扩大仪器设备的接入范围与管理深度，提升共享服务的便利性和管理精细化水平，满足实验室对仪器设备管理的实时性、连续性及未来业务扩展需求。系统部署需兼容现有的平台系统，适配原有技术架构、部署环境及相关接口体系，确保无缝对接、协同工作和业务连续。</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现有平台基于南京凯佩 K5 Dev Platform微服务开发平台构建，后端采用.NET Framework，前后端分离的RESTful微服务架构，使用Linux平台部署，数据库兼容MySQL/OceanBase等；接口支持XML/JSON/JSONP/SOAP等多种协议，内置Javascript与Razor引擎，可灵活扩展。原开发商承诺免费向本次升级提供全部接口支持，不收取任何对接费用。</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3.2 总体架构和建设需求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3.2.1 升级后的系统架构</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期升级以软件功能优化与扩展为核心，同步推进终端硬件覆盖，硬件设备覆盖范围扩展至全院各实验楼宇，并涵盖异地分支机构（包括苏州、宜兴等），重点针对原值50万元以上的仪器设备实现终端节点接入与数据采集。</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升级建设应适配原有系统架构、部署方式、数据库环境、接口标准及消息机制，确保现有系统平滑升级。</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3.2.2 系统功能升级方案</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系统功能升级方案涵盖前台服务层和后台管理层两大方向。</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前台服务层重点优化用户访问体验，包括网站性能升级、后台个性化展示配置、仪器信息卡片化展示、移动端扫一扫快捷操作等。</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后台管理层重点强化业务管理能力，包括仪器管理批量导入、预约多维度筛选与批量审批、使用记录批量导入与导出、年度使用时长目标管理、信用评价自定义等级与行为规则、消息通知渠道扩展、仪器维修维护全流程管理、仪器报废全生命周期管理、插座绑定与功率实时监测、统计汇总与可视化分析等。</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升级过程中应集成兼容原系统既有功能、历史数据和业务流程，保证原有模块可延续使用并支持新旧功能协同运行。用户需通过与现有平台一致的统一身份认证方式登录后方可使用预约、使用登记等核心功能。</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3.2.3 功能栏目建设需求</w:t>
      </w:r>
      <w:r>
        <w:rPr>
          <w:rFonts w:hint="eastAsia" w:ascii="方正仿宋_GBK" w:hAnsi="方正仿宋_GBK" w:eastAsia="方正仿宋_GBK" w:cs="方正仿宋_GBK"/>
          <w:bCs/>
          <w:sz w:val="28"/>
          <w:szCs w:val="28"/>
          <w:lang w:val="en-US" w:eastAsia="zh-CN"/>
        </w:rPr>
      </w:r>
      <w:r/>
    </w:p>
    <w:p>
      <w:pPr>
        <w:pStyle w:val="746"/>
        <w:rPr>
          <w:rFonts w:hint="eastAsia"/>
          <w:lang w:val="en-US" w:eastAsia="zh-CN"/>
        </w:rPr>
      </w:pPr>
      <w:r>
        <w:rPr>
          <w:rFonts w:hint="eastAsia"/>
          <w:lang w:val="en-US" w:eastAsia="zh-CN"/>
        </w:rPr>
      </w:r>
      <w:r/>
    </w:p>
    <w:tbl>
      <w:tblPr>
        <w:tblStyle w:val="9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288"/>
        <w:gridCol w:w="2106"/>
        <w:gridCol w:w="4279"/>
      </w:tblGrid>
      <w:tr>
        <w:trPr>
          <w:trHeight w:val="90"/>
        </w:trPr>
        <w:tc>
          <w:tcPr>
            <w:tcW w:w="849" w:type="dxa"/>
            <w:vAlign w:val="center"/>
            <w:textDirection w:val="lrTb"/>
            <w:noWrap w:val="false"/>
          </w:tcPr>
          <w:p>
            <w:pPr>
              <w:pStyle w:val="696"/>
              <w:jc w:val="both"/>
              <w:widowControl w:val="off"/>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 xml:space="preserve">序号</w:t>
            </w:r>
            <w:r>
              <w:rPr>
                <w:rFonts w:hint="eastAsia" w:ascii="方正仿宋_GBK" w:hAnsi="方正仿宋_GBK" w:eastAsia="方正仿宋_GBK" w:cs="方正仿宋_GBK"/>
                <w:b/>
                <w:bCs/>
                <w:sz w:val="28"/>
                <w:szCs w:val="32"/>
                <w:vertAlign w:val="baseline"/>
                <w:lang w:val="en-US" w:eastAsia="zh-CN" w:bidi="ar-SA"/>
              </w:rPr>
            </w:r>
            <w:r/>
          </w:p>
        </w:tc>
        <w:tc>
          <w:tcPr>
            <w:tcW w:w="1288" w:type="dxa"/>
            <w:vAlign w:val="center"/>
            <w:textDirection w:val="lrTb"/>
            <w:noWrap w:val="false"/>
          </w:tcPr>
          <w:p>
            <w:pPr>
              <w:pStyle w:val="696"/>
              <w:jc w:val="both"/>
              <w:widowControl w:val="off"/>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 xml:space="preserve">栏目</w:t>
            </w:r>
            <w:r>
              <w:rPr>
                <w:rFonts w:hint="eastAsia" w:ascii="方正仿宋_GBK" w:hAnsi="方正仿宋_GBK" w:eastAsia="方正仿宋_GBK" w:cs="方正仿宋_GBK"/>
                <w:b/>
                <w:bCs/>
                <w:sz w:val="28"/>
                <w:szCs w:val="32"/>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 xml:space="preserve">功能模块</w:t>
            </w:r>
            <w:r>
              <w:rPr>
                <w:rFonts w:hint="eastAsia" w:ascii="方正仿宋_GBK" w:hAnsi="方正仿宋_GBK" w:eastAsia="方正仿宋_GBK" w:cs="方正仿宋_GBK"/>
                <w:b/>
                <w:bCs/>
                <w:sz w:val="28"/>
                <w:szCs w:val="32"/>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 xml:space="preserve">功能模块简要说明</w:t>
            </w:r>
            <w:r>
              <w:rPr>
                <w:rFonts w:hint="eastAsia" w:ascii="方正仿宋_GBK" w:hAnsi="方正仿宋_GBK" w:eastAsia="方正仿宋_GBK" w:cs="方正仿宋_GBK"/>
                <w:b/>
                <w:bCs/>
                <w:sz w:val="28"/>
                <w:szCs w:val="32"/>
                <w:vertAlign w:val="baseline"/>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1</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大型仪器共享服务平台升级</w:t>
            </w: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1.1后台管理</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增强网站管理能力，支持定时灰屏等个性化展示配置。</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1.2网站搭建技术升级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全面升级网站页面加载与切换性能，提升视觉呈现效果，确保系统运行稳定、响应迅速，便于后续功能扩展与维护。</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2</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管理后台现有功能模块升级</w:t>
            </w: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2.1仪器管理模块升级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增加仪器批量导入功能；优化仪器管理界面交互设计与操作流程；增强统计分析能力，支持生成仪器使用频率、故障率等多维度统计报表，并以图表形式直观展示。</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2.2仪器预约模块升级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支持按状态、时间、人员、仪器等多维度筛选与搜索预约记录，支持批量审批；新增预约记录导出报表功能，支持多条件筛选导出Excel。</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2.3仪器使用管理升级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优化使用记录管理页面交互设计与操作布局；增加使用记录批量导入功能；新增具体仪器使用记录导出功能，支持按筛选条件导出Excel；支持按仪器或仪器分类配置年度要求使用时长，系统自动统计累计使用时长并标识是否达标。</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2.4信用评价管理模块升级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新增自定义等级数量与名称功能，管理员可增加或减少信用等级并自定义等级名称、分数范围；支持自定义新增行为类型及对应分值变化，可编辑、启用或停用。</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2.5消息通知升级</w:t>
            </w:r>
            <w:r>
              <w:rPr>
                <w:rFonts w:hint="eastAsia" w:ascii="方正仿宋_GBK" w:hAnsi="方正仿宋_GBK" w:eastAsia="方正仿宋_GBK" w:cs="方正仿宋_GBK"/>
                <w:sz w:val="28"/>
                <w:szCs w:val="28"/>
                <w:vertAlign w:val="baseline"/>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新增邮箱推送功能，支持用户绑定邮箱地址，系统可将预约提醒、违约提醒、维护公告等关键通知同步发送至用户邮箱。</w:t>
            </w:r>
            <w:r>
              <w:rPr>
                <w:rFonts w:hint="eastAsia" w:ascii="方正仿宋_GBK" w:hAnsi="方正仿宋_GBK" w:eastAsia="方正仿宋_GBK" w:cs="方正仿宋_GBK"/>
                <w:sz w:val="28"/>
                <w:szCs w:val="28"/>
                <w:vertAlign w:val="baseline"/>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2.6 </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仪器设备资产全览</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vertAlign w:val="baseline"/>
                <w:lang w:val="en-US" w:eastAsia="zh-CN" w:bidi="ar-SA"/>
              </w:rPr>
              <w:t xml:space="preserve">仪器</w:t>
            </w:r>
            <w:r>
              <w:rPr>
                <w:rStyle w:val="900"/>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 xml:space="preserve">设备基础信息的集中展示、多维度筛选查询、批量导出及状态管理，实现资产全览与精细化管控</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 xml:space="preserve">（视频演示）。</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2.7</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运行数据自动采集</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Style w:val="900"/>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 xml:space="preserve">通过物联网智能插座自动采集仪器运行数据，实现使用记录的实时</w:t>
            </w:r>
            <w:r>
              <w:rPr>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 xml:space="preserve">采集</w:t>
            </w:r>
            <w:r>
              <w:rPr>
                <w:rStyle w:val="900"/>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 xml:space="preserve">、精准时长统计</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 xml:space="preserve">（视频演示）。</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2.8</w:t>
            </w:r>
            <w:r>
              <w:rPr>
                <w:rFonts w:hint="eastAsia" w:ascii="方正仿宋_GBK" w:hAnsi="方正仿宋_GBK" w:eastAsia="方正仿宋_GBK" w:cs="方正仿宋_GBK"/>
                <w:i w:val="0"/>
                <w:iCs w:val="0"/>
                <w:caps w:val="0"/>
                <w:spacing w:val="0"/>
                <w:sz w:val="28"/>
                <w:szCs w:val="28"/>
                <w:shd w:val="clear" w:color="auto" w:fill="ffffff"/>
                <w:lang w:val="en-US" w:eastAsia="zh-CN" w:bidi="ar-SA"/>
              </w:rPr>
              <w:t xml:space="preserve">系统运维</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numPr>
                <w:ilvl w:val="0"/>
                <w:numId w:val="0"/>
              </w:numPr>
              <w:ind w:left="0" w:firstLine="0"/>
              <w:jc w:val="both"/>
              <w:widowControl w:val="off"/>
              <w:tabs>
                <w:tab w:val="left" w:pos="720" w:leader="none"/>
              </w:tabs>
              <w:rPr>
                <w:rFonts w:hint="eastAsia" w:ascii="方正仿宋_GBK" w:hAnsi="方正仿宋_GBK" w:eastAsia="方正仿宋_GBK" w:cs="方正仿宋_GBK"/>
                <w:b w:val="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通过系统级后台运维配置平台，实现资源监控、权限策略及二次开发扩展的集中化管理</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 xml:space="preserve">（视频演示）。</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3</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管理后台新增功能模块</w:t>
            </w: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3.1仪器维修维护管理</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支持维修申请（PC端提交，填写故障描述、上传故障照片）、维修派工（管理员/维修工程师接收任务，记录维修过程）、维修验收（申请人验收，填写验收意见）、维修归档（管理员最终确认，支持"维修完成"归档或"维修未完成"重新处理）。</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3.2仪器报废管理</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支持报废申请（填写报废原因）、报废审批（管理员审核通过/驳回，通过后设备移入报废清单）、记录查询（已报废设备信息查询）。</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3.3插座绑定与功率监测</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支持智能插座与仪器的绑定/解绑，记录绑定关系；实时采集仪器运行功率，生成功率曲线图；自动记录仪器运行时长。</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3.4统计汇总与可视化</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设备整体概况（总数、使用中、维护中、闲置、报废数量及占比）；设备状态分布（饼图/柱状图）；维修维护统计（本月数量、完成率、平均处理时长）；使用效率分析（使用率、共享率）。</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4</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手机端应用升级</w:t>
            </w: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4.1仪器列表与详情升级</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优化仪器展示样式，采用卡片式布局，支持按状态筛选及模糊搜索；丰富仪器详情页，支持移动端查看并编辑仪器基本信息，查阅操作手册、合同发票等资料，集中查看使用记录与维修记录。</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4.2使用记录管理升级</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增强筛选与检索能力，支持按仪器名称、编号模糊搜索、按状态筛选，新增时间范围筛选；优化卡片化展示，支持记录的增、删、改、查；优化记录详情页，完整查看使用时段、使用人、过程记录及附件。</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4.3服务记录管理</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新增维修与维护的移动端申请与处理功能，具体流程与权限按照质量管理体系要求进行配置与实现。</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4.4报废记录管理</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新增报废申请与审核的移动端功能，使用人员可提交报废申请并填写原因，管理员可审核通过或驳回，通过后设备自动移入报废清单。</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4.5扫一扫快捷操作</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新增"扫一扫"功能，支持扫描仪器二维码快速跳转仪器详情页，并可一键发起维修、使用登记、报废申请等操作。</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4.6 </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移动端协同</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移动端功能配置、消息推送及跨端数据同步，体现移动办公的便捷性</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 xml:space="preserve">（视频演示）。</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4.7</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现场数据采集</w:t>
            </w:r>
            <w:r>
              <w:rPr>
                <w:rFonts w:hint="eastAsia" w:ascii="方正仿宋_GBK" w:hAnsi="方正仿宋_GBK" w:eastAsia="方正仿宋_GBK" w:cs="方正仿宋_GBK"/>
                <w:b w:val="0"/>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移动端现场数据采集、扫码识别、实时数据回传</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 xml:space="preserve">（视频演示）。</w:t>
            </w:r>
            <w:r>
              <w:rPr>
                <w:rFonts w:hint="eastAsia" w:ascii="方正仿宋_GBK" w:hAnsi="方正仿宋_GBK" w:eastAsia="方正仿宋_GBK" w:cs="方正仿宋_GBK"/>
                <w:b w:val="0"/>
                <w:sz w:val="28"/>
                <w:szCs w:val="28"/>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5</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 xml:space="preserve">仪器设备盘查与环境建档</w:t>
            </w: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5.1现场盘查</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对本院及异地院区仪器设备进行现场盘查，记录大型仪器设备的电源种类（电压、插座类型、功率需求）及网络环境（有线/无线覆盖、信号强度等）。</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5.2环境档案</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盘查结果形成设备环境档案，为硬件部署与网络优化提供依据。</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restart"/>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 xml:space="preserve">6</w:t>
            </w: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restart"/>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硬件部署</w:t>
            </w:r>
            <w:r>
              <w:rPr>
                <w:rFonts w:hint="eastAsia" w:ascii="方正仿宋_GBK" w:hAnsi="方正仿宋_GBK" w:eastAsia="方正仿宋_GBK" w:cs="方正仿宋_GBK"/>
                <w:sz w:val="28"/>
                <w:szCs w:val="28"/>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6.1物联网网关部署</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本院及异地实验室部署物联网网关。</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6.2智能监测插座安装</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安装智能监测插座接入高价值仪器（原值50万元以上）。</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6.3数据集成体系</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构建MQTT数据集成体系实现安全汇聚。</w:t>
            </w:r>
            <w:r>
              <w:rPr>
                <w:rFonts w:hint="eastAsia" w:ascii="方正仿宋_GBK" w:hAnsi="方正仿宋_GBK" w:eastAsia="方正仿宋_GBK" w:cs="方正仿宋_GBK"/>
                <w:sz w:val="28"/>
                <w:szCs w:val="28"/>
                <w:lang w:val="en-US" w:eastAsia="zh-CN" w:bidi="ar-SA"/>
              </w:rPr>
            </w:r>
            <w:r/>
          </w:p>
        </w:tc>
      </w:tr>
      <w:tr>
        <w:trPr/>
        <w:tc>
          <w:tcPr>
            <w:tcW w:w="849"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1288" w:type="dxa"/>
            <w:vAlign w:val="center"/>
            <w:vMerge w:val="continue"/>
            <w:textDirection w:val="lrTb"/>
            <w:noWrap w:val="false"/>
          </w:tcPr>
          <w:p>
            <w:pPr>
              <w:pStyle w:val="696"/>
              <w:jc w:val="both"/>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r>
            <w:r/>
          </w:p>
        </w:tc>
        <w:tc>
          <w:tcPr>
            <w:tcW w:w="2106"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6.4现场调试与监控</w:t>
            </w:r>
            <w:r>
              <w:rPr>
                <w:rFonts w:hint="eastAsia" w:ascii="方正仿宋_GBK" w:hAnsi="方正仿宋_GBK" w:eastAsia="方正仿宋_GBK" w:cs="方正仿宋_GBK"/>
                <w:sz w:val="28"/>
                <w:szCs w:val="28"/>
                <w:lang w:val="en-US" w:eastAsia="zh-CN" w:bidi="ar-SA"/>
              </w:rPr>
            </w:r>
            <w:r/>
          </w:p>
        </w:tc>
        <w:tc>
          <w:tcPr>
            <w:tcW w:w="4279" w:type="dxa"/>
            <w:vAlign w:val="center"/>
            <w:textDirection w:val="lrTb"/>
            <w:noWrap w:val="false"/>
          </w:tcPr>
          <w:p>
            <w:pPr>
              <w:pStyle w:val="696"/>
              <w:jc w:val="both"/>
              <w:spacing w:after="0" w:line="240" w:lineRule="auto"/>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同步完成现场调试与硬件监控。</w:t>
            </w:r>
            <w:r>
              <w:rPr>
                <w:rFonts w:hint="eastAsia" w:ascii="方正仿宋_GBK" w:hAnsi="方正仿宋_GBK" w:eastAsia="方正仿宋_GBK" w:cs="方正仿宋_GBK"/>
                <w:sz w:val="28"/>
                <w:szCs w:val="28"/>
                <w:lang w:val="en-US" w:eastAsia="zh-CN" w:bidi="ar-SA"/>
              </w:rPr>
            </w:r>
            <w:r/>
          </w:p>
        </w:tc>
      </w:tr>
    </w:tbl>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3.3 软硬件配置</w:t>
      </w:r>
      <w:r>
        <w:rPr>
          <w:rFonts w:hint="eastAsia" w:ascii="方正仿宋_GBK" w:hAnsi="方正仿宋_GBK" w:eastAsia="方正仿宋_GBK" w:cs="方正仿宋_GBK"/>
          <w:b/>
          <w:bCs w:val="0"/>
          <w:sz w:val="28"/>
          <w:szCs w:val="28"/>
          <w:lang w:val="en-US" w:eastAsia="zh-CN" w:bidi="ar-SA"/>
        </w:rPr>
      </w:r>
      <w:r/>
    </w:p>
    <w:tbl>
      <w:tblPr>
        <w:tblpPr w:horzAnchor="page" w:tblpX="1419" w:vertAnchor="text" w:tblpY="95" w:leftFromText="180" w:topFromText="0" w:rightFromText="180" w:bottomFromText="0"/>
        <w:tblW w:w="904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42"/>
        <w:gridCol w:w="960"/>
        <w:gridCol w:w="1143"/>
        <w:gridCol w:w="1000"/>
        <w:gridCol w:w="800"/>
        <w:gridCol w:w="1050"/>
        <w:gridCol w:w="784"/>
        <w:gridCol w:w="800"/>
        <w:gridCol w:w="1466"/>
      </w:tblGrid>
      <w:tr>
        <w:trPr>
          <w:trHeight w:val="896"/>
        </w:trPr>
        <w:tc>
          <w:tcPr>
            <w:tcMar>
              <w:left w:w="15" w:type="dxa"/>
              <w:top w:w="15" w:type="dxa"/>
              <w:right w:w="15" w:type="dxa"/>
            </w:tcMar>
            <w:tcW w:w="1042"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信息系统名称</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96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操作</w:t>
            </w:r>
            <w:r>
              <w:rPr>
                <w:rFonts w:hint="eastAsia" w:ascii="方正仿宋_GBK" w:hAnsi="方正仿宋_GBK" w:eastAsia="方正仿宋_GBK" w:cs="方正仿宋_GBK"/>
                <w:b/>
                <w:bCs w:val="0"/>
                <w:color w:val="000000"/>
                <w:sz w:val="28"/>
                <w:szCs w:val="28"/>
                <w:lang w:val="en-US" w:eastAsia="zh-CN" w:bidi="ar"/>
              </w:rPr>
            </w:r>
            <w:r/>
          </w:p>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系统（套）</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1143"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中间件（套）</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100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数据库（套）</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80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指令集（</w:t>
            </w:r>
            <w:r>
              <w:rPr>
                <w:rFonts w:hint="eastAsia" w:ascii="方正仿宋_GBK" w:hAnsi="方正仿宋_GBK" w:eastAsia="方正仿宋_GBK" w:cs="方正仿宋_GBK"/>
                <w:b/>
                <w:bCs w:val="0"/>
                <w:color w:val="000000"/>
                <w:sz w:val="28"/>
                <w:szCs w:val="28"/>
                <w:lang w:val="en-US" w:eastAsia="zh-CN" w:bidi="ar"/>
              </w:rPr>
              <w:t xml:space="preserve">C86/ARM/</w:t>
            </w:r>
            <w:r>
              <w:rPr>
                <w:rStyle w:val="991"/>
                <w:rFonts w:hint="eastAsia" w:ascii="方正仿宋_GBK" w:hAnsi="方正仿宋_GBK" w:eastAsia="方正仿宋_GBK" w:cs="方正仿宋_GBK"/>
                <w:b/>
                <w:bCs w:val="0"/>
                <w:sz w:val="28"/>
                <w:szCs w:val="28"/>
                <w:lang w:val="en-US" w:eastAsia="zh-CN" w:bidi="ar"/>
              </w:rPr>
              <w:t xml:space="preserve">其它）</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105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
              </w:rPr>
              <w:framePr w:vAnchor="text" w:hAnchor="page" w:x="1419" w:y="95"/>
            </w:pPr>
            <w:r>
              <w:rPr>
                <w:rFonts w:hint="eastAsia" w:ascii="方正仿宋_GBK" w:hAnsi="方正仿宋_GBK" w:eastAsia="方正仿宋_GBK" w:cs="方正仿宋_GBK"/>
                <w:b/>
                <w:bCs w:val="0"/>
                <w:color w:val="000000"/>
                <w:sz w:val="28"/>
                <w:szCs w:val="28"/>
                <w:lang w:val="en-US" w:eastAsia="zh-CN" w:bidi="ar"/>
              </w:rPr>
              <w:t xml:space="preserve">vCPU</w:t>
            </w:r>
            <w:r>
              <w:rPr>
                <w:rFonts w:hint="eastAsia" w:ascii="方正仿宋_GBK" w:hAnsi="方正仿宋_GBK" w:eastAsia="方正仿宋_GBK" w:cs="方正仿宋_GBK"/>
                <w:b/>
                <w:bCs w:val="0"/>
                <w:color w:val="000000"/>
                <w:sz w:val="28"/>
                <w:szCs w:val="28"/>
                <w:lang w:val="en-US" w:eastAsia="zh-CN" w:bidi="ar"/>
              </w:rPr>
            </w:r>
            <w:r/>
          </w:p>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（核）</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784" w:type="dxa"/>
            <w:vAlign w:val="center"/>
            <w:textDirection w:val="lrTb"/>
            <w:noWrap w:val="false"/>
          </w:tcPr>
          <w:p>
            <w:pPr>
              <w:pStyle w:val="696"/>
              <w:jc w:val="center"/>
              <w:spacing w:line="240" w:lineRule="atLeast"/>
              <w:widowControl/>
              <w:rPr>
                <w:rStyle w:val="991"/>
                <w:rFonts w:hint="eastAsia" w:ascii="方正仿宋_GBK" w:hAnsi="方正仿宋_GBK" w:eastAsia="方正仿宋_GBK" w:cs="方正仿宋_GBK"/>
                <w:b/>
                <w:bCs w:val="0"/>
                <w:sz w:val="28"/>
                <w:szCs w:val="28"/>
                <w:lang w:val="en-US" w:eastAsia="zh-CN" w:bidi="ar"/>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内存</w:t>
            </w:r>
            <w:r>
              <w:rPr>
                <w:rStyle w:val="991"/>
                <w:rFonts w:hint="eastAsia" w:ascii="方正仿宋_GBK" w:hAnsi="方正仿宋_GBK" w:eastAsia="方正仿宋_GBK" w:cs="方正仿宋_GBK"/>
                <w:b/>
                <w:bCs w:val="0"/>
                <w:sz w:val="28"/>
                <w:szCs w:val="28"/>
                <w:lang w:val="en-US" w:eastAsia="zh-CN" w:bidi="ar"/>
              </w:rPr>
            </w:r>
            <w:r/>
          </w:p>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w:t>
            </w:r>
            <w:r>
              <w:rPr>
                <w:rFonts w:hint="eastAsia" w:ascii="方正仿宋_GBK" w:hAnsi="方正仿宋_GBK" w:eastAsia="方正仿宋_GBK" w:cs="方正仿宋_GBK"/>
                <w:b/>
                <w:bCs w:val="0"/>
                <w:color w:val="000000"/>
                <w:sz w:val="28"/>
                <w:szCs w:val="28"/>
                <w:lang w:val="en-US" w:eastAsia="zh-CN" w:bidi="ar"/>
              </w:rPr>
              <w:t xml:space="preserve">GB</w:t>
            </w:r>
            <w:r>
              <w:rPr>
                <w:rStyle w:val="991"/>
                <w:rFonts w:hint="eastAsia" w:ascii="方正仿宋_GBK" w:hAnsi="方正仿宋_GBK" w:eastAsia="方正仿宋_GBK" w:cs="方正仿宋_GBK"/>
                <w:b/>
                <w:bCs w:val="0"/>
                <w:sz w:val="28"/>
                <w:szCs w:val="28"/>
                <w:lang w:val="en-US" w:eastAsia="zh-CN" w:bidi="ar"/>
              </w:rPr>
              <w:t xml:space="preserve">）</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800" w:type="dxa"/>
            <w:vAlign w:val="center"/>
            <w:textDirection w:val="lrTb"/>
            <w:noWrap w:val="false"/>
          </w:tcPr>
          <w:p>
            <w:pPr>
              <w:pStyle w:val="696"/>
              <w:jc w:val="center"/>
              <w:spacing w:line="240" w:lineRule="atLeast"/>
              <w:widowControl/>
              <w:rPr>
                <w:rStyle w:val="991"/>
                <w:rFonts w:hint="eastAsia" w:ascii="方正仿宋_GBK" w:hAnsi="方正仿宋_GBK" w:eastAsia="方正仿宋_GBK" w:cs="方正仿宋_GBK"/>
                <w:b/>
                <w:bCs w:val="0"/>
                <w:sz w:val="28"/>
                <w:szCs w:val="28"/>
                <w:lang w:val="en-US" w:eastAsia="zh-CN" w:bidi="ar"/>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存储</w:t>
            </w:r>
            <w:r>
              <w:rPr>
                <w:rStyle w:val="991"/>
                <w:rFonts w:hint="eastAsia" w:ascii="方正仿宋_GBK" w:hAnsi="方正仿宋_GBK" w:eastAsia="方正仿宋_GBK" w:cs="方正仿宋_GBK"/>
                <w:b/>
                <w:bCs w:val="0"/>
                <w:sz w:val="28"/>
                <w:szCs w:val="28"/>
                <w:lang w:val="en-US" w:eastAsia="zh-CN" w:bidi="ar"/>
              </w:rPr>
            </w:r>
            <w:r/>
          </w:p>
          <w:p>
            <w:pPr>
              <w:pStyle w:val="696"/>
              <w:jc w:val="center"/>
              <w:spacing w:line="240" w:lineRule="atLeast"/>
              <w:widowControl/>
              <w:rPr>
                <w:rFonts w:hint="eastAsia" w:ascii="方正仿宋_GBK" w:hAnsi="方正仿宋_GBK" w:eastAsia="方正仿宋_GBK" w:cs="方正仿宋_GBK"/>
                <w:b/>
                <w:bCs w:val="0"/>
                <w:color w:val="000000"/>
                <w:sz w:val="28"/>
                <w:szCs w:val="28"/>
                <w:lang w:val="en-US" w:eastAsia="zh-CN" w:bidi="ar-SA"/>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w:t>
            </w:r>
            <w:r>
              <w:rPr>
                <w:rFonts w:hint="eastAsia" w:ascii="方正仿宋_GBK" w:hAnsi="方正仿宋_GBK" w:eastAsia="方正仿宋_GBK" w:cs="方正仿宋_GBK"/>
                <w:b/>
                <w:bCs w:val="0"/>
                <w:color w:val="000000"/>
                <w:sz w:val="28"/>
                <w:szCs w:val="28"/>
                <w:lang w:val="en-US" w:eastAsia="zh-CN" w:bidi="ar"/>
              </w:rPr>
              <w:t xml:space="preserve">GB</w:t>
            </w:r>
            <w:r>
              <w:rPr>
                <w:rStyle w:val="991"/>
                <w:rFonts w:hint="eastAsia" w:ascii="方正仿宋_GBK" w:hAnsi="方正仿宋_GBK" w:eastAsia="方正仿宋_GBK" w:cs="方正仿宋_GBK"/>
                <w:b/>
                <w:bCs w:val="0"/>
                <w:sz w:val="28"/>
                <w:szCs w:val="28"/>
                <w:lang w:val="en-US" w:eastAsia="zh-CN" w:bidi="ar"/>
              </w:rPr>
              <w:t xml:space="preserve">）</w:t>
            </w:r>
            <w:r>
              <w:rPr>
                <w:rFonts w:hint="eastAsia" w:ascii="方正仿宋_GBK" w:hAnsi="方正仿宋_GBK" w:eastAsia="方正仿宋_GBK" w:cs="方正仿宋_GBK"/>
                <w:b/>
                <w:bCs w:val="0"/>
                <w:color w:val="000000"/>
                <w:sz w:val="28"/>
                <w:szCs w:val="28"/>
                <w:lang w:val="en-US" w:eastAsia="zh-CN" w:bidi="ar-SA"/>
              </w:rPr>
            </w:r>
            <w:r/>
          </w:p>
        </w:tc>
        <w:tc>
          <w:tcPr>
            <w:tcMar>
              <w:left w:w="15" w:type="dxa"/>
              <w:top w:w="15" w:type="dxa"/>
              <w:right w:w="15" w:type="dxa"/>
            </w:tcMar>
            <w:tcW w:w="1466" w:type="dxa"/>
            <w:vAlign w:val="center"/>
            <w:textDirection w:val="lrTb"/>
            <w:noWrap w:val="false"/>
          </w:tcPr>
          <w:p>
            <w:pPr>
              <w:pStyle w:val="696"/>
              <w:jc w:val="center"/>
              <w:spacing w:line="240" w:lineRule="atLeast"/>
              <w:widowControl/>
              <w:rPr>
                <w:rStyle w:val="991"/>
                <w:rFonts w:hint="eastAsia" w:ascii="方正仿宋_GBK" w:hAnsi="方正仿宋_GBK" w:eastAsia="方正仿宋_GBK" w:cs="方正仿宋_GBK"/>
                <w:b/>
                <w:bCs w:val="0"/>
                <w:sz w:val="28"/>
                <w:szCs w:val="28"/>
                <w:lang w:val="en-US" w:eastAsia="zh-CN" w:bidi="ar"/>
              </w:rPr>
              <w:framePr w:vAnchor="text" w:hAnchor="page" w:x="1419" w:y="95"/>
            </w:pPr>
            <w:r>
              <w:rPr>
                <w:rStyle w:val="991"/>
                <w:rFonts w:hint="eastAsia" w:ascii="方正仿宋_GBK" w:hAnsi="方正仿宋_GBK" w:eastAsia="方正仿宋_GBK" w:cs="方正仿宋_GBK"/>
                <w:b/>
                <w:bCs w:val="0"/>
                <w:sz w:val="28"/>
                <w:szCs w:val="28"/>
                <w:lang w:val="en-US" w:eastAsia="zh-CN" w:bidi="ar"/>
              </w:rPr>
              <w:t xml:space="preserve">智能插座</w:t>
            </w:r>
            <w:r>
              <w:rPr>
                <w:rStyle w:val="991"/>
                <w:rFonts w:hint="eastAsia" w:ascii="方正仿宋_GBK" w:hAnsi="方正仿宋_GBK" w:eastAsia="方正仿宋_GBK" w:cs="方正仿宋_GBK"/>
                <w:b/>
                <w:bCs w:val="0"/>
                <w:sz w:val="28"/>
                <w:szCs w:val="28"/>
                <w:lang w:val="en-US" w:eastAsia="zh-CN" w:bidi="ar"/>
              </w:rPr>
            </w:r>
            <w:r/>
          </w:p>
        </w:tc>
      </w:tr>
      <w:tr>
        <w:trPr>
          <w:trHeight w:val="653"/>
        </w:trPr>
        <w:tc>
          <w:tcPr>
            <w:tcMar>
              <w:left w:w="15" w:type="dxa"/>
              <w:top w:w="15" w:type="dxa"/>
              <w:right w:w="15" w:type="dxa"/>
            </w:tcMar>
            <w:tcW w:w="1042"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color w:val="000000"/>
                <w:sz w:val="28"/>
                <w:szCs w:val="28"/>
                <w:lang w:val="en-US" w:eastAsia="zh-CN" w:bidi="ar"/>
              </w:rPr>
              <w:t xml:space="preserve">基于K5平台的大型仪器智慧管理与共享服务平台二期升级</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96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国产麒麟操作系统、Linux、Windows均支持</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1143"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支持ActiveMQ或RabbitMQ等主流消息队列</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100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国产数据库OceanBase、MySQL、SQLServer等</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80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兼容国产及主流指令集</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105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根据实际部署需求配置</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784"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根据实际部署需求配置</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800" w:type="dxa"/>
            <w:vAlign w:val="center"/>
            <w:textDirection w:val="lrTb"/>
            <w:noWrap w:val="false"/>
          </w:tcPr>
          <w:p>
            <w:pPr>
              <w:pStyle w:val="696"/>
              <w:jc w:val="center"/>
              <w:spacing w:line="240" w:lineRule="atLeast"/>
              <w:widowControl/>
              <w:rPr>
                <w:rFonts w:hint="eastAsia" w:ascii="方正仿宋_GBK" w:hAnsi="方正仿宋_GBK" w:eastAsia="方正仿宋_GBK" w:cs="方正仿宋_GBK"/>
                <w:b w:val="0"/>
                <w:bCs w:val="0"/>
                <w:color w:val="000000"/>
                <w:sz w:val="28"/>
                <w:szCs w:val="28"/>
                <w:lang w:val="en-US" w:eastAsia="zh-CN" w:bidi="ar"/>
              </w:rPr>
              <w:framePr w:vAnchor="text" w:hAnchor="page" w:x="1419" w:y="95"/>
            </w:pPr>
            <w:r>
              <w:rPr>
                <w:rFonts w:hint="eastAsia" w:ascii="方正仿宋_GBK" w:hAnsi="方正仿宋_GBK" w:eastAsia="方正仿宋_GBK" w:cs="方正仿宋_GBK"/>
                <w:b w:val="0"/>
                <w:bCs w:val="0"/>
                <w:sz w:val="28"/>
                <w:szCs w:val="28"/>
                <w:lang w:val="en-US" w:eastAsia="zh-CN" w:bidi="ar-SA"/>
              </w:rPr>
              <w:t xml:space="preserve">支持多机多卷分布式存储，支持横向磁盘扩展</w:t>
            </w:r>
            <w:r>
              <w:rPr>
                <w:rFonts w:hint="eastAsia" w:ascii="方正仿宋_GBK" w:hAnsi="方正仿宋_GBK" w:eastAsia="方正仿宋_GBK" w:cs="方正仿宋_GBK"/>
                <w:b w:val="0"/>
                <w:bCs w:val="0"/>
                <w:color w:val="000000"/>
                <w:sz w:val="28"/>
                <w:szCs w:val="28"/>
                <w:lang w:val="en-US" w:eastAsia="zh-CN" w:bidi="ar"/>
              </w:rPr>
            </w:r>
            <w:r/>
          </w:p>
        </w:tc>
        <w:tc>
          <w:tcPr>
            <w:tcMar>
              <w:left w:w="15" w:type="dxa"/>
              <w:top w:w="15" w:type="dxa"/>
              <w:right w:w="15" w:type="dxa"/>
            </w:tcMar>
            <w:tcW w:w="1466" w:type="dxa"/>
            <w:vAlign w:val="center"/>
            <w:textDirection w:val="lrTb"/>
            <w:noWrap w:val="false"/>
          </w:tcPr>
          <w:p>
            <w:pPr>
              <w:pStyle w:val="696"/>
              <w:jc w:val="left"/>
              <w:spacing w:line="240" w:lineRule="atLeast"/>
              <w:widowControl/>
              <w:rPr>
                <w:rFonts w:hint="eastAsia" w:ascii="方正仿宋_GBK" w:hAnsi="方正仿宋_GBK" w:eastAsia="方正仿宋_GBK" w:cs="方正仿宋_GBK"/>
                <w:b w:val="0"/>
                <w:bCs w:val="0"/>
                <w:sz w:val="28"/>
                <w:szCs w:val="28"/>
                <w:lang w:val="en-US" w:eastAsia="zh-CN" w:bidi="ar-SA"/>
              </w:rPr>
              <w:framePr w:vAnchor="text" w:hAnchor="page" w:x="1419" w:y="95"/>
            </w:pPr>
            <w:r>
              <w:rPr>
                <w:rFonts w:hint="eastAsia" w:ascii="方正仿宋_GBK" w:hAnsi="方正仿宋_GBK" w:eastAsia="方正仿宋_GBK" w:cs="方正仿宋_GBK"/>
                <w:b w:val="0"/>
                <w:bCs w:val="0"/>
                <w:sz w:val="28"/>
                <w:szCs w:val="28"/>
                <w:shd w:val="clear" w:color="auto" w:fill="auto"/>
                <w:lang w:val="en-US" w:eastAsia="zh-CN" w:bidi="ar-SA"/>
              </w:rPr>
              <w:t xml:space="preserve">总价限3万，数量230台，</w:t>
            </w:r>
            <w:r>
              <w:rPr>
                <w:rFonts w:hint="eastAsia" w:ascii="方正仿宋_GBK" w:hAnsi="方正仿宋_GBK" w:eastAsia="方正仿宋_GBK" w:cs="方正仿宋_GBK"/>
                <w:bCs/>
                <w:sz w:val="28"/>
                <w:szCs w:val="28"/>
                <w:lang w:val="en-US"/>
              </w:rPr>
              <w:t xml:space="preserve">额定电压 AC 220V/50Hz，额定电流 10A、16A 两种规格；通讯协议支持 Zigbee，兼容 MQTT 协议</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 xml:space="preserve">并具备电流、电压实时监测功能，可实时采集电压、电流数据，并将采集到的数值实时上传至平台。需在第六章《分项报价表》中单独报价。</w:t>
            </w:r>
            <w:r>
              <w:rPr>
                <w:rFonts w:hint="eastAsia" w:ascii="方正仿宋_GBK" w:hAnsi="方正仿宋_GBK" w:eastAsia="方正仿宋_GBK" w:cs="方正仿宋_GBK"/>
                <w:b w:val="0"/>
                <w:bCs w:val="0"/>
                <w:sz w:val="28"/>
                <w:szCs w:val="28"/>
                <w:lang w:val="en-US" w:eastAsia="zh-CN" w:bidi="ar-SA"/>
              </w:rPr>
            </w:r>
            <w:r/>
          </w:p>
        </w:tc>
      </w:tr>
    </w:tbl>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3.4 技术指标要求</w:t>
      </w:r>
      <w:r>
        <w:rPr>
          <w:rFonts w:hint="eastAsia" w:ascii="方正仿宋_GBK" w:hAnsi="方正仿宋_GBK" w:eastAsia="方正仿宋_GBK" w:cs="方正仿宋_GBK"/>
          <w:b/>
          <w:bCs w:val="0"/>
          <w:sz w:val="28"/>
          <w:szCs w:val="28"/>
          <w:lang w:val="en-US" w:eastAsia="zh-CN" w:bidi="ar-SA"/>
        </w:rPr>
      </w:r>
      <w:r/>
    </w:p>
    <w:tbl>
      <w:tblPr>
        <w:tblStyle w:val="947"/>
        <w:tblW w:w="0" w:type="auto"/>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690"/>
        <w:gridCol w:w="6001"/>
      </w:tblGrid>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b/>
                <w:color w:val="000818"/>
                <w:sz w:val="28"/>
                <w:szCs w:val="28"/>
                <w:lang w:val="en-US" w:eastAsia="zh-CN" w:bidi="ar-SA"/>
              </w:rPr>
              <w:suppressLineNumbers w:val="0"/>
            </w:pPr>
            <w:r>
              <w:rPr>
                <w:rFonts w:hint="eastAsia" w:ascii="方正仿宋_GBK" w:hAnsi="方正仿宋_GBK" w:eastAsia="方正仿宋_GBK" w:cs="方正仿宋_GBK"/>
                <w:b/>
                <w:color w:val="000818"/>
                <w:sz w:val="28"/>
                <w:szCs w:val="28"/>
                <w:lang w:val="en-US" w:eastAsia="zh-CN" w:bidi="ar"/>
              </w:rPr>
              <w:t xml:space="preserve">序号</w:t>
            </w:r>
            <w:r>
              <w:rPr>
                <w:rFonts w:hint="eastAsia" w:ascii="方正仿宋_GBK" w:hAnsi="方正仿宋_GBK" w:eastAsia="方正仿宋_GBK" w:cs="方正仿宋_GBK"/>
                <w:b/>
                <w:color w:val="000818"/>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b/>
                <w:color w:val="000818"/>
                <w:sz w:val="28"/>
                <w:szCs w:val="28"/>
                <w:lang w:val="en-US" w:eastAsia="zh-CN" w:bidi="ar-SA"/>
              </w:rPr>
              <w:suppressLineNumbers w:val="0"/>
            </w:pPr>
            <w:r>
              <w:rPr>
                <w:rFonts w:hint="eastAsia" w:ascii="方正仿宋_GBK" w:hAnsi="方正仿宋_GBK" w:eastAsia="方正仿宋_GBK" w:cs="方正仿宋_GBK"/>
                <w:b/>
                <w:color w:val="000818"/>
                <w:sz w:val="28"/>
                <w:szCs w:val="28"/>
                <w:lang w:val="en-US" w:eastAsia="zh-CN" w:bidi="ar"/>
              </w:rPr>
              <w:t xml:space="preserve">技术指标</w:t>
            </w:r>
            <w:r>
              <w:rPr>
                <w:rFonts w:hint="eastAsia" w:ascii="方正仿宋_GBK" w:hAnsi="方正仿宋_GBK" w:eastAsia="方正仿宋_GBK" w:cs="方正仿宋_GBK"/>
                <w:b/>
                <w:color w:val="000818"/>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b/>
                <w:color w:val="000818"/>
                <w:sz w:val="28"/>
                <w:szCs w:val="28"/>
                <w:lang w:val="en-US" w:eastAsia="zh-CN" w:bidi="ar-SA"/>
              </w:rPr>
              <w:suppressLineNumbers w:val="0"/>
            </w:pPr>
            <w:r>
              <w:rPr>
                <w:rFonts w:hint="eastAsia" w:ascii="方正仿宋_GBK" w:hAnsi="方正仿宋_GBK" w:eastAsia="方正仿宋_GBK" w:cs="方正仿宋_GBK"/>
                <w:b/>
                <w:color w:val="000818"/>
                <w:sz w:val="28"/>
                <w:szCs w:val="28"/>
                <w:lang w:val="en-US" w:eastAsia="zh-CN" w:bidi="ar"/>
              </w:rPr>
              <w:t xml:space="preserve">具体参数</w:t>
            </w:r>
            <w:r>
              <w:rPr>
                <w:rFonts w:hint="eastAsia" w:ascii="方正仿宋_GBK" w:hAnsi="方正仿宋_GBK" w:eastAsia="方正仿宋_GBK" w:cs="方正仿宋_GBK"/>
                <w:b/>
                <w:color w:val="000818"/>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安装平台</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国产麒麟操作系统、Linux和Windows下均要支持</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2</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分布式</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支持多机集群分布式安装，支持负载均衡</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3</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数据库</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国产数据库OceanBase、MySQL、SQLServer等主流数据库</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4</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消息队列</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支持ActiveMQ或RabbitMQ等主流消息队列配置</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5</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分布式缓存</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支持Redis或Memcached等主流缓存</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6</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文件存储</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支持多机多卷分布式存储，支持横向磁盘扩展</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7</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服务接口</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XML、JSON、JSONP、CSV、JSV、Soap1.1、Soap1.2数据格式均要支持</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8</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服务响应速度</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200并发下，一般查询1秒之内，复杂查询5秒之内</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9</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服务权限</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jc w:val="left"/>
              <w:keepLines w:val="0"/>
              <w:keepNext w:val="0"/>
              <w:spacing w:line="330" w:lineRule="atLeast"/>
              <w:shd w:val="clear" w:color="auto" w:fill="ffffff"/>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与现有K5平台集成，支持权限体系，支持K5平台的统一身份认证，保持账号、权限映射及访问控制机制兼容，支持独立配置服务访问权限，以提升系统安全性</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10</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系统安全</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支持身份认证与授权，具有良好的数据备份与恢复策略</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11</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服务文档</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支持自动生成各服务接口文档</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12</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计划任务</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支持秒级分布式计划任务调度</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13</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扩展性</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支持前端或后端业务逻辑的二次扩展，能便利地进行调试和发布</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14</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密码策略</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支持自定义的密码安全策略</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15</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性能管理</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支持对系统内所有服务的性能进行监控和分析</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16</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统计报表分析</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集成数据统计分析功能，可通过在线配置，实现数据图表展示和分析</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38"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17</w:t>
            </w:r>
            <w:r>
              <w:rPr>
                <w:rFonts w:hint="eastAsia" w:ascii="方正仿宋_GBK" w:hAnsi="方正仿宋_GBK" w:eastAsia="方正仿宋_GBK" w:cs="方正仿宋_GBK"/>
                <w:sz w:val="28"/>
                <w:szCs w:val="28"/>
                <w:lang w:val="en-US" w:eastAsia="zh-CN" w:bidi="ar-SA"/>
              </w:rPr>
            </w:r>
            <w:r/>
          </w:p>
        </w:tc>
        <w:tc>
          <w:tcPr>
            <w:shd w:val="clear" w:color="auto" w:fill="ffffff"/>
            <w:tcW w:w="1800" w:type="dxa"/>
            <w:vAlign w:val="center"/>
            <w:textDirection w:val="lrTb"/>
            <w:noWrap w:val="false"/>
          </w:tcPr>
          <w:p>
            <w:pPr>
              <w:pStyle w:val="696"/>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三方扩展</w:t>
            </w:r>
            <w:r>
              <w:rPr>
                <w:rFonts w:hint="eastAsia" w:ascii="方正仿宋_GBK" w:hAnsi="方正仿宋_GBK" w:eastAsia="方正仿宋_GBK" w:cs="方正仿宋_GBK"/>
                <w:sz w:val="28"/>
                <w:szCs w:val="28"/>
                <w:lang w:val="en-US" w:eastAsia="zh-CN" w:bidi="ar-SA"/>
              </w:rPr>
            </w:r>
            <w:r/>
          </w:p>
        </w:tc>
        <w:tc>
          <w:tcPr>
            <w:shd w:val="clear" w:color="auto" w:fill="ffffff"/>
            <w:tcW w:w="6398" w:type="dxa"/>
            <w:vAlign w:val="center"/>
            <w:textDirection w:val="lrTb"/>
            <w:noWrap w:val="false"/>
          </w:tcPr>
          <w:p>
            <w:pPr>
              <w:pStyle w:val="696"/>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支持对已有服务接口进行无侵入的功能扩展和对接</w:t>
            </w:r>
            <w:r>
              <w:rPr>
                <w:rFonts w:hint="eastAsia" w:ascii="方正仿宋_GBK" w:hAnsi="方正仿宋_GBK" w:eastAsia="方正仿宋_GBK" w:cs="方正仿宋_GBK"/>
                <w:sz w:val="28"/>
                <w:szCs w:val="28"/>
                <w:lang w:val="en-US" w:eastAsia="zh-CN" w:bidi="ar-SA"/>
              </w:rPr>
            </w:r>
            <w:r/>
          </w:p>
        </w:tc>
      </w:tr>
    </w:tbl>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3.5 性能要求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（1）用户数。系统需满足全院及异地分支机构用户注册使用，在线用户支持不低于500名，数据操作并发用户支持不低于200名。</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（2）可用性。系统需7×24小时可用，可在特定时间段内对系统进行维护。要求数据存取服务准确，不能丢失数据。</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（3）可扩展性。系统功能扩充或使用单位增加时应不影响系统功能和结构，当系统数据量和访问量增大导致系统配置不能满足要求时，可通过增加服务器硬件等方式完成升级。</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（4）可恢复性。遇有故障时，系统应用功能服务恢复应在4小时以内，数据恢复应在24小时以内，不丢失数据；硬件损坏应提供应急和替代方案。</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3.6 安全要求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系统须符合等级保护要求，对信息传输、存储、访问等环节提供安全保障，对数据资源访问设备、用户、管理员、服务提供不同的访问等级授权，并提供安全有效的认证和鉴别功能。满足数据分级分类、加密存储、访问控制、数据备份、安全审计等要求。制定网络和数据安全事件应急预案，建立相应应急响应机制，严防发生数据安全事件。配合完成有关部门的各类安全检查、检测结果处理，磋商响应供应商在质保期内应配合采购人做好有关部门的网络安全检查准备工作，确保通过网络安全检查；对有关部门网络安全检测结果能够及时响应，出具方案并整改。</w:t>
      </w:r>
      <w:r>
        <w:rPr>
          <w:rFonts w:hint="eastAsia" w:ascii="方正仿宋_GBK" w:hAnsi="方正仿宋_GBK" w:eastAsia="方正仿宋_GBK" w:cs="方正仿宋_GBK"/>
          <w:bCs/>
          <w:sz w:val="28"/>
          <w:szCs w:val="28"/>
          <w:lang w:val="en-US" w:eastAsia="zh-CN"/>
        </w:rPr>
      </w:r>
      <w:r/>
    </w:p>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4.1 交付时间和地点</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lang w:eastAsia="zh-CN"/>
        </w:rPr>
        <w:t xml:space="preserve">交付时间：</w:t>
      </w:r>
      <w:r>
        <w:rPr>
          <w:rFonts w:hint="eastAsia" w:ascii="方正仿宋_GBK" w:hAnsi="方正仿宋_GBK" w:eastAsia="方正仿宋_GBK" w:cs="方正仿宋_GBK"/>
          <w:bCs/>
          <w:i/>
          <w:iCs/>
          <w:sz w:val="28"/>
          <w:szCs w:val="28"/>
          <w:u w:val="single"/>
        </w:rPr>
        <w:t xml:space="preserve">合同签订之日起</w:t>
      </w:r>
      <w:r>
        <w:rPr>
          <w:rFonts w:hint="eastAsia" w:ascii="方正仿宋_GBK" w:hAnsi="方正仿宋_GBK" w:eastAsia="方正仿宋_GBK" w:cs="方正仿宋_GBK"/>
          <w:bCs/>
          <w:i/>
          <w:iCs/>
          <w:sz w:val="28"/>
          <w:szCs w:val="28"/>
          <w:u w:val="single"/>
          <w:lang w:val="en-US" w:eastAsia="zh-CN"/>
        </w:rPr>
        <w:t xml:space="preserve">3</w:t>
      </w:r>
      <w:r>
        <w:rPr>
          <w:rFonts w:hint="eastAsia" w:ascii="方正仿宋_GBK" w:hAnsi="方正仿宋_GBK" w:eastAsia="方正仿宋_GBK" w:cs="方正仿宋_GBK"/>
          <w:bCs/>
          <w:i/>
          <w:iCs/>
          <w:sz w:val="28"/>
          <w:szCs w:val="28"/>
          <w:u w:val="single"/>
        </w:rPr>
        <w:t xml:space="preserve">个月内完成系统开发、部署安装、调试等工作。</w:t>
      </w:r>
      <w:r>
        <w:rPr>
          <w:rFonts w:hint="eastAsia" w:ascii="方正仿宋_GBK" w:hAnsi="方正仿宋_GBK" w:eastAsia="方正仿宋_GBK" w:cs="方正仿宋_GBK"/>
          <w:bCs/>
          <w:i/>
          <w:iCs/>
          <w:sz w:val="28"/>
          <w:szCs w:val="28"/>
          <w:u w:val="single"/>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交付地点：南京市光华东街5号。</w:t>
      </w:r>
      <w:r>
        <w:rPr>
          <w:rFonts w:hint="eastAsia" w:ascii="方正仿宋_GBK" w:hAnsi="方正仿宋_GBK" w:eastAsia="方正仿宋_GBK" w:cs="方正仿宋_GBK"/>
          <w:bCs/>
          <w:i/>
          <w:iCs/>
          <w:sz w:val="28"/>
          <w:szCs w:val="28"/>
          <w:u w:val="single"/>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4.2 付款条件</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合同款项的支付方式及进度安排：</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第一期付款：甲方在合同签订且</w:t>
      </w:r>
      <w:bookmarkStart w:id="178" w:name="OLE_LINK2"/>
      <w:r>
        <w:rPr>
          <w:rFonts w:hint="eastAsia" w:ascii="方正仿宋_GBK" w:hAnsi="方正仿宋_GBK" w:eastAsia="方正仿宋_GBK" w:cs="方正仿宋_GBK"/>
          <w:bCs/>
          <w:sz w:val="28"/>
          <w:szCs w:val="28"/>
        </w:rPr>
        <w:t xml:space="preserve">收到乙方开具的有效增值税专用发票的10个工作日内，</w:t>
      </w:r>
      <w:bookmarkEnd w:id="178"/>
      <w:r>
        <w:rPr>
          <w:rFonts w:hint="eastAsia" w:ascii="方正仿宋_GBK" w:hAnsi="方正仿宋_GBK" w:eastAsia="方正仿宋_GBK" w:cs="方正仿宋_GBK"/>
          <w:bCs/>
          <w:sz w:val="28"/>
          <w:szCs w:val="28"/>
        </w:rPr>
        <w:t xml:space="preserve">甲方向乙方支付合同总价的</w:t>
      </w:r>
      <w:r>
        <w:rPr>
          <w:rFonts w:hint="eastAsia" w:ascii="方正仿宋_GBK" w:hAnsi="方正仿宋_GBK" w:eastAsia="方正仿宋_GBK" w:cs="方正仿宋_GBK"/>
          <w:bCs/>
          <w:sz w:val="28"/>
          <w:szCs w:val="28"/>
          <w:lang w:val="en-US" w:eastAsia="zh-CN"/>
        </w:rPr>
        <w:t xml:space="preserve">50</w:t>
      </w:r>
      <w:r>
        <w:rPr>
          <w:rFonts w:hint="eastAsia" w:ascii="方正仿宋_GBK" w:hAnsi="方正仿宋_GBK" w:eastAsia="方正仿宋_GBK" w:cs="方正仿宋_GBK"/>
          <w:bCs/>
          <w:sz w:val="28"/>
          <w:szCs w:val="28"/>
        </w:rPr>
        <w:t xml:space="preserve">%为首付款；</w:t>
      </w:r>
      <w:r>
        <w:rPr>
          <w:rFonts w:hint="eastAsia" w:ascii="方正仿宋_GBK" w:hAnsi="方正仿宋_GBK" w:eastAsia="方正仿宋_GBK" w:cs="方正仿宋_GBK"/>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第二期付款：项目初验合格</w:t>
      </w:r>
      <w:r>
        <w:rPr>
          <w:rFonts w:hint="eastAsia" w:ascii="方正仿宋_GBK" w:hAnsi="方正仿宋_GBK" w:eastAsia="方正仿宋_GBK" w:cs="方正仿宋_GBK"/>
          <w:bCs/>
          <w:sz w:val="28"/>
          <w:szCs w:val="28"/>
          <w:lang w:eastAsia="zh-CN"/>
        </w:rPr>
        <w:t xml:space="preserve">后，甲方</w:t>
      </w:r>
      <w:r>
        <w:rPr>
          <w:rFonts w:hint="eastAsia" w:ascii="方正仿宋_GBK" w:hAnsi="方正仿宋_GBK" w:eastAsia="方正仿宋_GBK" w:cs="方正仿宋_GBK"/>
          <w:bCs/>
          <w:sz w:val="28"/>
          <w:szCs w:val="28"/>
        </w:rPr>
        <w:t xml:space="preserve">收到乙方开具的有效增值税专用发票的10个工作日内，甲方向乙方支付合同总价的</w:t>
      </w:r>
      <w:r>
        <w:rPr>
          <w:rFonts w:hint="eastAsia" w:ascii="方正仿宋_GBK" w:hAnsi="方正仿宋_GBK" w:eastAsia="方正仿宋_GBK" w:cs="方正仿宋_GBK"/>
          <w:bCs/>
          <w:sz w:val="28"/>
          <w:szCs w:val="28"/>
          <w:lang w:val="en-US" w:eastAsia="zh-CN"/>
        </w:rPr>
        <w:t xml:space="preserve">50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82"/>
        <w:ind w:firstLine="562"/>
        <w:jc w:val="left"/>
        <w:keepLines/>
        <w:keepNext/>
        <w:rPr>
          <w:rFonts w:hint="eastAsia" w:ascii="方正仿宋_GBK" w:hAnsi="方正仿宋_GBK" w:eastAsia="方正仿宋_GBK" w:cs="方正仿宋_GBK"/>
          <w:bCs w:val="0"/>
          <w:sz w:val="28"/>
          <w:szCs w:val="28"/>
          <w:lang w:val="en-US" w:bidi="ar-SA"/>
        </w:rPr>
      </w:pPr>
      <w:r>
        <w:rPr>
          <w:rFonts w:hint="eastAsia" w:ascii="方正仿宋_GBK" w:hAnsi="方正仿宋_GBK" w:eastAsia="方正仿宋_GBK" w:cs="方正仿宋_GBK"/>
          <w:bCs w:val="0"/>
          <w:sz w:val="28"/>
          <w:szCs w:val="28"/>
          <w:lang w:val="en-US" w:eastAsia="zh-CN" w:bidi="ar-SA"/>
        </w:rPr>
        <w:t xml:space="preserve">4.3智能插座</w:t>
      </w:r>
      <w:r>
        <w:rPr>
          <w:rFonts w:hint="eastAsia" w:ascii="方正仿宋_GBK" w:hAnsi="方正仿宋_GBK" w:eastAsia="方正仿宋_GBK" w:cs="方正仿宋_GBK"/>
          <w:bCs w:val="0"/>
          <w:sz w:val="28"/>
          <w:szCs w:val="28"/>
          <w:lang w:val="en-US" w:bidi="ar-SA"/>
        </w:rPr>
        <w:t xml:space="preserve">：</w:t>
      </w:r>
      <w:r>
        <w:rPr>
          <w:rFonts w:hint="eastAsia" w:ascii="方正仿宋_GBK" w:hAnsi="方正仿宋_GBK" w:eastAsia="方正仿宋_GBK" w:cs="方正仿宋_GBK"/>
          <w:bCs w:val="0"/>
          <w:sz w:val="28"/>
          <w:szCs w:val="28"/>
          <w:lang w:val="en-US"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rPr>
        <w:t xml:space="preserve">质保期：自验收合格之日起 1 年。</w:t>
      </w:r>
      <w:r>
        <w:rPr>
          <w:rFonts w:hint="eastAsia"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rPr>
        <w:t xml:space="preserve">服务要求：质保期内，供应商须确保所有插座正常、安全运行，符合国家相关电气安全标准；出现质量问题的，供应商须在接到通知后及时响应并完成维修或更换，同时提供产品技术资料、使用说明及必要的技术支持服务。</w:t>
      </w:r>
      <w:r>
        <w:rPr>
          <w:rFonts w:hint="eastAsia"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4.4验收方案：</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（1）</w:t>
      </w:r>
      <w:r>
        <w:rPr>
          <w:rFonts w:ascii="方正仿宋_GBK" w:hAnsi="方正仿宋_GBK" w:eastAsia="方正仿宋_GBK" w:cs="方正仿宋_GBK"/>
          <w:bCs/>
          <w:sz w:val="28"/>
          <w:szCs w:val="28"/>
          <w:lang w:val="en-US"/>
        </w:rPr>
        <w:t xml:space="preserve">验收主体</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验收工作由甲方负责组织，甲方成立验收小组具体实施验收事宜。乙方应在验收过程中积极配合，提供必要的技术支持、人员保障及验收所需的全套资料。验收结论由甲乙双方共同签署确认，任何一方不得单方面确定验收结果。</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（2）</w:t>
      </w:r>
      <w:r>
        <w:rPr>
          <w:rFonts w:ascii="方正仿宋_GBK" w:hAnsi="方正仿宋_GBK" w:eastAsia="方正仿宋_GBK" w:cs="方正仿宋_GBK"/>
          <w:bCs/>
          <w:sz w:val="28"/>
          <w:szCs w:val="28"/>
          <w:lang w:val="en-US"/>
        </w:rPr>
        <w:t xml:space="preserve">验收时间</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项目完成全部部署、系统调试完毕并具备正式使用条件后，由乙方在合同约定的完成期限之前，根据项目实际进度向甲方提交书面验收申请。甲方收到验收申请后，应在合理时间内确定具体验收时间，并提前通知乙方。乙方应在收到通知后按时到场配合完成验收工作，不得无故拖延或拒绝验收。</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（3）</w:t>
      </w:r>
      <w:r>
        <w:rPr>
          <w:rFonts w:ascii="方正仿宋_GBK" w:hAnsi="方正仿宋_GBK" w:eastAsia="方正仿宋_GBK" w:cs="方正仿宋_GBK"/>
          <w:bCs/>
          <w:sz w:val="28"/>
          <w:szCs w:val="28"/>
          <w:lang w:val="en-US"/>
        </w:rPr>
        <w:t xml:space="preserve">验收方式</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验收采用现场检查、功能演示、系统测试、资料审核等方式进行。甲方验收小组对项目实际运行情况进行现场查验，乙方须逐一演示各项功能模块，并提供完整的测试数据供甲方核验。</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（4）</w:t>
      </w:r>
      <w:r>
        <w:rPr>
          <w:rFonts w:ascii="方正仿宋_GBK" w:hAnsi="方正仿宋_GBK" w:eastAsia="方正仿宋_GBK" w:cs="方正仿宋_GBK"/>
          <w:bCs/>
          <w:sz w:val="28"/>
          <w:szCs w:val="28"/>
          <w:lang w:val="en-US"/>
        </w:rPr>
        <w:t xml:space="preserve">验收程序</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1.乙方提交书面验收申请，附技术文档、测试报告、用户手册、培训记录等全套资料；</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2.甲方对资料进行初审，齐全后进入现场验收；</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3.现场按合同及招标文件要求，对技术功能、性能指标、安全性、兼容性、硬件部署及商务服务进行核查与演示；</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4.验收小组出具《项目验收书》，列明履约情况、存在问题及总体结论，双方签字盖章确认；</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5.验收资料由甲方存档备查。</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（5）</w:t>
      </w:r>
      <w:r>
        <w:rPr>
          <w:rFonts w:ascii="方正仿宋_GBK" w:hAnsi="方正仿宋_GBK" w:eastAsia="方正仿宋_GBK" w:cs="方正仿宋_GBK"/>
          <w:bCs/>
          <w:sz w:val="28"/>
          <w:szCs w:val="28"/>
          <w:lang w:val="en-US"/>
        </w:rPr>
        <w:t xml:space="preserve">验收内容</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乙方须保证项目建设内容全面满足招标文件全部需求，并达到如下要求：</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1.合同签订3个月内完成全部软件开发、系统集成、硬件部署、数据对接及调试，工期履约证明齐全；</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2.系统功能全部上线：大型仪器共享服务平台升级、管理后台功能升级与新增模块（仪器管理、预约、使用记录、信用评价、消息通知、维修维护、报废管理、插座绑定与功率监测、统计可视化等）、手机端应用升级、仪器设备盘查与环境建档均按招标文件要求建设完成；</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3.硬件部署到位：本院及异地院区（苏州、宜兴等）物联网网关、智能监测插座（不少于230台）安装部署完成，MQTT数据集成体系构建完成，数据实时回传正常；</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4.系统演示通过：按招标文件要求完成PC端（资产全览、运行数据自动采集、系统运维配置）和移动端（移动协同、现场数据采集）功能演示；</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5.技术指标达标：系统兼容国产麒麟操作系统、Linux、Windows；支持OceanBase/MySQL/SQLServer等数据库；支持分布式部署与负载均衡；200并发下一般查询≤1秒、复杂查询≤5秒；与现有K5平台统一身份认证无缝对接；</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6.数据对接与兼容：与现有K5平台系统无缝对接，历史数据完整迁移，原有业务流程可延续，统一身份认证集成调试完成；</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7.团队驻场保障：合同签订至验收期间至少1名工程师全程驻场；验收后至少1名售后技术人员保障，30分钟电话响应、8小时到场、24小时解决问题；人员资质及社保证明材料齐全；</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8.培训与知识移交：完成管理员线下培训及用户、管理员线上操作视频制作上传，培训记录及效果评估材料完整；</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9.文档资料交付：系统需求、设计、数据库设计说明书、安装部署、运维、用户手册、接口文档、测试报告、备份恢复方案、应急预案、设备环境档案、硬件部署清单等资料齐全规范；</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10.知识产权与源代码：项目源代码完整交付，建设成果知识产权归甲方所有，乙方保证无侵权；</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11.国产化适配：系统基于国产化软硬件技术体系开发，部署在甲方指定国产化环境，提供适配证明材料。</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（6）</w:t>
      </w:r>
      <w:r>
        <w:rPr>
          <w:rFonts w:ascii="方正仿宋_GBK" w:hAnsi="方正仿宋_GBK" w:eastAsia="方正仿宋_GBK" w:cs="方正仿宋_GBK"/>
          <w:bCs/>
          <w:sz w:val="28"/>
          <w:szCs w:val="28"/>
          <w:lang w:val="en-US"/>
        </w:rPr>
        <w:t xml:space="preserve">验收标准</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1.判定依据为采购合同、招标文件、投标文件及双方书面确认的技术方案和变更记录；</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2.所有功能模块按招标文件"功能栏目建设需求"及"技术指标要求"逐项核验，实质性要求（斜体下划线或加*号条款）无负偏离；</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3.系统演示功能点全部符合要求，运行流畅；</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4.技术文档、测试报告、培训资料等交付物齐全规范；</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5.系统通过性能测试及安全检查，满足等级保护要求；</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6.项目同时满足以上条件方可认定为验收合格。</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（7）</w:t>
      </w:r>
      <w:r>
        <w:rPr>
          <w:rFonts w:ascii="方正仿宋_GBK" w:hAnsi="方正仿宋_GBK" w:eastAsia="方正仿宋_GBK" w:cs="方正仿宋_GBK"/>
          <w:bCs/>
          <w:sz w:val="28"/>
          <w:szCs w:val="28"/>
          <w:lang w:val="en-US"/>
        </w:rPr>
        <w:t xml:space="preserve">验收结果</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 xml:space="preserve">1.验收结论分为“验收合格”和“验收不合格”两种。验收合格的，甲方按照采购合同约定的付款条件和期限及时向乙方支付相应款项，并按合同约定退还履约保证金。</w:t>
      </w:r>
      <w:r>
        <w:rPr>
          <w:rFonts w:ascii="方正仿宋_GBK" w:hAnsi="方正仿宋_GBK" w:eastAsia="方正仿宋_GBK" w:cs="方正仿宋_GBK"/>
          <w:bCs/>
          <w:sz w:val="28"/>
          <w:szCs w:val="28"/>
          <w:lang w:val="en-US"/>
        </w:rPr>
      </w:r>
      <w:r/>
    </w:p>
    <w:p>
      <w:pPr>
        <w:pStyle w:val="696"/>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eastAsia="zh-CN"/>
        </w:rPr>
      </w:pPr>
      <w:r>
        <w:rPr>
          <w:rFonts w:ascii="方正仿宋_GBK" w:hAnsi="方正仿宋_GBK" w:eastAsia="方正仿宋_GBK" w:cs="方正仿宋_GBK"/>
          <w:bCs/>
          <w:sz w:val="28"/>
          <w:szCs w:val="28"/>
          <w:lang w:val="en-US"/>
        </w:rPr>
        <w:t xml:space="preserve">2.验收不合格的，甲方应向乙方出具书面整改通知，明确不合格事项及整改要求。乙方应在规定期限内完成整改，整改完成后重新提交验收申请，甲方重新组织验收。因整改产生的全部费用由乙方承担。若经整改后仍达不到验收标准，甲方有权依法依规解除合同，并按合同约定追究乙方的违约责任。</w:t>
      </w:r>
      <w:r>
        <w:rPr>
          <w:rFonts w:ascii="方正仿宋_GBK" w:hAnsi="方正仿宋_GBK" w:eastAsia="方正仿宋_GBK" w:cs="方正仿宋_GBK"/>
          <w:bCs/>
          <w:sz w:val="28"/>
          <w:szCs w:val="28"/>
          <w:lang w:val="en-US" w:eastAsia="zh-CN"/>
        </w:rPr>
      </w:r>
      <w:r/>
    </w:p>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五、方案要求</w:t>
      </w:r>
      <w:r>
        <w:rPr>
          <w:rFonts w:hint="eastAsia" w:ascii="方正黑体_GBK" w:hAnsi="方正黑体_GBK" w:eastAsia="方正黑体_GBK" w:cs="方正黑体_GBK"/>
          <w:b w:val="0"/>
          <w:bCs w:val="0"/>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5.1 总体设计方案</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所提供的总体设计方案，应包括但不限于系统分层架构设计、页面设计、数据架构设计、功能模块规划、实施计划、数据对接方案（与现有K5平台的对接方案）、系统安全设计等，要求设计方案内容详细完整，架构设计合理，页面设计便捷、美观，功能模块规划科学清晰，实施计划可行，数据对接方案有效，安全设计符合要求。</w:t>
      </w:r>
      <w:r>
        <w:rPr>
          <w:rFonts w:hint="eastAsia" w:ascii="方正仿宋_GBK" w:hAnsi="方正仿宋_GBK" w:eastAsia="方正仿宋_GBK" w:cs="方正仿宋_GBK"/>
          <w:bCs/>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总体设计方案还应说明如何在一期建设成果基础上开展升级建设，明确与现有系统架构、统一身份认证、历史数据及业务流程的兼容衔接方案。</w:t>
      </w:r>
      <w:r>
        <w:rPr>
          <w:rFonts w:hint="eastAsia" w:ascii="方正仿宋_GBK" w:hAnsi="方正仿宋_GBK" w:eastAsia="方正仿宋_GBK" w:cs="方正仿宋_GBK"/>
          <w:bCs/>
          <w:sz w:val="28"/>
          <w:szCs w:val="28"/>
          <w:lang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5.2 安全保障技术方案</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所提供的安全保障技术方案，应包括但不限于磋商响应供应商按照信息化系统建设安全防护要求，对平台全量安装专业安全软件，并提供详细的安全性设计方案，包括信息访问、传输和储存安全、网络安全、应用安全、数据安全、密码安全等层面对系统的安全管理体系进行架构设计，要求所设计的架构符合实际业务需求，且对各层级涉及的具体内容进行描述。支持身份认证与授权，具有良好的数据备份与恢复策略。支持自定义的密码安全策略。</w:t>
      </w:r>
      <w:r>
        <w:rPr>
          <w:rFonts w:hint="eastAsia" w:ascii="方正仿宋_GBK" w:hAnsi="方正仿宋_GBK" w:eastAsia="方正仿宋_GBK" w:cs="方正仿宋_GBK"/>
          <w:bCs/>
          <w:sz w:val="28"/>
          <w:szCs w:val="28"/>
          <w:lang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5.3 项目实施保障方案</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所提供的项目实施保障方案，应包括但不限于质量保障方案、进度保障方案、资源保障方案、制度保障方案、人员配置具体实施方案等，要求所设计的方案合理、可行，可以满足本项目工期和质量等要求。磋商响应供应商需提供详细的项目质量保证措施，包括但不限于质量控制流程、质量标准、质量检测方法等。方案中还应明确现有系统兼容性验证、数据迁移衔接、接口联调测试及上线切换保障措施。</w:t>
      </w:r>
      <w:r>
        <w:rPr>
          <w:rFonts w:hint="eastAsia" w:ascii="方正仿宋_GBK" w:hAnsi="方正仿宋_GBK" w:eastAsia="方正仿宋_GBK" w:cs="方正仿宋_GBK"/>
          <w:bCs/>
          <w:sz w:val="28"/>
          <w:szCs w:val="28"/>
          <w:lang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5.4 培训方案</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所提供的线下培训方案，应包括但不限于磋商响应供应商应对平台各级管理员开展线下培训工作，培训内容包括系统运行管理、业务操作培训、维护以及常见故障分析处理等工作内容，有明确的培训时间、培训效果评估等。</w:t>
      </w:r>
      <w:r>
        <w:rPr>
          <w:rFonts w:hint="eastAsia" w:ascii="方正仿宋_GBK" w:hAnsi="方正仿宋_GBK" w:eastAsia="方正仿宋_GBK" w:cs="方正仿宋_GBK"/>
          <w:bCs/>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线上培训：磋商响应供应商应对平台用户制作使用操作指南视频，上传用户端，供广大用户下载自助学习使用。对管理员，培训须制作管理员维护操作视频，上传管理端页面，供管理员学习使用。</w:t>
      </w:r>
      <w:r>
        <w:rPr>
          <w:rFonts w:hint="eastAsia" w:ascii="方正仿宋_GBK" w:hAnsi="方正仿宋_GBK" w:eastAsia="方正仿宋_GBK" w:cs="方正仿宋_GBK"/>
          <w:bCs/>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磋商响应供应商需提供承诺说明函，承诺成交后提供此线上、线下培训。该承诺说明函作为技术评审内容。</w:t>
      </w:r>
      <w:r>
        <w:rPr>
          <w:rFonts w:hint="eastAsia" w:ascii="方正仿宋_GBK" w:hAnsi="方正仿宋_GBK" w:eastAsia="方正仿宋_GBK" w:cs="方正仿宋_GBK"/>
          <w:bCs/>
          <w:sz w:val="28"/>
          <w:szCs w:val="28"/>
          <w:lang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5.5 售后维保服务方案</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磋商响应供应商所提供的售后维保服务方案，应包括但不限于系统维护、技术支持、问题解决等服务内容。磋商响应供应商需提供详细的售后服务计划，包括但不限于服务内容、服务方式、响应时间等。质保期至少1年，进行免费维保服务（含免费软件升级改造）。质保期外，提供免费的技术指导、咨询、问题解答等服务。</w:t>
      </w:r>
      <w:r>
        <w:rPr>
          <w:rFonts w:hint="eastAsia" w:ascii="方正仿宋_GBK" w:hAnsi="方正仿宋_GBK" w:eastAsia="方正仿宋_GBK" w:cs="方正仿宋_GBK"/>
          <w:bCs/>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i/>
          <w:iCs/>
          <w:sz w:val="28"/>
          <w:szCs w:val="28"/>
          <w:u w:val="single"/>
          <w:lang w:eastAsia="zh-CN"/>
        </w:rPr>
      </w:pPr>
      <w:r>
        <w:rPr>
          <w:rFonts w:hint="eastAsia" w:ascii="方正仿宋_GBK" w:hAnsi="方正仿宋_GBK" w:eastAsia="方正仿宋_GBK" w:cs="方正仿宋_GBK"/>
          <w:bCs/>
          <w:i/>
          <w:iCs/>
          <w:sz w:val="28"/>
          <w:szCs w:val="28"/>
          <w:u w:val="single"/>
          <w:lang w:eastAsia="zh-CN"/>
        </w:rPr>
        <w:t xml:space="preserve">合同签订之日起派至少1名工程师上门驻场服务直至系统验收完毕。系统验收后供应商应配备至少1名售后实施技术人员，确保维保期电话30分钟响应，8小时内到现场，24小时内解决问题。磋商响应供应商需提供正式的书面承诺函，明确承诺满足上述要求。</w:t>
      </w:r>
      <w:r>
        <w:rPr>
          <w:rFonts w:hint="eastAsia" w:ascii="方正仿宋_GBK" w:hAnsi="方正仿宋_GBK" w:eastAsia="方正仿宋_GBK" w:cs="方正仿宋_GBK"/>
          <w:bCs/>
          <w:i/>
          <w:iCs/>
          <w:sz w:val="28"/>
          <w:szCs w:val="28"/>
          <w:u w:val="single"/>
          <w:lang w:eastAsia="zh-CN"/>
        </w:rPr>
      </w:r>
      <w:r/>
    </w:p>
    <w:p>
      <w:pPr>
        <w:pStyle w:val="882"/>
        <w:numPr>
          <w:ilvl w:val="0"/>
          <w:numId w:val="4"/>
        </w:numPr>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履约能力要求</w:t>
      </w:r>
      <w:r>
        <w:rPr>
          <w:rFonts w:hint="eastAsia" w:ascii="方正黑体_GBK" w:hAnsi="方正黑体_GBK" w:eastAsia="方正黑体_GBK" w:cs="方正黑体_GBK"/>
          <w:b w:val="0"/>
          <w:bCs w:val="0"/>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6.1 国产化适配能力</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磋商响应供应商应具有兼容国产化系统环境的软件开发、适配与部署实施能力，系统须基于国产化软硬件技术体系进行开发，部署在采购人指定的国产化环境下。磋商响应供应商需提供国产化适配相关项目案例证明材料，证明其具备在国产化操作系统、数据库等环境下开展适配、部署或稳定运行保障的实施能力。相关证明材料可包括合同复印件或扫描件、验收证明、技术方案、部署说明、上线说明、用户证明等。同一最终用户的不同期项目，如合同独立、验收独立、建设内容独立的，可分别认定。</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i/>
          <w:iCs/>
          <w:sz w:val="28"/>
          <w:szCs w:val="28"/>
          <w:u w:val="single"/>
          <w:lang w:val="en-US" w:eastAsia="zh-CN"/>
        </w:rPr>
      </w:pPr>
      <w:r>
        <w:rPr>
          <w:rFonts w:hint="eastAsia" w:ascii="方正仿宋_GBK" w:hAnsi="方正仿宋_GBK" w:eastAsia="方正仿宋_GBK" w:cs="方正仿宋_GBK"/>
          <w:bCs/>
          <w:i/>
          <w:iCs/>
          <w:sz w:val="28"/>
          <w:szCs w:val="28"/>
          <w:u w:val="single"/>
          <w:lang w:val="en-US" w:eastAsia="zh-CN"/>
        </w:rPr>
        <w:t xml:space="preserve">磋商响应供应商需提供正式的书面承诺函，明确承诺满足上述要求，以确保系统的稳定性和可扩展性。</w:t>
      </w:r>
      <w:r>
        <w:rPr>
          <w:rFonts w:hint="eastAsia" w:ascii="方正仿宋_GBK" w:hAnsi="方正仿宋_GBK" w:eastAsia="方正仿宋_GBK" w:cs="方正仿宋_GBK"/>
          <w:bCs/>
          <w:i/>
          <w:iCs/>
          <w:sz w:val="28"/>
          <w:szCs w:val="28"/>
          <w:u w:val="single"/>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6.2 项目案例</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磋商响应供应商应提供2023年1月1日以来承接并通过验收的类似项目案例，类似项目是指项目名称包含"仪器管理"或"实验室管理"，且建设内容与本项目在仪器基本信息管理、使用记录管理、维修维护、报废管理、移动端应用、物联接入、统一身份认证对接、国产化部署适配、智能硬件接入等方面具有相关性或相似性的项目。同一最终用户的不同期项目，如合同独立、验收独立、建设内容独立的，可分别认定。</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6.3 保密要求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磋商响应供应商应对项目技术文件以及由采购人提供的所有内部资料、技术文档、数据和信息予以保密；成交人应与采购人签订保密协议并严格遵守，未经采购人书面许可，成交人不得以任何形式向第三方透露本项目响应文件、技术方案等内容，磋商响应供应商应提供保密方案，对项目过程中如何开展保密工作详细描述。具体见保密协议。</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6.4 团队要求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为保障项目的顺利实施，磋商响应供应商应合理组建本项目的实施团队。要求实施团队配置 1 名项目负责人（项目经理）、2 名专业技术人员、1 名驻场人员。项目负责人应具备类似信息化服务项目的实施和管理经验，并承担过类似的信息化服务项目。专业技术人员应具备与本项目相关的技术实施能力，能够胜任系统开发、部署、调试及技术支持工作。驻场人员应在项目实施及试运行期间按采购人要求提供现场服务支持。</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项目组核心人员应保持相对稳定，不得无故更换；如确需变更，应提前书面说明变更原因、拟替换人员情况及交接安排，并征得采购人书面同意。</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6.5 知识产权要求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i/>
          <w:iCs/>
          <w:sz w:val="28"/>
          <w:szCs w:val="28"/>
          <w:u w:val="single"/>
          <w:lang w:val="en-US" w:eastAsia="zh-CN"/>
        </w:rPr>
        <w:t xml:space="preserve">磋商响应供应商应保证所提供的系统软件未侵犯第三方专利权、版权、商标权和工业设计权等知识产权。</w:t>
      </w:r>
      <w:r>
        <w:rPr>
          <w:rFonts w:hint="eastAsia" w:ascii="方正仿宋_GBK" w:hAnsi="方正仿宋_GBK" w:eastAsia="方正仿宋_GBK" w:cs="方正仿宋_GBK"/>
          <w:bCs/>
          <w:sz w:val="28"/>
          <w:szCs w:val="28"/>
          <w:lang w:val="en-US" w:eastAsia="zh-CN"/>
        </w:rPr>
        <w:t xml:space="preserve">项目建设过程中所产生成果的知识产权归采购方所有并且项目源代码交付。乙方为履行本合同向甲方所交付工作成果（包括但不限于履行本合同过程中形成的技术资料文件等）的所有权与知识产权均归甲方单独占有。</w:t>
      </w:r>
      <w:r>
        <w:rPr>
          <w:rFonts w:hint="eastAsia" w:ascii="方正仿宋_GBK" w:hAnsi="方正仿宋_GBK" w:eastAsia="方正仿宋_GBK" w:cs="方正仿宋_GBK"/>
          <w:bCs/>
          <w:sz w:val="28"/>
          <w:szCs w:val="28"/>
          <w:lang w:val="en-US" w:eastAsia="zh-CN"/>
        </w:rPr>
      </w:r>
      <w:r/>
    </w:p>
    <w:p>
      <w:pPr>
        <w:pStyle w:val="882"/>
        <w:ind w:firstLine="562"/>
        <w:jc w:val="left"/>
        <w:keepLines/>
        <w:keepNext/>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6.6 软件著作权要求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磋商响应供应商具有由国家版权局颁发的相关软件著作权登记证书，证书名称包含与本项目有关的“仪器管理”或“内容管理”或“实验室管理”的软件著作权证书。</w:t>
      </w:r>
      <w:r>
        <w:rPr>
          <w:rFonts w:hint="eastAsia" w:ascii="方正仿宋_GBK" w:hAnsi="方正仿宋_GBK" w:eastAsia="方正仿宋_GBK" w:cs="方正仿宋_GBK"/>
          <w:bCs/>
          <w:sz w:val="28"/>
          <w:szCs w:val="28"/>
          <w:lang w:val="en-US" w:eastAsia="zh-CN"/>
        </w:rPr>
      </w:r>
      <w:r/>
    </w:p>
    <w:p>
      <w:pPr>
        <w:pStyle w:val="882"/>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七、其他要求</w:t>
      </w:r>
      <w:r>
        <w:rPr>
          <w:rFonts w:hint="eastAsia" w:ascii="方正黑体_GBK" w:hAnsi="方正黑体_GBK" w:eastAsia="方正黑体_GBK" w:cs="方正黑体_GBK"/>
          <w:b w:val="0"/>
          <w:bCs w:val="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val="0"/>
          <w:sz w:val="28"/>
          <w:szCs w:val="28"/>
          <w:lang w:val="en-US" w:eastAsia="zh-CN" w:bidi="ar-SA"/>
        </w:rPr>
        <w:t xml:space="preserve">7.1项目属性:</w:t>
      </w:r>
      <w:r>
        <w:rPr>
          <w:rFonts w:hint="eastAsia" w:ascii="方正仿宋_GBK" w:hAnsi="方正仿宋_GBK" w:eastAsia="方正仿宋_GBK" w:cs="方正仿宋_GBK"/>
          <w:sz w:val="28"/>
          <w:szCs w:val="28"/>
        </w:rPr>
        <w:t xml:space="preserve">服务类项目。</w:t>
      </w:r>
      <w:r>
        <w:rPr>
          <w:rFonts w:hint="eastAsia" w:ascii="方正仿宋_GBK" w:hAnsi="方正仿宋_GBK" w:eastAsia="方正仿宋_GBK" w:cs="方正仿宋_GBK"/>
          <w:sz w:val="28"/>
          <w:szCs w:val="28"/>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7.2演示要求</w:t>
      </w:r>
      <w:r>
        <w:rPr>
          <w:rFonts w:hint="eastAsia" w:ascii="方正仿宋_GBK" w:hAnsi="方正仿宋_GBK" w:eastAsia="方正仿宋_GBK" w:cs="方正仿宋_GBK"/>
          <w:b/>
          <w:bCs w:val="0"/>
          <w:sz w:val="28"/>
          <w:szCs w:val="28"/>
          <w:lang w:val="en-US" w:eastAsia="zh-CN" w:bidi="ar-SA"/>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演示方式 上传视频演示</w:t>
      </w:r>
      <w:r>
        <w:rPr>
          <w:rFonts w:hint="eastAsia" w:ascii="方正仿宋_GBK" w:hAnsi="方正仿宋_GBK" w:eastAsia="方正仿宋_GBK" w:cs="方正仿宋_GBK"/>
          <w:sz w:val="28"/>
          <w:szCs w:val="28"/>
        </w:rPr>
      </w:r>
      <w:r/>
    </w:p>
    <w:p>
      <w:pPr>
        <w:pStyle w:val="696"/>
        <w:numPr>
          <w:ilvl w:val="0"/>
          <w:numId w:val="5"/>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供应商需按照磋商文件规定的演示内容制作演示视频文件，视频文件的格式为</w:t>
      </w:r>
      <w:r>
        <w:rPr>
          <w:rFonts w:ascii="Times New Roman" w:hAnsi="Times New Roman" w:eastAsia="方正仿宋_GBK" w:cs="Times New Roman"/>
          <w:sz w:val="28"/>
          <w:szCs w:val="28"/>
          <w:lang w:eastAsia="zh-CN"/>
        </w:rPr>
        <w:t xml:space="preserve">X</w:t>
      </w:r>
      <w:r>
        <w:rPr>
          <w:rFonts w:ascii="Times New Roman" w:hAnsi="Times New Roman" w:eastAsia="方正仿宋_GBK" w:cs="Times New Roman"/>
          <w:sz w:val="28"/>
          <w:szCs w:val="28"/>
        </w:rPr>
        <w:t xml:space="preserve">.mp4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cs="Times New Roman"/>
          <w:sz w:val="28"/>
          <w:szCs w:val="28"/>
          <w:lang w:eastAsia="zh-CN"/>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cs="Times New Roman"/>
          <w:sz w:val="28"/>
          <w:szCs w:val="28"/>
          <w:lang w:eastAsia="zh-CN"/>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cs="Times New Roman"/>
          <w:sz w:val="28"/>
          <w:szCs w:val="28"/>
          <w:lang w:eastAsia="zh-CN"/>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cs="Times New Roman"/>
          <w:sz w:val="28"/>
          <w:szCs w:val="28"/>
          <w:lang w:eastAsia="zh-CN"/>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sz w:val="28"/>
          <w:szCs w:val="28"/>
          <w:lang w:val="en-US" w:eastAsia="zh-CN" w:bidi="ar-SA"/>
        </w:rPr>
        <w:t xml:space="preserve">（2）要求演示的系统必须是磋商响应供应商自主研发的系统。演示内容分为PC端</w:t>
      </w:r>
      <w:r>
        <w:rPr>
          <w:rFonts w:hint="eastAsia" w:ascii="方正仿宋_GBK" w:hAnsi="方正仿宋_GBK" w:eastAsia="方正仿宋_GBK" w:cs="方正仿宋_GBK"/>
          <w:bCs/>
          <w:sz w:val="28"/>
          <w:szCs w:val="28"/>
          <w:lang w:val="en-US" w:eastAsia="zh-CN"/>
        </w:rPr>
        <w:t xml:space="preserve">演示和移动端演示，具体如下：</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PC端演示：</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1、演示仪器设备基础信息的集中展示、多维度筛选查询、批量导出及状态管理，实现资产全览与精细化管控。</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2、演示通过物联网智能插座自动采集仪器运行数据，实现使用记录的实时采集、精准时长统计。</w:t>
      </w:r>
      <w:bookmarkStart w:id="179" w:name="_GoBack"/>
      <w:r/>
      <w:bookmarkEnd w:id="179"/>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3、演示通过系统级后台运维配置平台，实现资源监控、权限策略及二次开发扩展的集中化管理。</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移动端演示：</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4、演示移动端功能配置、消息推送及跨端数据同步能力，体现移动办公的便捷性。</w:t>
      </w:r>
      <w:r>
        <w:rPr>
          <w:rFonts w:hint="eastAsia" w:ascii="方正仿宋_GBK" w:hAnsi="方正仿宋_GBK" w:eastAsia="方正仿宋_GBK" w:cs="方正仿宋_GBK"/>
          <w:bCs/>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5、演示移动端现场数据采集、扫码识别、实时数据回传的效果。</w:t>
      </w:r>
      <w:r>
        <w:rPr>
          <w:rFonts w:hint="eastAsia" w:ascii="方正仿宋_GBK" w:hAnsi="方正仿宋_GBK" w:eastAsia="方正仿宋_GBK" w:cs="方正仿宋_GBK"/>
          <w:bCs/>
          <w:sz w:val="28"/>
          <w:szCs w:val="28"/>
          <w:lang w:val="en-US" w:eastAsia="zh-CN"/>
        </w:rPr>
      </w:r>
      <w:r/>
    </w:p>
    <w:p>
      <w:pPr>
        <w:pStyle w:val="696"/>
        <w:ind w:firstLine="562"/>
        <w:spacing w:line="400" w:lineRule="exact"/>
        <w:rPr>
          <w:rFonts w:hint="eastAsia"/>
          <w:lang w:val="en-US" w:eastAsia="zh-CN"/>
        </w:rPr>
      </w:pPr>
      <w:r>
        <w:rPr>
          <w:rFonts w:hint="eastAsia" w:ascii="方正仿宋_GBK" w:hAnsi="方正仿宋_GBK" w:eastAsia="方正仿宋_GBK" w:cs="方正仿宋_GBK"/>
          <w:b/>
          <w:bCs w:val="0"/>
          <w:sz w:val="28"/>
          <w:szCs w:val="28"/>
          <w:lang w:val="en-US" w:eastAsia="zh-CN" w:bidi="ar-SA"/>
        </w:rPr>
        <w:t xml:space="preserve">7.3第四章中</w:t>
      </w:r>
      <w:r>
        <w:rPr>
          <w:rFonts w:hint="eastAsia" w:ascii="方正仿宋_GBK" w:hAnsi="方正仿宋_GBK" w:eastAsia="方正仿宋_GBK" w:cs="方正仿宋_GBK"/>
          <w:b/>
          <w:bCs/>
          <w:i/>
          <w:iCs/>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号条款为实质性要求。</w:t>
      </w:r>
      <w:r>
        <w:rPr>
          <w:rFonts w:hint="eastAsia"/>
          <w:lang w:val="en-US" w:eastAsia="zh-CN"/>
        </w:rPr>
      </w:r>
      <w:r/>
    </w:p>
    <w:p>
      <w:pPr>
        <w:pStyle w:val="696"/>
        <w:spacing w:line="0" w:lineRule="atLeast"/>
        <w:rPr>
          <w:rFonts w:hint="eastAsia" w:ascii="宋体" w:hAnsi="宋体"/>
          <w:color w:val="ff0000"/>
          <w:sz w:val="24"/>
          <w:szCs w:val="24"/>
        </w:rPr>
      </w:pPr>
      <w:r>
        <w:rPr>
          <w:rFonts w:hint="eastAsia" w:ascii="宋体" w:hAnsi="宋体"/>
          <w:color w:val="ff0000"/>
          <w:sz w:val="24"/>
          <w:szCs w:val="24"/>
        </w:rPr>
      </w:r>
      <w:r/>
    </w:p>
    <w:p>
      <w:pPr>
        <w:pStyle w:val="696"/>
        <w:spacing w:before="120" w:after="120" w:line="0" w:lineRule="atLeast"/>
        <w:rPr>
          <w:rFonts w:ascii="宋体" w:hAnsi="Courier New" w:cs="Courier New"/>
          <w:sz w:val="24"/>
          <w:szCs w:val="24"/>
        </w:rPr>
      </w:pPr>
      <w:r>
        <w:rPr>
          <w:rFonts w:ascii="宋体" w:hAnsi="Courier New" w:cs="Courier New"/>
          <w:sz w:val="24"/>
          <w:szCs w:val="24"/>
        </w:rPr>
      </w:r>
      <w:r/>
    </w:p>
    <w:p>
      <w:pPr>
        <w:pStyle w:val="696"/>
        <w:spacing w:before="120" w:after="120" w:line="0" w:lineRule="atLeast"/>
        <w:rPr>
          <w:rFonts w:ascii="宋体" w:hAnsi="Courier New" w:cs="Courier New"/>
          <w:sz w:val="24"/>
          <w:szCs w:val="24"/>
        </w:rPr>
      </w:pPr>
      <w:r>
        <w:rPr>
          <w:rFonts w:ascii="宋体" w:hAnsi="Courier New" w:cs="Courier New"/>
          <w:sz w:val="24"/>
          <w:szCs w:val="24"/>
        </w:rPr>
      </w:r>
      <w:r/>
    </w:p>
    <w:p>
      <w:pPr>
        <w:pStyle w:val="696"/>
        <w:spacing w:before="120" w:after="120" w:line="0" w:lineRule="atLeast"/>
        <w:rPr>
          <w:rFonts w:ascii="宋体" w:hAnsi="Courier New" w:cs="Courier New"/>
          <w:sz w:val="24"/>
          <w:szCs w:val="24"/>
        </w:rPr>
      </w:pPr>
      <w:r>
        <w:rPr>
          <w:rFonts w:ascii="宋体" w:hAnsi="Courier New" w:cs="Courier New"/>
          <w:sz w:val="24"/>
          <w:szCs w:val="24"/>
        </w:rPr>
      </w:r>
      <w:r/>
    </w:p>
    <w:p>
      <w:pPr>
        <w:pStyle w:val="696"/>
        <w:spacing w:before="120" w:after="120" w:line="0" w:lineRule="atLeast"/>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rPr>
          <w:rFonts w:ascii="宋体" w:hAnsi="Courier New" w:cs="Courier New"/>
          <w:sz w:val="24"/>
          <w:szCs w:val="24"/>
        </w:rPr>
      </w:pPr>
      <w:r>
        <w:rPr>
          <w:rFonts w:ascii="宋体" w:hAnsi="Courier New" w:cs="Courier New"/>
          <w:sz w:val="24"/>
          <w:szCs w:val="24"/>
        </w:rPr>
      </w:r>
      <w:r/>
    </w:p>
    <w:p>
      <w:pPr>
        <w:pStyle w:val="699"/>
        <w:rPr>
          <w:rFonts w:ascii="宋体" w:hAnsi="Courier New" w:cs="Courier New"/>
          <w:sz w:val="24"/>
          <w:szCs w:val="24"/>
        </w:rPr>
      </w:pPr>
      <w:r>
        <w:rPr>
          <w:rFonts w:ascii="宋体" w:hAnsi="Courier New" w:cs="Courier New"/>
          <w:sz w:val="24"/>
          <w:szCs w:val="24"/>
        </w:rPr>
      </w:r>
      <w:r/>
    </w:p>
    <w:p>
      <w:pPr>
        <w:pStyle w:val="696"/>
      </w:pPr>
      <w:r/>
      <w:r/>
    </w:p>
    <w:p>
      <w:pPr>
        <w:pStyle w:val="746"/>
        <w:rPr>
          <w:rFonts w:ascii="宋体" w:hAnsi="Courier New" w:cs="Courier New"/>
          <w:sz w:val="24"/>
          <w:szCs w:val="24"/>
        </w:rPr>
      </w:pPr>
      <w:r>
        <w:rPr>
          <w:rFonts w:ascii="宋体" w:hAnsi="Courier New" w:cs="Courier New"/>
          <w:sz w:val="24"/>
          <w:szCs w:val="24"/>
        </w:rPr>
      </w:r>
      <w:r/>
    </w:p>
    <w:p>
      <w:pPr>
        <w:pStyle w:val="746"/>
        <w:rPr>
          <w:rFonts w:ascii="宋体" w:hAnsi="Courier New" w:cs="Courier New"/>
          <w:sz w:val="24"/>
          <w:szCs w:val="24"/>
        </w:rPr>
      </w:pPr>
      <w:r>
        <w:rPr>
          <w:rFonts w:ascii="宋体" w:hAnsi="Courier New" w:cs="Courier New"/>
          <w:sz w:val="24"/>
          <w:szCs w:val="24"/>
        </w:rPr>
      </w:r>
      <w:r/>
    </w:p>
    <w:p>
      <w:pPr>
        <w:pStyle w:val="696"/>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80"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696"/>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96"/>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bookmarkStart w:id="181" w:name="OLE_LINK1"/>
      <w:r>
        <w:rPr>
          <w:rFonts w:hint="eastAsia" w:ascii="方正仿宋_GBK" w:hAnsi="方正仿宋_GBK" w:eastAsia="方正仿宋_GBK" w:cs="方正仿宋_GBK"/>
          <w:sz w:val="28"/>
          <w:szCs w:val="28"/>
        </w:rPr>
        <w:t xml:space="preserve">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bookmarkEnd w:id="181"/>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6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pPr>
      <w:r>
        <w:rPr>
          <w:rFonts w:hint="eastAsia" w:ascii="方正仿宋_GBK" w:hAnsi="方正仿宋_GBK" w:eastAsia="方正仿宋_GBK" w:cs="方正仿宋_GBK"/>
          <w:color w:val="000000"/>
          <w:sz w:val="28"/>
          <w:szCs w:val="28"/>
          <w:lang w:val="en-US" w:eastAsia="zh-CN"/>
        </w:rPr>
        <w:t xml:space="preserve">7.4评审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p>
    <w:p>
      <w:pPr>
        <w:pStyle w:val="696"/>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1、磋商响应报价（10分）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用低价优先法计算，即满足磋商文件要求且价格最低的磋商响应报价为评标基准价，其价格分为满分。其他磋商响应供应商的价格分统一按照下列公式计算：磋商响应报价得分=（评标基准价/磋商响应报价）×10（小数点保留两位）。</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2、需求响应（44分）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产品技术参数参照第四章采购需求打分，斜体且有下划线部分条款为必须满足项，如有负偏离将作为无效磋商响应。</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2.1 根据“2.2.3 功能栏目建设需求”中的除标注视频演示的各子模块功能需求响应情况进行评分。全部满足得22分；存在负偏离的，每有一项负偏离扣1分，扣完为止。</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2.2 根据“2.4技术指标要求”、“2.5性能要求”、“2.6安全要求”的响应情况进行打分。全部满足得22分；存在负偏离的，每有一项负偏离扣1分，扣完为止。（22分）</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3、技术方案（25分）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3.1 评委根据磋商响应文件对磋商文件第四章“采购需求”中“总体设计方案”要求的响应情况评审</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（1）磋商响应文件未符合"总体设计方案"中全部条款要求的，视为不符合磋商文件，本项得0分；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（2）磋商响应文件符合"总体设计方案"中全部条款要求的，视为符合磋商文件，本项得3分；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评委认定，磋商响应文件对"总体设计方案"中"系统分层架构设计"、"页面设计"、"数据架构设计"等要求的响应内容全部优于磋商文件要求的（除上述要求外其他要求响应内容符合磋商文件要求），本项得5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3.2 评委根据磋商响应文件对磋商文件第四章“采购需求”中“安全保障技术方案”要求的响应情况评审</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（1）磋商响应文件未符合"安全保障技术方案"中全部条款要求的，视为不符合磋商文件，本项得0分；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（2）磋商响应文件符合"安全保障技术方案"中全部条款要求的，视为符合磋商文件，本项得3分；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评委认定，磋商响应文件对"安全保障技术方案"中"信息访问"、"传输和储存安全"、"网络安全"等层面对系统的安全管理体系进行架构设计要求的响应内容全部优于磋商文件要求的（除上述要求外其他要求响应内容符合磋商文件要求），本项得5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3.3 评委根据磋商响应文件对磋商文件第四章“采购需求”中“项目实施保障方案”要求的响应情况评审</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（1）磋商响应文件未符合"项目实施保障方案"中全部条款要求的，视为不符合磋商文件，本项得0分；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（2）磋商响应文件符合"项目实施保障方案"中全部条款要求的，视为符合磋商文件，本项得3分；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（3）经评委认定，磋商响应文件对"项目实施保障方案"中"质量保障方案"、"进度保障方案"等要求的响应内容全部优于磋商文件要求的（除上述要求外其他要求响应内容符合磋商文件要求），本项得5分。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3.4 评委根据磋商响应文件对磋商文件第四章“采购需求”中“培训方案”要求的响应情况评审</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（1）磋商响应文件未符合"培训方案"中全部条款要求的，视为不符合磋商文件，本项得0分；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（2）磋商响应文件符合"培训方案"中全部条款要求的，视为符合磋商文件，本项得3分；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（3）经评委认定，磋商响应文件对"培训方案"中"系统运行管理"、"业务操作培训"等培训内容要求的响应内容全部优于磋商文件要求的（除上述要求外其他要求响应内容符合磋商文件要求），本项得5分。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3.5 评委根据磋商响应文件对磋商文件第四章“采购需求”中“售后维保服务方案”要求的响应情况评审</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（1）磋商响应文件未符合"售后维保服务方案"中全部条款要求的，视为不符合磋商文件，本项得0分；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（2）磋商响应文件符合"售后维保服务方案"中全部条款要求的，视为符合磋商文件，本项得3分；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评委认定，磋商响应文件对"售后维保服务方案"中质保期外免费的"技术指导"、"咨询"、"问题解答"等要求的响应内容全部优于磋商文件要求的（除上述要求外其他要求响应内容符合磋商文件要求），本项得5分。</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4、项目案例（5分）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磋商响应供应商应提供2023年1月1日以来承接并通过验收的类似项目案例，类似项目是指项目名称包含"仪器管理"或"实验室管理"关键词，且建设内容与本项目在仪器基本信息管理、使用记录管理、维修维护、报废管理、移动端应用、物联接入、统一身份认证对接、国产化部署适配、智能硬件接入等方面具有相关性或相似性的项目。根据所提供案例数量及与本项目的匹配程度进行评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4.1每提供1个通过验收的类似项目案例得2分，最高得4分。所提供项目名称须包含仪器管理或实验室管理，且能够反映仪器基本信息管理、使用记录管理、维修维护、报废管理、移动端应用、物联接入等任意3项核心建设内容，否则本小项不得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4.2在满足上述基础上，同一项目案例中还包含统一身份认证对接、国产化部署适配、智能硬件接入中的任意2项复杂建设内容的，加1分。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本项最高得5分。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注：须提供合同复印件或扫描件及项目验收证明材料，并加盖磋商响应供应商公章，合同内容需能清晰反映相关建设内容。同一最终用户的不同期项目，如合同独立、验收独立、建设内容独立的，可分别认定，其他情况不重复计分。</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5、软件自主研发能力（3分）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磋商响应供应商具有由国家版权局颁发的相关软件著作权登记证书，证书名称包含与本项目有关的“仪器管理”或“内容管理”或“实验室管理”的软件著作权证书，每提供一种得1.5分，同一种软件著作权证不重复得分，满分3分。</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注：如磋商响应文件中提供的著作权名称表述与磋商文件描述的关键字样不一致，而该磋商响应文件中能证明磋商响应供应商拥有的著作权具有相同或相似功能和效果的，视同符合要求。</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6、实施团队（3分）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6.1磋商响应供应商拟投入本项目的项目负责人具备本科及以上学历的，得1分；承担过类似的信息化服务项目的，每提供一个案例，得1分，两者合计最多得2分。（需提供学历证书复印件或扫描件、磋商响应供应商为该人员缴纳的近3个月内任意一个月的社保证明材料并加盖公章，案例材料需提供合同复印件或扫描件，并附磋商响应文件中关于该人员参与此项目的凭证说明）</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6.2磋商响应供应商拟投入本项目的专业技术人员具备信息化项目开发实施经验，提供相关项目经验证明材料，每提供1人得0.5分，最高得1分。（需提供磋商响应供应商为该人员缴纳的近3个月内任意一个月的社保证明材料并加盖公章。案例材料需提供合同复印件或扫描件，并附磋商响应文件中关于该人员参与此项目的凭证说明）项目负责人不得与专业技术人员为同一人。</w:t>
      </w:r>
      <w:r>
        <w:rPr>
          <w:rFonts w:hint="eastAsia" w:ascii="方正仿宋_GBK" w:hAnsi="方正仿宋_GBK" w:eastAsia="方正仿宋_GBK" w:cs="方正仿宋_GBK"/>
          <w:color w:val="000000"/>
          <w:sz w:val="28"/>
          <w:szCs w:val="28"/>
          <w:lang w:val="en-US" w:eastAsia="zh-CN"/>
        </w:rPr>
      </w:r>
      <w:r/>
    </w:p>
    <w:p>
      <w:pPr>
        <w:pStyle w:val="696"/>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7、系统演示（10分）</w:t>
      </w:r>
      <w:r>
        <w:rPr>
          <w:rFonts w:hint="eastAsia" w:ascii="方正仿宋_GBK" w:hAnsi="方正仿宋_GBK" w:eastAsia="方正仿宋_GBK" w:cs="方正仿宋_GBK"/>
          <w:b/>
          <w:bCs/>
          <w:color w:val="000000"/>
          <w:sz w:val="28"/>
          <w:szCs w:val="28"/>
          <w:lang w:val="en-US" w:eastAsia="zh-CN"/>
        </w:rPr>
      </w:r>
      <w:r/>
    </w:p>
    <w:p>
      <w:pPr>
        <w:pStyle w:val="696"/>
        <w:ind w:firstLine="560"/>
        <w:keepLines w:val="0"/>
        <w:keepNext w:val="0"/>
        <w:pageBreakBefore w:val="0"/>
        <w:spacing w:line="400" w:lineRule="exact"/>
        <w:widowControl w:val="off"/>
        <w:rPr>
          <w:rFonts w:ascii="Times New Roman" w:hAnsi="Times New Roman"/>
          <w:szCs w:val="21"/>
        </w:rPr>
      </w:pPr>
      <w:r>
        <w:rPr>
          <w:rFonts w:hint="eastAsia" w:ascii="方正仿宋_GBK" w:hAnsi="方正仿宋_GBK" w:eastAsia="方正仿宋_GBK" w:cs="方正仿宋_GBK"/>
          <w:color w:val="000000"/>
          <w:sz w:val="28"/>
          <w:szCs w:val="28"/>
          <w:lang w:val="en-US" w:eastAsia="zh-CN"/>
        </w:rPr>
        <w:t xml:space="preserve">按照第四章6.3“演示要求”内容评分，单个功能点符合要求得2分。上述功能模块未完全演示或未演示不得分。采用PPT、Word等方式进行模拟演示的，需乘以系数0.5后为演示的最终得分。</w:t>
      </w:r>
      <w:r>
        <w:rPr>
          <w:rFonts w:ascii="Times New Roman" w:hAnsi="Times New Roman"/>
          <w:szCs w:val="21"/>
        </w:rPr>
      </w:r>
      <w:r/>
    </w:p>
    <w:p>
      <w:pPr>
        <w:pStyle w:val="696"/>
        <w:rPr>
          <w:rFonts w:ascii="Times New Roman" w:hAnsi="Times New Roman"/>
          <w:szCs w:val="21"/>
        </w:rPr>
      </w:pPr>
      <w:r>
        <w:rPr>
          <w:rFonts w:ascii="Times New Roman" w:hAnsi="Times New Roman"/>
          <w:szCs w:val="21"/>
        </w:rPr>
      </w:r>
      <w:r/>
    </w:p>
    <w:p>
      <w:pPr>
        <w:pStyle w:val="696"/>
        <w:rPr>
          <w:rFonts w:ascii="Times New Roman" w:hAnsi="Times New Roman"/>
          <w:szCs w:val="21"/>
        </w:rPr>
      </w:pPr>
      <w:r>
        <w:rPr>
          <w:rFonts w:ascii="Times New Roman" w:hAnsi="Times New Roman"/>
          <w:szCs w:val="21"/>
        </w:rPr>
      </w:r>
      <w:r/>
    </w:p>
    <w:p>
      <w:pPr>
        <w:pStyle w:val="696"/>
        <w:rPr>
          <w:rFonts w:ascii="Times New Roman" w:hAnsi="Times New Roman"/>
          <w:szCs w:val="21"/>
        </w:rPr>
      </w:pPr>
      <w:r/>
      <w:bookmarkEnd w:id="176"/>
      <w:r/>
      <w:bookmarkEnd w:id="177"/>
      <w:r/>
      <w:bookmarkEnd w:id="180"/>
      <w:r>
        <w:rPr>
          <w:rFonts w:ascii="Times New Roman" w:hAnsi="Times New Roman"/>
          <w:szCs w:val="21"/>
        </w:rPr>
      </w:r>
      <w:r/>
    </w:p>
    <w:p>
      <w:pPr>
        <w:pStyle w:val="882"/>
        <w:keepLines/>
        <w:keepNext/>
        <w:pageBreakBefore w:val="0"/>
        <w:spacing w:line="400" w:lineRule="exact"/>
        <w:widowControl w:val="off"/>
        <w:rPr>
          <w:rFonts w:hint="eastAsia" w:ascii="黑体" w:hAnsi="黑体" w:eastAsia="黑体" w:cs="Arial"/>
          <w:b w:val="0"/>
          <w:bCs w:val="0"/>
          <w:sz w:val="28"/>
          <w:szCs w:val="28"/>
        </w:rPr>
      </w:pPr>
      <w:r/>
      <w:bookmarkStart w:id="182" w:name="_Toc49090576"/>
      <w:r/>
      <w:bookmarkStart w:id="183" w:name="_Toc26554094"/>
      <w:r/>
      <w:bookmarkStart w:id="184" w:name="_Toc120614282"/>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rPr>
      </w:pPr>
      <w:r>
        <w:rPr>
          <w:rFonts w:hint="eastAsia"/>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4"/>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82"/>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696"/>
        <w:jc w:val="center"/>
        <w:rPr>
          <w:rFonts w:hint="eastAsia" w:ascii="宋体" w:hAnsi="宋体"/>
          <w:b/>
          <w:sz w:val="72"/>
          <w:szCs w:val="21"/>
        </w:rPr>
      </w:pPr>
      <w:r/>
      <w:bookmarkStart w:id="185" w:name="_Hlt26671244"/>
      <w:r/>
      <w:bookmarkEnd w:id="185"/>
      <w:r/>
      <w:bookmarkStart w:id="186" w:name="_Hlt26955039"/>
      <w:r/>
      <w:bookmarkEnd w:id="186"/>
      <w:r>
        <w:rPr>
          <w:rFonts w:hint="eastAsia" w:ascii="宋体" w:hAnsi="宋体"/>
          <w:b/>
          <w:sz w:val="72"/>
          <w:szCs w:val="21"/>
        </w:rPr>
      </w:r>
      <w:r/>
    </w:p>
    <w:p>
      <w:pPr>
        <w:pStyle w:val="696"/>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696"/>
        <w:jc w:val="center"/>
        <w:rPr>
          <w:rFonts w:hint="eastAsia" w:ascii="宋体" w:hAnsi="宋体"/>
          <w:b/>
          <w:sz w:val="72"/>
          <w:szCs w:val="21"/>
        </w:rPr>
      </w:pPr>
      <w:r>
        <w:rPr>
          <w:rFonts w:hint="eastAsia" w:ascii="宋体" w:hAnsi="宋体"/>
          <w:b/>
          <w:sz w:val="72"/>
          <w:szCs w:val="21"/>
        </w:rPr>
      </w:r>
      <w:r/>
    </w:p>
    <w:p>
      <w:pPr>
        <w:pStyle w:val="696"/>
        <w:jc w:val="center"/>
        <w:rPr>
          <w:rFonts w:hint="eastAsia" w:ascii="宋体" w:hAnsi="宋体"/>
          <w:b/>
          <w:sz w:val="72"/>
          <w:szCs w:val="21"/>
        </w:rPr>
      </w:pPr>
      <w:r>
        <w:rPr>
          <w:rFonts w:hint="eastAsia" w:ascii="宋体" w:hAnsi="宋体"/>
          <w:b/>
          <w:sz w:val="72"/>
          <w:szCs w:val="21"/>
        </w:rPr>
      </w:r>
      <w:r/>
    </w:p>
    <w:p>
      <w:pPr>
        <w:pStyle w:val="696"/>
        <w:jc w:val="center"/>
        <w:rPr>
          <w:rFonts w:hint="eastAsia" w:ascii="宋体" w:hAnsi="宋体"/>
          <w:b/>
          <w:sz w:val="36"/>
          <w:szCs w:val="21"/>
        </w:rPr>
      </w:pPr>
      <w:r>
        <w:rPr>
          <w:rFonts w:hint="eastAsia" w:ascii="宋体" w:hAnsi="宋体"/>
          <w:b/>
          <w:sz w:val="36"/>
          <w:szCs w:val="21"/>
        </w:rPr>
      </w:r>
      <w:r/>
    </w:p>
    <w:p>
      <w:pPr>
        <w:pStyle w:val="696"/>
        <w:jc w:val="center"/>
        <w:rPr>
          <w:rFonts w:hint="eastAsia" w:ascii="宋体" w:hAnsi="宋体"/>
          <w:b/>
          <w:sz w:val="36"/>
          <w:szCs w:val="21"/>
        </w:rPr>
      </w:pPr>
      <w:r>
        <w:rPr>
          <w:rFonts w:hint="eastAsia" w:ascii="宋体" w:hAnsi="宋体"/>
          <w:b/>
          <w:sz w:val="36"/>
          <w:szCs w:val="21"/>
        </w:rPr>
      </w:r>
      <w:r/>
    </w:p>
    <w:p>
      <w:pPr>
        <w:pStyle w:val="696"/>
        <w:jc w:val="center"/>
        <w:rPr>
          <w:rFonts w:hint="eastAsia" w:ascii="宋体" w:hAnsi="宋体"/>
          <w:b/>
          <w:sz w:val="36"/>
          <w:szCs w:val="21"/>
        </w:rPr>
      </w:pPr>
      <w:r>
        <w:rPr>
          <w:rFonts w:hint="eastAsia" w:ascii="宋体" w:hAnsi="宋体"/>
          <w:b/>
          <w:sz w:val="36"/>
          <w:szCs w:val="21"/>
        </w:rPr>
      </w:r>
      <w:r/>
    </w:p>
    <w:p>
      <w:pPr>
        <w:pStyle w:val="69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69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69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69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696"/>
        <w:jc w:val="center"/>
        <w:spacing w:line="440" w:lineRule="exact"/>
        <w:rPr>
          <w:rFonts w:hint="eastAsia" w:ascii="宋体" w:hAnsi="宋体"/>
          <w:b/>
          <w:bCs/>
          <w:sz w:val="32"/>
          <w:szCs w:val="32"/>
        </w:rPr>
      </w:pPr>
      <w:r>
        <w:rPr>
          <w:rFonts w:hint="eastAsia" w:ascii="宋体" w:hAnsi="宋体"/>
          <w:b/>
          <w:bCs/>
          <w:sz w:val="32"/>
          <w:szCs w:val="32"/>
        </w:rPr>
      </w:r>
      <w:r/>
    </w:p>
    <w:p>
      <w:pPr>
        <w:pStyle w:val="696"/>
        <w:spacing w:line="440" w:lineRule="exact"/>
        <w:rPr>
          <w:rFonts w:ascii="宋体" w:hAnsi="宋体"/>
          <w:szCs w:val="21"/>
        </w:rPr>
      </w:pPr>
      <w:r>
        <w:rPr>
          <w:rFonts w:ascii="宋体" w:hAnsi="宋体"/>
          <w:szCs w:val="21"/>
        </w:rPr>
      </w:r>
      <w:r/>
    </w:p>
    <w:p>
      <w:pPr>
        <w:pStyle w:val="696"/>
        <w:spacing w:line="440" w:lineRule="exact"/>
        <w:rPr>
          <w:rFonts w:ascii="宋体" w:hAnsi="宋体"/>
          <w:szCs w:val="21"/>
        </w:rPr>
      </w:pPr>
      <w:r>
        <w:rPr>
          <w:rFonts w:ascii="宋体" w:hAnsi="宋体"/>
          <w:szCs w:val="21"/>
        </w:rPr>
      </w:r>
      <w:r/>
    </w:p>
    <w:p>
      <w:pPr>
        <w:pStyle w:val="696"/>
        <w:spacing w:line="440" w:lineRule="exact"/>
        <w:rPr>
          <w:rFonts w:ascii="宋体" w:hAnsi="宋体"/>
          <w:szCs w:val="21"/>
        </w:rPr>
      </w:pPr>
      <w:r>
        <w:rPr>
          <w:rFonts w:ascii="宋体" w:hAnsi="宋体"/>
          <w:szCs w:val="21"/>
        </w:rPr>
      </w:r>
      <w:r/>
    </w:p>
    <w:p>
      <w:pPr>
        <w:pStyle w:val="696"/>
        <w:spacing w:line="440" w:lineRule="exact"/>
        <w:rPr>
          <w:rFonts w:ascii="宋体" w:hAnsi="宋体"/>
          <w:szCs w:val="21"/>
        </w:rPr>
      </w:pPr>
      <w:r>
        <w:rPr>
          <w:rFonts w:ascii="宋体" w:hAnsi="宋体"/>
          <w:szCs w:val="21"/>
        </w:rPr>
      </w:r>
      <w:r/>
    </w:p>
    <w:p>
      <w:pPr>
        <w:pStyle w:val="696"/>
        <w:rPr>
          <w:rFonts w:ascii="宋体" w:hAnsi="宋体"/>
          <w:b/>
          <w:bCs/>
          <w:sz w:val="32"/>
          <w:szCs w:val="32"/>
        </w:rPr>
      </w:pPr>
      <w:r>
        <w:rPr>
          <w:rFonts w:ascii="宋体" w:hAnsi="宋体"/>
          <w:b/>
          <w:bCs/>
          <w:sz w:val="32"/>
          <w:szCs w:val="32"/>
        </w:rPr>
      </w:r>
      <w:r/>
    </w:p>
    <w:p>
      <w:pPr>
        <w:pStyle w:val="696"/>
        <w:rPr>
          <w:rFonts w:ascii="宋体" w:hAnsi="宋体"/>
          <w:b/>
          <w:bCs/>
          <w:sz w:val="32"/>
          <w:szCs w:val="32"/>
        </w:rPr>
      </w:pPr>
      <w:r>
        <w:rPr>
          <w:rFonts w:ascii="宋体" w:hAnsi="宋体"/>
          <w:b/>
          <w:bCs/>
          <w:sz w:val="32"/>
          <w:szCs w:val="32"/>
        </w:rPr>
      </w:r>
      <w:r/>
    </w:p>
    <w:p>
      <w:pPr>
        <w:pStyle w:val="696"/>
        <w:rPr>
          <w:rFonts w:ascii="宋体" w:hAnsi="宋体"/>
          <w:b/>
          <w:bCs/>
          <w:sz w:val="32"/>
          <w:szCs w:val="32"/>
        </w:rPr>
      </w:pPr>
      <w:r>
        <w:rPr>
          <w:rFonts w:ascii="宋体" w:hAnsi="宋体"/>
          <w:b/>
          <w:bCs/>
          <w:sz w:val="32"/>
          <w:szCs w:val="32"/>
        </w:rPr>
      </w:r>
      <w:r/>
    </w:p>
    <w:p>
      <w:pPr>
        <w:pStyle w:val="696"/>
        <w:rPr>
          <w:rFonts w:ascii="宋体" w:hAnsi="宋体"/>
          <w:b/>
          <w:bCs/>
          <w:sz w:val="32"/>
          <w:szCs w:val="32"/>
        </w:rPr>
      </w:pPr>
      <w:r>
        <w:rPr>
          <w:rFonts w:ascii="宋体" w:hAnsi="宋体"/>
          <w:b/>
          <w:bCs/>
          <w:sz w:val="32"/>
          <w:szCs w:val="32"/>
        </w:rPr>
      </w:r>
      <w:r/>
    </w:p>
    <w:p>
      <w:pPr>
        <w:pStyle w:val="696"/>
        <w:rPr>
          <w:rFonts w:ascii="宋体" w:hAnsi="宋体"/>
          <w:b/>
          <w:bCs/>
          <w:sz w:val="32"/>
          <w:szCs w:val="32"/>
        </w:rPr>
      </w:pPr>
      <w:r>
        <w:rPr>
          <w:rFonts w:ascii="宋体" w:hAnsi="宋体"/>
          <w:b/>
          <w:bCs/>
          <w:sz w:val="32"/>
          <w:szCs w:val="32"/>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696"/>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6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6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ind w:left="480"/>
        <w:rPr>
          <w:rFonts w:ascii="宋体" w:hAnsi="宋体"/>
          <w:b/>
          <w:sz w:val="24"/>
          <w:szCs w:val="21"/>
        </w:rPr>
      </w:pPr>
      <w:r>
        <w:rPr>
          <w:rFonts w:ascii="宋体" w:hAnsi="宋体"/>
          <w:b/>
          <w:sz w:val="24"/>
          <w:szCs w:val="21"/>
        </w:rPr>
      </w:r>
      <w:r/>
    </w:p>
    <w:p>
      <w:pPr>
        <w:pStyle w:val="696"/>
        <w:rPr>
          <w:rFonts w:ascii="宋体" w:hAnsi="宋体"/>
          <w:b/>
          <w:sz w:val="24"/>
          <w:szCs w:val="21"/>
        </w:rPr>
      </w:pPr>
      <w:r>
        <w:rPr>
          <w:rFonts w:ascii="宋体" w:hAnsi="宋体"/>
          <w:b/>
          <w:sz w:val="24"/>
          <w:szCs w:val="21"/>
        </w:rPr>
      </w:r>
      <w:r/>
    </w:p>
    <w:p>
      <w:pPr>
        <w:pStyle w:val="696"/>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序号</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w:t>
            </w: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w:t>
            </w: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w:t>
            </w: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w:t>
            </w:r>
            <w:r>
              <w:rPr>
                <w:rFonts w:hint="eastAsia" w:ascii="方正仿宋_GBK" w:hAnsi="方正仿宋_GBK" w:eastAsia="方正仿宋_GBK" w:cs="方正仿宋_GBK"/>
                <w:color w:val="000000"/>
                <w:sz w:val="28"/>
                <w:szCs w:val="28"/>
                <w:lang w:val="en-US" w:eastAsia="zh-CN" w:bidi="ar-SA"/>
              </w:rPr>
            </w:r>
            <w:r/>
          </w:p>
        </w:tc>
        <w:tc>
          <w:tcPr>
            <w:tcW w:w="104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6</w:t>
            </w:r>
            <w:r>
              <w:rPr>
                <w:rFonts w:hint="eastAsia" w:ascii="方正仿宋_GBK" w:hAnsi="方正仿宋_GBK" w:eastAsia="方正仿宋_GBK" w:cs="方正仿宋_GBK"/>
                <w:color w:val="000000"/>
                <w:sz w:val="28"/>
                <w:szCs w:val="28"/>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7</w:t>
            </w: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8</w:t>
            </w: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9</w:t>
            </w:r>
            <w:r>
              <w:rPr>
                <w:rFonts w:hint="eastAsia" w:ascii="方正仿宋_GBK" w:hAnsi="方正仿宋_GBK" w:eastAsia="方正仿宋_GBK" w:cs="方正仿宋_GBK"/>
                <w:color w:val="000000"/>
                <w:sz w:val="28"/>
                <w:szCs w:val="28"/>
                <w:lang w:val="en-US" w:eastAsia="zh-CN" w:bidi="ar-SA"/>
              </w:rPr>
            </w:r>
            <w:r/>
          </w:p>
        </w:tc>
      </w:tr>
      <w:tr>
        <w:trPr>
          <w:cantSplit/>
          <w:trHeight w:val="294"/>
        </w:trPr>
        <w:tc>
          <w:tcPr>
            <w:tcW w:w="7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分项服务名称/货物名称</w:t>
            </w: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品牌</w:t>
            </w: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规格</w:t>
            </w:r>
            <w:r>
              <w:rPr>
                <w:rFonts w:hint="eastAsia" w:ascii="方正仿宋_GBK" w:hAnsi="方正仿宋_GBK" w:eastAsia="方正仿宋_GBK" w:cs="方正仿宋_GBK"/>
                <w:color w:val="000000"/>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型号</w:t>
            </w: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制造商名称</w:t>
            </w:r>
            <w:r>
              <w:rPr>
                <w:rFonts w:hint="eastAsia" w:ascii="方正仿宋_GBK" w:hAnsi="方正仿宋_GBK" w:eastAsia="方正仿宋_GBK" w:cs="方正仿宋_GBK"/>
                <w:color w:val="000000"/>
                <w:sz w:val="28"/>
                <w:szCs w:val="28"/>
                <w:lang w:val="en-US" w:eastAsia="zh-CN" w:bidi="ar-SA"/>
              </w:rPr>
            </w:r>
            <w:r/>
          </w:p>
        </w:tc>
        <w:tc>
          <w:tcPr>
            <w:tcW w:w="104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产地</w:t>
            </w: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交付期/服务期</w:t>
            </w:r>
            <w:r>
              <w:rPr>
                <w:rFonts w:hint="eastAsia" w:ascii="方正仿宋_GBK" w:hAnsi="方正仿宋_GBK" w:eastAsia="方正仿宋_GBK" w:cs="方正仿宋_GBK"/>
                <w:color w:val="000000"/>
                <w:sz w:val="28"/>
                <w:szCs w:val="28"/>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数量</w:t>
            </w: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分项</w:t>
            </w:r>
            <w:r>
              <w:rPr>
                <w:rFonts w:hint="eastAsia" w:ascii="方正仿宋_GBK" w:hAnsi="方正仿宋_GBK" w:eastAsia="方正仿宋_GBK" w:cs="方正仿宋_GBK"/>
                <w:color w:val="000000"/>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单价</w:t>
            </w: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分项</w:t>
            </w:r>
            <w:r>
              <w:rPr>
                <w:rFonts w:hint="eastAsia" w:ascii="方正仿宋_GBK" w:hAnsi="方正仿宋_GBK" w:eastAsia="方正仿宋_GBK" w:cs="方正仿宋_GBK"/>
                <w:color w:val="000000"/>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总价</w:t>
            </w:r>
            <w:r>
              <w:rPr>
                <w:rFonts w:hint="eastAsia" w:ascii="方正仿宋_GBK" w:hAnsi="方正仿宋_GBK" w:eastAsia="方正仿宋_GBK" w:cs="方正仿宋_GBK"/>
                <w:color w:val="000000"/>
                <w:sz w:val="28"/>
                <w:szCs w:val="28"/>
                <w:lang w:val="en-US" w:eastAsia="zh-CN" w:bidi="ar-SA"/>
              </w:rPr>
            </w:r>
            <w:r/>
          </w:p>
        </w:tc>
      </w:tr>
      <w:tr>
        <w:trPr>
          <w:cantSplit/>
          <w:trHeight w:val="696"/>
        </w:trPr>
        <w:tc>
          <w:tcPr>
            <w:tcW w:w="7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cyan"/>
                <w:lang w:val="en-US" w:eastAsia="zh-CN" w:bidi="ar-SA"/>
              </w:rPr>
            </w:pPr>
            <w:r>
              <w:rPr>
                <w:rFonts w:hint="eastAsia" w:ascii="方正仿宋_GBK" w:hAnsi="方正仿宋_GBK" w:eastAsia="方正仿宋_GBK" w:cs="方正仿宋_GBK"/>
                <w:color w:val="000000"/>
                <w:sz w:val="28"/>
                <w:szCs w:val="28"/>
                <w:highlight w:val="cyan"/>
                <w:lang w:val="en-US" w:eastAsia="zh-CN" w:bidi="ar-SA"/>
              </w:rPr>
            </w:r>
            <w:r/>
          </w:p>
        </w:tc>
        <w:tc>
          <w:tcPr>
            <w:tcW w:w="104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val="en-US" w:eastAsia="zh-CN" w:bidi="ar-SA"/>
              </w:rPr>
            </w:pPr>
            <w:r>
              <w:rPr>
                <w:rFonts w:hint="eastAsia" w:ascii="方正仿宋_GBK" w:hAnsi="方正仿宋_GBK" w:eastAsia="方正仿宋_GBK" w:cs="方正仿宋_GBK"/>
                <w:color w:val="000000"/>
                <w:sz w:val="28"/>
                <w:szCs w:val="28"/>
                <w:lang w:val="en-US" w:eastAsia="zh-CN" w:bidi="ar-SA"/>
              </w:rPr>
              <w:t xml:space="preserve">合同签订后</w:t>
            </w:r>
            <w:r>
              <w:rPr>
                <w:rFonts w:hint="eastAsia" w:ascii="方正仿宋_GBK" w:hAnsi="方正仿宋_GBK" w:eastAsia="方正仿宋_GBK" w:cs="方正仿宋_GBK"/>
                <w:color w:val="000000"/>
                <w:sz w:val="28"/>
                <w:szCs w:val="28"/>
                <w:u w:val="single"/>
                <w:lang w:val="en-US" w:eastAsia="zh-CN" w:bidi="ar-SA"/>
              </w:rPr>
              <w:t xml:space="preserve">  </w:t>
            </w:r>
            <w:r>
              <w:rPr>
                <w:rFonts w:hint="eastAsia" w:ascii="方正仿宋_GBK" w:hAnsi="方正仿宋_GBK" w:eastAsia="方正仿宋_GBK" w:cs="方正仿宋_GBK"/>
                <w:color w:val="000000"/>
                <w:sz w:val="28"/>
                <w:szCs w:val="28"/>
                <w:lang w:val="en-US" w:eastAsia="zh-CN" w:bidi="ar-SA"/>
              </w:rPr>
              <w:t xml:space="preserve">日</w:t>
            </w:r>
            <w:r>
              <w:rPr>
                <w:rFonts w:hint="eastAsia" w:ascii="方正仿宋_GBK" w:hAnsi="方正仿宋_GBK" w:eastAsia="方正仿宋_GBK" w:cs="方正仿宋_GBK"/>
                <w:color w:val="000000"/>
                <w:sz w:val="28"/>
                <w:szCs w:val="28"/>
                <w:u w:val="single"/>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724"/>
        </w:trPr>
        <w:tc>
          <w:tcPr>
            <w:tcW w:w="7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4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640"/>
        </w:trPr>
        <w:tc>
          <w:tcPr>
            <w:tcW w:w="7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4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580"/>
        </w:trPr>
        <w:tc>
          <w:tcPr>
            <w:tcW w:w="7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tc>
        <w:tc>
          <w:tcPr>
            <w:tcW w:w="110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tc>
        <w:tc>
          <w:tcPr>
            <w:tcW w:w="1064"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8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040"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25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920"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86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434"/>
        </w:trPr>
        <w:tc>
          <w:tcPr>
            <w:gridSpan w:val="10"/>
            <w:tcW w:w="9861" w:type="dxa"/>
            <w:vAlign w:val="top"/>
            <w:textDirection w:val="lrTb"/>
            <w:noWrap w:val="false"/>
          </w:tcPr>
          <w:p>
            <w:pPr>
              <w:pStyle w:val="696"/>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val="en-US" w:eastAsia="zh-CN" w:bidi="ar-SA"/>
              </w:rPr>
            </w:pPr>
            <w:r>
              <w:rPr>
                <w:rFonts w:hint="eastAsia" w:ascii="方正仿宋_GBK" w:hAnsi="方正仿宋_GBK" w:eastAsia="方正仿宋_GBK" w:cs="方正仿宋_GBK"/>
                <w:color w:val="000000"/>
                <w:sz w:val="28"/>
                <w:szCs w:val="28"/>
                <w:lang w:val="en-US" w:eastAsia="zh-CN" w:bidi="ar-SA"/>
              </w:rPr>
              <w:t xml:space="preserve">磋商总报价（人民币：元）</w:t>
            </w:r>
            <w:r>
              <w:rPr>
                <w:rFonts w:hint="eastAsia" w:ascii="方正仿宋_GBK" w:hAnsi="方正仿宋_GBK" w:eastAsia="方正仿宋_GBK" w:cs="方正仿宋_GBK"/>
                <w:color w:val="000000"/>
                <w:sz w:val="28"/>
                <w:szCs w:val="28"/>
                <w:u w:val="single"/>
                <w:lang w:val="en-US" w:eastAsia="zh-CN" w:bidi="ar-SA"/>
              </w:rPr>
              <w:t xml:space="preserve">                             </w:t>
            </w:r>
            <w:r>
              <w:rPr>
                <w:rFonts w:hint="eastAsia" w:ascii="方正仿宋_GBK" w:hAnsi="方正仿宋_GBK" w:eastAsia="方正仿宋_GBK" w:cs="方正仿宋_GBK"/>
                <w:color w:val="000000"/>
                <w:sz w:val="28"/>
                <w:szCs w:val="28"/>
                <w:u w:val="single"/>
                <w:lang w:val="en-US" w:eastAsia="zh-CN" w:bidi="ar-SA"/>
              </w:rPr>
            </w:r>
            <w:r/>
          </w:p>
        </w:tc>
      </w:tr>
      <w:tr>
        <w:trPr>
          <w:cantSplit/>
          <w:trHeight w:val="767"/>
        </w:trPr>
        <w:tc>
          <w:tcPr>
            <w:gridSpan w:val="10"/>
            <w:tcW w:w="9861" w:type="dxa"/>
            <w:vAlign w:val="top"/>
            <w:textDirection w:val="lrTb"/>
            <w:noWrap w:val="false"/>
          </w:tcPr>
          <w:p>
            <w:pPr>
              <w:pStyle w:val="939"/>
              <w:ind w:right="0"/>
              <w:jc w:val="left"/>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本采购包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 xml:space="preserve">中</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提供的符合本国产品标准的货物成本之和占该采购包</w:t>
            </w:r>
            <w:r>
              <w:rPr>
                <w:rFonts w:hint="eastAsia" w:ascii="方正仿宋_GBK" w:hAnsi="方正仿宋_GBK" w:eastAsia="方正仿宋_GBK" w:cs="方正仿宋_GBK"/>
                <w:i w:val="0"/>
                <w:iCs w:val="0"/>
                <w:caps w:val="0"/>
                <w:strike w:val="0"/>
                <w:color w:val="000000"/>
                <w:spacing w:val="0"/>
                <w:sz w:val="28"/>
                <w:szCs w:val="28"/>
                <w:highlight w:val="none"/>
                <w:lang w:val="en-US" w:eastAsia="zh-CN" w:bidi="ar-SA"/>
              </w:rPr>
              <w:t xml:space="preserve">全部</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成本之和的比例为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 xml:space="preserve">%</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tc>
      </w:tr>
    </w:tbl>
    <w:p>
      <w:pPr>
        <w:pStyle w:val="696"/>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96"/>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序号</w:t>
            </w:r>
            <w:r>
              <w:rPr>
                <w:rFonts w:hint="eastAsia" w:ascii="方正仿宋_GBK" w:hAnsi="方正仿宋_GBK" w:eastAsia="方正仿宋_GBK" w:cs="方正仿宋_GBK"/>
                <w:sz w:val="28"/>
                <w:szCs w:val="28"/>
                <w:lang w:val="en-US" w:eastAsia="zh-CN" w:bidi="ar-SA"/>
              </w:rPr>
            </w:r>
            <w:r/>
          </w:p>
        </w:tc>
        <w:tc>
          <w:tcPr>
            <w:tcW w:w="3063"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技术要求</w:t>
            </w:r>
            <w:r>
              <w:rPr>
                <w:rFonts w:hint="eastAsia" w:ascii="方正仿宋_GBK" w:hAnsi="方正仿宋_GBK" w:eastAsia="方正仿宋_GBK" w:cs="方正仿宋_GBK"/>
                <w:sz w:val="28"/>
                <w:szCs w:val="28"/>
                <w:lang w:val="en-US" w:eastAsia="zh-CN" w:bidi="ar-SA"/>
              </w:rPr>
            </w:r>
            <w:r/>
          </w:p>
        </w:tc>
        <w:tc>
          <w:tcPr>
            <w:tcW w:w="319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磋商响应情况</w:t>
            </w:r>
            <w:r>
              <w:rPr>
                <w:rFonts w:hint="eastAsia" w:ascii="方正仿宋_GBK" w:hAnsi="方正仿宋_GBK" w:eastAsia="方正仿宋_GBK" w:cs="方正仿宋_GBK"/>
                <w:sz w:val="28"/>
                <w:szCs w:val="28"/>
                <w:lang w:val="en-US" w:eastAsia="zh-CN" w:bidi="ar-SA"/>
              </w:rPr>
            </w:r>
            <w:r/>
          </w:p>
        </w:tc>
        <w:tc>
          <w:tcPr>
            <w:tcW w:w="2128"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超出、符合或</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偏离</w:t>
            </w:r>
            <w:r>
              <w:rPr>
                <w:rFonts w:hint="eastAsia" w:ascii="方正仿宋_GBK" w:hAnsi="方正仿宋_GBK" w:eastAsia="方正仿宋_GBK" w:cs="方正仿宋_GBK"/>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3063"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3191"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212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3063"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tc>
        <w:tc>
          <w:tcPr>
            <w:tcW w:w="3191"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212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bl>
    <w:p>
      <w:pPr>
        <w:pStyle w:val="696"/>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序号</w:t>
            </w:r>
            <w:r>
              <w:rPr>
                <w:rFonts w:hint="eastAsia" w:ascii="方正仿宋_GBK" w:hAnsi="方正仿宋_GBK" w:eastAsia="方正仿宋_GBK" w:cs="方正仿宋_GBK"/>
                <w:sz w:val="28"/>
                <w:szCs w:val="28"/>
                <w:lang w:val="en-US" w:eastAsia="zh-CN" w:bidi="ar-SA"/>
              </w:rPr>
            </w:r>
            <w:r/>
          </w:p>
        </w:tc>
        <w:tc>
          <w:tcPr>
            <w:tcW w:w="3063"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商务要求</w:t>
            </w:r>
            <w:r>
              <w:rPr>
                <w:rFonts w:hint="eastAsia" w:ascii="方正仿宋_GBK" w:hAnsi="方正仿宋_GBK" w:eastAsia="方正仿宋_GBK" w:cs="方正仿宋_GBK"/>
                <w:sz w:val="28"/>
                <w:szCs w:val="28"/>
                <w:lang w:val="en-US" w:eastAsia="zh-CN" w:bidi="ar-SA"/>
              </w:rPr>
            </w:r>
            <w:r/>
          </w:p>
        </w:tc>
        <w:tc>
          <w:tcPr>
            <w:tcW w:w="3191"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磋商响应情况</w:t>
            </w:r>
            <w:r>
              <w:rPr>
                <w:rFonts w:hint="eastAsia" w:ascii="方正仿宋_GBK" w:hAnsi="方正仿宋_GBK" w:eastAsia="方正仿宋_GBK" w:cs="方正仿宋_GBK"/>
                <w:sz w:val="28"/>
                <w:szCs w:val="28"/>
                <w:lang w:val="en-US" w:eastAsia="zh-CN" w:bidi="ar-SA"/>
              </w:rPr>
            </w:r>
            <w:r/>
          </w:p>
        </w:tc>
        <w:tc>
          <w:tcPr>
            <w:tcW w:w="2128"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超出、符合或</w:t>
            </w:r>
            <w:r>
              <w:rPr>
                <w:rFonts w:hint="eastAsia" w:ascii="方正仿宋_GBK" w:hAnsi="方正仿宋_GBK" w:eastAsia="方正仿宋_GBK" w:cs="方正仿宋_GBK"/>
                <w:sz w:val="28"/>
                <w:szCs w:val="28"/>
                <w:lang w:val="en-US" w:eastAsia="zh-CN" w:bidi="ar-SA"/>
              </w:rPr>
            </w:r>
            <w:r/>
          </w:p>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偏离</w:t>
            </w:r>
            <w:r>
              <w:rPr>
                <w:rFonts w:hint="eastAsia" w:ascii="方正仿宋_GBK" w:hAnsi="方正仿宋_GBK" w:eastAsia="方正仿宋_GBK" w:cs="方正仿宋_GBK"/>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lang w:val="en-US" w:eastAsia="zh-CN" w:bidi="ar-SA"/>
              </w:rPr>
            </w:r>
            <w:r/>
          </w:p>
        </w:tc>
        <w:tc>
          <w:tcPr>
            <w:tcW w:w="3063"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3191"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212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3063"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tc>
        <w:tc>
          <w:tcPr>
            <w:tcW w:w="3191"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W w:w="2128"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bl>
    <w:p>
      <w:pPr>
        <w:pStyle w:val="696"/>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696"/>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96"/>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9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96"/>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96"/>
        <w:ind w:firstLine="492"/>
        <w:keepLines w:val="0"/>
        <w:keepNext w:val="0"/>
        <w:pageBreakBefore w:val="0"/>
        <w:spacing w:line="400" w:lineRule="exact"/>
        <w:rPr>
          <w:rFonts w:hint="eastAsia" w:ascii="宋体" w:hAnsi="宋体"/>
          <w:bCs/>
          <w:color w:val="000000"/>
          <w:sz w:val="28"/>
          <w:szCs w:val="28"/>
        </w:rPr>
      </w:pPr>
      <w:r/>
      <w:bookmarkEnd w:id="182"/>
      <w:r/>
      <w:bookmarkEnd w:id="183"/>
      <w:r/>
      <w:bookmarkEnd w:id="184"/>
      <w:r>
        <w:rPr>
          <w:rFonts w:hint="eastAsia" w:ascii="宋体" w:hAnsi="宋体"/>
          <w:bCs/>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bookmarkStart w:id="187" w:name="_Toc120614284"/>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磋商响应供应商</w:t>
      </w:r>
      <w:r>
        <w:rPr>
          <w:rFonts w:hint="eastAsia" w:ascii="方正仿宋_GBK" w:hAnsi="方正仿宋_GBK" w:eastAsia="方正仿宋_GBK" w:cs="方正仿宋_GBK"/>
          <w:color w:val="000000"/>
          <w:sz w:val="28"/>
          <w:szCs w:val="28"/>
        </w:rPr>
        <w:t xml:space="preserve">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8" w:name="_Hlt26955070"/>
      <w:r/>
      <w:bookmarkEnd w:id="188"/>
      <w:r/>
      <w:bookmarkStart w:id="189" w:name="_Hlt26671380"/>
      <w:r/>
      <w:bookmarkEnd w:id="189"/>
      <w:r/>
      <w:bookmarkStart w:id="190" w:name="_格式3__银行出具的资信证明"/>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696"/>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6"/>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6"/>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6"/>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96"/>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6"/>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69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96"/>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96"/>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96"/>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696"/>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6"/>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6"/>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9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696"/>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9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6"/>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9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6"/>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69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96"/>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96"/>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96"/>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96"/>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序号</w:t>
            </w:r>
            <w:r>
              <w:rPr>
                <w:rFonts w:hint="eastAsia" w:ascii="方正仿宋_GBK" w:hAnsi="方正仿宋_GBK" w:eastAsia="方正仿宋_GBK" w:cs="方正仿宋_GBK"/>
                <w:color w:val="000000"/>
                <w:sz w:val="28"/>
                <w:szCs w:val="28"/>
                <w:lang w:val="en-US" w:eastAsia="zh-CN" w:bidi="ar-SA"/>
              </w:rPr>
            </w:r>
            <w:r/>
          </w:p>
        </w:tc>
        <w:tc>
          <w:tcPr>
            <w:tcW w:w="3609"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磋商文件（含技术要求和商务要求）中的实质性要求</w:t>
            </w:r>
            <w:r>
              <w:rPr>
                <w:rFonts w:hint="eastAsia" w:ascii="方正仿宋_GBK" w:hAnsi="方正仿宋_GBK" w:eastAsia="方正仿宋_GBK" w:cs="方正仿宋_GBK"/>
                <w:b/>
                <w:bCs/>
                <w:color w:val="000000"/>
                <w:sz w:val="28"/>
                <w:szCs w:val="28"/>
                <w:lang w:val="en-US" w:eastAsia="zh-CN" w:bidi="ar-SA"/>
              </w:rPr>
              <w:t xml:space="preserve">（</w:t>
            </w:r>
            <w:r>
              <w:rPr>
                <w:rFonts w:hint="eastAsia" w:ascii="方正仿宋_GBK" w:hAnsi="方正仿宋_GBK" w:eastAsia="方正仿宋_GBK" w:cs="方正仿宋_GBK"/>
                <w:b/>
                <w:bCs/>
                <w:i/>
                <w:color w:val="000000"/>
                <w:sz w:val="28"/>
                <w:szCs w:val="28"/>
                <w:u w:val="single"/>
                <w:lang w:val="en-US" w:eastAsia="zh-CN" w:bidi="ar-SA"/>
              </w:rPr>
              <w:t xml:space="preserve">斜体且有下划线部分</w:t>
            </w:r>
            <w:r>
              <w:rPr>
                <w:rFonts w:hint="eastAsia" w:ascii="方正仿宋_GBK" w:hAnsi="方正仿宋_GBK" w:eastAsia="方正仿宋_GBK" w:cs="方正仿宋_GBK"/>
                <w:b/>
                <w:bCs/>
                <w:color w:val="000000"/>
                <w:sz w:val="28"/>
                <w:szCs w:val="28"/>
                <w:lang w:val="en-US" w:eastAsia="zh-CN" w:bidi="ar-SA"/>
              </w:rPr>
              <w:t xml:space="preserve">或加*号条款）</w:t>
            </w:r>
            <w:r>
              <w:rPr>
                <w:rFonts w:hint="eastAsia" w:ascii="方正仿宋_GBK" w:hAnsi="方正仿宋_GBK" w:eastAsia="方正仿宋_GBK" w:cs="方正仿宋_GBK"/>
                <w:color w:val="000000"/>
                <w:sz w:val="28"/>
                <w:szCs w:val="28"/>
                <w:lang w:val="en-US" w:eastAsia="zh-CN" w:bidi="ar-SA"/>
              </w:rPr>
            </w:r>
            <w:r/>
          </w:p>
        </w:tc>
        <w:tc>
          <w:tcPr>
            <w:tcW w:w="3317"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响应情况</w:t>
            </w:r>
            <w:r>
              <w:rPr>
                <w:rFonts w:hint="eastAsia" w:ascii="方正仿宋_GBK" w:hAnsi="方正仿宋_GBK" w:eastAsia="方正仿宋_GBK" w:cs="方正仿宋_GBK"/>
                <w:color w:val="000000"/>
                <w:sz w:val="28"/>
                <w:szCs w:val="28"/>
                <w:lang w:val="en-US" w:eastAsia="zh-CN" w:bidi="ar-SA"/>
              </w:rPr>
            </w:r>
            <w:r/>
          </w:p>
        </w:tc>
        <w:tc>
          <w:tcPr>
            <w:tcW w:w="1526" w:type="dxa"/>
            <w:vAlign w:val="center"/>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超出、符合或偏离</w:t>
            </w:r>
            <w:r>
              <w:rPr>
                <w:rFonts w:hint="eastAsia" w:ascii="方正仿宋_GBK" w:hAnsi="方正仿宋_GBK" w:eastAsia="方正仿宋_GBK" w:cs="方正仿宋_GBK"/>
                <w:color w:val="000000"/>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w:t>
            </w:r>
            <w:r>
              <w:rPr>
                <w:rFonts w:hint="eastAsia" w:ascii="方正仿宋_GBK" w:hAnsi="方正仿宋_GBK" w:eastAsia="方正仿宋_GBK" w:cs="方正仿宋_GBK"/>
                <w:color w:val="000000"/>
                <w:sz w:val="28"/>
                <w:szCs w:val="28"/>
                <w:lang w:val="en-US" w:eastAsia="zh-CN" w:bidi="ar-SA"/>
              </w:rPr>
            </w:r>
            <w:r/>
          </w:p>
        </w:tc>
        <w:tc>
          <w:tcPr>
            <w:tcW w:w="36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3317"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526"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w:t>
            </w:r>
            <w:r>
              <w:rPr>
                <w:rFonts w:hint="eastAsia" w:ascii="方正仿宋_GBK" w:hAnsi="方正仿宋_GBK" w:eastAsia="方正仿宋_GBK" w:cs="方正仿宋_GBK"/>
                <w:color w:val="000000"/>
                <w:sz w:val="28"/>
                <w:szCs w:val="28"/>
                <w:lang w:val="en-US" w:eastAsia="zh-CN" w:bidi="ar-SA"/>
              </w:rPr>
            </w:r>
            <w:r/>
          </w:p>
        </w:tc>
        <w:tc>
          <w:tcPr>
            <w:tcW w:w="36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3317"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526"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r>
        <w:trPr>
          <w:cantSplit/>
          <w:trHeight w:val="640"/>
        </w:trPr>
        <w:tc>
          <w:tcPr>
            <w:tcW w:w="545"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3609"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tc>
        <w:tc>
          <w:tcPr>
            <w:tcW w:w="3317"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c>
          <w:tcPr>
            <w:tcW w:w="1526" w:type="dxa"/>
            <w:vAlign w:val="top"/>
            <w:textDirection w:val="lrTb"/>
            <w:noWrap w:val="false"/>
          </w:tcPr>
          <w:p>
            <w:pPr>
              <w:pStyle w:val="696"/>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tc>
      </w:tr>
    </w:tbl>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6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6"/>
        <w:keepLines w:val="0"/>
        <w:keepNext w:val="0"/>
        <w:pageBreakBefore w:val="0"/>
        <w:spacing w:line="400" w:lineRule="exact"/>
        <w:rPr>
          <w:rFonts w:hint="eastAsia" w:ascii="宋体" w:hAnsi="宋体"/>
          <w:bCs/>
          <w:sz w:val="28"/>
          <w:szCs w:val="28"/>
        </w:rPr>
      </w:pPr>
      <w:r/>
      <w:bookmarkEnd w:id="174"/>
      <w:r/>
      <w:bookmarkEnd w:id="175"/>
      <w:r/>
      <w:bookmarkEnd w:id="187"/>
      <w:r>
        <w:rPr>
          <w:rFonts w:hint="eastAsia" w:ascii="宋体" w:hAnsi="宋体"/>
          <w:bCs/>
          <w:sz w:val="28"/>
          <w:szCs w:val="28"/>
        </w:rPr>
      </w:r>
      <w:r/>
    </w:p>
    <w:p>
      <w:pPr>
        <w:pStyle w:val="696"/>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5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5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39"/>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39"/>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3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5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6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696"/>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96"/>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696"/>
                          </w:pPr>
                          <w:r/>
                          <w:r/>
                        </w:p>
                        <w:p>
                          <w:pPr>
                            <w:pStyle w:val="6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696"/>
                    </w:pPr>
                    <w:r/>
                    <w:r/>
                  </w:p>
                  <w:p>
                    <w:pPr>
                      <w:pStyle w:val="696"/>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96"/>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1">
    <w:multiLevelType w:val="hybridMultilevel"/>
    <w:lvl w:ilvl="0">
      <w:start w:val="1"/>
      <w:numFmt w:val="decimal"/>
      <w:pStyle w:val="973"/>
      <w:isLgl w:val="false"/>
      <w:suff w:val="tab"/>
      <w:lvlText w:val="%1."/>
      <w:lvlJc w:val="left"/>
      <w:pPr>
        <w:pStyle w:val="696"/>
        <w:ind w:left="709" w:hanging="709"/>
        <w:tabs>
          <w:tab w:val="num" w:pos="709" w:leader="none"/>
        </w:tabs>
      </w:pPr>
      <w:rPr>
        <w:rFonts w:hint="eastAsia"/>
      </w:rPr>
    </w:lvl>
    <w:lvl w:ilvl="1">
      <w:start w:val="1"/>
      <w:numFmt w:val="decimal"/>
      <w:isLgl w:val="false"/>
      <w:suff w:val="tab"/>
      <w:lvlText w:val="%1.%2"/>
      <w:lvlJc w:val="left"/>
      <w:pPr>
        <w:pStyle w:val="696"/>
        <w:ind w:left="709" w:hanging="709"/>
        <w:tabs>
          <w:tab w:val="num" w:pos="709" w:leader="none"/>
        </w:tabs>
      </w:pPr>
      <w:rPr>
        <w:rFonts w:hint="eastAsia"/>
      </w:rPr>
    </w:lvl>
    <w:lvl w:ilvl="2">
      <w:start w:val="1"/>
      <w:numFmt w:val="decimal"/>
      <w:isLgl w:val="false"/>
      <w:suff w:val="tab"/>
      <w:lvlText w:val="%1.%2.%3."/>
      <w:lvlJc w:val="left"/>
      <w:pPr>
        <w:pStyle w:val="696"/>
        <w:ind w:left="425" w:hanging="425"/>
        <w:tabs>
          <w:tab w:val="num" w:pos="425" w:leader="none"/>
        </w:tabs>
      </w:pPr>
      <w:rPr>
        <w:rFonts w:hint="eastAsia"/>
      </w:rPr>
    </w:lvl>
    <w:lvl w:ilvl="3">
      <w:start w:val="1"/>
      <w:numFmt w:val="decimal"/>
      <w:isLgl w:val="false"/>
      <w:suff w:val="tab"/>
      <w:lvlText w:val="%1.%2.%3.%4."/>
      <w:lvlJc w:val="left"/>
      <w:pPr>
        <w:pStyle w:val="696"/>
        <w:ind w:left="851" w:hanging="851"/>
        <w:tabs>
          <w:tab w:val="num" w:pos="851" w:leader="none"/>
        </w:tabs>
      </w:pPr>
      <w:rPr>
        <w:rFonts w:hint="eastAsia"/>
      </w:rPr>
    </w:lvl>
    <w:lvl w:ilvl="4">
      <w:start w:val="1"/>
      <w:numFmt w:val="decimal"/>
      <w:isLgl w:val="false"/>
      <w:suff w:val="tab"/>
      <w:lvlText w:val="%1.%2.%3.%4.%5."/>
      <w:lvlJc w:val="left"/>
      <w:pPr>
        <w:pStyle w:val="696"/>
        <w:ind w:left="992" w:hanging="992"/>
        <w:tabs>
          <w:tab w:val="num" w:pos="992" w:leader="none"/>
        </w:tabs>
      </w:pPr>
      <w:rPr>
        <w:rFonts w:hint="eastAsia"/>
      </w:rPr>
    </w:lvl>
    <w:lvl w:ilvl="5">
      <w:start w:val="1"/>
      <w:numFmt w:val="decimal"/>
      <w:isLgl w:val="false"/>
      <w:suff w:val="tab"/>
      <w:lvlText w:val="%1.%2.%3.%4.%5.%6."/>
      <w:lvlJc w:val="left"/>
      <w:pPr>
        <w:pStyle w:val="696"/>
        <w:ind w:left="1134" w:hanging="1134"/>
        <w:tabs>
          <w:tab w:val="num" w:pos="1134" w:leader="none"/>
        </w:tabs>
      </w:pPr>
      <w:rPr>
        <w:rFonts w:hint="eastAsia"/>
      </w:rPr>
    </w:lvl>
    <w:lvl w:ilvl="6">
      <w:start w:val="1"/>
      <w:numFmt w:val="decimal"/>
      <w:isLgl w:val="false"/>
      <w:suff w:val="tab"/>
      <w:lvlText w:val="%1.%2.%3.%4.%5.%6.%7."/>
      <w:lvlJc w:val="left"/>
      <w:pPr>
        <w:pStyle w:val="696"/>
        <w:ind w:left="1276" w:hanging="1276"/>
        <w:tabs>
          <w:tab w:val="num" w:pos="1276" w:leader="none"/>
        </w:tabs>
      </w:pPr>
      <w:rPr>
        <w:rFonts w:hint="eastAsia"/>
      </w:rPr>
    </w:lvl>
    <w:lvl w:ilvl="7">
      <w:start w:val="1"/>
      <w:numFmt w:val="decimal"/>
      <w:isLgl w:val="false"/>
      <w:suff w:val="tab"/>
      <w:lvlText w:val="%1.%2.%3.%4.%5.%6.%7.%8."/>
      <w:lvlJc w:val="left"/>
      <w:pPr>
        <w:pStyle w:val="696"/>
        <w:ind w:left="1418" w:hanging="1418"/>
        <w:tabs>
          <w:tab w:val="num" w:pos="1418" w:leader="none"/>
        </w:tabs>
      </w:pPr>
      <w:rPr>
        <w:rFonts w:hint="eastAsia"/>
      </w:rPr>
    </w:lvl>
    <w:lvl w:ilvl="8">
      <w:start w:val="1"/>
      <w:numFmt w:val="decimal"/>
      <w:isLgl w:val="false"/>
      <w:suff w:val="tab"/>
      <w:lvlText w:val="%1.%2.%3.%4.%5.%6.%7.%8.%9."/>
      <w:lvlJc w:val="left"/>
      <w:pPr>
        <w:pStyle w:val="69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96"/>
        <w:ind w:left="0" w:firstLine="0"/>
      </w:pPr>
      <w:rPr>
        <w:rFonts w:hint="eastAsia"/>
      </w:rPr>
    </w:lvl>
    <w:lvl w:ilvl="1">
      <w:start w:val="1"/>
      <w:numFmt w:val="decimal"/>
      <w:isLgl w:val="false"/>
      <w:suff w:val="nothing"/>
      <w:lvlText w:val="%2、"/>
      <w:lvlJc w:val="left"/>
      <w:pPr>
        <w:pStyle w:val="696"/>
        <w:ind w:left="0" w:firstLine="0"/>
      </w:pPr>
      <w:rPr>
        <w:rFonts w:hint="eastAsia"/>
      </w:rPr>
    </w:lvl>
    <w:lvl w:ilvl="2">
      <w:start w:val="1"/>
      <w:numFmt w:val="decimal"/>
      <w:isLgl w:val="false"/>
      <w:suff w:val="nothing"/>
      <w:lvlText w:val="%2.%3 "/>
      <w:lvlJc w:val="left"/>
      <w:pPr>
        <w:pStyle w:val="696"/>
        <w:ind w:left="0" w:firstLine="0"/>
      </w:pPr>
      <w:rPr>
        <w:rFonts w:hint="eastAsia"/>
      </w:rPr>
    </w:lvl>
    <w:lvl w:ilvl="3">
      <w:start w:val="1"/>
      <w:numFmt w:val="decimal"/>
      <w:isLgl w:val="false"/>
      <w:suff w:val="nothing"/>
      <w:lvlText w:val="%2.%3.%4 "/>
      <w:lvlJc w:val="left"/>
      <w:pPr>
        <w:pStyle w:val="696"/>
        <w:ind w:left="0" w:firstLine="0"/>
      </w:pPr>
      <w:rPr>
        <w:rFonts w:hint="eastAsia"/>
      </w:rPr>
    </w:lvl>
    <w:lvl w:ilvl="4">
      <w:start w:val="1"/>
      <w:numFmt w:val="decimal"/>
      <w:isLgl w:val="false"/>
      <w:suff w:val="nothing"/>
      <w:lvlText w:val="%2.%3.%4.%5 "/>
      <w:lvlJc w:val="left"/>
      <w:pPr>
        <w:pStyle w:val="696"/>
        <w:ind w:left="0" w:firstLine="0"/>
      </w:pPr>
      <w:rPr>
        <w:rFonts w:hint="eastAsia"/>
      </w:rPr>
    </w:lvl>
    <w:lvl w:ilvl="5">
      <w:start w:val="1"/>
      <w:numFmt w:val="decimal"/>
      <w:pStyle w:val="892"/>
      <w:isLgl w:val="false"/>
      <w:suff w:val="nothing"/>
      <w:lvlText w:val=""/>
      <w:lvlJc w:val="left"/>
      <w:pPr>
        <w:pStyle w:val="696"/>
        <w:ind w:left="0" w:firstLine="0"/>
      </w:pPr>
      <w:rPr>
        <w:rFonts w:hint="eastAsia"/>
      </w:rPr>
    </w:lvl>
    <w:lvl w:ilvl="6">
      <w:start w:val="1"/>
      <w:numFmt w:val="decimal"/>
      <w:pStyle w:val="894"/>
      <w:isLgl w:val="false"/>
      <w:suff w:val="nothing"/>
      <w:lvlText w:val=""/>
      <w:lvlJc w:val="left"/>
      <w:pPr>
        <w:pStyle w:val="696"/>
        <w:ind w:left="0" w:firstLine="0"/>
      </w:pPr>
      <w:rPr>
        <w:rFonts w:hint="eastAsia"/>
      </w:rPr>
    </w:lvl>
    <w:lvl w:ilvl="7">
      <w:start w:val="1"/>
      <w:numFmt w:val="decimal"/>
      <w:pStyle w:val="896"/>
      <w:isLgl w:val="false"/>
      <w:suff w:val="nothing"/>
      <w:lvlText w:val=""/>
      <w:lvlJc w:val="left"/>
      <w:pPr>
        <w:pStyle w:val="696"/>
        <w:ind w:left="0" w:firstLine="0"/>
      </w:pPr>
      <w:rPr>
        <w:rFonts w:hint="eastAsia"/>
      </w:rPr>
    </w:lvl>
    <w:lvl w:ilvl="8">
      <w:start w:val="1"/>
      <w:numFmt w:val="decimal"/>
      <w:pStyle w:val="898"/>
      <w:isLgl w:val="false"/>
      <w:suff w:val="nothing"/>
      <w:lvlText w:val=""/>
      <w:lvlJc w:val="left"/>
      <w:pPr>
        <w:pStyle w:val="696"/>
        <w:ind w:left="0" w:firstLine="0"/>
      </w:pPr>
      <w:rPr>
        <w:rFonts w:hint="eastAsia"/>
      </w:rPr>
    </w:lvl>
  </w:abstractNum>
  <w:abstractNum w:abstractNumId="3">
    <w:multiLevelType w:val="hybridMultilevel"/>
    <w:lvl w:ilvl="0">
      <w:start w:val="1"/>
      <w:numFmt w:val="decimal"/>
      <w:isLgl w:val="false"/>
      <w:suff w:val="nothing"/>
      <w:lvlText w:val="（%1）"/>
      <w:lvlJc w:val="left"/>
      <w:pPr>
        <w:pStyle w:val="696"/>
      </w:p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4">
    <w:multiLevelType w:val="hybridMultilevel"/>
    <w:lvl w:ilvl="0">
      <w:start w:val="1"/>
      <w:numFmt w:val="upperLetter"/>
      <w:pStyle w:val="956"/>
      <w:isLgl w:val="false"/>
      <w:suff w:val="tab"/>
      <w:lvlText w:val="附录%1."/>
      <w:lvlJc w:val="left"/>
      <w:pPr>
        <w:pStyle w:val="696"/>
        <w:ind w:left="907" w:hanging="907"/>
        <w:tabs>
          <w:tab w:val="num" w:pos="907" w:leader="none"/>
        </w:tabs>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96"/>
    <w:next w:val="696"/>
    <w:link w:val="717"/>
    <w:uiPriority w:val="10"/>
    <w:qFormat/>
    <w:pPr>
      <w:contextualSpacing/>
      <w:spacing w:before="300" w:after="200"/>
    </w:pPr>
    <w:rPr>
      <w:sz w:val="48"/>
      <w:szCs w:val="48"/>
    </w:rPr>
  </w:style>
  <w:style w:type="paragraph" w:styleId="35">
    <w:name w:val="Subtitle"/>
    <w:basedOn w:val="696"/>
    <w:next w:val="696"/>
    <w:link w:val="709"/>
    <w:uiPriority w:val="11"/>
    <w:qFormat/>
    <w:pPr>
      <w:spacing w:before="200" w:after="200"/>
    </w:pPr>
    <w:rPr>
      <w:sz w:val="24"/>
      <w:szCs w:val="24"/>
    </w:rPr>
  </w:style>
  <w:style w:type="paragraph" w:styleId="41">
    <w:name w:val="Header"/>
    <w:basedOn w:val="696"/>
    <w:link w:val="745"/>
    <w:uiPriority w:val="99"/>
    <w:unhideWhenUsed/>
    <w:pPr>
      <w:spacing w:after="0" w:line="240" w:lineRule="auto"/>
      <w:tabs>
        <w:tab w:val="center" w:pos="7143" w:leader="none"/>
        <w:tab w:val="right" w:pos="14287" w:leader="none"/>
      </w:tabs>
    </w:pPr>
  </w:style>
  <w:style w:type="paragraph" w:styleId="43">
    <w:name w:val="Footer"/>
    <w:basedOn w:val="696"/>
    <w:link w:val="742"/>
    <w:uiPriority w:val="99"/>
    <w:unhideWhenUsed/>
    <w:pPr>
      <w:spacing w:after="0" w:line="240" w:lineRule="auto"/>
      <w:tabs>
        <w:tab w:val="center" w:pos="7143" w:leader="none"/>
        <w:tab w:val="right" w:pos="14287" w:leader="none"/>
      </w:tabs>
    </w:pPr>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6"/>
    <w:link w:val="71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6"/>
    <w:link w:val="70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6"/>
    <w:next w:val="696"/>
    <w:uiPriority w:val="39"/>
    <w:unhideWhenUsed/>
    <w:pPr>
      <w:ind w:left="0" w:right="0" w:firstLine="0"/>
      <w:spacing w:after="57"/>
    </w:p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90">
    <w:name w:val="table of figures"/>
    <w:basedOn w:val="696"/>
    <w:next w:val="696"/>
    <w:uiPriority w:val="99"/>
    <w:unhideWhenUsed/>
    <w:pPr>
      <w:spacing w:after="0" w:afterAutospacing="0"/>
    </w:pPr>
  </w:style>
  <w:style w:type="paragraph" w:styleId="696" w:default="1">
    <w:name w:val="Normal"/>
    <w:next w:val="699"/>
    <w:link w:val="696"/>
    <w:qFormat/>
    <w:pPr>
      <w:jc w:val="both"/>
      <w:widowControl w:val="off"/>
    </w:pPr>
    <w:rPr>
      <w:sz w:val="21"/>
      <w:szCs w:val="22"/>
      <w:lang w:eastAsia="zh-CN"/>
    </w:rPr>
  </w:style>
  <w:style w:type="character" w:styleId="697">
    <w:name w:val="默认段落字体"/>
    <w:next w:val="697"/>
    <w:link w:val="696"/>
    <w:uiPriority w:val="1"/>
    <w:unhideWhenUsed/>
  </w:style>
  <w:style w:type="table" w:styleId="698">
    <w:name w:val="普通表格"/>
    <w:next w:val="698"/>
    <w:link w:val="696"/>
    <w:uiPriority w:val="99"/>
    <w:unhideWhenUsed/>
    <w:qFormat/>
    <w:tblPr/>
  </w:style>
  <w:style w:type="paragraph" w:styleId="699">
    <w:name w:val="正文文本"/>
    <w:basedOn w:val="696"/>
    <w:next w:val="696"/>
    <w:link w:val="696"/>
    <w:qFormat/>
    <w:rPr>
      <w:rFonts w:ascii="楷体_GB2312" w:eastAsia="楷体_GB2312"/>
      <w:sz w:val="28"/>
      <w:szCs w:val="28"/>
    </w:rPr>
  </w:style>
  <w:style w:type="paragraph" w:styleId="700">
    <w:name w:val="目录 7"/>
    <w:basedOn w:val="696"/>
    <w:next w:val="696"/>
    <w:link w:val="696"/>
    <w:uiPriority w:val="39"/>
    <w:unhideWhenUsed/>
    <w:qFormat/>
    <w:pPr>
      <w:ind w:left="1701" w:right="0" w:firstLine="0"/>
      <w:spacing w:after="57"/>
    </w:pPr>
  </w:style>
  <w:style w:type="paragraph" w:styleId="701">
    <w:name w:val="目录 5"/>
    <w:basedOn w:val="696"/>
    <w:next w:val="696"/>
    <w:link w:val="696"/>
    <w:uiPriority w:val="39"/>
    <w:unhideWhenUsed/>
    <w:qFormat/>
    <w:pPr>
      <w:ind w:left="1134" w:right="0" w:firstLine="0"/>
      <w:spacing w:after="57"/>
    </w:pPr>
  </w:style>
  <w:style w:type="paragraph" w:styleId="702">
    <w:name w:val="目录 3"/>
    <w:basedOn w:val="696"/>
    <w:next w:val="696"/>
    <w:link w:val="696"/>
    <w:uiPriority w:val="39"/>
    <w:unhideWhenUsed/>
    <w:qFormat/>
    <w:pPr>
      <w:ind w:left="567" w:right="0" w:firstLine="0"/>
      <w:spacing w:after="57"/>
    </w:pPr>
  </w:style>
  <w:style w:type="paragraph" w:styleId="703">
    <w:name w:val="目录 8"/>
    <w:basedOn w:val="696"/>
    <w:next w:val="696"/>
    <w:link w:val="696"/>
    <w:uiPriority w:val="39"/>
    <w:unhideWhenUsed/>
    <w:qFormat/>
    <w:pPr>
      <w:ind w:left="1984" w:right="0" w:firstLine="0"/>
      <w:spacing w:after="57"/>
    </w:pPr>
  </w:style>
  <w:style w:type="paragraph" w:styleId="704">
    <w:name w:val="尾注文本"/>
    <w:basedOn w:val="696"/>
    <w:next w:val="704"/>
    <w:link w:val="705"/>
    <w:uiPriority w:val="99"/>
    <w:unhideWhenUsed/>
    <w:qFormat/>
    <w:pPr>
      <w:spacing w:after="0" w:line="240" w:lineRule="auto"/>
    </w:pPr>
    <w:rPr>
      <w:sz w:val="20"/>
    </w:rPr>
  </w:style>
  <w:style w:type="character" w:styleId="705">
    <w:name w:val="Endnote Text Char"/>
    <w:next w:val="705"/>
    <w:link w:val="704"/>
    <w:uiPriority w:val="99"/>
    <w:qFormat/>
    <w:rPr>
      <w:sz w:val="20"/>
    </w:rPr>
  </w:style>
  <w:style w:type="paragraph" w:styleId="706">
    <w:name w:val="目录 1"/>
    <w:basedOn w:val="696"/>
    <w:next w:val="696"/>
    <w:link w:val="696"/>
    <w:uiPriority w:val="39"/>
    <w:unhideWhenUsed/>
    <w:qFormat/>
    <w:pPr>
      <w:ind w:left="0" w:right="0" w:firstLine="0"/>
      <w:spacing w:after="57"/>
    </w:pPr>
  </w:style>
  <w:style w:type="paragraph" w:styleId="707">
    <w:name w:val="目录 4"/>
    <w:basedOn w:val="696"/>
    <w:next w:val="696"/>
    <w:link w:val="696"/>
    <w:uiPriority w:val="39"/>
    <w:unhideWhenUsed/>
    <w:qFormat/>
    <w:pPr>
      <w:ind w:left="850" w:right="0" w:firstLine="0"/>
      <w:spacing w:after="57"/>
    </w:pPr>
  </w:style>
  <w:style w:type="paragraph" w:styleId="708">
    <w:name w:val="副标题"/>
    <w:basedOn w:val="696"/>
    <w:next w:val="696"/>
    <w:link w:val="709"/>
    <w:uiPriority w:val="11"/>
    <w:qFormat/>
    <w:pPr>
      <w:spacing w:before="200" w:after="200"/>
    </w:pPr>
    <w:rPr>
      <w:sz w:val="24"/>
      <w:szCs w:val="24"/>
    </w:rPr>
  </w:style>
  <w:style w:type="character" w:styleId="709">
    <w:name w:val="Subtitle Char"/>
    <w:next w:val="709"/>
    <w:link w:val="708"/>
    <w:uiPriority w:val="11"/>
    <w:qFormat/>
    <w:rPr>
      <w:sz w:val="24"/>
      <w:szCs w:val="24"/>
    </w:rPr>
  </w:style>
  <w:style w:type="paragraph" w:styleId="710">
    <w:name w:val="脚注文本"/>
    <w:basedOn w:val="696"/>
    <w:next w:val="710"/>
    <w:link w:val="711"/>
    <w:uiPriority w:val="99"/>
    <w:unhideWhenUsed/>
    <w:qFormat/>
    <w:pPr>
      <w:spacing w:after="40" w:line="240" w:lineRule="auto"/>
    </w:pPr>
    <w:rPr>
      <w:sz w:val="18"/>
    </w:rPr>
  </w:style>
  <w:style w:type="character" w:styleId="711">
    <w:name w:val="Footnote Text Char"/>
    <w:next w:val="711"/>
    <w:link w:val="710"/>
    <w:uiPriority w:val="99"/>
    <w:qFormat/>
    <w:rPr>
      <w:sz w:val="18"/>
    </w:rPr>
  </w:style>
  <w:style w:type="paragraph" w:styleId="712">
    <w:name w:val="目录 6"/>
    <w:basedOn w:val="696"/>
    <w:next w:val="696"/>
    <w:link w:val="696"/>
    <w:uiPriority w:val="39"/>
    <w:unhideWhenUsed/>
    <w:qFormat/>
    <w:pPr>
      <w:ind w:left="1417" w:right="0" w:firstLine="0"/>
      <w:spacing w:after="57"/>
    </w:pPr>
  </w:style>
  <w:style w:type="paragraph" w:styleId="713">
    <w:name w:val="图表目录"/>
    <w:basedOn w:val="696"/>
    <w:next w:val="696"/>
    <w:link w:val="696"/>
    <w:uiPriority w:val="99"/>
    <w:unhideWhenUsed/>
    <w:qFormat/>
    <w:pPr>
      <w:spacing w:after="0" w:afterAutospacing="0"/>
    </w:pPr>
  </w:style>
  <w:style w:type="paragraph" w:styleId="714">
    <w:name w:val="目录 2"/>
    <w:basedOn w:val="696"/>
    <w:next w:val="696"/>
    <w:link w:val="696"/>
    <w:uiPriority w:val="39"/>
    <w:unhideWhenUsed/>
    <w:qFormat/>
    <w:pPr>
      <w:ind w:left="283" w:right="0" w:firstLine="0"/>
      <w:spacing w:after="57"/>
    </w:pPr>
  </w:style>
  <w:style w:type="paragraph" w:styleId="715">
    <w:name w:val="目录 9"/>
    <w:basedOn w:val="696"/>
    <w:next w:val="696"/>
    <w:link w:val="696"/>
    <w:uiPriority w:val="39"/>
    <w:unhideWhenUsed/>
    <w:qFormat/>
    <w:pPr>
      <w:ind w:left="2268" w:right="0" w:firstLine="0"/>
      <w:spacing w:after="57"/>
    </w:pPr>
  </w:style>
  <w:style w:type="paragraph" w:styleId="716">
    <w:name w:val="标题"/>
    <w:basedOn w:val="696"/>
    <w:next w:val="696"/>
    <w:link w:val="717"/>
    <w:uiPriority w:val="10"/>
    <w:qFormat/>
    <w:pPr>
      <w:contextualSpacing/>
      <w:spacing w:before="300" w:after="200"/>
    </w:pPr>
    <w:rPr>
      <w:sz w:val="48"/>
      <w:szCs w:val="48"/>
    </w:rPr>
  </w:style>
  <w:style w:type="character" w:styleId="717">
    <w:name w:val="Title Char"/>
    <w:next w:val="717"/>
    <w:link w:val="716"/>
    <w:uiPriority w:val="10"/>
    <w:qFormat/>
    <w:rPr>
      <w:sz w:val="48"/>
      <w:szCs w:val="48"/>
    </w:rPr>
  </w:style>
  <w:style w:type="table" w:styleId="718">
    <w:name w:val="网格型"/>
    <w:next w:val="718"/>
    <w:link w:val="696"/>
    <w:uiPriority w:val="59"/>
    <w:qFormat/>
    <w:pPr>
      <w:spacing w:after="0" w:line="240" w:lineRule="auto"/>
    </w:pPr>
    <w:tblPr/>
  </w:style>
  <w:style w:type="character" w:styleId="719">
    <w:name w:val="尾注引用"/>
    <w:next w:val="719"/>
    <w:link w:val="696"/>
    <w:uiPriority w:val="99"/>
    <w:unhideWhenUsed/>
    <w:qFormat/>
    <w:rPr>
      <w:vertAlign w:val="superscript"/>
    </w:rPr>
  </w:style>
  <w:style w:type="character" w:styleId="720">
    <w:name w:val="超链接"/>
    <w:next w:val="720"/>
    <w:link w:val="696"/>
    <w:uiPriority w:val="99"/>
    <w:unhideWhenUsed/>
    <w:rPr>
      <w:color w:val="0000ff"/>
      <w:u w:val="single"/>
    </w:rPr>
  </w:style>
  <w:style w:type="character" w:styleId="721">
    <w:name w:val="脚注引用"/>
    <w:next w:val="721"/>
    <w:link w:val="696"/>
    <w:uiPriority w:val="99"/>
    <w:unhideWhenUsed/>
    <w:qFormat/>
    <w:rPr>
      <w:vertAlign w:val="superscript"/>
    </w:rPr>
  </w:style>
  <w:style w:type="paragraph" w:styleId="722">
    <w:name w:val="Heading 1"/>
    <w:basedOn w:val="696"/>
    <w:next w:val="696"/>
    <w:link w:val="723"/>
    <w:uiPriority w:val="9"/>
    <w:qFormat/>
    <w:pPr>
      <w:keepLines/>
      <w:keepNext/>
      <w:spacing w:before="480" w:after="200"/>
      <w:outlineLvl w:val="0"/>
    </w:pPr>
    <w:rPr>
      <w:rFonts w:ascii="Arial" w:hAnsi="Arial" w:eastAsia="Arial" w:cs="Arial"/>
      <w:sz w:val="40"/>
      <w:szCs w:val="40"/>
    </w:rPr>
  </w:style>
  <w:style w:type="character" w:styleId="723">
    <w:name w:val="Heading 1 Char"/>
    <w:next w:val="723"/>
    <w:link w:val="722"/>
    <w:uiPriority w:val="9"/>
    <w:qFormat/>
    <w:rPr>
      <w:rFonts w:ascii="Arial" w:hAnsi="Arial" w:eastAsia="Arial" w:cs="Arial"/>
      <w:sz w:val="40"/>
      <w:szCs w:val="40"/>
    </w:rPr>
  </w:style>
  <w:style w:type="paragraph" w:styleId="724">
    <w:name w:val="Heading 2"/>
    <w:basedOn w:val="696"/>
    <w:next w:val="696"/>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next w:val="725"/>
    <w:link w:val="724"/>
    <w:uiPriority w:val="9"/>
    <w:rPr>
      <w:rFonts w:ascii="Arial" w:hAnsi="Arial" w:eastAsia="Arial" w:cs="Arial"/>
      <w:sz w:val="34"/>
    </w:rPr>
  </w:style>
  <w:style w:type="paragraph" w:styleId="726">
    <w:name w:val="Heading 3"/>
    <w:basedOn w:val="696"/>
    <w:next w:val="696"/>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next w:val="727"/>
    <w:link w:val="726"/>
    <w:uiPriority w:val="9"/>
    <w:qFormat/>
    <w:rPr>
      <w:rFonts w:ascii="Arial" w:hAnsi="Arial" w:eastAsia="Arial" w:cs="Arial"/>
      <w:sz w:val="30"/>
      <w:szCs w:val="30"/>
    </w:rPr>
  </w:style>
  <w:style w:type="paragraph" w:styleId="728">
    <w:name w:val="Heading 4"/>
    <w:basedOn w:val="696"/>
    <w:next w:val="696"/>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next w:val="729"/>
    <w:link w:val="728"/>
    <w:uiPriority w:val="9"/>
    <w:qFormat/>
    <w:rPr>
      <w:rFonts w:ascii="Arial" w:hAnsi="Arial" w:eastAsia="Arial" w:cs="Arial"/>
      <w:b/>
      <w:bCs/>
      <w:sz w:val="26"/>
      <w:szCs w:val="26"/>
    </w:rPr>
  </w:style>
  <w:style w:type="paragraph" w:styleId="730">
    <w:name w:val="Heading 5"/>
    <w:basedOn w:val="696"/>
    <w:next w:val="696"/>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next w:val="731"/>
    <w:link w:val="730"/>
    <w:uiPriority w:val="9"/>
    <w:rPr>
      <w:rFonts w:ascii="Arial" w:hAnsi="Arial" w:eastAsia="Arial" w:cs="Arial"/>
      <w:b/>
      <w:bCs/>
      <w:sz w:val="24"/>
      <w:szCs w:val="24"/>
    </w:rPr>
  </w:style>
  <w:style w:type="paragraph" w:styleId="732">
    <w:name w:val="Heading 6"/>
    <w:basedOn w:val="696"/>
    <w:next w:val="696"/>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next w:val="733"/>
    <w:link w:val="732"/>
    <w:uiPriority w:val="9"/>
    <w:qFormat/>
    <w:rPr>
      <w:rFonts w:ascii="Arial" w:hAnsi="Arial" w:eastAsia="Arial" w:cs="Arial"/>
      <w:b/>
      <w:bCs/>
      <w:sz w:val="22"/>
      <w:szCs w:val="22"/>
    </w:rPr>
  </w:style>
  <w:style w:type="paragraph" w:styleId="734">
    <w:name w:val="Heading 7"/>
    <w:basedOn w:val="696"/>
    <w:next w:val="696"/>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next w:val="735"/>
    <w:link w:val="734"/>
    <w:uiPriority w:val="9"/>
    <w:qFormat/>
    <w:rPr>
      <w:rFonts w:ascii="Arial" w:hAnsi="Arial" w:eastAsia="Arial" w:cs="Arial"/>
      <w:b/>
      <w:bCs/>
      <w:i/>
      <w:iCs/>
      <w:sz w:val="22"/>
      <w:szCs w:val="22"/>
    </w:rPr>
  </w:style>
  <w:style w:type="paragraph" w:styleId="736">
    <w:name w:val="Heading 8"/>
    <w:basedOn w:val="696"/>
    <w:next w:val="696"/>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next w:val="737"/>
    <w:link w:val="736"/>
    <w:uiPriority w:val="9"/>
    <w:qFormat/>
    <w:rPr>
      <w:rFonts w:ascii="Arial" w:hAnsi="Arial" w:eastAsia="Arial" w:cs="Arial"/>
      <w:i/>
      <w:iCs/>
      <w:sz w:val="22"/>
      <w:szCs w:val="22"/>
    </w:rPr>
  </w:style>
  <w:style w:type="paragraph" w:styleId="738">
    <w:name w:val="Heading 9"/>
    <w:basedOn w:val="696"/>
    <w:next w:val="696"/>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next w:val="739"/>
    <w:link w:val="738"/>
    <w:uiPriority w:val="9"/>
    <w:qFormat/>
    <w:rPr>
      <w:rFonts w:ascii="Arial" w:hAnsi="Arial" w:eastAsia="Arial" w:cs="Arial"/>
      <w:i/>
      <w:iCs/>
      <w:sz w:val="21"/>
      <w:szCs w:val="21"/>
    </w:rPr>
  </w:style>
  <w:style w:type="paragraph" w:styleId="740">
    <w:name w:val="Caption1"/>
    <w:basedOn w:val="696"/>
    <w:next w:val="696"/>
    <w:link w:val="696"/>
    <w:uiPriority w:val="35"/>
    <w:unhideWhenUsed/>
    <w:qFormat/>
    <w:pPr>
      <w:spacing w:line="276" w:lineRule="auto"/>
    </w:pPr>
    <w:rPr>
      <w:b/>
      <w:bCs/>
      <w:color w:val="4f81bd"/>
      <w:sz w:val="18"/>
      <w:szCs w:val="18"/>
    </w:rPr>
  </w:style>
  <w:style w:type="paragraph" w:styleId="741">
    <w:name w:val="Footer1"/>
    <w:basedOn w:val="696"/>
    <w:next w:val="741"/>
    <w:link w:val="742"/>
    <w:uiPriority w:val="99"/>
    <w:unhideWhenUsed/>
    <w:qFormat/>
    <w:pPr>
      <w:spacing w:after="0" w:line="240" w:lineRule="auto"/>
      <w:tabs>
        <w:tab w:val="center" w:pos="7143" w:leader="none"/>
        <w:tab w:val="right" w:pos="14287" w:leader="none"/>
      </w:tabs>
    </w:pPr>
  </w:style>
  <w:style w:type="character" w:styleId="742">
    <w:name w:val="Caption Char"/>
    <w:next w:val="742"/>
    <w:link w:val="741"/>
    <w:uiPriority w:val="99"/>
    <w:qFormat/>
  </w:style>
  <w:style w:type="character" w:styleId="743">
    <w:name w:val="Footer Char"/>
    <w:next w:val="743"/>
    <w:link w:val="741"/>
    <w:uiPriority w:val="99"/>
    <w:qFormat/>
  </w:style>
  <w:style w:type="paragraph" w:styleId="744">
    <w:name w:val="Header1"/>
    <w:basedOn w:val="696"/>
    <w:next w:val="744"/>
    <w:link w:val="745"/>
    <w:uiPriority w:val="99"/>
    <w:unhideWhenUsed/>
    <w:qFormat/>
    <w:pPr>
      <w:spacing w:after="0" w:line="240" w:lineRule="auto"/>
      <w:tabs>
        <w:tab w:val="center" w:pos="7143" w:leader="none"/>
        <w:tab w:val="right" w:pos="14287" w:leader="none"/>
      </w:tabs>
    </w:pPr>
  </w:style>
  <w:style w:type="character" w:styleId="745">
    <w:name w:val="Header Char"/>
    <w:next w:val="745"/>
    <w:link w:val="744"/>
    <w:uiPriority w:val="99"/>
    <w:qFormat/>
  </w:style>
  <w:style w:type="paragraph" w:styleId="746">
    <w:name w:val="正文文本1"/>
    <w:basedOn w:val="696"/>
    <w:next w:val="696"/>
    <w:link w:val="747"/>
    <w:qFormat/>
    <w:rPr>
      <w:rFonts w:ascii="楷体_GB2312" w:hAnsi="Arial" w:eastAsia="楷体_GB2312" w:cs="Times New Roman"/>
      <w:sz w:val="28"/>
      <w:szCs w:val="28"/>
    </w:rPr>
  </w:style>
  <w:style w:type="character" w:styleId="747">
    <w:name w:val="正文文本 Char"/>
    <w:next w:val="747"/>
    <w:link w:val="746"/>
    <w:qFormat/>
    <w:rPr>
      <w:rFonts w:ascii="楷体_GB2312" w:hAnsi="Arial" w:eastAsia="楷体_GB2312" w:cs="Times New Roman"/>
      <w:sz w:val="28"/>
      <w:szCs w:val="28"/>
    </w:rPr>
  </w:style>
  <w:style w:type="paragraph" w:styleId="748">
    <w:name w:val="List Paragraph"/>
    <w:basedOn w:val="696"/>
    <w:next w:val="748"/>
    <w:link w:val="696"/>
    <w:uiPriority w:val="34"/>
    <w:qFormat/>
    <w:pPr>
      <w:contextualSpacing/>
      <w:ind w:left="720"/>
    </w:pPr>
  </w:style>
  <w:style w:type="paragraph" w:styleId="749">
    <w:name w:val="No Spacing"/>
    <w:next w:val="749"/>
    <w:link w:val="696"/>
    <w:uiPriority w:val="1"/>
    <w:qFormat/>
    <w:pPr>
      <w:spacing w:before="0" w:after="0" w:line="240" w:lineRule="auto"/>
    </w:pPr>
  </w:style>
  <w:style w:type="paragraph" w:styleId="750">
    <w:name w:val="Quote"/>
    <w:basedOn w:val="696"/>
    <w:next w:val="696"/>
    <w:link w:val="751"/>
    <w:uiPriority w:val="29"/>
    <w:qFormat/>
    <w:pPr>
      <w:ind w:left="720" w:right="720"/>
    </w:pPr>
    <w:rPr>
      <w:i/>
    </w:rPr>
  </w:style>
  <w:style w:type="character" w:styleId="751">
    <w:name w:val="Quote Char"/>
    <w:next w:val="751"/>
    <w:link w:val="750"/>
    <w:uiPriority w:val="29"/>
    <w:rPr>
      <w:i/>
    </w:rPr>
  </w:style>
  <w:style w:type="paragraph" w:styleId="752">
    <w:name w:val="Intense Quote"/>
    <w:basedOn w:val="696"/>
    <w:next w:val="696"/>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next w:val="753"/>
    <w:link w:val="752"/>
    <w:uiPriority w:val="30"/>
    <w:rPr>
      <w:i/>
    </w:rPr>
  </w:style>
  <w:style w:type="table" w:styleId="754">
    <w:name w:val="Table Grid Light"/>
    <w:next w:val="754"/>
    <w:link w:val="696"/>
    <w:uiPriority w:val="59"/>
    <w:qFormat/>
    <w:pPr>
      <w:spacing w:after="0" w:line="240" w:lineRule="auto"/>
    </w:pPr>
    <w:tblPr/>
  </w:style>
  <w:style w:type="table" w:styleId="755">
    <w:name w:val="Plain Table 1"/>
    <w:next w:val="755"/>
    <w:link w:val="696"/>
    <w:uiPriority w:val="59"/>
    <w:qFormat/>
    <w:pPr>
      <w:spacing w:after="0" w:line="240" w:lineRule="auto"/>
    </w:pPr>
    <w:tblPr/>
  </w:style>
  <w:style w:type="table" w:styleId="756">
    <w:name w:val="Plain Table 2"/>
    <w:next w:val="756"/>
    <w:link w:val="696"/>
    <w:uiPriority w:val="59"/>
    <w:qFormat/>
    <w:pPr>
      <w:spacing w:after="0" w:line="240" w:lineRule="auto"/>
    </w:pPr>
    <w:tblPr/>
  </w:style>
  <w:style w:type="table" w:styleId="757">
    <w:name w:val="Plain Table 3"/>
    <w:next w:val="757"/>
    <w:link w:val="696"/>
    <w:uiPriority w:val="99"/>
    <w:qFormat/>
    <w:pPr>
      <w:spacing w:after="0" w:line="240" w:lineRule="auto"/>
    </w:pPr>
    <w:tblPr/>
  </w:style>
  <w:style w:type="table" w:styleId="758">
    <w:name w:val="Plain Table 4"/>
    <w:next w:val="758"/>
    <w:link w:val="696"/>
    <w:uiPriority w:val="99"/>
    <w:qFormat/>
    <w:pPr>
      <w:spacing w:after="0" w:line="240" w:lineRule="auto"/>
    </w:pPr>
    <w:tblPr/>
  </w:style>
  <w:style w:type="table" w:styleId="759">
    <w:name w:val="Plain Table 5"/>
    <w:next w:val="759"/>
    <w:link w:val="696"/>
    <w:uiPriority w:val="99"/>
    <w:qFormat/>
    <w:pPr>
      <w:spacing w:after="0" w:line="240" w:lineRule="auto"/>
    </w:pPr>
    <w:tblPr/>
  </w:style>
  <w:style w:type="table" w:styleId="760">
    <w:name w:val="Grid Table 1 Light"/>
    <w:next w:val="760"/>
    <w:link w:val="696"/>
    <w:uiPriority w:val="99"/>
    <w:qFormat/>
    <w:pPr>
      <w:spacing w:after="0" w:line="240" w:lineRule="auto"/>
    </w:pPr>
    <w:tblPr/>
  </w:style>
  <w:style w:type="table" w:styleId="761">
    <w:name w:val="Grid Table 1 Light - Accent 1"/>
    <w:next w:val="761"/>
    <w:link w:val="696"/>
    <w:uiPriority w:val="99"/>
    <w:qFormat/>
    <w:pPr>
      <w:spacing w:after="0" w:line="240" w:lineRule="auto"/>
    </w:pPr>
    <w:tblPr/>
  </w:style>
  <w:style w:type="table" w:styleId="762">
    <w:name w:val="Grid Table 1 Light - Accent 2"/>
    <w:next w:val="762"/>
    <w:link w:val="696"/>
    <w:uiPriority w:val="99"/>
    <w:qFormat/>
    <w:pPr>
      <w:spacing w:after="0" w:line="240" w:lineRule="auto"/>
    </w:pPr>
    <w:tblPr/>
  </w:style>
  <w:style w:type="table" w:styleId="763">
    <w:name w:val="Grid Table 1 Light - Accent 3"/>
    <w:next w:val="763"/>
    <w:link w:val="696"/>
    <w:uiPriority w:val="99"/>
    <w:qFormat/>
    <w:pPr>
      <w:spacing w:after="0" w:line="240" w:lineRule="auto"/>
    </w:pPr>
    <w:tblPr/>
  </w:style>
  <w:style w:type="table" w:styleId="764">
    <w:name w:val="Grid Table 1 Light - Accent 4"/>
    <w:next w:val="764"/>
    <w:link w:val="696"/>
    <w:uiPriority w:val="99"/>
    <w:qFormat/>
    <w:pPr>
      <w:spacing w:after="0" w:line="240" w:lineRule="auto"/>
    </w:pPr>
    <w:tblPr/>
  </w:style>
  <w:style w:type="table" w:styleId="765">
    <w:name w:val="Grid Table 1 Light - Accent 5"/>
    <w:next w:val="765"/>
    <w:link w:val="696"/>
    <w:uiPriority w:val="99"/>
    <w:qFormat/>
    <w:pPr>
      <w:spacing w:after="0" w:line="240" w:lineRule="auto"/>
    </w:pPr>
    <w:tblPr/>
  </w:style>
  <w:style w:type="table" w:styleId="766">
    <w:name w:val="Grid Table 1 Light - Accent 6"/>
    <w:next w:val="766"/>
    <w:link w:val="696"/>
    <w:uiPriority w:val="99"/>
    <w:qFormat/>
    <w:pPr>
      <w:spacing w:after="0" w:line="240" w:lineRule="auto"/>
    </w:pPr>
    <w:tblPr/>
  </w:style>
  <w:style w:type="table" w:styleId="767">
    <w:name w:val="Grid Table 2"/>
    <w:next w:val="767"/>
    <w:link w:val="696"/>
    <w:uiPriority w:val="99"/>
    <w:qFormat/>
    <w:pPr>
      <w:spacing w:after="0" w:line="240" w:lineRule="auto"/>
    </w:pPr>
    <w:tblPr/>
  </w:style>
  <w:style w:type="table" w:styleId="768">
    <w:name w:val="Grid Table 2 - Accent 1"/>
    <w:next w:val="768"/>
    <w:link w:val="696"/>
    <w:uiPriority w:val="99"/>
    <w:qFormat/>
    <w:pPr>
      <w:spacing w:after="0" w:line="240" w:lineRule="auto"/>
    </w:pPr>
    <w:tblPr/>
  </w:style>
  <w:style w:type="table" w:styleId="769">
    <w:name w:val="Grid Table 2 - Accent 2"/>
    <w:next w:val="769"/>
    <w:link w:val="696"/>
    <w:uiPriority w:val="99"/>
    <w:qFormat/>
    <w:pPr>
      <w:spacing w:after="0" w:line="240" w:lineRule="auto"/>
    </w:pPr>
    <w:tblPr/>
  </w:style>
  <w:style w:type="table" w:styleId="770">
    <w:name w:val="Grid Table 2 - Accent 3"/>
    <w:next w:val="770"/>
    <w:link w:val="696"/>
    <w:uiPriority w:val="99"/>
    <w:qFormat/>
    <w:pPr>
      <w:spacing w:after="0" w:line="240" w:lineRule="auto"/>
    </w:pPr>
    <w:tblPr/>
  </w:style>
  <w:style w:type="table" w:styleId="771">
    <w:name w:val="Grid Table 2 - Accent 4"/>
    <w:next w:val="771"/>
    <w:link w:val="696"/>
    <w:uiPriority w:val="99"/>
    <w:qFormat/>
    <w:pPr>
      <w:spacing w:after="0" w:line="240" w:lineRule="auto"/>
    </w:pPr>
    <w:tblPr/>
  </w:style>
  <w:style w:type="table" w:styleId="772">
    <w:name w:val="Grid Table 2 - Accent 5"/>
    <w:next w:val="772"/>
    <w:link w:val="696"/>
    <w:uiPriority w:val="99"/>
    <w:qFormat/>
    <w:pPr>
      <w:spacing w:after="0" w:line="240" w:lineRule="auto"/>
    </w:pPr>
    <w:tblPr/>
  </w:style>
  <w:style w:type="table" w:styleId="773">
    <w:name w:val="Grid Table 2 - Accent 6"/>
    <w:next w:val="773"/>
    <w:link w:val="696"/>
    <w:uiPriority w:val="99"/>
    <w:qFormat/>
    <w:pPr>
      <w:spacing w:after="0" w:line="240" w:lineRule="auto"/>
    </w:pPr>
    <w:tblPr/>
  </w:style>
  <w:style w:type="table" w:styleId="774">
    <w:name w:val="Grid Table 3"/>
    <w:next w:val="774"/>
    <w:link w:val="696"/>
    <w:uiPriority w:val="99"/>
    <w:qFormat/>
    <w:pPr>
      <w:spacing w:after="0" w:line="240" w:lineRule="auto"/>
    </w:pPr>
    <w:tblPr/>
  </w:style>
  <w:style w:type="table" w:styleId="775">
    <w:name w:val="Grid Table 3 - Accent 1"/>
    <w:next w:val="775"/>
    <w:link w:val="696"/>
    <w:uiPriority w:val="99"/>
    <w:qFormat/>
    <w:pPr>
      <w:spacing w:after="0" w:line="240" w:lineRule="auto"/>
    </w:pPr>
    <w:tblPr/>
  </w:style>
  <w:style w:type="table" w:styleId="776">
    <w:name w:val="Grid Table 3 - Accent 2"/>
    <w:next w:val="776"/>
    <w:link w:val="696"/>
    <w:uiPriority w:val="99"/>
    <w:qFormat/>
    <w:pPr>
      <w:spacing w:after="0" w:line="240" w:lineRule="auto"/>
    </w:pPr>
    <w:tblPr/>
  </w:style>
  <w:style w:type="table" w:styleId="777">
    <w:name w:val="Grid Table 3 - Accent 3"/>
    <w:next w:val="777"/>
    <w:link w:val="696"/>
    <w:uiPriority w:val="99"/>
    <w:qFormat/>
    <w:pPr>
      <w:spacing w:after="0" w:line="240" w:lineRule="auto"/>
    </w:pPr>
    <w:tblPr/>
  </w:style>
  <w:style w:type="table" w:styleId="778">
    <w:name w:val="Grid Table 3 - Accent 4"/>
    <w:next w:val="778"/>
    <w:link w:val="696"/>
    <w:uiPriority w:val="99"/>
    <w:qFormat/>
    <w:pPr>
      <w:spacing w:after="0" w:line="240" w:lineRule="auto"/>
    </w:pPr>
    <w:tblPr/>
  </w:style>
  <w:style w:type="table" w:styleId="779">
    <w:name w:val="Grid Table 3 - Accent 5"/>
    <w:next w:val="779"/>
    <w:link w:val="696"/>
    <w:uiPriority w:val="99"/>
    <w:qFormat/>
    <w:pPr>
      <w:spacing w:after="0" w:line="240" w:lineRule="auto"/>
    </w:pPr>
    <w:tblPr/>
  </w:style>
  <w:style w:type="table" w:styleId="780">
    <w:name w:val="Grid Table 3 - Accent 6"/>
    <w:next w:val="780"/>
    <w:link w:val="696"/>
    <w:uiPriority w:val="99"/>
    <w:qFormat/>
    <w:pPr>
      <w:spacing w:after="0" w:line="240" w:lineRule="auto"/>
    </w:pPr>
    <w:tblPr/>
  </w:style>
  <w:style w:type="table" w:styleId="781">
    <w:name w:val="Grid Table 4"/>
    <w:next w:val="781"/>
    <w:link w:val="696"/>
    <w:uiPriority w:val="59"/>
    <w:qFormat/>
    <w:pPr>
      <w:spacing w:after="0" w:line="240" w:lineRule="auto"/>
    </w:pPr>
    <w:tblPr/>
  </w:style>
  <w:style w:type="table" w:styleId="782">
    <w:name w:val="Grid Table 4 - Accent 1"/>
    <w:next w:val="782"/>
    <w:link w:val="696"/>
    <w:uiPriority w:val="59"/>
    <w:qFormat/>
    <w:pPr>
      <w:spacing w:after="0" w:line="240" w:lineRule="auto"/>
    </w:pPr>
    <w:tblPr/>
  </w:style>
  <w:style w:type="table" w:styleId="783">
    <w:name w:val="Grid Table 4 - Accent 2"/>
    <w:next w:val="783"/>
    <w:link w:val="696"/>
    <w:uiPriority w:val="59"/>
    <w:qFormat/>
    <w:pPr>
      <w:spacing w:after="0" w:line="240" w:lineRule="auto"/>
    </w:pPr>
    <w:tblPr/>
  </w:style>
  <w:style w:type="table" w:styleId="784">
    <w:name w:val="Grid Table 4 - Accent 3"/>
    <w:next w:val="784"/>
    <w:link w:val="696"/>
    <w:uiPriority w:val="59"/>
    <w:qFormat/>
    <w:pPr>
      <w:spacing w:after="0" w:line="240" w:lineRule="auto"/>
    </w:pPr>
    <w:tblPr/>
  </w:style>
  <w:style w:type="table" w:styleId="785">
    <w:name w:val="Grid Table 4 - Accent 4"/>
    <w:next w:val="785"/>
    <w:link w:val="696"/>
    <w:uiPriority w:val="59"/>
    <w:qFormat/>
    <w:pPr>
      <w:spacing w:after="0" w:line="240" w:lineRule="auto"/>
    </w:pPr>
    <w:tblPr/>
  </w:style>
  <w:style w:type="table" w:styleId="786">
    <w:name w:val="Grid Table 4 - Accent 5"/>
    <w:next w:val="786"/>
    <w:link w:val="696"/>
    <w:uiPriority w:val="59"/>
    <w:qFormat/>
    <w:pPr>
      <w:spacing w:after="0" w:line="240" w:lineRule="auto"/>
    </w:pPr>
    <w:tblPr/>
  </w:style>
  <w:style w:type="table" w:styleId="787">
    <w:name w:val="Grid Table 4 - Accent 6"/>
    <w:next w:val="787"/>
    <w:link w:val="696"/>
    <w:uiPriority w:val="59"/>
    <w:pPr>
      <w:spacing w:after="0" w:line="240" w:lineRule="auto"/>
    </w:pPr>
    <w:tblPr/>
  </w:style>
  <w:style w:type="table" w:styleId="788">
    <w:name w:val="Grid Table 5 Dark"/>
    <w:next w:val="788"/>
    <w:link w:val="696"/>
    <w:uiPriority w:val="99"/>
    <w:qFormat/>
    <w:pPr>
      <w:spacing w:after="0" w:line="240" w:lineRule="auto"/>
    </w:pPr>
    <w:tblPr/>
  </w:style>
  <w:style w:type="table" w:styleId="789">
    <w:name w:val="Grid Table 5 Dark- Accent 1"/>
    <w:next w:val="789"/>
    <w:link w:val="696"/>
    <w:uiPriority w:val="99"/>
    <w:pPr>
      <w:spacing w:after="0" w:line="240" w:lineRule="auto"/>
    </w:pPr>
    <w:tblPr/>
  </w:style>
  <w:style w:type="table" w:styleId="790">
    <w:name w:val="Grid Table 5 Dark - Accent 2"/>
    <w:next w:val="790"/>
    <w:link w:val="696"/>
    <w:uiPriority w:val="99"/>
    <w:qFormat/>
    <w:pPr>
      <w:spacing w:after="0" w:line="240" w:lineRule="auto"/>
    </w:pPr>
    <w:tblPr/>
  </w:style>
  <w:style w:type="table" w:styleId="791">
    <w:name w:val="Grid Table 5 Dark - Accent 3"/>
    <w:next w:val="791"/>
    <w:link w:val="696"/>
    <w:uiPriority w:val="99"/>
    <w:qFormat/>
    <w:pPr>
      <w:spacing w:after="0" w:line="240" w:lineRule="auto"/>
    </w:pPr>
    <w:tblPr/>
  </w:style>
  <w:style w:type="table" w:styleId="792">
    <w:name w:val="Grid Table 5 Dark- Accent 4"/>
    <w:next w:val="792"/>
    <w:link w:val="696"/>
    <w:uiPriority w:val="99"/>
    <w:pPr>
      <w:spacing w:after="0" w:line="240" w:lineRule="auto"/>
    </w:pPr>
    <w:tblPr/>
  </w:style>
  <w:style w:type="table" w:styleId="793">
    <w:name w:val="Grid Table 5 Dark - Accent 5"/>
    <w:next w:val="793"/>
    <w:link w:val="696"/>
    <w:uiPriority w:val="99"/>
    <w:qFormat/>
    <w:pPr>
      <w:spacing w:after="0" w:line="240" w:lineRule="auto"/>
    </w:pPr>
    <w:tblPr/>
  </w:style>
  <w:style w:type="table" w:styleId="794">
    <w:name w:val="Grid Table 5 Dark - Accent 6"/>
    <w:next w:val="794"/>
    <w:link w:val="696"/>
    <w:uiPriority w:val="99"/>
    <w:qFormat/>
    <w:pPr>
      <w:spacing w:after="0" w:line="240" w:lineRule="auto"/>
    </w:pPr>
    <w:tblPr/>
  </w:style>
  <w:style w:type="table" w:styleId="795">
    <w:name w:val="Grid Table 6 Colorful"/>
    <w:next w:val="795"/>
    <w:link w:val="696"/>
    <w:uiPriority w:val="99"/>
    <w:pPr>
      <w:spacing w:after="0" w:line="240" w:lineRule="auto"/>
    </w:pPr>
    <w:tblPr/>
  </w:style>
  <w:style w:type="table" w:styleId="796">
    <w:name w:val="Grid Table 6 Colorful - Accent 1"/>
    <w:next w:val="796"/>
    <w:link w:val="696"/>
    <w:uiPriority w:val="99"/>
    <w:qFormat/>
    <w:pPr>
      <w:spacing w:after="0" w:line="240" w:lineRule="auto"/>
    </w:pPr>
    <w:tblPr/>
  </w:style>
  <w:style w:type="table" w:styleId="797">
    <w:name w:val="Grid Table 6 Colorful - Accent 2"/>
    <w:next w:val="797"/>
    <w:link w:val="696"/>
    <w:uiPriority w:val="99"/>
    <w:qFormat/>
    <w:pPr>
      <w:spacing w:after="0" w:line="240" w:lineRule="auto"/>
    </w:pPr>
    <w:tblPr/>
  </w:style>
  <w:style w:type="table" w:styleId="798">
    <w:name w:val="Grid Table 6 Colorful - Accent 3"/>
    <w:next w:val="798"/>
    <w:link w:val="696"/>
    <w:uiPriority w:val="99"/>
    <w:qFormat/>
    <w:pPr>
      <w:spacing w:after="0" w:line="240" w:lineRule="auto"/>
    </w:pPr>
    <w:tblPr/>
  </w:style>
  <w:style w:type="table" w:styleId="799">
    <w:name w:val="Grid Table 6 Colorful - Accent 4"/>
    <w:next w:val="799"/>
    <w:link w:val="696"/>
    <w:uiPriority w:val="99"/>
    <w:qFormat/>
    <w:pPr>
      <w:spacing w:after="0" w:line="240" w:lineRule="auto"/>
    </w:pPr>
    <w:tblPr/>
  </w:style>
  <w:style w:type="table" w:styleId="800">
    <w:name w:val="Grid Table 6 Colorful - Accent 5"/>
    <w:next w:val="800"/>
    <w:link w:val="696"/>
    <w:uiPriority w:val="99"/>
    <w:qFormat/>
    <w:pPr>
      <w:spacing w:after="0" w:line="240" w:lineRule="auto"/>
    </w:pPr>
    <w:tblPr/>
  </w:style>
  <w:style w:type="table" w:styleId="801">
    <w:name w:val="Grid Table 6 Colorful - Accent 6"/>
    <w:next w:val="801"/>
    <w:link w:val="696"/>
    <w:uiPriority w:val="99"/>
    <w:qFormat/>
    <w:pPr>
      <w:spacing w:after="0" w:line="240" w:lineRule="auto"/>
    </w:pPr>
    <w:tblPr/>
  </w:style>
  <w:style w:type="table" w:styleId="802">
    <w:name w:val="Grid Table 7 Colorful"/>
    <w:next w:val="802"/>
    <w:link w:val="696"/>
    <w:uiPriority w:val="99"/>
    <w:qFormat/>
    <w:pPr>
      <w:spacing w:after="0" w:line="240" w:lineRule="auto"/>
    </w:pPr>
    <w:tblPr/>
  </w:style>
  <w:style w:type="table" w:styleId="803">
    <w:name w:val="Grid Table 7 Colorful - Accent 1"/>
    <w:next w:val="803"/>
    <w:link w:val="696"/>
    <w:uiPriority w:val="99"/>
    <w:qFormat/>
    <w:pPr>
      <w:spacing w:after="0" w:line="240" w:lineRule="auto"/>
    </w:pPr>
    <w:tblPr/>
  </w:style>
  <w:style w:type="table" w:styleId="804">
    <w:name w:val="Grid Table 7 Colorful - Accent 2"/>
    <w:next w:val="804"/>
    <w:link w:val="696"/>
    <w:uiPriority w:val="99"/>
    <w:qFormat/>
    <w:pPr>
      <w:spacing w:after="0" w:line="240" w:lineRule="auto"/>
    </w:pPr>
    <w:tblPr/>
  </w:style>
  <w:style w:type="table" w:styleId="805">
    <w:name w:val="Grid Table 7 Colorful - Accent 3"/>
    <w:next w:val="805"/>
    <w:link w:val="696"/>
    <w:uiPriority w:val="99"/>
    <w:qFormat/>
    <w:pPr>
      <w:spacing w:after="0" w:line="240" w:lineRule="auto"/>
    </w:pPr>
    <w:tblPr/>
  </w:style>
  <w:style w:type="table" w:styleId="806">
    <w:name w:val="Grid Table 7 Colorful - Accent 4"/>
    <w:next w:val="806"/>
    <w:link w:val="696"/>
    <w:uiPriority w:val="99"/>
    <w:qFormat/>
    <w:pPr>
      <w:spacing w:after="0" w:line="240" w:lineRule="auto"/>
    </w:pPr>
    <w:tblPr/>
  </w:style>
  <w:style w:type="table" w:styleId="807">
    <w:name w:val="Grid Table 7 Colorful - Accent 5"/>
    <w:next w:val="807"/>
    <w:link w:val="696"/>
    <w:uiPriority w:val="99"/>
    <w:qFormat/>
    <w:pPr>
      <w:spacing w:after="0" w:line="240" w:lineRule="auto"/>
    </w:pPr>
    <w:tblPr/>
  </w:style>
  <w:style w:type="table" w:styleId="808">
    <w:name w:val="Grid Table 7 Colorful - Accent 6"/>
    <w:next w:val="808"/>
    <w:link w:val="696"/>
    <w:uiPriority w:val="99"/>
    <w:qFormat/>
    <w:pPr>
      <w:spacing w:after="0" w:line="240" w:lineRule="auto"/>
    </w:pPr>
    <w:tblPr/>
  </w:style>
  <w:style w:type="table" w:styleId="809">
    <w:name w:val="List Table 1 Light"/>
    <w:next w:val="809"/>
    <w:link w:val="696"/>
    <w:uiPriority w:val="99"/>
    <w:qFormat/>
    <w:pPr>
      <w:spacing w:after="0" w:line="240" w:lineRule="auto"/>
    </w:pPr>
    <w:tblPr/>
  </w:style>
  <w:style w:type="table" w:styleId="810">
    <w:name w:val="List Table 1 Light - Accent 1"/>
    <w:next w:val="810"/>
    <w:link w:val="696"/>
    <w:uiPriority w:val="99"/>
    <w:qFormat/>
    <w:pPr>
      <w:spacing w:after="0" w:line="240" w:lineRule="auto"/>
    </w:pPr>
    <w:tblPr/>
  </w:style>
  <w:style w:type="table" w:styleId="811">
    <w:name w:val="List Table 1 Light - Accent 2"/>
    <w:next w:val="811"/>
    <w:link w:val="696"/>
    <w:uiPriority w:val="99"/>
    <w:qFormat/>
    <w:pPr>
      <w:spacing w:after="0" w:line="240" w:lineRule="auto"/>
    </w:pPr>
    <w:tblPr/>
  </w:style>
  <w:style w:type="table" w:styleId="812">
    <w:name w:val="List Table 1 Light - Accent 3"/>
    <w:next w:val="812"/>
    <w:link w:val="696"/>
    <w:uiPriority w:val="99"/>
    <w:qFormat/>
    <w:pPr>
      <w:spacing w:after="0" w:line="240" w:lineRule="auto"/>
    </w:pPr>
    <w:tblPr/>
  </w:style>
  <w:style w:type="table" w:styleId="813">
    <w:name w:val="List Table 1 Light - Accent 4"/>
    <w:next w:val="813"/>
    <w:link w:val="696"/>
    <w:uiPriority w:val="99"/>
    <w:qFormat/>
    <w:pPr>
      <w:spacing w:after="0" w:line="240" w:lineRule="auto"/>
    </w:pPr>
    <w:tblPr/>
  </w:style>
  <w:style w:type="table" w:styleId="814">
    <w:name w:val="List Table 1 Light - Accent 5"/>
    <w:next w:val="814"/>
    <w:link w:val="696"/>
    <w:uiPriority w:val="99"/>
    <w:qFormat/>
    <w:pPr>
      <w:spacing w:after="0" w:line="240" w:lineRule="auto"/>
    </w:pPr>
    <w:tblPr/>
  </w:style>
  <w:style w:type="table" w:styleId="815">
    <w:name w:val="List Table 1 Light - Accent 6"/>
    <w:next w:val="815"/>
    <w:link w:val="696"/>
    <w:uiPriority w:val="99"/>
    <w:qFormat/>
    <w:pPr>
      <w:spacing w:after="0" w:line="240" w:lineRule="auto"/>
    </w:pPr>
    <w:tblPr/>
  </w:style>
  <w:style w:type="table" w:styleId="816">
    <w:name w:val="List Table 2"/>
    <w:next w:val="816"/>
    <w:link w:val="696"/>
    <w:uiPriority w:val="99"/>
    <w:qFormat/>
    <w:pPr>
      <w:spacing w:after="0" w:line="240" w:lineRule="auto"/>
    </w:pPr>
    <w:tblPr/>
  </w:style>
  <w:style w:type="table" w:styleId="817">
    <w:name w:val="List Table 2 - Accent 1"/>
    <w:next w:val="817"/>
    <w:link w:val="696"/>
    <w:uiPriority w:val="99"/>
    <w:qFormat/>
    <w:pPr>
      <w:spacing w:after="0" w:line="240" w:lineRule="auto"/>
    </w:pPr>
    <w:tblPr/>
  </w:style>
  <w:style w:type="table" w:styleId="818">
    <w:name w:val="List Table 2 - Accent 2"/>
    <w:next w:val="818"/>
    <w:link w:val="696"/>
    <w:uiPriority w:val="99"/>
    <w:qFormat/>
    <w:pPr>
      <w:spacing w:after="0" w:line="240" w:lineRule="auto"/>
    </w:pPr>
    <w:tblPr/>
  </w:style>
  <w:style w:type="table" w:styleId="819">
    <w:name w:val="List Table 2 - Accent 3"/>
    <w:next w:val="819"/>
    <w:link w:val="696"/>
    <w:uiPriority w:val="99"/>
    <w:qFormat/>
    <w:pPr>
      <w:spacing w:after="0" w:line="240" w:lineRule="auto"/>
    </w:pPr>
    <w:tblPr/>
  </w:style>
  <w:style w:type="table" w:styleId="820">
    <w:name w:val="List Table 2 - Accent 4"/>
    <w:next w:val="820"/>
    <w:link w:val="696"/>
    <w:uiPriority w:val="99"/>
    <w:qFormat/>
    <w:pPr>
      <w:spacing w:after="0" w:line="240" w:lineRule="auto"/>
    </w:pPr>
    <w:tblPr/>
  </w:style>
  <w:style w:type="table" w:styleId="821">
    <w:name w:val="List Table 2 - Accent 5"/>
    <w:next w:val="821"/>
    <w:link w:val="696"/>
    <w:uiPriority w:val="99"/>
    <w:qFormat/>
    <w:pPr>
      <w:spacing w:after="0" w:line="240" w:lineRule="auto"/>
    </w:pPr>
    <w:tblPr/>
  </w:style>
  <w:style w:type="table" w:styleId="822">
    <w:name w:val="List Table 2 - Accent 6"/>
    <w:next w:val="822"/>
    <w:link w:val="696"/>
    <w:uiPriority w:val="99"/>
    <w:qFormat/>
    <w:pPr>
      <w:spacing w:after="0" w:line="240" w:lineRule="auto"/>
    </w:pPr>
    <w:tblPr/>
  </w:style>
  <w:style w:type="table" w:styleId="823">
    <w:name w:val="List Table 3"/>
    <w:next w:val="823"/>
    <w:link w:val="696"/>
    <w:uiPriority w:val="99"/>
    <w:qFormat/>
    <w:pPr>
      <w:spacing w:after="0" w:line="240" w:lineRule="auto"/>
    </w:pPr>
    <w:tblPr/>
  </w:style>
  <w:style w:type="table" w:styleId="824">
    <w:name w:val="List Table 3 - Accent 1"/>
    <w:next w:val="824"/>
    <w:link w:val="696"/>
    <w:uiPriority w:val="99"/>
    <w:qFormat/>
    <w:pPr>
      <w:spacing w:after="0" w:line="240" w:lineRule="auto"/>
    </w:pPr>
    <w:tblPr/>
  </w:style>
  <w:style w:type="table" w:styleId="825">
    <w:name w:val="List Table 3 - Accent 2"/>
    <w:next w:val="825"/>
    <w:link w:val="696"/>
    <w:uiPriority w:val="99"/>
    <w:qFormat/>
    <w:pPr>
      <w:spacing w:after="0" w:line="240" w:lineRule="auto"/>
    </w:pPr>
    <w:tblPr/>
  </w:style>
  <w:style w:type="table" w:styleId="826">
    <w:name w:val="List Table 3 - Accent 3"/>
    <w:next w:val="826"/>
    <w:link w:val="696"/>
    <w:uiPriority w:val="99"/>
    <w:qFormat/>
    <w:pPr>
      <w:spacing w:after="0" w:line="240" w:lineRule="auto"/>
    </w:pPr>
    <w:tblPr/>
  </w:style>
  <w:style w:type="table" w:styleId="827">
    <w:name w:val="List Table 3 - Accent 4"/>
    <w:next w:val="827"/>
    <w:link w:val="696"/>
    <w:uiPriority w:val="99"/>
    <w:qFormat/>
    <w:pPr>
      <w:spacing w:after="0" w:line="240" w:lineRule="auto"/>
    </w:pPr>
    <w:tblPr/>
  </w:style>
  <w:style w:type="table" w:styleId="828">
    <w:name w:val="List Table 3 - Accent 5"/>
    <w:next w:val="828"/>
    <w:link w:val="696"/>
    <w:uiPriority w:val="99"/>
    <w:qFormat/>
    <w:pPr>
      <w:spacing w:after="0" w:line="240" w:lineRule="auto"/>
    </w:pPr>
    <w:tblPr/>
  </w:style>
  <w:style w:type="table" w:styleId="829">
    <w:name w:val="List Table 3 - Accent 6"/>
    <w:next w:val="829"/>
    <w:link w:val="696"/>
    <w:uiPriority w:val="99"/>
    <w:qFormat/>
    <w:pPr>
      <w:spacing w:after="0" w:line="240" w:lineRule="auto"/>
    </w:pPr>
    <w:tblPr/>
  </w:style>
  <w:style w:type="table" w:styleId="830">
    <w:name w:val="List Table 4"/>
    <w:next w:val="830"/>
    <w:link w:val="696"/>
    <w:uiPriority w:val="99"/>
    <w:qFormat/>
    <w:pPr>
      <w:spacing w:after="0" w:line="240" w:lineRule="auto"/>
    </w:pPr>
    <w:tblPr/>
  </w:style>
  <w:style w:type="table" w:styleId="831">
    <w:name w:val="List Table 4 - Accent 1"/>
    <w:next w:val="831"/>
    <w:link w:val="696"/>
    <w:uiPriority w:val="99"/>
    <w:qFormat/>
    <w:pPr>
      <w:spacing w:after="0" w:line="240" w:lineRule="auto"/>
    </w:pPr>
    <w:tblPr/>
  </w:style>
  <w:style w:type="table" w:styleId="832">
    <w:name w:val="List Table 4 - Accent 2"/>
    <w:next w:val="832"/>
    <w:link w:val="696"/>
    <w:uiPriority w:val="99"/>
    <w:qFormat/>
    <w:pPr>
      <w:spacing w:after="0" w:line="240" w:lineRule="auto"/>
    </w:pPr>
    <w:tblPr/>
  </w:style>
  <w:style w:type="table" w:styleId="833">
    <w:name w:val="List Table 4 - Accent 3"/>
    <w:next w:val="833"/>
    <w:link w:val="696"/>
    <w:uiPriority w:val="99"/>
    <w:qFormat/>
    <w:pPr>
      <w:spacing w:after="0" w:line="240" w:lineRule="auto"/>
    </w:pPr>
    <w:tblPr/>
  </w:style>
  <w:style w:type="table" w:styleId="834">
    <w:name w:val="List Table 4 - Accent 4"/>
    <w:next w:val="834"/>
    <w:link w:val="696"/>
    <w:uiPriority w:val="99"/>
    <w:qFormat/>
    <w:pPr>
      <w:spacing w:after="0" w:line="240" w:lineRule="auto"/>
    </w:pPr>
    <w:tblPr/>
  </w:style>
  <w:style w:type="table" w:styleId="835">
    <w:name w:val="List Table 4 - Accent 5"/>
    <w:next w:val="835"/>
    <w:link w:val="696"/>
    <w:uiPriority w:val="99"/>
    <w:qFormat/>
    <w:pPr>
      <w:spacing w:after="0" w:line="240" w:lineRule="auto"/>
    </w:pPr>
    <w:tblPr/>
  </w:style>
  <w:style w:type="table" w:styleId="836">
    <w:name w:val="List Table 4 - Accent 6"/>
    <w:next w:val="836"/>
    <w:link w:val="696"/>
    <w:uiPriority w:val="99"/>
    <w:qFormat/>
    <w:pPr>
      <w:spacing w:after="0" w:line="240" w:lineRule="auto"/>
    </w:pPr>
    <w:tblPr/>
  </w:style>
  <w:style w:type="table" w:styleId="837">
    <w:name w:val="List Table 5 Dark"/>
    <w:next w:val="837"/>
    <w:link w:val="696"/>
    <w:uiPriority w:val="99"/>
    <w:qFormat/>
    <w:pPr>
      <w:spacing w:after="0" w:line="240" w:lineRule="auto"/>
    </w:pPr>
    <w:tblPr/>
  </w:style>
  <w:style w:type="table" w:styleId="838">
    <w:name w:val="List Table 5 Dark - Accent 1"/>
    <w:next w:val="838"/>
    <w:link w:val="696"/>
    <w:uiPriority w:val="99"/>
    <w:qFormat/>
    <w:pPr>
      <w:spacing w:after="0" w:line="240" w:lineRule="auto"/>
    </w:pPr>
    <w:tblPr/>
  </w:style>
  <w:style w:type="table" w:styleId="839">
    <w:name w:val="List Table 5 Dark - Accent 2"/>
    <w:next w:val="839"/>
    <w:link w:val="696"/>
    <w:uiPriority w:val="99"/>
    <w:qFormat/>
    <w:pPr>
      <w:spacing w:after="0" w:line="240" w:lineRule="auto"/>
    </w:pPr>
    <w:tblPr/>
  </w:style>
  <w:style w:type="table" w:styleId="840">
    <w:name w:val="List Table 5 Dark - Accent 3"/>
    <w:next w:val="840"/>
    <w:link w:val="696"/>
    <w:uiPriority w:val="99"/>
    <w:qFormat/>
    <w:pPr>
      <w:spacing w:after="0" w:line="240" w:lineRule="auto"/>
    </w:pPr>
    <w:tblPr/>
  </w:style>
  <w:style w:type="table" w:styleId="841">
    <w:name w:val="List Table 5 Dark - Accent 4"/>
    <w:next w:val="841"/>
    <w:link w:val="696"/>
    <w:uiPriority w:val="99"/>
    <w:qFormat/>
    <w:pPr>
      <w:spacing w:after="0" w:line="240" w:lineRule="auto"/>
    </w:pPr>
    <w:tblPr/>
  </w:style>
  <w:style w:type="table" w:styleId="842">
    <w:name w:val="List Table 5 Dark - Accent 5"/>
    <w:next w:val="842"/>
    <w:link w:val="696"/>
    <w:uiPriority w:val="99"/>
    <w:qFormat/>
    <w:pPr>
      <w:spacing w:after="0" w:line="240" w:lineRule="auto"/>
    </w:pPr>
    <w:tblPr/>
  </w:style>
  <w:style w:type="table" w:styleId="843">
    <w:name w:val="List Table 5 Dark - Accent 6"/>
    <w:next w:val="843"/>
    <w:link w:val="696"/>
    <w:uiPriority w:val="99"/>
    <w:qFormat/>
    <w:pPr>
      <w:spacing w:after="0" w:line="240" w:lineRule="auto"/>
    </w:pPr>
    <w:tblPr/>
  </w:style>
  <w:style w:type="table" w:styleId="844">
    <w:name w:val="List Table 6 Colorful"/>
    <w:next w:val="844"/>
    <w:link w:val="696"/>
    <w:uiPriority w:val="99"/>
    <w:qFormat/>
    <w:pPr>
      <w:spacing w:after="0" w:line="240" w:lineRule="auto"/>
    </w:pPr>
    <w:tblPr/>
  </w:style>
  <w:style w:type="table" w:styleId="845">
    <w:name w:val="List Table 6 Colorful - Accent 1"/>
    <w:next w:val="845"/>
    <w:link w:val="696"/>
    <w:uiPriority w:val="99"/>
    <w:qFormat/>
    <w:pPr>
      <w:spacing w:after="0" w:line="240" w:lineRule="auto"/>
    </w:pPr>
    <w:tblPr/>
  </w:style>
  <w:style w:type="table" w:styleId="846">
    <w:name w:val="List Table 6 Colorful - Accent 2"/>
    <w:next w:val="846"/>
    <w:link w:val="696"/>
    <w:uiPriority w:val="99"/>
    <w:qFormat/>
    <w:pPr>
      <w:spacing w:after="0" w:line="240" w:lineRule="auto"/>
    </w:pPr>
    <w:tblPr/>
  </w:style>
  <w:style w:type="table" w:styleId="847">
    <w:name w:val="List Table 6 Colorful - Accent 3"/>
    <w:next w:val="847"/>
    <w:link w:val="696"/>
    <w:uiPriority w:val="99"/>
    <w:qFormat/>
    <w:pPr>
      <w:spacing w:after="0" w:line="240" w:lineRule="auto"/>
    </w:pPr>
    <w:tblPr/>
  </w:style>
  <w:style w:type="table" w:styleId="848">
    <w:name w:val="List Table 6 Colorful - Accent 4"/>
    <w:next w:val="848"/>
    <w:link w:val="696"/>
    <w:uiPriority w:val="99"/>
    <w:qFormat/>
    <w:pPr>
      <w:spacing w:after="0" w:line="240" w:lineRule="auto"/>
    </w:pPr>
    <w:tblPr/>
  </w:style>
  <w:style w:type="table" w:styleId="849">
    <w:name w:val="List Table 6 Colorful - Accent 5"/>
    <w:next w:val="849"/>
    <w:link w:val="696"/>
    <w:uiPriority w:val="99"/>
    <w:qFormat/>
    <w:pPr>
      <w:spacing w:after="0" w:line="240" w:lineRule="auto"/>
    </w:pPr>
    <w:tblPr/>
  </w:style>
  <w:style w:type="table" w:styleId="850">
    <w:name w:val="List Table 6 Colorful - Accent 6"/>
    <w:next w:val="850"/>
    <w:link w:val="696"/>
    <w:uiPriority w:val="99"/>
    <w:qFormat/>
    <w:pPr>
      <w:spacing w:after="0" w:line="240" w:lineRule="auto"/>
    </w:pPr>
    <w:tblPr/>
  </w:style>
  <w:style w:type="table" w:styleId="851">
    <w:name w:val="List Table 7 Colorful"/>
    <w:next w:val="851"/>
    <w:link w:val="696"/>
    <w:uiPriority w:val="99"/>
    <w:qFormat/>
    <w:pPr>
      <w:spacing w:after="0" w:line="240" w:lineRule="auto"/>
    </w:pPr>
    <w:tblPr/>
  </w:style>
  <w:style w:type="table" w:styleId="852">
    <w:name w:val="List Table 7 Colorful - Accent 1"/>
    <w:next w:val="852"/>
    <w:link w:val="696"/>
    <w:uiPriority w:val="99"/>
    <w:qFormat/>
    <w:pPr>
      <w:spacing w:after="0" w:line="240" w:lineRule="auto"/>
    </w:pPr>
    <w:tblPr/>
  </w:style>
  <w:style w:type="table" w:styleId="853">
    <w:name w:val="List Table 7 Colorful - Accent 2"/>
    <w:next w:val="853"/>
    <w:link w:val="696"/>
    <w:uiPriority w:val="99"/>
    <w:qFormat/>
    <w:pPr>
      <w:spacing w:after="0" w:line="240" w:lineRule="auto"/>
    </w:pPr>
    <w:tblPr/>
  </w:style>
  <w:style w:type="table" w:styleId="854">
    <w:name w:val="List Table 7 Colorful - Accent 3"/>
    <w:next w:val="854"/>
    <w:link w:val="696"/>
    <w:uiPriority w:val="99"/>
    <w:qFormat/>
    <w:pPr>
      <w:spacing w:after="0" w:line="240" w:lineRule="auto"/>
    </w:pPr>
    <w:tblPr/>
  </w:style>
  <w:style w:type="table" w:styleId="855">
    <w:name w:val="List Table 7 Colorful - Accent 4"/>
    <w:next w:val="855"/>
    <w:link w:val="696"/>
    <w:uiPriority w:val="99"/>
    <w:qFormat/>
    <w:pPr>
      <w:spacing w:after="0" w:line="240" w:lineRule="auto"/>
    </w:pPr>
    <w:tblPr/>
  </w:style>
  <w:style w:type="table" w:styleId="856">
    <w:name w:val="List Table 7 Colorful - Accent 5"/>
    <w:next w:val="856"/>
    <w:link w:val="696"/>
    <w:uiPriority w:val="99"/>
    <w:qFormat/>
    <w:pPr>
      <w:spacing w:after="0" w:line="240" w:lineRule="auto"/>
    </w:pPr>
    <w:tblPr/>
  </w:style>
  <w:style w:type="table" w:styleId="857">
    <w:name w:val="List Table 7 Colorful - Accent 6"/>
    <w:next w:val="857"/>
    <w:link w:val="696"/>
    <w:uiPriority w:val="99"/>
    <w:qFormat/>
    <w:pPr>
      <w:spacing w:after="0" w:line="240" w:lineRule="auto"/>
    </w:pPr>
    <w:tblPr/>
  </w:style>
  <w:style w:type="table" w:styleId="858">
    <w:name w:val="Lined - Accent"/>
    <w:next w:val="858"/>
    <w:link w:val="696"/>
    <w:uiPriority w:val="99"/>
    <w:qFormat/>
    <w:pPr>
      <w:spacing w:after="0" w:line="240" w:lineRule="auto"/>
    </w:pPr>
    <w:rPr>
      <w:color w:val="404040"/>
    </w:rPr>
    <w:tblPr/>
  </w:style>
  <w:style w:type="table" w:styleId="859">
    <w:name w:val="Lined - Accent 1"/>
    <w:next w:val="859"/>
    <w:link w:val="696"/>
    <w:uiPriority w:val="99"/>
    <w:qFormat/>
    <w:pPr>
      <w:spacing w:after="0" w:line="240" w:lineRule="auto"/>
    </w:pPr>
    <w:rPr>
      <w:color w:val="404040"/>
    </w:rPr>
    <w:tblPr/>
  </w:style>
  <w:style w:type="table" w:styleId="860">
    <w:name w:val="Lined - Accent 2"/>
    <w:next w:val="860"/>
    <w:link w:val="696"/>
    <w:uiPriority w:val="99"/>
    <w:qFormat/>
    <w:pPr>
      <w:spacing w:after="0" w:line="240" w:lineRule="auto"/>
    </w:pPr>
    <w:rPr>
      <w:color w:val="404040"/>
    </w:rPr>
    <w:tblPr/>
  </w:style>
  <w:style w:type="table" w:styleId="861">
    <w:name w:val="Lined - Accent 3"/>
    <w:next w:val="861"/>
    <w:link w:val="696"/>
    <w:uiPriority w:val="99"/>
    <w:qFormat/>
    <w:pPr>
      <w:spacing w:after="0" w:line="240" w:lineRule="auto"/>
    </w:pPr>
    <w:rPr>
      <w:color w:val="404040"/>
    </w:rPr>
    <w:tblPr/>
  </w:style>
  <w:style w:type="table" w:styleId="862">
    <w:name w:val="Lined - Accent 4"/>
    <w:next w:val="862"/>
    <w:link w:val="696"/>
    <w:uiPriority w:val="99"/>
    <w:qFormat/>
    <w:pPr>
      <w:spacing w:after="0" w:line="240" w:lineRule="auto"/>
    </w:pPr>
    <w:rPr>
      <w:color w:val="404040"/>
    </w:rPr>
    <w:tblPr/>
  </w:style>
  <w:style w:type="table" w:styleId="863">
    <w:name w:val="Lined - Accent 5"/>
    <w:next w:val="863"/>
    <w:link w:val="696"/>
    <w:uiPriority w:val="99"/>
    <w:qFormat/>
    <w:pPr>
      <w:spacing w:after="0" w:line="240" w:lineRule="auto"/>
    </w:pPr>
    <w:rPr>
      <w:color w:val="404040"/>
    </w:rPr>
    <w:tblPr/>
  </w:style>
  <w:style w:type="table" w:styleId="864">
    <w:name w:val="Lined - Accent 6"/>
    <w:next w:val="864"/>
    <w:link w:val="696"/>
    <w:uiPriority w:val="99"/>
    <w:qFormat/>
    <w:pPr>
      <w:spacing w:after="0" w:line="240" w:lineRule="auto"/>
    </w:pPr>
    <w:rPr>
      <w:color w:val="404040"/>
    </w:rPr>
    <w:tblPr/>
  </w:style>
  <w:style w:type="table" w:styleId="865">
    <w:name w:val="Bordered &amp; Lined - Accent"/>
    <w:next w:val="865"/>
    <w:link w:val="696"/>
    <w:uiPriority w:val="99"/>
    <w:qFormat/>
    <w:pPr>
      <w:spacing w:after="0" w:line="240" w:lineRule="auto"/>
    </w:pPr>
    <w:rPr>
      <w:color w:val="404040"/>
    </w:rPr>
    <w:tblPr/>
  </w:style>
  <w:style w:type="table" w:styleId="866">
    <w:name w:val="Bordered &amp; Lined - Accent 1"/>
    <w:next w:val="866"/>
    <w:link w:val="696"/>
    <w:uiPriority w:val="99"/>
    <w:qFormat/>
    <w:pPr>
      <w:spacing w:after="0" w:line="240" w:lineRule="auto"/>
    </w:pPr>
    <w:rPr>
      <w:color w:val="404040"/>
    </w:rPr>
    <w:tblPr/>
  </w:style>
  <w:style w:type="table" w:styleId="867">
    <w:name w:val="Bordered &amp; Lined - Accent 2"/>
    <w:next w:val="867"/>
    <w:link w:val="696"/>
    <w:uiPriority w:val="99"/>
    <w:qFormat/>
    <w:pPr>
      <w:spacing w:after="0" w:line="240" w:lineRule="auto"/>
    </w:pPr>
    <w:rPr>
      <w:color w:val="404040"/>
    </w:rPr>
    <w:tblPr/>
  </w:style>
  <w:style w:type="table" w:styleId="868">
    <w:name w:val="Bordered &amp; Lined - Accent 3"/>
    <w:next w:val="868"/>
    <w:link w:val="696"/>
    <w:uiPriority w:val="99"/>
    <w:qFormat/>
    <w:pPr>
      <w:spacing w:after="0" w:line="240" w:lineRule="auto"/>
    </w:pPr>
    <w:rPr>
      <w:color w:val="404040"/>
    </w:rPr>
    <w:tblPr/>
  </w:style>
  <w:style w:type="table" w:styleId="869">
    <w:name w:val="Bordered &amp; Lined - Accent 4"/>
    <w:next w:val="869"/>
    <w:link w:val="696"/>
    <w:uiPriority w:val="99"/>
    <w:qFormat/>
    <w:pPr>
      <w:spacing w:after="0" w:line="240" w:lineRule="auto"/>
    </w:pPr>
    <w:rPr>
      <w:color w:val="404040"/>
    </w:rPr>
    <w:tblPr/>
  </w:style>
  <w:style w:type="table" w:styleId="870">
    <w:name w:val="Bordered &amp; Lined - Accent 5"/>
    <w:next w:val="870"/>
    <w:link w:val="696"/>
    <w:uiPriority w:val="99"/>
    <w:qFormat/>
    <w:pPr>
      <w:spacing w:after="0" w:line="240" w:lineRule="auto"/>
    </w:pPr>
    <w:rPr>
      <w:color w:val="404040"/>
    </w:rPr>
    <w:tblPr/>
  </w:style>
  <w:style w:type="table" w:styleId="871">
    <w:name w:val="Bordered &amp; Lined - Accent 6"/>
    <w:next w:val="871"/>
    <w:link w:val="696"/>
    <w:uiPriority w:val="99"/>
    <w:qFormat/>
    <w:pPr>
      <w:spacing w:after="0" w:line="240" w:lineRule="auto"/>
    </w:pPr>
    <w:rPr>
      <w:color w:val="404040"/>
    </w:rPr>
    <w:tblPr/>
  </w:style>
  <w:style w:type="table" w:styleId="872">
    <w:name w:val="Bordered"/>
    <w:next w:val="872"/>
    <w:link w:val="696"/>
    <w:uiPriority w:val="99"/>
    <w:qFormat/>
    <w:pPr>
      <w:spacing w:after="0" w:line="240" w:lineRule="auto"/>
    </w:pPr>
    <w:tblPr/>
  </w:style>
  <w:style w:type="table" w:styleId="873">
    <w:name w:val="Bordered - Accent 1"/>
    <w:next w:val="873"/>
    <w:link w:val="696"/>
    <w:uiPriority w:val="99"/>
    <w:qFormat/>
    <w:pPr>
      <w:spacing w:after="0" w:line="240" w:lineRule="auto"/>
    </w:pPr>
    <w:tblPr/>
  </w:style>
  <w:style w:type="table" w:styleId="874">
    <w:name w:val="Bordered - Accent 2"/>
    <w:next w:val="874"/>
    <w:link w:val="696"/>
    <w:uiPriority w:val="99"/>
    <w:qFormat/>
    <w:pPr>
      <w:spacing w:after="0" w:line="240" w:lineRule="auto"/>
    </w:pPr>
    <w:tblPr/>
  </w:style>
  <w:style w:type="table" w:styleId="875">
    <w:name w:val="Bordered - Accent 3"/>
    <w:next w:val="875"/>
    <w:link w:val="696"/>
    <w:uiPriority w:val="99"/>
    <w:qFormat/>
    <w:pPr>
      <w:spacing w:after="0" w:line="240" w:lineRule="auto"/>
    </w:pPr>
    <w:tblPr/>
  </w:style>
  <w:style w:type="table" w:styleId="876">
    <w:name w:val="Bordered - Accent 4"/>
    <w:next w:val="876"/>
    <w:link w:val="696"/>
    <w:uiPriority w:val="99"/>
    <w:qFormat/>
    <w:pPr>
      <w:spacing w:after="0" w:line="240" w:lineRule="auto"/>
    </w:pPr>
    <w:tblPr/>
  </w:style>
  <w:style w:type="table" w:styleId="877">
    <w:name w:val="Bordered - Accent 5"/>
    <w:next w:val="877"/>
    <w:link w:val="696"/>
    <w:uiPriority w:val="99"/>
    <w:qFormat/>
    <w:pPr>
      <w:spacing w:after="0" w:line="240" w:lineRule="auto"/>
    </w:pPr>
    <w:tblPr/>
  </w:style>
  <w:style w:type="table" w:styleId="878">
    <w:name w:val="Bordered - Accent 6"/>
    <w:next w:val="878"/>
    <w:link w:val="696"/>
    <w:uiPriority w:val="99"/>
    <w:qFormat/>
    <w:pPr>
      <w:spacing w:after="0" w:line="240" w:lineRule="auto"/>
    </w:pPr>
    <w:tblPr/>
  </w:style>
  <w:style w:type="paragraph" w:styleId="879">
    <w:name w:val="TOC Heading"/>
    <w:next w:val="879"/>
    <w:link w:val="696"/>
    <w:uiPriority w:val="39"/>
    <w:unhideWhenUsed/>
    <w:qFormat/>
  </w:style>
  <w:style w:type="paragraph" w:styleId="880">
    <w:name w:val="标题 11"/>
    <w:basedOn w:val="696"/>
    <w:next w:val="696"/>
    <w:link w:val="881"/>
    <w:qFormat/>
    <w:pPr>
      <w:jc w:val="center"/>
      <w:keepNext/>
      <w:outlineLvl w:val="0"/>
    </w:pPr>
    <w:rPr>
      <w:rFonts w:ascii="楷体_GB2312" w:hAnsi="Times New Roman" w:eastAsia="楷体_GB2312" w:cs="Times New Roman"/>
      <w:sz w:val="28"/>
      <w:szCs w:val="28"/>
    </w:rPr>
  </w:style>
  <w:style w:type="character" w:styleId="881">
    <w:name w:val="标题 1 Char"/>
    <w:next w:val="881"/>
    <w:link w:val="880"/>
    <w:qFormat/>
    <w:rPr>
      <w:rFonts w:ascii="楷体_GB2312" w:hAnsi="Times New Roman" w:eastAsia="楷体_GB2312" w:cs="Times New Roman"/>
      <w:sz w:val="28"/>
      <w:szCs w:val="28"/>
    </w:rPr>
  </w:style>
  <w:style w:type="paragraph" w:styleId="882">
    <w:name w:val="标题 21"/>
    <w:basedOn w:val="696"/>
    <w:next w:val="884"/>
    <w:link w:val="883"/>
    <w:qFormat/>
    <w:pPr>
      <w:jc w:val="center"/>
      <w:keepLines/>
      <w:keepNext/>
      <w:spacing w:before="260" w:after="260" w:line="416" w:lineRule="auto"/>
      <w:outlineLvl w:val="1"/>
    </w:pPr>
    <w:rPr>
      <w:rFonts w:ascii="Arial" w:hAnsi="Arial" w:eastAsia="幼圆" w:cs="Arial"/>
      <w:b/>
      <w:bCs/>
      <w:sz w:val="44"/>
      <w:szCs w:val="44"/>
    </w:rPr>
  </w:style>
  <w:style w:type="character" w:styleId="883">
    <w:name w:val="标题 2 Char"/>
    <w:next w:val="883"/>
    <w:link w:val="882"/>
    <w:qFormat/>
    <w:rPr>
      <w:rFonts w:ascii="Arial" w:hAnsi="Arial" w:eastAsia="幼圆" w:cs="Arial"/>
      <w:b/>
      <w:bCs/>
      <w:sz w:val="44"/>
      <w:szCs w:val="44"/>
    </w:rPr>
  </w:style>
  <w:style w:type="paragraph" w:styleId="884">
    <w:name w:val="正文缩进1"/>
    <w:basedOn w:val="696"/>
    <w:next w:val="884"/>
    <w:link w:val="885"/>
    <w:qFormat/>
    <w:pPr>
      <w:ind w:firstLine="420"/>
    </w:pPr>
    <w:rPr>
      <w:szCs w:val="21"/>
    </w:rPr>
  </w:style>
  <w:style w:type="character" w:styleId="885">
    <w:name w:val="正文缩进 Char"/>
    <w:next w:val="885"/>
    <w:link w:val="884"/>
    <w:qFormat/>
    <w:rPr>
      <w:szCs w:val="21"/>
    </w:rPr>
  </w:style>
  <w:style w:type="paragraph" w:styleId="886">
    <w:name w:val="标题 31"/>
    <w:basedOn w:val="696"/>
    <w:next w:val="884"/>
    <w:link w:val="887"/>
    <w:qFormat/>
    <w:pPr>
      <w:keepLines/>
      <w:keepNext/>
      <w:spacing w:before="260" w:after="260" w:line="416" w:lineRule="auto"/>
      <w:outlineLvl w:val="2"/>
    </w:pPr>
    <w:rPr>
      <w:rFonts w:ascii="Times New Roman" w:hAnsi="Times New Roman" w:eastAsia="宋体" w:cs="Times New Roman"/>
      <w:b/>
      <w:bCs/>
      <w:sz w:val="32"/>
      <w:szCs w:val="32"/>
    </w:rPr>
  </w:style>
  <w:style w:type="character" w:styleId="887">
    <w:name w:val="标题 3 Char"/>
    <w:next w:val="887"/>
    <w:link w:val="886"/>
    <w:qFormat/>
    <w:rPr>
      <w:rFonts w:ascii="Times New Roman" w:hAnsi="Times New Roman" w:eastAsia="宋体" w:cs="Times New Roman"/>
      <w:b/>
      <w:bCs/>
      <w:sz w:val="32"/>
      <w:szCs w:val="32"/>
    </w:rPr>
  </w:style>
  <w:style w:type="paragraph" w:styleId="888">
    <w:name w:val="标题 41"/>
    <w:basedOn w:val="696"/>
    <w:next w:val="884"/>
    <w:link w:val="889"/>
    <w:qFormat/>
    <w:pPr>
      <w:keepLines/>
      <w:keepNext/>
      <w:spacing w:before="280" w:after="290" w:line="376" w:lineRule="auto"/>
      <w:outlineLvl w:val="3"/>
    </w:pPr>
    <w:rPr>
      <w:rFonts w:ascii="Arial" w:hAnsi="Arial" w:eastAsia="黑体" w:cs="Arial"/>
      <w:b/>
      <w:bCs/>
      <w:sz w:val="28"/>
      <w:szCs w:val="28"/>
    </w:rPr>
  </w:style>
  <w:style w:type="character" w:styleId="889">
    <w:name w:val="标题 4 Char"/>
    <w:next w:val="889"/>
    <w:link w:val="888"/>
    <w:qFormat/>
    <w:rPr>
      <w:rFonts w:ascii="Arial" w:hAnsi="Arial" w:eastAsia="黑体" w:cs="Arial"/>
      <w:b/>
      <w:bCs/>
      <w:sz w:val="28"/>
      <w:szCs w:val="28"/>
    </w:rPr>
  </w:style>
  <w:style w:type="paragraph" w:styleId="890">
    <w:name w:val="标题 51"/>
    <w:basedOn w:val="696"/>
    <w:next w:val="884"/>
    <w:link w:val="891"/>
    <w:qFormat/>
    <w:pPr>
      <w:keepNext/>
      <w:outlineLvl w:val="4"/>
    </w:pPr>
    <w:rPr>
      <w:rFonts w:ascii="宋体" w:hAnsi="Times New Roman" w:eastAsia="宋体" w:cs="Times New Roman"/>
      <w:color w:val="000000"/>
      <w:sz w:val="28"/>
      <w:szCs w:val="28"/>
    </w:rPr>
  </w:style>
  <w:style w:type="character" w:styleId="891">
    <w:name w:val="标题 5 Char"/>
    <w:next w:val="891"/>
    <w:link w:val="890"/>
    <w:qFormat/>
    <w:rPr>
      <w:rFonts w:ascii="宋体" w:hAnsi="Times New Roman" w:eastAsia="宋体" w:cs="Times New Roman"/>
      <w:color w:val="000000"/>
      <w:sz w:val="28"/>
      <w:szCs w:val="28"/>
    </w:rPr>
  </w:style>
  <w:style w:type="paragraph" w:styleId="892">
    <w:name w:val="标题 61"/>
    <w:basedOn w:val="696"/>
    <w:next w:val="696"/>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93">
    <w:name w:val="标题 6 Char"/>
    <w:next w:val="893"/>
    <w:link w:val="892"/>
    <w:qFormat/>
    <w:rPr>
      <w:rFonts w:ascii="Arial" w:hAnsi="Arial" w:eastAsia="黑体" w:cs="Times New Roman"/>
      <w:b/>
      <w:bCs/>
      <w:sz w:val="24"/>
      <w:szCs w:val="24"/>
    </w:rPr>
  </w:style>
  <w:style w:type="paragraph" w:styleId="894">
    <w:name w:val="标题 71"/>
    <w:basedOn w:val="696"/>
    <w:next w:val="696"/>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95">
    <w:name w:val="标题 7 Char"/>
    <w:next w:val="895"/>
    <w:link w:val="894"/>
    <w:qFormat/>
    <w:rPr>
      <w:rFonts w:ascii="Times New Roman" w:hAnsi="Times New Roman" w:eastAsia="宋体" w:cs="Times New Roman"/>
      <w:b/>
      <w:bCs/>
      <w:sz w:val="24"/>
      <w:szCs w:val="24"/>
    </w:rPr>
  </w:style>
  <w:style w:type="paragraph" w:styleId="896">
    <w:name w:val="标题 81"/>
    <w:basedOn w:val="696"/>
    <w:next w:val="696"/>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97">
    <w:name w:val="标题 8 Char"/>
    <w:next w:val="897"/>
    <w:link w:val="896"/>
    <w:qFormat/>
    <w:rPr>
      <w:rFonts w:ascii="Arial" w:hAnsi="Arial" w:eastAsia="黑体" w:cs="Times New Roman"/>
      <w:sz w:val="24"/>
      <w:szCs w:val="24"/>
    </w:rPr>
  </w:style>
  <w:style w:type="paragraph" w:styleId="898">
    <w:name w:val="标题 91"/>
    <w:basedOn w:val="696"/>
    <w:next w:val="696"/>
    <w:link w:val="899"/>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name w:val="标题 9 Char"/>
    <w:next w:val="899"/>
    <w:link w:val="898"/>
    <w:qFormat/>
    <w:rPr>
      <w:rFonts w:ascii="Arial" w:hAnsi="Arial" w:eastAsia="黑体" w:cs="Times New Roman"/>
      <w:szCs w:val="21"/>
    </w:rPr>
  </w:style>
  <w:style w:type="character" w:styleId="900">
    <w:name w:val="默认段落字体1"/>
    <w:next w:val="900"/>
    <w:link w:val="696"/>
    <w:uiPriority w:val="1"/>
    <w:unhideWhenUsed/>
    <w:qFormat/>
  </w:style>
  <w:style w:type="table" w:styleId="901">
    <w:name w:val="普通表格1"/>
    <w:next w:val="901"/>
    <w:link w:val="696"/>
    <w:uiPriority w:val="99"/>
    <w:unhideWhenUsed/>
    <w:qFormat/>
    <w:tblPr/>
  </w:style>
  <w:style w:type="paragraph" w:styleId="902">
    <w:name w:val="列表 31"/>
    <w:basedOn w:val="696"/>
    <w:next w:val="902"/>
    <w:link w:val="696"/>
    <w:qFormat/>
    <w:pPr>
      <w:ind w:left="100" w:hanging="200"/>
    </w:pPr>
    <w:rPr>
      <w:rFonts w:ascii="Times New Roman" w:hAnsi="Times New Roman" w:eastAsia="宋体" w:cs="Times New Roman"/>
      <w:szCs w:val="21"/>
    </w:rPr>
  </w:style>
  <w:style w:type="paragraph" w:styleId="903">
    <w:name w:val="目录 71"/>
    <w:basedOn w:val="696"/>
    <w:next w:val="696"/>
    <w:link w:val="696"/>
    <w:semiHidden/>
    <w:qFormat/>
    <w:pPr>
      <w:ind w:left="1260"/>
      <w:jc w:val="left"/>
    </w:pPr>
    <w:rPr>
      <w:rFonts w:ascii="Times New Roman" w:hAnsi="Times New Roman" w:eastAsia="宋体" w:cs="Times New Roman"/>
      <w:szCs w:val="21"/>
    </w:rPr>
  </w:style>
  <w:style w:type="paragraph" w:styleId="904">
    <w:name w:val="文档结构图1"/>
    <w:basedOn w:val="696"/>
    <w:next w:val="904"/>
    <w:link w:val="905"/>
    <w:semiHidden/>
    <w:qFormat/>
    <w:pPr>
      <w:shd w:val="clear" w:color="auto" w:fill="000080"/>
    </w:pPr>
    <w:rPr>
      <w:rFonts w:ascii="Times New Roman" w:hAnsi="Times New Roman" w:eastAsia="宋体" w:cs="Times New Roman"/>
      <w:szCs w:val="21"/>
    </w:rPr>
  </w:style>
  <w:style w:type="character" w:styleId="905">
    <w:name w:val="文档结构图 Char"/>
    <w:next w:val="905"/>
    <w:link w:val="904"/>
    <w:semiHidden/>
    <w:qFormat/>
    <w:rPr>
      <w:rFonts w:ascii="Times New Roman" w:hAnsi="Times New Roman" w:eastAsia="宋体" w:cs="Times New Roman"/>
      <w:szCs w:val="21"/>
      <w:shd w:val="clear" w:color="auto" w:fill="000080"/>
    </w:rPr>
  </w:style>
  <w:style w:type="paragraph" w:styleId="906">
    <w:name w:val="批注文字1"/>
    <w:basedOn w:val="696"/>
    <w:next w:val="906"/>
    <w:link w:val="907"/>
    <w:unhideWhenUsed/>
    <w:qFormat/>
    <w:pPr>
      <w:jc w:val="left"/>
    </w:pPr>
  </w:style>
  <w:style w:type="character" w:styleId="907">
    <w:name w:val="批注文字 Char"/>
    <w:next w:val="907"/>
    <w:link w:val="906"/>
    <w:uiPriority w:val="99"/>
    <w:semiHidden/>
    <w:qFormat/>
  </w:style>
  <w:style w:type="paragraph" w:styleId="908">
    <w:name w:val="正文文本 31"/>
    <w:basedOn w:val="696"/>
    <w:next w:val="908"/>
    <w:link w:val="909"/>
    <w:qFormat/>
    <w:rPr>
      <w:rFonts w:ascii="仿宋_GB2312" w:hAnsi="Arial" w:eastAsia="仿宋_GB2312" w:cs="Times New Roman"/>
      <w:sz w:val="32"/>
      <w:szCs w:val="32"/>
    </w:rPr>
  </w:style>
  <w:style w:type="character" w:styleId="909">
    <w:name w:val="正文文本 3 Char"/>
    <w:next w:val="909"/>
    <w:link w:val="908"/>
    <w:qFormat/>
    <w:rPr>
      <w:rFonts w:ascii="仿宋_GB2312" w:hAnsi="Arial" w:eastAsia="仿宋_GB2312" w:cs="Times New Roman"/>
      <w:sz w:val="32"/>
      <w:szCs w:val="32"/>
    </w:rPr>
  </w:style>
  <w:style w:type="paragraph" w:styleId="910">
    <w:name w:val="正文文本缩进1"/>
    <w:basedOn w:val="696"/>
    <w:next w:val="910"/>
    <w:link w:val="911"/>
    <w:unhideWhenUsed/>
    <w:qFormat/>
    <w:pPr>
      <w:ind w:left="420"/>
      <w:spacing w:after="120"/>
    </w:pPr>
  </w:style>
  <w:style w:type="character" w:styleId="911">
    <w:name w:val="正文文本缩进 Char"/>
    <w:next w:val="911"/>
    <w:link w:val="910"/>
    <w:uiPriority w:val="99"/>
    <w:semiHidden/>
    <w:qFormat/>
  </w:style>
  <w:style w:type="paragraph" w:styleId="912">
    <w:name w:val="列表 21"/>
    <w:basedOn w:val="696"/>
    <w:next w:val="912"/>
    <w:link w:val="696"/>
    <w:qFormat/>
    <w:pPr>
      <w:ind w:left="100" w:hanging="200"/>
    </w:pPr>
    <w:rPr>
      <w:rFonts w:ascii="Times New Roman" w:hAnsi="Times New Roman" w:eastAsia="宋体" w:cs="Times New Roman"/>
      <w:szCs w:val="21"/>
    </w:rPr>
  </w:style>
  <w:style w:type="paragraph" w:styleId="913">
    <w:name w:val="目录 51"/>
    <w:basedOn w:val="696"/>
    <w:next w:val="696"/>
    <w:link w:val="696"/>
    <w:semiHidden/>
    <w:qFormat/>
    <w:pPr>
      <w:ind w:left="840"/>
      <w:jc w:val="left"/>
    </w:pPr>
    <w:rPr>
      <w:rFonts w:ascii="Times New Roman" w:hAnsi="Times New Roman" w:eastAsia="宋体" w:cs="Times New Roman"/>
      <w:szCs w:val="21"/>
    </w:rPr>
  </w:style>
  <w:style w:type="paragraph" w:styleId="914">
    <w:name w:val="目录 31"/>
    <w:basedOn w:val="696"/>
    <w:next w:val="696"/>
    <w:link w:val="696"/>
    <w:semiHidden/>
    <w:qFormat/>
    <w:pPr>
      <w:ind w:left="420"/>
      <w:jc w:val="left"/>
    </w:pPr>
    <w:rPr>
      <w:rFonts w:ascii="Times New Roman" w:hAnsi="Times New Roman" w:eastAsia="宋体" w:cs="Times New Roman"/>
      <w:i/>
      <w:iCs/>
      <w:szCs w:val="24"/>
    </w:rPr>
  </w:style>
  <w:style w:type="paragraph" w:styleId="915">
    <w:name w:val="纯文本1"/>
    <w:basedOn w:val="696"/>
    <w:next w:val="915"/>
    <w:link w:val="916"/>
    <w:qFormat/>
    <w:rPr>
      <w:rFonts w:ascii="宋体" w:hAnsi="Courier New" w:eastAsia="宋体" w:cs="Courier New"/>
      <w:szCs w:val="21"/>
    </w:rPr>
  </w:style>
  <w:style w:type="character" w:styleId="916">
    <w:name w:val="纯文本 Char"/>
    <w:next w:val="916"/>
    <w:link w:val="915"/>
    <w:qFormat/>
    <w:rPr>
      <w:rFonts w:ascii="宋体" w:hAnsi="Courier New" w:eastAsia="宋体" w:cs="Courier New"/>
      <w:szCs w:val="21"/>
    </w:rPr>
  </w:style>
  <w:style w:type="paragraph" w:styleId="917">
    <w:name w:val="目录 81"/>
    <w:basedOn w:val="696"/>
    <w:next w:val="696"/>
    <w:link w:val="696"/>
    <w:semiHidden/>
    <w:qFormat/>
    <w:pPr>
      <w:ind w:left="1470"/>
      <w:jc w:val="left"/>
    </w:pPr>
    <w:rPr>
      <w:rFonts w:ascii="Times New Roman" w:hAnsi="Times New Roman" w:eastAsia="宋体" w:cs="Times New Roman"/>
      <w:szCs w:val="21"/>
    </w:rPr>
  </w:style>
  <w:style w:type="paragraph" w:styleId="918">
    <w:name w:val="日期1"/>
    <w:basedOn w:val="696"/>
    <w:next w:val="696"/>
    <w:link w:val="919"/>
    <w:qFormat/>
    <w:rPr>
      <w:rFonts w:ascii="Times New Roman" w:hAnsi="Times New Roman" w:eastAsia="宋体" w:cs="Times New Roman"/>
      <w:sz w:val="24"/>
      <w:szCs w:val="24"/>
    </w:rPr>
  </w:style>
  <w:style w:type="character" w:styleId="919">
    <w:name w:val="日期 Char"/>
    <w:next w:val="919"/>
    <w:link w:val="918"/>
    <w:qFormat/>
    <w:rPr>
      <w:rFonts w:ascii="Times New Roman" w:hAnsi="Times New Roman" w:eastAsia="宋体" w:cs="Times New Roman"/>
      <w:sz w:val="24"/>
      <w:szCs w:val="24"/>
    </w:rPr>
  </w:style>
  <w:style w:type="paragraph" w:styleId="920">
    <w:name w:val="正文文本缩进 21"/>
    <w:basedOn w:val="696"/>
    <w:next w:val="920"/>
    <w:link w:val="921"/>
    <w:qFormat/>
    <w:pPr>
      <w:ind w:left="630" w:firstLine="645"/>
    </w:pPr>
    <w:rPr>
      <w:rFonts w:ascii="Arial" w:hAnsi="Arial" w:eastAsia="仿宋_GB2312" w:cs="Arial"/>
      <w:sz w:val="32"/>
      <w:szCs w:val="32"/>
    </w:rPr>
  </w:style>
  <w:style w:type="character" w:styleId="921">
    <w:name w:val="正文文本缩进 2 Char"/>
    <w:next w:val="921"/>
    <w:link w:val="920"/>
    <w:qFormat/>
    <w:rPr>
      <w:rFonts w:ascii="Arial" w:hAnsi="Arial" w:eastAsia="仿宋_GB2312" w:cs="Arial"/>
      <w:sz w:val="32"/>
      <w:szCs w:val="32"/>
    </w:rPr>
  </w:style>
  <w:style w:type="paragraph" w:styleId="922">
    <w:name w:val="批注框文本1"/>
    <w:basedOn w:val="696"/>
    <w:next w:val="922"/>
    <w:link w:val="923"/>
    <w:semiHidden/>
    <w:qFormat/>
    <w:rPr>
      <w:rFonts w:ascii="Times New Roman" w:hAnsi="Times New Roman" w:eastAsia="宋体" w:cs="Times New Roman"/>
      <w:sz w:val="18"/>
      <w:szCs w:val="18"/>
    </w:rPr>
  </w:style>
  <w:style w:type="character" w:styleId="923">
    <w:name w:val="批注框文本 Char"/>
    <w:next w:val="923"/>
    <w:link w:val="922"/>
    <w:semiHidden/>
    <w:qFormat/>
    <w:rPr>
      <w:rFonts w:ascii="Times New Roman" w:hAnsi="Times New Roman" w:eastAsia="宋体" w:cs="Times New Roman"/>
      <w:sz w:val="18"/>
      <w:szCs w:val="18"/>
    </w:rPr>
  </w:style>
  <w:style w:type="paragraph" w:styleId="924">
    <w:name w:val="页脚1"/>
    <w:basedOn w:val="696"/>
    <w:next w:val="924"/>
    <w:link w:val="92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25">
    <w:name w:val="页脚 Char"/>
    <w:next w:val="925"/>
    <w:link w:val="924"/>
    <w:uiPriority w:val="99"/>
    <w:qFormat/>
    <w:rPr>
      <w:rFonts w:ascii="Times New Roman" w:hAnsi="Times New Roman" w:eastAsia="宋体" w:cs="Times New Roman"/>
      <w:sz w:val="18"/>
      <w:szCs w:val="18"/>
    </w:rPr>
  </w:style>
  <w:style w:type="paragraph" w:styleId="926">
    <w:name w:val="页眉1"/>
    <w:basedOn w:val="696"/>
    <w:next w:val="926"/>
    <w:link w:val="92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Char"/>
    <w:next w:val="927"/>
    <w:link w:val="926"/>
    <w:qFormat/>
    <w:rPr>
      <w:rFonts w:ascii="Times New Roman" w:hAnsi="Times New Roman" w:eastAsia="宋体" w:cs="Times New Roman"/>
      <w:sz w:val="18"/>
      <w:szCs w:val="18"/>
    </w:rPr>
  </w:style>
  <w:style w:type="paragraph" w:styleId="928">
    <w:name w:val="目录 11"/>
    <w:basedOn w:val="696"/>
    <w:next w:val="696"/>
    <w:link w:val="696"/>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1"/>
    <w:basedOn w:val="696"/>
    <w:next w:val="696"/>
    <w:link w:val="696"/>
    <w:semiHidden/>
    <w:qFormat/>
    <w:pPr>
      <w:ind w:left="630"/>
      <w:jc w:val="left"/>
    </w:pPr>
    <w:rPr>
      <w:rFonts w:ascii="Times New Roman" w:hAnsi="Times New Roman" w:eastAsia="宋体" w:cs="Times New Roman"/>
      <w:szCs w:val="21"/>
    </w:rPr>
  </w:style>
  <w:style w:type="paragraph" w:styleId="930">
    <w:name w:val="列表1"/>
    <w:basedOn w:val="696"/>
    <w:next w:val="930"/>
    <w:link w:val="696"/>
    <w:qFormat/>
    <w:pPr>
      <w:ind w:left="200" w:hanging="200"/>
    </w:pPr>
    <w:rPr>
      <w:rFonts w:ascii="Times New Roman" w:hAnsi="Times New Roman" w:eastAsia="宋体" w:cs="Times New Roman"/>
      <w:szCs w:val="21"/>
    </w:rPr>
  </w:style>
  <w:style w:type="paragraph" w:styleId="931">
    <w:name w:val="目录 61"/>
    <w:basedOn w:val="696"/>
    <w:next w:val="696"/>
    <w:link w:val="696"/>
    <w:semiHidden/>
    <w:qFormat/>
    <w:pPr>
      <w:ind w:left="1050"/>
      <w:jc w:val="left"/>
    </w:pPr>
    <w:rPr>
      <w:rFonts w:ascii="Times New Roman" w:hAnsi="Times New Roman" w:eastAsia="宋体" w:cs="Times New Roman"/>
      <w:szCs w:val="21"/>
    </w:rPr>
  </w:style>
  <w:style w:type="paragraph" w:styleId="932">
    <w:name w:val="正文文本缩进 31"/>
    <w:basedOn w:val="696"/>
    <w:next w:val="932"/>
    <w:link w:val="933"/>
    <w:qFormat/>
    <w:pPr>
      <w:ind w:left="645" w:firstLine="645"/>
    </w:pPr>
    <w:rPr>
      <w:rFonts w:ascii="Arial" w:hAnsi="Arial" w:eastAsia="仿宋_GB2312" w:cs="Arial"/>
      <w:color w:val="ffff00"/>
      <w:sz w:val="32"/>
      <w:szCs w:val="32"/>
    </w:rPr>
  </w:style>
  <w:style w:type="character" w:styleId="933">
    <w:name w:val="正文文本缩进 3 Char"/>
    <w:next w:val="933"/>
    <w:link w:val="932"/>
    <w:qFormat/>
    <w:rPr>
      <w:rFonts w:ascii="Arial" w:hAnsi="Arial" w:eastAsia="仿宋_GB2312" w:cs="Arial"/>
      <w:color w:val="ffff00"/>
      <w:sz w:val="32"/>
      <w:szCs w:val="32"/>
    </w:rPr>
  </w:style>
  <w:style w:type="paragraph" w:styleId="934">
    <w:name w:val="图表目录1"/>
    <w:basedOn w:val="696"/>
    <w:next w:val="696"/>
    <w:link w:val="696"/>
    <w:semiHidden/>
    <w:qFormat/>
    <w:pPr>
      <w:ind w:left="840" w:hanging="420"/>
    </w:pPr>
    <w:rPr>
      <w:rFonts w:ascii="Times New Roman" w:hAnsi="Times New Roman" w:eastAsia="宋体" w:cs="Times New Roman"/>
      <w:szCs w:val="21"/>
    </w:rPr>
  </w:style>
  <w:style w:type="paragraph" w:styleId="935">
    <w:name w:val="目录 21"/>
    <w:basedOn w:val="696"/>
    <w:next w:val="696"/>
    <w:link w:val="696"/>
    <w:semiHidden/>
    <w:qFormat/>
    <w:pPr>
      <w:ind w:left="210"/>
      <w:jc w:val="left"/>
    </w:pPr>
    <w:rPr>
      <w:rFonts w:ascii="Times New Roman" w:hAnsi="Times New Roman" w:eastAsia="宋体" w:cs="Times New Roman"/>
      <w:smallCaps/>
      <w:szCs w:val="24"/>
    </w:rPr>
  </w:style>
  <w:style w:type="paragraph" w:styleId="936">
    <w:name w:val="目录 91"/>
    <w:basedOn w:val="696"/>
    <w:next w:val="696"/>
    <w:link w:val="696"/>
    <w:semiHidden/>
    <w:qFormat/>
    <w:pPr>
      <w:ind w:left="1680"/>
      <w:jc w:val="left"/>
    </w:pPr>
    <w:rPr>
      <w:rFonts w:ascii="Times New Roman" w:hAnsi="Times New Roman" w:eastAsia="宋体" w:cs="Times New Roman"/>
      <w:szCs w:val="21"/>
    </w:rPr>
  </w:style>
  <w:style w:type="paragraph" w:styleId="937">
    <w:name w:val="正文文本 21"/>
    <w:basedOn w:val="696"/>
    <w:next w:val="937"/>
    <w:link w:val="938"/>
    <w:qFormat/>
    <w:pPr>
      <w:jc w:val="center"/>
      <w:widowControl/>
    </w:pPr>
    <w:rPr>
      <w:rFonts w:ascii="楷体_GB2312" w:hAnsi="Times New Roman" w:eastAsia="楷体_GB2312" w:cs="Times New Roman"/>
      <w:sz w:val="28"/>
      <w:szCs w:val="28"/>
    </w:rPr>
  </w:style>
  <w:style w:type="character" w:styleId="938">
    <w:name w:val="正文文本 2 Char"/>
    <w:next w:val="938"/>
    <w:link w:val="937"/>
    <w:qFormat/>
    <w:rPr>
      <w:rFonts w:ascii="楷体_GB2312" w:hAnsi="Times New Roman" w:eastAsia="楷体_GB2312" w:cs="Times New Roman"/>
      <w:sz w:val="28"/>
      <w:szCs w:val="28"/>
    </w:rPr>
  </w:style>
  <w:style w:type="paragraph" w:styleId="939">
    <w:name w:val="普通(网站)1"/>
    <w:basedOn w:val="696"/>
    <w:next w:val="939"/>
    <w:link w:val="696"/>
    <w:uiPriority w:val="99"/>
    <w:qFormat/>
    <w:pPr>
      <w:jc w:val="left"/>
      <w:spacing w:before="100" w:beforeAutospacing="1" w:after="100" w:afterAutospacing="1"/>
      <w:widowControl/>
    </w:pPr>
    <w:rPr>
      <w:rFonts w:ascii="宋体" w:hAnsi="宋体" w:eastAsia="宋体" w:cs="宋体"/>
      <w:sz w:val="24"/>
      <w:szCs w:val="24"/>
    </w:rPr>
  </w:style>
  <w:style w:type="paragraph" w:styleId="940">
    <w:name w:val="索引 11"/>
    <w:basedOn w:val="696"/>
    <w:next w:val="696"/>
    <w:link w:val="696"/>
    <w:semiHidden/>
    <w:qFormat/>
    <w:pPr>
      <w:spacing w:line="240" w:lineRule="atLeast"/>
    </w:pPr>
    <w:rPr>
      <w:rFonts w:ascii="Times New Roman" w:hAnsi="Times New Roman" w:eastAsia="宋体" w:cs="Times New Roman"/>
      <w:b/>
      <w:bCs/>
      <w:szCs w:val="21"/>
    </w:rPr>
  </w:style>
  <w:style w:type="paragraph" w:styleId="941">
    <w:name w:val="批注主题1"/>
    <w:basedOn w:val="906"/>
    <w:next w:val="906"/>
    <w:link w:val="942"/>
    <w:semiHidden/>
    <w:qFormat/>
    <w:rPr>
      <w:rFonts w:ascii="Times New Roman" w:hAnsi="Times New Roman" w:eastAsia="宋体" w:cs="Times New Roman"/>
      <w:b/>
      <w:bCs/>
      <w:szCs w:val="21"/>
    </w:rPr>
  </w:style>
  <w:style w:type="character" w:styleId="942">
    <w:name w:val="批注主题 Char"/>
    <w:next w:val="942"/>
    <w:link w:val="941"/>
    <w:semiHidden/>
    <w:qFormat/>
    <w:rPr>
      <w:rFonts w:ascii="Times New Roman" w:hAnsi="Times New Roman" w:eastAsia="宋体" w:cs="Times New Roman"/>
      <w:b/>
      <w:bCs/>
      <w:szCs w:val="21"/>
    </w:rPr>
  </w:style>
  <w:style w:type="paragraph" w:styleId="943">
    <w:name w:val="正文首行缩进1"/>
    <w:basedOn w:val="696"/>
    <w:next w:val="943"/>
    <w:link w:val="944"/>
    <w:qFormat/>
    <w:pPr>
      <w:ind w:firstLine="200"/>
      <w:spacing w:line="360" w:lineRule="auto"/>
    </w:pPr>
    <w:rPr>
      <w:rFonts w:ascii="仿宋_GB2312" w:hAnsi="Times New Roman" w:eastAsia="仿宋_GB2312" w:cs="Times New Roman"/>
      <w:sz w:val="30"/>
      <w:szCs w:val="30"/>
    </w:rPr>
  </w:style>
  <w:style w:type="character" w:styleId="944">
    <w:name w:val="正文首行缩进 Char"/>
    <w:next w:val="944"/>
    <w:link w:val="943"/>
    <w:qFormat/>
    <w:rPr>
      <w:rFonts w:ascii="仿宋_GB2312" w:hAnsi="Times New Roman" w:eastAsia="仿宋_GB2312" w:cs="Times New Roman"/>
      <w:sz w:val="30"/>
      <w:szCs w:val="30"/>
    </w:rPr>
  </w:style>
  <w:style w:type="paragraph" w:styleId="945">
    <w:name w:val="正文首行缩进 21"/>
    <w:basedOn w:val="910"/>
    <w:next w:val="945"/>
    <w:link w:val="946"/>
    <w:qFormat/>
    <w:pPr>
      <w:ind w:left="0" w:firstLine="420"/>
      <w:spacing w:after="0" w:line="360" w:lineRule="auto"/>
    </w:pPr>
    <w:rPr>
      <w:rFonts w:ascii="宋体" w:hAnsi="宋体" w:eastAsia="宋体" w:cs="Times New Roman"/>
      <w:szCs w:val="20"/>
    </w:rPr>
  </w:style>
  <w:style w:type="character" w:styleId="946">
    <w:name w:val="正文首行缩进 2 Char"/>
    <w:next w:val="946"/>
    <w:link w:val="945"/>
    <w:qFormat/>
    <w:rPr>
      <w:rFonts w:ascii="宋体" w:hAnsi="宋体" w:eastAsia="宋体" w:cs="Times New Roman"/>
      <w:szCs w:val="20"/>
    </w:rPr>
  </w:style>
  <w:style w:type="table" w:styleId="947">
    <w:name w:val="网格型1"/>
    <w:basedOn w:val="901"/>
    <w:next w:val="947"/>
    <w:link w:val="696"/>
    <w:qFormat/>
    <w:pPr>
      <w:jc w:val="both"/>
      <w:widowControl w:val="off"/>
    </w:pPr>
    <w:rPr>
      <w:rFonts w:ascii="Times New Roman" w:hAnsi="Times New Roman" w:eastAsia="宋体" w:cs="Times New Roman"/>
      <w:sz w:val="20"/>
      <w:szCs w:val="20"/>
    </w:rPr>
    <w:tblPr/>
  </w:style>
  <w:style w:type="character" w:styleId="948">
    <w:name w:val="要点1"/>
    <w:next w:val="948"/>
    <w:link w:val="696"/>
    <w:qFormat/>
    <w:rPr>
      <w:b/>
      <w:bCs/>
    </w:rPr>
  </w:style>
  <w:style w:type="character" w:styleId="949">
    <w:name w:val="页码1"/>
    <w:next w:val="949"/>
    <w:link w:val="696"/>
    <w:qFormat/>
  </w:style>
  <w:style w:type="character" w:styleId="950">
    <w:name w:val="已访问的超链接1"/>
    <w:next w:val="950"/>
    <w:link w:val="696"/>
    <w:qFormat/>
    <w:rPr>
      <w:color w:val="800080"/>
      <w:u w:val="single"/>
    </w:rPr>
  </w:style>
  <w:style w:type="character" w:styleId="951">
    <w:name w:val="强调1"/>
    <w:basedOn w:val="900"/>
    <w:next w:val="951"/>
    <w:link w:val="696"/>
    <w:qFormat/>
    <w:rPr>
      <w:i/>
    </w:rPr>
  </w:style>
  <w:style w:type="character" w:styleId="952">
    <w:name w:val="超链接1"/>
    <w:next w:val="952"/>
    <w:link w:val="696"/>
    <w:qFormat/>
    <w:rPr>
      <w:color w:val="0000ff"/>
      <w:u w:val="single"/>
    </w:rPr>
  </w:style>
  <w:style w:type="character" w:styleId="953">
    <w:name w:val="批注引用1"/>
    <w:next w:val="953"/>
    <w:link w:val="696"/>
    <w:semiHidden/>
    <w:qFormat/>
    <w:rPr>
      <w:sz w:val="21"/>
      <w:szCs w:val="21"/>
    </w:rPr>
  </w:style>
  <w:style w:type="character" w:styleId="954">
    <w:name w:val="font5 Char"/>
    <w:next w:val="954"/>
    <w:link w:val="696"/>
    <w:qFormat/>
    <w:rPr>
      <w:rFonts w:ascii="宋体" w:hAnsi="宋体" w:eastAsia="宋体"/>
      <w:sz w:val="28"/>
      <w:szCs w:val="28"/>
      <w:lang w:val="en-US" w:eastAsia="zh-CN" w:bidi="ar-SA"/>
    </w:rPr>
  </w:style>
  <w:style w:type="character" w:styleId="955">
    <w:name w:val="二级目录 Char"/>
    <w:next w:val="955"/>
    <w:link w:val="956"/>
    <w:qFormat/>
    <w:rPr>
      <w:b/>
      <w:sz w:val="30"/>
      <w:szCs w:val="28"/>
    </w:rPr>
  </w:style>
  <w:style w:type="paragraph" w:styleId="956">
    <w:name w:val="二级目录"/>
    <w:next w:val="696"/>
    <w:link w:val="955"/>
    <w:qFormat/>
    <w:pPr>
      <w:numPr>
        <w:ilvl w:val="0"/>
        <w:numId w:val="2"/>
      </w:numPr>
      <w:ind w:left="907" w:hanging="907"/>
      <w:tabs>
        <w:tab w:val="left" w:pos="907" w:leader="none"/>
        <w:tab w:val="left" w:pos="1145" w:leader="none"/>
      </w:tabs>
      <w:outlineLvl w:val="1"/>
    </w:pPr>
    <w:rPr>
      <w:b/>
      <w:sz w:val="30"/>
      <w:szCs w:val="28"/>
      <w:lang w:eastAsia="zh-CN"/>
    </w:rPr>
  </w:style>
  <w:style w:type="character" w:styleId="957">
    <w:name w:val="列出段落 Char"/>
    <w:next w:val="957"/>
    <w:link w:val="958"/>
    <w:qFormat/>
    <w:rPr>
      <w:rFonts w:ascii="Calibri" w:hAnsi="Calibri"/>
      <w:sz w:val="24"/>
      <w:szCs w:val="24"/>
      <w:lang w:eastAsia="en-US" w:bidi="en-US"/>
    </w:rPr>
  </w:style>
  <w:style w:type="paragraph" w:styleId="958">
    <w:name w:val="列出段落1"/>
    <w:basedOn w:val="696"/>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696"/>
    <w:next w:val="746"/>
    <w:link w:val="696"/>
    <w:qFormat/>
    <w:pPr>
      <w:spacing w:after="120"/>
    </w:pPr>
    <w:rPr>
      <w:rFonts w:ascii="宋体" w:hAnsi="Arial" w:eastAsia="宋体" w:cs="Times New Roman"/>
      <w:bCs/>
      <w:iCs/>
      <w:szCs w:val="24"/>
    </w:rPr>
  </w:style>
  <w:style w:type="paragraph" w:styleId="960">
    <w:name w:val="xl27"/>
    <w:basedOn w:val="696"/>
    <w:next w:val="960"/>
    <w:link w:val="6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696"/>
    <w:next w:val="961"/>
    <w:link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696"/>
    <w:next w:val="962"/>
    <w:link w:val="696"/>
    <w:qFormat/>
    <w:pPr>
      <w:ind w:firstLine="200"/>
      <w:tabs>
        <w:tab w:val="left" w:pos="360" w:leader="none"/>
      </w:tabs>
    </w:pPr>
    <w:rPr>
      <w:rFonts w:ascii="Times New Roman" w:hAnsi="Times New Roman" w:eastAsia="宋体" w:cs="Times New Roman"/>
      <w:sz w:val="28"/>
      <w:szCs w:val="30"/>
    </w:rPr>
  </w:style>
  <w:style w:type="paragraph" w:styleId="963">
    <w:name w:val=" Char"/>
    <w:basedOn w:val="904"/>
    <w:next w:val="963"/>
    <w:link w:val="696"/>
    <w:qFormat/>
    <w:rPr>
      <w:rFonts w:ascii="Tahoma" w:hAnsi="Tahoma"/>
      <w:sz w:val="24"/>
      <w:szCs w:val="24"/>
    </w:rPr>
  </w:style>
  <w:style w:type="paragraph" w:styleId="964">
    <w:name w:val="普通正文"/>
    <w:basedOn w:val="696"/>
    <w:next w:val="964"/>
    <w:link w:val="696"/>
    <w:qFormat/>
    <w:pPr>
      <w:ind w:firstLine="480"/>
      <w:jc w:val="left"/>
      <w:spacing w:before="120" w:after="120" w:line="360" w:lineRule="auto"/>
    </w:pPr>
    <w:rPr>
      <w:rFonts w:ascii="Arial" w:hAnsi="Arial" w:eastAsia="宋体" w:cs="Times New Roman"/>
      <w:sz w:val="24"/>
      <w:szCs w:val="24"/>
    </w:rPr>
  </w:style>
  <w:style w:type="paragraph" w:styleId="965">
    <w:name w:val="table_lines"/>
    <w:basedOn w:val="696"/>
    <w:next w:val="965"/>
    <w:link w:val="696"/>
    <w:qFormat/>
    <w:pPr>
      <w:jc w:val="left"/>
      <w:widowControl/>
    </w:pPr>
    <w:rPr>
      <w:rFonts w:ascii="Times New Roman" w:hAnsi="Times New Roman" w:eastAsia="宋体" w:cs="Times New Roman"/>
      <w:sz w:val="20"/>
      <w:szCs w:val="20"/>
      <w:lang w:val="de-DE" w:eastAsia="de-DE"/>
    </w:rPr>
  </w:style>
  <w:style w:type="paragraph" w:styleId="966">
    <w:name w:val="附录1"/>
    <w:next w:val="966"/>
    <w:link w:val="696"/>
    <w:qFormat/>
    <w:pPr>
      <w:numPr>
        <w:ilvl w:val="0"/>
        <w:numId w:val="2"/>
      </w:numPr>
      <w:ind w:left="907" w:hanging="907"/>
      <w:spacing w:before="240" w:line="600" w:lineRule="atLeast"/>
      <w:tabs>
        <w:tab w:val="left" w:pos="907" w:leader="none"/>
      </w:tabs>
    </w:pPr>
    <w:rPr>
      <w:rFonts w:ascii="Times New Roman" w:hAnsi="Times New Roman"/>
      <w:b/>
      <w:i/>
      <w:sz w:val="28"/>
      <w:lang w:eastAsia="zh-CN"/>
    </w:rPr>
  </w:style>
  <w:style w:type="paragraph" w:styleId="967">
    <w:name w:val="font7"/>
    <w:basedOn w:val="696"/>
    <w:next w:val="967"/>
    <w:link w:val="696"/>
    <w:qFormat/>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904"/>
    <w:next w:val="968"/>
    <w:link w:val="696"/>
    <w:qFormat/>
    <w:pPr>
      <w:spacing w:line="360" w:lineRule="auto"/>
    </w:pPr>
    <w:rPr>
      <w:rFonts w:ascii="Tahoma" w:hAnsi="Tahoma"/>
      <w:sz w:val="24"/>
      <w:szCs w:val="24"/>
    </w:rPr>
  </w:style>
  <w:style w:type="paragraph" w:styleId="969">
    <w:name w:val="列出段落"/>
    <w:basedOn w:val="696"/>
    <w:next w:val="969"/>
    <w:link w:val="696"/>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696"/>
    <w:next w:val="932"/>
    <w:link w:val="696"/>
    <w:qFormat/>
    <w:pPr>
      <w:ind w:firstLine="420"/>
      <w:spacing w:line="360" w:lineRule="auto"/>
    </w:pPr>
    <w:rPr>
      <w:rFonts w:ascii="Times New Roman" w:hAnsi="Times New Roman" w:eastAsia="宋体" w:cs="Times New Roman"/>
      <w:color w:val="ff0000"/>
      <w:sz w:val="24"/>
      <w:szCs w:val="24"/>
    </w:rPr>
  </w:style>
  <w:style w:type="paragraph" w:styleId="971">
    <w:name w:val="普通 (Web)"/>
    <w:basedOn w:val="696"/>
    <w:next w:val="971"/>
    <w:link w:val="696"/>
    <w:qFormat/>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696"/>
    <w:next w:val="972"/>
    <w:link w:val="696"/>
    <w:qFormat/>
    <w:pPr>
      <w:spacing w:line="360" w:lineRule="auto"/>
    </w:pPr>
    <w:rPr>
      <w:rFonts w:ascii="Times New Roman" w:hAnsi="Times New Roman" w:eastAsia="宋体" w:cs="Times New Roman"/>
      <w:sz w:val="24"/>
      <w:szCs w:val="20"/>
    </w:rPr>
  </w:style>
  <w:style w:type="paragraph" w:styleId="973">
    <w:name w:val="样式1"/>
    <w:basedOn w:val="696"/>
    <w:next w:val="973"/>
    <w:link w:val="696"/>
    <w:qFormat/>
    <w:pPr>
      <w:numPr>
        <w:ilvl w:val="0"/>
        <w:numId w:val="3"/>
      </w:numPr>
      <w:tabs>
        <w:tab w:val="left" w:pos="709" w:leader="none"/>
      </w:tabs>
    </w:pPr>
    <w:rPr>
      <w:rFonts w:ascii="宋体" w:hAnsi="宋体" w:eastAsia="宋体" w:cs="Times New Roman"/>
      <w:szCs w:val="21"/>
    </w:rPr>
  </w:style>
  <w:style w:type="paragraph" w:styleId="974">
    <w:name w:val="font6"/>
    <w:basedOn w:val="696"/>
    <w:next w:val="974"/>
    <w:link w:val="696"/>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696"/>
    <w:next w:val="975"/>
    <w:link w:val="69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696"/>
    <w:next w:val="696"/>
    <w:link w:val="696"/>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696"/>
    <w:next w:val="696"/>
    <w:link w:val="696"/>
    <w:qFormat/>
    <w:pPr>
      <w:ind w:firstLine="624"/>
      <w:spacing w:line="590" w:lineRule="atLeast"/>
    </w:pPr>
    <w:rPr>
      <w:rFonts w:ascii="方正黑体_GBK" w:hAnsi="Times New Roman" w:eastAsia="方正黑体_GBK" w:cs="Times New Roman"/>
      <w:sz w:val="32"/>
      <w:szCs w:val="32"/>
    </w:rPr>
  </w:style>
  <w:style w:type="paragraph" w:styleId="978">
    <w:name w:val="xl24"/>
    <w:basedOn w:val="696"/>
    <w:next w:val="978"/>
    <w:link w:val="6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696"/>
    <w:next w:val="979"/>
    <w:link w:val="696"/>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696"/>
    <w:next w:val="980"/>
    <w:link w:val="696"/>
    <w:qFormat/>
    <w:pPr>
      <w:jc w:val="left"/>
      <w:spacing w:after="160" w:line="240" w:lineRule="exact"/>
      <w:widowControl/>
    </w:pPr>
    <w:rPr>
      <w:rFonts w:ascii="Verdana" w:hAnsi="Verdana" w:eastAsia="宋体" w:cs="Times New Roman"/>
      <w:sz w:val="20"/>
      <w:szCs w:val="20"/>
      <w:lang w:eastAsia="en-US"/>
    </w:rPr>
  </w:style>
  <w:style w:type="paragraph" w:styleId="981">
    <w:name w:val="xl28"/>
    <w:basedOn w:val="696"/>
    <w:next w:val="981"/>
    <w:link w:val="69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696"/>
    <w:next w:val="982"/>
    <w:link w:val="696"/>
    <w:qFormat/>
    <w:pPr>
      <w:jc w:val="left"/>
      <w:spacing w:after="160" w:line="240" w:lineRule="exact"/>
      <w:widowControl/>
    </w:pPr>
    <w:rPr>
      <w:rFonts w:ascii="Verdana" w:hAnsi="Verdana" w:eastAsia="宋体" w:cs="Times New Roman"/>
      <w:sz w:val="20"/>
      <w:szCs w:val="20"/>
      <w:lang w:eastAsia="en-US"/>
    </w:rPr>
  </w:style>
  <w:style w:type="paragraph" w:styleId="983">
    <w:name w:val="xl30"/>
    <w:basedOn w:val="696"/>
    <w:next w:val="983"/>
    <w:link w:val="696"/>
    <w:qFormat/>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904"/>
    <w:next w:val="984"/>
    <w:link w:val="696"/>
    <w:qFormat/>
    <w:pPr>
      <w:spacing w:line="360" w:lineRule="auto"/>
    </w:pPr>
    <w:rPr>
      <w:rFonts w:ascii="Tahoma" w:hAnsi="Tahoma"/>
      <w:sz w:val="24"/>
      <w:szCs w:val="24"/>
    </w:rPr>
  </w:style>
  <w:style w:type="paragraph" w:styleId="985">
    <w:name w:val="table_1stline"/>
    <w:basedOn w:val="696"/>
    <w:next w:val="985"/>
    <w:link w:val="696"/>
    <w:qFormat/>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696"/>
    <w:next w:val="986"/>
    <w:link w:val="696"/>
    <w:qFormat/>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696"/>
    <w:next w:val="696"/>
    <w:link w:val="696"/>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696"/>
    <w:uiPriority w:val="99"/>
    <w:semiHidden/>
    <w:qFormat/>
    <w:rPr>
      <w:rFonts w:ascii="Times New Roman" w:hAnsi="Times New Roman"/>
      <w:sz w:val="21"/>
      <w:szCs w:val="21"/>
      <w:lang w:eastAsia="zh-CN"/>
    </w:rPr>
  </w:style>
  <w:style w:type="paragraph" w:styleId="989">
    <w:name w:val="无间隔"/>
    <w:next w:val="989"/>
    <w:link w:val="696"/>
    <w:uiPriority w:val="99"/>
    <w:qFormat/>
    <w:pPr>
      <w:jc w:val="both"/>
      <w:widowControl w:val="off"/>
    </w:pPr>
    <w:rPr>
      <w:rFonts w:ascii="Times New Roman" w:hAnsi="Times New Roman"/>
      <w:sz w:val="21"/>
      <w:szCs w:val="21"/>
      <w:lang w:eastAsia="zh-CN"/>
    </w:rPr>
  </w:style>
  <w:style w:type="paragraph" w:styleId="990">
    <w:name w:val="AONormal"/>
    <w:next w:val="990"/>
    <w:link w:val="696"/>
    <w:qFormat/>
    <w:pPr>
      <w:ind w:firstLine="440"/>
      <w:spacing w:line="400" w:lineRule="exact"/>
    </w:pPr>
    <w:rPr>
      <w:rFonts w:ascii="华文楷体" w:hAnsi="华文楷体" w:eastAsia="华文楷体" w:cs="华文楷体"/>
      <w:sz w:val="22"/>
      <w:szCs w:val="21"/>
      <w:lang w:eastAsia="zh-CN"/>
    </w:rPr>
  </w:style>
  <w:style w:type="character" w:styleId="991">
    <w:name w:val="font41"/>
    <w:basedOn w:val="697"/>
    <w:next w:val="991"/>
    <w:link w:val="696"/>
    <w:qFormat/>
    <w:rPr>
      <w:rFonts w:ascii="Times New Roman" w:hAnsi="Times New Roman" w:eastAsia="宋体" w:cs="Times New Roman"/>
      <w:sz w:val="21"/>
      <w:szCs w:val="21"/>
      <w:lang w:val="en-US" w:eastAsia="zh-CN" w:bidi="ar-SA"/>
    </w:rPr>
  </w:style>
  <w:style w:type="character" w:styleId="10279" w:default="1">
    <w:name w:val="Default Paragraph Font"/>
    <w:uiPriority w:val="1"/>
    <w:semiHidden/>
    <w:unhideWhenUsed/>
  </w:style>
  <w:style w:type="numbering" w:styleId="10280" w:default="1">
    <w:name w:val="No List"/>
    <w:uiPriority w:val="99"/>
    <w:semiHidden/>
    <w:unhideWhenUsed/>
  </w:style>
  <w:style w:type="table" w:styleId="10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蔡昊</cp:lastModifiedBy>
  <cp:revision>2</cp:revision>
  <dcterms:created xsi:type="dcterms:W3CDTF">2023-03-27T07:28:00Z</dcterms:created>
  <dcterms:modified xsi:type="dcterms:W3CDTF">2026-07-30T04:01:03Z</dcterms:modified>
</cp:coreProperties>
</file>