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9"/>
        <w:ind w:firstLine="0"/>
        <w:rPr>
          <w:rFonts w:hint="default" w:ascii="Times New Roman" w:hAnsi="Times New Roman" w:eastAsia="仿宋_GB2312" w:cs="Times New Roman"/>
          <w:b/>
          <w:bCs/>
          <w:sz w:val="84"/>
          <w:highlight w:val="none"/>
        </w:rPr>
      </w:pPr>
      <w:r/>
      <w:bookmarkStart w:id="198" w:name="_GoBack"/>
      <w:r/>
      <w:r/>
    </w:p>
    <w:p>
      <w:pPr>
        <w:pStyle w:val="1289"/>
        <w:ind w:firstLine="0"/>
        <w:jc w:val="center"/>
        <w:rPr>
          <w:rFonts w:hint="default" w:ascii="Times New Roman" w:hAnsi="Times New Roman" w:cs="Times New Roman"/>
          <w:b/>
          <w:bCs/>
          <w:sz w:val="84"/>
          <w:highlight w:val="none"/>
        </w:rPr>
      </w:pPr>
      <w:r>
        <w:rPr>
          <w:rFonts w:hint="default" w:ascii="Times New Roman" w:hAnsi="Times New Roman" w:cs="Times New Roman"/>
          <w:b/>
          <w:bCs/>
          <w:sz w:val="84"/>
          <w:highlight w:val="none"/>
        </w:rPr>
        <w:t xml:space="preserve">招　标　文　件</w:t>
      </w:r>
      <w:r/>
    </w:p>
    <w:p>
      <w:pPr>
        <w:pStyle w:val="1289"/>
        <w:ind w:firstLine="0"/>
        <w:jc w:val="center"/>
        <w:rPr>
          <w:rFonts w:hint="default" w:ascii="Times New Roman" w:hAnsi="Times New Roman" w:cs="Times New Roman"/>
          <w:b/>
          <w:bCs/>
          <w:sz w:val="84"/>
          <w:highlight w:val="none"/>
        </w:rPr>
      </w:pPr>
      <w:r>
        <w:rPr>
          <w:rFonts w:hint="default" w:ascii="Times New Roman" w:hAnsi="Times New Roman" w:cs="Times New Roman"/>
          <w:b/>
          <w:bCs/>
          <w:sz w:val="84"/>
          <w:highlight w:val="none"/>
        </w:rPr>
      </w:r>
      <w:r/>
    </w:p>
    <w:p>
      <w:pPr>
        <w:pStyle w:val="1289"/>
        <w:ind w:firstLine="0"/>
        <w:jc w:val="center"/>
        <w:rPr>
          <w:rFonts w:hint="default" w:ascii="Times New Roman" w:hAnsi="Times New Roman" w:eastAsia="宋体" w:cs="Times New Roman"/>
          <w:b/>
          <w:sz w:val="30"/>
          <w:szCs w:val="30"/>
          <w:highlight w:val="none"/>
          <w:lang w:eastAsia="zh-CN"/>
        </w:rPr>
      </w:pPr>
      <w:r>
        <w:rPr>
          <w:rFonts w:hint="default" w:ascii="Times New Roman" w:hAnsi="Times New Roman" w:cs="Times New Roman"/>
          <w:b/>
          <w:bCs/>
          <w:sz w:val="32"/>
          <w:highlight w:val="none"/>
        </w:rPr>
        <w:t xml:space="preserve">项目名称：</w:t>
      </w:r>
      <w:r>
        <w:rPr>
          <w:rFonts w:hint="default" w:ascii="Times New Roman" w:hAnsi="Times New Roman" w:cs="Times New Roman"/>
          <w:b/>
          <w:bCs/>
          <w:sz w:val="32"/>
          <w:highlight w:val="none"/>
          <w:lang w:eastAsia="zh-CN"/>
        </w:rPr>
        <w:t xml:space="preserve">徐州市残疾人团体专属保险</w:t>
      </w:r>
      <w:r/>
    </w:p>
    <w:p>
      <w:pPr>
        <w:ind w:firstLine="321"/>
        <w:jc w:val="center"/>
        <w:rPr>
          <w:rFonts w:hint="default" w:ascii="Times New Roman" w:hAnsi="Times New Roman" w:eastAsia="宋体" w:cs="Times New Roman"/>
          <w:b/>
          <w:sz w:val="30"/>
          <w:szCs w:val="30"/>
          <w:highlight w:val="none"/>
          <w:lang w:eastAsia="zh-CN"/>
        </w:rPr>
      </w:pPr>
      <w:r>
        <w:rPr>
          <w:rFonts w:hint="default" w:ascii="Times New Roman" w:hAnsi="Times New Roman" w:cs="Times New Roman"/>
          <w:b/>
          <w:bCs/>
          <w:sz w:val="32"/>
          <w:highlight w:val="none"/>
        </w:rPr>
        <w:t xml:space="preserve">项目编号：</w:t>
      </w:r>
      <w:r>
        <w:rPr>
          <w:rFonts w:hint="default" w:ascii="Times New Roman" w:hAnsi="Times New Roman" w:cs="Times New Roman"/>
          <w:b/>
          <w:bCs/>
          <w:sz w:val="32"/>
          <w:highlight w:val="none"/>
          <w:lang w:eastAsia="zh-CN"/>
        </w:rPr>
        <w:t xml:space="preserve">JSZC-320300-SRJJ-G2026-0001</w:t>
      </w:r>
      <w:r/>
    </w:p>
    <w:p>
      <w:pPr>
        <w:rPr>
          <w:rFonts w:hint="default" w:ascii="Times New Roman" w:hAnsi="Times New Roman" w:cs="Times New Roman"/>
          <w:b/>
          <w:sz w:val="30"/>
          <w:szCs w:val="30"/>
          <w:highlight w:val="none"/>
        </w:rPr>
      </w:pPr>
      <w:r>
        <w:rPr>
          <w:rFonts w:hint="default" w:ascii="Times New Roman" w:hAnsi="Times New Roman" w:cs="Times New Roman"/>
          <w:b/>
          <w:sz w:val="30"/>
          <w:szCs w:val="30"/>
          <w:highlight w:val="none"/>
        </w:rPr>
      </w:r>
      <w:r/>
    </w:p>
    <w:p>
      <w:pPr>
        <w:jc w:val="center"/>
        <w:rPr>
          <w:rFonts w:hint="default" w:ascii="Times New Roman" w:hAnsi="Times New Roman" w:cs="Times New Roman"/>
          <w:b/>
          <w:sz w:val="30"/>
          <w:szCs w:val="30"/>
          <w:highlight w:val="none"/>
        </w:rPr>
      </w:pPr>
      <w:r>
        <w:rPr>
          <w:rFonts w:hint="default" w:ascii="Times New Roman" w:hAnsi="Times New Roman" w:cs="Times New Roman"/>
          <w:b/>
          <w:sz w:val="30"/>
          <w:szCs w:val="30"/>
          <w:highlight w:val="none"/>
        </w:rPr>
        <w:t xml:space="preserve">（服务类项目，</w:t>
      </w:r>
      <w:r>
        <w:rPr>
          <w:rFonts w:hint="default" w:ascii="Times New Roman" w:hAnsi="Times New Roman" w:cs="Times New Roman"/>
          <w:b/>
          <w:sz w:val="30"/>
          <w:szCs w:val="30"/>
          <w:highlight w:val="none"/>
          <w:u w:val="single"/>
        </w:rPr>
        <w:t xml:space="preserve"> 不 </w:t>
      </w:r>
      <w:r>
        <w:rPr>
          <w:rFonts w:hint="default" w:ascii="Times New Roman" w:hAnsi="Times New Roman" w:cs="Times New Roman"/>
          <w:b/>
          <w:sz w:val="30"/>
          <w:szCs w:val="30"/>
          <w:highlight w:val="none"/>
        </w:rPr>
        <w:t xml:space="preserve">专门面向中小企业）</w:t>
      </w:r>
      <w:r/>
    </w:p>
    <w:p>
      <w:pPr>
        <w:pStyle w:val="1289"/>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9"/>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9"/>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9"/>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9"/>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9"/>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9"/>
        <w:jc w:val="center"/>
        <w:rPr>
          <w:rFonts w:hint="default" w:ascii="Times New Roman" w:hAnsi="Times New Roman" w:eastAsia="宋体" w:cs="Times New Roman"/>
          <w:b/>
          <w:bCs/>
          <w:sz w:val="32"/>
          <w:highlight w:val="none"/>
          <w:u w:val="single"/>
          <w:lang w:val="en-US" w:eastAsia="zh-CN"/>
        </w:rPr>
      </w:pPr>
      <w:r>
        <w:rPr>
          <w:rFonts w:hint="default" w:ascii="Times New Roman" w:hAnsi="Times New Roman" w:cs="Times New Roman"/>
          <w:b/>
          <w:bCs/>
          <w:sz w:val="32"/>
          <w:highlight w:val="none"/>
        </w:rPr>
        <w:t xml:space="preserve">采购人：</w:t>
      </w:r>
      <w:r>
        <w:rPr>
          <w:rFonts w:hint="default" w:ascii="Times New Roman" w:hAnsi="Times New Roman" w:cs="Times New Roman"/>
          <w:b/>
          <w:bCs/>
          <w:sz w:val="32"/>
          <w:highlight w:val="none"/>
          <w:u w:val="single"/>
        </w:rPr>
        <w:t xml:space="preserve"> 徐州市残疾人联合会</w:t>
      </w:r>
      <w:r>
        <w:rPr>
          <w:rFonts w:hint="default" w:ascii="Times New Roman" w:hAnsi="Times New Roman" w:cs="Times New Roman"/>
          <w:b/>
          <w:bCs/>
          <w:sz w:val="32"/>
          <w:highlight w:val="none"/>
          <w:u w:val="single"/>
          <w:lang w:val="en-US" w:eastAsia="zh-CN"/>
        </w:rPr>
        <w:t xml:space="preserve"> </w:t>
      </w:r>
      <w:r/>
    </w:p>
    <w:p>
      <w:pPr>
        <w:pStyle w:val="1289"/>
        <w:jc w:val="center"/>
        <w:rPr>
          <w:rFonts w:hint="default" w:ascii="Times New Roman" w:hAnsi="Times New Roman" w:eastAsia="宋体" w:cs="Times New Roman"/>
          <w:b/>
          <w:bCs/>
          <w:sz w:val="32"/>
          <w:highlight w:val="none"/>
          <w:u w:val="single"/>
          <w:lang w:val="en-US" w:eastAsia="zh-CN"/>
        </w:rPr>
      </w:pPr>
      <w:r>
        <w:rPr>
          <w:rFonts w:hint="default" w:ascii="Times New Roman" w:hAnsi="Times New Roman" w:cs="Times New Roman"/>
          <w:b/>
          <w:bCs/>
          <w:sz w:val="32"/>
          <w:highlight w:val="none"/>
        </w:rPr>
        <w:t xml:space="preserve">采购代理机构：</w:t>
      </w:r>
      <w:r>
        <w:rPr>
          <w:rFonts w:hint="default" w:ascii="Times New Roman" w:hAnsi="Times New Roman" w:cs="Times New Roman"/>
          <w:b/>
          <w:bCs/>
          <w:sz w:val="32"/>
          <w:highlight w:val="none"/>
          <w:u w:val="single"/>
        </w:rPr>
        <w:t xml:space="preserve"> 江苏盛瑞保险经纪有限公司</w:t>
      </w:r>
      <w:r>
        <w:rPr>
          <w:rFonts w:hint="default" w:ascii="Times New Roman" w:hAnsi="Times New Roman" w:cs="Times New Roman"/>
          <w:b/>
          <w:bCs/>
          <w:sz w:val="32"/>
          <w:highlight w:val="none"/>
          <w:u w:val="single"/>
          <w:lang w:val="en-US" w:eastAsia="zh-CN"/>
        </w:rPr>
        <w:t xml:space="preserve"> </w:t>
      </w:r>
      <w:r/>
    </w:p>
    <w:p>
      <w:pPr>
        <w:pStyle w:val="1289"/>
        <w:ind w:firstLine="479"/>
        <w:jc w:val="center"/>
        <w:rPr>
          <w:rFonts w:hint="default" w:ascii="Times New Roman" w:hAnsi="Times New Roman" w:cs="Times New Roman"/>
          <w:b/>
          <w:bCs/>
          <w:sz w:val="32"/>
          <w:highlight w:val="none"/>
        </w:rPr>
      </w:pPr>
      <w:r>
        <w:rPr>
          <w:rFonts w:hint="default" w:ascii="Times New Roman" w:hAnsi="Times New Roman" w:cs="Times New Roman"/>
          <w:b/>
          <w:bCs/>
          <w:sz w:val="32"/>
          <w:highlight w:val="none"/>
        </w:rPr>
        <w:t xml:space="preserve">202</w:t>
      </w:r>
      <w:r>
        <w:rPr>
          <w:rFonts w:hint="default" w:ascii="Times New Roman" w:hAnsi="Times New Roman" w:cs="Times New Roman"/>
          <w:b/>
          <w:bCs/>
          <w:sz w:val="32"/>
          <w:highlight w:val="none"/>
          <w:lang w:val="en-US" w:eastAsia="zh-CN"/>
        </w:rPr>
        <w:t xml:space="preserve">6</w:t>
      </w:r>
      <w:r>
        <w:rPr>
          <w:rFonts w:hint="default" w:ascii="Times New Roman" w:hAnsi="Times New Roman" w:cs="Times New Roman"/>
          <w:b/>
          <w:bCs/>
          <w:sz w:val="32"/>
          <w:highlight w:val="none"/>
        </w:rPr>
        <w:t xml:space="preserve">年</w:t>
      </w:r>
      <w:r>
        <w:rPr>
          <w:rFonts w:hint="default" w:ascii="Times New Roman" w:hAnsi="Times New Roman" w:cs="Times New Roman"/>
          <w:b/>
          <w:bCs/>
          <w:sz w:val="32"/>
          <w:highlight w:val="none"/>
          <w:lang w:val="en-US" w:eastAsia="zh-CN"/>
        </w:rPr>
        <w:t xml:space="preserve">06</w:t>
      </w:r>
      <w:r>
        <w:rPr>
          <w:rFonts w:hint="default" w:ascii="Times New Roman" w:hAnsi="Times New Roman" w:cs="Times New Roman"/>
          <w:b/>
          <w:bCs/>
          <w:sz w:val="32"/>
          <w:highlight w:val="none"/>
        </w:rPr>
        <w:t xml:space="preserve">月</w:t>
      </w:r>
      <w:r/>
    </w:p>
    <w:p>
      <w:pPr>
        <w:jc w:val="center"/>
        <w:widowControl/>
        <w:rPr>
          <w:rFonts w:hint="default" w:ascii="Times New Roman" w:hAnsi="Times New Roman" w:eastAsia="仿宋_GB2312" w:cs="Times New Roman"/>
          <w:b/>
          <w:sz w:val="44"/>
          <w:highlight w:val="none"/>
        </w:rPr>
        <w:sectPr>
          <w:foot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default" w:ascii="Times New Roman" w:hAnsi="Times New Roman" w:eastAsia="仿宋_GB2312" w:cs="Times New Roman"/>
          <w:b/>
          <w:sz w:val="44"/>
          <w:highlight w:val="none"/>
        </w:rPr>
      </w:r>
      <w:r/>
    </w:p>
    <w:p>
      <w:pPr>
        <w:pStyle w:val="1282"/>
        <w:tabs>
          <w:tab w:val="right" w:pos="8400" w:leader="dot"/>
        </w:tabs>
        <w:rPr>
          <w:rFonts w:hint="default" w:ascii="Times New Roman" w:hAnsi="Times New Roman" w:eastAsia="仿宋_GB2312" w:cs="Times New Roman"/>
          <w:highlight w:val="none"/>
        </w:rPr>
      </w:pPr>
      <w:r/>
      <w:bookmarkStart w:id="38" w:name="_Toc522790130"/>
      <w:r/>
      <w:r/>
    </w:p>
    <w:sdt>
      <w:sdtPr>
        <w15:appearance w15:val="boundingBox"/>
        <w15:color w:val="dbdbdb"/>
        <w:id w:val="147457806"/>
        <w:docPartObj>
          <w:docPartGallery w:val="Table of Contents"/>
          <w:docPartUnique w:val="true"/>
        </w:docPartObj>
        <w:rPr>
          <w:rFonts w:hint="default" w:ascii="宋体" w:hAnsi="宋体" w:eastAsia="宋体" w:cs="Times New Roman"/>
          <w:sz w:val="21"/>
          <w:szCs w:val="24"/>
          <w:highlight w:val="none"/>
          <w:lang w:val="en-US" w:eastAsia="zh-CN" w:bidi="ar-SA"/>
        </w:rPr>
      </w:sdtPr>
      <w:sdtContent>
        <w:p>
          <w:pPr>
            <w:ind w:left="0" w:right="0" w:firstLine="0"/>
            <w:jc w:val="center"/>
            <w:spacing w:before="0" w:after="0" w:line="24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目录</w:t>
          </w:r>
          <w:r/>
        </w:p>
        <w:p>
          <w:pPr>
            <w:pStyle w:val="1042"/>
            <w:tabs>
              <w:tab w:val="right" w:pos="8400" w:leader="dot"/>
            </w:tabs>
            <w:rPr>
              <w:rFonts w:hint="eastAsia" w:ascii="仿宋" w:hAnsi="仿宋" w:eastAsia="仿宋" w:cs="仿宋"/>
              <w:sz w:val="32"/>
              <w:szCs w:val="32"/>
              <w:highlight w:val="none"/>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_Toc15994 </w:instrText>
          </w:r>
          <w:r>
            <w:rPr>
              <w:rFonts w:hint="eastAsia" w:ascii="仿宋" w:hAnsi="仿宋" w:eastAsia="仿宋" w:cs="仿宋"/>
              <w:sz w:val="32"/>
              <w:szCs w:val="32"/>
              <w:highlight w:val="none"/>
            </w:rPr>
            <w:fldChar w:fldCharType="separate"/>
          </w:r>
          <w:r>
            <w:rPr>
              <w:rFonts w:hint="eastAsia" w:ascii="仿宋" w:hAnsi="仿宋" w:eastAsia="仿宋" w:cs="仿宋"/>
              <w:bCs/>
              <w:sz w:val="32"/>
              <w:szCs w:val="32"/>
              <w:highlight w:val="none"/>
              <w:lang w:eastAsia="zh-CN"/>
            </w:rPr>
            <w:t xml:space="preserve">第一章  投标邀请</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_Toc15994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1</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42"/>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_Toc16826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第二章  投标人须知</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_Toc16826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3</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42"/>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_Toc7872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第三章  投标资料表</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_Toc7872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12</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42"/>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_Toc19468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lang w:val="en-US" w:eastAsia="zh-CN"/>
            </w:rPr>
            <w:t xml:space="preserve">第四章  评标标准</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_Toc19468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21</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42"/>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_Toc19714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第五章  拟签订的合同文本</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_Toc19714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24</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42"/>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_Toc28099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第六章  采购需求</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_Toc28099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29</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42"/>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_Toc9736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第七章  投标文件相关格式</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_Toc9736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85</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jc w:val="center"/>
            <w:spacing w:line="520" w:lineRule="exact"/>
            <w:rPr>
              <w:rFonts w:hint="default" w:ascii="Times New Roman" w:hAnsi="Times New Roman" w:eastAsia="仿宋_GB2312" w:cs="Times New Roman"/>
              <w:sz w:val="21"/>
              <w:szCs w:val="44"/>
              <w:highlight w:val="none"/>
              <w:lang w:val="en-US" w:eastAsia="zh-CN" w:bidi="ar-SA"/>
            </w:rPr>
          </w:pPr>
          <w:r>
            <w:rPr>
              <w:rFonts w:hint="eastAsia" w:ascii="仿宋" w:hAnsi="仿宋" w:eastAsia="仿宋" w:cs="仿宋"/>
              <w:sz w:val="32"/>
              <w:szCs w:val="32"/>
              <w:highlight w:val="none"/>
            </w:rPr>
            <w:fldChar w:fldCharType="end"/>
          </w:r>
          <w:r/>
        </w:p>
      </w:sdtContent>
    </w:sdt>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t xml:space="preserve">徐州市残疾人联合会</w:t>
      </w:r>
      <w:r/>
    </w:p>
    <w:p>
      <w:pPr>
        <w:jc w:val="center"/>
        <w:keepLines w:val="0"/>
        <w:keepNext w:val="0"/>
        <w:pageBreakBefore w:val="0"/>
        <w:spacing w:line="240" w:lineRule="auto"/>
        <w:rPr>
          <w:rFonts w:hint="default" w:ascii="Times New Roman" w:hAnsi="Times New Roman" w:eastAsia="方正小标宋_GBK" w:cs="Times New Roman"/>
          <w:b w:val="0"/>
          <w:bCs/>
          <w:sz w:val="36"/>
          <w:szCs w:val="56"/>
          <w:highlight w:val="none"/>
        </w:rPr>
      </w:pPr>
      <w:r/>
      <w:bookmarkStart w:id="39" w:name="_Toc22826"/>
      <w:r>
        <w:rPr>
          <w:rFonts w:hint="default" w:ascii="Times New Roman" w:hAnsi="Times New Roman" w:eastAsia="方正小标宋_GBK" w:cs="Times New Roman"/>
          <w:b w:val="0"/>
          <w:bCs/>
          <w:sz w:val="36"/>
          <w:szCs w:val="56"/>
          <w:highlight w:val="none"/>
        </w:rPr>
        <w:t xml:space="preserve">《</w:t>
      </w:r>
      <w:r>
        <w:rPr>
          <w:rFonts w:hint="default" w:ascii="Times New Roman" w:hAnsi="Times New Roman" w:eastAsia="方正小标宋_GBK" w:cs="Times New Roman"/>
          <w:b w:val="0"/>
          <w:bCs/>
          <w:sz w:val="36"/>
          <w:szCs w:val="56"/>
          <w:highlight w:val="none"/>
          <w:lang w:eastAsia="zh-CN"/>
        </w:rPr>
        <w:t xml:space="preserve">徐州市残疾人团体专属保险</w:t>
      </w:r>
      <w:r>
        <w:rPr>
          <w:rFonts w:hint="default" w:ascii="Times New Roman" w:hAnsi="Times New Roman" w:eastAsia="方正小标宋_GBK" w:cs="Times New Roman"/>
          <w:b w:val="0"/>
          <w:bCs/>
          <w:sz w:val="36"/>
          <w:szCs w:val="56"/>
          <w:highlight w:val="none"/>
        </w:rPr>
        <w:t xml:space="preserve">》招标文件</w:t>
      </w:r>
      <w:bookmarkEnd w:id="39"/>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line="240" w:lineRule="auto"/>
        <w:widowControl/>
        <w:rPr>
          <w:rFonts w:hint="default" w:ascii="Times New Roman" w:hAnsi="Times New Roman" w:eastAsia="方正小标宋_GBK" w:cs="Times New Roman"/>
          <w:b w:val="0"/>
          <w:bCs/>
          <w:sz w:val="36"/>
          <w:szCs w:val="56"/>
          <w:highlight w:val="none"/>
          <w:lang w:eastAsia="zh-CN"/>
        </w:rPr>
      </w:pP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sz w:val="36"/>
          <w:szCs w:val="56"/>
          <w:highlight w:val="none"/>
          <w:lang w:eastAsia="zh-CN"/>
        </w:rPr>
        <w:outlineLvl w:val="0"/>
      </w:pPr>
      <w:r/>
      <w:bookmarkStart w:id="40" w:name="_Toc13343"/>
      <w:r/>
      <w:bookmarkStart w:id="41" w:name="_Toc20895"/>
      <w:r/>
      <w:bookmarkStart w:id="42" w:name="_Toc15994"/>
      <w:r>
        <w:rPr>
          <w:rFonts w:hint="default" w:ascii="Times New Roman" w:hAnsi="Times New Roman" w:eastAsia="方正小标宋_GBK" w:cs="Times New Roman"/>
          <w:b w:val="0"/>
          <w:bCs/>
          <w:sz w:val="36"/>
          <w:szCs w:val="56"/>
          <w:highlight w:val="none"/>
          <w:lang w:eastAsia="zh-CN"/>
        </w:rPr>
        <w:t xml:space="preserve">第一章  投标邀请</w:t>
      </w:r>
      <w:bookmarkEnd w:id="40"/>
      <w:r/>
      <w:bookmarkEnd w:id="41"/>
      <w:r/>
      <w:bookmarkEnd w:id="42"/>
      <w:r/>
      <w:r/>
    </w:p>
    <w:p>
      <w:pPr>
        <w:jc w:val="center"/>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lang w:eastAsia="zh-CN"/>
        </w:rPr>
        <w:t xml:space="preserve">江苏盛瑞保险经纪有限公司</w:t>
      </w:r>
      <w:r>
        <w:rPr>
          <w:rFonts w:hint="default" w:ascii="Times New Roman" w:hAnsi="Times New Roman" w:eastAsia="仿宋_GB2312" w:cs="Times New Roman"/>
          <w:sz w:val="24"/>
          <w:szCs w:val="30"/>
          <w:highlight w:val="none"/>
        </w:rPr>
        <w:t xml:space="preserve">对</w:t>
      </w:r>
      <w:r>
        <w:rPr>
          <w:rFonts w:hint="default" w:ascii="Times New Roman" w:hAnsi="Times New Roman" w:eastAsia="仿宋_GB2312" w:cs="Times New Roman"/>
          <w:sz w:val="24"/>
          <w:szCs w:val="30"/>
          <w:highlight w:val="none"/>
          <w:lang w:eastAsia="zh-CN"/>
        </w:rPr>
        <w:t xml:space="preserve">徐州市残疾人联合会</w:t>
      </w:r>
      <w:r>
        <w:rPr>
          <w:rFonts w:hint="default" w:ascii="Times New Roman" w:hAnsi="Times New Roman" w:eastAsia="仿宋_GB2312" w:cs="Times New Roman"/>
          <w:sz w:val="24"/>
          <w:szCs w:val="30"/>
          <w:highlight w:val="none"/>
        </w:rPr>
        <w:t xml:space="preserve">“</w:t>
      </w:r>
      <w:r>
        <w:rPr>
          <w:rFonts w:hint="default" w:ascii="Times New Roman" w:hAnsi="Times New Roman" w:eastAsia="仿宋_GB2312" w:cs="Times New Roman"/>
          <w:sz w:val="24"/>
          <w:szCs w:val="30"/>
          <w:highlight w:val="none"/>
          <w:lang w:eastAsia="zh-CN"/>
        </w:rPr>
        <w:t xml:space="preserve">徐州市残疾人团体专属保险</w:t>
      </w:r>
      <w:r>
        <w:rPr>
          <w:rFonts w:hint="default" w:ascii="Times New Roman" w:hAnsi="Times New Roman" w:eastAsia="仿宋_GB2312" w:cs="Times New Roman"/>
          <w:sz w:val="24"/>
          <w:szCs w:val="30"/>
          <w:highlight w:val="none"/>
        </w:rPr>
        <w:t xml:space="preserve">”进行公开招标采购，现邀请符合相关条件的供应商投标。</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一、项目名称和项目编号</w:t>
      </w:r>
      <w:r/>
    </w:p>
    <w:p>
      <w:pPr>
        <w:ind w:firstLine="600"/>
        <w:pageBreakBefore w:val="0"/>
        <w:spacing w:line="360" w:lineRule="auto"/>
        <w:rPr>
          <w:rFonts w:hint="default" w:ascii="Times New Roman" w:hAnsi="Times New Roman" w:eastAsia="仿宋_GB2312" w:cs="Times New Roman"/>
          <w:sz w:val="24"/>
          <w:szCs w:val="30"/>
          <w:highlight w:val="none"/>
          <w:lang w:eastAsia="zh-CN"/>
        </w:rPr>
      </w:pPr>
      <w:r>
        <w:rPr>
          <w:rFonts w:hint="eastAsia" w:eastAsia="仿宋_GB2312" w:cs="Times New Roman"/>
          <w:sz w:val="24"/>
          <w:szCs w:val="30"/>
          <w:highlight w:val="none"/>
          <w:lang w:eastAsia="zh-CN"/>
        </w:rPr>
        <w:t xml:space="preserve">（</w:t>
      </w:r>
      <w:r>
        <w:rPr>
          <w:rFonts w:hint="eastAsia" w:eastAsia="仿宋_GB2312" w:cs="Times New Roman"/>
          <w:sz w:val="24"/>
          <w:szCs w:val="30"/>
          <w:highlight w:val="none"/>
          <w:lang w:val="en-US" w:eastAsia="zh-CN"/>
        </w:rPr>
        <w:t xml:space="preserve">一</w:t>
      </w:r>
      <w:r>
        <w:rPr>
          <w:rFonts w:hint="eastAsia" w:eastAsia="仿宋_GB2312" w:cs="Times New Roman"/>
          <w:sz w:val="24"/>
          <w:szCs w:val="30"/>
          <w:highlight w:val="none"/>
          <w:lang w:eastAsia="zh-CN"/>
        </w:rPr>
        <w:t xml:space="preserve">）</w:t>
      </w:r>
      <w:r>
        <w:rPr>
          <w:rFonts w:hint="default" w:ascii="Times New Roman" w:hAnsi="Times New Roman" w:eastAsia="仿宋_GB2312" w:cs="Times New Roman"/>
          <w:sz w:val="24"/>
          <w:szCs w:val="30"/>
          <w:highlight w:val="none"/>
        </w:rPr>
        <w:t xml:space="preserve">项目名称：</w:t>
      </w:r>
      <w:r>
        <w:rPr>
          <w:rFonts w:hint="default" w:ascii="Times New Roman" w:hAnsi="Times New Roman" w:eastAsia="仿宋_GB2312" w:cs="Times New Roman"/>
          <w:sz w:val="24"/>
          <w:szCs w:val="30"/>
          <w:highlight w:val="none"/>
          <w:lang w:eastAsia="zh-CN"/>
        </w:rPr>
        <w:t xml:space="preserve">徐州市残疾人团体专属保险</w:t>
      </w:r>
      <w:r/>
    </w:p>
    <w:p>
      <w:pPr>
        <w:ind w:firstLine="600"/>
        <w:pageBreakBefore w:val="0"/>
        <w:spacing w:line="360" w:lineRule="auto"/>
        <w:rPr>
          <w:rFonts w:hint="default" w:ascii="Times New Roman" w:hAnsi="Times New Roman" w:eastAsia="仿宋_GB2312" w:cs="Times New Roman"/>
          <w:sz w:val="24"/>
          <w:szCs w:val="30"/>
          <w:highlight w:val="none"/>
          <w:lang w:eastAsia="zh-CN"/>
        </w:rPr>
      </w:pPr>
      <w:r>
        <w:rPr>
          <w:rFonts w:hint="eastAsia" w:eastAsia="仿宋_GB2312" w:cs="Times New Roman"/>
          <w:sz w:val="24"/>
          <w:szCs w:val="30"/>
          <w:highlight w:val="none"/>
          <w:lang w:eastAsia="zh-CN"/>
        </w:rPr>
        <w:t xml:space="preserve">（</w:t>
      </w:r>
      <w:r>
        <w:rPr>
          <w:rFonts w:hint="eastAsia" w:eastAsia="仿宋_GB2312" w:cs="Times New Roman"/>
          <w:sz w:val="24"/>
          <w:szCs w:val="30"/>
          <w:highlight w:val="none"/>
          <w:lang w:val="en-US" w:eastAsia="zh-CN"/>
        </w:rPr>
        <w:t xml:space="preserve">二</w:t>
      </w:r>
      <w:r>
        <w:rPr>
          <w:rFonts w:hint="eastAsia" w:eastAsia="仿宋_GB2312" w:cs="Times New Roman"/>
          <w:sz w:val="24"/>
          <w:szCs w:val="30"/>
          <w:highlight w:val="none"/>
          <w:lang w:eastAsia="zh-CN"/>
        </w:rPr>
        <w:t xml:space="preserve">）</w:t>
      </w:r>
      <w:r>
        <w:rPr>
          <w:rFonts w:hint="default" w:ascii="Times New Roman" w:hAnsi="Times New Roman" w:eastAsia="仿宋_GB2312" w:cs="Times New Roman"/>
          <w:sz w:val="24"/>
          <w:szCs w:val="30"/>
          <w:highlight w:val="none"/>
        </w:rPr>
        <w:t xml:space="preserve">项目编号：</w:t>
      </w:r>
      <w:r>
        <w:rPr>
          <w:rFonts w:hint="default" w:ascii="Times New Roman" w:hAnsi="Times New Roman" w:eastAsia="仿宋_GB2312" w:cs="Times New Roman"/>
          <w:sz w:val="24"/>
          <w:szCs w:val="30"/>
          <w:highlight w:val="none"/>
          <w:lang w:eastAsia="zh-CN"/>
        </w:rPr>
        <w:t xml:space="preserve">JSZC-320300-SRJJ-G2026-0001</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二、对投标人的资格要求</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详见本项目公开招标公告。</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三、获取招标文件</w:t>
      </w:r>
      <w:bookmarkEnd w:id="38"/>
      <w:r/>
      <w:r/>
    </w:p>
    <w:p>
      <w:pPr>
        <w:ind w:firstLine="60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（1）潜在供应商访问电子招标投标交易平台的网络地址和方法：</w:t>
      </w:r>
      <w:r/>
    </w:p>
    <w:p>
      <w:pPr>
        <w:ind w:firstLine="60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①登录 http://jszfcg.jsczt.cn/，或进入徐州政府采购网，点击“苏采云”进入系统。</w:t>
      </w:r>
      <w:r/>
    </w:p>
    <w:p>
      <w:pPr>
        <w:ind w:firstLine="60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②“CA数字证书”的获取：</w:t>
      </w:r>
      <w:r/>
    </w:p>
    <w:p>
      <w:pPr>
        <w:ind w:firstLine="60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供应商需办理CA锁，“苏采云”系统目前仅支持“苏采云”系统下的政务CA，省内各地区办理的“苏采云”系统下的政务CA全省通用。“CA数字证书”的办理材料详见“徐州政府采购网-</w:t>
      </w:r>
      <w:r>
        <w:rPr>
          <w:rFonts w:hint="default" w:ascii="Times New Roman" w:hAnsi="Times New Roman" w:eastAsia="仿宋_GB2312" w:cs="Times New Roman"/>
          <w:bCs/>
          <w:sz w:val="24"/>
          <w:szCs w:val="30"/>
          <w:highlight w:val="none"/>
          <w:lang w:val="en-US" w:eastAsia="zh-CN"/>
        </w:rPr>
        <w:t xml:space="preserve">办事指南</w:t>
      </w:r>
      <w:r>
        <w:rPr>
          <w:rFonts w:hint="default" w:ascii="Times New Roman" w:hAnsi="Times New Roman" w:eastAsia="仿宋_GB2312" w:cs="Times New Roman"/>
          <w:bCs/>
          <w:sz w:val="24"/>
          <w:szCs w:val="30"/>
          <w:highlight w:val="none"/>
        </w:rPr>
        <w:t xml:space="preserve">-</w:t>
      </w:r>
      <w:r>
        <w:rPr>
          <w:rFonts w:hint="default" w:ascii="Times New Roman" w:hAnsi="Times New Roman" w:eastAsia="仿宋_GB2312" w:cs="Times New Roman"/>
          <w:bCs/>
          <w:sz w:val="24"/>
          <w:szCs w:val="30"/>
          <w:highlight w:val="none"/>
          <w:lang w:val="en-US" w:eastAsia="zh-CN"/>
        </w:rPr>
        <w:t xml:space="preserve">相关</w:t>
      </w:r>
      <w:r>
        <w:rPr>
          <w:rFonts w:hint="default" w:ascii="Times New Roman" w:hAnsi="Times New Roman" w:eastAsia="仿宋_GB2312" w:cs="Times New Roman"/>
          <w:bCs/>
          <w:sz w:val="24"/>
          <w:szCs w:val="30"/>
          <w:highlight w:val="none"/>
        </w:rPr>
        <w:t xml:space="preserve">服务-</w:t>
      </w:r>
      <w:r>
        <w:rPr>
          <w:rFonts w:hint="default" w:ascii="Times New Roman" w:hAnsi="Times New Roman" w:eastAsia="仿宋_GB2312" w:cs="Times New Roman"/>
          <w:bCs/>
          <w:sz w:val="24"/>
          <w:szCs w:val="30"/>
          <w:highlight w:val="none"/>
          <w:lang w:val="en-US" w:eastAsia="zh-CN"/>
        </w:rPr>
        <w:t xml:space="preserve">资料下载</w:t>
      </w:r>
      <w:r>
        <w:rPr>
          <w:rFonts w:hint="default" w:ascii="Times New Roman" w:hAnsi="Times New Roman" w:eastAsia="仿宋_GB2312" w:cs="Times New Roman"/>
          <w:bCs/>
          <w:sz w:val="24"/>
          <w:szCs w:val="30"/>
          <w:highlight w:val="none"/>
        </w:rPr>
        <w:t xml:space="preserve">”中的《“苏采云”系统政务CA办理材料、操作手册及控件下载》。</w:t>
      </w:r>
      <w:r/>
    </w:p>
    <w:p>
      <w:pPr>
        <w:ind w:firstLine="48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（2）采购代理机构将数据电文形式的招标文件加载至电子招标投标交易平台，供潜在供应商下载或者查阅。</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bCs/>
          <w:sz w:val="24"/>
          <w:szCs w:val="30"/>
          <w:highlight w:val="none"/>
        </w:rPr>
        <w:t xml:space="preserve">（3）售价：免费。 </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四、提交投标文件截止时间、开标时间和地点</w:t>
      </w:r>
      <w:r/>
    </w:p>
    <w:p>
      <w:pPr>
        <w:ind w:firstLine="600"/>
        <w:pageBreakBefore w:val="0"/>
        <w:spacing w:line="360" w:lineRule="auto"/>
        <w:rPr>
          <w:rFonts w:hint="default" w:ascii="Times New Roman" w:hAnsi="Times New Roman" w:eastAsia="仿宋_GB2312" w:cs="Times New Roman"/>
          <w:sz w:val="24"/>
          <w:szCs w:val="30"/>
          <w:highlight w:val="none"/>
          <w:lang w:eastAsia="zh-CN"/>
        </w:rPr>
      </w:pPr>
      <w:r>
        <w:rPr>
          <w:rFonts w:hint="default" w:ascii="Times New Roman" w:hAnsi="Times New Roman" w:eastAsia="仿宋_GB2312" w:cs="Times New Roman"/>
          <w:sz w:val="24"/>
          <w:szCs w:val="30"/>
          <w:highlight w:val="none"/>
        </w:rPr>
        <w:t xml:space="preserve">（一）投标截止时间：</w:t>
      </w:r>
      <w:r>
        <w:rPr>
          <w:rFonts w:hint="default" w:ascii="Times New Roman" w:hAnsi="Times New Roman" w:eastAsia="仿宋_GB2312" w:cs="Times New Roman"/>
          <w:sz w:val="24"/>
          <w:szCs w:val="30"/>
          <w:highlight w:val="none"/>
          <w:lang w:eastAsia="zh-CN"/>
        </w:rPr>
        <w:t xml:space="preserve">2026年7月28日</w:t>
      </w:r>
      <w:r>
        <w:rPr>
          <w:rFonts w:hint="default" w:ascii="Times New Roman" w:hAnsi="Times New Roman" w:eastAsia="仿宋_GB2312" w:cs="Times New Roman"/>
          <w:sz w:val="24"/>
          <w:szCs w:val="30"/>
          <w:highlight w:val="none"/>
          <w:lang w:eastAsia="zh-CN"/>
        </w:rPr>
        <w:t xml:space="preserve">北京时间09：30</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（二）开标时间：</w:t>
      </w:r>
      <w:r>
        <w:rPr>
          <w:rFonts w:hint="default" w:ascii="Times New Roman" w:hAnsi="Times New Roman" w:eastAsia="仿宋_GB2312" w:cs="Times New Roman"/>
          <w:sz w:val="24"/>
          <w:szCs w:val="30"/>
          <w:highlight w:val="none"/>
          <w:lang w:eastAsia="zh-CN"/>
        </w:rPr>
        <w:t xml:space="preserve">2026年7月28日</w:t>
      </w:r>
      <w:r>
        <w:rPr>
          <w:rFonts w:hint="default" w:ascii="Times New Roman" w:hAnsi="Times New Roman" w:eastAsia="仿宋_GB2312" w:cs="Times New Roman"/>
          <w:sz w:val="24"/>
          <w:szCs w:val="30"/>
          <w:highlight w:val="none"/>
          <w:lang w:eastAsia="zh-CN"/>
        </w:rPr>
        <w:t xml:space="preserve">北京时间09：30</w:t>
      </w:r>
      <w:r>
        <w:rPr>
          <w:rFonts w:hint="default" w:ascii="Times New Roman" w:hAnsi="Times New Roman" w:eastAsia="仿宋_GB2312" w:cs="Times New Roman"/>
          <w:sz w:val="24"/>
          <w:szCs w:val="30"/>
          <w:highlight w:val="none"/>
        </w:rPr>
        <w:t xml:space="preserve">。</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（三）开标地点：“苏采云”系统“开标大厅”或进入江苏政府采购网--办事指南--供应商--供应商进入，点击“苏采云”进入系统“开标大厅”。</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五、采购人</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（一）名称：</w:t>
      </w:r>
      <w:r>
        <w:rPr>
          <w:rFonts w:hint="default" w:ascii="Times New Roman" w:hAnsi="Times New Roman" w:eastAsia="仿宋_GB2312" w:cs="Times New Roman"/>
          <w:sz w:val="24"/>
          <w:szCs w:val="30"/>
          <w:highlight w:val="none"/>
          <w:lang w:eastAsia="zh-CN"/>
        </w:rPr>
        <w:t xml:space="preserve">徐州市残疾人联合会</w:t>
      </w:r>
      <w:r>
        <w:rPr>
          <w:rFonts w:hint="default" w:ascii="Times New Roman" w:hAnsi="Times New Roman" w:eastAsia="仿宋_GB2312" w:cs="Times New Roman"/>
          <w:sz w:val="24"/>
          <w:szCs w:val="30"/>
          <w:highlight w:val="none"/>
        </w:rPr>
        <w:t xml:space="preserve">。</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（二）地址：</w:t>
      </w:r>
      <w:r>
        <w:rPr>
          <w:rFonts w:hint="default" w:ascii="Times New Roman" w:hAnsi="Times New Roman" w:eastAsia="仿宋_GB2312" w:cs="Times New Roman"/>
          <w:sz w:val="24"/>
          <w:szCs w:val="30"/>
          <w:highlight w:val="none"/>
          <w:lang w:eastAsia="zh-CN"/>
        </w:rPr>
        <w:t xml:space="preserve">新城区汉风路1号西综合楼B区6层</w:t>
      </w:r>
      <w:r>
        <w:rPr>
          <w:rFonts w:hint="default" w:ascii="Times New Roman" w:hAnsi="Times New Roman" w:eastAsia="仿宋_GB2312" w:cs="Times New Roman"/>
          <w:sz w:val="24"/>
          <w:szCs w:val="30"/>
          <w:highlight w:val="none"/>
        </w:rPr>
        <w:t xml:space="preserve">。</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（三）联系方法：</w:t>
      </w:r>
      <w:r>
        <w:rPr>
          <w:rFonts w:hint="default" w:ascii="Times New Roman" w:hAnsi="Times New Roman" w:eastAsia="仿宋_GB2312" w:cs="Times New Roman"/>
          <w:sz w:val="24"/>
          <w:szCs w:val="30"/>
          <w:highlight w:val="none"/>
          <w:lang w:val="en-US" w:eastAsia="zh-CN"/>
        </w:rPr>
        <w:t xml:space="preserve">0516-83950788</w:t>
      </w:r>
      <w:r/>
    </w:p>
    <w:p>
      <w:pPr>
        <w:ind w:firstLine="600"/>
        <w:pageBreakBefore w:val="0"/>
        <w:spacing w:line="360" w:lineRule="auto"/>
        <w:rPr>
          <w:rFonts w:hint="default" w:ascii="Times New Roman" w:hAnsi="Times New Roman" w:eastAsia="仿宋_GB2312" w:cs="Times New Roman"/>
          <w:sz w:val="24"/>
          <w:szCs w:val="30"/>
          <w:highlight w:val="none"/>
          <w:lang w:val="en-US" w:eastAsia="zh-CN"/>
        </w:rPr>
      </w:pPr>
      <w:r>
        <w:rPr>
          <w:rFonts w:hint="default" w:ascii="Times New Roman" w:hAnsi="Times New Roman" w:eastAsia="仿宋_GB2312" w:cs="Times New Roman"/>
          <w:sz w:val="24"/>
          <w:szCs w:val="30"/>
          <w:highlight w:val="none"/>
        </w:rPr>
        <w:t xml:space="preserve">（四）采购项目联系人：</w:t>
      </w:r>
      <w:r>
        <w:rPr>
          <w:rFonts w:hint="default" w:ascii="Times New Roman" w:hAnsi="Times New Roman" w:eastAsia="仿宋_GB2312" w:cs="Times New Roman"/>
          <w:sz w:val="24"/>
          <w:szCs w:val="30"/>
          <w:highlight w:val="none"/>
          <w:lang w:val="en-US" w:eastAsia="zh-CN"/>
        </w:rPr>
        <w:t xml:space="preserve">刘相龙</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六、采购代理机构</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（一）名称：</w:t>
      </w:r>
      <w:r>
        <w:rPr>
          <w:rFonts w:hint="default" w:ascii="Times New Roman" w:hAnsi="Times New Roman" w:eastAsia="仿宋_GB2312" w:cs="Times New Roman"/>
          <w:sz w:val="24"/>
          <w:szCs w:val="30"/>
          <w:highlight w:val="none"/>
          <w:lang w:eastAsia="zh-CN"/>
        </w:rPr>
        <w:t xml:space="preserve">江苏盛瑞保险经纪有限公司</w:t>
      </w:r>
      <w:r>
        <w:rPr>
          <w:rFonts w:hint="default" w:ascii="Times New Roman" w:hAnsi="Times New Roman" w:eastAsia="仿宋_GB2312" w:cs="Times New Roman"/>
          <w:sz w:val="24"/>
          <w:szCs w:val="30"/>
          <w:highlight w:val="none"/>
        </w:rPr>
        <w:t xml:space="preserve">。</w:t>
      </w:r>
      <w:r/>
    </w:p>
    <w:p>
      <w:pPr>
        <w:ind w:firstLine="600"/>
        <w:pageBreakBefore w:val="0"/>
        <w:spacing w:line="360" w:lineRule="auto"/>
        <w:rPr>
          <w:rFonts w:hint="default" w:ascii="Times New Roman" w:hAnsi="Times New Roman" w:eastAsia="仿宋_GB2312" w:cs="Times New Roman"/>
          <w:sz w:val="24"/>
          <w:szCs w:val="30"/>
          <w:highlight w:val="none"/>
          <w:lang w:eastAsia="zh-CN"/>
        </w:rPr>
      </w:pPr>
      <w:r>
        <w:rPr>
          <w:rFonts w:hint="default" w:ascii="Times New Roman" w:hAnsi="Times New Roman" w:eastAsia="仿宋_GB2312" w:cs="Times New Roman"/>
          <w:sz w:val="24"/>
          <w:szCs w:val="30"/>
          <w:highlight w:val="none"/>
        </w:rPr>
        <w:t xml:space="preserve">（二）地址：</w:t>
      </w:r>
      <w:r>
        <w:rPr>
          <w:rFonts w:hint="default" w:ascii="Times New Roman" w:hAnsi="Times New Roman" w:eastAsia="仿宋_GB2312" w:cs="Times New Roman"/>
          <w:sz w:val="24"/>
          <w:szCs w:val="30"/>
          <w:highlight w:val="none"/>
          <w:lang w:eastAsia="zh-CN"/>
        </w:rPr>
        <w:t xml:space="preserve">江苏省徐州市云龙区秦郡路1号淮海经济区金融服务中心三区5（原8）号楼1-601-9号</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（三）联系方法：</w:t>
      </w:r>
      <w:r>
        <w:rPr>
          <w:rFonts w:hint="default" w:ascii="Times New Roman" w:hAnsi="Times New Roman" w:eastAsia="仿宋_GB2312" w:cs="Times New Roman"/>
          <w:sz w:val="24"/>
          <w:szCs w:val="30"/>
          <w:highlight w:val="none"/>
          <w:lang w:eastAsia="zh-CN"/>
        </w:rPr>
        <w:t xml:space="preserve">0516-85792898</w:t>
      </w:r>
      <w:r>
        <w:rPr>
          <w:rFonts w:hint="default" w:ascii="Times New Roman" w:hAnsi="Times New Roman" w:eastAsia="仿宋_GB2312" w:cs="Times New Roman"/>
          <w:sz w:val="24"/>
          <w:szCs w:val="30"/>
          <w:highlight w:val="none"/>
        </w:rPr>
        <w:t xml:space="preserve"> </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（四）采购项目联系人：</w:t>
      </w:r>
      <w:r>
        <w:rPr>
          <w:rFonts w:hint="default" w:ascii="Times New Roman" w:hAnsi="Times New Roman" w:eastAsia="仿宋_GB2312" w:cs="Times New Roman"/>
          <w:sz w:val="24"/>
          <w:szCs w:val="30"/>
          <w:highlight w:val="none"/>
          <w:lang w:eastAsia="zh-CN"/>
        </w:rPr>
        <w:t xml:space="preserve">赵庭</w:t>
      </w:r>
      <w:r/>
    </w:p>
    <w:p>
      <w:pPr>
        <w:spacing w:line="36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jc w:val="center"/>
        <w:keepLines w:val="0"/>
        <w:keepNext w:val="0"/>
        <w:pageBreakBefore w:val="0"/>
        <w:spacing w:line="360" w:lineRule="auto"/>
        <w:widowControl/>
        <w:rPr>
          <w:rFonts w:hint="default" w:ascii="Times New Roman" w:hAnsi="Times New Roman" w:eastAsia="仿宋_GB2312" w:cs="Times New Roman"/>
          <w:sz w:val="24"/>
          <w:highlight w:val="none"/>
        </w:rPr>
        <w:outlineLvl w:val="0"/>
      </w:pPr>
      <w:r/>
      <w:bookmarkStart w:id="43" w:name="_Toc522790131"/>
      <w:r>
        <w:rPr>
          <w:rStyle w:val="1213"/>
          <w:rFonts w:hint="default" w:ascii="Times New Roman" w:hAnsi="Times New Roman" w:cs="Times New Roman"/>
          <w:highlight w:val="none"/>
        </w:rPr>
        <w:br w:type="page" w:clear="all"/>
      </w:r>
      <w:bookmarkStart w:id="44" w:name="_Toc18542"/>
      <w:r/>
      <w:bookmarkStart w:id="45" w:name="_Toc24078"/>
      <w:r/>
      <w:bookmarkStart w:id="46" w:name="_Toc16826"/>
      <w:r>
        <w:rPr>
          <w:rStyle w:val="1213"/>
          <w:rFonts w:hint="default" w:ascii="Times New Roman" w:hAnsi="Times New Roman" w:eastAsia="方正小标宋_GBK" w:cs="Times New Roman"/>
          <w:b w:val="0"/>
          <w:bCs w:val="0"/>
          <w:sz w:val="36"/>
          <w:highlight w:val="none"/>
        </w:rPr>
        <w:t xml:space="preserve">第二章  投标人须知</w:t>
      </w:r>
      <w:bookmarkEnd w:id="43"/>
      <w:r/>
      <w:bookmarkEnd w:id="44"/>
      <w:r/>
      <w:bookmarkEnd w:id="45"/>
      <w:r/>
      <w:bookmarkEnd w:id="46"/>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一、总则</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（一）采购人。采购人即指依法进行政府采购的国家机关、事业单位和团体组织。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（二）政府招标采购方式。政府采购货物或服务（以下简称“货物服务”）的招标方式，分为公开招标和邀请招标。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（五）采购人委托采购代理机构代理招标的，采购代理机构必须在采购人委托的范围内依法开展采购活动。</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（六）投标人的资格条件：</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投标人是指投标招标、参加投标竞争的法人、其他组织或者自然人。</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2.投标人授权代表系指</w:t>
      </w:r>
      <w:r>
        <w:rPr>
          <w:rFonts w:hint="default" w:ascii="Times New Roman" w:hAnsi="Times New Roman" w:eastAsia="仿宋_GB2312" w:cs="Times New Roman"/>
          <w:sz w:val="24"/>
          <w:szCs w:val="30"/>
          <w:highlight w:val="none"/>
          <w:lang w:eastAsia="zh-CN"/>
        </w:rPr>
        <w:t xml:space="preserve">法定代表人/负责人</w:t>
      </w:r>
      <w:r>
        <w:rPr>
          <w:rFonts w:hint="default" w:ascii="Times New Roman" w:hAnsi="Times New Roman" w:eastAsia="仿宋_GB2312" w:cs="Times New Roman"/>
          <w:sz w:val="24"/>
          <w:szCs w:val="30"/>
          <w:highlight w:val="none"/>
        </w:rPr>
        <w:t xml:space="preserve">或受法人</w:t>
      </w:r>
      <w:r>
        <w:rPr>
          <w:rFonts w:hint="default" w:ascii="Times New Roman" w:hAnsi="Times New Roman" w:eastAsia="仿宋_GB2312" w:cs="Times New Roman"/>
          <w:sz w:val="24"/>
          <w:szCs w:val="30"/>
          <w:highlight w:val="none"/>
          <w:lang w:eastAsia="zh-CN"/>
        </w:rPr>
        <w:t xml:space="preserve">/负责人</w:t>
      </w:r>
      <w:r>
        <w:rPr>
          <w:rFonts w:hint="default" w:ascii="Times New Roman" w:hAnsi="Times New Roman" w:eastAsia="仿宋_GB2312" w:cs="Times New Roman"/>
          <w:sz w:val="24"/>
          <w:szCs w:val="30"/>
          <w:highlight w:val="none"/>
        </w:rPr>
        <w:t xml:space="preserve">委托的受托人。</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二、招标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（八）招标文件应包括以下内容：</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第一章，投标邀请；</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第二章，投标人须知；</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第三章，投标资料表；</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第四章，评标标准；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第五章，拟签订的合同文本；</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第六章，采购需求；</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第七章，投标文件相关格式。</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（九）招标文件澄清或者修改：</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2.现场考察以本文件第三章《投标资料表》中的要求为准。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3.开标前答疑会以本文件第三章《投标资料表》中的要求为准。</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三、投标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（十）投标人应当按照招标文件的要求编制投标文件。投标文件应对招标文件提出的要求和条件作出实质性投标。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（十二）投标文件的构成：</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1.投标文件的构成以本文件第三章《投标资料表》中的要求为准。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（十三）投标函和价格表、商务条件、交货和提供服务的时间：</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2.商务条件以本文件第三章《投标资料表》中的要求为准。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3.交货和提供服务的时间，以本文件第三章《投标资料表》中所提要求为准。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（十四）投标报价要求：</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1.投标人应按照招标文件的要求报出分项价格和总价。</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2.投标人应按照招标文件的要求进行报价，如投标人作出偏离，应在《偏离表》中列出。</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3.采购人不支付报价以外的任何费用。</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（十五）投标货币。以本文件第三章《投标资料表》中所提要求为准。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（十六）投标有效期：</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（十七）投标文件的编制要求和签署要求：</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1.电子投标文件要求</w:t>
      </w:r>
      <w:r/>
    </w:p>
    <w:p>
      <w:pPr>
        <w:ind w:firstLine="482"/>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（1）电子招标投标交易平台（即“苏采云”系统）相关要求是本招标文件的组成部分。</w:t>
      </w:r>
      <w:r/>
    </w:p>
    <w:p>
      <w:pPr>
        <w:ind w:firstLine="482"/>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（2）投标人应对 CA 证书妥善保管，如被他人盗用投标，因此带来的结果均由投标人自行承担。</w:t>
      </w:r>
      <w:r/>
    </w:p>
    <w:p>
      <w:pPr>
        <w:ind w:firstLine="482"/>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（3）投标人应当对招标文件提出的要求和条件作出实质性投标，并在电子投标系统逐条应答。</w:t>
      </w:r>
      <w:r/>
    </w:p>
    <w:p>
      <w:pPr>
        <w:ind w:firstLine="482"/>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（4）投标人应对要求提供的资格证明文件（如资质证书、资格证书）、技术资料（如白皮书、彩页、手册、检测报告等）扫描上传至投标系统。</w:t>
      </w:r>
      <w:r/>
    </w:p>
    <w:p>
      <w:pPr>
        <w:pStyle w:val="1234"/>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（十八）投标文件的盖章要求：</w:t>
      </w:r>
      <w:r/>
    </w:p>
    <w:p>
      <w:pPr>
        <w:pStyle w:val="1234"/>
        <w:ind w:firstLine="600"/>
        <w:keepLines w:val="0"/>
        <w:keepNext w:val="0"/>
        <w:pageBreakBefore w:val="0"/>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0"/>
          <w:highlight w:val="none"/>
        </w:rPr>
        <w:t xml:space="preserve">投标文件的盖章要求，以本文件第三章《投标资料表》中所提要求为准。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（十九）提交电子投标文件的截止时间注意事项。投标人应在招标文件要求的提交投标文件的截止时间前，将投标文件提交至“苏采云”系统。</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（二十）凡在招标文件要求提交投标文件的截止时间之后提交的投标文件，均为无效投标文件，“苏采云”系统将自动拒收。各投标人应在规定时间内通过CA锁进行网上解密。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（二十二）本项目不允许分包。</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（二十三）投标人应当遵循公平竞争的原则，不得恶意串通，不得妨碍其他投标人的竞争行为，不得损害采购人或者其他投标人的合法权益。</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在评标过程中发现投标人有上述情形的，评标委员会应当认定其投标无效，并书面报告本级财政部门。</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（二十四）有下列情形之一的，其投标无效。</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1.不同投标人的投标文件，由同一单位或者个人编制；</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2.不同投标人委托同一单位或者个人办理投标事宜；</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3.不同投标人的投标文件中，所载明的项目管理成员或联系人为同一人；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4.不同投标人的投标文件，异常一致或者投标报价呈规律性差异；</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5.不同投标人的投标文件相互混装；</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6.不同投标人投标文件内容存在非正常一致、项目组成员出现同一人、投标文件中错误（或异常）一致或雷同、电子文档信息一致或雷同、投标报价呈规律性差异的；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7.电子投标文件未按规定期限投标的；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8.电子投标文件未按招标文件要求签章的；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9.投标人未在规定时间内解密电子投标文件的；</w:t>
      </w:r>
      <w:r/>
    </w:p>
    <w:p>
      <w:pPr>
        <w:ind w:firstLine="600"/>
        <w:jc w:val="left"/>
        <w:keepLines w:val="0"/>
        <w:keepNext w:val="0"/>
        <w:pageBreakBefore w:val="0"/>
        <w:spacing w:line="360" w:lineRule="auto"/>
        <w:shd w:val="clear" w:color="auto" w:fill="ffffff"/>
        <w:widowControl/>
        <w:rPr>
          <w:rFonts w:hint="eastAsia" w:ascii="Times New Roman" w:hAnsi="Times New Roman" w:eastAsia="仿宋_GB2312" w:cs="Times New Roman"/>
          <w:sz w:val="24"/>
          <w:szCs w:val="30"/>
          <w:highlight w:val="none"/>
          <w:lang w:eastAsia="zh-CN"/>
        </w:rPr>
      </w:pPr>
      <w:r>
        <w:rPr>
          <w:rFonts w:hint="default" w:ascii="Times New Roman" w:hAnsi="Times New Roman" w:eastAsia="仿宋_GB2312" w:cs="Times New Roman"/>
          <w:sz w:val="24"/>
          <w:szCs w:val="30"/>
          <w:highlight w:val="none"/>
        </w:rPr>
        <w:t xml:space="preserve">10.投标文件未按招标文件规定的内容和要求填写的；没有在投标系统指定位置上传对应文件、材料的</w:t>
      </w:r>
      <w:r>
        <w:rPr>
          <w:rFonts w:hint="eastAsia" w:eastAsia="仿宋_GB2312" w:cs="Times New Roman"/>
          <w:sz w:val="24"/>
          <w:szCs w:val="30"/>
          <w:highlight w:val="none"/>
          <w:lang w:eastAsia="zh-CN"/>
        </w:rPr>
        <w:t xml:space="preserve">；</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11.不具备招标文件中规定的资格要求的；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12.报价超过招标文件中规定的预算金额或者最高限价的；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13.投标文件含有采购人不能接受的附加条件的；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14.法律、法规和招标文件规定的其他无效情形。</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四、开标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（二十五）开标：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1.开标时间及地点。开标应当在招标文件确定的提交投标文件截止时间的同一时间公开进行；开标地点应当为招标文件中预先确定的地点。</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2.由电子招标投标交易平台主持，邀请投标人参加。</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3.所有投标单位使用 CA 证书在开标时间时，解密各自投标文件，由工作人员操作系统进行开标，投标人不足3家的，不得评标。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4.投标人原因造成投标文件未解密的，视为撤销其投标文件</w:t>
      </w:r>
      <w:r>
        <w:rPr>
          <w:rFonts w:hint="eastAsia" w:eastAsia="仿宋_GB2312" w:cs="Times New Roman"/>
          <w:sz w:val="24"/>
          <w:szCs w:val="30"/>
          <w:highlight w:val="none"/>
          <w:lang w:eastAsia="zh-CN"/>
        </w:rPr>
        <w:t xml:space="preserve">；</w:t>
      </w:r>
      <w:r>
        <w:rPr>
          <w:rFonts w:hint="default" w:ascii="Times New Roman" w:hAnsi="Times New Roman" w:eastAsia="仿宋_GB2312" w:cs="Times New Roman"/>
          <w:sz w:val="24"/>
          <w:szCs w:val="30"/>
          <w:highlight w:val="none"/>
        </w:rPr>
        <w:t xml:space="preserve">因投标人之外的原因造成投标文件未解密的，视为撤回其投标文件。部分投标文件未解密的，其他投标文件的开标可以继续进行。</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五、评标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（二十六）公开招标采购项目开标结束后，采购人依法对投标人的资格进行审查。合格投标人不足3家的，不得评标。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1.评标工作由采购代理机构负责组织，并履行下列职责：</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（1）核对评审专家身份和采购人代表授权函，对评审专家在政府采购活动中的职责履行情况予以记录，并及时将有关违法违规行为向财政部门报告；</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（2）宣布评标纪律；</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（3）公布投标人名单，告知评审专家应当回避的情形；</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（4）组织评标委员会推选评标组长（采购人代表不得担任组长）；</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（5）在评标期间采取必要的通讯管理措施，保证评标活动不受外界干扰；</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（6）根据评标委员会的要求介绍政府采购相关政策法规、招标文件；</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（8）核对评标结果，对有《</w:t>
      </w:r>
      <w:r>
        <w:rPr>
          <w:rFonts w:hint="default" w:ascii="Times New Roman" w:hAnsi="Times New Roman" w:eastAsia="仿宋_GB2312" w:cs="Times New Roman"/>
          <w:sz w:val="24"/>
          <w:highlight w:val="none"/>
        </w:rPr>
        <w:fldChar w:fldCharType="begin"/>
      </w:r>
      <w:r>
        <w:rPr>
          <w:rFonts w:hint="default" w:ascii="Times New Roman" w:hAnsi="Times New Roman" w:eastAsia="仿宋_GB2312" w:cs="Times New Roman"/>
          <w:sz w:val="24"/>
          <w:highlight w:val="none"/>
        </w:rPr>
        <w:instrText xml:space="preserve"> HYPERLINK "http://www.caigou2003.com/" \t "_blank" </w:instrText>
      </w:r>
      <w:r>
        <w:rPr>
          <w:rFonts w:hint="default" w:ascii="Times New Roman" w:hAnsi="Times New Roman" w:eastAsia="仿宋_GB2312" w:cs="Times New Roman"/>
          <w:sz w:val="24"/>
          <w:highlight w:val="none"/>
        </w:rPr>
        <w:fldChar w:fldCharType="separate"/>
      </w:r>
      <w:r>
        <w:rPr>
          <w:rFonts w:hint="default" w:ascii="Times New Roman" w:hAnsi="Times New Roman" w:eastAsia="仿宋_GB2312" w:cs="Times New Roman"/>
          <w:sz w:val="24"/>
          <w:szCs w:val="30"/>
          <w:highlight w:val="none"/>
        </w:rPr>
        <w:t xml:space="preserve">政府采购</w:t>
      </w:r>
      <w:r>
        <w:rPr>
          <w:rFonts w:hint="default" w:ascii="Times New Roman" w:hAnsi="Times New Roman" w:eastAsia="仿宋_GB2312" w:cs="Times New Roman"/>
          <w:sz w:val="24"/>
          <w:szCs w:val="30"/>
          <w:highlight w:val="none"/>
        </w:rPr>
        <w:fldChar w:fldCharType="end"/>
      </w:r>
      <w:r>
        <w:rPr>
          <w:rFonts w:hint="default" w:ascii="Times New Roman" w:hAnsi="Times New Roman" w:eastAsia="仿宋_GB2312" w:cs="Times New Roman"/>
          <w:sz w:val="24"/>
          <w:szCs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（9）评审工作完成后，按照规定向评审专家支付劳务报酬和异地评审差旅费，不得向评审专家以外的其他人员支付评审劳务报酬；</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（10）处理与评标有关的其他事项。</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2.评标委员会负责具体评标事务，并独立履行下列职责：</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（1）审查、评价投标文件是否符合招标文件的商务、技术等实质性要求；</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（2）要求投标人对投标文件有关事项作出澄清或者说明；</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（3）对投标文件进行比较和评价；</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（4）确定中标候选人名单，以及根据采购人委托直接确定中标人；</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（5）向采购人、采购代理机构或有关部门报告评标中发现的违法行为。</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（二十七）评标方法分为最低评标价法和综合评分法。</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（二十八）评标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1.评标工作程序：</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（1）投标文件初审。</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①资格性审查。</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②符合性审查。</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（2）澄清有关问题。</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（3）比较与评价。</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（4）推荐中标候选供应商名单。</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（5）编写评审报告（评标报告）。</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3.采用</w:t>
      </w:r>
      <w:r>
        <w:rPr>
          <w:rFonts w:hint="default" w:ascii="Times New Roman" w:hAnsi="Times New Roman" w:eastAsia="仿宋_GB2312" w:cs="Times New Roman"/>
          <w:sz w:val="24"/>
          <w:highlight w:val="none"/>
        </w:rPr>
        <w:fldChar w:fldCharType="begin"/>
      </w:r>
      <w:r>
        <w:rPr>
          <w:rFonts w:hint="default" w:ascii="Times New Roman" w:hAnsi="Times New Roman" w:eastAsia="仿宋_GB2312" w:cs="Times New Roman"/>
          <w:sz w:val="24"/>
          <w:highlight w:val="none"/>
        </w:rPr>
        <w:instrText xml:space="preserve"> HYPERLINK "http://lilun.caigou2003.com/recijiedu/2365668.html" \t "_blank" </w:instrText>
      </w:r>
      <w:r>
        <w:rPr>
          <w:rFonts w:hint="default" w:ascii="Times New Roman" w:hAnsi="Times New Roman" w:eastAsia="仿宋_GB2312" w:cs="Times New Roman"/>
          <w:sz w:val="24"/>
          <w:highlight w:val="none"/>
        </w:rPr>
        <w:fldChar w:fldCharType="separate"/>
      </w:r>
      <w:r>
        <w:rPr>
          <w:rFonts w:hint="default" w:ascii="Times New Roman" w:hAnsi="Times New Roman" w:eastAsia="仿宋_GB2312" w:cs="Times New Roman"/>
          <w:sz w:val="24"/>
          <w:szCs w:val="30"/>
          <w:highlight w:val="none"/>
        </w:rPr>
        <w:t xml:space="preserve">最低评标价法</w:t>
      </w:r>
      <w:r>
        <w:rPr>
          <w:rFonts w:hint="default" w:ascii="Times New Roman" w:hAnsi="Times New Roman" w:eastAsia="仿宋_GB2312" w:cs="Times New Roman"/>
          <w:sz w:val="24"/>
          <w:szCs w:val="30"/>
          <w:highlight w:val="none"/>
        </w:rPr>
        <w:fldChar w:fldCharType="end"/>
      </w:r>
      <w:r>
        <w:rPr>
          <w:rFonts w:hint="default" w:ascii="Times New Roman" w:hAnsi="Times New Roman" w:eastAsia="仿宋_GB2312" w:cs="Times New Roman"/>
          <w:sz w:val="24"/>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采用</w:t>
      </w:r>
      <w:r>
        <w:rPr>
          <w:rFonts w:hint="default" w:ascii="Times New Roman" w:hAnsi="Times New Roman" w:eastAsia="仿宋_GB2312" w:cs="Times New Roman"/>
          <w:sz w:val="24"/>
          <w:highlight w:val="none"/>
        </w:rPr>
        <w:fldChar w:fldCharType="begin"/>
      </w:r>
      <w:r>
        <w:rPr>
          <w:rFonts w:hint="default" w:ascii="Times New Roman" w:hAnsi="Times New Roman" w:eastAsia="仿宋_GB2312" w:cs="Times New Roman"/>
          <w:sz w:val="24"/>
          <w:highlight w:val="none"/>
        </w:rPr>
        <w:instrText xml:space="preserve"> HYPERLINK "http://lilun.caigou2003.com/recijiedu/2365667.html" \t "_blank" </w:instrText>
      </w:r>
      <w:r>
        <w:rPr>
          <w:rFonts w:hint="default" w:ascii="Times New Roman" w:hAnsi="Times New Roman" w:eastAsia="仿宋_GB2312" w:cs="Times New Roman"/>
          <w:sz w:val="24"/>
          <w:highlight w:val="none"/>
        </w:rPr>
        <w:fldChar w:fldCharType="separate"/>
      </w:r>
      <w:r>
        <w:rPr>
          <w:rFonts w:hint="default" w:ascii="Times New Roman" w:hAnsi="Times New Roman" w:eastAsia="仿宋_GB2312" w:cs="Times New Roman"/>
          <w:sz w:val="24"/>
          <w:szCs w:val="30"/>
          <w:highlight w:val="none"/>
        </w:rPr>
        <w:t xml:space="preserve">综合评分法</w:t>
      </w:r>
      <w:r>
        <w:rPr>
          <w:rFonts w:hint="default" w:ascii="Times New Roman" w:hAnsi="Times New Roman" w:eastAsia="仿宋_GB2312" w:cs="Times New Roman"/>
          <w:sz w:val="24"/>
          <w:szCs w:val="30"/>
          <w:highlight w:val="none"/>
        </w:rPr>
        <w:fldChar w:fldCharType="end"/>
      </w:r>
      <w:r>
        <w:rPr>
          <w:rFonts w:hint="default" w:ascii="Times New Roman" w:hAnsi="Times New Roman" w:eastAsia="仿宋_GB2312" w:cs="Times New Roman"/>
          <w:sz w:val="24"/>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非单一产品采购项目，多家投标人提供的核心产品品牌相同的，按前两款规定处理。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（二十九）投标文件报价出现前后不一致的，按照下列规定修正：</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1.投标文件中开标一览表（报价表）内容与投标文件中相应内容不一致的，以开标一览表（报价表）为准；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2.大写金额和小写金额不一致的，以大写金额为准；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3.单价金额小数点或者百分比有明显错位的，以开标一览表的总价为准，并修改单价；</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4.总价金额与按单价合计金额不一致的，以单价金额计算结果为准。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评标中需要投标人对投标文件澄清或者说明的，应当通过“苏采云”系统交换数据电文。在评标期间，请投标人保持在线。</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（三十二）废标条款：</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出现下列情形之一的，应予废标。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1.符合专业条件的供应商或者对招标文件作实质响应的供应商不足三家的；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2.出现影响采购公正的违法、违规行为的；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3.投标人的报价均超过了采购预算，采购人不能支付的；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4.因重大变故，采购任务取消的。</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六、定标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（三十三）采购代理机构应当在评标结束后2个工作日内将评标报告送采购人。</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七、政府采购合同</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（三十六）签订政府采购合同（合同签订方式）：</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采购人不得向中标人提出任何不合理的要求作为签订合同的条件。</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（三十八）履约保证金：</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1.中标人应在政府采购合同签订后，向采购人提交本文件第三章《投标资料表》中规定金额的履约保证金。</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3.中标人凭采购人出具验收书的复印件及收款收据办理履约保证金退付手续。履约保证金在采购人处存放期间，不计利息。</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（三十九）腐败和欺诈行为：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1.采购代理机构、采购人、投标人等参与招投标的各方，均应在招标、采购、合同执行等过程中保持廉洁和最高的道德水准。</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（1）腐败和欺诈行为的含义：</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（2）如果被推荐的中标人有腐败和欺诈行为，将取消其中标资格。</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八、询问和质疑</w:t>
      </w:r>
      <w:r/>
    </w:p>
    <w:p>
      <w:pPr>
        <w:ind w:firstLine="600"/>
        <w:jc w:val="left"/>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（四十）询问和质疑</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九、电子招标投标交易平台</w:t>
      </w:r>
      <w:r/>
    </w:p>
    <w:p>
      <w:pPr>
        <w:pStyle w:val="1234"/>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（四十一）电子招标投标交易平台（即“苏采云”系统，网址：</w:t>
      </w:r>
      <w:r>
        <w:rPr>
          <w:rFonts w:hint="default" w:ascii="Times New Roman" w:hAnsi="Times New Roman" w:eastAsia="仿宋_GB2312" w:cs="Times New Roman"/>
          <w:sz w:val="24"/>
          <w:szCs w:val="30"/>
          <w:highlight w:val="none"/>
        </w:rPr>
        <w:fldChar w:fldCharType="begin"/>
      </w:r>
      <w:r>
        <w:rPr>
          <w:rFonts w:hint="default" w:ascii="Times New Roman" w:hAnsi="Times New Roman" w:eastAsia="仿宋_GB2312" w:cs="Times New Roman"/>
          <w:sz w:val="24"/>
          <w:szCs w:val="30"/>
          <w:highlight w:val="none"/>
        </w:rPr>
        <w:instrText xml:space="preserve"> HYPERLINK "http://jszfcg.jsczt.cn/" \o "http://jszfcg.jsczt.cn/" </w:instrText>
      </w:r>
      <w:r>
        <w:rPr>
          <w:rFonts w:hint="default" w:ascii="Times New Roman" w:hAnsi="Times New Roman" w:eastAsia="仿宋_GB2312" w:cs="Times New Roman"/>
          <w:sz w:val="24"/>
          <w:szCs w:val="30"/>
          <w:highlight w:val="none"/>
        </w:rPr>
        <w:fldChar w:fldCharType="separate"/>
      </w:r>
      <w:r>
        <w:rPr>
          <w:rFonts w:hint="default" w:ascii="Times New Roman" w:hAnsi="Times New Roman" w:eastAsia="仿宋_GB2312" w:cs="Times New Roman"/>
          <w:sz w:val="24"/>
          <w:szCs w:val="30"/>
          <w:highlight w:val="none"/>
        </w:rPr>
        <w:t xml:space="preserve">http://jszfcg.jsczt.cn/</w:t>
      </w:r>
      <w:r>
        <w:rPr>
          <w:rFonts w:hint="default" w:ascii="Times New Roman" w:hAnsi="Times New Roman" w:eastAsia="仿宋_GB2312" w:cs="Times New Roman"/>
          <w:sz w:val="24"/>
          <w:szCs w:val="30"/>
          <w:highlight w:val="none"/>
        </w:rPr>
        <w:fldChar w:fldCharType="end"/>
      </w:r>
      <w:r>
        <w:rPr>
          <w:rFonts w:hint="default" w:ascii="Times New Roman" w:hAnsi="Times New Roman" w:eastAsia="仿宋_GB2312" w:cs="Times New Roman"/>
          <w:sz w:val="24"/>
          <w:szCs w:val="30"/>
          <w:highlight w:val="none"/>
        </w:rPr>
        <w:t xml:space="preserve">）相关要求是本招标文件的组成部分。</w:t>
      </w:r>
      <w:r/>
    </w:p>
    <w:p>
      <w:pPr>
        <w:pStyle w:val="1234"/>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hint="default" w:ascii="Times New Roman" w:hAnsi="Times New Roman" w:eastAsia="新宋体" w:cs="Times New Roman"/>
          <w:b/>
          <w:sz w:val="30"/>
          <w:szCs w:val="30"/>
          <w:highlight w:val="none"/>
        </w:rPr>
      </w:pPr>
      <w:r>
        <w:rPr>
          <w:rFonts w:hint="default" w:ascii="Times New Roman" w:hAnsi="Times New Roman" w:eastAsia="新宋体" w:cs="Times New Roman"/>
          <w:b/>
          <w:sz w:val="30"/>
          <w:szCs w:val="30"/>
          <w:highlight w:val="none"/>
        </w:rPr>
      </w:r>
      <w:r/>
    </w:p>
    <w:p>
      <w:pPr>
        <w:jc w:val="center"/>
        <w:rPr>
          <w:rFonts w:hint="default" w:ascii="Times New Roman" w:hAnsi="Times New Roman" w:eastAsia="方正小标宋_GBK" w:cs="Times New Roman"/>
          <w:highlight w:val="none"/>
        </w:rPr>
        <w:outlineLvl w:val="0"/>
      </w:pPr>
      <w:r/>
      <w:bookmarkStart w:id="47" w:name="_Toc522790132"/>
      <w:r>
        <w:rPr>
          <w:rFonts w:hint="default" w:ascii="Times New Roman" w:hAnsi="Times New Roman" w:cs="Times New Roman"/>
          <w:highlight w:val="none"/>
        </w:rPr>
        <w:br w:type="page" w:clear="all"/>
      </w:r>
      <w:bookmarkStart w:id="48" w:name="_Toc10810"/>
      <w:r/>
      <w:bookmarkStart w:id="49" w:name="_Toc7872"/>
      <w:r/>
      <w:bookmarkStart w:id="50" w:name="_Toc5258"/>
      <w:r>
        <w:rPr>
          <w:rStyle w:val="1213"/>
          <w:rFonts w:hint="default" w:ascii="Times New Roman" w:hAnsi="Times New Roman" w:eastAsia="方正小标宋_GBK" w:cs="Times New Roman"/>
          <w:b w:val="0"/>
          <w:bCs w:val="0"/>
          <w:sz w:val="36"/>
          <w:highlight w:val="none"/>
        </w:rPr>
        <w:t xml:space="preserve">第三章  投标资料表</w:t>
      </w:r>
      <w:bookmarkEnd w:id="47"/>
      <w:r/>
      <w:bookmarkEnd w:id="48"/>
      <w:r/>
      <w:bookmarkEnd w:id="49"/>
      <w:r/>
      <w:bookmarkEnd w:id="50"/>
      <w:r/>
      <w:r/>
    </w:p>
    <w:p>
      <w:pPr>
        <w:ind w:firstLine="600"/>
        <w:jc w:val="center"/>
        <w:spacing w:line="360" w:lineRule="exact"/>
        <w:rPr>
          <w:rFonts w:hint="default" w:ascii="Times New Roman" w:hAnsi="Times New Roman" w:cs="Times New Roman"/>
          <w:sz w:val="30"/>
          <w:szCs w:val="30"/>
          <w:highlight w:val="none"/>
        </w:rPr>
      </w:pPr>
      <w:r>
        <w:rPr>
          <w:rFonts w:hint="default" w:ascii="Times New Roman" w:hAnsi="Times New Roman" w:cs="Times New Roman"/>
          <w:sz w:val="30"/>
          <w:szCs w:val="30"/>
          <w:highlight w:val="none"/>
        </w:rPr>
      </w:r>
      <w:r/>
    </w:p>
    <w:p>
      <w:pPr>
        <w:pStyle w:val="1226"/>
        <w:ind w:firstLine="480"/>
        <w:keepLines w:val="0"/>
        <w:keepNext w:val="0"/>
        <w:pageBreakBefore w:val="0"/>
        <w:spacing w:line="360" w:lineRule="auto"/>
        <w:widowControl w:val="o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default" w:ascii="Times New Roman" w:hAnsi="Times New Roman" w:eastAsia="仿宋" w:cs="Times New Roman"/>
          <w:highlight w:val="none"/>
        </w:rPr>
      </w:pPr>
      <w:r>
        <w:rPr>
          <w:rFonts w:hint="default" w:ascii="Times New Roman" w:hAnsi="Times New Roman" w:eastAsia="仿宋" w:cs="Times New Roman"/>
          <w:highlight w:val="none"/>
        </w:rPr>
      </w:r>
      <w:r/>
    </w:p>
    <w:tbl>
      <w:tblPr>
        <w:tblStyle w:val="1031"/>
        <w:tblW w:w="8780"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hint="default" w:ascii="Times New Roman" w:hAnsi="Times New Roman" w:eastAsia="仿宋_GB2312" w:cs="Times New Roman"/>
                <w:b/>
                <w:sz w:val="24"/>
                <w:szCs w:val="24"/>
                <w:highlight w:val="none"/>
              </w:rPr>
            </w:pPr>
            <w:r>
              <w:rPr>
                <w:rFonts w:hint="default" w:ascii="Times New Roman" w:hAnsi="Times New Roman" w:eastAsia="仿宋_GB2312" w:cs="Times New Roman"/>
                <w:b/>
                <w:sz w:val="24"/>
                <w:szCs w:val="24"/>
                <w:highlight w:val="none"/>
              </w:rPr>
              <w:t xml:space="preserve">条款项号</w:t>
            </w:r>
            <w:r/>
          </w:p>
        </w:tc>
        <w:tc>
          <w:tcPr>
            <w:tcW w:w="7220" w:type="dxa"/>
            <w:vAlign w:val="top"/>
            <w:textDirection w:val="lrTb"/>
            <w:noWrap w:val="false"/>
          </w:tcPr>
          <w:p>
            <w:pPr>
              <w:jc w:val="center"/>
              <w:spacing w:line="400" w:lineRule="exact"/>
              <w:rPr>
                <w:rFonts w:hint="default" w:ascii="Times New Roman" w:hAnsi="Times New Roman" w:eastAsia="仿宋_GB2312" w:cs="Times New Roman"/>
                <w:b/>
                <w:sz w:val="24"/>
                <w:szCs w:val="24"/>
                <w:highlight w:val="none"/>
              </w:rPr>
            </w:pPr>
            <w:r>
              <w:rPr>
                <w:rFonts w:hint="default" w:ascii="Times New Roman" w:hAnsi="Times New Roman" w:eastAsia="仿宋_GB2312" w:cs="Times New Roman"/>
                <w:b/>
                <w:sz w:val="24"/>
                <w:szCs w:val="24"/>
                <w:highlight w:val="none"/>
              </w:rPr>
              <w:t xml:space="preserve">内    容</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一</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总则</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本项目采购人：</w:t>
            </w:r>
            <w:r>
              <w:rPr>
                <w:rFonts w:hint="default" w:ascii="Times New Roman" w:hAnsi="Times New Roman" w:eastAsia="仿宋_GB2312" w:cs="Times New Roman"/>
                <w:sz w:val="24"/>
                <w:szCs w:val="24"/>
                <w:highlight w:val="none"/>
                <w:lang w:eastAsia="zh-CN"/>
              </w:rPr>
              <w:t xml:space="preserve">徐州市残疾人联合会</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本次采购采用的政府采购方式：公开招标。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(四)</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采购人确定的采购项目属性：服务</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(五)</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本项目采购代理机构：</w:t>
            </w:r>
            <w:r>
              <w:rPr>
                <w:rFonts w:hint="default" w:ascii="Times New Roman" w:hAnsi="Times New Roman" w:eastAsia="仿宋_GB2312" w:cs="Times New Roman"/>
                <w:sz w:val="24"/>
                <w:szCs w:val="24"/>
                <w:highlight w:val="none"/>
                <w:lang w:eastAsia="zh-CN"/>
              </w:rPr>
              <w:t xml:space="preserve">江苏盛瑞保险经纪有限公司</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(六)</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投标人的资格条件：</w:t>
            </w:r>
            <w:r/>
          </w:p>
          <w:p>
            <w:pPr>
              <w:numPr>
                <w:ilvl w:val="0"/>
                <w:numId w:val="4"/>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符合《中华人民共和国政府采购法》第二十二条的规定；</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①</w:t>
            </w:r>
            <w:r>
              <w:rPr>
                <w:rFonts w:hint="default" w:ascii="Times New Roman" w:hAnsi="Times New Roman" w:eastAsia="仿宋_GB2312" w:cs="Times New Roman"/>
                <w:sz w:val="24"/>
                <w:szCs w:val="24"/>
                <w:highlight w:val="none"/>
              </w:rPr>
              <w:t xml:space="preserve">投标人合法有效的营业执照及保险经营业务许可证。以上证明文件提供原件的扫描件</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②</w:t>
            </w:r>
            <w:r>
              <w:rPr>
                <w:rFonts w:hint="default" w:ascii="Times New Roman" w:hAnsi="Times New Roman" w:eastAsia="仿宋_GB2312" w:cs="Times New Roman"/>
                <w:sz w:val="24"/>
                <w:szCs w:val="24"/>
                <w:highlight w:val="none"/>
              </w:rPr>
              <w:t xml:space="preserve">财务状况报告(即提供投标人的本项目开标时间前6个月内任何时间的资产负债表、利润表复印件各一份或提供投标人上年度财务报告或投标人的本项目开标时间前6个月内银行出具的资信证明复印件或提供财政部门认可的政府采购专业担保机构出具的投标担保函复印件)。</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③</w:t>
            </w:r>
            <w:r>
              <w:rPr>
                <w:rFonts w:hint="default" w:ascii="Times New Roman" w:hAnsi="Times New Roman" w:eastAsia="仿宋_GB2312" w:cs="Times New Roman"/>
                <w:sz w:val="24"/>
                <w:szCs w:val="24"/>
                <w:highlight w:val="none"/>
              </w:rPr>
              <w:t xml:space="preserve">投标人的本项目开标时间前6个月内任何1个月的依法缴纳税收和社会保障资金的相关材料复印件(依法免税或不需要缴纳社会保障资金的供应商，提供相应文件证明其依法免税或不需要缴纳社会保障资金)。</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④</w:t>
            </w:r>
            <w:r>
              <w:rPr>
                <w:rFonts w:hint="default" w:ascii="Times New Roman" w:hAnsi="Times New Roman" w:eastAsia="仿宋_GB2312" w:cs="Times New Roman"/>
                <w:sz w:val="24"/>
                <w:szCs w:val="24"/>
                <w:highlight w:val="none"/>
              </w:rPr>
              <w:t xml:space="preserve">具备履行合同所必需的设备和专业技术能力的书面声明。</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⑤</w:t>
            </w:r>
            <w:r>
              <w:rPr>
                <w:rFonts w:hint="default" w:ascii="Times New Roman" w:hAnsi="Times New Roman" w:eastAsia="仿宋_GB2312" w:cs="Times New Roman"/>
                <w:sz w:val="24"/>
                <w:szCs w:val="24"/>
                <w:highlight w:val="none"/>
              </w:rPr>
              <w:t xml:space="preserve">参加政府采购活动前3年内在经营活动中没有重大违法记录的书面声明。</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w:t>
            </w:r>
            <w:r>
              <w:rPr>
                <w:rFonts w:hint="default" w:ascii="Times New Roman" w:hAnsi="Times New Roman" w:eastAsia="仿宋_GB2312" w:cs="Times New Roman"/>
                <w:sz w:val="24"/>
                <w:szCs w:val="24"/>
                <w:highlight w:val="none"/>
                <w:lang w:eastAsia="zh-CN"/>
              </w:rPr>
              <w:t xml:space="preserve">本项目</w:t>
            </w:r>
            <w:r>
              <w:rPr>
                <w:rFonts w:hint="default" w:ascii="Times New Roman" w:hAnsi="Times New Roman" w:eastAsia="仿宋_GB2312" w:cs="Times New Roman"/>
                <w:sz w:val="24"/>
                <w:szCs w:val="24"/>
                <w:highlight w:val="none"/>
                <w:lang w:val="en-US" w:eastAsia="zh-CN"/>
              </w:rPr>
              <w:t xml:space="preserve">不</w:t>
            </w:r>
            <w:r>
              <w:rPr>
                <w:rFonts w:hint="default" w:ascii="Times New Roman" w:hAnsi="Times New Roman" w:eastAsia="仿宋_GB2312" w:cs="Times New Roman"/>
                <w:sz w:val="24"/>
                <w:szCs w:val="24"/>
                <w:highlight w:val="none"/>
              </w:rPr>
              <w:t xml:space="preserve">属于专门面向中小</w:t>
            </w:r>
            <w:r>
              <w:rPr>
                <w:rFonts w:hint="default" w:ascii="Times New Roman" w:hAnsi="Times New Roman" w:eastAsia="仿宋_GB2312" w:cs="Times New Roman"/>
                <w:sz w:val="24"/>
                <w:szCs w:val="24"/>
                <w:highlight w:val="none"/>
                <w:lang w:val="en-US" w:eastAsia="zh-CN"/>
              </w:rPr>
              <w:t xml:space="preserve">微</w:t>
            </w:r>
            <w:r>
              <w:rPr>
                <w:rFonts w:hint="default" w:ascii="Times New Roman" w:hAnsi="Times New Roman" w:eastAsia="仿宋_GB2312" w:cs="Times New Roman"/>
                <w:sz w:val="24"/>
                <w:szCs w:val="24"/>
                <w:highlight w:val="none"/>
              </w:rPr>
              <w:t xml:space="preserve">企业采购的项目，同时明确相关事项如下：</w:t>
            </w:r>
            <w:r/>
          </w:p>
          <w:p>
            <w:pPr>
              <w:ind w:left="560" w:hanging="560"/>
              <w:spacing w:line="400" w:lineRule="exact"/>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一、本项目</w:t>
            </w:r>
            <w:r>
              <w:rPr>
                <w:rFonts w:hint="default" w:ascii="Times New Roman" w:hAnsi="Times New Roman" w:eastAsia="仿宋_GB2312" w:cs="Times New Roman"/>
                <w:sz w:val="24"/>
                <w:szCs w:val="24"/>
                <w:highlight w:val="none"/>
                <w:lang w:val="en-US" w:eastAsia="zh-CN"/>
              </w:rPr>
              <w:t xml:space="preserve">不</w:t>
            </w:r>
            <w:r>
              <w:rPr>
                <w:rFonts w:hint="default" w:ascii="Times New Roman" w:hAnsi="Times New Roman" w:eastAsia="仿宋_GB2312" w:cs="Times New Roman"/>
                <w:sz w:val="24"/>
                <w:szCs w:val="24"/>
                <w:highlight w:val="none"/>
              </w:rPr>
              <w:t xml:space="preserve">接受联合体投标</w:t>
            </w:r>
            <w:r>
              <w:rPr>
                <w:rFonts w:hint="default" w:ascii="Times New Roman" w:hAnsi="Times New Roman" w:eastAsia="仿宋_GB2312" w:cs="Times New Roman"/>
                <w:sz w:val="24"/>
                <w:szCs w:val="24"/>
                <w:highlight w:val="none"/>
                <w:lang w:eastAsia="zh-CN"/>
              </w:rPr>
              <w:t xml:space="preserve">。</w:t>
            </w:r>
            <w:r/>
          </w:p>
          <w:p>
            <w:pPr>
              <w:pStyle w:val="1252"/>
              <w:ind w:left="560" w:hanging="56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二、单位负责人为同一人或者存在直接控股、管理关系的不同供应商，不得参加同一合同项下的政府采购活动。</w:t>
            </w:r>
            <w:r/>
          </w:p>
          <w:p>
            <w:pPr>
              <w:pStyle w:val="1252"/>
              <w:ind w:left="560" w:hanging="560"/>
              <w:jc w:val="left"/>
              <w:spacing w:line="400" w:lineRule="exact"/>
              <w:widowControl/>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三、为本采购项目提供整体设计、规范编制或者项目管理、监理、检测等服务的供应商，不得再参加本采购项目的采购活动。</w:t>
            </w:r>
            <w:r/>
          </w:p>
          <w:p>
            <w:pPr>
              <w:pStyle w:val="1252"/>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四、查询及使用供应商信用记录：</w:t>
            </w:r>
            <w:r/>
          </w:p>
          <w:p>
            <w:pPr>
              <w:pStyle w:val="1252"/>
              <w:ind w:firstLine="42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一</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由采购人查询信用信息。</w:t>
            </w:r>
            <w:r/>
          </w:p>
          <w:p>
            <w:pPr>
              <w:pStyle w:val="1252"/>
              <w:ind w:firstLine="42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二</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查询渠道包括：</w:t>
            </w:r>
            <w:r/>
          </w:p>
          <w:p>
            <w:pPr>
              <w:pStyle w:val="1252"/>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1.“信用中国”网（</w:t>
            </w:r>
            <w:r>
              <w:rPr>
                <w:rFonts w:hint="default" w:ascii="Times New Roman" w:hAnsi="Times New Roman" w:eastAsia="仿宋_GB2312" w:cs="Times New Roman"/>
                <w:color w:val="000000"/>
                <w:sz w:val="20"/>
                <w:szCs w:val="22"/>
                <w:highlight w:val="none"/>
              </w:rPr>
              <w:fldChar w:fldCharType="begin"/>
            </w:r>
            <w:r>
              <w:rPr>
                <w:rFonts w:hint="default" w:ascii="Times New Roman" w:hAnsi="Times New Roman" w:eastAsia="仿宋_GB2312" w:cs="Times New Roman"/>
                <w:color w:val="000000"/>
                <w:sz w:val="20"/>
                <w:szCs w:val="22"/>
                <w:highlight w:val="none"/>
              </w:rPr>
              <w:instrText xml:space="preserve"> HYPERLINK "http://www.creditchina.gov.cn/" </w:instrText>
            </w:r>
            <w:r>
              <w:rPr>
                <w:rFonts w:hint="default" w:ascii="Times New Roman" w:hAnsi="Times New Roman" w:eastAsia="仿宋_GB2312" w:cs="Times New Roman"/>
                <w:color w:val="000000"/>
                <w:sz w:val="20"/>
                <w:szCs w:val="22"/>
                <w:highlight w:val="none"/>
              </w:rPr>
              <w:fldChar w:fldCharType="separate"/>
            </w:r>
            <w:r>
              <w:rPr>
                <w:rFonts w:hint="default" w:ascii="Times New Roman" w:hAnsi="Times New Roman" w:eastAsia="仿宋_GB2312" w:cs="Times New Roman"/>
                <w:color w:val="000000"/>
                <w:sz w:val="24"/>
                <w:szCs w:val="24"/>
                <w:highlight w:val="none"/>
              </w:rPr>
              <w:t xml:space="preserve">www.creditchina.gov.cn</w:t>
            </w:r>
            <w:r>
              <w:rPr>
                <w:rFonts w:hint="default" w:ascii="Times New Roman" w:hAnsi="Times New Roman" w:eastAsia="仿宋_GB2312" w:cs="Times New Roman"/>
                <w:color w:val="000000"/>
                <w:sz w:val="24"/>
                <w:szCs w:val="24"/>
                <w:highlight w:val="none"/>
              </w:rPr>
              <w:fldChar w:fldCharType="end"/>
            </w:r>
            <w:r>
              <w:rPr>
                <w:rFonts w:hint="default" w:ascii="Times New Roman" w:hAnsi="Times New Roman" w:eastAsia="仿宋_GB2312" w:cs="Times New Roman"/>
                <w:color w:val="000000"/>
                <w:sz w:val="24"/>
                <w:szCs w:val="24"/>
                <w:highlight w:val="none"/>
              </w:rPr>
              <w:t xml:space="preserve">）；</w:t>
            </w:r>
            <w:r/>
          </w:p>
          <w:p>
            <w:pPr>
              <w:pStyle w:val="1252"/>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2.中国政府采购网（</w:t>
            </w:r>
            <w:r>
              <w:rPr>
                <w:rFonts w:hint="default" w:ascii="Times New Roman" w:hAnsi="Times New Roman" w:eastAsia="仿宋_GB2312" w:cs="Times New Roman"/>
                <w:color w:val="000000"/>
                <w:sz w:val="20"/>
                <w:szCs w:val="22"/>
                <w:highlight w:val="none"/>
              </w:rPr>
              <w:fldChar w:fldCharType="begin"/>
            </w:r>
            <w:r>
              <w:rPr>
                <w:rFonts w:hint="default" w:ascii="Times New Roman" w:hAnsi="Times New Roman" w:eastAsia="仿宋_GB2312" w:cs="Times New Roman"/>
                <w:color w:val="000000"/>
                <w:sz w:val="20"/>
                <w:szCs w:val="22"/>
                <w:highlight w:val="none"/>
              </w:rPr>
              <w:instrText xml:space="preserve"> HYPERLINK "http://www.ccgp.gov.cn/" </w:instrText>
            </w:r>
            <w:r>
              <w:rPr>
                <w:rFonts w:hint="default" w:ascii="Times New Roman" w:hAnsi="Times New Roman" w:eastAsia="仿宋_GB2312" w:cs="Times New Roman"/>
                <w:color w:val="000000"/>
                <w:sz w:val="20"/>
                <w:szCs w:val="22"/>
                <w:highlight w:val="none"/>
              </w:rPr>
              <w:fldChar w:fldCharType="separate"/>
            </w:r>
            <w:r>
              <w:rPr>
                <w:rFonts w:hint="default" w:ascii="Times New Roman" w:hAnsi="Times New Roman" w:eastAsia="仿宋_GB2312" w:cs="Times New Roman"/>
                <w:color w:val="000000"/>
                <w:sz w:val="24"/>
                <w:szCs w:val="24"/>
                <w:highlight w:val="none"/>
              </w:rPr>
              <w:t xml:space="preserve">www.ccgp.gov.cn</w:t>
            </w:r>
            <w:r>
              <w:rPr>
                <w:rFonts w:hint="default" w:ascii="Times New Roman" w:hAnsi="Times New Roman" w:eastAsia="仿宋_GB2312" w:cs="Times New Roman"/>
                <w:color w:val="000000"/>
                <w:sz w:val="24"/>
                <w:szCs w:val="24"/>
                <w:highlight w:val="none"/>
              </w:rPr>
              <w:fldChar w:fldCharType="end"/>
            </w:r>
            <w:r>
              <w:rPr>
                <w:rFonts w:hint="default" w:ascii="Times New Roman" w:hAnsi="Times New Roman" w:eastAsia="仿宋_GB2312" w:cs="Times New Roman"/>
                <w:color w:val="000000"/>
                <w:sz w:val="24"/>
                <w:szCs w:val="24"/>
                <w:highlight w:val="none"/>
              </w:rPr>
              <w:t xml:space="preserve">）；</w:t>
            </w:r>
            <w:r/>
          </w:p>
          <w:p>
            <w:pPr>
              <w:pStyle w:val="1252"/>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3.“信用江苏”网（www.jscredit.gov.cn）；</w:t>
            </w:r>
            <w:r/>
          </w:p>
          <w:p>
            <w:pPr>
              <w:pStyle w:val="1252"/>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4.“信用中国（江苏徐州）”网</w:t>
            </w:r>
            <w:r/>
          </w:p>
          <w:p>
            <w:pPr>
              <w:pStyle w:val="1252"/>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 </w:t>
            </w:r>
            <w:r>
              <w:rPr>
                <w:rFonts w:hint="default" w:ascii="Times New Roman" w:hAnsi="Times New Roman" w:eastAsia="仿宋_GB2312" w:cs="Times New Roman"/>
                <w:color w:val="000000"/>
                <w:sz w:val="20"/>
                <w:szCs w:val="22"/>
                <w:highlight w:val="none"/>
              </w:rPr>
              <w:fldChar w:fldCharType="begin"/>
            </w:r>
            <w:r>
              <w:rPr>
                <w:rFonts w:hint="default" w:ascii="Times New Roman" w:hAnsi="Times New Roman" w:eastAsia="仿宋_GB2312" w:cs="Times New Roman"/>
                <w:color w:val="000000"/>
                <w:sz w:val="20"/>
                <w:szCs w:val="22"/>
                <w:highlight w:val="none"/>
              </w:rPr>
              <w:instrText xml:space="preserve"> HYPERLINK "http://www.xuzhoucredit.gov.cn/" </w:instrText>
            </w:r>
            <w:r>
              <w:rPr>
                <w:rFonts w:hint="default" w:ascii="Times New Roman" w:hAnsi="Times New Roman" w:eastAsia="仿宋_GB2312" w:cs="Times New Roman"/>
                <w:color w:val="000000"/>
                <w:sz w:val="20"/>
                <w:szCs w:val="22"/>
                <w:highlight w:val="none"/>
              </w:rPr>
              <w:fldChar w:fldCharType="separate"/>
            </w:r>
            <w:r>
              <w:rPr>
                <w:rFonts w:hint="default" w:ascii="Times New Roman" w:hAnsi="Times New Roman" w:eastAsia="仿宋_GB2312" w:cs="Times New Roman"/>
                <w:color w:val="000000"/>
                <w:sz w:val="24"/>
                <w:szCs w:val="24"/>
                <w:highlight w:val="none"/>
              </w:rPr>
              <w:t xml:space="preserve">http://www.xuzhoucredit.gov.cn</w:t>
            </w:r>
            <w:r>
              <w:rPr>
                <w:rFonts w:hint="default" w:ascii="Times New Roman" w:hAnsi="Times New Roman" w:eastAsia="仿宋_GB2312" w:cs="Times New Roman"/>
                <w:color w:val="000000"/>
                <w:sz w:val="24"/>
                <w:szCs w:val="24"/>
                <w:highlight w:val="none"/>
              </w:rPr>
              <w:fldChar w:fldCharType="end"/>
            </w:r>
            <w:r>
              <w:rPr>
                <w:rFonts w:hint="default" w:ascii="Times New Roman" w:hAnsi="Times New Roman" w:eastAsia="仿宋_GB2312" w:cs="Times New Roman"/>
                <w:color w:val="000000"/>
                <w:sz w:val="24"/>
                <w:szCs w:val="24"/>
                <w:highlight w:val="none"/>
              </w:rPr>
              <w:t xml:space="preserve">）；</w:t>
            </w:r>
            <w:r/>
          </w:p>
          <w:p>
            <w:pPr>
              <w:pStyle w:val="1252"/>
              <w:ind w:firstLine="48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三</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截止时点（查询环节）：评标结束前。</w:t>
            </w:r>
            <w:r/>
          </w:p>
          <w:p>
            <w:pPr>
              <w:pStyle w:val="1252"/>
              <w:ind w:firstLine="48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四</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信用信息查询记录和证据留存的具体方式：网页截屏打印，与其他采购文件一并保存。</w:t>
            </w:r>
            <w:r/>
          </w:p>
          <w:p>
            <w:pPr>
              <w:pStyle w:val="1252"/>
              <w:ind w:firstLine="48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五</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信用信息的使用规则：</w:t>
            </w:r>
            <w:r/>
          </w:p>
          <w:p>
            <w:pPr>
              <w:ind w:left="899"/>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r>
            <w:r>
              <w:rPr>
                <w:rFonts w:ascii="FangSong" w:hAnsi="FangSong" w:eastAsia="FangSong" w:cs="FangSong"/>
                <w:color w:val="000000"/>
                <w:sz w:val="24"/>
              </w:rPr>
              <w:t xml:space="preserve">招标代理服务费由中标人领取中标通知书前支付，代理服务费金额为人民币【</w:t>
            </w:r>
            <w:r>
              <w:rPr>
                <w:rFonts w:ascii="Times New Roman" w:hAnsi="Times New Roman" w:eastAsia="Times New Roman" w:cs="Times New Roman"/>
                <w:color w:val="000000"/>
                <w:sz w:val="24"/>
              </w:rPr>
              <w:t xml:space="preserve">16900</w:t>
            </w:r>
            <w:r>
              <w:rPr>
                <w:rFonts w:ascii="FangSong" w:hAnsi="FangSong" w:eastAsia="FangSong" w:cs="FangSong"/>
                <w:color w:val="000000"/>
                <w:sz w:val="24"/>
              </w:rPr>
              <w:t xml:space="preserve">】元，标准按《招标代理服务收费标准》收取（见附件）。</w:t>
            </w:r>
            <w:r>
              <w:rPr>
                <w:rFonts w:hint="default" w:ascii="Times New Roman" w:hAnsi="Times New Roman" w:eastAsia="仿宋_GB2312" w:cs="Times New Roman"/>
                <w:sz w:val="24"/>
                <w:szCs w:val="24"/>
                <w:highlight w:val="none"/>
              </w:rPr>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二</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招标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(九)1</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bCs/>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(九)2</w:t>
            </w:r>
            <w:r/>
          </w:p>
        </w:tc>
        <w:tc>
          <w:tcPr>
            <w:tcW w:w="7220" w:type="dxa"/>
            <w:vAlign w:val="top"/>
            <w:textDirection w:val="lrTb"/>
            <w:noWrap w:val="false"/>
          </w:tcPr>
          <w:p>
            <w:pPr>
              <w:spacing w:line="400" w:lineRule="exact"/>
              <w:tabs>
                <w:tab w:val="left" w:pos="5760" w:leader="none"/>
              </w:tabs>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不安排现场考察。</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(九)3</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不安排开标前答疑会。</w:t>
            </w:r>
            <w:r/>
          </w:p>
        </w:tc>
      </w:tr>
      <w:tr>
        <w:trPr>
          <w:trHeight w:val="382"/>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三</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投标</w:t>
            </w:r>
            <w:r/>
          </w:p>
        </w:tc>
      </w:tr>
      <w:tr>
        <w:trPr>
          <w:trHeight w:val="510"/>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(十一)</w:t>
            </w:r>
            <w:r/>
          </w:p>
        </w:tc>
        <w:tc>
          <w:tcPr>
            <w:tcW w:w="7220" w:type="dxa"/>
            <w:vAlign w:val="top"/>
            <w:textDirection w:val="lrTb"/>
            <w:noWrap w:val="false"/>
          </w:tcPr>
          <w:p>
            <w:pPr>
              <w:spacing w:line="400" w:lineRule="exact"/>
              <w:tabs>
                <w:tab w:val="left" w:pos="5760" w:leader="none"/>
              </w:tabs>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投标文件的语言为中文</w:t>
            </w:r>
            <w:r/>
          </w:p>
        </w:tc>
      </w:tr>
      <w:tr>
        <w:trPr>
          <w:trHeight w:val="90"/>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(十二)1</w:t>
            </w:r>
            <w:r/>
          </w:p>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(十二)2</w:t>
            </w:r>
            <w:r/>
          </w:p>
        </w:tc>
        <w:tc>
          <w:tcPr>
            <w:tcW w:w="7220" w:type="dxa"/>
            <w:vAlign w:val="top"/>
            <w:textDirection w:val="lrTb"/>
            <w:noWrap w:val="false"/>
          </w:tcPr>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线上投标文件编制要求：</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请按照以下要求（包括但不限于以下要求）制作：</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一、基本目录</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1.《开标一览表》（加盖电子签章，政府采购客户端工具输入报价自动生成）；</w:t>
            </w:r>
            <w:r/>
          </w:p>
          <w:p>
            <w:pPr>
              <w:spacing w:line="400" w:lineRule="exact"/>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t xml:space="preserve">二、资格条件（1-</w:t>
            </w:r>
            <w:r>
              <w:rPr>
                <w:rFonts w:hint="eastAsia" w:eastAsia="仿宋_GB2312" w:cs="Times New Roman"/>
                <w:b/>
                <w:bCs/>
                <w:sz w:val="24"/>
                <w:szCs w:val="24"/>
                <w:highlight w:val="none"/>
                <w:lang w:val="en-US" w:eastAsia="zh-CN"/>
              </w:rPr>
              <w:t xml:space="preserve">7</w:t>
            </w:r>
            <w:r>
              <w:rPr>
                <w:rFonts w:hint="default" w:ascii="Times New Roman" w:hAnsi="Times New Roman" w:eastAsia="仿宋_GB2312" w:cs="Times New Roman"/>
                <w:b/>
                <w:bCs/>
                <w:sz w:val="24"/>
                <w:szCs w:val="24"/>
                <w:highlight w:val="none"/>
              </w:rPr>
              <w:t xml:space="preserve">必须提供，否则投标无效）</w:t>
            </w:r>
            <w:r/>
          </w:p>
          <w:p>
            <w:pPr>
              <w:spacing w:line="400" w:lineRule="exact"/>
              <w:widowControl/>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1.</w:t>
            </w:r>
            <w:bookmarkStart w:id="51" w:name="OLE_LINK3"/>
            <w:r/>
            <w:bookmarkStart w:id="52" w:name="OLE_LINK7"/>
            <w:r>
              <w:rPr>
                <w:rFonts w:hint="default" w:ascii="Times New Roman" w:hAnsi="Times New Roman" w:eastAsia="仿宋_GB2312" w:cs="Times New Roman"/>
                <w:bCs/>
                <w:sz w:val="24"/>
                <w:szCs w:val="24"/>
                <w:highlight w:val="none"/>
              </w:rPr>
              <w:t xml:space="preserve">投标人合法有效的营业执照</w:t>
            </w:r>
            <w:r>
              <w:rPr>
                <w:rFonts w:hint="default" w:ascii="Times New Roman" w:hAnsi="Times New Roman" w:eastAsia="仿宋_GB2312" w:cs="Times New Roman"/>
                <w:bCs/>
                <w:sz w:val="24"/>
                <w:szCs w:val="24"/>
                <w:highlight w:val="none"/>
                <w:lang w:val="en-US" w:eastAsia="zh-CN"/>
              </w:rPr>
              <w:t xml:space="preserve">及保险经营业务许可证</w:t>
            </w:r>
            <w:r>
              <w:rPr>
                <w:rFonts w:hint="default" w:ascii="Times New Roman" w:hAnsi="Times New Roman" w:eastAsia="仿宋_GB2312" w:cs="Times New Roman"/>
                <w:bCs/>
                <w:sz w:val="24"/>
                <w:szCs w:val="24"/>
                <w:highlight w:val="none"/>
              </w:rPr>
              <w:t xml:space="preserve">扫描件</w:t>
            </w:r>
            <w:bookmarkEnd w:id="51"/>
            <w:r>
              <w:rPr>
                <w:rFonts w:hint="default" w:ascii="Times New Roman" w:hAnsi="Times New Roman" w:eastAsia="仿宋_GB2312" w:cs="Times New Roman"/>
                <w:sz w:val="24"/>
                <w:szCs w:val="24"/>
                <w:highlight w:val="none"/>
                <w:lang w:eastAsia="zh-CN"/>
              </w:rPr>
              <w:t xml:space="preserve">；</w:t>
            </w:r>
            <w:bookmarkEnd w:id="52"/>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w:t>
            </w:r>
            <w:bookmarkStart w:id="53" w:name="OLE_LINK4"/>
            <w:r/>
            <w:bookmarkStart w:id="54" w:name="OLE_LINK8"/>
            <w:r>
              <w:rPr>
                <w:rFonts w:hint="default" w:ascii="Times New Roman" w:hAnsi="Times New Roman" w:eastAsia="仿宋_GB2312" w:cs="Times New Roman"/>
                <w:sz w:val="24"/>
                <w:szCs w:val="24"/>
                <w:highlight w:val="none"/>
              </w:rPr>
              <w:t xml:space="preserve">财务状况报告（即提供投标人的本项目开标时间前6个月内任何时间的资产负债表、利润表复印件各一份或提供投标人上年度财务报告或投标人的本项目开标时间前6个月内银行出具的资信证明复印件或提供财政部门认可的政府采购专业担保机构出具的投标担保函复印件）</w:t>
            </w:r>
            <w:bookmarkEnd w:id="53"/>
            <w:r>
              <w:rPr>
                <w:rFonts w:hint="default" w:ascii="Times New Roman" w:hAnsi="Times New Roman" w:eastAsia="仿宋_GB2312" w:cs="Times New Roman"/>
                <w:sz w:val="24"/>
                <w:szCs w:val="24"/>
                <w:highlight w:val="none"/>
              </w:rPr>
              <w:t xml:space="preserve">；</w:t>
            </w:r>
            <w:bookmarkEnd w:id="54"/>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3.投标人的本项目开标时间前6个月内任何1个月的依法缴纳税收和社会保障资金的相关材料复印件(依法免税或不需要缴纳社会保障资金的供应商，提供相应文件证明其依法免税或不需要缴纳社会保障资金)；</w:t>
            </w:r>
            <w:r/>
          </w:p>
          <w:p>
            <w:pPr>
              <w:spacing w:line="400" w:lineRule="exact"/>
              <w:widowControl/>
              <w:rPr>
                <w:rFonts w:hint="default" w:ascii="Times New Roman" w:hAnsi="Times New Roman" w:eastAsia="仿宋_GB2312" w:cs="Times New Roman"/>
                <w:b/>
                <w:bCs/>
                <w:sz w:val="24"/>
                <w:szCs w:val="24"/>
                <w:highlight w:val="none"/>
                <w:lang w:val="en-US" w:eastAsia="zh-CN"/>
              </w:rPr>
            </w:pPr>
            <w:r>
              <w:rPr>
                <w:rFonts w:hint="default" w:ascii="Times New Roman" w:hAnsi="Times New Roman" w:eastAsia="仿宋_GB2312" w:cs="Times New Roman"/>
                <w:sz w:val="24"/>
                <w:szCs w:val="24"/>
                <w:highlight w:val="none"/>
              </w:rPr>
              <w:t xml:space="preserve">4.</w:t>
            </w:r>
            <w:bookmarkStart w:id="55" w:name="OLE_LINK5"/>
            <w:r/>
            <w:bookmarkStart w:id="56" w:name="OLE_LINK10"/>
            <w:r>
              <w:rPr>
                <w:rFonts w:hint="default" w:ascii="Times New Roman" w:hAnsi="Times New Roman" w:eastAsia="仿宋_GB2312" w:cs="Times New Roman"/>
                <w:sz w:val="24"/>
                <w:szCs w:val="24"/>
                <w:highlight w:val="none"/>
              </w:rPr>
              <w:t xml:space="preserve">具备履行合同所必需的设备和专业技术能力的</w:t>
            </w:r>
            <w:bookmarkEnd w:id="55"/>
            <w:r/>
            <w:bookmarkEnd w:id="56"/>
            <w:r>
              <w:rPr>
                <w:rFonts w:hint="default" w:ascii="Times New Roman" w:hAnsi="Times New Roman" w:eastAsia="仿宋_GB2312" w:cs="Times New Roman"/>
                <w:sz w:val="24"/>
                <w:szCs w:val="24"/>
                <w:highlight w:val="none"/>
                <w:lang w:val="en-US" w:eastAsia="zh-CN"/>
              </w:rPr>
              <w:t xml:space="preserve">书面声明（加盖电子签章，格式见招标文件第七章《投标文件相关格式》）；</w:t>
            </w:r>
            <w:r/>
          </w:p>
          <w:p>
            <w:pPr>
              <w:spacing w:line="400" w:lineRule="exact"/>
              <w:widowControl/>
              <w:rPr>
                <w:rFonts w:hint="eastAsia"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5.</w:t>
            </w:r>
            <w:bookmarkStart w:id="57" w:name="OLE_LINK6"/>
            <w:r>
              <w:rPr>
                <w:rFonts w:hint="default" w:ascii="Times New Roman" w:hAnsi="Times New Roman" w:eastAsia="仿宋_GB2312" w:cs="Times New Roman"/>
                <w:sz w:val="24"/>
                <w:szCs w:val="24"/>
                <w:highlight w:val="none"/>
              </w:rPr>
              <w:t xml:space="preserve">参加政府采购活动前3年内在经营活动中没有重大违法记录的书面声明</w:t>
            </w:r>
            <w:bookmarkEnd w:id="57"/>
            <w:r>
              <w:rPr>
                <w:rFonts w:hint="default" w:ascii="Times New Roman" w:hAnsi="Times New Roman" w:eastAsia="仿宋_GB2312" w:cs="Times New Roman"/>
                <w:sz w:val="24"/>
                <w:szCs w:val="24"/>
                <w:highlight w:val="none"/>
                <w:lang w:val="en-US" w:eastAsia="zh-CN"/>
              </w:rPr>
              <w:t xml:space="preserve">（加盖电子签章，格式见招标文件第七章《投标文件相关格式》）</w:t>
            </w:r>
            <w:r>
              <w:rPr>
                <w:rFonts w:hint="eastAsia" w:eastAsia="仿宋_GB2312" w:cs="Times New Roman"/>
                <w:sz w:val="24"/>
                <w:szCs w:val="24"/>
                <w:highlight w:val="none"/>
                <w:lang w:eastAsia="zh-CN"/>
              </w:rPr>
              <w:t xml:space="preserve">；</w:t>
            </w:r>
            <w:r/>
          </w:p>
          <w:p>
            <w:pPr>
              <w:spacing w:line="400" w:lineRule="exact"/>
              <w:widowControl/>
              <w:rPr>
                <w:rFonts w:hint="default" w:ascii="Times New Roman" w:hAnsi="Times New Roman" w:eastAsia="仿宋_GB2312" w:cs="Times New Roman"/>
                <w:sz w:val="24"/>
                <w:szCs w:val="24"/>
                <w:highlight w:val="none"/>
                <w:lang w:val="en-US" w:eastAsia="zh-CN"/>
              </w:rPr>
            </w:pPr>
            <w:r>
              <w:rPr>
                <w:rFonts w:hint="default" w:ascii="Times New Roman" w:hAnsi="Times New Roman" w:eastAsia="仿宋_GB2312" w:cs="Times New Roman"/>
                <w:sz w:val="24"/>
                <w:szCs w:val="24"/>
                <w:highlight w:val="none"/>
                <w:lang w:val="en-US" w:eastAsia="zh-CN"/>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eastAsia="仿宋_GB2312" w:cs="Times New Roman"/>
                <w:sz w:val="24"/>
                <w:szCs w:val="24"/>
                <w:highlight w:val="none"/>
                <w:lang w:val="en-US" w:eastAsia="zh-CN"/>
              </w:rPr>
              <w:t xml:space="preserve">；</w:t>
            </w:r>
            <w:r/>
          </w:p>
          <w:p>
            <w:pPr>
              <w:spacing w:line="400" w:lineRule="exact"/>
              <w:widowControl/>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lang w:val="en-US" w:eastAsia="zh-CN"/>
              </w:rPr>
              <w:t xml:space="preserve">7.供应商不是为本采购项目提供整体设计、规范编制或者项目管理、监理、检测等服务的供应商</w:t>
            </w:r>
            <w:r>
              <w:rPr>
                <w:rFonts w:hint="eastAsia" w:eastAsia="仿宋_GB2312" w:cs="Times New Roman"/>
                <w:sz w:val="24"/>
                <w:szCs w:val="24"/>
                <w:highlight w:val="none"/>
                <w:lang w:val="en-US" w:eastAsia="zh-CN"/>
              </w:rPr>
              <w:t xml:space="preserve">；</w:t>
            </w:r>
            <w:r>
              <w:rPr>
                <w:rFonts w:hint="default" w:ascii="Times New Roman" w:hAnsi="Times New Roman" w:eastAsia="仿宋_GB2312" w:cs="Times New Roman"/>
                <w:sz w:val="24"/>
                <w:szCs w:val="24"/>
                <w:highlight w:val="none"/>
              </w:rPr>
              <w:t xml:space="preserve">投标人为</w:t>
            </w:r>
            <w:r>
              <w:rPr>
                <w:rFonts w:hint="default" w:ascii="Times New Roman" w:hAnsi="Times New Roman" w:eastAsia="仿宋_GB2312" w:cs="Times New Roman"/>
                <w:sz w:val="24"/>
                <w:szCs w:val="24"/>
                <w:highlight w:val="none"/>
                <w:lang w:val="en-US" w:eastAsia="zh-CN"/>
              </w:rPr>
              <w:t xml:space="preserve">非</w:t>
            </w:r>
            <w:r>
              <w:rPr>
                <w:rFonts w:hint="default" w:ascii="Times New Roman" w:hAnsi="Times New Roman" w:eastAsia="仿宋_GB2312" w:cs="Times New Roman"/>
                <w:sz w:val="24"/>
                <w:szCs w:val="24"/>
                <w:highlight w:val="none"/>
              </w:rPr>
              <w:t xml:space="preserve">联合体</w:t>
            </w:r>
            <w:r>
              <w:rPr>
                <w:rFonts w:hint="default" w:ascii="Times New Roman" w:hAnsi="Times New Roman" w:eastAsia="仿宋_GB2312" w:cs="Times New Roman"/>
                <w:sz w:val="24"/>
                <w:szCs w:val="24"/>
                <w:highlight w:val="none"/>
                <w:lang w:val="en-US" w:eastAsia="zh-CN"/>
              </w:rPr>
              <w:t xml:space="preserve">投标</w:t>
            </w:r>
            <w:r>
              <w:rPr>
                <w:rFonts w:hint="eastAsia" w:eastAsia="仿宋_GB2312" w:cs="Times New Roman"/>
                <w:sz w:val="24"/>
                <w:szCs w:val="24"/>
                <w:highlight w:val="none"/>
                <w:lang w:eastAsia="zh-CN"/>
              </w:rPr>
              <w:t xml:space="preserve">；</w:t>
            </w:r>
            <w:r>
              <w:rPr>
                <w:rFonts w:hint="eastAsia" w:eastAsia="仿宋_GB2312" w:cs="Times New Roman"/>
                <w:sz w:val="24"/>
                <w:szCs w:val="24"/>
                <w:highlight w:val="none"/>
                <w:lang w:val="en-US" w:eastAsia="zh-CN"/>
              </w:rPr>
              <w:t xml:space="preserve">提供</w:t>
            </w:r>
            <w:r>
              <w:rPr>
                <w:rFonts w:hint="default" w:ascii="Times New Roman" w:hAnsi="Times New Roman" w:eastAsia="仿宋_GB2312" w:cs="Times New Roman"/>
                <w:sz w:val="24"/>
                <w:szCs w:val="24"/>
                <w:highlight w:val="none"/>
                <w:lang w:val="en-US" w:eastAsia="zh-CN"/>
              </w:rPr>
              <w:t xml:space="preserve">书面声明</w:t>
            </w:r>
            <w:r>
              <w:rPr>
                <w:rFonts w:hint="eastAsia" w:eastAsia="仿宋_GB2312" w:cs="Times New Roman"/>
                <w:sz w:val="24"/>
                <w:szCs w:val="24"/>
                <w:highlight w:val="none"/>
                <w:lang w:val="en-US" w:eastAsia="zh-CN"/>
              </w:rPr>
              <w:t xml:space="preserve">；</w:t>
            </w:r>
            <w:r>
              <w:rPr>
                <w:rFonts w:hint="default" w:ascii="Times New Roman" w:hAnsi="Times New Roman" w:eastAsia="仿宋_GB2312" w:cs="Times New Roman"/>
                <w:sz w:val="24"/>
                <w:szCs w:val="24"/>
                <w:highlight w:val="none"/>
              </w:rPr>
              <w:t xml:space="preserve">（加盖电子签章，格式见招标文件第七章《投标文件相关格式》）</w:t>
            </w:r>
            <w:r>
              <w:rPr>
                <w:rFonts w:hint="eastAsia" w:eastAsia="仿宋_GB2312" w:cs="Times New Roman"/>
                <w:sz w:val="24"/>
                <w:szCs w:val="24"/>
                <w:highlight w:val="none"/>
                <w:lang w:eastAsia="zh-CN"/>
              </w:rPr>
              <w:t xml:space="preserve">；</w:t>
            </w:r>
            <w:r/>
          </w:p>
          <w:p>
            <w:pPr>
              <w:spacing w:line="400" w:lineRule="exact"/>
              <w:widowControl/>
              <w:rPr>
                <w:rFonts w:hint="default" w:ascii="Times New Roman" w:hAnsi="Times New Roman" w:eastAsia="仿宋_GB2312" w:cs="Times New Roman"/>
                <w:sz w:val="24"/>
                <w:szCs w:val="24"/>
                <w:highlight w:val="none"/>
              </w:rPr>
            </w:pPr>
            <w:r>
              <w:rPr>
                <w:rFonts w:hint="eastAsia" w:eastAsia="仿宋_GB2312" w:cs="Times New Roman"/>
                <w:sz w:val="24"/>
                <w:szCs w:val="24"/>
                <w:highlight w:val="none"/>
                <w:lang w:val="en-US" w:eastAsia="zh-CN"/>
              </w:rPr>
              <w:t xml:space="preserve">8</w:t>
            </w:r>
            <w:r>
              <w:rPr>
                <w:rFonts w:hint="default" w:ascii="Times New Roman" w:hAnsi="Times New Roman" w:eastAsia="仿宋_GB2312" w:cs="Times New Roman"/>
                <w:sz w:val="24"/>
                <w:szCs w:val="24"/>
                <w:highlight w:val="none"/>
                <w:lang w:val="en-US" w:eastAsia="zh-CN"/>
              </w:rPr>
              <w:t xml:space="preserve">.</w:t>
            </w:r>
            <w:r>
              <w:rPr>
                <w:rFonts w:hint="default" w:ascii="Times New Roman" w:hAnsi="Times New Roman" w:eastAsia="仿宋_GB2312" w:cs="Times New Roman"/>
                <w:sz w:val="24"/>
                <w:szCs w:val="24"/>
                <w:highlight w:val="none"/>
              </w:rPr>
              <w:t xml:space="preserve">投标人信用信息（要求见本章条款项号“(六)”中“四、”内容）。</w:t>
            </w:r>
            <w:r/>
          </w:p>
          <w:p>
            <w:pPr>
              <w:pStyle w:val="1232"/>
              <w:rPr>
                <w:rFonts w:hint="default" w:ascii="Times New Roman" w:hAnsi="Times New Roman" w:eastAsia="仿宋_GB2312" w:cs="Times New Roman"/>
                <w:sz w:val="20"/>
                <w:szCs w:val="22"/>
                <w:highlight w:val="none"/>
              </w:rPr>
            </w:pPr>
            <w:r>
              <w:rPr>
                <w:rFonts w:hint="default" w:ascii="Times New Roman" w:hAnsi="Times New Roman" w:eastAsia="仿宋_GB2312" w:cs="Times New Roman"/>
                <w:sz w:val="20"/>
                <w:szCs w:val="22"/>
                <w:highlight w:val="none"/>
              </w:rPr>
            </w:r>
            <w:r/>
          </w:p>
          <w:p>
            <w:pPr>
              <w:spacing w:line="400" w:lineRule="exact"/>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t xml:space="preserve">三、符合条件（必须提供，否则投标无效）</w:t>
            </w:r>
            <w:r/>
          </w:p>
          <w:p>
            <w:pPr>
              <w:spacing w:line="400" w:lineRule="exact"/>
              <w:widowControl/>
              <w:rPr>
                <w:rFonts w:hint="default" w:ascii="Times New Roman" w:hAnsi="Times New Roman" w:eastAsia="仿宋_GB2312" w:cs="Times New Roman"/>
                <w:sz w:val="24"/>
                <w:szCs w:val="24"/>
                <w:highlight w:val="none"/>
              </w:rPr>
            </w:pPr>
            <w:r>
              <w:rPr>
                <w:rFonts w:hint="eastAsia" w:eastAsia="仿宋_GB2312" w:cs="Times New Roman"/>
                <w:sz w:val="24"/>
                <w:szCs w:val="24"/>
                <w:highlight w:val="none"/>
                <w:lang w:eastAsia="zh-CN"/>
              </w:rPr>
              <w:t xml:space="preserve">（</w:t>
            </w:r>
            <w:r>
              <w:rPr>
                <w:rFonts w:hint="eastAsia" w:eastAsia="仿宋_GB2312" w:cs="Times New Roman"/>
                <w:sz w:val="24"/>
                <w:szCs w:val="24"/>
                <w:highlight w:val="none"/>
                <w:lang w:val="en-US" w:eastAsia="zh-CN"/>
              </w:rPr>
              <w:t xml:space="preserve">一</w:t>
            </w:r>
            <w:r>
              <w:rPr>
                <w:rFonts w:hint="eastAsia" w:eastAsia="仿宋_GB2312" w:cs="Times New Roman"/>
                <w:sz w:val="24"/>
                <w:szCs w:val="24"/>
                <w:highlight w:val="none"/>
                <w:lang w:eastAsia="zh-CN"/>
              </w:rPr>
              <w:t xml:space="preserve">）</w:t>
            </w:r>
            <w:r>
              <w:rPr>
                <w:rFonts w:hint="default" w:ascii="Times New Roman" w:hAnsi="Times New Roman" w:eastAsia="仿宋_GB2312" w:cs="Times New Roman"/>
                <w:sz w:val="24"/>
                <w:szCs w:val="24"/>
                <w:highlight w:val="none"/>
              </w:rPr>
              <w:t xml:space="preserve">报价</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《分项价格表》（加盖电子签章，格式见招标文件第七章《投标文件相关格式》。）；</w:t>
            </w:r>
            <w:r/>
          </w:p>
          <w:p>
            <w:pPr>
              <w:spacing w:line="400" w:lineRule="exact"/>
              <w:widowControl/>
              <w:rPr>
                <w:rFonts w:hint="default" w:ascii="Times New Roman" w:hAnsi="Times New Roman" w:eastAsia="仿宋_GB2312" w:cs="Times New Roman"/>
                <w:sz w:val="24"/>
                <w:szCs w:val="24"/>
                <w:highlight w:val="none"/>
              </w:rPr>
            </w:pPr>
            <w:r>
              <w:rPr>
                <w:rFonts w:hint="eastAsia" w:eastAsia="仿宋_GB2312" w:cs="Times New Roman"/>
                <w:sz w:val="24"/>
                <w:szCs w:val="24"/>
                <w:highlight w:val="none"/>
                <w:lang w:eastAsia="zh-CN"/>
              </w:rPr>
              <w:t xml:space="preserve">（</w:t>
            </w:r>
            <w:r>
              <w:rPr>
                <w:rFonts w:hint="eastAsia" w:eastAsia="仿宋_GB2312" w:cs="Times New Roman"/>
                <w:sz w:val="24"/>
                <w:szCs w:val="24"/>
                <w:highlight w:val="none"/>
                <w:lang w:val="en-US" w:eastAsia="zh-CN"/>
              </w:rPr>
              <w:t xml:space="preserve">二</w:t>
            </w:r>
            <w:r>
              <w:rPr>
                <w:rFonts w:hint="eastAsia" w:eastAsia="仿宋_GB2312" w:cs="Times New Roman"/>
                <w:sz w:val="24"/>
                <w:szCs w:val="24"/>
                <w:highlight w:val="none"/>
                <w:lang w:eastAsia="zh-CN"/>
              </w:rPr>
              <w:t xml:space="preserve">）</w:t>
            </w:r>
            <w:r>
              <w:rPr>
                <w:rFonts w:hint="default" w:ascii="Times New Roman" w:hAnsi="Times New Roman" w:eastAsia="仿宋_GB2312" w:cs="Times New Roman"/>
                <w:sz w:val="24"/>
                <w:szCs w:val="24"/>
                <w:highlight w:val="none"/>
              </w:rPr>
              <w:t xml:space="preserve">商务资信</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1.</w:t>
            </w:r>
            <w:r>
              <w:rPr>
                <w:rFonts w:hint="default" w:ascii="Times New Roman" w:hAnsi="Times New Roman" w:eastAsia="仿宋_GB2312" w:cs="Times New Roman"/>
                <w:sz w:val="24"/>
                <w:szCs w:val="24"/>
                <w:highlight w:val="none"/>
              </w:rPr>
              <w:t xml:space="preserve">《投标函》（加盖电子签章，格式见招标文件第七章《投标文件相关格式》）；</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w:t>
            </w:r>
            <w:r>
              <w:rPr>
                <w:rFonts w:hint="default" w:ascii="Times New Roman" w:hAnsi="Times New Roman" w:eastAsia="仿宋_GB2312" w:cs="Times New Roman"/>
                <w:sz w:val="24"/>
                <w:szCs w:val="24"/>
                <w:highlight w:val="none"/>
                <w:lang w:eastAsia="zh-CN"/>
              </w:rPr>
              <w:t xml:space="preserve">法定代表人/负责人</w:t>
            </w:r>
            <w:r>
              <w:rPr>
                <w:rFonts w:hint="default" w:ascii="Times New Roman" w:hAnsi="Times New Roman" w:eastAsia="仿宋_GB2312" w:cs="Times New Roman"/>
                <w:sz w:val="24"/>
                <w:szCs w:val="24"/>
                <w:highlight w:val="none"/>
              </w:rPr>
              <w:t xml:space="preserve">授权书》（提供原件的扫描件，格式见招标文件第七章《投标文件相关格式》）；</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（三）技术响应</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《偏离表》（加盖电子签章，格式见招标文件第七章《投标文件相关格式》）。</w:t>
            </w:r>
            <w:r/>
          </w:p>
          <w:p>
            <w:pPr>
              <w:spacing w:line="400" w:lineRule="exact"/>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t xml:space="preserve">四、综合评审评分项</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（一）技术部分</w:t>
            </w:r>
            <w:r/>
          </w:p>
          <w:p>
            <w:pPr>
              <w:pStyle w:val="1222"/>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1</w:t>
            </w:r>
            <w:r>
              <w:rPr>
                <w:rFonts w:hint="default" w:ascii="Times New Roman" w:hAnsi="Times New Roman" w:eastAsia="仿宋_GB2312" w:cs="Times New Roman"/>
                <w:sz w:val="24"/>
                <w:szCs w:val="24"/>
                <w:highlight w:val="none"/>
                <w:lang w:val="en-US" w:eastAsia="zh-CN" w:bidi="ar-SA"/>
              </w:rPr>
              <w:t xml:space="preserve">.条款（要求见招标文件第四章《评标标准》和第六章《采购需求》，格式见招标文件第七章《投标文件相关格式》的《偏离表》）。</w:t>
            </w:r>
            <w:r/>
          </w:p>
          <w:p>
            <w:pPr>
              <w:pStyle w:val="1222"/>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2</w:t>
            </w:r>
            <w:r>
              <w:rPr>
                <w:rFonts w:hint="default" w:ascii="Times New Roman" w:hAnsi="Times New Roman" w:eastAsia="仿宋_GB2312" w:cs="Times New Roman"/>
                <w:sz w:val="24"/>
                <w:szCs w:val="24"/>
                <w:highlight w:val="none"/>
                <w:lang w:val="en-US" w:eastAsia="zh-CN" w:bidi="ar-SA"/>
              </w:rPr>
              <w:t xml:space="preserve">.特别约定（要求见招标文件第四章《评标标准》和第六章《采购需求》）</w:t>
            </w:r>
            <w:r>
              <w:rPr>
                <w:rFonts w:hint="eastAsia" w:ascii="Times New Roman" w:hAnsi="Times New Roman" w:eastAsia="仿宋_GB2312" w:cs="Times New Roman"/>
                <w:sz w:val="24"/>
                <w:szCs w:val="24"/>
                <w:highlight w:val="none"/>
                <w:lang w:val="en-US" w:eastAsia="zh-CN" w:bidi="ar-SA"/>
              </w:rPr>
              <w:t xml:space="preserve">，</w:t>
            </w:r>
            <w:r>
              <w:rPr>
                <w:rFonts w:hint="default" w:ascii="Times New Roman" w:hAnsi="Times New Roman" w:eastAsia="仿宋_GB2312" w:cs="Times New Roman"/>
                <w:sz w:val="24"/>
                <w:szCs w:val="24"/>
                <w:highlight w:val="none"/>
                <w:lang w:val="en-US" w:eastAsia="zh-CN" w:bidi="ar-SA"/>
              </w:rPr>
              <w:t xml:space="preserve">格式见招标文件第七章《投标文件相关格式》的《偏离表》）。</w:t>
            </w:r>
            <w:r/>
          </w:p>
          <w:p>
            <w:pPr>
              <w:pStyle w:val="1222"/>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3</w:t>
            </w:r>
            <w:r>
              <w:rPr>
                <w:rFonts w:hint="default" w:ascii="Times New Roman" w:hAnsi="Times New Roman" w:eastAsia="仿宋_GB2312" w:cs="Times New Roman"/>
                <w:sz w:val="24"/>
                <w:szCs w:val="24"/>
                <w:highlight w:val="none"/>
                <w:lang w:val="en-US" w:eastAsia="zh-CN" w:bidi="ar-SA"/>
              </w:rPr>
              <w:t xml:space="preserve">.承保服务方案（要求见招标文件第四章《评标标准》和第六章《采购需求》）。</w:t>
            </w:r>
            <w:r/>
          </w:p>
          <w:p>
            <w:pPr>
              <w:pStyle w:val="1222"/>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4</w:t>
            </w:r>
            <w:r>
              <w:rPr>
                <w:rFonts w:hint="default" w:ascii="Times New Roman" w:hAnsi="Times New Roman" w:eastAsia="仿宋_GB2312" w:cs="Times New Roman"/>
                <w:sz w:val="24"/>
                <w:szCs w:val="24"/>
                <w:highlight w:val="none"/>
                <w:lang w:val="en-US" w:eastAsia="zh-CN" w:bidi="ar-SA"/>
              </w:rPr>
              <w:t xml:space="preserve">.理赔服务方案（要求见招标文件第四章《评标标准》和第六章《采购需求》）。</w:t>
            </w:r>
            <w:r/>
          </w:p>
          <w:p>
            <w:pPr>
              <w:pStyle w:val="1222"/>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5</w:t>
            </w:r>
            <w:r>
              <w:rPr>
                <w:rFonts w:hint="default" w:ascii="Times New Roman" w:hAnsi="Times New Roman" w:eastAsia="仿宋_GB2312" w:cs="Times New Roman"/>
                <w:sz w:val="24"/>
                <w:szCs w:val="24"/>
                <w:highlight w:val="none"/>
                <w:lang w:val="en-US" w:eastAsia="zh-CN" w:bidi="ar-SA"/>
              </w:rPr>
              <w:t xml:space="preserve">.宣传培训服务方案（要求见招标文件第四章《评标标准》）。</w:t>
            </w:r>
            <w:r/>
          </w:p>
          <w:p>
            <w:pPr>
              <w:pStyle w:val="1222"/>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6</w:t>
            </w:r>
            <w:r>
              <w:rPr>
                <w:rFonts w:hint="default" w:ascii="Times New Roman" w:hAnsi="Times New Roman" w:eastAsia="仿宋_GB2312" w:cs="Times New Roman"/>
                <w:sz w:val="24"/>
                <w:szCs w:val="24"/>
                <w:highlight w:val="none"/>
                <w:lang w:val="en-US" w:eastAsia="zh-CN" w:bidi="ar-SA"/>
              </w:rPr>
              <w:t xml:space="preserve">.优惠服务方案（要求见招标文件第四章《评标标准》）。</w:t>
            </w:r>
            <w:r/>
          </w:p>
          <w:p>
            <w:pPr>
              <w:pStyle w:val="1222"/>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7</w:t>
            </w:r>
            <w:r>
              <w:rPr>
                <w:rFonts w:hint="default" w:ascii="Times New Roman" w:hAnsi="Times New Roman" w:eastAsia="仿宋_GB2312" w:cs="Times New Roman"/>
                <w:sz w:val="24"/>
                <w:szCs w:val="24"/>
                <w:highlight w:val="none"/>
                <w:lang w:val="en-US" w:eastAsia="zh-CN" w:bidi="ar-SA"/>
              </w:rPr>
              <w:t xml:space="preserve">.业务制度（要求见招标文件第四章《评标标准》）。</w:t>
            </w:r>
            <w:r/>
          </w:p>
          <w:p>
            <w:pPr>
              <w:pStyle w:val="1234"/>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（二）商务部分</w:t>
            </w:r>
            <w:r/>
          </w:p>
          <w:p>
            <w:pPr>
              <w:pStyle w:val="1222"/>
              <w:ind w:left="0"/>
              <w:rPr>
                <w:rFonts w:hint="default" w:ascii="Times New Roman" w:hAnsi="Times New Roman" w:eastAsia="仿宋_GB2312" w:cs="Times New Roman"/>
                <w:sz w:val="24"/>
                <w:szCs w:val="24"/>
                <w:highlight w:val="none"/>
                <w:lang w:val="en-US" w:eastAsia="zh-CN" w:bidi="ar-SA"/>
              </w:rPr>
            </w:pPr>
            <w:r>
              <w:rPr>
                <w:rFonts w:hint="default" w:ascii="Times New Roman" w:hAnsi="Times New Roman" w:eastAsia="仿宋_GB2312" w:cs="Times New Roman"/>
                <w:sz w:val="24"/>
                <w:szCs w:val="24"/>
                <w:highlight w:val="none"/>
                <w:lang w:val="en-US" w:eastAsia="zh-CN" w:bidi="ar-SA"/>
              </w:rPr>
              <w:t xml:space="preserve">1.重大疾病住院医疗定额补贴（《分项价格表》加盖电子签章，格式见招标文件第七章《投标文件相关格式》，以便评委打分使用）；</w:t>
            </w:r>
            <w:r/>
          </w:p>
          <w:p>
            <w:pPr>
              <w:pStyle w:val="1222"/>
              <w:ind w:left="0"/>
              <w:rPr>
                <w:rFonts w:hint="eastAsia"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2.风险评级</w:t>
            </w:r>
            <w:r>
              <w:rPr>
                <w:rFonts w:hint="default" w:ascii="Times New Roman" w:hAnsi="Times New Roman" w:eastAsia="仿宋_GB2312" w:cs="Times New Roman"/>
                <w:sz w:val="24"/>
                <w:szCs w:val="24"/>
                <w:highlight w:val="none"/>
                <w:lang w:val="en-US" w:eastAsia="zh-CN" w:bidi="ar-SA"/>
              </w:rPr>
              <w:t xml:space="preserve">（要求见招标文件第四章《评标标准》）</w:t>
            </w:r>
            <w:r>
              <w:rPr>
                <w:rFonts w:hint="eastAsia" w:ascii="Times New Roman" w:hAnsi="Times New Roman" w:eastAsia="仿宋_GB2312" w:cs="Times New Roman"/>
                <w:sz w:val="24"/>
                <w:szCs w:val="24"/>
                <w:highlight w:val="none"/>
                <w:lang w:val="en-US" w:eastAsia="zh-CN" w:bidi="ar-SA"/>
              </w:rPr>
              <w:t xml:space="preserve">；</w:t>
            </w:r>
            <w:r/>
          </w:p>
          <w:p>
            <w:pPr>
              <w:pStyle w:val="1222"/>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3.类似项目业绩</w:t>
            </w:r>
            <w:r>
              <w:rPr>
                <w:rFonts w:hint="default" w:ascii="Times New Roman" w:hAnsi="Times New Roman" w:eastAsia="仿宋_GB2312" w:cs="Times New Roman"/>
                <w:sz w:val="24"/>
                <w:szCs w:val="24"/>
                <w:highlight w:val="none"/>
                <w:lang w:val="en-US" w:eastAsia="zh-CN" w:bidi="ar-SA"/>
              </w:rPr>
              <w:t xml:space="preserve">（要求见招标文件第四章《评标标准》）</w:t>
            </w:r>
            <w:r>
              <w:rPr>
                <w:rFonts w:hint="eastAsia" w:ascii="Times New Roman" w:hAnsi="Times New Roman" w:eastAsia="仿宋_GB2312" w:cs="Times New Roman"/>
                <w:sz w:val="24"/>
                <w:szCs w:val="24"/>
                <w:highlight w:val="none"/>
                <w:lang w:val="en-US" w:eastAsia="zh-CN" w:bidi="ar-SA"/>
              </w:rPr>
              <w:t xml:space="preserve">；</w:t>
            </w:r>
            <w:r/>
          </w:p>
          <w:p>
            <w:pPr>
              <w:pStyle w:val="1222"/>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4</w:t>
            </w:r>
            <w:r>
              <w:rPr>
                <w:rFonts w:hint="default" w:ascii="Times New Roman" w:hAnsi="Times New Roman" w:eastAsia="仿宋_GB2312" w:cs="Times New Roman"/>
                <w:sz w:val="24"/>
                <w:szCs w:val="24"/>
                <w:highlight w:val="none"/>
                <w:lang w:val="en-US" w:eastAsia="zh-CN" w:bidi="ar-SA"/>
              </w:rPr>
              <w:t xml:space="preserve">.服务专员（要求见招标文件第四章《评标标准》）。</w:t>
            </w:r>
            <w:r/>
          </w:p>
          <w:p>
            <w:pPr>
              <w:spacing w:line="400" w:lineRule="exact"/>
              <w:widowControl/>
              <w:rPr>
                <w:rFonts w:hint="default" w:ascii="Times New Roman" w:hAnsi="Times New Roman" w:eastAsia="仿宋_GB2312" w:cs="Times New Roman"/>
                <w:b/>
                <w:bCs/>
                <w:sz w:val="24"/>
                <w:szCs w:val="24"/>
                <w:highlight w:val="none"/>
                <w:lang w:eastAsia="zh-CN"/>
              </w:rPr>
            </w:pPr>
            <w:r>
              <w:rPr>
                <w:rFonts w:hint="default" w:ascii="Times New Roman" w:hAnsi="Times New Roman" w:eastAsia="仿宋_GB2312" w:cs="Times New Roman"/>
                <w:b/>
                <w:bCs/>
                <w:sz w:val="24"/>
                <w:szCs w:val="24"/>
                <w:highlight w:val="none"/>
              </w:rPr>
              <w:t xml:space="preserve">五、价格折扣文件格式</w:t>
            </w:r>
            <w:r>
              <w:rPr>
                <w:rFonts w:hint="default" w:ascii="Times New Roman" w:hAnsi="Times New Roman" w:eastAsia="仿宋_GB2312" w:cs="Times New Roman"/>
                <w:b/>
                <w:bCs/>
                <w:sz w:val="24"/>
                <w:szCs w:val="24"/>
                <w:highlight w:val="none"/>
                <w:lang w:eastAsia="zh-CN"/>
              </w:rPr>
              <w:t xml:space="preserve">（</w:t>
            </w:r>
            <w:r>
              <w:rPr>
                <w:rFonts w:hint="default" w:ascii="Times New Roman" w:hAnsi="Times New Roman" w:eastAsia="仿宋_GB2312" w:cs="Times New Roman"/>
                <w:b/>
                <w:bCs/>
                <w:sz w:val="24"/>
                <w:szCs w:val="24"/>
                <w:highlight w:val="none"/>
                <w:lang w:val="en-US" w:eastAsia="zh-CN"/>
              </w:rPr>
              <w:t xml:space="preserve">不符合可不提供</w:t>
            </w:r>
            <w:r>
              <w:rPr>
                <w:rFonts w:hint="default" w:ascii="Times New Roman" w:hAnsi="Times New Roman" w:eastAsia="仿宋_GB2312" w:cs="Times New Roman"/>
                <w:b/>
                <w:bCs/>
                <w:sz w:val="24"/>
                <w:szCs w:val="24"/>
                <w:highlight w:val="none"/>
                <w:lang w:eastAsia="zh-CN"/>
              </w:rPr>
              <w:t xml:space="preserve">）</w:t>
            </w:r>
            <w:r/>
          </w:p>
          <w:p>
            <w:pPr>
              <w:spacing w:line="400" w:lineRule="exact"/>
              <w:widowControl/>
              <w:rPr>
                <w:rFonts w:hint="default" w:ascii="Times New Roman" w:hAnsi="Times New Roman" w:eastAsia="仿宋_GB2312" w:cs="Times New Roman"/>
                <w:sz w:val="24"/>
                <w:szCs w:val="24"/>
                <w:highlight w:val="none"/>
                <w:lang w:val="en-US" w:eastAsia="zh-CN"/>
              </w:rPr>
            </w:pPr>
            <w:r>
              <w:rPr>
                <w:rFonts w:hint="default" w:ascii="Times New Roman" w:hAnsi="Times New Roman" w:eastAsia="仿宋_GB2312" w:cs="Times New Roman"/>
                <w:sz w:val="24"/>
                <w:szCs w:val="24"/>
                <w:highlight w:val="none"/>
                <w:lang w:val="en-US" w:eastAsia="zh-CN"/>
              </w:rPr>
              <w:t xml:space="preserve">（一）企业报价折扣证明</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1</w:t>
            </w:r>
            <w:r>
              <w:rPr>
                <w:rFonts w:hint="default" w:ascii="Times New Roman" w:hAnsi="Times New Roman" w:eastAsia="仿宋_GB2312" w:cs="Times New Roman"/>
                <w:sz w:val="24"/>
                <w:szCs w:val="24"/>
                <w:highlight w:val="none"/>
              </w:rPr>
              <w:t xml:space="preserve">.投标人提供的服务全部由符合政策要求的中小企业承接的，</w:t>
            </w:r>
            <w:r>
              <w:rPr>
                <w:rFonts w:hint="default" w:ascii="Times New Roman" w:hAnsi="Times New Roman" w:eastAsia="仿宋_GB2312" w:cs="Times New Roman"/>
                <w:color w:val="000000"/>
                <w:sz w:val="24"/>
                <w:szCs w:val="24"/>
                <w:highlight w:val="none"/>
              </w:rPr>
              <w:t xml:space="preserve">提供《中小企业声明函》</w:t>
            </w:r>
            <w:r>
              <w:rPr>
                <w:rFonts w:hint="default" w:ascii="Times New Roman" w:hAnsi="Times New Roman" w:eastAsia="仿宋_GB2312" w:cs="Times New Roman"/>
                <w:color w:val="000000"/>
                <w:sz w:val="24"/>
                <w:szCs w:val="22"/>
                <w:highlight w:val="none"/>
              </w:rPr>
              <w:t xml:space="preserve">（加盖电子签章，填写完整。格式见招标文件第七章《投标文件相关格式》）。</w:t>
            </w:r>
            <w:r>
              <w:rPr>
                <w:rFonts w:hint="default" w:ascii="Times New Roman" w:hAnsi="Times New Roman" w:eastAsia="仿宋_GB2312" w:cs="Times New Roman"/>
                <w:b/>
                <w:color w:val="000000"/>
                <w:sz w:val="24"/>
                <w:szCs w:val="22"/>
                <w:highlight w:val="none"/>
              </w:rPr>
              <w:t xml:space="preserve">《中小企业声明函》查询渠道参考工业和信息化部发布的中小企业规模</w:t>
            </w:r>
            <w:r>
              <w:rPr>
                <w:rFonts w:hint="default" w:ascii="Times New Roman" w:hAnsi="Times New Roman" w:eastAsia="仿宋_GB2312" w:cs="Times New Roman"/>
                <w:b/>
                <w:color w:val="000000"/>
                <w:sz w:val="24"/>
                <w:szCs w:val="22"/>
                <w:highlight w:val="none"/>
                <w:lang w:val="en-US" w:eastAsia="zh-CN"/>
              </w:rPr>
              <w:t xml:space="preserve">类型</w:t>
            </w:r>
            <w:r>
              <w:rPr>
                <w:rFonts w:hint="default" w:ascii="Times New Roman" w:hAnsi="Times New Roman" w:eastAsia="仿宋_GB2312" w:cs="Times New Roman"/>
                <w:b/>
                <w:color w:val="000000"/>
                <w:sz w:val="24"/>
                <w:szCs w:val="22"/>
                <w:highlight w:val="none"/>
              </w:rPr>
              <w:t xml:space="preserve">自测小程序。</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注：监狱企业和残疾人福利性单位等同于小微企业。</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具体以《财政部 司法部关于政府采购支持监狱企业发展有关问题的通知》（财库〔2014〕68号）的规定为准。</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享受政府采购支持政策的残疾人福利性单位应当同时满足以下条件：</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①安置的残疾人占本单位在职职工人数的比例不低于25%（含25%），并且安置的残疾人人数不少于10人（含10人）；</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②依法与安置的每位残疾人签订了一年以上（含一年）的劳动合同或服务协议；</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③为安置的每位残疾人按月足额缴纳了基本养老保险、基本医疗保险、失业保险、工伤保险和生育保险等社会保险费；</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具体以《三部门联合发布关于促进残疾人就业政府采购政策的通知》（财库〔2017〕141号）规定为准。</w:t>
            </w:r>
            <w:r/>
          </w:p>
          <w:p>
            <w:pPr>
              <w:ind w:firstLine="135"/>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b/>
                <w:bCs/>
                <w:sz w:val="24"/>
                <w:szCs w:val="24"/>
                <w:highlight w:val="none"/>
              </w:rPr>
              <w:t xml:space="preserve">注</w:t>
            </w:r>
            <w:r>
              <w:rPr>
                <w:rFonts w:hint="default" w:ascii="Times New Roman" w:hAnsi="Times New Roman" w:eastAsia="仿宋_GB2312" w:cs="Times New Roman"/>
                <w:bCs/>
                <w:sz w:val="24"/>
                <w:szCs w:val="24"/>
                <w:highlight w:val="none"/>
              </w:rPr>
              <w:t xml:space="preserve">：</w:t>
            </w:r>
            <w:r/>
          </w:p>
          <w:p>
            <w:pPr>
              <w:ind w:firstLine="551"/>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bCs/>
                <w:sz w:val="24"/>
                <w:szCs w:val="24"/>
                <w:highlight w:val="none"/>
              </w:rPr>
              <w:t xml:space="preserve">1.投标人应对以上文件的合法性、真实性负责。</w:t>
            </w:r>
            <w:r/>
          </w:p>
          <w:p>
            <w:pPr>
              <w:ind w:left="832" w:hanging="280"/>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(十三)2</w:t>
            </w:r>
            <w:r/>
          </w:p>
        </w:tc>
        <w:tc>
          <w:tcPr>
            <w:tcW w:w="7220" w:type="dxa"/>
            <w:vAlign w:val="top"/>
            <w:textDirection w:val="lrTb"/>
            <w:noWrap w:val="false"/>
          </w:tcPr>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商务条件见：</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一、本文件第四章《评标标准》中《评分细则》。</w:t>
            </w:r>
            <w:r/>
          </w:p>
          <w:p>
            <w:pPr>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sz w:val="24"/>
                <w:szCs w:val="24"/>
                <w:highlight w:val="none"/>
              </w:rPr>
              <w:t xml:space="preserve">二、本文件第三章《投标资料</w:t>
            </w:r>
            <w:r>
              <w:rPr>
                <w:rFonts w:hint="default" w:ascii="Times New Roman" w:hAnsi="Times New Roman" w:eastAsia="仿宋_GB2312" w:cs="Times New Roman"/>
                <w:sz w:val="24"/>
                <w:szCs w:val="24"/>
                <w:highlight w:val="none"/>
              </w:rPr>
              <w:t xml:space="preserve">表》中(十二)1和(十二)2。</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(十三)3</w:t>
            </w:r>
            <w:r/>
          </w:p>
        </w:tc>
        <w:tc>
          <w:tcPr>
            <w:tcW w:w="7220" w:type="dxa"/>
            <w:vAlign w:val="top"/>
            <w:textDirection w:val="lrTb"/>
            <w:noWrap w:val="false"/>
          </w:tcPr>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交货和提供服务的时间：见本文件第五章《拟签订的合同文本》及或本文件第六章《采购需求》。</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(十四)3</w:t>
            </w:r>
            <w:r/>
          </w:p>
        </w:tc>
        <w:tc>
          <w:tcPr>
            <w:tcW w:w="7220" w:type="dxa"/>
            <w:vAlign w:val="top"/>
            <w:textDirection w:val="lrTb"/>
            <w:noWrap w:val="false"/>
          </w:tcPr>
          <w:p>
            <w:pPr>
              <w:keepLines w:val="0"/>
              <w:keepNext w:val="0"/>
              <w:pageBreakBefore w:val="0"/>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bCs/>
                <w:sz w:val="24"/>
                <w:szCs w:val="24"/>
                <w:highlight w:val="none"/>
              </w:rPr>
              <w:t xml:space="preserve">本项目采购预算金额:</w:t>
            </w:r>
            <w:r>
              <w:rPr>
                <w:rFonts w:hint="default" w:ascii="Times New Roman" w:hAnsi="Times New Roman" w:eastAsia="仿宋_GB2312" w:cs="Times New Roman"/>
                <w:bCs/>
                <w:sz w:val="24"/>
                <w:szCs w:val="24"/>
                <w:highlight w:val="none"/>
                <w:lang w:val="en-US" w:eastAsia="zh-CN"/>
              </w:rPr>
              <w:t xml:space="preserve">169.2</w:t>
            </w:r>
            <w:r>
              <w:rPr>
                <w:rFonts w:hint="default" w:ascii="Times New Roman" w:hAnsi="Times New Roman" w:eastAsia="仿宋_GB2312" w:cs="Times New Roman"/>
                <w:bCs/>
                <w:sz w:val="24"/>
                <w:szCs w:val="24"/>
                <w:highlight w:val="none"/>
              </w:rPr>
              <w:t xml:space="preserve">万元，本项目不接受超过</w:t>
            </w:r>
            <w:r>
              <w:rPr>
                <w:rFonts w:hint="default" w:ascii="Times New Roman" w:hAnsi="Times New Roman" w:eastAsia="仿宋_GB2312" w:cs="Times New Roman"/>
                <w:bCs/>
                <w:sz w:val="24"/>
                <w:szCs w:val="24"/>
                <w:highlight w:val="none"/>
                <w:lang w:val="en-US" w:eastAsia="zh-CN"/>
              </w:rPr>
              <w:t xml:space="preserve">169.2</w:t>
            </w:r>
            <w:r>
              <w:rPr>
                <w:rFonts w:hint="default" w:ascii="Times New Roman" w:hAnsi="Times New Roman" w:eastAsia="仿宋_GB2312" w:cs="Times New Roman"/>
                <w:bCs/>
                <w:sz w:val="24"/>
                <w:szCs w:val="24"/>
                <w:highlight w:val="none"/>
              </w:rPr>
              <w:t xml:space="preserve">万元人民币（采购项目预算金额）的投标报价。报价包括产品价、税金、运费、安装调试、检验、保险、培训、验收、投标人的利润、招标代理费</w:t>
            </w:r>
            <w:r>
              <w:rPr>
                <w:rFonts w:hint="default" w:ascii="Times New Roman" w:hAnsi="Times New Roman" w:eastAsia="仿宋_GB2312" w:cs="Times New Roman"/>
                <w:bCs/>
                <w:sz w:val="24"/>
                <w:szCs w:val="24"/>
                <w:highlight w:val="none"/>
                <w:lang w:eastAsia="zh-CN"/>
              </w:rPr>
              <w:t xml:space="preserve">、</w:t>
            </w:r>
            <w:r>
              <w:rPr>
                <w:rFonts w:hint="default" w:ascii="Times New Roman" w:hAnsi="Times New Roman" w:eastAsia="仿宋_GB2312" w:cs="Times New Roman"/>
                <w:bCs/>
                <w:sz w:val="24"/>
                <w:szCs w:val="24"/>
                <w:highlight w:val="none"/>
                <w:lang w:val="en-US" w:eastAsia="zh-CN"/>
              </w:rPr>
              <w:t xml:space="preserve">管理</w:t>
            </w:r>
            <w:r>
              <w:rPr>
                <w:rFonts w:hint="default" w:ascii="Times New Roman" w:hAnsi="Times New Roman" w:eastAsia="仿宋_GB2312" w:cs="Times New Roman"/>
                <w:bCs/>
                <w:sz w:val="24"/>
                <w:szCs w:val="24"/>
                <w:highlight w:val="none"/>
              </w:rPr>
              <w:t xml:space="preserve">等全部费用。</w:t>
            </w:r>
            <w:r>
              <w:rPr>
                <w:rFonts w:hint="default" w:ascii="Times New Roman" w:hAnsi="Times New Roman" w:eastAsia="仿宋_GB2312" w:cs="Times New Roman"/>
                <w:bCs/>
                <w:sz w:val="24"/>
                <w:szCs w:val="24"/>
                <w:highlight w:val="none"/>
                <w:lang w:val="en-US" w:eastAsia="zh-CN"/>
              </w:rPr>
              <w:t xml:space="preserve">采购人</w:t>
            </w:r>
            <w:r>
              <w:rPr>
                <w:rFonts w:hint="default" w:ascii="Times New Roman" w:hAnsi="Times New Roman" w:eastAsia="仿宋_GB2312" w:cs="Times New Roman"/>
                <w:bCs/>
                <w:sz w:val="24"/>
                <w:szCs w:val="24"/>
                <w:highlight w:val="none"/>
              </w:rPr>
              <w:t xml:space="preserve">不再支付报价以外的任何费用。</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(十六)</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以人民币报价。</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bCs/>
                <w:sz w:val="24"/>
                <w:szCs w:val="24"/>
                <w:highlight w:val="none"/>
              </w:rPr>
              <w:t xml:space="preserve">（十七）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线上要求：</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投标人应当通过“苏采云”系统提交数据电文形式的投标文件（即电子投标）。</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特别说明：通过“苏采云”系统提交政府采购客户端工具导出加密的投标文件（后缀名为zip）。投标文件不得超过150M！</w:t>
            </w:r>
            <w:r/>
          </w:p>
          <w:p>
            <w:pPr>
              <w:spacing w:line="400" w:lineRule="exact"/>
              <w:rPr>
                <w:rFonts w:hint="default" w:ascii="Times New Roman" w:hAnsi="Times New Roman" w:eastAsia="仿宋_GB2312" w:cs="Times New Roman"/>
                <w:sz w:val="20"/>
                <w:szCs w:val="22"/>
                <w:highlight w:val="none"/>
              </w:rPr>
            </w:pPr>
            <w:r>
              <w:rPr>
                <w:rFonts w:hint="default" w:ascii="Times New Roman" w:hAnsi="Times New Roman" w:eastAsia="仿宋_GB2312" w:cs="Times New Roman"/>
                <w:sz w:val="24"/>
                <w:szCs w:val="24"/>
                <w:highlight w:val="none"/>
              </w:rPr>
              <w:t xml:space="preserve">说明：本项目采用线上投标，即供应商投标文件从政府采购客户端工具制作通过“苏采云”系统提交，未提供线上投标文件的，投标无效。</w:t>
            </w:r>
            <w:r/>
          </w:p>
        </w:tc>
      </w:tr>
      <w:tr>
        <w:trPr>
          <w:trHeight w:val="3278"/>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(十八)</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线上投标文件的密封、签署、盖章要求：</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一、投标文件的密封（加密）要求：</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二、投标文件的签署要求：见招标文件第七章《投标文件相关格式》。</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说明：投标人应在用CA数字证书以及自备的能够登录“苏采云”系统的笔记本电脑，在达到开标时间后，使用CA数字证书解密各自投标文件。</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(十九)</w:t>
            </w:r>
            <w:r/>
          </w:p>
        </w:tc>
        <w:tc>
          <w:tcPr>
            <w:tcW w:w="7220" w:type="dxa"/>
            <w:vAlign w:val="top"/>
            <w:textDirection w:val="lrTb"/>
            <w:noWrap w:val="false"/>
          </w:tcPr>
          <w:p>
            <w:pPr>
              <w:ind w:left="560" w:hanging="56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投标文件的提交：</w:t>
            </w:r>
            <w:r/>
          </w:p>
          <w:p>
            <w:pPr>
              <w:ind w:left="560" w:hanging="56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1.投标文件提交时间：</w:t>
            </w:r>
            <w:r>
              <w:rPr>
                <w:rFonts w:hint="default" w:ascii="Times New Roman" w:hAnsi="Times New Roman" w:eastAsia="仿宋_GB2312" w:cs="Times New Roman"/>
                <w:sz w:val="24"/>
                <w:szCs w:val="24"/>
                <w:highlight w:val="none"/>
              </w:rPr>
              <w:t xml:space="preserve">2026年</w:t>
            </w:r>
            <w:r>
              <w:rPr>
                <w:rFonts w:hint="default" w:ascii="Times New Roman" w:hAnsi="Times New Roman" w:eastAsia="仿宋_GB2312" w:cs="Times New Roman"/>
                <w:sz w:val="24"/>
                <w:szCs w:val="24"/>
                <w:highlight w:val="none"/>
                <w:lang w:val="en-US" w:eastAsia="zh-CN"/>
              </w:rPr>
              <w:t xml:space="preserve">7</w:t>
            </w:r>
            <w:r>
              <w:rPr>
                <w:rFonts w:hint="default" w:ascii="Times New Roman" w:hAnsi="Times New Roman" w:eastAsia="仿宋_GB2312" w:cs="Times New Roman"/>
                <w:sz w:val="24"/>
                <w:szCs w:val="24"/>
                <w:highlight w:val="none"/>
              </w:rPr>
              <w:t xml:space="preserve">月</w:t>
            </w:r>
            <w:r>
              <w:rPr>
                <w:rFonts w:hint="default" w:ascii="Times New Roman" w:hAnsi="Times New Roman" w:eastAsia="仿宋_GB2312" w:cs="Times New Roman"/>
                <w:sz w:val="24"/>
                <w:szCs w:val="24"/>
                <w:highlight w:val="none"/>
                <w:lang w:val="en-US" w:eastAsia="zh-CN"/>
              </w:rPr>
              <w:t xml:space="preserve">2</w:t>
            </w:r>
            <w:r>
              <w:rPr>
                <w:rFonts w:hint="default" w:ascii="Times New Roman" w:hAnsi="Times New Roman" w:eastAsia="仿宋_GB2312" w:cs="Times New Roman"/>
                <w:sz w:val="24"/>
                <w:szCs w:val="24"/>
                <w:highlight w:val="none"/>
              </w:rPr>
              <w:t xml:space="preserve">8日北京时间09:30前</w:t>
            </w:r>
            <w:r>
              <w:rPr>
                <w:rFonts w:hint="default" w:ascii="Times New Roman" w:hAnsi="Times New Roman" w:eastAsia="仿宋_GB2312" w:cs="Times New Roman"/>
                <w:sz w:val="24"/>
                <w:szCs w:val="24"/>
                <w:highlight w:val="none"/>
              </w:rPr>
              <w:t xml:space="preserve">。</w:t>
            </w:r>
            <w:r/>
          </w:p>
          <w:p>
            <w:pPr>
              <w:ind w:left="560" w:hanging="56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2.投标截止时间：</w:t>
            </w:r>
            <w:r>
              <w:rPr>
                <w:rFonts w:hint="default" w:ascii="Times New Roman" w:hAnsi="Times New Roman" w:eastAsia="仿宋_GB2312" w:cs="Times New Roman"/>
                <w:sz w:val="24"/>
                <w:szCs w:val="24"/>
                <w:highlight w:val="none"/>
              </w:rPr>
              <w:t xml:space="preserve">2026年</w:t>
            </w:r>
            <w:r>
              <w:rPr>
                <w:rFonts w:hint="default" w:ascii="Times New Roman" w:hAnsi="Times New Roman" w:eastAsia="仿宋_GB2312" w:cs="Times New Roman"/>
                <w:sz w:val="24"/>
                <w:szCs w:val="24"/>
                <w:highlight w:val="none"/>
                <w:lang w:val="en-US" w:eastAsia="zh-CN"/>
              </w:rPr>
              <w:t xml:space="preserve">7</w:t>
            </w:r>
            <w:r>
              <w:rPr>
                <w:rFonts w:hint="default" w:ascii="Times New Roman" w:hAnsi="Times New Roman" w:eastAsia="仿宋_GB2312" w:cs="Times New Roman"/>
                <w:sz w:val="24"/>
                <w:szCs w:val="24"/>
                <w:highlight w:val="none"/>
              </w:rPr>
              <w:t xml:space="preserve">月</w:t>
            </w:r>
            <w:r>
              <w:rPr>
                <w:rFonts w:hint="default" w:ascii="Times New Roman" w:hAnsi="Times New Roman" w:eastAsia="仿宋_GB2312" w:cs="Times New Roman"/>
                <w:sz w:val="24"/>
                <w:szCs w:val="24"/>
                <w:highlight w:val="none"/>
                <w:lang w:val="en-US" w:eastAsia="zh-CN"/>
              </w:rPr>
              <w:t xml:space="preserve">2</w:t>
            </w:r>
            <w:r>
              <w:rPr>
                <w:rFonts w:hint="default" w:ascii="Times New Roman" w:hAnsi="Times New Roman" w:eastAsia="仿宋_GB2312" w:cs="Times New Roman"/>
                <w:sz w:val="24"/>
                <w:szCs w:val="24"/>
                <w:highlight w:val="none"/>
              </w:rPr>
              <w:t xml:space="preserve">8日北京时间09:30</w:t>
            </w:r>
            <w:r>
              <w:rPr>
                <w:rFonts w:hint="default" w:ascii="Times New Roman" w:hAnsi="Times New Roman" w:eastAsia="仿宋_GB2312" w:cs="Times New Roman"/>
                <w:sz w:val="24"/>
                <w:szCs w:val="24"/>
                <w:highlight w:val="none"/>
              </w:rPr>
              <w:t xml:space="preserve">。</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电子投标文件应由其</w:t>
            </w:r>
            <w:r>
              <w:rPr>
                <w:rFonts w:hint="default" w:ascii="Times New Roman" w:hAnsi="Times New Roman" w:eastAsia="仿宋_GB2312" w:cs="Times New Roman"/>
                <w:sz w:val="24"/>
                <w:szCs w:val="24"/>
                <w:highlight w:val="none"/>
                <w:lang w:eastAsia="zh-CN"/>
              </w:rPr>
              <w:t xml:space="preserve">法定代表人/负责人</w:t>
            </w:r>
            <w:r>
              <w:rPr>
                <w:rFonts w:hint="default" w:ascii="Times New Roman" w:hAnsi="Times New Roman" w:eastAsia="仿宋_GB2312" w:cs="Times New Roman"/>
                <w:sz w:val="24"/>
                <w:szCs w:val="24"/>
                <w:highlight w:val="none"/>
              </w:rPr>
              <w:t xml:space="preserve">或</w:t>
            </w:r>
            <w:r>
              <w:rPr>
                <w:rFonts w:hint="default" w:ascii="Times New Roman" w:hAnsi="Times New Roman" w:eastAsia="仿宋_GB2312" w:cs="Times New Roman"/>
                <w:sz w:val="24"/>
                <w:szCs w:val="24"/>
                <w:highlight w:val="none"/>
                <w:lang w:eastAsia="zh-CN"/>
              </w:rPr>
              <w:t xml:space="preserve">法定代表人/负责人</w:t>
            </w:r>
            <w:r>
              <w:rPr>
                <w:rFonts w:hint="default" w:ascii="Times New Roman" w:hAnsi="Times New Roman" w:eastAsia="仿宋_GB2312" w:cs="Times New Roman"/>
                <w:sz w:val="24"/>
                <w:szCs w:val="24"/>
                <w:highlight w:val="none"/>
              </w:rPr>
              <w:t xml:space="preserve">授权代表在规定的网上投标时间内，凭 CA 证书登陆“苏采云”系统在线编制投标文件（电子数据），并在投标截止时间之前上传投标文件。</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四</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开标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(二十五)1</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开标时间及地点：</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1.开标时间：</w:t>
            </w:r>
            <w:r>
              <w:rPr>
                <w:rFonts w:hint="default" w:ascii="Times New Roman" w:hAnsi="Times New Roman" w:eastAsia="仿宋_GB2312" w:cs="Times New Roman"/>
                <w:sz w:val="24"/>
                <w:szCs w:val="24"/>
                <w:highlight w:val="none"/>
              </w:rPr>
              <w:t xml:space="preserve">2026年</w:t>
            </w:r>
            <w:r>
              <w:rPr>
                <w:rFonts w:hint="default" w:ascii="Times New Roman" w:hAnsi="Times New Roman" w:eastAsia="仿宋_GB2312" w:cs="Times New Roman"/>
                <w:sz w:val="24"/>
                <w:szCs w:val="24"/>
                <w:highlight w:val="none"/>
                <w:lang w:val="en-US" w:eastAsia="zh-CN"/>
              </w:rPr>
              <w:t xml:space="preserve">7</w:t>
            </w:r>
            <w:r>
              <w:rPr>
                <w:rFonts w:hint="default" w:ascii="Times New Roman" w:hAnsi="Times New Roman" w:eastAsia="仿宋_GB2312" w:cs="Times New Roman"/>
                <w:sz w:val="24"/>
                <w:szCs w:val="24"/>
                <w:highlight w:val="none"/>
              </w:rPr>
              <w:t xml:space="preserve">月</w:t>
            </w:r>
            <w:r>
              <w:rPr>
                <w:rFonts w:hint="default" w:ascii="Times New Roman" w:hAnsi="Times New Roman" w:eastAsia="仿宋_GB2312" w:cs="Times New Roman"/>
                <w:sz w:val="24"/>
                <w:szCs w:val="24"/>
                <w:highlight w:val="none"/>
                <w:lang w:val="en-US" w:eastAsia="zh-CN"/>
              </w:rPr>
              <w:t xml:space="preserve">2</w:t>
            </w:r>
            <w:r>
              <w:rPr>
                <w:rFonts w:hint="default" w:ascii="Times New Roman" w:hAnsi="Times New Roman" w:eastAsia="仿宋_GB2312" w:cs="Times New Roman"/>
                <w:sz w:val="24"/>
                <w:szCs w:val="24"/>
                <w:highlight w:val="none"/>
              </w:rPr>
              <w:t xml:space="preserve">8日09：30</w:t>
            </w:r>
            <w:r>
              <w:rPr>
                <w:rFonts w:hint="default" w:ascii="Times New Roman" w:hAnsi="Times New Roman" w:eastAsia="仿宋_GB2312" w:cs="Times New Roman"/>
                <w:sz w:val="24"/>
                <w:szCs w:val="24"/>
                <w:highlight w:val="none"/>
              </w:rPr>
              <w:t xml:space="preserve">（标准时间）</w:t>
            </w:r>
            <w:r/>
          </w:p>
          <w:p>
            <w:pPr>
              <w:spacing w:line="400" w:lineRule="exact"/>
              <w:rPr>
                <w:rFonts w:hint="default" w:ascii="Times New Roman" w:hAnsi="Times New Roman" w:eastAsia="仿宋_GB2312" w:cs="Times New Roman"/>
                <w:sz w:val="20"/>
                <w:szCs w:val="22"/>
                <w:highlight w:val="none"/>
              </w:rPr>
            </w:pPr>
            <w:r>
              <w:rPr>
                <w:rFonts w:hint="default" w:ascii="Times New Roman" w:hAnsi="Times New Roman" w:eastAsia="仿宋_GB2312" w:cs="Times New Roman"/>
                <w:sz w:val="24"/>
                <w:szCs w:val="24"/>
                <w:highlight w:val="none"/>
              </w:rPr>
              <w:t xml:space="preserve">2.开标地点：“苏采云”系统（网址： http://jszfcg.jsczt.cn/）“开标大厅”或进入徐州政府采购网（网址：</w:t>
            </w:r>
            <w:r>
              <w:rPr>
                <w:rFonts w:hint="default" w:ascii="Times New Roman" w:hAnsi="Times New Roman" w:eastAsia="仿宋_GB2312" w:cs="Times New Roman"/>
                <w:sz w:val="24"/>
                <w:szCs w:val="24"/>
                <w:highlight w:val="none"/>
                <w:lang w:eastAsia="zh-CN"/>
              </w:rPr>
              <w:t xml:space="preserve">https://czj.xz.gov.cn/zfcg/</w:t>
            </w:r>
            <w:r>
              <w:rPr>
                <w:rFonts w:hint="default" w:ascii="Times New Roman" w:hAnsi="Times New Roman" w:eastAsia="仿宋_GB2312" w:cs="Times New Roman"/>
                <w:sz w:val="24"/>
                <w:szCs w:val="24"/>
                <w:highlight w:val="none"/>
              </w:rPr>
              <w:t xml:space="preserve">）点击“苏采云”进入系统“开标大厅”。</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(二十五)3</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线上开标时，“苏采云”系统自动提取所有投标文件，投标人须按招标文件规定方式按时在线解密。本项目招标文件规定的投标人按时在线解密方式：开标时间后30分钟内，通过“苏采云”系统（使用“CA数字证书”）解密。</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五</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评标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采用综合评分法。</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(二十八)1</w:t>
            </w:r>
            <w:r/>
          </w:p>
        </w:tc>
        <w:tc>
          <w:tcPr>
            <w:tcW w:w="7220" w:type="dxa"/>
            <w:vAlign w:val="top"/>
            <w:textDirection w:val="lrTb"/>
            <w:noWrap w:val="false"/>
          </w:tcPr>
          <w:p>
            <w:pPr>
              <w:ind w:left="560" w:hanging="56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一、推荐中标候选供应商名单。中标候选供应商数量应当根据采购需要确定，但必须按顺序排列中标候选供应商。</w:t>
            </w:r>
            <w:r/>
          </w:p>
          <w:p>
            <w:pPr>
              <w:ind w:left="560" w:hanging="56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二、采用综合评分法的，按评审后得分由高到低顺序排列。得分相同的，通过以下方式顺序确定中标人：</w:t>
            </w:r>
            <w:r/>
          </w:p>
          <w:p>
            <w:pPr>
              <w:ind w:firstLine="48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1.以理赔服务得分高的为中标人。</w:t>
            </w:r>
            <w:r/>
          </w:p>
          <w:p>
            <w:pPr>
              <w:ind w:firstLine="48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2.都符合第1种情况的，宣传培训服务方案得分高的为中标人。</w:t>
            </w:r>
            <w:r/>
          </w:p>
          <w:p>
            <w:pPr>
              <w:ind w:firstLine="480"/>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sz w:val="24"/>
                <w:szCs w:val="24"/>
                <w:highlight w:val="none"/>
              </w:rPr>
              <w:t xml:space="preserve">3.都符合第2种情况的，由采购人自行确定。</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（二十九）</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3.投标人的澄清、说明或者补正应当采用通过“苏采云”系统（使用“CA数字证书”</w:t>
            </w:r>
            <w:r>
              <w:rPr>
                <w:rFonts w:hint="eastAsia" w:eastAsia="仿宋_GB2312" w:cs="Times New Roman"/>
                <w:sz w:val="24"/>
                <w:szCs w:val="24"/>
                <w:highlight w:val="none"/>
                <w:lang w:eastAsia="zh-CN"/>
              </w:rPr>
              <w:t xml:space="preserve">，</w:t>
            </w:r>
            <w:r>
              <w:rPr>
                <w:rFonts w:hint="default" w:ascii="Times New Roman" w:hAnsi="Times New Roman" w:eastAsia="仿宋_GB2312" w:cs="Times New Roman"/>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b w:val="0"/>
                <w:bCs w:val="0"/>
                <w:color w:val="000000"/>
                <w:sz w:val="24"/>
                <w:szCs w:val="24"/>
                <w:highlight w:val="none"/>
                <w:lang w:val="en-US" w:eastAsia="zh-CN" w:bidi="ar-SA"/>
              </w:rPr>
            </w:pPr>
            <w:r>
              <w:rPr>
                <w:rFonts w:hint="default" w:ascii="Times New Roman" w:hAnsi="Times New Roman" w:eastAsia="仿宋_GB2312" w:cs="Times New Roman"/>
                <w:b w:val="0"/>
                <w:bCs w:val="0"/>
                <w:color w:val="000000"/>
                <w:sz w:val="24"/>
                <w:szCs w:val="24"/>
                <w:highlight w:val="none"/>
              </w:rPr>
              <w:t xml:space="preserve">（三十）</w:t>
            </w:r>
            <w:r/>
          </w:p>
        </w:tc>
        <w:tc>
          <w:tcPr>
            <w:tcW w:w="7220" w:type="dxa"/>
            <w:vAlign w:val="top"/>
            <w:textDirection w:val="lrTb"/>
            <w:noWrap w:val="false"/>
          </w:tcPr>
          <w:p>
            <w:pPr>
              <w:jc w:val="both"/>
              <w:spacing w:line="400" w:lineRule="exact"/>
              <w:rPr>
                <w:rFonts w:hint="default" w:ascii="Times New Roman" w:hAnsi="Times New Roman" w:eastAsia="仿宋_GB2312" w:cs="Times New Roman"/>
                <w:b w:val="0"/>
                <w:bCs w:val="0"/>
                <w:color w:val="000000"/>
                <w:sz w:val="24"/>
                <w:szCs w:val="24"/>
                <w:highlight w:val="none"/>
                <w:lang w:val="en-US" w:eastAsia="zh-CN"/>
              </w:rPr>
            </w:pPr>
            <w:r>
              <w:rPr>
                <w:rFonts w:hint="default" w:ascii="Times New Roman" w:hAnsi="Times New Roman" w:eastAsia="仿宋_GB2312" w:cs="Times New Roman"/>
                <w:b w:val="0"/>
                <w:bCs w:val="0"/>
                <w:color w:val="000000"/>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default" w:ascii="Times New Roman" w:hAnsi="Times New Roman" w:eastAsia="仿宋_GB2312" w:cs="Times New Roman"/>
                <w:b w:val="0"/>
                <w:bCs w:val="0"/>
                <w:color w:val="000000"/>
                <w:sz w:val="24"/>
                <w:szCs w:val="24"/>
                <w:highlight w:val="none"/>
                <w:lang w:eastAsia="zh-CN"/>
              </w:rPr>
              <w:t xml:space="preserve">。</w:t>
            </w:r>
            <w:r/>
          </w:p>
          <w:p>
            <w:pPr>
              <w:jc w:val="both"/>
              <w:spacing w:line="400" w:lineRule="exact"/>
              <w:rPr>
                <w:rFonts w:hint="default" w:ascii="Times New Roman" w:hAnsi="Times New Roman" w:eastAsia="仿宋_GB2312" w:cs="Times New Roman"/>
                <w:b w:val="0"/>
                <w:bCs w:val="0"/>
                <w:color w:val="000000"/>
                <w:sz w:val="24"/>
                <w:szCs w:val="24"/>
                <w:highlight w:val="none"/>
                <w:lang w:val="en-US" w:eastAsia="zh-CN" w:bidi="ar-SA"/>
              </w:rPr>
            </w:pPr>
            <w:r>
              <w:rPr>
                <w:rFonts w:hint="default" w:ascii="Times New Roman" w:hAnsi="Times New Roman" w:eastAsia="仿宋_GB2312" w:cs="Times New Roman"/>
                <w:b/>
                <w:bCs/>
                <w:color w:val="000000"/>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政府采购合同</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(三十七)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(三十</w:t>
            </w:r>
            <w:r>
              <w:rPr>
                <w:rFonts w:hint="eastAsia" w:eastAsia="仿宋_GB2312" w:cs="Times New Roman"/>
                <w:sz w:val="24"/>
                <w:szCs w:val="24"/>
                <w:highlight w:val="none"/>
                <w:lang w:val="en-US" w:eastAsia="zh-CN"/>
              </w:rPr>
              <w:t xml:space="preserve">八</w:t>
            </w:r>
            <w:r>
              <w:rPr>
                <w:rFonts w:hint="default" w:ascii="Times New Roman" w:hAnsi="Times New Roman" w:eastAsia="仿宋_GB2312" w:cs="Times New Roman"/>
                <w:sz w:val="24"/>
                <w:szCs w:val="24"/>
                <w:highlight w:val="none"/>
              </w:rPr>
              <w:t xml:space="preserve">)</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履约保证金：无。</w:t>
            </w:r>
            <w:r/>
          </w:p>
        </w:tc>
      </w:tr>
      <w:tr>
        <w:trPr>
          <w:trHeight w:val="90"/>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(四十)</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二、供应商在法定质疑期内一次性提出针对同一采购程序环节的质疑。</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质疑接收人：</w:t>
            </w:r>
            <w:r>
              <w:rPr>
                <w:rFonts w:hint="default" w:ascii="Times New Roman" w:hAnsi="Times New Roman" w:eastAsia="仿宋_GB2312" w:cs="Times New Roman"/>
                <w:sz w:val="24"/>
                <w:szCs w:val="24"/>
                <w:highlight w:val="none"/>
                <w:lang w:eastAsia="zh-CN"/>
              </w:rPr>
              <w:t xml:space="preserve">赵庭</w:t>
            </w:r>
            <w:r>
              <w:rPr>
                <w:rFonts w:hint="eastAsia" w:eastAsia="仿宋_GB2312" w:cs="Times New Roman"/>
                <w:sz w:val="24"/>
                <w:szCs w:val="24"/>
                <w:highlight w:val="none"/>
                <w:lang w:eastAsia="zh-CN"/>
              </w:rPr>
              <w:t xml:space="preserve">；</w:t>
            </w:r>
            <w:r>
              <w:rPr>
                <w:rFonts w:hint="default" w:ascii="Times New Roman" w:hAnsi="Times New Roman" w:eastAsia="仿宋_GB2312" w:cs="Times New Roman"/>
                <w:sz w:val="24"/>
                <w:szCs w:val="24"/>
                <w:highlight w:val="none"/>
              </w:rPr>
              <w:t xml:space="preserve">联系电话：</w:t>
            </w:r>
            <w:r>
              <w:rPr>
                <w:rFonts w:hint="default" w:ascii="Times New Roman" w:hAnsi="Times New Roman" w:eastAsia="仿宋_GB2312" w:cs="Times New Roman"/>
                <w:sz w:val="24"/>
                <w:szCs w:val="24"/>
                <w:highlight w:val="none"/>
                <w:lang w:eastAsia="zh-CN"/>
              </w:rPr>
              <w:t xml:space="preserve">0516-85792898</w:t>
            </w:r>
            <w:r>
              <w:rPr>
                <w:rFonts w:hint="default" w:ascii="Times New Roman" w:hAnsi="Times New Roman" w:eastAsia="仿宋_GB2312" w:cs="Times New Roman"/>
                <w:sz w:val="24"/>
                <w:szCs w:val="24"/>
                <w:highlight w:val="none"/>
              </w:rPr>
              <w:t xml:space="preserve">;</w:t>
            </w:r>
            <w:r/>
          </w:p>
          <w:p>
            <w:pPr>
              <w:spacing w:line="400" w:lineRule="exact"/>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办公地址：</w:t>
            </w:r>
            <w:r>
              <w:rPr>
                <w:rFonts w:hint="default" w:ascii="Times New Roman" w:hAnsi="Times New Roman" w:eastAsia="仿宋_GB2312" w:cs="Times New Roman"/>
                <w:sz w:val="24"/>
                <w:szCs w:val="24"/>
                <w:highlight w:val="none"/>
                <w:lang w:eastAsia="zh-CN"/>
              </w:rPr>
              <w:t xml:space="preserve">江苏省徐州市云龙区秦郡路1号淮海经济区金融服务中心三区5（原8）号楼1-601-9号</w:t>
            </w:r>
            <w:r>
              <w:rPr>
                <w:rFonts w:hint="eastAsia" w:eastAsia="仿宋_GB2312" w:cs="Times New Roman"/>
                <w:sz w:val="24"/>
                <w:szCs w:val="24"/>
                <w:highlight w:val="none"/>
                <w:lang w:eastAsia="zh-CN"/>
              </w:rPr>
              <w:t xml:space="preserve">。</w:t>
            </w:r>
            <w:r/>
          </w:p>
        </w:tc>
      </w:tr>
      <w:tr>
        <w:trPr/>
        <w:tc>
          <w:tcPr>
            <w:tcW w:w="156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附加说明</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中标人在收到中标通知书时，须向采购代理机构提交《开标一览表》和《分项价格表》的数据文件（WORD格式）。</w:t>
            </w:r>
            <w:r/>
          </w:p>
        </w:tc>
      </w:tr>
    </w:tbl>
    <w:p>
      <w:pPr>
        <w:rPr>
          <w:rFonts w:hint="default" w:ascii="Times New Roman" w:hAnsi="Times New Roman" w:eastAsia="方正仿宋_GB2312" w:cs="Times New Roman"/>
          <w:sz w:val="24"/>
          <w:szCs w:val="24"/>
          <w:highlight w:val="none"/>
        </w:rPr>
      </w:pPr>
      <w:r/>
      <w:bookmarkStart w:id="58" w:name="_Toc522790133"/>
      <w:r>
        <w:rPr>
          <w:rFonts w:hint="default" w:ascii="Times New Roman" w:hAnsi="Times New Roman" w:eastAsia="方正仿宋_GB2312" w:cs="Times New Roman"/>
          <w:sz w:val="24"/>
          <w:szCs w:val="24"/>
          <w:highlight w:val="none"/>
        </w:rPr>
        <w:br w:type="page" w:clear="all"/>
      </w:r>
      <w:r/>
    </w:p>
    <w:p>
      <w:pPr>
        <w:spacing w:line="400" w:lineRule="exact"/>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b/>
          <w:bCs/>
          <w:sz w:val="24"/>
          <w:szCs w:val="24"/>
          <w:highlight w:val="none"/>
        </w:rPr>
        <w:t xml:space="preserve">本章附件：</w:t>
      </w:r>
      <w:r>
        <w:rPr>
          <w:rFonts w:ascii="FangSong" w:hAnsi="FangSong" w:eastAsia="FangSong" w:cs="FangSong"/>
          <w:b/>
          <w:color w:val="000000"/>
          <w:sz w:val="24"/>
        </w:rPr>
        <w:t xml:space="preserve">招标代理服务收费标准</w:t>
      </w:r>
      <w:r>
        <w:rPr>
          <w:rFonts w:hint="default" w:ascii="Times New Roman" w:hAnsi="Times New Roman" w:eastAsia="方正仿宋_GB2312" w:cs="Times New Roman"/>
          <w:b/>
          <w:bCs/>
          <w:sz w:val="24"/>
          <w:szCs w:val="24"/>
          <w:highlight w:val="none"/>
        </w:rPr>
        <w:t xml:space="preserve">（</w:t>
      </w:r>
      <w:r>
        <w:rPr>
          <w:rFonts w:hint="default" w:ascii="Times New Roman" w:hAnsi="Times New Roman" w:eastAsia="方正仿宋_GB2312" w:cs="Times New Roman"/>
          <w:b/>
          <w:bCs/>
          <w:sz w:val="24"/>
          <w:szCs w:val="24"/>
          <w:highlight w:val="none"/>
        </w:rPr>
        <w:t xml:space="preserve">自行</w:t>
      </w:r>
      <w:r>
        <w:rPr>
          <w:rFonts w:hint="default" w:ascii="Times New Roman" w:hAnsi="Times New Roman" w:eastAsia="方正仿宋_GB2312" w:cs="Times New Roman"/>
          <w:b/>
          <w:bCs/>
          <w:sz w:val="24"/>
          <w:szCs w:val="24"/>
          <w:highlight w:val="none"/>
        </w:rPr>
        <w:t xml:space="preserve">约定</w:t>
      </w:r>
      <w:r>
        <w:rPr>
          <w:rFonts w:hint="default" w:ascii="Times New Roman" w:hAnsi="Times New Roman" w:eastAsia="方正仿宋_GB2312" w:cs="Times New Roman"/>
          <w:b/>
          <w:bCs/>
          <w:sz w:val="24"/>
          <w:szCs w:val="24"/>
          <w:highlight w:val="none"/>
        </w:rPr>
        <w:t xml:space="preserve">）</w:t>
      </w:r>
      <w:r>
        <w:rPr>
          <w:rFonts w:hint="default" w:ascii="Times New Roman" w:hAnsi="Times New Roman" w:eastAsia="方正仿宋_GB2312" w:cs="Times New Roman"/>
          <w:b/>
          <w:bCs/>
          <w:sz w:val="24"/>
          <w:szCs w:val="24"/>
          <w:highlight w:val="none"/>
        </w:rPr>
      </w:r>
      <w:r/>
    </w:p>
    <w:tbl>
      <w:tblPr>
        <w:tblStyle w:val="1294"/>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7"/>
        <w:gridCol w:w="3415"/>
      </w:tblGrid>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费率</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5000元</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1.6%</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50-400万元(含400万元)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400-1000万元(含1000万元)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1.1%</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1000-5000万元(含5000万元)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0.8%</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5000-1亿元(含1亿元)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0.25%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1-10亿元(含10亿元)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0.05%</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10-50亿元(含50亿元)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0.01%</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50亿元以上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0.005%</w:t>
            </w:r>
            <w:r/>
          </w:p>
        </w:tc>
      </w:tr>
    </w:tbl>
    <w:p>
      <w:pP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、按上表计算的收费为代理服务全过程的收费金额。采购代理机构不再收取采购文件制作售卖费用。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、代理服务费按差额定率分档累进费率和项目中标或者成交金额计算。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、根据江苏省财政厅《关于进一步规范政府采购活动相关费用管理的通知》（苏财规〔</w:t>
      </w:r>
      <w:r>
        <w:rPr>
          <w:rFonts w:ascii="Times New Roman" w:hAnsi="Times New Roman" w:eastAsia="Times New Roman" w:cs="Times New Roman"/>
          <w:color w:val="000000"/>
          <w:sz w:val="24"/>
        </w:rPr>
        <w:t xml:space="preserve">2026</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号）文件有关规定，本项目代理服务费由中标人支付，各投标人在投标报价时应充分考虑在内。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、采购代理机构账户信息：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收款人：江苏盛瑞保险经纪有限公司</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开户银行：南京银行徐州分行营业部</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rPr>
          <w:rFonts w:ascii="Times New Roman" w:hAnsi="Times New Roman" w:eastAsia="Times New Roman" w:cs="Times New Roman"/>
          <w:color w:val="000000"/>
          <w:sz w:val="24"/>
        </w:rPr>
        <w:t xml:space="preserve">1601240000006013</w:t>
      </w:r>
      <w:r/>
    </w:p>
    <w:p>
      <w:pP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r>
      <w:r/>
    </w:p>
    <w:p>
      <w:pPr>
        <w:spacing w:line="400" w:lineRule="exac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pStyle w:val="1223"/>
        <w:ind w:left="1470" w:right="147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pStyle w:val="1223"/>
        <w:ind w:left="1470" w:right="147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pStyle w:val="1205"/>
        <w:rPr>
          <w:rFonts w:ascii="仿宋" w:hAnsi="仿宋"/>
          <w:highlight w:val="none"/>
        </w:rPr>
      </w:pPr>
      <w:r>
        <w:rPr>
          <w:rFonts w:hint="default" w:ascii="Times New Roman" w:hAnsi="Times New Roman" w:eastAsia="新宋体" w:cs="Times New Roman"/>
          <w:b/>
          <w:bCs/>
          <w:sz w:val="30"/>
          <w:szCs w:val="30"/>
          <w:highlight w:val="none"/>
        </w:rPr>
        <w:br w:type="page" w:clear="all"/>
      </w:r>
      <w:bookmarkEnd w:id="58"/>
      <w:r/>
      <w:bookmarkStart w:id="59" w:name="_Toc26158"/>
      <w:r/>
      <w:bookmarkStart w:id="60" w:name="_Toc19468"/>
      <w:r/>
      <w:bookmarkStart w:id="61" w:name="_Toc522790134"/>
      <w:r>
        <w:rPr>
          <w:rStyle w:val="1213"/>
          <w:rFonts w:eastAsia="方正小标宋_GBK"/>
          <w:b w:val="0"/>
          <w:bCs w:val="0"/>
          <w:highlight w:val="none"/>
        </w:rPr>
        <w:t xml:space="preserve">第四章 评标标准</w:t>
      </w:r>
      <w:bookmarkEnd w:id="59"/>
      <w:r/>
      <w:bookmarkEnd w:id="60"/>
      <w:r/>
      <w:r/>
    </w:p>
    <w:tbl>
      <w:tblPr>
        <w:tblStyle w:val="1031"/>
        <w:tblW w:w="966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80"/>
        <w:gridCol w:w="1443"/>
        <w:gridCol w:w="6039"/>
        <w:gridCol w:w="803"/>
      </w:tblGrid>
      <w:tr>
        <w:trPr>
          <w:jc w:val="center"/>
          <w:trHeight w:val="717"/>
        </w:trPr>
        <w:tc>
          <w:tcPr>
            <w:gridSpan w:val="2"/>
            <w:tcW w:w="2823" w:type="dxa"/>
            <w:vAlign w:val="center"/>
            <w:textDirection w:val="lrTb"/>
            <w:noWrap w:val="false"/>
          </w:tcPr>
          <w:p>
            <w:pPr>
              <w:rPr>
                <w:rFonts w:ascii="仿宋_GB2312" w:hAnsi="仿宋_GB2312" w:eastAsia="仿宋_GB2312" w:cs="仿宋_GB2312"/>
                <w:b/>
                <w:bCs/>
                <w:sz w:val="24"/>
                <w:szCs w:val="32"/>
                <w:highlight w:val="none"/>
              </w:rPr>
            </w:pPr>
            <w:r>
              <w:rPr>
                <w:rFonts w:hint="eastAsia" w:ascii="仿宋_GB2312" w:hAnsi="仿宋_GB2312" w:eastAsia="仿宋_GB2312" w:cs="仿宋_GB2312"/>
                <w:b/>
                <w:bCs/>
                <w:sz w:val="30"/>
                <w:szCs w:val="30"/>
                <w:highlight w:val="none"/>
              </w:rPr>
              <w:tab/>
            </w:r>
            <w:r>
              <w:rPr>
                <w:rFonts w:hint="eastAsia" w:ascii="仿宋_GB2312" w:hAnsi="仿宋_GB2312" w:eastAsia="仿宋_GB2312" w:cs="仿宋_GB2312"/>
                <w:b/>
                <w:bCs/>
                <w:sz w:val="24"/>
                <w:highlight w:val="none"/>
              </w:rPr>
              <w:t xml:space="preserve">评审因素</w:t>
            </w:r>
            <w:r/>
          </w:p>
        </w:tc>
        <w:tc>
          <w:tcPr>
            <w:tcW w:w="6039" w:type="dxa"/>
            <w:vAlign w:val="center"/>
            <w:textDirection w:val="lrTb"/>
            <w:noWrap w:val="false"/>
          </w:tcPr>
          <w:p>
            <w:pPr>
              <w:jc w:val="center"/>
              <w:rPr>
                <w:rFonts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 xml:space="preserve">评审因素细化和量化</w:t>
            </w:r>
            <w:r/>
          </w:p>
        </w:tc>
        <w:tc>
          <w:tcPr>
            <w:tcW w:w="803" w:type="dxa"/>
            <w:vAlign w:val="center"/>
            <w:textDirection w:val="lrTb"/>
            <w:noWrap w:val="false"/>
          </w:tcPr>
          <w:p>
            <w:pPr>
              <w:jc w:val="center"/>
              <w:rPr>
                <w:rFonts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 xml:space="preserve">是否为客观分</w:t>
            </w:r>
            <w:r/>
          </w:p>
        </w:tc>
      </w:tr>
      <w:tr>
        <w:trPr>
          <w:jc w:val="center"/>
          <w:trHeight w:val="835"/>
        </w:trPr>
        <w:tc>
          <w:tcPr>
            <w:tcW w:w="1380"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价格部分（10分）</w:t>
            </w:r>
            <w:r/>
          </w:p>
        </w:tc>
        <w:tc>
          <w:tcPr>
            <w:tcW w:w="144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重大疾病住院医疗定额补贴</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（10分）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各投标人得分=（投标人的投标报价／有效投标人的最高报价)×10。</w:t>
            </w:r>
            <w:r/>
          </w:p>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注：本项得分保留两位小数。</w:t>
            </w:r>
            <w:r/>
          </w:p>
        </w:tc>
        <w:tc>
          <w:tcPr>
            <w:tcW w:w="80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是</w:t>
            </w:r>
            <w:r/>
          </w:p>
        </w:tc>
      </w:tr>
      <w:tr>
        <w:trPr>
          <w:jc w:val="center"/>
          <w:trHeight w:val="835"/>
        </w:trPr>
        <w:tc>
          <w:tcPr>
            <w:tcW w:w="1380" w:type="dxa"/>
            <w:vAlign w:val="center"/>
            <w:vMerge w:val="restart"/>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公司实力</w:t>
            </w:r>
            <w:r/>
          </w:p>
          <w:p>
            <w:pPr>
              <w:pStyle w:val="1045"/>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（10分）</w:t>
            </w:r>
            <w:r/>
          </w:p>
        </w:tc>
        <w:tc>
          <w:tcPr>
            <w:tcW w:w="144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风险评级</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（5分）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根据</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投标人</w:t>
            </w:r>
            <w:r>
              <w:rPr>
                <w:rFonts w:hint="eastAsia" w:ascii="仿宋_GB2312" w:hAnsi="仿宋_GB2312" w:eastAsia="仿宋_GB2312" w:cs="仿宋_GB2312"/>
                <w:color w:val="000000" w:themeColor="text1"/>
                <w:sz w:val="24"/>
                <w:highlight w:val="none"/>
                <w14:textFill>
                  <w14:solidFill>
                    <w14:schemeClr w14:val="tx1"/>
                  </w14:solidFill>
                </w14:textFill>
              </w:rPr>
              <w:t xml:space="preserve">所属总公司2025年风险综合评级情况进行评分，AAA、AA、A按A类计；BBB、BB、B按B类计。2025年度内有3个季度风险综合评级为A类及以上的得5分；年度内有2个季度风险综合评级为A类及以上的得4分；年度内有1个季度风险综合评级为A类及以上的得3分，没有或不提供者得</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0</w:t>
            </w:r>
            <w:r>
              <w:rPr>
                <w:rFonts w:hint="eastAsia" w:ascii="仿宋_GB2312" w:hAnsi="仿宋_GB2312" w:eastAsia="仿宋_GB2312" w:cs="仿宋_GB2312"/>
                <w:color w:val="000000" w:themeColor="text1"/>
                <w:sz w:val="24"/>
                <w:highlight w:val="none"/>
                <w14:textFill>
                  <w14:solidFill>
                    <w14:schemeClr w14:val="tx1"/>
                  </w14:solidFill>
                </w14:textFill>
              </w:rPr>
              <w:t xml:space="preserve">分。</w:t>
            </w:r>
            <w:r/>
          </w:p>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b/>
                <w:bCs/>
                <w:color w:val="000000" w:themeColor="text1"/>
                <w:sz w:val="24"/>
                <w:highlight w:val="none"/>
                <w14:textFill>
                  <w14:solidFill>
                    <w14:schemeClr w14:val="tx1"/>
                  </w14:solidFill>
                </w14:textFill>
              </w:rPr>
              <w:t xml:space="preserve">注：提供总公司《偿付能力季度报告摘要》或者总公司官网、中国保险行业协会官网、国家金融</w:t>
            </w:r>
            <w:r>
              <w:rPr>
                <w:rFonts w:hint="eastAsia" w:ascii="仿宋_GB2312" w:hAnsi="仿宋_GB2312" w:eastAsia="仿宋_GB2312" w:cs="仿宋_GB2312"/>
                <w:b/>
                <w:bCs/>
                <w:color w:val="000000" w:themeColor="text1"/>
                <w:sz w:val="24"/>
                <w:highlight w:val="none"/>
                <w:lang w:val="en-US" w:eastAsia="zh-CN"/>
                <w14:textFill>
                  <w14:solidFill>
                    <w14:schemeClr w14:val="tx1"/>
                  </w14:solidFill>
                </w14:textFill>
              </w:rPr>
              <w:t xml:space="preserve">监督管理</w:t>
            </w:r>
            <w:r>
              <w:rPr>
                <w:rFonts w:hint="eastAsia" w:ascii="仿宋_GB2312" w:hAnsi="仿宋_GB2312" w:eastAsia="仿宋_GB2312" w:cs="仿宋_GB2312"/>
                <w:b/>
                <w:bCs/>
                <w:color w:val="000000" w:themeColor="text1"/>
                <w:sz w:val="24"/>
                <w:highlight w:val="none"/>
                <w14:textFill>
                  <w14:solidFill>
                    <w14:schemeClr w14:val="tx1"/>
                  </w14:solidFill>
                </w14:textFill>
              </w:rPr>
              <w:t xml:space="preserve">总局官网相关查询截图。</w:t>
            </w:r>
            <w:r/>
          </w:p>
        </w:tc>
        <w:tc>
          <w:tcPr>
            <w:tcW w:w="80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是</w:t>
            </w:r>
            <w:r/>
          </w:p>
        </w:tc>
      </w:tr>
      <w:tr>
        <w:trPr>
          <w:jc w:val="center"/>
          <w:trHeight w:val="835"/>
        </w:trPr>
        <w:tc>
          <w:tcPr>
            <w:tcW w:w="1380" w:type="dxa"/>
            <w:vAlign w:val="center"/>
            <w:vMerge w:val="continue"/>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ascii="仿宋_GB2312" w:hAnsi="仿宋_GB2312" w:eastAsia="仿宋_GB2312" w:cs="仿宋_GB2312"/>
                <w:color w:val="000000" w:themeColor="text1"/>
                <w:sz w:val="24"/>
                <w:highlight w:val="none"/>
                <w14:textFill>
                  <w14:solidFill>
                    <w14:schemeClr w14:val="tx1"/>
                  </w14:solidFill>
                </w14:textFill>
              </w:rPr>
            </w:r>
            <w:r/>
          </w:p>
        </w:tc>
        <w:tc>
          <w:tcPr>
            <w:tcW w:w="144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类似项目</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业绩</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（5分）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提供近三年（2023年7月1日至今，以合同签订时间为准）与国家机关、事业单位或团体组织（《中华人民共和国政府采购法》规定的采购人范围）合作的类似项目承保业绩（承保人数500人及以上），每提供1个有效业绩得1分，最高得5分，没有或不提供者得0分。</w:t>
            </w:r>
            <w:r/>
          </w:p>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b/>
                <w:bCs/>
                <w:color w:val="000000" w:themeColor="text1"/>
                <w:sz w:val="24"/>
                <w:highlight w:val="none"/>
                <w14:textFill>
                  <w14:solidFill>
                    <w14:schemeClr w14:val="tx1"/>
                  </w14:solidFill>
                </w14:textFill>
              </w:rPr>
              <w:t xml:space="preserve">注：须提供承保保险合同或双方合作协议（合同）关键页（含合同封面、服务内容页、双方盖章页、参保人数证明页等）扫描件。</w:t>
            </w:r>
            <w:r/>
          </w:p>
        </w:tc>
        <w:tc>
          <w:tcPr>
            <w:tcW w:w="80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是</w:t>
            </w:r>
            <w:r/>
          </w:p>
        </w:tc>
      </w:tr>
      <w:tr>
        <w:trPr>
          <w:jc w:val="center"/>
          <w:trHeight w:val="835"/>
        </w:trPr>
        <w:tc>
          <w:tcPr>
            <w:tcW w:w="1380" w:type="dxa"/>
            <w:vAlign w:val="center"/>
            <w:vMerge w:val="restart"/>
            <w:textDirection w:val="lrTb"/>
            <w:noWrap w:val="false"/>
          </w:tcPr>
          <w:p>
            <w:pPr>
              <w:jc w:val="center"/>
              <w:rPr>
                <w:rFonts w:ascii="仿宋_GB2312" w:hAnsi="仿宋_GB2312" w:eastAsia="仿宋_GB2312" w:cs="仿宋_GB2312"/>
                <w:color w:val="000000" w:themeColor="text1"/>
                <w:sz w:val="24"/>
                <w:szCs w:val="22"/>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保险方案</w:t>
            </w:r>
            <w:r>
              <w:rPr>
                <w:rFonts w:hint="eastAsia" w:ascii="仿宋_GB2312" w:hAnsi="仿宋_GB2312" w:eastAsia="仿宋_GB2312" w:cs="仿宋_GB2312"/>
                <w:color w:val="000000" w:themeColor="text1"/>
                <w:sz w:val="24"/>
                <w:szCs w:val="22"/>
                <w:highlight w:val="none"/>
                <w14:textFill>
                  <w14:solidFill>
                    <w14:schemeClr w14:val="tx1"/>
                  </w14:solidFill>
                </w14:textFill>
              </w:rPr>
              <w:t xml:space="preserve">（20分）</w:t>
            </w:r>
            <w:r/>
          </w:p>
        </w:tc>
        <w:tc>
          <w:tcPr>
            <w:tcW w:w="144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条款</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（15分）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sz w:val="24"/>
                <w:highlight w:val="none"/>
              </w:rPr>
              <w:t xml:space="preserve">满足招标文件对于保险责任、保险对象、责任免除、被保险人义务、赔偿处理等角度要求的，得10分。每新增一个实质性</w:t>
            </w:r>
            <w:r>
              <w:rPr>
                <w:rFonts w:hint="eastAsia" w:ascii="仿宋_GB2312" w:hAnsi="仿宋_GB2312" w:eastAsia="仿宋_GB2312" w:cs="仿宋_GB2312"/>
                <w:b/>
                <w:bCs/>
                <w:sz w:val="24"/>
                <w:highlight w:val="none"/>
              </w:rPr>
              <w:t xml:space="preserve">有利于</w:t>
            </w:r>
            <w:r>
              <w:rPr>
                <w:rFonts w:hint="eastAsia" w:ascii="仿宋_GB2312" w:hAnsi="仿宋_GB2312" w:eastAsia="仿宋_GB2312" w:cs="仿宋_GB2312"/>
                <w:sz w:val="24"/>
                <w:highlight w:val="none"/>
              </w:rPr>
              <w:t xml:space="preserve">被保险人的附加条款加1分；每有一个限制被保险人权利或缩小保险责任范围的扣2分，扣完为止。本项最高得15分，最低</w:t>
            </w:r>
            <w:r>
              <w:rPr>
                <w:rFonts w:hint="eastAsia" w:ascii="仿宋_GB2312" w:hAnsi="仿宋_GB2312" w:eastAsia="仿宋_GB2312" w:cs="仿宋_GB2312"/>
                <w:sz w:val="24"/>
                <w:highlight w:val="none"/>
                <w:lang w:val="en-US" w:eastAsia="zh-CN"/>
              </w:rPr>
              <w:t xml:space="preserve">得</w:t>
            </w:r>
            <w:r>
              <w:rPr>
                <w:rFonts w:hint="eastAsia" w:ascii="仿宋_GB2312" w:hAnsi="仿宋_GB2312" w:eastAsia="仿宋_GB2312" w:cs="仿宋_GB2312"/>
                <w:sz w:val="24"/>
                <w:highlight w:val="none"/>
              </w:rPr>
              <w:t xml:space="preserve">0分。</w:t>
            </w:r>
            <w:r>
              <w:rPr>
                <w:rFonts w:hint="eastAsia" w:ascii="仿宋_GB2312" w:hAnsi="仿宋_GB2312" w:eastAsia="仿宋_GB2312" w:cs="仿宋_GB2312"/>
                <w:b/>
                <w:bCs/>
                <w:sz w:val="24"/>
                <w:highlight w:val="none"/>
              </w:rPr>
              <w:t xml:space="preserve">（内容在《偏离表》中进行体现）</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是</w:t>
            </w:r>
            <w:r/>
          </w:p>
        </w:tc>
      </w:tr>
      <w:tr>
        <w:trPr>
          <w:jc w:val="center"/>
          <w:trHeight w:val="835"/>
        </w:trPr>
        <w:tc>
          <w:tcPr>
            <w:tcW w:w="1380" w:type="dxa"/>
            <w:vAlign w:val="center"/>
            <w:vMerge w:val="continue"/>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ascii="仿宋_GB2312" w:hAnsi="仿宋_GB2312" w:eastAsia="仿宋_GB2312" w:cs="仿宋_GB2312"/>
                <w:color w:val="000000" w:themeColor="text1"/>
                <w:sz w:val="24"/>
                <w:highlight w:val="none"/>
                <w14:textFill>
                  <w14:solidFill>
                    <w14:schemeClr w14:val="tx1"/>
                  </w14:solidFill>
                </w14:textFill>
              </w:rPr>
            </w:r>
            <w:r/>
          </w:p>
        </w:tc>
        <w:tc>
          <w:tcPr>
            <w:shd w:val="clear" w:color="auto" w:fill="auto"/>
            <w:tcW w:w="1443" w:type="dxa"/>
            <w:vAlign w:val="center"/>
            <w:textDirection w:val="lrTb"/>
            <w:noWrap w:val="false"/>
          </w:tcPr>
          <w:p>
            <w:pPr>
              <w:jc w:val="center"/>
              <w:rPr>
                <w:rFonts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特别约定</w:t>
            </w:r>
            <w:r/>
          </w:p>
          <w:p>
            <w:pPr>
              <w:jc w:val="center"/>
              <w:rPr>
                <w:rFonts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（5分）</w:t>
            </w:r>
            <w:r/>
          </w:p>
        </w:tc>
        <w:tc>
          <w:tcPr>
            <w:shd w:val="clear" w:color="auto" w:fill="auto"/>
            <w:tcW w:w="6039" w:type="dxa"/>
            <w:vAlign w:val="center"/>
            <w:textDirection w:val="lrTb"/>
            <w:noWrap w:val="false"/>
          </w:tcPr>
          <w:p>
            <w:pPr>
              <w:jc w:val="left"/>
              <w:rPr>
                <w:rFonts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满足招标文件对于特别约定要求的，得2分。每新增一个有利于被保险人的特别约定加1分，最高加3分；每有一个限制被保险人权利或缩小保险责任范围的特别约定扣1分，扣完为止。</w:t>
            </w:r>
            <w:r>
              <w:rPr>
                <w:rFonts w:hint="eastAsia" w:ascii="仿宋_GB2312" w:hAnsi="仿宋_GB2312" w:eastAsia="仿宋_GB2312" w:cs="仿宋_GB2312"/>
                <w:sz w:val="24"/>
                <w:highlight w:val="none"/>
              </w:rPr>
              <w:t xml:space="preserve">本项最高得5分，最低</w:t>
            </w:r>
            <w:r>
              <w:rPr>
                <w:rFonts w:hint="eastAsia" w:ascii="仿宋_GB2312" w:hAnsi="仿宋_GB2312" w:eastAsia="仿宋_GB2312" w:cs="仿宋_GB2312"/>
                <w:sz w:val="24"/>
                <w:highlight w:val="none"/>
                <w:lang w:val="en-US" w:eastAsia="zh-CN"/>
              </w:rPr>
              <w:t xml:space="preserve">得</w:t>
            </w:r>
            <w:r>
              <w:rPr>
                <w:rFonts w:hint="eastAsia" w:ascii="仿宋_GB2312" w:hAnsi="仿宋_GB2312" w:eastAsia="仿宋_GB2312" w:cs="仿宋_GB2312"/>
                <w:sz w:val="24"/>
                <w:highlight w:val="none"/>
              </w:rPr>
              <w:t xml:space="preserve">0分。</w:t>
            </w:r>
            <w:r>
              <w:rPr>
                <w:rFonts w:hint="eastAsia" w:ascii="仿宋_GB2312" w:hAnsi="仿宋_GB2312" w:eastAsia="仿宋_GB2312" w:cs="仿宋_GB2312"/>
                <w:b/>
                <w:bCs/>
                <w:sz w:val="24"/>
                <w:highlight w:val="none"/>
              </w:rPr>
              <w:t xml:space="preserve">（内容在《偏离表》中进行体现）</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是</w:t>
            </w:r>
            <w:r/>
          </w:p>
        </w:tc>
      </w:tr>
      <w:tr>
        <w:trPr>
          <w:jc w:val="center"/>
          <w:trHeight w:val="1047"/>
        </w:trPr>
        <w:tc>
          <w:tcPr>
            <w:tcW w:w="1380" w:type="dxa"/>
            <w:vAlign w:val="center"/>
            <w:vMerge w:val="restart"/>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服务部分（60分）</w:t>
            </w:r>
            <w:r/>
          </w:p>
        </w:tc>
        <w:tc>
          <w:tcPr>
            <w:tcW w:w="1443" w:type="dxa"/>
            <w:vAlign w:val="center"/>
            <w:textDirection w:val="lrTb"/>
            <w:noWrap w:val="false"/>
          </w:tcPr>
          <w:p>
            <w:pPr>
              <w:jc w:val="center"/>
              <w:rPr>
                <w:rFonts w:hint="eastAsia"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服务专员</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（4分）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为本项目提供4名（含）以上服务专员（承保、理赔、投诉服务）得4分。每减少1人扣1分，扣完为止。本项最高得4分，最低</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得</w:t>
            </w:r>
            <w:r>
              <w:rPr>
                <w:rFonts w:hint="eastAsia" w:ascii="仿宋_GB2312" w:hAnsi="仿宋_GB2312" w:eastAsia="仿宋_GB2312" w:cs="仿宋_GB2312"/>
                <w:color w:val="000000" w:themeColor="text1"/>
                <w:sz w:val="24"/>
                <w:highlight w:val="none"/>
                <w14:textFill>
                  <w14:solidFill>
                    <w14:schemeClr w14:val="tx1"/>
                  </w14:solidFill>
                </w14:textFill>
              </w:rPr>
              <w:t xml:space="preserve">0分，未提供</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者</w:t>
            </w:r>
            <w:r>
              <w:rPr>
                <w:rFonts w:hint="eastAsia" w:ascii="仿宋_GB2312" w:hAnsi="仿宋_GB2312" w:eastAsia="仿宋_GB2312" w:cs="仿宋_GB2312"/>
                <w:color w:val="000000" w:themeColor="text1"/>
                <w:sz w:val="24"/>
                <w:highlight w:val="none"/>
                <w14:textFill>
                  <w14:solidFill>
                    <w14:schemeClr w14:val="tx1"/>
                  </w14:solidFill>
                </w14:textFill>
              </w:rPr>
              <w:t xml:space="preserve">不得分。</w:t>
            </w:r>
            <w:r/>
          </w:p>
          <w:p>
            <w:pPr>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sz w:val="24"/>
                <w:highlight w:val="none"/>
                <w14:textFill>
                  <w14:solidFill>
                    <w14:schemeClr w14:val="tx1"/>
                  </w14:solidFill>
                </w14:textFill>
              </w:rPr>
              <w:t xml:space="preserve">注：须提供近6个月内任意1个月相关人员社保缴纳证明和用工合同关键页复印件。</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是</w:t>
            </w:r>
            <w:r/>
          </w:p>
        </w:tc>
      </w:tr>
      <w:tr>
        <w:trPr>
          <w:cantSplit/>
          <w:jc w:val="center"/>
          <w:trHeight w:val="2094"/>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承保服务</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方案</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（15分）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（1）投标人针对本项目提供详细的承保服务方案，方案包括不限于承保流程、投保时效、咨询服务及上门服务。对内容的全面性、针对性、可行性进行评价。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针对性(3分)：</w:t>
            </w:r>
            <w:r>
              <w:rPr>
                <w:rFonts w:hint="eastAsia" w:ascii="仿宋_GB2312" w:hAnsi="仿宋_GB2312" w:eastAsia="仿宋_GB2312" w:cs="仿宋_GB2312"/>
                <w:sz w:val="24"/>
                <w:highlight w:val="none"/>
              </w:rPr>
              <w:t xml:space="preserve">针对性强得3分；针对性较强得2分；针对性一般的得1分；欠缺针对性的得0分。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可行性（3分)：</w:t>
            </w:r>
            <w:r>
              <w:rPr>
                <w:rFonts w:hint="eastAsia" w:ascii="仿宋_GB2312" w:hAnsi="仿宋_GB2312" w:eastAsia="仿宋_GB2312" w:cs="仿宋_GB2312"/>
                <w:sz w:val="24"/>
                <w:highlight w:val="none"/>
              </w:rPr>
              <w:t xml:space="preserve">实际切实可行得3分；较切实可行得2分;可行性欠缺得1分；不具有可行性得0分；</w:t>
            </w:r>
            <w:r/>
          </w:p>
          <w:p>
            <w:pPr>
              <w:rPr>
                <w:rFonts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 xml:space="preserve">未提供的不得分。本项最高得9分，最低不得分。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（2）出单之前投保资料明确并附上投保资料，对内容的全面性、针对性进行评价。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针对性(3分)：</w:t>
            </w:r>
            <w:r>
              <w:rPr>
                <w:rFonts w:hint="eastAsia" w:ascii="仿宋_GB2312" w:hAnsi="仿宋_GB2312" w:eastAsia="仿宋_GB2312" w:cs="仿宋_GB2312"/>
                <w:sz w:val="24"/>
                <w:highlight w:val="none"/>
              </w:rPr>
              <w:t xml:space="preserve">针对性强得3分；针对性较强得2分；针对性一般的得1分；欠缺针对性的得0分。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未提供的不得分。本项最高得6分，最低不得分。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r>
        <w:trPr>
          <w:cantSplit/>
          <w:jc w:val="center"/>
          <w:trHeight w:val="4178"/>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理赔服务</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方案</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（15分）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明确表述理赔流程、理赔资料（根据理赔事故不同设置分类）、理赔时效（根据理赔案件金额）、理赔地址和邮寄地址（含联系人、电话）等手续，要求简单易懂、实操性强。对内容的全面性、针对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针对性(2分)：</w:t>
            </w:r>
            <w:r>
              <w:rPr>
                <w:rFonts w:hint="eastAsia" w:ascii="仿宋_GB2312" w:hAnsi="仿宋_GB2312" w:eastAsia="仿宋_GB2312" w:cs="仿宋_GB2312"/>
                <w:sz w:val="24"/>
                <w:highlight w:val="none"/>
              </w:rPr>
              <w:t xml:space="preserve">针对性强得2分；针对性较强得1分；针对性一般的得0.5分；欠缺针对性的得0分。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未提供的不得分。本项最高得5分，最低不得分。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（2）提供便于理赔的服务方案，对内容的全面性、针对性进行评价。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针对性(2分)：</w:t>
            </w:r>
            <w:r>
              <w:rPr>
                <w:rFonts w:hint="eastAsia" w:ascii="仿宋_GB2312" w:hAnsi="仿宋_GB2312" w:eastAsia="仿宋_GB2312" w:cs="仿宋_GB2312"/>
                <w:sz w:val="24"/>
                <w:highlight w:val="none"/>
              </w:rPr>
              <w:t xml:space="preserve">针对性强得2分；针对性较强得1分；针对性一般的得0.5分；欠缺针对性的得0分。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未提供的不得分。本项最高得5分，最低不得分。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（3）对于不易确定为意外伤害和重大疾病的案例有具体处置方案，对内容的全面性、针对性进行评价。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针对性(2分)：</w:t>
            </w:r>
            <w:r>
              <w:rPr>
                <w:rFonts w:hint="eastAsia" w:ascii="仿宋_GB2312" w:hAnsi="仿宋_GB2312" w:eastAsia="仿宋_GB2312" w:cs="仿宋_GB2312"/>
                <w:sz w:val="24"/>
                <w:highlight w:val="none"/>
              </w:rPr>
              <w:t xml:space="preserve">针对性强得2分；针对性较强得1分；针对性一般的得0.5分；欠缺针对性的得0分。</w:t>
            </w:r>
            <w:r/>
          </w:p>
          <w:p>
            <w:pPr>
              <w:rPr>
                <w:rFonts w:ascii="仿宋_GB2312" w:hAnsi="仿宋_GB2312" w:eastAsia="仿宋_GB2312" w:cs="仿宋_GB2312"/>
                <w:highlight w:val="none"/>
              </w:rPr>
            </w:pPr>
            <w:r>
              <w:rPr>
                <w:rFonts w:hint="eastAsia" w:ascii="仿宋_GB2312" w:hAnsi="仿宋_GB2312" w:eastAsia="仿宋_GB2312" w:cs="仿宋_GB2312"/>
                <w:sz w:val="24"/>
                <w:highlight w:val="none"/>
              </w:rPr>
              <w:t xml:space="preserve">未提供的不得分。本项最高得5分，最低不得分。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r>
        <w:trPr>
          <w:cantSplit/>
          <w:jc w:val="center"/>
          <w:trHeight w:val="1500"/>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宣传培训服务方案</w:t>
            </w:r>
            <w:r>
              <w:rPr>
                <w:rFonts w:hint="eastAsia" w:ascii="仿宋_GB2312" w:hAnsi="仿宋_GB2312" w:eastAsia="仿宋_GB2312" w:cs="仿宋_GB2312"/>
                <w:sz w:val="24"/>
                <w:highlight w:val="none"/>
              </w:rPr>
              <w:br/>
            </w:r>
            <w:r>
              <w:rPr>
                <w:rFonts w:hint="eastAsia" w:ascii="仿宋_GB2312" w:hAnsi="仿宋_GB2312" w:eastAsia="仿宋_GB2312" w:cs="仿宋_GB2312"/>
                <w:sz w:val="24"/>
                <w:highlight w:val="none"/>
              </w:rPr>
              <w:t xml:space="preserve">（10分）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针对投保单位分别设计不同宣传方式、宣传计划、培训方案等，详细、贴合实际并在中标合同签订后以短信、微信、发放告知书、送达服务彩页等方式告知残疾人或监护人。对内容的全面性、针对性、可行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全面性(4分)：</w:t>
            </w:r>
            <w:r>
              <w:rPr>
                <w:rFonts w:hint="eastAsia" w:ascii="仿宋_GB2312" w:hAnsi="仿宋_GB2312" w:eastAsia="仿宋_GB2312" w:cs="仿宋_GB2312"/>
                <w:sz w:val="24"/>
                <w:highlight w:val="none"/>
              </w:rPr>
              <w:t xml:space="preserve">全面具体详实得4分；较全面得3分；基本具备的得2分；存在较大漏项或缺陷得0分。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针对性(3分)：</w:t>
            </w:r>
            <w:r>
              <w:rPr>
                <w:rFonts w:hint="eastAsia" w:ascii="仿宋_GB2312" w:hAnsi="仿宋_GB2312" w:eastAsia="仿宋_GB2312" w:cs="仿宋_GB2312"/>
                <w:sz w:val="24"/>
                <w:highlight w:val="none"/>
              </w:rPr>
              <w:t xml:space="preserve">针对性强得3分；针对性较强得2分；针对性一般的得1分；欠缺针对性的得0分。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可行性（3分)：</w:t>
            </w:r>
            <w:r>
              <w:rPr>
                <w:rFonts w:hint="eastAsia" w:ascii="仿宋_GB2312" w:hAnsi="仿宋_GB2312" w:eastAsia="仿宋_GB2312" w:cs="仿宋_GB2312"/>
                <w:sz w:val="24"/>
                <w:highlight w:val="none"/>
              </w:rPr>
              <w:t xml:space="preserve">实际切实可行得3分；较切实可行得2分;可行性欠缺得1分；不具有可行性得0分；</w:t>
            </w:r>
            <w:r/>
          </w:p>
          <w:p>
            <w:pPr>
              <w:rPr>
                <w:rFonts w:ascii="仿宋_GB2312" w:hAnsi="仿宋_GB2312" w:eastAsia="仿宋_GB2312" w:cs="仿宋_GB2312"/>
                <w:highlight w:val="none"/>
              </w:rPr>
            </w:pPr>
            <w:r>
              <w:rPr>
                <w:rFonts w:hint="eastAsia" w:ascii="仿宋_GB2312" w:hAnsi="仿宋_GB2312" w:eastAsia="仿宋_GB2312" w:cs="仿宋_GB2312"/>
                <w:sz w:val="24"/>
                <w:highlight w:val="none"/>
              </w:rPr>
              <w:t xml:space="preserve">未提供的不得分。本项最高得10分，最低不得分。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r>
        <w:trPr>
          <w:cantSplit/>
          <w:jc w:val="center"/>
          <w:trHeight w:val="727"/>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优惠服务</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方案</w:t>
            </w:r>
            <w:r>
              <w:rPr>
                <w:rFonts w:hint="eastAsia" w:ascii="仿宋_GB2312" w:hAnsi="仿宋_GB2312" w:eastAsia="仿宋_GB2312" w:cs="仿宋_GB2312"/>
                <w:sz w:val="24"/>
                <w:highlight w:val="none"/>
              </w:rPr>
              <w:br/>
            </w:r>
            <w:r>
              <w:rPr>
                <w:rFonts w:hint="eastAsia" w:ascii="仿宋_GB2312" w:hAnsi="仿宋_GB2312" w:eastAsia="仿宋_GB2312" w:cs="仿宋_GB2312"/>
                <w:sz w:val="24"/>
                <w:highlight w:val="none"/>
              </w:rPr>
              <w:t xml:space="preserve">（10分）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对投标人提供的优惠服务方案内容的全面性、针对性、可行性进行评价。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针对性(4分)：</w:t>
            </w:r>
            <w:r>
              <w:rPr>
                <w:rFonts w:hint="eastAsia" w:ascii="仿宋_GB2312" w:hAnsi="仿宋_GB2312" w:eastAsia="仿宋_GB2312" w:cs="仿宋_GB2312"/>
                <w:sz w:val="24"/>
                <w:highlight w:val="none"/>
              </w:rPr>
              <w:t xml:space="preserve">针对性强得4分；针对性较强得3分；针对性一般的得2分；欠缺针对性的得0分。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可行性（3分)：</w:t>
            </w:r>
            <w:r>
              <w:rPr>
                <w:rFonts w:hint="eastAsia" w:ascii="仿宋_GB2312" w:hAnsi="仿宋_GB2312" w:eastAsia="仿宋_GB2312" w:cs="仿宋_GB2312"/>
                <w:sz w:val="24"/>
                <w:highlight w:val="none"/>
              </w:rPr>
              <w:t xml:space="preserve">实际切实可行得3分；较切实可行得2分;可行性欠缺得1分；不具有可行性得0分；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未提供的不得分。本项最高得10分，最低不得分。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r>
        <w:trPr>
          <w:cantSplit/>
          <w:jc w:val="center"/>
          <w:trHeight w:val="421"/>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业务制度</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（6分）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（1）根据投标人为本项目制定的投诉管理制度内容打分，方案实际切实可行得3分；较切实可行得2分；可行性一般得1分，可行性欠缺得0分。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根据投标人为本项目拟定的服务过程中可能出现的突发应急预案打分，应急预案包括但不限于应急事件、应急团队、应急联系方式、应急制度、应急协调和相关保障措施等。方案实际切实可行得3分；较切实可行得2分；可行性一般得1分，可行性欠缺得0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bl>
    <w:p>
      <w:pPr>
        <w:pStyle w:val="1206"/>
        <w:widowControl/>
        <w:rPr>
          <w:rFonts w:ascii="仿宋_GB2312" w:hAnsi="仿宋_GB2312" w:eastAsia="仿宋_GB2312" w:cs="仿宋_GB2312"/>
          <w:sz w:val="24"/>
          <w:highlight w:val="none"/>
        </w:rPr>
      </w:pPr>
      <w:r>
        <w:rPr>
          <w:rFonts w:hint="eastAsia" w:ascii="仿宋_GB2312" w:hAnsi="仿宋_GB2312" w:eastAsia="仿宋_GB2312" w:cs="仿宋_GB2312"/>
          <w:sz w:val="30"/>
          <w:szCs w:val="30"/>
          <w:highlight w:val="none"/>
        </w:rPr>
        <w:tab/>
      </w:r>
      <w:r>
        <w:rPr>
          <w:rFonts w:hint="eastAsia" w:ascii="仿宋_GB2312" w:hAnsi="仿宋_GB2312" w:eastAsia="仿宋_GB2312" w:cs="仿宋_GB2312"/>
          <w:sz w:val="24"/>
          <w:highlight w:val="none"/>
        </w:rPr>
        <w:t xml:space="preserve">本章说明：本项目采用综合评分法（</w:t>
      </w:r>
      <w:r>
        <w:rPr>
          <w:rFonts w:hint="eastAsia" w:ascii="仿宋_GB2312" w:hAnsi="仿宋_GB2312" w:eastAsia="仿宋_GB2312" w:cs="仿宋_GB2312"/>
          <w:sz w:val="24"/>
          <w:highlight w:val="none"/>
          <w:lang w:val="en-US" w:eastAsia="zh-CN"/>
        </w:rPr>
        <w:t xml:space="preserve">投标人</w:t>
      </w:r>
      <w:r>
        <w:rPr>
          <w:rFonts w:hint="eastAsia" w:ascii="仿宋_GB2312" w:hAnsi="仿宋_GB2312" w:eastAsia="仿宋_GB2312" w:cs="仿宋_GB2312"/>
          <w:sz w:val="24"/>
          <w:highlight w:val="none"/>
        </w:rPr>
        <w:t xml:space="preserve">技术部分得分取所有评委的平均值，保留小数点后二位）。</w:t>
      </w:r>
      <w:r/>
    </w:p>
    <w:p>
      <w:pPr>
        <w:pStyle w:val="1205"/>
        <w:jc w:val="both"/>
        <w:keepLines/>
        <w:keepNext/>
        <w:pageBreakBefore w:val="0"/>
        <w:spacing w:line="240" w:lineRule="auto"/>
        <w:widowControl w:val="off"/>
        <w:rPr>
          <w:rFonts w:hint="default" w:ascii="Times New Roman" w:hAnsi="Times New Roman" w:eastAsia="仿宋" w:cs="Times New Roman"/>
          <w:sz w:val="28"/>
          <w:szCs w:val="28"/>
          <w:highlight w:val="none"/>
        </w:rPr>
        <w:outlineLvl w:val="9"/>
      </w:pPr>
      <w:r>
        <w:rPr>
          <w:rFonts w:hint="default" w:ascii="Times New Roman" w:hAnsi="Times New Roman" w:eastAsia="仿宋" w:cs="Times New Roman"/>
          <w:sz w:val="28"/>
          <w:szCs w:val="28"/>
          <w:highlight w:val="none"/>
        </w:rPr>
      </w:r>
      <w:r/>
    </w:p>
    <w:p>
      <w:pPr>
        <w:pStyle w:val="1205"/>
        <w:rPr>
          <w:rFonts w:hint="default" w:ascii="Times New Roman" w:hAnsi="Times New Roman" w:cs="Times New Roman"/>
          <w:highlight w:val="none"/>
        </w:rPr>
      </w:pPr>
      <w:r>
        <w:rPr>
          <w:rFonts w:hint="default" w:ascii="Times New Roman" w:hAnsi="Times New Roman" w:cs="Times New Roman"/>
          <w:highlight w:val="none"/>
        </w:rPr>
        <w:br w:type="page" w:clear="all"/>
      </w:r>
      <w:bookmarkStart w:id="62" w:name="_Toc19714"/>
      <w:r/>
      <w:bookmarkStart w:id="63" w:name="_Toc14501"/>
      <w:r/>
      <w:bookmarkStart w:id="64" w:name="_Toc3146"/>
      <w:r>
        <w:rPr>
          <w:rFonts w:hint="default" w:ascii="Times New Roman" w:hAnsi="Times New Roman" w:eastAsia="方正小标宋_GBK" w:cs="Times New Roman"/>
          <w:b w:val="0"/>
          <w:bCs w:val="0"/>
          <w:highlight w:val="none"/>
        </w:rPr>
        <w:t xml:space="preserve">第五章  拟签订的合同文本</w:t>
      </w:r>
      <w:bookmarkEnd w:id="61"/>
      <w:r/>
      <w:bookmarkEnd w:id="62"/>
      <w:r/>
      <w:bookmarkEnd w:id="63"/>
      <w:r/>
      <w:bookmarkEnd w:id="64"/>
      <w:r/>
      <w:r/>
    </w:p>
    <w:p>
      <w:pPr>
        <w:spacing w:after="12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spacing w:after="12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项目名称：</w:t>
      </w:r>
      <w:r>
        <w:rPr>
          <w:rFonts w:hint="default" w:ascii="Times New Roman" w:hAnsi="Times New Roman" w:eastAsia="仿宋_GB2312" w:cs="Times New Roman"/>
          <w:sz w:val="28"/>
          <w:szCs w:val="28"/>
          <w:highlight w:val="none"/>
          <w:lang w:eastAsia="zh-CN"/>
        </w:rPr>
        <w:t xml:space="preserve">徐州市残疾人团体专属保险</w:t>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项目编号：</w:t>
      </w:r>
      <w:r>
        <w:rPr>
          <w:rFonts w:hint="default" w:ascii="Times New Roman" w:hAnsi="Times New Roman" w:eastAsia="仿宋_GB2312" w:cs="Times New Roman"/>
          <w:color w:val="auto"/>
          <w:sz w:val="24"/>
          <w:szCs w:val="24"/>
          <w:highlight w:val="none"/>
        </w:rPr>
        <w:t xml:space="preserve">JSZC-320300-SRJJ-G2026-0001</w:t>
      </w:r>
      <w:r/>
    </w:p>
    <w:p>
      <w:pPr>
        <w:jc w:val="center"/>
        <w:spacing w:after="120"/>
        <w:rPr>
          <w:rFonts w:hint="default" w:ascii="Times New Roman" w:hAnsi="Times New Roman" w:eastAsia="仿宋_GB2312" w:cs="Times New Roman"/>
          <w:sz w:val="48"/>
          <w:szCs w:val="48"/>
          <w:highlight w:val="none"/>
        </w:rPr>
      </w:pPr>
      <w:r>
        <w:rPr>
          <w:rFonts w:hint="default" w:ascii="Times New Roman" w:hAnsi="Times New Roman" w:eastAsia="仿宋_GB2312" w:cs="Times New Roman"/>
          <w:sz w:val="48"/>
          <w:szCs w:val="48"/>
          <w:highlight w:val="none"/>
        </w:rPr>
      </w:r>
      <w:r/>
    </w:p>
    <w:p>
      <w:pPr>
        <w:jc w:val="center"/>
        <w:spacing w:after="120"/>
        <w:rPr>
          <w:rFonts w:hint="default" w:ascii="Times New Roman" w:hAnsi="Times New Roman" w:eastAsia="仿宋_GB2312" w:cs="Times New Roman"/>
          <w:sz w:val="48"/>
          <w:szCs w:val="48"/>
          <w:highlight w:val="none"/>
        </w:rPr>
      </w:pPr>
      <w:r>
        <w:rPr>
          <w:rFonts w:hint="default" w:ascii="Times New Roman" w:hAnsi="Times New Roman" w:eastAsia="仿宋_GB2312" w:cs="Times New Roman"/>
          <w:sz w:val="48"/>
          <w:szCs w:val="48"/>
          <w:highlight w:val="none"/>
        </w:rPr>
      </w:r>
      <w:r/>
    </w:p>
    <w:p>
      <w:pPr>
        <w:jc w:val="center"/>
        <w:spacing w:after="120"/>
        <w:rPr>
          <w:rFonts w:hint="default" w:ascii="Times New Roman" w:hAnsi="Times New Roman" w:eastAsia="仿宋_GB2312" w:cs="Times New Roman"/>
          <w:sz w:val="48"/>
          <w:szCs w:val="48"/>
          <w:highlight w:val="none"/>
        </w:rPr>
      </w:pPr>
      <w:r>
        <w:rPr>
          <w:rFonts w:hint="default" w:ascii="Times New Roman" w:hAnsi="Times New Roman" w:eastAsia="仿宋_GB2312" w:cs="Times New Roman"/>
          <w:sz w:val="48"/>
          <w:szCs w:val="48"/>
          <w:highlight w:val="none"/>
        </w:rPr>
      </w:r>
      <w:r/>
    </w:p>
    <w:p>
      <w:pPr>
        <w:jc w:val="center"/>
        <w:spacing w:after="120"/>
        <w:rPr>
          <w:rFonts w:hint="default" w:ascii="Times New Roman" w:hAnsi="Times New Roman" w:eastAsia="仿宋_GB2312" w:cs="Times New Roman"/>
          <w:sz w:val="48"/>
          <w:szCs w:val="48"/>
          <w:highlight w:val="none"/>
        </w:rPr>
      </w:pPr>
      <w:r>
        <w:rPr>
          <w:rFonts w:hint="default" w:ascii="Times New Roman" w:hAnsi="Times New Roman" w:eastAsia="仿宋_GB2312" w:cs="Times New Roman"/>
          <w:sz w:val="48"/>
          <w:szCs w:val="48"/>
          <w:highlight w:val="none"/>
        </w:rPr>
        <w:t xml:space="preserve">政府采购合同</w:t>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jc w:val="cente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jc w:val="cente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jc w:val="cente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left="3360" w:hanging="3360"/>
        <w:jc w:val="center"/>
        <w:keepLines w:val="0"/>
        <w:keepNext w:val="0"/>
        <w:pageBreakBefore w:val="0"/>
        <w:spacing w:after="120"/>
        <w:widowControl w:val="off"/>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left="3356" w:hanging="1680"/>
        <w:jc w:val="both"/>
        <w:keepLines w:val="0"/>
        <w:keepNext w:val="0"/>
        <w:pageBreakBefore w:val="0"/>
        <w:spacing w:after="120"/>
        <w:widowControl w:val="off"/>
        <w:rPr>
          <w:rFonts w:hint="default" w:ascii="Times New Roman" w:hAnsi="Times New Roman" w:eastAsia="仿宋_GB2312" w:cs="Times New Roman"/>
          <w:sz w:val="28"/>
          <w:szCs w:val="28"/>
          <w:highlight w:val="none"/>
          <w:lang w:eastAsia="zh-CN"/>
        </w:rPr>
      </w:pPr>
      <w:r>
        <w:rPr>
          <w:rFonts w:hint="default" w:ascii="Times New Roman" w:hAnsi="Times New Roman" w:eastAsia="仿宋_GB2312" w:cs="Times New Roman"/>
          <w:sz w:val="28"/>
          <w:szCs w:val="28"/>
          <w:highlight w:val="none"/>
        </w:rPr>
        <w:t xml:space="preserve">采  购  人：</w:t>
      </w:r>
      <w:r>
        <w:rPr>
          <w:rFonts w:hint="default" w:ascii="Times New Roman" w:hAnsi="Times New Roman" w:eastAsia="仿宋_GB2312" w:cs="Times New Roman"/>
          <w:sz w:val="28"/>
          <w:szCs w:val="28"/>
          <w:highlight w:val="none"/>
          <w:lang w:eastAsia="zh-CN"/>
        </w:rPr>
        <w:t xml:space="preserve">徐州市残疾人联合会</w:t>
      </w:r>
      <w:r/>
    </w:p>
    <w:p>
      <w:pPr>
        <w:ind w:firstLine="1680"/>
        <w:jc w:val="both"/>
        <w:keepLines w:val="0"/>
        <w:keepNext w:val="0"/>
        <w:pageBreakBefore w:val="0"/>
        <w:spacing w:after="120"/>
        <w:widowControl w:val="off"/>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成交供应商：</w:t>
      </w:r>
      <w:r/>
    </w:p>
    <w:p>
      <w:pPr>
        <w:jc w:val="cente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合同签订日期：</w:t>
      </w:r>
      <w:r>
        <w:rPr>
          <w:rFonts w:hint="eastAsia" w:eastAsia="仿宋_GB2312" w:cs="Times New Roman"/>
          <w:sz w:val="28"/>
          <w:szCs w:val="28"/>
          <w:highlight w:val="none"/>
          <w:lang w:val="en-US" w:eastAsia="zh-CN"/>
        </w:rPr>
        <w:t xml:space="preserve"> </w:t>
      </w:r>
      <w:r>
        <w:rPr>
          <w:rFonts w:hint="default" w:ascii="Times New Roman" w:hAnsi="Times New Roman" w:eastAsia="仿宋_GB2312" w:cs="Times New Roman"/>
          <w:sz w:val="28"/>
          <w:szCs w:val="28"/>
          <w:highlight w:val="none"/>
        </w:rPr>
        <w:t xml:space="preserve"> 年 月 日</w:t>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友情提醒：采购人与中标、成交供应商应当在中标、成交通知书发出之日起三十日内，按照采购文件确定的事项签订政府采购合同。</w:t>
      </w:r>
      <w:r/>
    </w:p>
    <w:p>
      <w:pPr>
        <w:spacing w:after="120"/>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default" w:ascii="Times New Roman" w:hAnsi="Times New Roman" w:cs="Times New Roman"/>
          <w:highlight w:val="none"/>
        </w:rPr>
      </w:pPr>
      <w:r>
        <w:rPr>
          <w:rFonts w:hint="default" w:ascii="Times New Roman" w:hAnsi="Times New Roman" w:cs="Times New Roman"/>
          <w:highlight w:val="none"/>
        </w:rPr>
      </w:r>
      <w:r/>
    </w:p>
    <w:p>
      <w:pPr>
        <w:pStyle w:val="1270"/>
        <w:ind w:left="0" w:firstLine="560"/>
        <w:spacing w:line="440" w:lineRule="exac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rPr>
          <w:rFonts w:hint="default" w:ascii="Times New Roman" w:hAnsi="Times New Roman" w:eastAsia="仿宋" w:cs="Times New Roman"/>
          <w:sz w:val="28"/>
          <w:szCs w:val="28"/>
          <w:highlight w:val="none"/>
        </w:rPr>
      </w:pPr>
      <w:r/>
      <w:bookmarkStart w:id="65" w:name="_Toc522790135"/>
      <w:r/>
      <w:bookmarkStart w:id="66" w:name="_Toc24737"/>
      <w:r>
        <w:rPr>
          <w:rFonts w:hint="default" w:ascii="Times New Roman" w:hAnsi="Times New Roman" w:eastAsia="仿宋" w:cs="Times New Roman"/>
          <w:sz w:val="28"/>
          <w:szCs w:val="28"/>
          <w:highlight w:val="none"/>
        </w:rPr>
        <w:br w:type="page" w:clear="all"/>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甲方：                                      </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乙方：                                      </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sz w:val="24"/>
          <w:szCs w:val="24"/>
          <w:highlight w:val="none"/>
        </w:rPr>
        <w:t xml:space="preserve">根据市残联、市财政《关于印发&lt;主城区持证残疾人及接受省残疾儿童基本康复项目</w:t>
      </w:r>
      <w:r>
        <w:rPr>
          <w:rFonts w:hint="default" w:ascii="Times New Roman" w:hAnsi="Times New Roman" w:eastAsia="仿宋_GB2312" w:cs="Times New Roman"/>
          <w:color w:val="auto"/>
          <w:sz w:val="24"/>
          <w:szCs w:val="24"/>
          <w:highlight w:val="none"/>
        </w:rPr>
        <w:t xml:space="preserve">服务对象意外伤害团体险办理工作的实施意见&gt;的通知》（徐残发〔2016〕28号、徐财社〔2016〕27号）和省残联办公室印发《残疾人专属团体综合保险》的精神，甲方与通过公开招标的采购方式确定的乙方经过协商，本着平等协作和诚实信用的原则，签订如下合同：</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第一条 甲方为持有第二代《中华人民共和国残疾人证》的人员及本年度接受省残疾儿童基本康复项目的服务对象向乙方投保。</w:t>
      </w:r>
      <w:r/>
    </w:p>
    <w:p>
      <w:pPr>
        <w:ind w:firstLine="480"/>
        <w:jc w:val="left"/>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第二条 残疾人团体专属保险保费为每人每年</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u w:val="single"/>
          <w:lang w:val="en-US" w:eastAsia="zh-CN"/>
        </w:rPr>
        <w:t xml:space="preserve">   </w:t>
      </w:r>
      <w:r>
        <w:rPr>
          <w:rFonts w:hint="default" w:ascii="Times New Roman" w:hAnsi="Times New Roman" w:eastAsia="仿宋_GB2312" w:cs="Times New Roman"/>
          <w:color w:val="auto"/>
          <w:sz w:val="24"/>
          <w:szCs w:val="24"/>
          <w:highlight w:val="none"/>
        </w:rPr>
        <w:t xml:space="preserve">元，参保人员数量</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人，保费</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元（大写：</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人民币）。</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经双方协商一致，选择以下第</w:t>
      </w:r>
      <w:r>
        <w:rPr>
          <w:rFonts w:hint="default" w:ascii="Times New Roman" w:hAnsi="Times New Roman" w:eastAsia="仿宋_GB2312" w:cs="Times New Roman"/>
          <w:sz w:val="24"/>
          <w:szCs w:val="24"/>
          <w:highlight w:val="none"/>
          <w:u w:val="single"/>
        </w:rPr>
        <w:t xml:space="preserve">   </w:t>
      </w:r>
      <w:r>
        <w:rPr>
          <w:rFonts w:hint="default" w:ascii="Times New Roman" w:hAnsi="Times New Roman" w:eastAsia="仿宋_GB2312" w:cs="Times New Roman"/>
          <w:sz w:val="24"/>
          <w:szCs w:val="24"/>
          <w:highlight w:val="none"/>
        </w:rPr>
        <w:t xml:space="preserve">种付款方式：</w:t>
      </w:r>
      <w:r/>
    </w:p>
    <w:p>
      <w:pPr>
        <w:ind w:firstLine="482"/>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（一）付款方式一：提交预付款保函的</w:t>
      </w:r>
      <w:r/>
    </w:p>
    <w:p>
      <w:pPr>
        <w:ind w:firstLine="480"/>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合同价款的</w:t>
      </w:r>
      <w:r>
        <w:rPr>
          <w:rFonts w:hint="default" w:ascii="Times New Roman" w:hAnsi="Times New Roman" w:eastAsia="仿宋_GB2312" w:cs="Times New Roman"/>
          <w:b w:val="0"/>
          <w:bCs w:val="0"/>
          <w:sz w:val="24"/>
          <w:szCs w:val="24"/>
          <w:highlight w:val="none"/>
          <w:u w:val="single"/>
        </w:rPr>
        <w:t xml:space="preserve">百分之一百</w:t>
      </w:r>
      <w:r>
        <w:rPr>
          <w:rFonts w:hint="default" w:ascii="Times New Roman" w:hAnsi="Times New Roman" w:eastAsia="仿宋_GB2312" w:cs="Times New Roman"/>
          <w:b w:val="0"/>
          <w:bCs w:val="0"/>
          <w:sz w:val="24"/>
          <w:szCs w:val="24"/>
          <w:highlight w:val="none"/>
        </w:rPr>
        <w:t xml:space="preserve">(</w:t>
      </w:r>
      <w:r>
        <w:rPr>
          <w:rFonts w:hint="default" w:ascii="Times New Roman" w:hAnsi="Times New Roman" w:eastAsia="仿宋_GB2312" w:cs="Times New Roman"/>
          <w:b w:val="0"/>
          <w:bCs w:val="0"/>
          <w:sz w:val="24"/>
          <w:szCs w:val="24"/>
          <w:highlight w:val="none"/>
          <w:u w:val="single"/>
        </w:rPr>
        <w:t xml:space="preserve">100%</w:t>
      </w:r>
      <w:r>
        <w:rPr>
          <w:rFonts w:hint="default" w:ascii="Times New Roman" w:hAnsi="Times New Roman" w:eastAsia="仿宋_GB2312" w:cs="Times New Roman"/>
          <w:b w:val="0"/>
          <w:bCs w:val="0"/>
          <w:sz w:val="24"/>
          <w:szCs w:val="24"/>
          <w:highlight w:val="none"/>
        </w:rPr>
        <w:t xml:space="preserve">)即￥</w:t>
      </w:r>
      <w:r>
        <w:rPr>
          <w:rFonts w:hint="default" w:ascii="Times New Roman" w:hAnsi="Times New Roman" w:eastAsia="仿宋_GB2312" w:cs="Times New Roman"/>
          <w:b w:val="0"/>
          <w:bCs w:val="0"/>
          <w:sz w:val="24"/>
          <w:szCs w:val="24"/>
          <w:highlight w:val="none"/>
          <w:u w:val="single"/>
        </w:rPr>
        <w:t xml:space="preserve">          </w:t>
      </w:r>
      <w:r>
        <w:rPr>
          <w:rFonts w:hint="default" w:ascii="Times New Roman" w:hAnsi="Times New Roman" w:eastAsia="仿宋_GB2312" w:cs="Times New Roman"/>
          <w:b w:val="0"/>
          <w:bCs w:val="0"/>
          <w:sz w:val="24"/>
          <w:szCs w:val="24"/>
          <w:highlight w:val="none"/>
        </w:rPr>
        <w:t xml:space="preserve">，大写：人民币</w:t>
      </w:r>
      <w:r>
        <w:rPr>
          <w:rFonts w:hint="default" w:ascii="Times New Roman" w:hAnsi="Times New Roman" w:eastAsia="仿宋_GB2312" w:cs="Times New Roman"/>
          <w:b w:val="0"/>
          <w:bCs w:val="0"/>
          <w:sz w:val="24"/>
          <w:szCs w:val="24"/>
          <w:highlight w:val="none"/>
          <w:u w:val="single"/>
        </w:rPr>
        <w:t xml:space="preserve">      </w:t>
      </w:r>
      <w:r>
        <w:rPr>
          <w:rFonts w:hint="default" w:ascii="Times New Roman" w:hAnsi="Times New Roman" w:eastAsia="仿宋_GB2312" w:cs="Times New Roman"/>
          <w:b w:val="0"/>
          <w:bCs w:val="0"/>
          <w:sz w:val="24"/>
          <w:szCs w:val="24"/>
          <w:highlight w:val="none"/>
        </w:rPr>
        <w:t xml:space="preserve">元整，在双方签订合同后30日内，乙方向甲方出具等额预付款保函后，由买方办理政府采购资金结算手续，经审核后支付给卖方。</w:t>
      </w:r>
      <w:r/>
    </w:p>
    <w:p>
      <w:pPr>
        <w:ind w:firstLine="480"/>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卖方需提交的支付文件包括：卖方出具的全额正式发票；</w:t>
      </w:r>
      <w:r/>
    </w:p>
    <w:p>
      <w:pPr>
        <w:ind w:firstLine="482"/>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（二）付款方式二：不提交预付款保函的</w:t>
      </w:r>
      <w:r/>
    </w:p>
    <w:p>
      <w:pPr>
        <w:ind w:firstLine="480"/>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在双方签订合同后30日内，甲方凭乙方开具的全额正式发票一次性支付合同价款的百分之一百(100%)，小写￥</w:t>
      </w:r>
      <w:r>
        <w:rPr>
          <w:rFonts w:hint="default" w:ascii="Times New Roman" w:hAnsi="Times New Roman" w:eastAsia="仿宋_GB2312" w:cs="Times New Roman"/>
          <w:b w:val="0"/>
          <w:bCs w:val="0"/>
          <w:sz w:val="24"/>
          <w:szCs w:val="24"/>
          <w:highlight w:val="none"/>
          <w:u w:val="single"/>
        </w:rPr>
        <w:t xml:space="preserve">          </w:t>
      </w:r>
      <w:r>
        <w:rPr>
          <w:rFonts w:hint="default" w:ascii="Times New Roman" w:hAnsi="Times New Roman" w:eastAsia="仿宋_GB2312" w:cs="Times New Roman"/>
          <w:b w:val="0"/>
          <w:bCs w:val="0"/>
          <w:sz w:val="24"/>
          <w:szCs w:val="24"/>
          <w:highlight w:val="none"/>
        </w:rPr>
        <w:t xml:space="preserve">，大写：人民币 </w:t>
      </w:r>
      <w:r>
        <w:rPr>
          <w:rFonts w:hint="default" w:ascii="Times New Roman" w:hAnsi="Times New Roman" w:eastAsia="仿宋_GB2312" w:cs="Times New Roman"/>
          <w:b w:val="0"/>
          <w:bCs w:val="0"/>
          <w:sz w:val="24"/>
          <w:szCs w:val="24"/>
          <w:highlight w:val="none"/>
          <w:u w:val="single"/>
        </w:rPr>
        <w:t xml:space="preserve">      </w:t>
      </w:r>
      <w:r>
        <w:rPr>
          <w:rFonts w:hint="default" w:ascii="Times New Roman" w:hAnsi="Times New Roman" w:eastAsia="仿宋_GB2312" w:cs="Times New Roman"/>
          <w:b w:val="0"/>
          <w:bCs w:val="0"/>
          <w:sz w:val="24"/>
          <w:szCs w:val="24"/>
          <w:highlight w:val="none"/>
        </w:rPr>
        <w:t xml:space="preserve">元整。</w:t>
      </w:r>
      <w:r/>
    </w:p>
    <w:p>
      <w:pPr>
        <w:pStyle w:val="1035"/>
        <w:ind w:left="0" w:firstLine="482"/>
        <w:keepLines w:val="0"/>
        <w:keepNext w:val="0"/>
        <w:pageBreakBefore w:val="0"/>
        <w:spacing w:after="0" w:line="360" w:lineRule="auto"/>
        <w:widowControl/>
        <w:rPr>
          <w:rFonts w:hint="default" w:ascii="Times New Roman" w:hAnsi="Times New Roman" w:eastAsia="仿宋_GB2312" w:cs="Times New Roman"/>
          <w:color w:val="auto"/>
          <w:sz w:val="24"/>
          <w:szCs w:val="24"/>
          <w:highlight w:val="none"/>
        </w:rPr>
        <w:outlineLvl w:val="9"/>
      </w:pPr>
      <w:r>
        <w:rPr>
          <w:rFonts w:hint="default" w:ascii="Times New Roman" w:hAnsi="Times New Roman" w:eastAsia="仿宋_GB2312" w:cs="Times New Roman"/>
          <w:color w:val="auto"/>
          <w:sz w:val="24"/>
          <w:szCs w:val="24"/>
          <w:highlight w:val="none"/>
        </w:rPr>
        <w:t xml:space="preserve">卖方需提交的支付文件包括：卖方出具的全额正式发票；</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第三条 甲方权利义务</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1.甲方应协助提供残疾人团体专属保险参保人员的投保资料。</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2.甲方应协助乙方进行残疾人团体专属保险宣传。</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3.甲方于签订政府采购后30日内向乙方的首席承保人一次性支付保费，付款前乙方的首席承保人按照实际支付金额向甲方开具发票。</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4.甲方有权对乙方的服务进行满意度调查，满意度分为：非常满意、满意、基本满意、不满意。调查的主体为基层残联工作人员和部分残疾人。</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第四条 乙方权利义务</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1.乙方应对甲方提供的投保资料及时投保，延续上一年度保单，不得提前或延迟。</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2.乙方每年应提供残疾人团体专属保险基本运行和管理必需的设备、政策宣传、业务培训等服务。</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3.乙方应确保参保地区的残疾人对本项目保险知晓率达70%以上。</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4.提供的增值配套服务详见乙方首席承保人的投标文件[标书编号：   ]。乙方在投标文件中承诺的增值配套服务必须按承诺及时履行，若未按投标文件承诺或未及时履行，甲方可视情况严重程度对乙方做出相应处理。</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5.乙方对甲方提供的参保人信息以及相关资料承担保密责任，不得用于其他用途，不得向第三方泄露。</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6.每季度次月10日前提供截止到上季度前的统计资料，包括理赔情况、索赔人员联系电话等，次年8月10日前提供年度汇总统计资料。</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7.乙方的履约保证金为中标价的5%，履约保证金放在乙方的账户上。</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第五条 共同责任</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1.甲乙双方合同履行的情况，以及残疾人团体专属保险赔付情况等按规定接受财政、审计等部门的监督。</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2.乙方在保险期间内出现新情况或遭遇突发事件，要及时通报甲方,并积极配合甲方协调处置。</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3.甲乙双方要对相关工作人员进行残疾人团体专属保险保障范围、理赔知识等方面的培训，以利于残疾人索赔。</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4.合同结束或提前终止前已发生但未结算的残疾人团体专属保险理赔款由乙方支付。甲乙双方协商有效办法，落实结算责任，保障参保人的权益。</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第六条 管理与评价</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1.乙方接受甲方的工作指导与监督检查。</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2.甲方有权邀请第三方专业机构组成考核小组对乙方相关工作进行评价，内容包括但不限于：本合同履行情况、理赔时限情况、服务质量情况、群众满意度等，乙方须积极配合。</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第七条 违约责任</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甲、乙双方因违反合同约定或发生其他严重损害参保人权益的情况，合同双方可以提前终止或解除合作，并就违约情况提请有关部门依法追究责任。</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乙方利用专业技术和行业信息优势之便，故意隐瞒和掩盖自身过失，违背承诺和未尽义务，甲方均可追究乙方的违约责任并索取赔偿，且不受合同时效的限制。</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第八条 违约处罚</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甲方调查的群众满意度，如不满意率达到总调查人数的20%及以上，将扣除乙方20%的履约保证金；发生服务对象群体性上访事件或重大负面舆情，影响保险工作正常推进的，取消其中标资格。</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color w:val="000000"/>
          <w:sz w:val="24"/>
          <w:szCs w:val="24"/>
          <w:highlight w:val="none"/>
        </w:rPr>
        <w:t xml:space="preserve">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hint="default" w:ascii="Times New Roman" w:hAnsi="Times New Roman" w:eastAsia="仿宋_GB2312" w:cs="Times New Roman"/>
          <w:sz w:val="24"/>
          <w:szCs w:val="24"/>
          <w:highlight w:val="none"/>
        </w:rPr>
        <w:t xml:space="preserve">有关残疾人团体专属保险争议时，可通过协商解决；协商不成的，可提请徐州仲裁委员会仲裁。</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第十一条 如乙方因非不可抗力原因不能履行合同，影响了参保人权益，甲方按政策规定履行职能，不予返还履约保证金，甲方赔付参保人员的保险费用由乙方承担并报相关部门追究其责任。</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第十二条 本项目招标文件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第十三条 保险期限自    年   月   日至    年  月  日止。</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第十四条 本合同在甲乙双方盖章后生效。</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第十五条 本合同其他未尽事宜由甲乙双方协商，签订协议或补充合同。</w:t>
      </w:r>
      <w:r/>
    </w:p>
    <w:p>
      <w:pPr>
        <w:ind w:firstLine="36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本合同一式</w:t>
      </w:r>
      <w:r>
        <w:rPr>
          <w:rFonts w:hint="default" w:ascii="Times New Roman" w:hAnsi="Times New Roman" w:eastAsia="仿宋_GB2312" w:cs="Times New Roman"/>
          <w:sz w:val="24"/>
          <w:szCs w:val="24"/>
          <w:highlight w:val="none"/>
          <w:u w:val="single"/>
          <w:lang w:val="en-US" w:eastAsia="zh-CN"/>
        </w:rPr>
        <w:t xml:space="preserve">   </w:t>
      </w:r>
      <w:r>
        <w:rPr>
          <w:rFonts w:hint="default" w:ascii="Times New Roman" w:hAnsi="Times New Roman" w:eastAsia="仿宋_GB2312" w:cs="Times New Roman"/>
          <w:sz w:val="24"/>
          <w:szCs w:val="24"/>
          <w:highlight w:val="none"/>
        </w:rPr>
        <w:t xml:space="preserve">份，甲、乙双方各执壹份，甲方主管部门备案壹份，具有同等法律效力。</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甲方（盖章）：</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代表：</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组织机构代码：</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联系人：</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电话：</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地址：</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日期：   年   月  日</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乙方（盖章）：</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代表：</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联系人：</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电话：</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地址：</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开户名称：</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银行帐号：</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开户行：</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业务/投诉电话：</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日期：   年   月  日</w:t>
      </w:r>
      <w:r/>
    </w:p>
    <w:p>
      <w:pPr>
        <w:ind w:firstLine="480"/>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r>
      <w:r/>
    </w:p>
    <w:p>
      <w:pPr>
        <w:ind w:firstLine="48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pStyle w:val="1205"/>
        <w:jc w:val="center"/>
        <w:rPr>
          <w:rFonts w:hint="default" w:ascii="Times New Roman" w:hAnsi="Times New Roman" w:eastAsia="方正小标宋_GBK" w:cs="Times New Roman"/>
          <w:b w:val="0"/>
          <w:bCs w:val="0"/>
          <w:highlight w:val="none"/>
        </w:rPr>
      </w:pPr>
      <w:r>
        <w:rPr>
          <w:rFonts w:hint="default" w:ascii="Times New Roman" w:hAnsi="Times New Roman" w:cs="Times New Roman"/>
          <w:highlight w:val="none"/>
        </w:rPr>
        <w:br w:type="page" w:clear="all"/>
      </w:r>
      <w:bookmarkStart w:id="67" w:name="_Toc28099"/>
      <w:r/>
      <w:bookmarkStart w:id="68" w:name="_Toc14088"/>
      <w:r>
        <w:rPr>
          <w:rFonts w:hint="default" w:ascii="Times New Roman" w:hAnsi="Times New Roman" w:eastAsia="方正小标宋_GBK" w:cs="Times New Roman"/>
          <w:b w:val="0"/>
          <w:bCs w:val="0"/>
          <w:highlight w:val="none"/>
        </w:rPr>
        <w:t xml:space="preserve">第六章  采购需求</w:t>
      </w:r>
      <w:bookmarkEnd w:id="65"/>
      <w:r/>
      <w:bookmarkEnd w:id="66"/>
      <w:r/>
      <w:bookmarkEnd w:id="67"/>
      <w:r/>
      <w:bookmarkEnd w:id="68"/>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一、政策文件</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《关于印发&lt;主城区持证残疾人及接受省残疾儿童基本康复项目服务对象意外伤害团体险办理工作的实施意见&gt;的通知》（徐残发〔2016〕28号、徐财社〔2016〕27号）。</w:t>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二、采购预算</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总预算169.2万元。</w:t>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三、保障内容</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1、保障对象</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徐州市主城区（云龙区、鼓楼区、泉山区、港务区）和经开区户籍范围内2026年7月31日24时持有第二代《中华人民共和国残疾人证》的残疾人及2026年度接受省残疾儿童基本康复项目的服务对象，参保人数约40000人左右，具体人数以规定时间段实际符合参保条件人数为准，无年龄限制。</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2、保险年度</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本项目保险期限1年。</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3、保费</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（1）保费为40元/人/年。</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（2）保费缴纳需承保人提供采购合同盖章件、保单、发票</w:t>
      </w:r>
      <w:r>
        <w:rPr>
          <w:rFonts w:hint="eastAsia" w:eastAsia="仿宋_GB2312" w:cs="Times New Roman"/>
          <w:color w:val="000000" w:themeColor="text1"/>
          <w:sz w:val="24"/>
          <w:szCs w:val="24"/>
          <w:highlight w:val="none"/>
          <w:lang w:val="en-US" w:eastAsia="zh-CN"/>
          <w14:textFill>
            <w14:solidFill>
              <w14:schemeClr w14:val="tx1"/>
            </w14:solidFill>
          </w14:textFill>
        </w:rPr>
        <w:t xml:space="preserve">后</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走流程支付。</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4、承保方式</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通过资格审查和符合性审查的投标人，按照评标报告确定的中标候选人名单中综合得分最高的1家为中标供应商，独家承保，不得转包。</w:t>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四、采购需求</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1、残疾人因意外伤害导致身故、新的残疾或等级加重以及产生的医疗费、住院津贴，承保公司按照保险合同约定的保险金额承担保险责任。</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在承保期间内初次确诊身患符合30种重大疾病+3种轻度疾病，承保公司按照保险合同约定的保险金额承担保险责任。疾病30种重大疾病包括：1、恶性肿瘤——重度2、较重急性心肌梗死3、严重脑中风后遗症4、重大器官移植术或造血干细胞移植术5、冠状动脉搭桥术（或称冠状动脉旁路移植术</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6、严重慢性肾衰竭7、多个肢体缺失8、急性重症肝炎或亚急性重症肝炎9、严重非恶性颅内肿瘤10、严重慢性肝衰竭11、严重脑炎后遗症或严重脑膜炎后遗症12、深度昏迷13、双耳失聪14、双目失明15、瘫痪16、心脏瓣膜手术17、严重阿尔茨海默病18、严重脑损伤19、严重原发性帕金森病20、严重Ⅲ度烧伤21、严重特发性肺动脉高压22、严重运动神经元病23、语言能力丧失24、重型再生障碍性贫血25、主动脉手术26、严重慢性呼吸衰竭27、严重克罗恩病28、严重溃疡性结肠炎29、严重原发性心肌病30、严重多发性硬化症。</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3种轻度疾病包括：1、恶性肿瘤——轻度2、较轻急性心肌梗死3、轻度脑中风后遗症。</w:t>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五、项目要求</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1、保单及合同生效日期如下</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自2026年8月1日至2027年7月31日止</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2、中标人必须在签订合同前在主城区及经开区建立专门的服务机构，指定专人负责，确定地点，形成完善的规章制度和服务体系，以便为服务对象办理承保、理赔、保费结算、投保信息汇总等业务。</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3、保险方案</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投标人需充分响应并不得低于设定的保险方案和附件中条款，投标文件（含基础条款、扩展条款、特约条款及说明承诺）须充分响应招标文件内容。</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特别约定：（1）投保人员无年龄限制。（2）首次确诊身患符合30种重大疾病+3种轻度疾病无等待期。（3）扩展治疗延长期：因同一保险事故在出险的下一年度保险期限治疗的，约定在出险当期保单内进行赔付，赔付金额以该项目保险的保额为限。（4）重大疾病住院医疗定额补贴为首次确诊，既往疾病不纳入赔付范围（5）理赔时效期为2年，以当期保单到期之日起计算。（6）被保险人的精神和行为障碍纳入承保责任。</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4、承保服务</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（1）采购人可向中标人提供投保清单（含：残疾人姓名、身份证号码、地址、电话、残疾类别、残疾证号）。</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（2）为确保项目的及时正常的运行，投保资料必须在出单前提供，各投保单位一次性盖章，不接受投保资料多次盖章或后补资料盖章。</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5、理赔服务</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（1）如有意外伤亡事件，理赔材料提供医院死亡证明、火化证明、户口注销证明（三个证明提供任意2个证明即可）。</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（2）除涉及因意外伤害赔付伤残外，不得强制要求残疾人提供残疾人证，以在保名单为准。</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（3）投标文件理赔地址不允许中标后修改，直接纳入宣传彩页中。</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（4）承保人每</w:t>
      </w:r>
      <w:bookmarkStart w:id="69" w:name="OLE_LINK20"/>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季度次月</w:t>
      </w:r>
      <w:bookmarkEnd w:id="69"/>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10日前将上季度详细理赔清单发送至采购人邮箱备查(至少包括：地区、保险名称、年度、保单号、保额、投保人、被保险人、参保人姓名、身份证号码、家庭地址、申请人、手机号、报案日期、出险日期、结案日期、赔付金额、出险经过[出险经过字段要求对应保障名称，例如意外住院、疾病住院、意外住院津贴]、出险地点）。调取理赔资料为采购人的权利，中标人不得要求采购人在调取理赔资料时另外向中标人签章。</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6、服务专员</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（1）除承保服务专员外，其余服务专员及其联系方式皆放入宣传彩页中，不接受中标后修改，如有改动，修改人员不得低于投标文件服务专员的工作年限，以盖章劳动合同为准，未提供不得修改。</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（2）若服务专员被投诉3次及以上，承保人需及时更换人员，更换人员不得低于投标文件服务专员的工作年限，以盖章劳动合同为准。</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7、宣传服务：中标人应根据保险政策及其承诺，在采购人指导下制定相关残疾人团体专属保险宣传彩页或残疾人服务卡及其他宣传方式讲政策宣传至所有投保对象，政策知晓率达到70%以上。中标人应对自己的服务专员及按照投保单位的要求进行保险培训。</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8、投标人的承诺不得有违反保险行业相关法律法规内容，否则作为无效投标处理。</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9、中标人应与采购人协商确定投保、送交保单、保费缴纳、材料交接、赔款划付等有关工作的具体操作程序和步骤，以利于做好徐州市残疾人团体专属保险的服务工作。</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10、中标承保的保险人在采购人的统一领导监督下，为参加本保险的被保险人提供全面、便捷、高效的保险服务。协助做好政策宣传、解释等工作。</w:t>
      </w:r>
      <w:r/>
    </w:p>
    <w:p>
      <w:pPr>
        <w:ind w:firstLine="482"/>
        <w:keepLines w:val="0"/>
        <w:keepNext w:val="0"/>
        <w:pageBreakBefore w:val="0"/>
        <w:spacing w:line="360" w:lineRule="auto"/>
        <w:widowControl w:val="off"/>
        <w:rPr>
          <w:rFonts w:hint="default" w:ascii="Times New Roman" w:hAnsi="Times New Roman" w:eastAsia="仿宋_GB2312" w:cs="Times New Roman"/>
          <w:b/>
          <w:bCs/>
          <w:color w:val="000000" w:themeColor="text1"/>
          <w:sz w:val="24"/>
          <w:szCs w:val="24"/>
          <w:highlight w:val="none"/>
          <w14:textFill>
            <w14:solidFill>
              <w14:schemeClr w14:val="tx1"/>
            </w14:solidFill>
          </w14:textFill>
        </w:rPr>
      </w:pPr>
      <w:r>
        <w:rPr>
          <w:rFonts w:hint="default" w:ascii="Times New Roman" w:hAnsi="Times New Roman" w:eastAsia="仿宋_GB2312" w:cs="Times New Roman"/>
          <w:b/>
          <w:bCs/>
          <w:color w:val="000000" w:themeColor="text1"/>
          <w:sz w:val="24"/>
          <w:szCs w:val="24"/>
          <w:highlight w:val="none"/>
          <w14:textFill>
            <w14:solidFill>
              <w14:schemeClr w14:val="tx1"/>
            </w14:solidFill>
          </w14:textFill>
        </w:rPr>
        <w:t xml:space="preserve">本项目要求为不允许偏离的实质性要求和条件</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（打“★”内容）</w:t>
      </w:r>
      <w:r>
        <w:rPr>
          <w:rFonts w:hint="default" w:ascii="Times New Roman" w:hAnsi="Times New Roman" w:eastAsia="仿宋_GB2312" w:cs="Times New Roman"/>
          <w:b/>
          <w:bCs/>
          <w:color w:val="000000" w:themeColor="text1"/>
          <w:sz w:val="24"/>
          <w:szCs w:val="24"/>
          <w:highlight w:val="none"/>
          <w14:textFill>
            <w14:solidFill>
              <w14:schemeClr w14:val="tx1"/>
            </w14:solidFill>
          </w14:textFill>
        </w:rPr>
        <w:t xml:space="preserve">，如有偏离，在符合性审查时按照投标无效处理。</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lang w:val="en-US" w:eastAsia="zh-CN"/>
          <w14:textFill>
            <w14:solidFill>
              <w14:schemeClr w14:val="tx1"/>
            </w14:solidFill>
          </w14:textFill>
        </w:rPr>
        <w:t xml:space="preserve">六</w:t>
      </w: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、其他要求：</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见招标文件</w:t>
      </w:r>
      <w:r>
        <w:rPr>
          <w:rFonts w:hint="eastAsia" w:eastAsia="仿宋_GB2312" w:cs="Times New Roman"/>
          <w:color w:val="000000" w:themeColor="text1"/>
          <w:sz w:val="24"/>
          <w:szCs w:val="24"/>
          <w:highlight w:val="none"/>
          <w:lang w:val="en-US" w:eastAsia="zh-CN"/>
          <w14:textFill>
            <w14:solidFill>
              <w14:schemeClr w14:val="tx1"/>
            </w14:solidFill>
          </w14:textFill>
        </w:rPr>
        <w:t xml:space="preserve">第四章《评标标准》、</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第五章《拟签订的合同文本》、参照附件条款</w:t>
      </w:r>
      <w:r>
        <w:rPr>
          <w:rFonts w:hint="eastAsia" w:eastAsia="仿宋_GB2312" w:cs="Times New Roman"/>
          <w:color w:val="000000" w:themeColor="text1"/>
          <w:sz w:val="24"/>
          <w:szCs w:val="24"/>
          <w:highlight w:val="none"/>
          <w:lang w:val="en-US" w:eastAsia="zh-CN"/>
          <w14:textFill>
            <w14:solidFill>
              <w14:schemeClr w14:val="tx1"/>
            </w14:solidFill>
          </w14:textFill>
        </w:rPr>
        <w:t xml:space="preserve">等</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w:t>
      </w:r>
      <w:r/>
    </w:p>
    <w:p>
      <w:pPr>
        <w:rPr>
          <w:rFonts w:hint="default" w:ascii="Times New Roman" w:hAnsi="Times New Roman" w:eastAsia="仿宋_GB2312" w:cs="Times New Roman"/>
          <w:color w:val="000000" w:themeColor="text1"/>
          <w:sz w:val="28"/>
          <w:szCs w:val="28"/>
          <w:highlight w:val="none"/>
          <w14:textFill>
            <w14:solidFill>
              <w14:schemeClr w14:val="tx1"/>
            </w14:solidFill>
          </w14:textFill>
        </w:rPr>
      </w:pPr>
      <w:r>
        <w:rPr>
          <w:rFonts w:hint="default" w:ascii="Times New Roman" w:hAnsi="Times New Roman" w:eastAsia="仿宋_GB2312" w:cs="Times New Roman"/>
          <w:color w:val="000000" w:themeColor="text1"/>
          <w:sz w:val="28"/>
          <w:szCs w:val="28"/>
          <w:highlight w:val="none"/>
          <w14:textFill>
            <w14:solidFill>
              <w14:schemeClr w14:val="tx1"/>
            </w14:solidFill>
          </w14:textFill>
        </w:rPr>
        <w:br w:type="page" w:clear="all"/>
      </w:r>
      <w:r/>
    </w:p>
    <w:p>
      <w:pPr>
        <w:pStyle w:val="1205"/>
        <w:jc w:val="both"/>
        <w:rPr>
          <w:rFonts w:hint="default" w:ascii="Times New Roman" w:hAnsi="Times New Roman" w:eastAsia="仿宋_GB2312" w:cs="Times New Roman"/>
          <w:sz w:val="28"/>
          <w:szCs w:val="28"/>
          <w:highlight w:val="none"/>
        </w:rPr>
        <w:outlineLvl w:val="9"/>
      </w:pPr>
      <w:r/>
      <w:bookmarkStart w:id="70" w:name="_Toc6621"/>
      <w:r/>
      <w:bookmarkStart w:id="71" w:name="_Toc21203"/>
      <w:r/>
      <w:bookmarkStart w:id="72" w:name="_Toc29111_WPSOffice_Level1"/>
      <w:r/>
      <w:bookmarkStart w:id="73" w:name="_Toc10237"/>
      <w:r/>
      <w:bookmarkStart w:id="74" w:name="_Toc31027"/>
      <w:r>
        <w:rPr>
          <w:rFonts w:hint="default" w:ascii="Times New Roman" w:hAnsi="Times New Roman" w:eastAsia="仿宋_GB2312" w:cs="Times New Roman"/>
          <w:sz w:val="28"/>
          <w:szCs w:val="28"/>
          <w:highlight w:val="none"/>
          <w:lang w:val="en-US" w:eastAsia="zh-CN"/>
        </w:rPr>
        <w:t xml:space="preserve">附件：</w:t>
      </w:r>
      <w:r>
        <w:rPr>
          <w:rFonts w:hint="default" w:ascii="Times New Roman" w:hAnsi="Times New Roman" w:eastAsia="仿宋_GB2312" w:cs="Times New Roman"/>
          <w:sz w:val="28"/>
          <w:szCs w:val="28"/>
          <w:highlight w:val="none"/>
        </w:rPr>
        <w:t xml:space="preserve"> 保险条款、附加条款</w:t>
      </w:r>
      <w:bookmarkEnd w:id="70"/>
      <w:r/>
      <w:bookmarkEnd w:id="71"/>
      <w:r/>
      <w:bookmarkEnd w:id="72"/>
      <w:r/>
      <w:bookmarkEnd w:id="73"/>
      <w:r/>
      <w:bookmarkEnd w:id="74"/>
      <w:r/>
      <w:r/>
    </w:p>
    <w:p>
      <w:pPr>
        <w:pStyle w:val="1206"/>
        <w:ind w:firstLine="480"/>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注：本文件中所列条款援引某保险公司报备条款（仅供参考），具体按中标公司承保所报备条款为准。</w:t>
      </w:r>
      <w:r/>
    </w:p>
    <w:p>
      <w:pPr>
        <w:jc w:val="center"/>
        <w:keepLines w:val="0"/>
        <w:keepNext w:val="0"/>
        <w:widowControl/>
        <w:rPr>
          <w:rFonts w:hint="default" w:ascii="Times New Roman" w:hAnsi="Times New Roman" w:eastAsia="仿宋_GB2312" w:cs="Times New Roman"/>
          <w:sz w:val="28"/>
          <w:szCs w:val="28"/>
          <w:highlight w:val="none"/>
        </w:rPr>
        <w:suppressLineNumbers w:val="0"/>
      </w:pPr>
      <w:r>
        <w:rPr>
          <w:rFonts w:hint="default" w:ascii="Times New Roman" w:hAnsi="Times New Roman" w:eastAsia="仿宋_GB2312" w:cs="Times New Roman"/>
          <w:b/>
          <w:bCs/>
          <w:color w:val="000000"/>
          <w:sz w:val="28"/>
          <w:szCs w:val="28"/>
          <w:highlight w:val="none"/>
          <w:lang w:val="en-US" w:eastAsia="zh-CN" w:bidi="ar"/>
        </w:rPr>
        <w:t xml:space="preserve">意外伤害保险条款</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1.1合同构成</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本保险合同由保险条款、投保单、保险单或其他保险凭证、批单组成。凡涉及本保险合同的约定，均应采用书面形式。</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1.2被保险人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年龄在10周岁（释义见8.1）至65周岁、身体健康、能正常工作或正常生活的投保团体中的成员或其家庭成员可作为本保险合同的被保险人。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经保险人同意，并在保险合同中约定，被保险人身体健康的配偶（65周岁以下）、子女（指未满18周岁的子女，在全日制学校就读可放宽至23周岁）和父母（65周岁以下）可作为本保险合同的被保险人，但需该部分人员书面同意。</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1.2.1被保资格的获得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经保险人审核同意并出具保险单或批单，以上人员即可获得被保资格，成为被保险人。获得被保资格的日期为保险单所载的保险期间起始日或批单所载生效日，以两者间较晚的时间为准。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1.2.2被保资格的丧失或终止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在保险期间内，发生下列情况的，被保险人将自动丧失或终止被保资格，保险人对该被保险人所承担的保险责任随即终止：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（1）若某一被保险人因非保险事故身故的，则自其身故之日起该被保险人的被保资格丧失，未发生保险金给付的，保险人将退还该被保险人项下的现金价值（释义见8.2）；</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被保险人不再是投保团体中的成员，该被保险人（及其投保的配偶、子女或父母）被保资格将于其不再是该投保团体中的成员之日24时丧失，保险人将退还该被保险人（及其投保的配偶、子女或父母）项下的现金价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2保障内容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在保险期间内被保险人遭受意外伤害（释义见8.3），并因该意外伤害导致身故、残疾的，保险人依照下列约定给付保险金，且给付各项保险金之和不超过该被保险人的保险金额。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2.1.1身故保险责任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在保险期间内被保险人遭受意外伤害，并自意外伤害发生之日起180日内因该意外伤害身故的，保险人按保险金额给付身故保险金，对该被保险人的保险责任终止。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遭受意外伤害且自该意外伤害发生日起下落不明，后经人民法院宣告死亡的，保险人按保险金额给付身故保险金。但若被保险人被宣告死亡后生还的，保险金受领人应于知道或应当知道被保险人生还后30日内退还保险人给付的身故保险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被保险人身故前保险人已给付2.1.2约定的残疾保险金的，身故保险金应扣除已给付的保险金。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2.1.2残疾保险责任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被保险人遭受意外伤害，并自该意外伤害发生之日起180日内因该意外伤害造成本保险合同所附《人身保险伤残评定标准》（释义见8.4）（简称《评定标准》）所列伤残程度之一的，保险人按《评定标准》所对应伤残等级的给付比例乘以保险金额给付残疾保险金。如第180日治疗仍未结束的，按当日的身体情况进行伤残评定，并据此给付残疾保险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（1）被保险人因同一意外伤害造成两处或两处以上伤残时，保险人根据《评定标准》规定的多处伤残评定原则给付残疾保险金。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2.2责任免除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2.2.1原因除外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被保险人因下列原因而导致身故或残疾的，保险人不承担给付保险金责任：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（1）投保人的故意行为；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（2）故意自伤或自杀，但被保险人自杀时为无民事行为能力人的除外；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（3）因被保险人挑衅或故意行为而导致的打斗、被袭击或被谋杀；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（4）妊娠、流产、分娩、药物过敏；</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（5）接受包括美容、整容、整形手术在内的任何医疗行为而造成的意外；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（6）未遵医嘱服用、涂用、注射药物；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（7）受酒精、毒品、管制药物的影响；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（8）疾病，包括但不限于高原反应、中暑、猝死（释义见8.5）；</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（9）非因意外伤害导致的细菌或病毒感染；</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（10）任何生物、化学、原子能武器，原子能或核能装置所造成的爆炸、灼伤、污染或辐射；</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（11）恐怖袭击。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2.2.2期间除外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被保险人在下列期间遭受意外伤害导致身故或残疾的，保险人不承担给付保险金责任：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（1）战争、军事行动、武装叛乱或暴乱期间；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（2）从事违法、犯罪活动期间或被依法拘留、服刑、在逃期间；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（3）存在精神和行为障碍（以世界卫生组织颁布的《疾病和有关健康问题的国际统计分类（ICD-10）》为准）期间；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（4）酒后驾驶（释义见8.6）、无有效驾驶证（释义见8.7）驾驶或驾驶无有效行驶证（释义见8.8）的机动交通工具期间；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（5）从事高风险运动（释义见8.9）期间, 但被保险人作为专业运动员从事其专业运动除外；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（6）驾驶或搭乘非商业航班期间；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（7）患有艾滋病（AIDS）或感染艾滋病病毒（HIV）（释义见8.10）期间。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2.3保险金额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每一被保险人的保险金额是保险人承担给付该被保险人保险金责任的最高限额。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保险金额由投保人、保险人双方约定，并在保险单中载明。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若本保险合同设有每次意外伤害限额（释义见8.11）的，保险人对所有被保险人于任一次意外伤害中实际给付的保险金的总额不超过保险单所载的每次意外伤害限额。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每一被保险人的保险金额和每次意外伤害限额一经确定，在保险期间内不得变更。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2.4保险期间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除另有约定外，保险期间为1年，以保险单载明的起讫时间为准。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3投保人、被保险人义务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3.1交费义务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投保人应在保险合同成立时交清保险费。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3.2如实告知义务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投保人应如实填写投保单并回答保险人提出的询问，履行如实告知义务。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3.3职业或者工种变更通知义务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被保险人变更职业或工种时，投保人或被保险人应在10日内以书面形式通知保险人。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所变更的职业或工种，依照保险人职业分类其危险性减低的，保险人自接到通知后，自职业变更之日起，退还变更前后职业或工种对应的保险费差额；其危险性增加的，保险人在接到通知后，自职业变更之日起，增收变更前后职业或工种对应的保险费差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被保险人所变更的职业或工种依照保险人职业分类在拒保范围内的，保险人有权终止该被保险人的被保资格。被保资格自保险人接到通知之日的次日零时起终止，保险人退还该被保险人项下的现金价值。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变更职业或工种且未依照本保险合同约定通知保险人而发生保险事故的，若依照保险人职业分类不在拒保范围内但其危险性增加的，保险人按其原保险费与新职业或工种所对应的保险费的比例计算并给付保险金；若被保险人所变更的职业或工种依照保险人职业分类在拒保范围内的，保险人不承担给付保险金的责任，保险人退还现金价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3.4住址或通讯地址变更通知义务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投保人住所或通讯地址变更时，应及时以书面形式通知保险人。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3.5被保险人变动通知义务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在保险期间内，投保人因其人员变动，需增加、减少被保险人时，应以书面形式向保险人提出申请。保险人同意后出具批单，并在本保险合同中批注。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被保险人人数增加时，保险人在审核同意后，于收到申请之日的次日零时开始承担保险责任，并按约定增收相应的保险费。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人数减少时，保险人在审核同意后，于收到申请之日的次日零时起，对减少的被保险人终止保险责任，并按约定退还相应的保险费。减少后的被保险人人数不足其在职人员75%或人数低于5人时，保险人有权解除本保险合同，并按约定退还现金价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3.6其他内容变更通知义务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在保险期间内，投保人需变更合同其他内容的，应以书面形式向保险人提出申请。保险人同意后出具批单，并在本保险合同中批注。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3.7保险事故通知义务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发生保险责任范围内的事故后，投保人、被保险人或受益人应及时通知保险人，并书面说明事故发生的原因、经过和损失情况。</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 保险金申请与给付</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4.1保险金申请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释义见8.12）向保险人申请给付保险金时，应填写保险金给付申请书，并提交以下材料。保险人按照本保险合同的约定，认为有关的证明和资料不完整的，应当及时一次性通知保险金申请人补充提供。</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4.1.1身故保险金申请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（1）保险金给付申请书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（2）保险单原件；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（3）保险金申请人的身份证明；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（4）公安机关或司法部门、二级及二级以上医院或保险人认可的医疗机构出具的被保险人死亡证明或验尸报告。若被保险人为宣告死亡，保险金申请人应提供法院出具的宣告死亡证明文件；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（5）被保险人的户籍注销证明；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（6）保险金申请人所能提供的与确认保险事故的性质、原因、损失程度等有关的其他证明和资料。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4.1.2残疾保险金申请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（1）保险金给付申请书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（2）保险单原件；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（3）被保险人身份证明；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（4）司法部门、二级及二级以上医院或保险人认可的医疗机构、保险人认可的其他鉴定机构出具的残疾鉴定诊断书；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（5）保险金申请人所能提供的与确认保险事故的性质、原因、损失程度等有关的其他证明和资料。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4.2保险金的给付</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保险人在收到保险金申请人提交的本保险条款所列的材料后，应及时就是否属于保险责任做出核定，并将核定结果通知被保险人或受益人。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5保险合同解除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投保人解除合同的，保险人应当自收到解除合同通知之日起三十日内，按照合同约定退还保险单的现金价值。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6争议处理和法律适用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6.1争议处理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合同争议解决方式由当事人在合同约定从下列两种方式中选择一种：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（一）因履行本合同发生的争议，由当事人协商解决，协商不成的，提交保险单载明的仲裁委员会仲裁； </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（二）因履行本合同发生的争议，由当事人协商解决，协商不成的，依法向人民法院起诉。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6.2法律适用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与本保险合同有关的以及履行本保险合同产生的一切争议处理适用中华人民共和国法律（不包括港澳台地区法律）。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7合法性保证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本保险合同约定与《中华人民共和国保险法》等法律规定相悖之处，以法律规定为准。本保险合同未尽事宜，以法律规定为准。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8.1周岁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以法定身份证明文件中记载的出生日期为基础计算的实足年龄。</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8.2现金价值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除另有约定外，现金价值=保险费×[1-(保险单已经过天数/保险期间天数)] ×75%。经过天数不足一天的按一天计算。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8.3意外伤害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8.4《人身保险伤残评定标准》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指中国保险行业协会发布的人身保险伤残程度评定与保险金给付比例标准，详见《关于印发&lt;人身保险伤残评定标准&gt;的通知》（中保协发【2013】88号）。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8.5猝死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外表看似健康的人由于潜在的疾病或者功能障碍所引起的突然的出乎意料的死亡。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8.6酒后驾驶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8.7无有效驾驶证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被保险人存在下列情形之一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（1）无驾驶证或驾驶证有效期已届满；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（2）驾驶的机动车与驾驶证载明的准驾车型不符；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实习期内驾驶执行任务的警车、消防车、救护车、工程救险车；实习期内驾驶公共汽车、营运客车或者载有爆炸物品、易燃易爆化学物品、剧毒或者放射性等危险物品的机动车，实习期内驾驶的机动车牵引挂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（4）持未按规定审验的驾驶证，以及在暂扣、扣留、吊销、注销驾驶证期间驾驶机动车；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（5）使用各种专用机械车、特种车的人员无国家有关部门核发的有效操作证，驾驶营业性客车的驾驶人无国家有关部门核发的有效资格证书；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（6）依照法律法规或公安机关交通管理部门有关规定不允许驾驶机动车的其他情况下驾车。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8.8无有效行驶证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8.9高风险运动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指潜水、跳伞、热气球运动、滑翔机、滑翔翼、滑翔伞、动力伞、攀岩运动、探险活动、武术比赛、摔跤比赛、特技表演、赛马、赛车及保险单载明的其他运动。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潜水：指以辅助呼吸器材在江、河、湖、海、水库、运河等水域进行的水下运动，但穿着救生衣在水面进行的浮潜活动除外。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热气球运动：指乘热气球升空飞行的体育活动。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攀岩活动：指攀登悬崖、楼宇外墙、人造悬崖、冰崖、冰山等运动。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探险活动：指明知在某种特定的自然条件下有失去生命或使身体受到伤害的危险，而故意使自己置身其中的行为。如江河漂流、非固定路线徒步、徒步穿越沙漠或人迹罕至的原始森林等活动。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武术比赛：指两人或两人以上对抗性柔道、空手道、跆拳道、散打、拳击等各种拳术及各种使用器械的对抗性比赛。</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特技：指从事马术、杂技、驯兽等特殊技能。</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8.10艾滋病（AIDS）或艾滋病病毒（HIV）</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艾滋病病毒指人类免疫缺陷病毒，英文缩写为HIV。艾滋病指人类免疫缺陷病毒引起的获得性免疫缺陷综合征，英文缩写为AIDS。 </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8.11每次意外伤害限额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对本保险合同项下发生的任何一次意外伤害而造成被保险人身故，保险人所承担的最高给付限额。若在任何一次的意外伤害中，“每次意外伤害限额”小于在无“每次意外伤害限额”情况下应给付的各被保险人的保险金总额，则保险人根据以下公式计算实际给付每一被保险人的保险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实际给付每一被保险人的保险金＝（每次意外伤害限额÷在无“每次意外伤害限额”情况下应给付的各被保险人的保险金总额）×在无“每次意外伤害限额”情况下应给付的该被保险人的保险金。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8.12保险金申请人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身故保险金申请人是指受益人或被保险人的继承人或依法享有保险金请求权的其他自然人；其他保险金申请人是指被保险人。</w:t>
      </w:r>
      <w:r/>
    </w:p>
    <w:p>
      <w:pPr>
        <w:rPr>
          <w:rFonts w:hint="default" w:ascii="Times New Roman" w:hAnsi="Times New Roman" w:eastAsia="仿宋_GB2312" w:cs="Times New Roman"/>
          <w:color w:val="000000" w:themeColor="text1"/>
          <w:sz w:val="28"/>
          <w:szCs w:val="28"/>
          <w:highlight w:val="none"/>
          <w14:textFill>
            <w14:solidFill>
              <w14:schemeClr w14:val="tx1"/>
            </w14:solidFill>
          </w14:textFill>
        </w:rPr>
      </w:pPr>
      <w:r>
        <w:rPr>
          <w:rFonts w:hint="default" w:ascii="Times New Roman" w:hAnsi="Times New Roman" w:eastAsia="仿宋_GB2312" w:cs="Times New Roman"/>
          <w:color w:val="000000" w:themeColor="text1"/>
          <w:sz w:val="28"/>
          <w:szCs w:val="28"/>
          <w:highlight w:val="none"/>
          <w14:textFill>
            <w14:solidFill>
              <w14:schemeClr w14:val="tx1"/>
            </w14:solidFill>
          </w14:textFill>
        </w:rPr>
        <w:br w:type="page" w:clear="all"/>
      </w:r>
      <w:r/>
    </w:p>
    <w:p>
      <w:pPr>
        <w:pStyle w:val="1206"/>
        <w:jc w:val="center"/>
        <w:tabs>
          <w:tab w:val="left" w:pos="3501" w:leader="none"/>
        </w:tabs>
        <w:rPr>
          <w:rFonts w:hint="default" w:ascii="Times New Roman" w:hAnsi="Times New Roman" w:eastAsia="仿宋_GB2312" w:cs="Times New Roman"/>
          <w:sz w:val="28"/>
          <w:szCs w:val="24"/>
          <w:highlight w:val="none"/>
          <w:lang w:val="en-US" w:eastAsia="zh-CN"/>
        </w:rPr>
      </w:pPr>
      <w:r>
        <w:rPr>
          <w:rFonts w:hint="default" w:ascii="Times New Roman" w:hAnsi="Times New Roman" w:eastAsia="仿宋_GB2312" w:cs="Times New Roman"/>
          <w:b/>
          <w:bCs/>
          <w:sz w:val="28"/>
          <w:szCs w:val="32"/>
          <w:highlight w:val="none"/>
          <w:lang w:val="en-US" w:eastAsia="zh-CN" w:bidi="ar-SA"/>
        </w:rPr>
        <w:t xml:space="preserve">附加意外伤害医疗保险条款</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1.1投保附加险的条件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本条款为本保险单约定的意外健康险类主险的附加险条款。只有在投保了主险的基础上，方可投保本附加险。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1.2主险与附加险关系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1.3受益人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除另有约定外，本附加险合同保险金的受益人为被保险人本人。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2保障内容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75" w:name="_2.1_保险责任"/>
      <w:r/>
      <w:bookmarkEnd w:id="75"/>
      <w:r>
        <w:rPr>
          <w:rFonts w:hint="default" w:ascii="Times New Roman" w:hAnsi="Times New Roman" w:eastAsia="仿宋_GB2312" w:cs="Times New Roman"/>
          <w:sz w:val="24"/>
          <w:highlight w:val="none"/>
          <w:lang w:val="en-US" w:eastAsia="zh-CN"/>
        </w:rPr>
        <w:t xml:space="preserve">2.1保险责任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被保险人自获得被保资格（见释义）之日起，且在保险期间内遭受意外伤害（见释义），并因该意外伤害在保险期间内在指定医疗机构（见释义）进行治疗，保险人按下列约定给付意外医疗保险金：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对于被保险人每次遭受意外伤害在保险期间内所支出的必需且合理（见释义）的、符合本保险合同签发地政府颁布的社会基本医疗保险（见释义）报销范围的医疗费用，保险人在扣除社会基本医疗保险、公费医疗和任何第三方（包括任何商业医疗保险）已经补偿或给付部分以及本附加险合同约定的免赔额后，对其余额按本附加险合同约定的给付比例和门诊急诊限额给付意外医疗保险金。免赔额、给付比例和门诊急诊限额由投保人、保险人双方约定，并在保险单中载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期间届满被保险人治疗仍未结束的，保险人所负保险责任期限可按下列约定延长：门诊急诊治疗者，自保险期间届满次日起计算，以门诊急诊延长日数为限；保险期间届满被保险人仍在住院（见释义）治疗的，自保险期间届满次日起计算，至出院之日止，最长以住院延长日数为限。该“门诊急诊延长日数”、“住院延长日数”以保险单载明为准；若保险单未载明的，则该“门诊急诊延长日数”视为15日（含）、“住院延长日数”视为90日（含）。</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人所负给付意外医疗保险金的责任以本附加险合同项下的保险金额为限，对被保险人一次或者累计给付保险金达到本附加险合同项下该被保险人的保险金额时，本附加险合同对该被保险人在本附加险合同项下的保险责任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2.2补偿原则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适用补偿原则。被保险人通过任何途径所获得的医疗费用补偿金额总和以其实际支出的金额为限。被保险人已经从社会基本医疗保险、公费医疗和任何第三方（包括任何商业医疗保险）获得相关医疗费用补偿的，保险人仅对扣除已获得补偿后的剩余部分医疗费用，按照本附加险合同的约定承担给付保险金的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76" w:name="_2.3_责任免除"/>
      <w:r/>
      <w:bookmarkEnd w:id="76"/>
      <w:r/>
      <w:bookmarkStart w:id="77" w:name="_2.2.1_因下列情形造成被保险人住院治疗的，保险人不承担给付保险金的"/>
      <w:r/>
      <w:bookmarkEnd w:id="77"/>
      <w:r>
        <w:rPr>
          <w:rFonts w:hint="default" w:ascii="Times New Roman" w:hAnsi="Times New Roman" w:eastAsia="仿宋_GB2312" w:cs="Times New Roman"/>
          <w:sz w:val="24"/>
          <w:highlight w:val="none"/>
          <w:lang w:val="en-US" w:eastAsia="zh-CN"/>
        </w:rPr>
        <w:t xml:space="preserve">2.3责任免除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2.3.1因下列情形之一，导致被保险人支出医疗费用的，保险人不承担给付保险金责任：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投保人对被保险人的故意杀害、故意伤害；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被保险人故意自伤或自杀，但被保险人自杀时为无民事行为能力人的除外；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被保险人因挑衅或故意行为而导致的打斗、被袭击或被谋杀；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被保险人妊娠、流产、分娩；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被保险人接受包括美容、整容、整形手术在内的任何医疗行为而造成的意外；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被保险人未遵医嘱服用、涂用、注射药物，但按使用说明的规定使用非处方药不在此限；</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被保险人受酒精、毒品、管制药物的影响，但遵医嘱使用药物的情形不在此限；</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任何生物、化学、原子能武器，原子能或核能装置所造成的爆炸、灼伤、污染或辐射；</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战争、军事冲突、暴乱或武装叛乱、恐怖袭击；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被保险人故意犯罪或抗拒依法采取的刑事强制措施；</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被保险人存在精神和行为障碍（以世界卫生组织颁布的《疾病和有关健康问题的国际统计分类（ICD-10）》为准）；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被保险人感染艾滋病病毒或患艾滋病（见释义）；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被保险人从事</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"_4.4_高风险运动"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高风险运动（见释义）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，但被保险人作为专业运动员从事其专业运动不在此限；</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被保险人酒后驾驶（见释义）、无有效驾驶证（见释义）驾驶或驾驶无有效行驶证（见释义）的机动交通工具；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疾病，包括但不限于高原反应、中暑、猝死（见释义）；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非因意外伤害导致的细菌、病毒或其他病原体感染；</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过敏及由过敏引发的变态反应性疾病；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被保险人非因意外伤害而进行的整容、整形手术，以及因任何原因进行的美容；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被保险人非因意外伤害而进行的牙科治疗或手术、视力矫正、因矫正视力而作的眼科验光检查，以及任何原因导致的牙齿修复或牙齿整形、安装及购买残疾用具（如轮椅、假肢、假眼、假牙或者助听器等）；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被保险人进行一般身体检查、疗养、特别护理、静养、康复性治疗、物理治疗、心理治疗或预防性治疗；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被保险人在获得被保资格前已有残疾的治疗和康复；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被保险人在家自设病床治疗；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被保险人不符合入院标准住院、挂床住院（见释义）或应当出院但拒不出院而造成的延长住院。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78" w:name="_2.4_保险金额"/>
      <w:r/>
      <w:bookmarkEnd w:id="78"/>
      <w:r/>
      <w:bookmarkStart w:id="79" w:name="_2.3.2_对于本保险合同载明的免赔额，保险人不承担给付保险金的责任。"/>
      <w:r/>
      <w:bookmarkEnd w:id="79"/>
      <w:r>
        <w:rPr>
          <w:rFonts w:hint="default" w:ascii="Times New Roman" w:hAnsi="Times New Roman" w:eastAsia="仿宋_GB2312" w:cs="Times New Roman"/>
          <w:sz w:val="24"/>
          <w:highlight w:val="none"/>
          <w:lang w:val="en-US" w:eastAsia="zh-CN"/>
        </w:rPr>
        <w:t xml:space="preserve">2.3.2对于本附加险合同载明的免赔额，保险人不承担给付保险金的责任。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2.4保险金额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80" w:name="_3_保险金申请"/>
      <w:r/>
      <w:bookmarkEnd w:id="80"/>
      <w:r>
        <w:rPr>
          <w:rFonts w:hint="default" w:ascii="Times New Roman" w:hAnsi="Times New Roman" w:eastAsia="仿宋_GB2312" w:cs="Times New Roman"/>
          <w:sz w:val="24"/>
          <w:highlight w:val="none"/>
          <w:lang w:val="en-US" w:eastAsia="zh-CN"/>
        </w:rPr>
        <w:t xml:space="preserve">每一被保险人的保险金额是保险人承担给付该被保险人保险金责任的最高限额。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保险金额由投保人、保险人双方约定，并在保险单中载明。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每一被保险人的保险金额一经确定，在保险期间内不得变更。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保险金给付申请书；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保险单；</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保险金申请人、被保险人身份证明；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指定医疗机构出具的医疗费用发票/收据、费用明细清单/帐、病历、出院小结、诊断证明及其他医疗记录等；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对于已经从社会基本医疗保险、公费医疗和任何第三方（包括任何商业医疗保险）获得相关医疗费用补偿的，应提供社会基本医疗保险机构、商业保险机构或其他第三方的医疗费用分割单或医疗费用结算证明；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保险金申请人所能提供的与确认保险事故的性质、原因、损失程度等有关的其他证明和资料。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81" w:name="_4.1_意外伤害"/>
      <w:r/>
      <w:bookmarkEnd w:id="81"/>
      <w:r>
        <w:rPr>
          <w:rFonts w:hint="default" w:ascii="Times New Roman" w:hAnsi="Times New Roman" w:eastAsia="仿宋_GB2312" w:cs="Times New Roman"/>
          <w:sz w:val="24"/>
          <w:highlight w:val="none"/>
          <w:lang w:val="en-US" w:eastAsia="zh-CN"/>
        </w:rPr>
        <w:t xml:space="preserve">4.1被保资格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被保险人因非保险事故身故的，则自其身故之日起该被保险人的被保资格丧失，保险人对该被保险人所承担的保险责任随即终止。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本附加险合同保险期间终止，则被保险人的被保资格终止，保险人对被保险人所承担的保险责任随即终止。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本附加险合同解除，则自解除之日起被保险人的被保资格终止，保险人对被保险人所承担的保险责任随即终止。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4.2意外伤害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指以外来的、突发的、非本意的、非疾病的客观事件为直接且单独的原因致使身体受到的伤害。以下情形属于疾病范畴，非本条款所指意外伤害：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猝死；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过敏及由过敏引发的变态反应性疾病；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高原反应；</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细菌、病毒或其他病原体导致的感染性疾病。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82" w:name="_4.3_住院"/>
      <w:r/>
      <w:bookmarkEnd w:id="82"/>
      <w:r/>
      <w:bookmarkStart w:id="83" w:name="_4.2_医疗机构"/>
      <w:r/>
      <w:bookmarkEnd w:id="83"/>
      <w:r>
        <w:rPr>
          <w:rFonts w:hint="default" w:ascii="Times New Roman" w:hAnsi="Times New Roman" w:eastAsia="仿宋_GB2312" w:cs="Times New Roman"/>
          <w:sz w:val="24"/>
          <w:highlight w:val="none"/>
          <w:lang w:val="en-US" w:eastAsia="zh-CN"/>
        </w:rPr>
        <w:t xml:space="preserve">4.3指定医疗机构</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除另有约定外，指定医疗机构指中华人民共和国境内（不包括香港、澳门、台湾地区）二级（含）及以上医院或保险人认可的医疗机构，且应符合下列所有条件：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拥有合法经营执照；</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设立的主要目的为向受伤者和患病者提供留院治疗和护理服务；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有合格的医生和护士提供全日二十四小时的医疗和护理服务；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非主要作为康复医院、诊所、护理、疗养、戒酒、戒毒或类似的医疗机构。</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投保人和保险人双方还可以约定指定医疗机构的条件、范围等，并在保险单中载明。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84" w:name="_4.3_住院_1"/>
      <w:r/>
      <w:bookmarkEnd w:id="84"/>
      <w:r>
        <w:rPr>
          <w:rFonts w:hint="default" w:ascii="Times New Roman" w:hAnsi="Times New Roman" w:eastAsia="仿宋_GB2312" w:cs="Times New Roman"/>
          <w:sz w:val="24"/>
          <w:highlight w:val="none"/>
          <w:lang w:val="en-US" w:eastAsia="zh-CN"/>
        </w:rPr>
        <w:t xml:space="preserve">4.4必需且合理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指同时符合以下2个条件：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（1）符合通常惯例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指与接受医疗服务所在地通行治疗规范、通行治疗方法、平均医疗费用价格水平一致的费用。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对是否符合通常惯例由保险人根据客观、审慎、合理的原则进行审核；如果被保险人对审核结果有不同意见，可由双方认同的权威医学机构或者权威医学专家进行审核鉴定。</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（2）医学必需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指医疗费用符合下列所有条件：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①治疗意外伤害或者疾病所必需的项目；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②不超过安全、足量治疗原则的项目；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③由医生开具的处方药；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④非试验性的、非研究性的项目；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⑤与接受治疗当地普遍接受的医疗专业实践标准一致的项目。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对是否医学必需由保险人根据客观、审慎、合理的原则进行审核；如果被保险人对审核结果有不同意见，可由双方认同的权威医学机构或者权威医学专家进行审核鉴定。</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4.5社会基本医疗保险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指国家最新修订颁布的《社会保险法》规定的基本医疗保险，包括职工基本医疗保险、城镇居民基本医疗保险、新型农村合作医疗等政府举办的基本医疗保险。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4.6住院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85" w:name="_4.4_高风险运动"/>
      <w:r/>
      <w:bookmarkEnd w:id="85"/>
      <w:r>
        <w:rPr>
          <w:rFonts w:hint="default" w:ascii="Times New Roman" w:hAnsi="Times New Roman" w:eastAsia="仿宋_GB2312" w:cs="Times New Roman"/>
          <w:sz w:val="24"/>
          <w:highlight w:val="none"/>
          <w:lang w:val="en-US" w:eastAsia="zh-CN"/>
        </w:rPr>
        <w:t xml:space="preserve">是指被保险人确因临床需要、经医生诊断必须留院治疗，正式办理入院及出院手续，并确实入住医疗机构正式病房接受治疗的行为过程；被保险人必须连续留院二十四小时以上且由医疗机构收取病房或床位费用，但不包括门诊观察室、急诊观察室、其他非正式病房、联合病房或挂床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86" w:name="_4.4_猝死"/>
      <w:r/>
      <w:bookmarkEnd w:id="86"/>
      <w:r>
        <w:rPr>
          <w:rFonts w:hint="default" w:ascii="Times New Roman" w:hAnsi="Times New Roman" w:eastAsia="仿宋_GB2312" w:cs="Times New Roman"/>
          <w:sz w:val="24"/>
          <w:highlight w:val="none"/>
          <w:lang w:val="en-US" w:eastAsia="zh-CN"/>
        </w:rPr>
        <w:t xml:space="preserve">4.7感染艾滋病病毒或患艾滋病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艾滋病病毒指人类免疫缺陷病毒，英文缩写为HIV。艾滋病指人类免疫缺陷病毒引起的获得性免疫缺陷综合征，英文缩写为AIDS。</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4.8高风险运动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87" w:name="_4.5_酒后驾驶"/>
      <w:r/>
      <w:bookmarkEnd w:id="87"/>
      <w:r>
        <w:rPr>
          <w:rFonts w:hint="default" w:ascii="Times New Roman" w:hAnsi="Times New Roman" w:eastAsia="仿宋_GB2312" w:cs="Times New Roman"/>
          <w:sz w:val="24"/>
          <w:highlight w:val="none"/>
          <w:lang w:val="en-US" w:eastAsia="zh-CN"/>
        </w:rPr>
        <w:t xml:space="preserve">指运动风险等级高、极易发生人身伤害的运动，包括潜水、滑水、滑雪、滑冰、跳伞、热气球运动、滑翔机、滑翔翼、滑翔伞、动力伞、攀岩运动、探险活动、武术比赛、摔跤比赛、特技表演、赛马、赛车、驾驶卡丁车、蹦极及保险单载明的其他运动。其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（1）潜水：指以辅助呼吸器材在江、河、湖、海、水库、运河等水域进行的水下运动，但穿着救生衣在水面进行的浮潜活动除外。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（2）热气球运动：指乘坐热气球升空飞行的体育活动。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（3）攀岩运动：指以攀登悬崖、楼宇外墙、人造悬崖、冰崖、冰山等运动。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（4）探险活动：指明知在某种特定的自然条件下有失去生命或使身体受到伤害的危险，而故意使自己置身其中的行为。如江河漂流、非固定路线徒步、徒步穿越沙漠或人迹罕至的原始森林等活动。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（5）武术比赛：指两人或两人以上对抗性柔道、空手道、跆拳道、散打、拳击等各种拳术及各种使用器械的对抗性比赛。</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（6）特技：指从事马术、杂技、驯兽等特殊技能。</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4.9酒后驾驶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88" w:name="_4.6_无有效驾驶证"/>
      <w:r/>
      <w:bookmarkEnd w:id="88"/>
      <w:r>
        <w:rPr>
          <w:rFonts w:hint="default" w:ascii="Times New Roman" w:hAnsi="Times New Roman" w:eastAsia="仿宋_GB2312" w:cs="Times New Roman"/>
          <w:sz w:val="24"/>
          <w:highlight w:val="none"/>
          <w:lang w:val="en-US" w:eastAsia="zh-CN"/>
        </w:rPr>
        <w:t xml:space="preserve">4.10无有效驾驶证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被保险人存在下列情形之一：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无驾驶证或驾驶证有效期已届满；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驾驶的机动车与驾驶证载明的准驾车型不符；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实习期内驾驶公共汽车、营运客车或者载有爆炸物品、易燃易爆化学物品、剧毒或者放射性等危险物品的机动车，实习期内驾驶的机动车牵引挂车；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持未按规定审验的驾驶证，以及在暂扣、扣留、吊销、注销驾驶证期间驾驶机动车；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使用各种专用机械车、特种车的人员无国家有关部门核发的有效操作证，驾驶营业性客车的驾驶人无国家有关部门核发的有效资格证书；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依照法律法规或公安机关交通管理部门有关规定不允许驾驶机动车的其他情况下驾车。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89" w:name="_4.7_无有效行驶证"/>
      <w:r/>
      <w:bookmarkEnd w:id="89"/>
      <w:r>
        <w:rPr>
          <w:rFonts w:hint="default" w:ascii="Times New Roman" w:hAnsi="Times New Roman" w:eastAsia="仿宋_GB2312" w:cs="Times New Roman"/>
          <w:sz w:val="24"/>
          <w:highlight w:val="none"/>
          <w:lang w:val="en-US" w:eastAsia="zh-CN"/>
        </w:rPr>
        <w:t xml:space="preserve">4.11无有效行驶证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bookmarkStart w:id="90" w:name="_4.8_保险金申请人"/>
      <w:r/>
      <w:bookmarkEnd w:id="90"/>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4.12猝死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指由潜在疾病、身体机能障碍或其他非外来性原因所导致的、在出现急性症状后发生的突然死亡，以医院的诊断或公安、司法机关的鉴定为准。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4.13挂床住院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挂床住院指办理正式住院手续的被保险人，在住院期间每日非24小时在床、在院，包括在住院期间连续若干日无任何治疗，只发生护理费、诊疗费、床位费的情况。</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"_5_保险金申请"</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4.14保险金申请人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本附加险合同的保险金申请人是指被保险人本人。</w:t>
      </w:r>
      <w:r/>
    </w:p>
    <w:p>
      <w:pPr>
        <w:pStyle w:val="1206"/>
        <w:jc w:val="center"/>
        <w:tabs>
          <w:tab w:val="left" w:pos="3501" w:leader="none"/>
        </w:tabs>
        <w:rPr>
          <w:rFonts w:hint="default" w:ascii="Times New Roman" w:hAnsi="Times New Roman" w:eastAsia="仿宋" w:cs="Times New Roman"/>
          <w:sz w:val="24"/>
          <w:highlight w:val="none"/>
          <w:lang w:val="en-US" w:eastAsia="zh-CN"/>
        </w:rPr>
      </w:pPr>
      <w:r>
        <w:rPr>
          <w:rFonts w:hint="default" w:ascii="Times New Roman" w:hAnsi="Times New Roman" w:eastAsia="仿宋" w:cs="Times New Roman"/>
          <w:sz w:val="24"/>
          <w:highlight w:val="none"/>
          <w:lang w:eastAsia="zh-CN"/>
        </w:rPr>
        <w:br w:type="page" w:clear="all"/>
      </w:r>
      <w:r>
        <w:rPr>
          <w:rFonts w:hint="default" w:ascii="Times New Roman" w:hAnsi="Times New Roman" w:eastAsia="仿宋_GB2312" w:cs="Times New Roman"/>
          <w:b/>
          <w:bCs/>
          <w:sz w:val="28"/>
          <w:szCs w:val="28"/>
          <w:highlight w:val="none"/>
          <w:lang w:val="en-US" w:eastAsia="zh-CN" w:bidi="ar-SA"/>
        </w:rPr>
        <w:t xml:space="preserve">附加意外伤害住院津贴保险条款</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1.1投保附加险的条件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本条款为本保险单约定的意外健康险类主险的一般附加险条款。只有在投保了主险的基础上，方可投保本附加险。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1.2主险与附加险关系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1.3受益人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除另有约定外，本附加险合同保险金的受益人为被保险人本人。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 保障内容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2.1.1如保险合同中包含多个条款，保险合同双方可约定本附加险合同所适用的具体条款；如未约定所适用的条款的，则视为本附加险合同适用于保险合同中的全部条款。如本附加险合同所适用的条款中包含多项保险责任，还可约定本附加险合同所适用的具体保险责任；如未约定所适用的保险责任的，则视为本附加险合同适用于该条款中的全部保险责任。对于本附加险合同所适用的任一保险责任，保险合同双方还可约定等待期、免赔日数等内容并在保险合同中载明。</w:t>
      </w:r>
      <w:r/>
    </w:p>
    <w:p>
      <w:pPr>
        <w:pStyle w:val="1206"/>
        <w:ind w:firstLine="480"/>
        <w:tabs>
          <w:tab w:val="left" w:pos="3501" w:leader="none"/>
        </w:tabs>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val="en-US" w:eastAsia="zh-CN"/>
        </w:rPr>
        <w:t xml:space="preserve">2.1.2在保险期间内，被保险人遭受</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"_4.1_意外伤害"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意外伤害（见释义）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并因该意外伤害在保险期间内在</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"_4.2_医疗机构"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指定医疗机构（见释义）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接受</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"_4.3_住院"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住院（见释义）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治疗，对于该被保险人的</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"_4.4_实际住院日数"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实际住院日数（见释义）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，保险人按照《意外伤害住院津贴给付表》的约定给付意外伤害住院津贴保险金。</w:t>
      </w:r>
      <w:r/>
    </w:p>
    <w:p>
      <w:pPr>
        <w:pStyle w:val="1206"/>
        <w:ind w:firstLine="480"/>
        <w:tabs>
          <w:tab w:val="left" w:pos="3501" w:leader="none"/>
        </w:tabs>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eastAsia="zh-CN"/>
        </w:rPr>
        <w:t xml:space="preserve">意外伤害住院津贴给付表</w:t>
      </w:r>
      <w:r/>
    </w:p>
    <w:tbl>
      <w:tblPr>
        <w:tblStyle w:val="1031"/>
        <w:tblW w:w="8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6145"/>
      </w:tblGrid>
      <w:tr>
        <w:trPr>
          <w:jc w:val="center"/>
          <w:trHeight w:val="375"/>
        </w:trPr>
        <w:tc>
          <w:tcPr>
            <w:tcW w:w="273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情形</w:t>
            </w:r>
            <w:r/>
          </w:p>
        </w:tc>
        <w:tc>
          <w:tcPr>
            <w:tcW w:w="614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每次意外伤害住院津贴保险金</w:t>
            </w:r>
            <w:r/>
          </w:p>
        </w:tc>
      </w:tr>
      <w:tr>
        <w:trPr>
          <w:jc w:val="center"/>
          <w:trHeight w:val="479"/>
        </w:trPr>
        <w:tc>
          <w:tcPr>
            <w:tcW w:w="273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实际住院日数≤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意外伤害住院免赔日数</w:t>
            </w:r>
            <w:r/>
          </w:p>
        </w:tc>
        <w:tc>
          <w:tcPr>
            <w:tcW w:w="614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w:t>
            </w:r>
            <w:r/>
          </w:p>
        </w:tc>
      </w:tr>
      <w:tr>
        <w:trPr>
          <w:jc w:val="center"/>
          <w:trHeight w:val="1597"/>
        </w:trPr>
        <w:tc>
          <w:tcPr>
            <w:tcW w:w="273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实际住院日数＞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意外伤害住院免赔日数</w:t>
            </w:r>
            <w:r/>
          </w:p>
        </w:tc>
        <w:tc>
          <w:tcPr>
            <w:tcW w:w="614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如（实际住院日数-意外伤害住院免赔日数）＜每次意外伤害住院最高给付日数，则：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每次意外伤害住院津贴保险金=每日意外伤害住院津贴金额×（实际住院日数-意外伤害住院免赔日数）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如（实际住院日数-意外伤害住院免赔日数）≥每次意外伤害住院最高给付日数，则：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每次意外伤害住院津贴保险金=每日意外伤害住院津贴金额×每次意外伤害最高给付日数</w:t>
            </w:r>
            <w:r/>
          </w:p>
        </w:tc>
      </w:tr>
    </w:tbl>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每日意外伤害住院津贴金额、意外伤害住院免赔日数、每次意外伤害住院给付最高日数以保险合同载明为准；若未载明的，意外伤害住院免赔日数视为0日、每次意外伤害住院给付最高日数视为180日。</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除另有约定外，本附加险合同项下，保险人在保险期间内累计承担的意外伤害住院津贴的给付日数（即意外伤害住院总给付日数）不超过180日（含180日）。</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若被保险人因同一原因多次住院，前次出院与后次住院日期间隔未达90日的，则视为同一次住院。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期间届满被保险人住院治疗仍未结束的，保险人所负保险责任期限可按下列约定延长：保险期间届满被保险人仍在住院治疗的，自保险期间届满次日起计算，至出院之日止，最长以住院延长日数为限。该“住院延长日数”以保险单载明为准；若保险单未载明的，则该 “住院延长日数”视为30日（含）。 </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91" w:name="_2.2_责任免除"/>
      <w:r/>
      <w:bookmarkEnd w:id="91"/>
      <w:r>
        <w:rPr>
          <w:rFonts w:hint="default" w:ascii="Times New Roman" w:hAnsi="Times New Roman" w:eastAsia="仿宋_GB2312" w:cs="Times New Roman"/>
          <w:sz w:val="24"/>
          <w:highlight w:val="none"/>
          <w:lang w:val="en-US" w:eastAsia="zh-CN"/>
        </w:rPr>
        <w:t xml:space="preserve">2.2责任免除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2.2.1因下列情形造成被保险人住院治疗的，保险人不承担给付保险金的责任：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92" w:name="_2.2.2_对于以下情形，保险人也不承担给付保险金的责任："/>
      <w:r/>
      <w:bookmarkEnd w:id="92"/>
      <w:r>
        <w:rPr>
          <w:rFonts w:hint="default" w:ascii="Times New Roman" w:hAnsi="Times New Roman" w:eastAsia="仿宋_GB2312" w:cs="Times New Roman"/>
          <w:sz w:val="24"/>
          <w:highlight w:val="none"/>
          <w:lang w:val="en-US" w:eastAsia="zh-CN"/>
        </w:rPr>
        <w:t xml:space="preserve">（1）投保人对被保险人的故意杀害、故意伤害；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（2）被保险人故意自伤或自杀，但被保险人自杀时为无民事行为能力人的除外；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（3）被保险人因挑衅或故意行为而导致的打斗、被袭击或被谋杀；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（4）被保险人接受包括美容、整容、整形手术在内的任何医疗行为而造成的意外；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（5）被保险人未遵医嘱服用、涂用、注射药物，但按使用说明的规定使用非处方药不在此限；</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（6）被保险人受酒精、毒品、管制药物的影响，但遵医嘱使用药物的情形不在此限；</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（7）任何生物、化学、原子能武器，原子能或核能装置所造成的爆炸、灼伤、污染或辐射；</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（8）战争、军事冲突、暴乱或武装叛乱、恐怖袭击；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（9）被保险人故意犯罪或抗拒依法采取的刑事强制措施；</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（10）被保险人存在精神和行为障碍（以世界卫生组织颁布的《疾病和有关健康问题的国际统计分类（ICD-10）》为准）；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（11）被保险人从事</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"_4.6_高风险运动"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高风险运动（见释义）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，但被保险人作为专业运动员从事其专业运动不在此限；</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（12）被保险人</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"_4.7_酒后驾驶"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酒后驾驶（见释义）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"_4.8_无有效驾驶证"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无合法有效驾驶证（见释义）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驾驶或驾驶</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"_4.9_无有效行驶证"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无合法有效行驶证（见释义）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的机动交通工具；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（13）疾病，包括但不限于高原反应、中暑、</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"_4.5_猝死"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猝死（见释义）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（14）非因意外伤害导致的细菌、病毒或其他病原体导致的感染；</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（15）过敏及由过敏引发的变态反应性疾病；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（16）被保险人非因意外伤害而进行的整容、整形手术，以及因任何原因进行的美容；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17）被保险人非因意外伤害而进行的牙科治疗或手术、视力矫正、因矫正视力而作的眼科验光检查，以及任何原因导致的牙齿修复或牙齿整形、安装及购买残疾用具（如轮椅、假肢、假眼、假牙或者助听器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（18）被保险人进行一般身体检查、疗养、特别护理、静养、康复性治疗、物理治疗、心理治疗或预防性治疗；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（19）被保险人妊娠、流产、分娩；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（20）被保险人在投保前已有残疾的治疗和康复。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93" w:name="_2.2.2_对于以下情形，保险人也不承担给付保险金的责任：_1"/>
      <w:r/>
      <w:bookmarkEnd w:id="93"/>
      <w:r>
        <w:rPr>
          <w:rFonts w:hint="default" w:ascii="Times New Roman" w:hAnsi="Times New Roman" w:eastAsia="仿宋_GB2312" w:cs="Times New Roman"/>
          <w:sz w:val="24"/>
          <w:highlight w:val="none"/>
          <w:lang w:val="en-US" w:eastAsia="zh-CN"/>
        </w:rPr>
        <w:t xml:space="preserve">2.2.2对于以下情形，保险人也不承担给付保险金的责任：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（1）被保险人在家自设病床治疗，或在门诊观察室、急诊观察室、其他非正式病房、联合病房的治疗；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（2）被保险人不符合入院标准住院、</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"_4.9_挂床住院"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挂床住院（见释义）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或住院病人应当出院但拒不出院而造成的延长的住院日数。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2.2.3对于按本附加险合同载明的免赔日数计算出的免赔金额，保险人不承担赔偿责任。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2.3保险金额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每一被保险人的保险金额是保险人承担给付该被保险人保险金责任的最高限额。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保险金额由投保人和保险人双方约定，并在保险单中载明。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每一被保险人的保险金额一经确定，在保险期间内不得变更。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"_4.12_保险金申请人"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保险金申请人（见释义）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（1）保险金给付申请书；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（2）保险单；</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（3）保险金申请人、被保险人身份证明；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（4）指定医疗机构出具的医疗费用发票/收据、费用明细清单/帐、出院小结、病历、诊断证明、住院志、体温单、医嘱单、护理记录；</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（5）被保险人所能提供的与确认保险事故的性质、原因、损失程度等有关的其他证明和资料。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4.1意外伤害</w:t>
      </w:r>
      <w:r>
        <w:rPr>
          <w:rFonts w:hint="default" w:ascii="Times New Roman" w:hAnsi="Times New Roman" w:eastAsia="仿宋_GB2312" w:cs="Times New Roman"/>
          <w:sz w:val="24"/>
          <w:highlight w:val="none"/>
          <w:lang w:val="en-US" w:eastAsia="zh-CN"/>
        </w:rPr>
        <w:fldChar w:fldCharType="end"/>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指以外来的、突发的、非本意的、非疾病的客观事件为直接且单独的原因致使身体受到的伤害。以下情形属于疾病范畴，非本条款所指意外伤害：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（1）猝死（详见释义“</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"_4.10_猝死"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4.9猝死</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（2）过敏及由过敏引发的变态反应性疾病；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（3）高原反应；</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（4）中暑；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（5）细菌、病毒或其他病原体导致的感染性疾病。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4.2指定医疗机构</w:t>
      </w:r>
      <w:r>
        <w:rPr>
          <w:rFonts w:hint="default" w:ascii="Times New Roman" w:hAnsi="Times New Roman" w:eastAsia="仿宋_GB2312" w:cs="Times New Roman"/>
          <w:sz w:val="24"/>
          <w:highlight w:val="none"/>
          <w:lang w:val="en-US" w:eastAsia="zh-CN"/>
        </w:rPr>
        <w:fldChar w:fldCharType="end"/>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除另有约定外，指定医疗机构指中华人民共和国境内（不包括香港、澳门、台湾地区）二级（含）及以上医院或保险人认可的医疗机构，且应符合下列所有条件：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拥有合法经营执照；</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设立的主要目的为向受伤者和患病者提供留院治疗和护理服务；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有合格的医生和护士提供全日二十四小时的医疗和护理服务；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非主要作为康复医院、诊所、护理、疗养、戒酒、戒毒或类似的医疗机构。</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投保人和保险人双方还可以约定指定医疗机构的条件、范围等，并在保险单中载明。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4.3住院</w:t>
      </w:r>
      <w:r>
        <w:rPr>
          <w:rFonts w:hint="default" w:ascii="Times New Roman" w:hAnsi="Times New Roman" w:eastAsia="仿宋_GB2312" w:cs="Times New Roman"/>
          <w:sz w:val="24"/>
          <w:highlight w:val="none"/>
          <w:lang w:val="en-US" w:eastAsia="zh-CN"/>
        </w:rPr>
        <w:fldChar w:fldCharType="end"/>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被保险人确因临床需要、经医生诊断必须留院治疗，正式办理入院及出院手续，并确实入住医疗机构正式病房接受治疗的行为过程；被保险人必须连续留院二十四小时以上且由医疗机构收取病房或床位费用，但住院并不包括门诊观察室、急诊观察室、其他非正式病房、联合病房或挂床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94" w:name="_4.4_实际住院日数"/>
      <w:r/>
      <w:bookmarkEnd w:id="94"/>
      <w:r/>
      <w:bookmarkStart w:id="95" w:name="_4.5_住院日数"/>
      <w:r/>
      <w:bookmarkEnd w:id="95"/>
      <w:r/>
      <w:bookmarkStart w:id="96" w:name="_4.5_住院日2.1_保险责任数"/>
      <w:r/>
      <w:bookmarkEnd w:id="96"/>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4.4实际住院日数</w:t>
      </w:r>
      <w:r>
        <w:rPr>
          <w:rFonts w:hint="default" w:ascii="Times New Roman" w:hAnsi="Times New Roman" w:eastAsia="仿宋_GB2312" w:cs="Times New Roman"/>
          <w:sz w:val="24"/>
          <w:highlight w:val="none"/>
          <w:lang w:val="en-US" w:eastAsia="zh-CN"/>
        </w:rPr>
        <w:fldChar w:fldCharType="end"/>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是指被保险人在医疗机构住院部病房内实际的住院治疗日数，住院满二十四小时为一日。</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97" w:name="_4.6_高风险运动"/>
      <w:r/>
      <w:bookmarkEnd w:id="97"/>
      <w:r/>
      <w:bookmarkStart w:id="98" w:name="_4.5_高风险运动"/>
      <w:r/>
      <w:bookmarkEnd w:id="98"/>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"_2.2.1_因下列情形造成被保险人住院治疗的，保险人不承担给付保险金的"</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4.5高风险运动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bookmarkStart w:id="99" w:name="_4.6_酒后驾驶"/>
      <w:r/>
      <w:bookmarkEnd w:id="99"/>
      <w:r>
        <w:rPr>
          <w:rFonts w:hint="default" w:ascii="Times New Roman" w:hAnsi="Times New Roman" w:eastAsia="仿宋_GB2312" w:cs="Times New Roman"/>
          <w:sz w:val="24"/>
          <w:highlight w:val="none"/>
          <w:lang w:val="en-US" w:eastAsia="zh-CN"/>
        </w:rPr>
        <w:t xml:space="preserve">指运动风险等级高、极易发生人身伤害的运动，包括潜水、滑水、滑雪、滑冰、跳伞、热气球运动、滑翔机、滑翔翼、滑翔伞、动力伞、攀岩运动、探险活动、武术比赛、摔跤比赛、特技表演、赛马、赛车、驾驶卡丁车、蹦极及保险单载明的其他运动。其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（1）潜水：指以辅助呼吸器材在江、河、湖、海、水库、运河等水域进行的水下运动，但穿着救生衣在水面进行的浮潜活动除外。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（2）热气球运动：指乘坐热气球升空飞行的体育活动。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（3）攀岩运动：指以攀登悬崖、楼宇外墙、人造悬崖、冰崖、冰山等运动。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（4）探险活动：指明知在某种特定的自然条件下有失去生命或使身体受到伤害的危险，而故意使自己置身其中的行为。如江河漂流、非固定路线徒步、徒步穿越沙漠或人迹罕至的原始森林等活动。</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（5）武术比赛：指两人或两人以上对抗性柔道、空手道、跆拳道、散打、拳击等各种拳术及各种使用器械的对抗性比赛。</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（6）特技：指从事马术、杂技、驯兽等特殊技能。</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100" w:name="_4.7_酒后驾驶"/>
      <w:r/>
      <w:bookmarkEnd w:id="100"/>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"_2.2.1_因下列情形造成被保险人住院治疗的，保险人不承担给付保险金的"</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4.6酒后驾驶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101" w:name="_4.7_无有效驾驶证"/>
      <w:r/>
      <w:bookmarkEnd w:id="101"/>
      <w:r/>
      <w:bookmarkStart w:id="102" w:name="_4.8_无有效驾驶证"/>
      <w:r/>
      <w:bookmarkEnd w:id="102"/>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"_2.2.1_因下列情形造成被保险人住院治疗的，保险人不承担给付保险金的"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4.7无合法有效驾驶证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被保险人存在下列情形之一：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（1）无驾驶证或驾驶证有效期已届满；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（2）驾驶的机动车与驾驶证载明的准驾车型不符；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实习期内驾驶执行任务的警车、消防车、救护车、工程救险车；实习期内驾驶公共汽车、营运客车或者载有爆炸物品、易燃易爆化学物品、剧毒或者放射性等危险物品的机动车，实习期内驾驶的机动车牵引挂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（4）持未按规定审验的驾驶证，以及在暂扣、扣留、吊销、注销驾驶证期间驾驶机动车；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（5）使用各种专用机械车、特种车的人员无国家有关部门核发的有效操作证，驾驶营业性客车的驾驶人无国家有关部门核发的有效资格证书；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（6）依照法律法规或公安机关交通管理部门有关规定不允许驾驶机动车的其他情况下驾车。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103" w:name="_4.8_无有效行驶证"/>
      <w:r/>
      <w:bookmarkEnd w:id="103"/>
      <w:r/>
      <w:bookmarkStart w:id="104" w:name="_4.9_无有效行驶证"/>
      <w:r/>
      <w:bookmarkEnd w:id="104"/>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"_2.2.1_因下列情形造成被保险人住院治疗的，保险人不承担给付保险金的"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4.8无合法有效行驶证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105" w:name="_4.10_猝死"/>
      <w:r/>
      <w:bookmarkEnd w:id="105"/>
      <w:r/>
      <w:bookmarkStart w:id="106" w:name="_4.5_猝死"/>
      <w:r/>
      <w:bookmarkEnd w:id="106"/>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"_2.2.1_因下列情形造成被保险人住院治疗的，保险人不承担给付保险金的"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4.9猝死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指由潜在疾病、身体机能障碍或其他非外来性原因所导致的、在出现急性症状后发生的突然死亡，以医院的诊断或公安、司法机关的鉴定为准。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107" w:name="_4.9_挂床住院"/>
      <w:r/>
      <w:bookmarkEnd w:id="107"/>
      <w:r/>
      <w:bookmarkStart w:id="108" w:name="_4.9_被保资格、被保资格的获得及对应的被保资格丧失"/>
      <w:r/>
      <w:bookmarkEnd w:id="108"/>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"_2.2.2_对于以下情形，保险人也不承担给付保险金的责任：_1"</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4.10挂床住院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指办理正式住院手续的被保险人，在住院期间每日非24小时在床、在院，包括在住院期间连续若干日无任何治疗，只发生护理费、诊疗费、床位费的情况。</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109" w:name="_4.12_保险金申请人"/>
      <w:r/>
      <w:bookmarkEnd w:id="109"/>
      <w:r/>
      <w:bookmarkStart w:id="110" w:name="_4.10_保险金申请人"/>
      <w:r/>
      <w:bookmarkEnd w:id="110"/>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"_3_保险金申请"</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4.11保险金申请人</w:t>
      </w:r>
      <w:r/>
    </w:p>
    <w:p>
      <w:pPr>
        <w:pStyle w:val="1206"/>
        <w:ind w:firstLine="480"/>
        <w:tabs>
          <w:tab w:val="left" w:pos="3501" w:leader="none"/>
        </w:tabs>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本附加险合同的保险金申请人是指被保险人本人。</w:t>
      </w:r>
      <w:r/>
    </w:p>
    <w:p>
      <w:pPr>
        <w:pStyle w:val="1206"/>
        <w:jc w:val="center"/>
        <w:tabs>
          <w:tab w:val="left" w:pos="3501" w:leader="none"/>
        </w:tabs>
        <w:rPr>
          <w:rFonts w:hint="default" w:ascii="Times New Roman" w:hAnsi="Times New Roman" w:eastAsia="仿宋" w:cs="Times New Roman"/>
          <w:sz w:val="24"/>
          <w:highlight w:val="none"/>
          <w:lang w:eastAsia="zh-CN"/>
        </w:rPr>
      </w:pPr>
      <w:r>
        <w:rPr>
          <w:rFonts w:hint="default" w:ascii="Times New Roman" w:hAnsi="Times New Roman" w:eastAsia="仿宋" w:cs="Times New Roman"/>
          <w:sz w:val="24"/>
          <w:highlight w:val="none"/>
          <w:lang w:eastAsia="zh-CN"/>
        </w:rPr>
        <w:br w:type="page" w:clear="all"/>
      </w:r>
      <w:bookmarkStart w:id="111" w:name="_Toc17822"/>
      <w:r/>
      <w:bookmarkStart w:id="112" w:name="_Toc29359"/>
      <w:r/>
      <w:bookmarkStart w:id="113" w:name="_Toc30697"/>
      <w:r>
        <w:rPr>
          <w:rFonts w:hint="default" w:ascii="Times New Roman" w:hAnsi="Times New Roman" w:eastAsia="仿宋_GB2312" w:cs="Times New Roman"/>
          <w:b/>
          <w:bCs/>
          <w:sz w:val="28"/>
          <w:szCs w:val="28"/>
          <w:highlight w:val="none"/>
          <w:lang w:val="en-US" w:eastAsia="zh-CN" w:bidi="ar-SA"/>
        </w:rPr>
        <w:t xml:space="preserve">附加重大疾病保险条款</w:t>
      </w:r>
      <w:bookmarkEnd w:id="111"/>
      <w:r/>
      <w:bookmarkEnd w:id="112"/>
      <w:r/>
      <w:bookmarkEnd w:id="113"/>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1.1投保附加险的条件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本条款为本保险单约定的意外健康险类主险的附加险条款。只有在投保了主险的基础上，方可投保本附加险。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1.2主险与附加险关系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1.3受益人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除另有约定外，本附加险合同保险金的受益人为被保险人本人。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2保障内容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保险人依照2.1.1、2.1.2的约定给付保险金，其中2.1.1为必选保险责任，2.1.2为可选保险责任。经投保人、保险人双方约定，投保人在选择投保2.1.1的基础上，可以选择投保2.1.2保险责任，并在保险单中载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2.1.1重大疾病保险责任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自获得被保资格（见释义）之日起发生以下情况之一，并在保险期间内被专科医生（见释义）确诊为本附加险合同约定的重大疾病（见释义）中的一种或多种，保险人依照本附加险合同项下该被保险人的重大疾病保险金额给付重大疾病保险金，对该被保险人在本附加险合同项下的保险责任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被保险人遭受意外伤害（见释义），并在保险期间内因该意外伤害造成本附加险合同约定的一种或多种重大疾病首次发病（见释义）；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被保险人经过本附加险合同约定的等待期（见释义）后，在保险期间内首次发病。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2.1.2轻度疾病保险责任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自获得被保资格之日起发生以下情况之一，并在保险期间内被专科医生确诊为本附加险合同约定的轻度疾病（见释义）中的一种或多种，保险人依照本附加险合同项下该被保险人的轻度疾病保险金额给付轻度疾病保险金，对该被保险人的本项保险责任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被保险人遭受意外伤害，并在保险期间内因该意外伤害造成本附加险合同约定的一种或多种轻度疾病首次发病；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被保险人经过本附加险合同约定的等待期后，在保险期间内首次发病。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2.2责任免除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2.2.1因下列情形之一，导致被保险人发生疾病、达到疾病状态或进行手术的，保险人不承担保险责任：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投保人对被保险人的故意杀害、故意伤害；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被保险人故意犯罪或抗拒依法采取的刑事强制措施；</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被保险人故意自伤或自杀，但被保险人自杀时为无民事行为能力人的除外；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被保险人服用、吸食或注射毒品；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被保险人酒后驾驶（见释义）、无合法有效驾驶证（见释义）驾驶，或驾驶无合法有效行驶证（见释义）的机动车；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被保险人感染艾滋病病毒或患艾滋病（见释义）；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战争、军事冲突、暴乱或武装叛乱；</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核爆炸、核辐射或核污染；</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遗传性疾病（见释义），先天性畸形、变形或染色体异常（见释义）。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2.2.2被保险人在获得被保资格前已经确诊罹患本附加险合同约定的重大疾病或轻度疾病，或已经出现本附加险合同约定的重大疾病或轻度疾病的前兆、症状或异常的身体状况的，保险人不承担给付保险金责任。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2.2.3被保险人非因意外伤害在等待期内确诊罹患本附加险合同约定的重大疾病或轻度疾病的，或者非因意外伤害在等待期内首次发病、但在等待期后确诊罹患本附加险合同约定的重大疾病或轻度疾病的，保险人不承担给付保险金责任，并退还该被保险人已交纳的保险费，对该被保险人的保险责任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 保险金额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每一被保险人的保险金额是保险人承担给付该被保险人保险金责任的最高限额，其中重大疾病保险责任对应重大疾病保险金额、轻度疾病保险责任对应轻度疾病保险金额。</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轻度疾病保险金额不高于重大疾病保险金额的30%，具体保险金额由投保人、保险人双方约定，并在保险单中载明。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每一被保险人的保险金额一经确定，在保险期间内不得变更。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保险金给付申请书；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保险单；</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保险金申请人、被保险人的身份证明；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专科医生出具的附有病历、必需的病理检验、血液检验及其他科学诊断报告的诊断书或手术证明；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保险金申请人所能提供的与确认保险事故的性质、原因、损失程度等有关的其他证明和资料。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4.1被保资格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被保险人因非保险事故身故的，则自其身故之日起该被保险人的被保资格丧失，保险人对该被保险人所承担的保险责任随即终止。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本附加险合同保险期间终止，则被保险人的被保资格终止，保险人对被保险人所承担的保险责任随即终止。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本附加险合同解除，则自解除之日起被保险人的被保资格终止，保险人对被保险人所承担的保险责任随即终止。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4.2专科医生</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专科医生应当同时满足以下四项资格条件：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具有有效的中华人民共和国《医师资格证书》；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具有有效的中华人民共和国《医师执业证书》，并按期到相关部门登记注册；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具有有效的中华人民共和国主治医师或主治医师以上职称的《医师职称证书》；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在国家《医院分级管理标准》二级或二级以上医院的相应科室从事临床工作三年以上。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4.3重大疾病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是指符合下列定义的疾病或被保险人首次接受符合下列定义的手术：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4.3.1恶性肿瘤——重度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指恶性细胞不受控制的进行性增长和扩散，浸润和破坏周围正常组织，可以经血管、淋巴管和体腔扩散转移到身体其他部位，病灶经组织病理学检查（涵盖骨髓病理学检查）</w:t>
      </w:r>
      <w:r>
        <w:rPr>
          <w:rFonts w:hint="default" w:ascii="Times New Roman" w:hAnsi="Times New Roman" w:eastAsia="仿宋_GB2312" w:cs="Times New Roman"/>
          <w:sz w:val="24"/>
          <w:highlight w:val="none"/>
          <w:lang w:val="en-US" w:eastAsia="zh-CN"/>
        </w:rPr>
        <w:footnoteReference w:id="2"/>
      </w:r>
      <w:r>
        <w:rPr>
          <w:rFonts w:hint="default" w:ascii="Times New Roman" w:hAnsi="Times New Roman" w:eastAsia="仿宋_GB2312" w:cs="Times New Roman"/>
          <w:sz w:val="24"/>
          <w:highlight w:val="none"/>
          <w:lang w:val="en-US" w:eastAsia="zh-CN"/>
        </w:rPr>
        <w:t xml:space="preserve">结果明确诊断，临床诊断属于世界卫生组织（WHO，World Health Organization）《疾病和有关健康问题的国际统计分类》第十次修订版（ICD-10）的恶性肿瘤类别及《国际疾病分类肿瘤学专辑》第三版（ICD-O-3）</w:t>
      </w:r>
      <w:r>
        <w:rPr>
          <w:rFonts w:hint="default" w:ascii="Times New Roman" w:hAnsi="Times New Roman" w:eastAsia="仿宋_GB2312" w:cs="Times New Roman"/>
          <w:sz w:val="24"/>
          <w:highlight w:val="none"/>
          <w:lang w:val="en-US" w:eastAsia="zh-CN"/>
        </w:rPr>
        <w:footnoteReference w:id="3"/>
      </w:r>
      <w:r>
        <w:rPr>
          <w:rFonts w:hint="default" w:ascii="Times New Roman" w:hAnsi="Times New Roman" w:eastAsia="仿宋_GB2312" w:cs="Times New Roman"/>
          <w:sz w:val="24"/>
          <w:highlight w:val="none"/>
          <w:lang w:val="en-US" w:eastAsia="zh-CN"/>
        </w:rPr>
        <w:t xml:space="preserve">的肿瘤形态学编码属于3、6、9（恶性肿瘤）范畴的疾病。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下列疾病不属于“恶性肿瘤——重度”，不在保障范围内：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ICD-O-3肿瘤形态学编码属于0（良性肿瘤）、1（动态未定性肿瘤）、2（原位癌和非侵袭性癌）范畴的疾病，如：</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原位癌，癌前病变，非浸润性癌，非侵袭性癌，肿瘤细胞未侵犯基底层，上皮内瘤变，细胞不典型性增生等；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交界性肿瘤，交界恶性肿瘤，肿瘤低度恶性潜能，潜在低度恶性肿瘤等；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TNM分期为Ⅰ期或更轻分期的甲状腺癌</w:t>
      </w:r>
      <w:r>
        <w:rPr>
          <w:rFonts w:hint="default" w:ascii="Times New Roman" w:hAnsi="Times New Roman" w:eastAsia="仿宋_GB2312" w:cs="Times New Roman"/>
          <w:sz w:val="24"/>
          <w:highlight w:val="none"/>
          <w:lang w:val="en-US" w:eastAsia="zh-CN"/>
        </w:rPr>
        <w:footnoteReference w:id="4"/>
      </w:r>
      <w:r>
        <w:rPr>
          <w:rFonts w:hint="default" w:ascii="Times New Roman" w:hAnsi="Times New Roman" w:eastAsia="仿宋_GB2312" w:cs="Times New Roman"/>
          <w:sz w:val="24"/>
          <w:highlight w:val="none"/>
          <w:lang w:val="en-US" w:eastAsia="zh-CN"/>
        </w:rPr>
        <w:t xml:space="preserve">；</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TNM分期为T1N0M0期或更轻分期的前列腺癌；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黑色素瘤以外的未发生淋巴结和远处转移的皮肤恶性肿瘤；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相当于Binet分期方案A期程度的慢性淋巴细胞白血病；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相当于Ann Arbor分期方案Ⅰ期程度的何杰金氏病；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未发生淋巴结和远处转移且WHO分级为G1级别（核分裂像&lt;10/50HPF和ki-67≤2%）或更轻分级的神经内分泌肿瘤。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4.3.2较重急性心肌梗死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较重急性心肌梗死指依照上述标准被明确诊断为急性心肌梗死，并且必须同时满足下列至少一项条件：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心肌损伤标志物肌钙蛋白（cTn）升高，至少一次检测结果达到该检验正常参考值上限的15倍（含）以上；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肌酸激酶同工酶（CK-MB）升高，至少一次检测结果达到该检验正常参考值上限的2倍（含）以上；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出现左心室收缩功能下降，在确诊6周以后，检测左室射血分数（LVEF）低于50%（不含）；</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影像学检查证实存在新发的乳头肌功能失调或断裂引起的中度（含）以上的二尖瓣反流；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影像学检查证实存在新出现的室壁瘤；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出现室性心动过速、心室颤动或心源性休克。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其他非冠状动脉阻塞性疾病所引起的肌钙蛋白（cTn）升高不在保障范围内。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4.3.3严重脑中风后遗症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w:t>
      </w:r>
      <w:r>
        <w:rPr>
          <w:rFonts w:hint="default" w:ascii="Times New Roman" w:hAnsi="Times New Roman" w:eastAsia="仿宋_GB2312" w:cs="Times New Roman"/>
          <w:sz w:val="24"/>
          <w:highlight w:val="none"/>
          <w:lang w:val="en-US" w:eastAsia="zh-CN"/>
        </w:rPr>
        <w:footnoteReference w:id="5"/>
      </w:r>
      <w:r>
        <w:rPr>
          <w:rFonts w:hint="default" w:ascii="Times New Roman" w:hAnsi="Times New Roman" w:eastAsia="仿宋_GB2312" w:cs="Times New Roman"/>
          <w:sz w:val="24"/>
          <w:highlight w:val="none"/>
          <w:lang w:val="en-US" w:eastAsia="zh-CN"/>
        </w:rPr>
        <w:t xml:space="preserve">肌力</w:t>
      </w:r>
      <w:r>
        <w:rPr>
          <w:rFonts w:hint="default" w:ascii="Times New Roman" w:hAnsi="Times New Roman" w:eastAsia="仿宋_GB2312" w:cs="Times New Roman"/>
          <w:sz w:val="24"/>
          <w:highlight w:val="none"/>
          <w:lang w:val="en-US" w:eastAsia="zh-CN"/>
        </w:rPr>
        <w:footnoteReference w:id="6"/>
      </w:r>
      <w:r>
        <w:rPr>
          <w:rFonts w:hint="default" w:ascii="Times New Roman" w:hAnsi="Times New Roman" w:eastAsia="仿宋_GB2312" w:cs="Times New Roman"/>
          <w:sz w:val="24"/>
          <w:highlight w:val="none"/>
          <w:lang w:val="en-US" w:eastAsia="zh-CN"/>
        </w:rPr>
        <w:t xml:space="preserve">2级（含）以下；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w:t>
      </w:r>
      <w:r>
        <w:rPr>
          <w:rFonts w:hint="default" w:ascii="Times New Roman" w:hAnsi="Times New Roman" w:eastAsia="仿宋_GB2312" w:cs="Times New Roman"/>
          <w:sz w:val="24"/>
          <w:highlight w:val="none"/>
          <w:lang w:val="en-US" w:eastAsia="zh-CN"/>
        </w:rPr>
        <w:footnoteReference w:id="7"/>
      </w:r>
      <w:r>
        <w:rPr>
          <w:rFonts w:hint="default" w:ascii="Times New Roman" w:hAnsi="Times New Roman" w:eastAsia="仿宋_GB2312" w:cs="Times New Roman"/>
          <w:sz w:val="24"/>
          <w:highlight w:val="none"/>
          <w:lang w:val="en-US" w:eastAsia="zh-CN"/>
        </w:rPr>
        <w:t xml:space="preserve">，或严重咀嚼吞咽功能障碍</w:t>
      </w:r>
      <w:r>
        <w:rPr>
          <w:rFonts w:hint="default" w:ascii="Times New Roman" w:hAnsi="Times New Roman" w:eastAsia="仿宋_GB2312" w:cs="Times New Roman"/>
          <w:sz w:val="24"/>
          <w:highlight w:val="none"/>
          <w:lang w:val="en-US" w:eastAsia="zh-CN"/>
        </w:rPr>
        <w:footnoteReference w:id="8"/>
      </w:r>
      <w:r>
        <w:rPr>
          <w:rFonts w:hint="default" w:ascii="Times New Roman" w:hAnsi="Times New Roman" w:eastAsia="仿宋_GB2312" w:cs="Times New Roman"/>
          <w:sz w:val="24"/>
          <w:highlight w:val="none"/>
          <w:lang w:val="en-US" w:eastAsia="zh-CN"/>
        </w:rPr>
        <w:t xml:space="preserve">；</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w:t>
      </w:r>
      <w:r>
        <w:rPr>
          <w:rFonts w:hint="default" w:ascii="Times New Roman" w:hAnsi="Times New Roman" w:eastAsia="仿宋_GB2312" w:cs="Times New Roman"/>
          <w:sz w:val="24"/>
          <w:highlight w:val="none"/>
          <w:lang w:val="en-US" w:eastAsia="zh-CN"/>
        </w:rPr>
        <w:footnoteReference w:id="9"/>
      </w:r>
      <w:r>
        <w:rPr>
          <w:rFonts w:hint="default" w:ascii="Times New Roman" w:hAnsi="Times New Roman" w:eastAsia="仿宋_GB2312" w:cs="Times New Roman"/>
          <w:sz w:val="24"/>
          <w:highlight w:val="none"/>
          <w:lang w:val="en-US" w:eastAsia="zh-CN"/>
        </w:rPr>
        <w:t xml:space="preserve">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4.3.4重大器官移植术或造血干细胞移植术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重大器官移植术，指因相应器官功能衰竭，已经实施了肾脏、肝脏、心脏、肺脏或小肠的异体移植手术。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造血干细胞移植术，指因造血功能损害或造血系统恶性肿瘤，已经实施了造血干细胞（包括骨髓造血干细胞、外周血造血干细胞和脐血造血干细胞）的移植手术。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4.3.5冠状动脉搭桥术（或称冠状动脉旁路移植术）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指为治疗严重的冠心病，已经实施了切开心包进行的冠状动脉血管旁路移植的手术。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所有未切开心包的冠状动脉介入治疗不在保障范围内。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4.3.6严重慢性肾衰竭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4.3.7多个肢体缺失</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指因疾病或意外伤害导致两个或两个以上肢体自腕关节或踝关节近端（靠近躯干端）以上完全性断离。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4.3.8急性重症肝炎或亚急性重症肝炎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指因肝炎病毒感染引起肝脏组织弥漫性坏死，导致急性肝功能衰竭，且经血清学或病毒学检查证实，并须满足下列全部条件：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重度黄疸或黄疸迅速加重；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肝性脑病；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B超或其他影像学检查显示肝脏体积急速萎缩；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肝功能指标进行性恶化。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4.3.9严重非恶性颅内肿瘤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已经实施了开颅进行的颅内肿瘤完全或部分切除手术；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已经实施了针对颅内肿瘤的放射治疗，如γ刀、质子重离子治疗等。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脑垂体瘤；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脑囊肿；</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颅内血管性疾病（如脑动脉瘤、脑动静脉畸形、海绵状血管瘤、毛细血管扩张症等）。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4.3.10严重慢性肝衰竭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指因慢性肝脏疾病导致的肝衰竭，且须满足下列全部条件：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持续性黄疸；</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腹水；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肝性脑病；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充血性脾肿大伴脾功能亢进或食管胃底静脉曲张。</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因酗酒或药物滥用导致的肝衰竭不在保障范围内。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4.3.11严重脑炎后遗症或严重脑膜炎后遗症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指因患脑炎或脑膜炎导致的神经系统永久性的功能障碍。神经系统永久性的功能障碍，指经相关专科医生确诊疾病180天后，仍遗留下列至少一种障碍：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一肢（含）以上肢体肌力2级（含）以下；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语言能力完全丧失，或严重咀嚼吞咽功能障碍；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由具有评估资格的专科医生根据临床痴呆评定量表（CDR，Clinical Dementia Rating）评估结果为3分；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4.3.12深度昏迷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因酗酒或药物滥用导致的深度昏迷不在保障范围内。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4.3.13双耳失聪</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指因疾病或意外伤害导致双耳听力永久不可逆</w:t>
      </w:r>
      <w:r>
        <w:rPr>
          <w:rFonts w:hint="default" w:ascii="Times New Roman" w:hAnsi="Times New Roman" w:eastAsia="仿宋_GB2312" w:cs="Times New Roman"/>
          <w:sz w:val="24"/>
          <w:highlight w:val="none"/>
          <w:lang w:val="en-US" w:eastAsia="zh-CN"/>
        </w:rPr>
        <w:footnoteReference w:id="10"/>
      </w:r>
      <w:r>
        <w:rPr>
          <w:rFonts w:hint="default" w:ascii="Times New Roman" w:hAnsi="Times New Roman" w:eastAsia="仿宋_GB2312" w:cs="Times New Roman"/>
          <w:sz w:val="24"/>
          <w:highlight w:val="none"/>
          <w:lang w:val="en-US" w:eastAsia="zh-CN"/>
        </w:rPr>
        <w:t xml:space="preserve">性丧失，在500赫兹、1000赫兹和2000赫兹语音频率下，平均听阈大于等于91分贝，且经纯音听力测试、声导抗检测或听觉诱发电位检测等证实。</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4.3.14双目失明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指因疾病或意外伤害导致双眼视力永久不可逆性丧失，双眼中较好眼须满足下列至少一项条件：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眼球缺失或摘除；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矫正视力低于0.02（采用国际标准视力表，如果使用其他视力表应进行换算）；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视野半径小于5度。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4.3.15瘫痪</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4.3.16心脏瓣膜手术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指为治疗心脏瓣膜疾病，已经实施了切开心脏进行的心脏瓣膜置换或修复的手术。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所有未切开心脏的心脏瓣膜介入手术不在保障范围内。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4.3.17严重阿尔茨海默病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由具有评估资格的专科医生根据临床痴呆评定量表（CDR，Clinical Dementia Rating）评估结果为3分；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阿尔茨海默病之外的其他类型痴呆不在保障范围内。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4.3.18严重脑损伤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一肢（含）以上肢体肌力2级（含）以下；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语言能力完全丧失，或严重咀嚼吞咽功能障碍；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4.3.19严重原发性帕金森病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继发性帕金森综合征、帕金森叠加综合征不在保障范围内。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4.3.20严重Ⅲ度烧伤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指烧伤程度为Ⅲ度，且Ⅲ度烧伤的面积达到全身体表面积的20％或20％以上。体表面积根据《中国新九分法》计算。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4.3.21严重特发性肺动脉高压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指不明原因的肺动脉压力持续性增高，进行性发展而导致的慢性疾病，已经造成永久不可逆性的体力活动能力受限，达到美国纽约心脏病学会（New York Heart Association，NYHA）心功能状态分级</w:t>
      </w:r>
      <w:r>
        <w:rPr>
          <w:rFonts w:hint="default" w:ascii="Times New Roman" w:hAnsi="Times New Roman" w:eastAsia="仿宋_GB2312" w:cs="Times New Roman"/>
          <w:sz w:val="24"/>
          <w:highlight w:val="none"/>
          <w:lang w:val="en-US" w:eastAsia="zh-CN"/>
        </w:rPr>
        <w:footnoteReference w:id="11"/>
      </w:r>
      <w:r>
        <w:rPr>
          <w:rFonts w:hint="default" w:ascii="Times New Roman" w:hAnsi="Times New Roman" w:eastAsia="仿宋_GB2312" w:cs="Times New Roman"/>
          <w:sz w:val="24"/>
          <w:highlight w:val="none"/>
          <w:lang w:val="en-US" w:eastAsia="zh-CN"/>
        </w:rPr>
        <w:t xml:space="preserve">IV级，且静息状态下肺动脉平均压在36mmHg（含）以上。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4.3.22严重运动神经元病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严重咀嚼吞咽功能障碍；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呼吸肌麻痹导致严重呼吸困难，且已经持续使用呼吸机7天（含）以上；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4.3.23语言能力丧失</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指因疾病或意外伤害导致语言能力完全丧失，经过积极治疗至少12个月（声带完全切除不受此时间限制），仍无法通过现有医疗手段恢复。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精神心理因素所致的语言能力丧失不在保障范围内。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4.3.24重型再生障碍性贫血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指因骨髓造血功能慢性持续性衰竭导致的贫血、中性粒细胞减少及血小板减少，且须满足下列全部条件：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骨髓穿刺检查或骨髓活检结果支持诊断：骨髓细胞增生程度&lt;正常的25%；如≥正常的25%但&lt;50%，则残存的造血细胞应&lt;30%；</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外周血象须具备以下三项条件中的两项：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中性粒细胞绝对值&lt;0.5×109/L；</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网织红细胞计数&lt;20×109/L；</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血小板绝对值&lt;20×109/L。</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4.3.25主动脉手术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所有未实施开胸或开腹的动脉内介入治疗不在保障范围内。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4.3.26严重慢性呼吸衰竭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指因慢性呼吸系统疾病导致永久不可逆性的呼吸衰竭，经过积极治疗180天后满足以下所有条件：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静息时出现呼吸困难；</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肺功能第一秒用力呼气容积（FEV1）占预计值的百分比＜30%；</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在静息状态、呼吸空气条件下，动脉血氧分压（PaO2）＜50mmHg。</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4.3.27严重克罗恩病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指一种慢性肉芽肿性肠炎，具有特征性的克罗恩病（Crohn病）病理组织学变化，须根据组织病理学特点诊断，且已经造成瘘管形成并伴有肠梗阻或肠穿孔。 </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4.3.28严重溃疡性结肠炎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指伴有致命性电解质紊乱的急性暴发性溃疡性结肠炎，病变已经累及全结肠，表现为严重的血便和系统性症状体征，须根据组织病理学特点诊断，且已经实施了结肠切除或回肠造瘘术。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上述定义依照中国保险行业协会与中国医师协会联合发布的《重大疾病保险的疾病定义使用规范（2020年修订版）》制定。</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4.4意外伤害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114" w:name="_9.3_重大疾病"/>
      <w:r/>
      <w:bookmarkEnd w:id="114"/>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指以外来的、突发的、非本意的、非疾病的客观事件为直接且单独的原因致使身体受到的伤害。以下情形属于疾病范畴，非本条款所指意外伤害：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猝死；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过敏及由过敏引发的变态反应性疾病；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高原反应；</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细菌、病毒或其他病原体导致的感染性疾病。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4.5发病、首次发病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发病，是指被保险人出现本附加险合同约定的疾病或接受本附加险合同约定的手术的前兆、症状或异常的身体状况，或已经显现足以促使一般普通谨慎人士引起注意并寻求诊断、治疗或护理的病症。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首次发病，是指被保险人第一次发生并首次被确诊患上本附加险合同约定的疾病，并且该疾病在该被保险人获得被保资格前并未发病或有任何身体的前兆、症状或异常状况；或被保险人第一次接受本附加险合同约定的手术，并且在该被保险人获得被保资格前未出现该手术对应的任何身体的前兆、症状或异常状况。</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4.6等待期</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自被保险人获得被保资格之日起计算的一段时间（该时间以保险单载明为准；若保险单未载明则该时间视为90日），经过该段时间后，保险人才对被保险人承担给付保险金责任；在此期间，尽管保险合同已经生效，但保险人并不承担给付保险金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续保的情况下，等待期为0日。本保险合同期满前，投保人可向保险人申请续保，经保险人审核后予以承保；续保合同保险期间的起始日期与续保对应上一保险合同保险期间的终止日期相连不间断。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被保险人因意外伤害造成本附加险合同约定的疾病、达到疾病状态或进行手术的，等待期为0日。</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4.7轻度疾病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是指符合下列定义的疾病或被保险人首次接受符合下列定义的手术：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4.7.1恶性肿瘤——轻度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但不在“恶性肿瘤——重度”保障范围的疾病。且特指下列六项之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TNM分期为Ⅰ期的甲状腺癌；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TNM分期为T1N0M0期的前列腺癌；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黑色素瘤以外的未发生淋巴结和远处转移的皮肤恶性肿瘤；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相当于Binet分期方案A期程度的慢性淋巴细胞白血病；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相当于Ann Arbor分期方案Ⅰ期程度的何杰金氏病；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未发生淋巴结和远处转移且WHO分级为G1级别（核分裂像&lt;10/50HPF和ki-67≤2%）的神经内分泌肿瘤。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下列疾病不属于“恶性肿瘤——轻度”，不在保障范围内：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ICD-O-3肿瘤形态学编码属于0（良性肿瘤）、1（动态未定性肿瘤）、2（原位癌和非侵袭性癌）范畴的疾病，如：</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原位癌，癌前病变，非浸润性癌，非侵袭性癌，肿瘤细胞未侵犯基底层，上皮内瘤变，细胞不典型性增生等；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交界性肿瘤，交界恶性肿瘤，肿瘤低度恶性潜能，潜在低度恶性肿瘤等。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4.7.2较轻急性心肌梗死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较轻急性心肌梗死指依照上述标准被明确诊断为急性心肌梗死，但未达到“较重急性心肌梗死”的给付标准。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其他非冠状动脉阻塞性疾病引起的肌钙蛋白（cTn）升高不在保障范围内。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4.7.3轻度脑中风后遗症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脑血管的突发病变引起脑血管出血、栓塞或梗塞，须由头颅断层扫描（CT）、核磁共振检查（MRI）等影像学检查证实，并导致神经系统永久性的功能障碍，但未达到“严重脑中风后遗症”的给付标准，在疾病确诊180天后，仍遗留下列至少一种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一肢（含）以上肢体肌力为3级；</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自主生活能力部分丧失，无法独立完成六项基本日常生活活动中的两项。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上述疾病定义依照中国保险行业协会与中国医师协会联合发布的《重大疾病保险的疾病定义使用规范（2020年修订版）》制定。</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4.8酒后驾驶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4.9无合法有效驾驶证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指被保险人存在下列情形之一：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无驾驶证或驾驶证有效期已届满；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驾驶的机动车与驾驶证载明的准驾车型不符；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实习期内驾驶公共汽车、营运客车或者载有爆炸物品、易燃易爆化学物品、剧毒或者放射性等危险物品的机动车，实习期内驾驶的机动车牵引挂车；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持未按规定审验的驾驶证，以及在暂扣、扣留、吊销、注销驾驶证期间驾驶机动车；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使用各种专用机械车、特种车的人员无国家有关部门核发的有效操作证，驾驶营业性客车的驾驶人无国家有关部门核发的有效资格证书；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依照法律法规或公安机关交通管理部门有关规定不允许驾驶机动车的其他情况下驾车。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4.10无合法有效行驶证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4.11感染艾滋病病毒或患艾滋病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艾滋病病毒指人类免疫缺陷病毒，英文缩写为HIV。艾滋病指人类免疫缺陷病毒引起的获得性免疫缺陷综合征，英文缩写为AIDS。</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115" w:name="_4.6_遗传性疾病"/>
      <w:r/>
      <w:bookmarkEnd w:id="115"/>
      <w:r>
        <w:rPr>
          <w:rFonts w:hint="default" w:ascii="Times New Roman" w:hAnsi="Times New Roman" w:eastAsia="仿宋_GB2312" w:cs="Times New Roman"/>
          <w:sz w:val="24"/>
          <w:highlight w:val="none"/>
          <w:lang w:val="en-US" w:eastAsia="zh-CN"/>
        </w:rPr>
        <w:t xml:space="preserve">4.12遗传性疾病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指生殖细胞或受精卵的遗传物质（染色体和基因）发生突变或畸变所引起的疾病，通常具有由亲代传至后代的垂直传递的特征。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bookmarkStart w:id="116" w:name="_4.7_先天性畸形、变形或染色体异常"/>
      <w:r/>
      <w:bookmarkEnd w:id="116"/>
      <w:r>
        <w:rPr>
          <w:rFonts w:hint="default" w:ascii="Times New Roman" w:hAnsi="Times New Roman" w:eastAsia="仿宋_GB2312" w:cs="Times New Roman"/>
          <w:sz w:val="24"/>
          <w:highlight w:val="none"/>
          <w:lang w:val="en-US" w:eastAsia="zh-CN"/>
        </w:rPr>
        <w:t xml:space="preserve">4.13先天性畸形、变形或染色体异常</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指被保险人出生时就具有的畸形、变形或染色体异常。先天性畸形、变形和染色体异常依照世界卫生组织《疾病和有关健康问题的国际统计分类》（ICD-10）确定。</w:t>
      </w:r>
      <w:bookmarkStart w:id="117" w:name="_4.15_既往症"/>
      <w:r/>
      <w:bookmarkEnd w:id="117"/>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4.14保险金申请人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除另有约定外，本附加险合同的保险金申请人是指被保险人本人。</w:t>
      </w:r>
      <w:bookmarkStart w:id="118" w:name="_4.9_既往症"/>
      <w:r/>
      <w:bookmarkEnd w:id="118"/>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附录：甲状腺癌的TNM分期定义标准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甲状腺乳头状癌、滤泡癌、低分化癌、Hürthle细胞癌和未分化癌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pTX：原发肿瘤不能评估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pT0：无肿瘤证据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pT1：肿瘤局限在甲状腺内，最大径≤2cm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T1a肿瘤最大径≤1cm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T1b肿瘤最大径＞1cm，≤2cm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pT2：肿瘤2～4cm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pT3：肿瘤&gt;4cm，局限于甲状腺内或大体侵犯甲状腺外带状肌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pT3a：肿瘤&gt;4cm，局限于甲状腺内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pT3b：大体侵犯甲状腺外带状肌，无论肿瘤大小</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带状肌包括：胸骨舌骨肌、胸骨甲状肌、甲状舌骨肌、肩胛舌骨肌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pT4：大体侵犯甲状腺外带状肌外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pT4a：侵犯喉、气管、食管、喉反神经及皮下软组织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pT4b：侵犯椎前筋膜，或包裹颈动脉、纵隔血管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甲状腺髓样癌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pTX：原发肿瘤不能评估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pT0：无肿瘤证据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pT1：肿瘤局限在甲状腺内，最大径≤2cm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T1a肿瘤最大径≤1cm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T1b肿瘤最大径＞1cm，≤2cm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pT2：肿瘤2～4cm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pT3：肿瘤&gt;4cm，局限于甲状腺内或大体侵犯甲状腺外带状肌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pT3a：肿瘤&gt;4cm，局限于甲状腺内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pT3b：大体侵犯甲状腺外带状肌，无论肿瘤大小</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带状肌包括：胸骨舌骨肌、胸骨甲状肌、甲状舌骨肌、肩胛舌骨肌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pT4：进展期病变</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pT4a：中度进展，任何大小的肿瘤，侵犯甲状腺外颈部周围器官和软组织，如喉、气管、食管、喉反神经及皮下软组织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pT4b：重度进展，任何大小的肿瘤，侵犯椎前筋膜，或包裹颈动脉、纵隔血管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区域淋巴结：适用于所有甲状腺癌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pNx：区域淋巴结无法评估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pN0：无淋巴结转移证据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pN1：区域淋巴结转移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pN1a：转移至Ⅵ、Ⅶ区（包括气管旁、气管前、喉前/Delphian或上纵隔）淋巴结，可以为单侧或双侧。</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pN1b：单侧、双侧或对侧颈淋巴结转移（包括Ⅰ、Ⅱ、Ⅲ、Ⅳ或Ⅴ区）淋巴结或咽后淋巴结转移。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远处转移：适用于所有甲状腺癌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M0：无远处转移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M1：有远处转移</w:t>
      </w:r>
      <w:r/>
    </w:p>
    <w:tbl>
      <w:tblPr>
        <w:tblStyle w:val="1031"/>
        <w:tblW w:w="7335" w:type="dxa"/>
        <w:jc w:val="center"/>
        <w:tblLayout w:type="fixed"/>
        <w:tblCellMar>
          <w:left w:w="108" w:type="dxa"/>
          <w:top w:w="0" w:type="dxa"/>
          <w:right w:w="108" w:type="dxa"/>
          <w:bottom w:w="0" w:type="dxa"/>
        </w:tblCellMar>
        <w:tblLook w:val="04A0" w:firstRow="1" w:lastRow="0" w:firstColumn="1" w:lastColumn="0" w:noHBand="0" w:noVBand="1"/>
      </w:tblPr>
      <w:tblGrid>
        <w:gridCol w:w="2425"/>
        <w:gridCol w:w="1768"/>
        <w:gridCol w:w="1561"/>
        <w:gridCol w:w="1581"/>
      </w:tblGrid>
      <w:tr>
        <w:trPr>
          <w:jc w:val="center"/>
          <w:trHeight w:val="288"/>
        </w:trPr>
        <w:tc>
          <w:tcPr>
            <w:gridSpan w:val="4"/>
            <w:tcBorders>
              <w:top w:val="single" w:color="000000" w:sz="8" w:space="0"/>
              <w:left w:val="single" w:color="000000" w:sz="8" w:space="0"/>
              <w:bottom w:val="single" w:color="000000" w:sz="4" w:space="0"/>
              <w:right w:val="single" w:color="000000" w:sz="8" w:space="0"/>
            </w:tcBorders>
            <w:tcW w:w="733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乳头状或滤泡状癌（分化型）</w:t>
            </w:r>
            <w:r/>
          </w:p>
        </w:tc>
      </w:tr>
      <w:tr>
        <w:trPr>
          <w:jc w:val="center"/>
          <w:trHeight w:val="260"/>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年龄＜55岁</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N</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jc w:val="center"/>
          <w:trHeight w:val="260"/>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年龄≥55岁</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3a～3b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jc w:val="center"/>
          <w:trHeight w:val="288"/>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髓样癌（所有年龄组）</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1a</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1b</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ⅣC期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jc w:val="center"/>
          <w:trHeight w:val="288"/>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未分化癌（所有年龄组）</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3b～4</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74"/>
        </w:trPr>
        <w:tc>
          <w:tcPr>
            <w:tcBorders>
              <w:top w:val="none" w:color="000000" w:sz="4" w:space="0"/>
              <w:left w:val="single" w:color="000000" w:sz="8" w:space="0"/>
              <w:bottom w:val="single" w:color="000000" w:sz="8" w:space="0"/>
              <w:right w:val="single" w:color="000000" w:sz="4" w:space="0"/>
            </w:tcBorders>
            <w:tcW w:w="2425"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ⅣC期</w:t>
            </w:r>
            <w:r/>
          </w:p>
        </w:tc>
        <w:tc>
          <w:tcPr>
            <w:tcBorders>
              <w:top w:val="none" w:color="000000" w:sz="4" w:space="0"/>
              <w:left w:val="none" w:color="000000" w:sz="4" w:space="0"/>
              <w:bottom w:val="single" w:color="000000" w:sz="8" w:space="0"/>
              <w:right w:val="single" w:color="000000" w:sz="4" w:space="0"/>
            </w:tcBorders>
            <w:tcW w:w="1768"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8" w:space="0"/>
              <w:right w:val="single" w:color="000000" w:sz="4" w:space="0"/>
            </w:tcBorders>
            <w:tcW w:w="156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bl>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注：以上表格中“年龄”指患者病理组织标本获取日期时的年龄。</w:t>
      </w:r>
      <w:r/>
    </w:p>
    <w:p>
      <w:pPr>
        <w:pStyle w:val="1206"/>
        <w:jc w:val="center"/>
        <w:tabs>
          <w:tab w:val="left" w:pos="3501" w:leader="none"/>
        </w:tabs>
        <w:rPr>
          <w:rFonts w:hint="default" w:ascii="Times New Roman" w:hAnsi="Times New Roman" w:eastAsia="仿宋" w:cs="Times New Roman"/>
          <w:sz w:val="24"/>
          <w:highlight w:val="none"/>
          <w:lang w:eastAsia="zh-CN"/>
        </w:rPr>
      </w:pPr>
      <w:r>
        <w:rPr>
          <w:rFonts w:hint="default" w:ascii="Times New Roman" w:hAnsi="Times New Roman" w:eastAsia="仿宋_GB2312" w:cs="Times New Roman"/>
          <w:sz w:val="24"/>
          <w:highlight w:val="none"/>
          <w:lang w:eastAsia="zh-CN"/>
        </w:rPr>
        <w:br w:type="page" w:clear="all"/>
      </w:r>
      <w:r>
        <w:rPr>
          <w:rFonts w:hint="default" w:ascii="Times New Roman" w:hAnsi="Times New Roman" w:eastAsia="仿宋_GB2312" w:cs="Times New Roman"/>
          <w:b/>
          <w:bCs/>
          <w:sz w:val="28"/>
          <w:szCs w:val="28"/>
          <w:highlight w:val="none"/>
          <w:lang w:val="en-US" w:eastAsia="zh-CN" w:bidi="ar-SA"/>
        </w:rPr>
        <w:t xml:space="preserve">附加重大疾病住院津贴保险条款</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1.1投保附加险的条件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本条款为本保险单约定的意外健康险类主险的附加险条款。只有在投保了主险的基础上，方可投保本附加险。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1.2主险与附加险关系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1.3受益人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除另有约定外，本附加险合同保险金的受益人为被保险人本人。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2保障内容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2.1疾病范围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经保险人同意，投保人可以在下列（1）（2）疾病病种范围中选择其中一种投保，并在保险单中载明。保险人仅对所选择投保的疾病病种承担相应的保险责任。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重大疾病：指仅投保重大疾病（见释义）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重大疾病（含轻症）：指投保重大疾病和轻度疾病（见释义）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自获得被保资格（见释义）之日起发生以下情况之一，并在保险期间内被专科医生（见释义）首次确诊为上述2.1约定投保的疾病病种中的一种或多种，且被保险人因该疾病在保险期间内在指定医疗机构（见释义）进行住院（见释义）治疗，对于该被保险人的实际住院日数（见释义），保险人按照《住院津贴给付表》的约定给付重大疾病住院津贴保险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被保险人遭受意外伤害（见释义），并在保险期间内因该意外伤害造成所选择投保的疾病病种中的一种或多种首次发病（见释义）；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被保险人经过本附加险合同约定的等待期（见释义）后，在保险期间内首次发病。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《津贴给付表》</w:t>
      </w:r>
      <w:r/>
    </w:p>
    <w:tbl>
      <w:tblPr>
        <w:tblStyle w:val="1031"/>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6120"/>
      </w:tblGrid>
      <w:tr>
        <w:trPr>
          <w:jc w:val="center"/>
        </w:trPr>
        <w:tc>
          <w:tcPr>
            <w:tcW w:w="2160" w:type="dxa"/>
            <w:vAlign w:val="center"/>
            <w:textDirection w:val="lrTb"/>
            <w:noWrap w:val="false"/>
          </w:tcPr>
          <w:p>
            <w:pPr>
              <w:pStyle w:val="1206"/>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实际住院日数</w:t>
            </w:r>
            <w:r/>
          </w:p>
        </w:tc>
        <w:tc>
          <w:tcPr>
            <w:tcW w:w="6120" w:type="dxa"/>
            <w:vAlign w:val="center"/>
            <w:textDirection w:val="lrTb"/>
            <w:noWrap w:val="false"/>
          </w:tcPr>
          <w:p>
            <w:pPr>
              <w:pStyle w:val="1206"/>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每次重大疾病住院津贴保险金</w:t>
            </w:r>
            <w:r/>
          </w:p>
        </w:tc>
      </w:tr>
      <w:tr>
        <w:trPr>
          <w:jc w:val="center"/>
        </w:trPr>
        <w:tc>
          <w:tcPr>
            <w:tcW w:w="2160" w:type="dxa"/>
            <w:vAlign w:val="center"/>
            <w:textDirection w:val="lrTb"/>
            <w:noWrap w:val="false"/>
          </w:tcPr>
          <w:p>
            <w:pPr>
              <w:pStyle w:val="1206"/>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不超过免赔日数</w:t>
            </w:r>
            <w:r/>
          </w:p>
        </w:tc>
        <w:tc>
          <w:tcPr>
            <w:tcW w:w="6120" w:type="dxa"/>
            <w:vAlign w:val="center"/>
            <w:textDirection w:val="lrTb"/>
            <w:noWrap w:val="false"/>
          </w:tcPr>
          <w:p>
            <w:pPr>
              <w:pStyle w:val="1206"/>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w:t>
            </w:r>
            <w:r/>
          </w:p>
        </w:tc>
      </w:tr>
      <w:tr>
        <w:trPr>
          <w:jc w:val="center"/>
        </w:trPr>
        <w:tc>
          <w:tcPr>
            <w:tcW w:w="2160" w:type="dxa"/>
            <w:vAlign w:val="center"/>
            <w:textDirection w:val="lrTb"/>
            <w:noWrap w:val="false"/>
          </w:tcPr>
          <w:p>
            <w:pPr>
              <w:pStyle w:val="1206"/>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超过免赔日数</w:t>
            </w:r>
            <w:r/>
          </w:p>
        </w:tc>
        <w:tc>
          <w:tcPr>
            <w:tcW w:w="6120" w:type="dxa"/>
            <w:vAlign w:val="center"/>
            <w:textDirection w:val="lrTb"/>
            <w:noWrap w:val="false"/>
          </w:tcPr>
          <w:p>
            <w:pPr>
              <w:pStyle w:val="1206"/>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如（实际住院日数-免赔日数）&lt; 每次最高给付日数，则</w:t>
            </w:r>
            <w:r/>
          </w:p>
          <w:p>
            <w:pPr>
              <w:pStyle w:val="1206"/>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每次重大疾病住院津贴保险金 = 每日重大疾病住院津贴金额 × （实际住院日数-免赔日数）</w:t>
            </w:r>
            <w:r/>
          </w:p>
          <w:p>
            <w:pPr>
              <w:pStyle w:val="1206"/>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如（实际住院日数-免赔日数）&gt; 每次最高给付日数，则</w:t>
            </w:r>
            <w:r/>
          </w:p>
          <w:p>
            <w:pPr>
              <w:pStyle w:val="1206"/>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每次重大疾病住院津贴保险金 = 每日重大疾病住院津贴金额 × 每次最高给付日数</w:t>
            </w:r>
            <w:r/>
          </w:p>
        </w:tc>
      </w:tr>
    </w:tbl>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每日住院津贴金额、住院免赔日数、每次住院最高给付日数以保险单载明为准；若未载明的，则住院免赔日数视为0日、每次住院最高给付日数视为180日。</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本附加险合同项下，保险人在保险期间内累计承担的住院津贴的给付日数（即住院总给付日数）不超过180日（含第180日）。</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若被保险人因同一原因多次住院，前次出院与后次住院日期间隔未达90日的，则视为同一次住院。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2.3责任免除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2.3.1因下列情形之一，导致被保险人发生疾病、达到疾病状态或进行手术的，保险人不承担保险责任：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投保人对被保险人的故意杀害、故意伤害；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被保险人故意犯罪或抗拒依法采取的刑事强制措施；</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被保险人故意自伤或自杀，但被保险人自杀时为无民事行为能力人的除外；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被保险人服用、吸食或注射毒品；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被保险人酒后驾驶（见释义）、无合法有被保险人感染艾滋病病毒或患艾滋病（见释义）；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战争、军事冲突、暴乱或武装叛乱；</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核爆炸、核辐射或核污染；效驾驶证（见释义）驾驶，或驾驶无合法有效行驶证（见释义）的机动车；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遗传性疾病（见释义），先天性畸形、变形或染色体异常（见释义）。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2.3.2对于下列治疗行为，保险人不承担给付保险金责任：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被保险人在家自设病床治疗，或在门诊观察室、急诊观察室、其他非正式病房、联合病房的治疗；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被保险人不符合入院标准住院、</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"_4.9_挂床住院"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挂床住院（见释义）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或应当出院但拒不出院而造成的延长住院。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2.3.3被保险人在获得被保资格前已经确诊罹患本附加险合同约定的疾病，或已经出现本附加险合同约定的疾病的前兆、症状或异常的身体状况的，保险人不承担给付保险金责任。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2.3.4被保险人非因意外伤害在等待期内确诊罹患本附加险合同约定的疾病，或者非因意外伤害在等待期内首次发病、但在等待期后确诊罹患本附加险合同约定的疾病的，保险人不承担给付保险金责任，并退还该被保险人已交纳的保险费，对该被保险人的保险责任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保险金给付申请书；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保险单；</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保险金申请人、被保险人的身份证明；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专科医生出具的附有病历、必需的病理检验、血液检验及其他科学诊断报告的诊断书或手术证明；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指定医疗机构出具的医疗费用发票/收据、费用明细清单/帐、病历、出院小结、诊断证明及其他医疗记录等；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保险金申请人所能提供的与确认保险事故的性质、原因、损失程度等有关的其他证明和资料。</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 释义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4.1重大疾病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是指符合下列定义的疾病或被保险人首次接受符合下列定义的手术：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4.1.1恶性肿瘤——重度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指恶性细胞不受控制的进行性增长和扩散，浸润和破坏周围正常组织，可以经血管、淋巴管和体腔扩散转移到身体其他部位，病灶经组织病理学检查（涵盖骨髓病理学检查）</w:t>
      </w:r>
      <w:r>
        <w:rPr>
          <w:rFonts w:hint="default" w:ascii="Times New Roman" w:hAnsi="Times New Roman" w:eastAsia="仿宋_GB2312" w:cs="Times New Roman"/>
          <w:sz w:val="24"/>
          <w:highlight w:val="none"/>
          <w:lang w:val="en-US" w:eastAsia="zh-CN"/>
        </w:rPr>
        <w:footnoteReference w:id="12"/>
      </w:r>
      <w:r>
        <w:rPr>
          <w:rFonts w:hint="default" w:ascii="Times New Roman" w:hAnsi="Times New Roman" w:eastAsia="仿宋_GB2312" w:cs="Times New Roman"/>
          <w:sz w:val="24"/>
          <w:highlight w:val="none"/>
          <w:lang w:val="en-US" w:eastAsia="zh-CN"/>
        </w:rPr>
        <w:t xml:space="preserve">结果明确诊断，临床诊断属于世界卫生组织（WHO，World Health Organization）《疾病和有关健康问题的国际统计分类》第十次修订版（ICD-10）的恶性肿瘤类别及《国际疾病分类肿瘤学专辑》第三版（ICD-O-3）</w:t>
      </w:r>
      <w:r>
        <w:rPr>
          <w:rFonts w:hint="default" w:ascii="Times New Roman" w:hAnsi="Times New Roman" w:eastAsia="仿宋_GB2312" w:cs="Times New Roman"/>
          <w:sz w:val="24"/>
          <w:highlight w:val="none"/>
          <w:lang w:val="en-US" w:eastAsia="zh-CN"/>
        </w:rPr>
        <w:footnoteReference w:id="13"/>
      </w:r>
      <w:r>
        <w:rPr>
          <w:rFonts w:hint="default" w:ascii="Times New Roman" w:hAnsi="Times New Roman" w:eastAsia="仿宋_GB2312" w:cs="Times New Roman"/>
          <w:sz w:val="24"/>
          <w:highlight w:val="none"/>
          <w:lang w:val="en-US" w:eastAsia="zh-CN"/>
        </w:rPr>
        <w:t xml:space="preserve">的肿瘤形态学编码属于3、6、9（恶性肿瘤）范畴的疾病。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下列疾病不属于“恶性肿瘤——重度”，不在保障范围内：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ICD-O-3肿瘤形态学编码属于0（良性肿瘤）、1（动态未定性肿瘤）、2（原位癌和非侵袭性癌）范畴的疾病，如：</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原位癌，癌前病变，非浸润性癌，非侵袭性癌，肿瘤细胞未侵犯基底层，上皮内瘤变，细胞不典型性增生等；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交界性肿瘤，交界恶性肿瘤，肿瘤低度恶性潜能，潜在低度恶性肿瘤等；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TNM分期为Ⅰ期或更轻分期的甲状腺癌</w:t>
      </w:r>
      <w:r>
        <w:rPr>
          <w:rFonts w:hint="default" w:ascii="Times New Roman" w:hAnsi="Times New Roman" w:eastAsia="仿宋_GB2312" w:cs="Times New Roman"/>
          <w:sz w:val="24"/>
          <w:highlight w:val="none"/>
          <w:lang w:val="en-US" w:eastAsia="zh-CN"/>
        </w:rPr>
        <w:footnoteReference w:id="14"/>
      </w:r>
      <w:r>
        <w:rPr>
          <w:rFonts w:hint="default" w:ascii="Times New Roman" w:hAnsi="Times New Roman" w:eastAsia="仿宋_GB2312" w:cs="Times New Roman"/>
          <w:sz w:val="24"/>
          <w:highlight w:val="none"/>
          <w:lang w:val="en-US" w:eastAsia="zh-CN"/>
        </w:rPr>
        <w:t xml:space="preserve">；</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TNM分期为T1N0M0期或更轻分期的前列腺癌；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黑色素瘤以外的未发生淋巴结和远处转移的皮肤恶性肿瘤；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相当于Binet分期方案A期程度的慢性淋巴细胞白血病；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相当于Ann Arbor分期方案Ⅰ期程度的何杰金氏病；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未发生淋巴结和远处转移且WHO分级为G1级别（核分裂像&lt;10/50HPF和ki-67≤2%）或更轻分级的神经内分泌肿瘤。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4.1.2较重急性心肌梗死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较重急性心肌梗死指依照上述标准被明确诊断为急性心肌梗死，并且必须同时满足下列至少一项条件：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心肌损伤标志物肌钙蛋白（cTn）升高，至少一次检测结果达到该检验正常参考值上限的15倍（含）以上；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肌酸激酶同工酶（CK-MB）升高，至少一次检测结果达到该检验正常参考值上限的2倍（含）以上；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出现左心室收缩功能下降，在确诊6周以后，检测左室射血分数（LVEF）低于50%（不含）；</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影像学检查证实存在新发的乳头肌功能失调或断裂引起的中度（含）以上的二尖瓣反流；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影像学检查证实存在新出现的室壁瘤；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出现室性心动过速、心室颤动或心源性休克。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其他非冠状动脉阻塞性疾病所引起的肌钙蛋白（cTn）升高不在保障范围内。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4.1.3严重脑中风后遗症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w:t>
      </w:r>
      <w:r>
        <w:rPr>
          <w:rFonts w:hint="default" w:ascii="Times New Roman" w:hAnsi="Times New Roman" w:eastAsia="仿宋_GB2312" w:cs="Times New Roman"/>
          <w:sz w:val="24"/>
          <w:highlight w:val="none"/>
          <w:lang w:val="en-US" w:eastAsia="zh-CN"/>
        </w:rPr>
        <w:footnoteReference w:id="15"/>
      </w:r>
      <w:r>
        <w:rPr>
          <w:rFonts w:hint="default" w:ascii="Times New Roman" w:hAnsi="Times New Roman" w:eastAsia="仿宋_GB2312" w:cs="Times New Roman"/>
          <w:sz w:val="24"/>
          <w:highlight w:val="none"/>
          <w:lang w:val="en-US" w:eastAsia="zh-CN"/>
        </w:rPr>
        <w:t xml:space="preserve">肌力</w:t>
      </w:r>
      <w:r>
        <w:rPr>
          <w:rFonts w:hint="default" w:ascii="Times New Roman" w:hAnsi="Times New Roman" w:eastAsia="仿宋_GB2312" w:cs="Times New Roman"/>
          <w:sz w:val="24"/>
          <w:highlight w:val="none"/>
          <w:lang w:val="en-US" w:eastAsia="zh-CN"/>
        </w:rPr>
        <w:footnoteReference w:id="16"/>
      </w:r>
      <w:r>
        <w:rPr>
          <w:rFonts w:hint="default" w:ascii="Times New Roman" w:hAnsi="Times New Roman" w:eastAsia="仿宋_GB2312" w:cs="Times New Roman"/>
          <w:sz w:val="24"/>
          <w:highlight w:val="none"/>
          <w:lang w:val="en-US" w:eastAsia="zh-CN"/>
        </w:rPr>
        <w:t xml:space="preserve">2级（含）以下；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w:t>
      </w:r>
      <w:r>
        <w:rPr>
          <w:rFonts w:hint="default" w:ascii="Times New Roman" w:hAnsi="Times New Roman" w:eastAsia="仿宋_GB2312" w:cs="Times New Roman"/>
          <w:sz w:val="24"/>
          <w:highlight w:val="none"/>
          <w:lang w:val="en-US" w:eastAsia="zh-CN"/>
        </w:rPr>
        <w:footnoteReference w:id="17"/>
      </w:r>
      <w:r>
        <w:rPr>
          <w:rFonts w:hint="default" w:ascii="Times New Roman" w:hAnsi="Times New Roman" w:eastAsia="仿宋_GB2312" w:cs="Times New Roman"/>
          <w:sz w:val="24"/>
          <w:highlight w:val="none"/>
          <w:lang w:val="en-US" w:eastAsia="zh-CN"/>
        </w:rPr>
        <w:t xml:space="preserve">，或严重咀嚼吞咽功能障碍</w:t>
      </w:r>
      <w:r>
        <w:rPr>
          <w:rFonts w:hint="default" w:ascii="Times New Roman" w:hAnsi="Times New Roman" w:eastAsia="仿宋_GB2312" w:cs="Times New Roman"/>
          <w:sz w:val="24"/>
          <w:highlight w:val="none"/>
          <w:lang w:val="en-US" w:eastAsia="zh-CN"/>
        </w:rPr>
        <w:footnoteReference w:id="18"/>
      </w:r>
      <w:r>
        <w:rPr>
          <w:rFonts w:hint="default" w:ascii="Times New Roman" w:hAnsi="Times New Roman" w:eastAsia="仿宋_GB2312" w:cs="Times New Roman"/>
          <w:sz w:val="24"/>
          <w:highlight w:val="none"/>
          <w:lang w:val="en-US" w:eastAsia="zh-CN"/>
        </w:rPr>
        <w:t xml:space="preserve">；</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w:t>
      </w:r>
      <w:r>
        <w:rPr>
          <w:rFonts w:hint="default" w:ascii="Times New Roman" w:hAnsi="Times New Roman" w:eastAsia="仿宋_GB2312" w:cs="Times New Roman"/>
          <w:sz w:val="24"/>
          <w:highlight w:val="none"/>
          <w:lang w:val="en-US" w:eastAsia="zh-CN"/>
        </w:rPr>
        <w:footnoteReference w:id="19"/>
      </w:r>
      <w:r>
        <w:rPr>
          <w:rFonts w:hint="default" w:ascii="Times New Roman" w:hAnsi="Times New Roman" w:eastAsia="仿宋_GB2312" w:cs="Times New Roman"/>
          <w:sz w:val="24"/>
          <w:highlight w:val="none"/>
          <w:lang w:val="en-US" w:eastAsia="zh-CN"/>
        </w:rPr>
        <w:t xml:space="preserve">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4.1.4重大器官移植术或造血干细胞移植术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重大器官移植术，指因相应器官功能衰竭，已经实施了肾脏、肝脏、心脏、肺脏或小肠的异体移植手术。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造血干细胞移植术，指因造血功能损害或造血系统恶性肿瘤，已经实施了造血干细胞（包括骨髓造血干细胞、外周血造血干细胞和脐血造血干细胞）的移植手术。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4.1.5冠状动脉搭桥术（或称冠状动脉旁路移植术）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指为治疗严重的冠心病，已经实施了切开心包进行的冠状动脉血管旁路移植的手术。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所有未切开心包的冠状动脉介入治疗不在保障范围内。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4.1.6严重慢性肾衰竭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4.1.7多个肢体缺失</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指因疾病或意外伤害导致两个或两个以上肢体自腕关节或踝关节近端（靠近躯干端）以上完全性断离。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4.1.8急性重症肝炎或亚急性重症肝炎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指因肝炎病毒感染引起肝脏组织弥漫性坏死，导致急性肝功能衰竭，且经血清学或病毒学检查证实，并须满足下列全部条件：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重度黄疸或黄疸迅速加重；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肝性脑病；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B超或其他影像学检查显示肝脏体积急速萎缩；</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肝功能指标进行性恶化。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4.1.9严重非恶性颅内肿瘤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已经实施了开颅进行的颅内肿瘤完全或部分切除手术；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已经实施了针对颅内肿瘤的放射治疗，如γ刀、质子重离子治疗等。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脑垂体瘤；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脑囊肿；</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颅内血管性疾病（如脑动脉瘤、脑动静脉畸形、海绵状血管瘤、毛细血管扩张症等）。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4.1.10严重慢性肝衰竭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指因慢性肝脏疾病导致的肝衰竭，且须满足下列全部条件：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持续性黄疸；</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腹水；</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肝性脑病；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充血性脾肿大伴脾功能亢进或食管胃底静脉曲张。</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因酗酒或药物滥用导致的肝衰竭不在保障范围内。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4.1.11严重脑炎后遗症或严重脑膜炎后遗症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指因患脑炎或脑膜炎导致的神经系统永久性的功能障碍。神经系统永久性的功能障碍，指经相关专科医生确诊疾病180天后，仍遗留下列至少一种障碍：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一肢（含）以上肢体肌力2级（含）以下；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语言能力完全丧失，或严重咀嚼吞咽功能障碍；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由具有评估资格的专科医生根据临床痴呆评定量表（CDR，Clinical Dementia Rating）评估结果为3分；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4.1.12深度昏迷</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因酗酒或药物滥用导致的深度昏迷不在保障范围内。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4.1.13双耳失聪</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指因疾病或意外伤害导致双耳听力永久不可逆</w:t>
      </w:r>
      <w:r>
        <w:rPr>
          <w:rFonts w:hint="default" w:ascii="Times New Roman" w:hAnsi="Times New Roman" w:eastAsia="仿宋_GB2312" w:cs="Times New Roman"/>
          <w:sz w:val="24"/>
          <w:highlight w:val="none"/>
          <w:lang w:val="en-US" w:eastAsia="zh-CN"/>
        </w:rPr>
        <w:footnoteReference w:id="20"/>
      </w:r>
      <w:r>
        <w:rPr>
          <w:rFonts w:hint="default" w:ascii="Times New Roman" w:hAnsi="Times New Roman" w:eastAsia="仿宋_GB2312" w:cs="Times New Roman"/>
          <w:sz w:val="24"/>
          <w:highlight w:val="none"/>
          <w:lang w:val="en-US" w:eastAsia="zh-CN"/>
        </w:rPr>
        <w:t xml:space="preserve">性丧失，在500赫兹、1000赫兹和2000赫兹语音频率下，平均听阈大于等于91分贝，且经纯音听力测试、声导抗检测或听觉诱发电位检测等证实。</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4.1.14双目失明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指因疾病或意外伤害导致双眼视力永久不可逆性丧失，双眼中较好眼须满足下列至少一项条件：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眼球缺失或摘除；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矫正视力低于0.02（采用国际标准视力表，如果使用其他视力表应进行换算）；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视野半径小于5度。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4.1.15瘫痪</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4.1.16心脏瓣膜手术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指为治疗心脏瓣膜疾病，已经实施了切开心脏进行的心脏瓣膜置换或修复的手术。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所有未切开心脏的心脏瓣膜介入手术不在保障范围内。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4.1.17严重阿尔茨海默病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由具有评估资格的专科医生根据临床痴呆评定量表（CDR，Clinical Dementia Rating）评估结果为3分；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阿尔茨海默病之外的其他类型痴呆不在保障范围内。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4.1.18严重脑损伤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一肢（含）以上肢体肌力2级（含）以下；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语言能力完全丧失，或严重咀嚼吞咽功能障碍；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4.1.19严重原发性帕金森病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继发性帕金森综合征、帕金森叠加综合征不在保障范围内。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4.1.20严重Ⅲ度烧伤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指烧伤程度为Ⅲ度，且Ⅲ度烧伤的面积达到全身体表面积的20％或20％以上。体表面积根据《中国新九分法》计算。</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4.1.21严重特发性肺动脉高压</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指不明原因的肺动脉压力持续性增高，进行性发展而导致的慢性疾病，已经造成永久不可逆性的体力活动能力受限，达到美国纽约心脏病学会（New York Heart Association，NYHA）心功能状态分级</w:t>
      </w:r>
      <w:r>
        <w:rPr>
          <w:rFonts w:hint="default" w:ascii="Times New Roman" w:hAnsi="Times New Roman" w:eastAsia="仿宋_GB2312" w:cs="Times New Roman"/>
          <w:sz w:val="24"/>
          <w:highlight w:val="none"/>
          <w:lang w:val="en-US" w:eastAsia="zh-CN"/>
        </w:rPr>
        <w:footnoteReference w:id="21"/>
      </w:r>
      <w:r>
        <w:rPr>
          <w:rFonts w:hint="default" w:ascii="Times New Roman" w:hAnsi="Times New Roman" w:eastAsia="仿宋_GB2312" w:cs="Times New Roman"/>
          <w:sz w:val="24"/>
          <w:highlight w:val="none"/>
          <w:lang w:val="en-US" w:eastAsia="zh-CN"/>
        </w:rPr>
        <w:t xml:space="preserve">IV级，且静息状态下肺动脉平均压在36mmHg（含）以上。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4.1.22严重运动神经元病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严重咀嚼吞咽功能障碍；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呼吸肌麻痹导致严重呼吸困难，且已经持续使用呼吸机7天（含）以上；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4.1.23语言能力丧失</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指因疾病或意外伤害导致语言能力完全丧失，经过积极治疗至少12个月（声带完全切除不受此时间限制），仍无法通过现有医疗手段恢复。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精神心理因素所致的语言能力丧失不在保障范围内。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4.1.24重型再生障碍性贫血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指因骨髓造血功能慢性持续性衰竭导致的贫血、中性粒细胞减少及血小板减少，且须满足下列全部条件：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骨髓穿刺检查或骨髓活检结果支持诊断：骨髓细胞增生程度&lt;正常的25%；如≥正常的25%但&lt;50%，则残存的造血细胞应&lt;30%；</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外周血象须具备以下三项条件中的两项：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中性粒细胞绝对值&lt;0.5×109/L；</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网织红细胞计数&lt;20×109/L；</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血小板绝对值&lt;20×109/L。</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4.1.25主动脉手术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所有未实施开胸或开腹的动脉内介入治疗不在保障范围内。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4.1.39严重慢性呼吸衰竭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指因慢性呼吸系统疾病导致永久不可逆性的呼吸衰竭，经过积极治疗180天后满足以下所有条件：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静息时出现呼吸困难；</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肺功能第一秒用力呼气容积（FEV1）占预计值的百分比＜30%；</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在静息状态、呼吸空气条件下，动脉血氧分压（PaO2）＜50mmHg。</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4.1.27严重克罗恩病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指一种慢性肉芽肿性肠炎，具有特征性的克罗恩病（Crohn病）病理组织学变化，须根据组织病理学特点诊断，且已经造成瘘管形成并伴有肠梗阻或肠穿孔。 </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4.1.28严重溃疡性结肠炎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指伴有致命性电解质紊乱的急性暴发性溃疡性结肠炎，病变已经累及全结肠，表现为严重的血便和系统性症状体征，须根据组织病理学特点诊断，且已经实施了结肠切除或回肠造瘘术。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上述定义依照中国保险行业协会与中国医师协会联合发布的《重大疾病保险的疾病定义使用规范（2020年修订版）》制定。</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4.2轻度疾病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是指符合下列定义的疾病或被保险人首次接受符合下列定义的手术：</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4.2.1恶性肿瘤——轻度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但不在“恶性肿瘤——重度”保障范围的疾病。且特指下列六项之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TNM分期为Ⅰ期的甲状腺癌；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TNM分期为T1N0M0期的前列腺癌；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黑色素瘤以外的未发生淋巴结和远处转移的皮肤恶性肿瘤；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相当于Binet分期方案A期程度的慢性淋巴细胞白血病；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相当于Ann Arbor分期方案Ⅰ期程度的何杰金氏病；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未发生淋巴结和远处转移且WHO分级为G1级别（核分裂像&lt;10/50HPF和ki-67≤2%）的神经内分泌肿瘤。</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下列疾病不属于“恶性肿瘤——轻度”，不在保障范围内：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ICD-O-3肿瘤形态学编码属于0（良性肿瘤）、1（动态未定性肿瘤）、2（原位癌和非侵袭性癌）范畴的疾病，如：</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原位癌，癌前病变，非浸润性癌，非侵袭性癌，肿瘤细胞未侵犯基底层，上皮内瘤变，细胞不典型性增生等；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交界性肿瘤，交界恶性肿瘤，肿瘤低度恶性潜能，潜在低度恶性肿瘤等。</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4.2.2较轻急性心肌梗死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较轻急性心肌梗死指依照上述标准被明确诊断为急性心肌梗死，但未达到“较重急性心肌梗死”的给付标准。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其他非冠状动脉阻塞性疾病引起的肌钙蛋白（cTn）升高不在保障范围内。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4.2.3轻度脑中风后遗症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脑血管的突发病变引起脑血管出血、栓塞或梗塞，须由头颅断层扫描（CT）、核磁共振检查（MRI）等影像学检查证实，并导致神经系统永久性的功能障碍，但未达到“严重脑中风后遗症”的给付标准，在疾病确诊180天后，仍遗留下列至少一种障碍：</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一肢（含）以上肢体肌力为3级；</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自主生活能力部分丧失，无法独立完成六项基本日常生活活动中的两项。</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上述疾病定义依照中国保险行业协会与中国医师协会联合发布的《重大疾病保险的疾病定义使用规范（2020年修订版）》制定。</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4.3被保资格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被保险人因非保险事故身故的，则自其身故之日起该被保险人的被保资格丧失，保险人对该被保险人所承担的保险责任随即终止。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本附加险合同保险期间终止，则被保险人的被保资格终止，保险人对被保险人所承担的保险责任随即终止。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本附加险合同解除，则自解除之日起被保险人的被保资格终止，保险人对被保险人所承担的保险责任随即终止。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4.4专科医生</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专科医生应当同时满足以下四项资格条件：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具有有效的中华人民共和国《医师资格证书》；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具有有效的中华人民共和国《医师执业证书》，并按期到相关部门登记注册；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具有有效的中华人民共和国主治医师或主治医师以上职称的《医师职称证书》；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在国家《医院分级管理标准》二级或二级以上医院的相应科室从事临床工作三年以上。</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4.5指定医疗机构</w:t>
      </w:r>
      <w:r>
        <w:rPr>
          <w:rFonts w:hint="default" w:ascii="Times New Roman" w:hAnsi="Times New Roman" w:eastAsia="仿宋_GB2312" w:cs="Times New Roman"/>
          <w:sz w:val="24"/>
          <w:highlight w:val="none"/>
          <w:lang w:val="en-US" w:eastAsia="zh-CN"/>
        </w:rPr>
        <w:fldChar w:fldCharType="end"/>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除另有约定外，指定医疗机构指中华人民共和国境内（不包括香港、澳门、台湾地区）二级（含）及以上医院或保险人认可的医疗机构，且应符合下列所有条件：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拥有合法经营执照；</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设立的主要目的为向受伤者和患病者提供留院治疗和护理服务；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有合格的医生和护士提供全日二十四小时的医疗和护理服务；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非主要作为康复医院、诊所、护理、疗养、戒酒、戒毒或类似的医疗机构。</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投保人和保险人双方还可以约定指定医疗机构的条件、范围等，并在保险单中载明。</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4.6住院</w:t>
      </w:r>
      <w:r>
        <w:rPr>
          <w:rFonts w:hint="default" w:ascii="Times New Roman" w:hAnsi="Times New Roman" w:eastAsia="仿宋_GB2312" w:cs="Times New Roman"/>
          <w:sz w:val="24"/>
          <w:highlight w:val="none"/>
          <w:lang w:val="en-US" w:eastAsia="zh-CN"/>
        </w:rPr>
        <w:fldChar w:fldCharType="end"/>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被保险人确因临床需要、经医生诊断必须留院治疗，正式办理入院及出院手续，并确实入住医疗机构正式病房接受治疗的行为过程；被保险人必须连续留院24小时以上且由医疗机构收取病房或床位费用，但住院并不包括门诊观察室、急诊观察室、其他非正式病房、联合病房或挂床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4.7实际住院日数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是指被保险人在医疗机构住院部病房内实际的住院治疗日数，住院满二十四小时为一日。</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4.8意外伤害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指以外来的、突发的、非本意的、非疾病的客观事件为直接且单独的原因致使身体受到的伤害。以下情形属于疾病范畴，非本条款所指意外伤害：</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猝死；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过敏及由过敏引发的变态反应性疾病；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高原反应；</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中暑；</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细菌、病毒或其他病原体导致的感染性疾病。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4.9发病、首次发病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发病，是指被保险人出现本附加险合同约定的疾病或接受本附加险合同约定的手术的前兆、症状或异常的身体状况，或已经显现足以促使一般普通谨慎人士引起注意并寻求诊断、治疗或护理的病症。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首次发病，是指被保险人第一次发生并首次被确诊患上本附加险合同约定的疾病，并且该疾病在该被保险人获得被保资格前并未发病或有任何身体的前兆、症状或异常状况；或被保险人第一次接受本附加险合同约定的手术，并且在该被保险人获得被保资格前未出现该手术对应的任何身体的前兆、症状或异常状况。</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4.10等待期</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自被保险人获得被保资格之日起计算的一段时间（该时间以保险单载明为准；若保险单未载明则该时间视为90日），经过该段时间后，保险人才对被保险人承担给付保险金责任；在此期间，尽管保险合同已经生效，但保险人并不承担给付保险金责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续保的情况下，等待期为0日。本保险合同期满前，投保人可向保险人申请续保，经保险人审核后予以承保；续保合同保险期间的起始日期与续保对应上一保险合同保险期间的终止日期相连不间断。</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被保险人因意外伤害造成本附加险合同约定的疾病、达到疾病状态或进行手术的，等待期为0日。</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4.12无合法有效驾驶证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指被保险人存在下列情形之一：</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无驾驶证或驾驶证有效期已届满；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驾驶的机动车与驾驶证载明的准驾车型不符；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实习期内驾驶公共汽车、营运客车或者载有爆炸物品、易燃易爆化学物品、剧毒或者放射性等危险物品的机动车，实习期内驾驶的机动车牵引挂车；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持未按规定审验的驾驶证，以及在暂扣、扣留、吊销、注销驾驶证期间驾驶机动车；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使用各种专用机械车、特种车的人员无国家有关部门核发的有效操作证，驾驶营业性客车的驾驶人无国家有关部门核发的有效资格证书；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依照法律法规或公安机关交通管理部门有关规定不允许驾驶机动车的其他情况下驾车。</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4.13无合法有效行驶证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4.14感染艾滋病病毒或患艾滋病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4.15遗传性疾病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艾滋病病毒指人类免疫缺陷病毒，英文缩写为HIV。艾滋病指人类免疫缺陷病毒引起的获得性免疫缺陷综合征，英文缩写为AIDS。</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指生殖细胞或受精卵的遗传物质（染色体和基因）发生突变或畸变所引起的疾病，通常具有由亲代传至后代的垂直传递的特征。</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4.16先天性畸形、变形或染色体异常</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指被保险人出生时就具有的畸形、变形或染色体异常。先天性畸形、变形和染色体异常依照世界卫生组织《疾病和有关健康问题的国际统计分类》（ICD-10）确定。</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"_2.2.2_被保险人不符合入院标准、挂床住院或住院病人应当出院而拒不出"</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4.17挂床住院</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挂床住院指办理正式住院手续的被保险人，在住院期间每日非24小时在床、在院，包括在住院期间连续若干日无任何治疗，只发生护理费、诊疗费、床位费的情况。</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4.18保险金申请人</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除另有约定外，本附加险合同的保险金申请人是指被保险人本人。</w:t>
      </w:r>
      <w:r/>
    </w:p>
    <w:p>
      <w:pPr>
        <w:pStyle w:val="1206"/>
        <w:ind w:firstLine="480"/>
        <w:tabs>
          <w:tab w:val="left" w:pos="3501" w:leader="none"/>
        </w:tabs>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eastAsia="zh-CN"/>
        </w:rPr>
        <w:br w:type="page" w:clear="all"/>
      </w:r>
      <w:r>
        <w:rPr>
          <w:rFonts w:hint="default" w:ascii="Times New Roman" w:hAnsi="Times New Roman" w:eastAsia="仿宋_GB2312" w:cs="Times New Roman"/>
          <w:sz w:val="24"/>
          <w:highlight w:val="none"/>
          <w:lang w:eastAsia="zh-CN"/>
        </w:rPr>
        <w:t xml:space="preserve">附录：甲状腺癌的TNM分期定义标准</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甲状腺乳头状癌、滤泡癌、低分化癌、Hürthle细胞癌和未分化癌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pTX：原发肿瘤不能评估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pT0：无肿瘤证据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pT1：肿瘤局限在甲状腺内，最大径≤2cm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T1a肿瘤最大径≤1cm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T1b肿瘤最大径＞1cm，≤2cm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pT2：肿瘤2～4cm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pT3：肿瘤&gt;4cm，局限于甲状腺内或大体侵犯甲状腺外带状肌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pT3a：肿瘤&gt;4cm，局限于甲状腺内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pT3b：大体侵犯甲状腺外带状肌，无论肿瘤大小</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带状肌包括：胸骨舌骨肌、胸骨甲状肌、甲状舌骨肌、肩胛舌骨肌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pT4：大体侵犯甲状腺外带状肌外</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pT4a：侵犯喉、气管、食管、喉反神经及皮下软组织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pT4b：侵犯椎前筋膜，或包裹颈动脉、纵隔血管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甲状腺髓样癌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pTX：原发肿瘤不能评估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pT0：无肿瘤证据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pT1：肿瘤局限在甲状腺内，最大径≤2cm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T1a肿瘤最大径≤1cm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T1b肿瘤最大径＞1cm，≤2cm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pT2：肿瘤2～4cm</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pT3：肿瘤&gt;4cm，局限于甲状腺内或大体侵犯甲状腺外带状肌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pT3a：肿瘤&gt;4cm，局限于甲状腺内</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pT3b：大体侵犯甲状腺外带状肌，无论肿瘤大小</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带状肌包括：胸骨舌骨肌、胸骨甲状肌、甲状舌骨肌、肩胛舌骨肌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pT4：进展期病变</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pT4a：中度进展，任何大小的肿瘤，侵犯甲状腺外颈部周围器官和软组织，如喉、气管、食管、喉反神经及皮下软组织</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pT4b：重度进展，任何大小的肿瘤，侵犯椎前筋膜，或包裹颈动脉、纵隔血管</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区域淋巴结：适用于所有甲状腺癌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pNx：区域淋巴结无法评估</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pN0：无淋巴结转移证据</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pN1：区域淋巴结转移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pN1a：转移至Ⅵ、Ⅶ区（包括气管旁、气管前、喉前/Delphian或上纵隔）淋巴结，可以为单侧或双侧。</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pN1b：单侧、双侧或对侧颈淋巴结转移（包括Ⅰ、Ⅱ、Ⅲ、Ⅳ或Ⅴ区）淋巴结或咽后淋巴结转移。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远处转移：适用于所有甲状腺癌</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M0：无远处转移</w:t>
      </w:r>
      <w:r/>
    </w:p>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M1：有远处转移</w:t>
      </w:r>
      <w:r/>
    </w:p>
    <w:tbl>
      <w:tblPr>
        <w:tblStyle w:val="1031"/>
        <w:tblW w:w="7643" w:type="dxa"/>
        <w:tblInd w:w="589" w:type="dxa"/>
        <w:tblLayout w:type="fixed"/>
        <w:tblCellMar>
          <w:left w:w="108" w:type="dxa"/>
          <w:top w:w="0" w:type="dxa"/>
          <w:right w:w="108" w:type="dxa"/>
          <w:bottom w:w="0" w:type="dxa"/>
        </w:tblCellMar>
        <w:tblLook w:val="04A0" w:firstRow="1" w:lastRow="0" w:firstColumn="1" w:lastColumn="0" w:noHBand="0" w:noVBand="1"/>
      </w:tblPr>
      <w:tblGrid>
        <w:gridCol w:w="2527"/>
        <w:gridCol w:w="1843"/>
        <w:gridCol w:w="1627"/>
        <w:gridCol w:w="1646"/>
      </w:tblGrid>
      <w:tr>
        <w:trPr>
          <w:trHeight w:val="454" w:hRule="exact"/>
        </w:trPr>
        <w:tc>
          <w:tcPr>
            <w:gridSpan w:val="4"/>
            <w:tcBorders>
              <w:top w:val="single" w:color="000000" w:sz="8" w:space="0"/>
              <w:left w:val="single" w:color="000000" w:sz="8" w:space="0"/>
              <w:bottom w:val="single" w:color="000000" w:sz="4" w:space="0"/>
              <w:right w:val="single" w:color="000000" w:sz="8" w:space="0"/>
            </w:tcBorders>
            <w:tcW w:w="76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乳头状或滤泡状癌（分化型）</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年龄＜55岁</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N</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年龄≥55岁</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3a～3b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髓样癌（所有年龄组）</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1a</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1b</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ⅣC期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未分化癌（所有年龄组）</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3b～4</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8" w:space="0"/>
              <w:right w:val="single" w:color="000000" w:sz="4" w:space="0"/>
            </w:tcBorders>
            <w:tcW w:w="25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ⅣC期</w:t>
            </w:r>
            <w:r/>
          </w:p>
        </w:tc>
        <w:tc>
          <w:tcPr>
            <w:tcBorders>
              <w:top w:val="none" w:color="000000" w:sz="4" w:space="0"/>
              <w:left w:val="none" w:color="000000" w:sz="4" w:space="0"/>
              <w:bottom w:val="single" w:color="000000" w:sz="8" w:space="0"/>
              <w:right w:val="single" w:color="000000" w:sz="4" w:space="0"/>
            </w:tcBorders>
            <w:tcW w:w="1843"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8" w:space="0"/>
              <w:right w:val="single" w:color="000000" w:sz="4" w:space="0"/>
            </w:tcBorders>
            <w:tcW w:w="1627"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bl>
    <w:p>
      <w:pPr>
        <w:pStyle w:val="1206"/>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注：以上表格中“年龄”指患者病理组织标本获取日期时的年龄。</w:t>
      </w:r>
      <w:r/>
    </w:p>
    <w:p>
      <w:pPr>
        <w:pStyle w:val="1206"/>
        <w:ind w:firstLine="480"/>
        <w:tabs>
          <w:tab w:val="left" w:pos="3501" w:leader="none"/>
        </w:tabs>
        <w:rPr>
          <w:rFonts w:hint="default" w:ascii="Times New Roman" w:hAnsi="Times New Roman" w:eastAsia="仿宋" w:cs="Times New Roman"/>
          <w:sz w:val="24"/>
          <w:highlight w:val="none"/>
          <w:lang w:val="en-US" w:eastAsia="zh-CN"/>
        </w:rPr>
      </w:pPr>
      <w:r>
        <w:rPr>
          <w:rFonts w:hint="default" w:ascii="Times New Roman" w:hAnsi="Times New Roman" w:eastAsia="仿宋" w:cs="Times New Roman"/>
          <w:sz w:val="24"/>
          <w:highlight w:val="none"/>
          <w:lang w:val="en-US" w:eastAsia="zh-CN"/>
        </w:rPr>
      </w:r>
      <w:r/>
    </w:p>
    <w:p>
      <w:pPr>
        <w:pStyle w:val="1205"/>
        <w:jc w:val="both"/>
        <w:rPr>
          <w:rFonts w:hint="default" w:ascii="Times New Roman" w:hAnsi="Times New Roman" w:eastAsia="仿宋_GB2312" w:cs="Times New Roman"/>
          <w:highlight w:val="none"/>
        </w:rPr>
        <w:outlineLvl w:val="9"/>
      </w:pPr>
      <w:r/>
      <w:bookmarkStart w:id="119" w:name="_Toc10370_WPSOffice_Level1"/>
      <w:r/>
      <w:bookmarkStart w:id="120" w:name="_Toc21318"/>
      <w:r/>
      <w:bookmarkStart w:id="121" w:name="_Toc9067"/>
      <w:r/>
      <w:bookmarkStart w:id="122" w:name="_Toc32360"/>
      <w:r/>
      <w:bookmarkStart w:id="123" w:name="_Toc12990"/>
      <w:r>
        <w:rPr>
          <w:rFonts w:hint="default" w:ascii="Times New Roman" w:hAnsi="Times New Roman" w:eastAsia="仿宋_GB2312" w:cs="Times New Roman"/>
          <w:highlight w:val="none"/>
        </w:rPr>
        <w:t xml:space="preserve">附件：人身保险伤残评定标准（行业标准）</w:t>
      </w:r>
      <w:bookmarkEnd w:id="119"/>
      <w:r/>
      <w:bookmarkEnd w:id="120"/>
      <w:r/>
      <w:bookmarkEnd w:id="121"/>
      <w:r/>
      <w:bookmarkEnd w:id="122"/>
      <w:r/>
      <w:bookmarkEnd w:id="123"/>
      <w:r/>
      <w:r/>
    </w:p>
    <w:p>
      <w:pPr>
        <w:pStyle w:val="1206"/>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6"/>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6"/>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6"/>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6"/>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6"/>
        <w:jc w:val="center"/>
        <w:spacing w:line="360" w:lineRule="auto"/>
        <w:rPr>
          <w:rFonts w:hint="default" w:ascii="Times New Roman" w:hAnsi="Times New Roman" w:eastAsia="仿宋" w:cs="Times New Roman"/>
          <w:bCs/>
          <w:sz w:val="72"/>
          <w:szCs w:val="72"/>
          <w:highlight w:val="none"/>
        </w:rPr>
      </w:pPr>
      <w:r/>
      <w:bookmarkStart w:id="124" w:name="_Toc9152_WPSOffice_Level1"/>
      <w:r/>
      <w:bookmarkStart w:id="125" w:name="_Toc22627_WPSOffice_Level1"/>
      <w:r/>
      <w:bookmarkStart w:id="126" w:name="_Toc1435_WPSOffice_Level1"/>
      <w:r/>
      <w:bookmarkStart w:id="127" w:name="_Toc22729_WPSOffice_Level1"/>
      <w:r>
        <w:rPr>
          <w:rFonts w:hint="default" w:ascii="Times New Roman" w:hAnsi="Times New Roman" w:eastAsia="仿宋" w:cs="Times New Roman"/>
          <w:bCs/>
          <w:sz w:val="72"/>
          <w:szCs w:val="72"/>
          <w:highlight w:val="none"/>
        </w:rPr>
        <w:t xml:space="preserve">人身保险伤残评定标准</w:t>
      </w:r>
      <w:bookmarkEnd w:id="124"/>
      <w:r/>
      <w:bookmarkEnd w:id="125"/>
      <w:r/>
      <w:bookmarkEnd w:id="126"/>
      <w:r/>
      <w:bookmarkEnd w:id="127"/>
      <w:r/>
      <w:r/>
    </w:p>
    <w:p>
      <w:pPr>
        <w:pStyle w:val="1206"/>
        <w:jc w:val="center"/>
        <w:spacing w:line="360" w:lineRule="auto"/>
        <w:rPr>
          <w:rFonts w:hint="default" w:ascii="Times New Roman" w:hAnsi="Times New Roman" w:eastAsia="仿宋" w:cs="Times New Roman"/>
          <w:bCs/>
          <w:sz w:val="72"/>
          <w:szCs w:val="72"/>
          <w:highlight w:val="none"/>
        </w:rPr>
      </w:pPr>
      <w:r>
        <w:rPr>
          <w:rFonts w:hint="default" w:ascii="Times New Roman" w:hAnsi="Times New Roman" w:eastAsia="仿宋" w:cs="Times New Roman"/>
          <w:b/>
          <w:sz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182245</wp:posOffset>
                </wp:positionV>
                <wp:extent cx="5448300" cy="0"/>
                <wp:effectExtent l="0" t="4445" r="0" b="508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5448300" cy="0"/>
                        </a:xfrm>
                        <a:prstGeom prst="line">
                          <a:avLst/>
                        </a:prstGeom>
                        <a:noFill/>
                        <a:ln w="6350">
                          <a:solidFill>
                            <a:srgbClr val="0070C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9.8pt,14.3pt" to="448.8pt,14.3pt" filled="f" strokecolor="#0070C0" strokeweight="0.50pt"/>
            </w:pict>
          </mc:Fallback>
        </mc:AlternateContent>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jc w:val="center"/>
        <w:spacing w:line="360" w:lineRule="auto"/>
        <w:rPr>
          <w:rFonts w:hint="default" w:ascii="Times New Roman" w:hAnsi="Times New Roman" w:eastAsia="仿宋" w:cs="Times New Roman"/>
          <w:b/>
          <w:sz w:val="44"/>
          <w:szCs w:val="44"/>
          <w:highlight w:val="none"/>
        </w:rPr>
      </w:pPr>
      <w:r/>
      <w:bookmarkStart w:id="128" w:name="_Toc3614_WPSOffice_Level1"/>
      <w:r/>
      <w:bookmarkStart w:id="129" w:name="_Toc4840_WPSOffice_Level1"/>
      <w:r/>
      <w:bookmarkStart w:id="130" w:name="_Toc29443_WPSOffice_Level1"/>
      <w:r/>
      <w:bookmarkStart w:id="131" w:name="_Toc9364_WPSOffice_Level1"/>
      <w:r>
        <w:rPr>
          <w:rFonts w:hint="default" w:ascii="Times New Roman" w:hAnsi="Times New Roman" w:eastAsia="仿宋" w:cs="Times New Roman"/>
          <w:b/>
          <w:sz w:val="44"/>
          <w:szCs w:val="44"/>
          <w:highlight w:val="none"/>
        </w:rPr>
        <w:t xml:space="preserve">中国保险行业协会、中国法医学会</w:t>
      </w:r>
      <w:bookmarkEnd w:id="128"/>
      <w:r/>
      <w:bookmarkEnd w:id="129"/>
      <w:r/>
      <w:bookmarkEnd w:id="130"/>
      <w:r/>
      <w:bookmarkEnd w:id="131"/>
      <w:r/>
      <w:r/>
    </w:p>
    <w:p>
      <w:pPr>
        <w:pStyle w:val="1206"/>
        <w:jc w:val="center"/>
        <w:spacing w:line="360" w:lineRule="auto"/>
        <w:rPr>
          <w:rFonts w:hint="default" w:ascii="Times New Roman" w:hAnsi="Times New Roman" w:eastAsia="仿宋" w:cs="Times New Roman"/>
          <w:b/>
          <w:sz w:val="44"/>
          <w:szCs w:val="44"/>
          <w:highlight w:val="none"/>
        </w:rPr>
      </w:pPr>
      <w:r/>
      <w:bookmarkStart w:id="132" w:name="_Toc25170_WPSOffice_Level1"/>
      <w:r/>
      <w:bookmarkStart w:id="133" w:name="_Toc28989_WPSOffice_Level1"/>
      <w:r/>
      <w:bookmarkStart w:id="134" w:name="_Toc14727_WPSOffice_Level1"/>
      <w:r/>
      <w:bookmarkStart w:id="135" w:name="_Toc20442_WPSOffice_Level1"/>
      <w:r>
        <w:rPr>
          <w:rFonts w:hint="default" w:ascii="Times New Roman" w:hAnsi="Times New Roman" w:eastAsia="仿宋" w:cs="Times New Roman"/>
          <w:b/>
          <w:sz w:val="44"/>
          <w:szCs w:val="44"/>
          <w:highlight w:val="none"/>
        </w:rPr>
        <w:t xml:space="preserve">联合发布</w:t>
      </w:r>
      <w:bookmarkEnd w:id="132"/>
      <w:r/>
      <w:bookmarkEnd w:id="133"/>
      <w:r/>
      <w:bookmarkEnd w:id="134"/>
      <w:r/>
      <w:bookmarkEnd w:id="135"/>
      <w:r/>
      <w:r/>
    </w:p>
    <w:p>
      <w:pPr>
        <w:pStyle w:val="1206"/>
        <w:jc w:val="center"/>
        <w:spacing w:line="360" w:lineRule="auto"/>
        <w:rPr>
          <w:rFonts w:hint="default" w:ascii="Times New Roman" w:hAnsi="Times New Roman" w:eastAsia="仿宋" w:cs="Times New Roman"/>
          <w:b/>
          <w:sz w:val="28"/>
          <w:highlight w:val="none"/>
        </w:rPr>
      </w:pPr>
      <w:r>
        <w:rPr>
          <w:rFonts w:hint="default" w:ascii="Times New Roman" w:hAnsi="Times New Roman" w:eastAsia="仿宋" w:cs="Times New Roman"/>
          <w:b/>
          <w:sz w:val="28"/>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6"/>
        <w:jc w:val="center"/>
        <w:spacing w:line="360" w:lineRule="auto"/>
        <w:rPr>
          <w:rFonts w:hint="default" w:ascii="Times New Roman" w:hAnsi="Times New Roman" w:eastAsia="仿宋" w:cs="Times New Roman"/>
          <w:b/>
          <w:sz w:val="28"/>
          <w:highlight w:val="none"/>
        </w:rPr>
      </w:pPr>
      <w:r/>
      <w:bookmarkStart w:id="136" w:name="_Toc20721_WPSOffice_Level1"/>
      <w:r/>
      <w:bookmarkStart w:id="137" w:name="_Toc9379_WPSOffice_Level1"/>
      <w:r/>
      <w:bookmarkStart w:id="138" w:name="_Toc10116_WPSOffice_Level1"/>
      <w:r/>
      <w:bookmarkStart w:id="139" w:name="_Toc13025_WPSOffice_Level1"/>
      <w:r>
        <w:rPr>
          <w:rFonts w:hint="default" w:ascii="Times New Roman" w:hAnsi="Times New Roman" w:eastAsia="仿宋" w:cs="Times New Roman"/>
          <w:b/>
          <w:sz w:val="28"/>
          <w:highlight w:val="none"/>
        </w:rPr>
        <w:t xml:space="preserve">二零一三年六月八日</w:t>
      </w:r>
      <w:bookmarkEnd w:id="136"/>
      <w:r/>
      <w:bookmarkEnd w:id="137"/>
      <w:r/>
      <w:bookmarkEnd w:id="138"/>
      <w:r/>
      <w:bookmarkEnd w:id="139"/>
      <w:r/>
      <w:r/>
    </w:p>
    <w:p>
      <w:pPr>
        <w:pStyle w:val="1206"/>
        <w:jc w:val="left"/>
        <w:tabs>
          <w:tab w:val="left" w:pos="3501" w:leader="none"/>
        </w:tabs>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6"/>
        <w:jc w:val="left"/>
        <w:tabs>
          <w:tab w:val="left" w:pos="3501" w:leader="none"/>
        </w:tabs>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6"/>
        <w:jc w:val="left"/>
        <w:tabs>
          <w:tab w:val="left" w:pos="3501" w:leader="none"/>
        </w:tabs>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6"/>
        <w:jc w:val="center"/>
        <w:spacing w:line="360" w:lineRule="auto"/>
        <w:rPr>
          <w:rFonts w:hint="default" w:ascii="Times New Roman" w:hAnsi="Times New Roman" w:eastAsia="仿宋" w:cs="Times New Roman"/>
          <w:b/>
          <w:sz w:val="24"/>
          <w:highlight w:val="none"/>
        </w:rPr>
      </w:pPr>
      <w:r/>
      <w:bookmarkStart w:id="140" w:name="_Toc32629_WPSOffice_Level1"/>
      <w:r/>
      <w:bookmarkStart w:id="141" w:name="_Toc5355_WPSOffice_Level1"/>
      <w:r/>
      <w:bookmarkStart w:id="142" w:name="_Toc7276_WPSOffice_Level1"/>
      <w:r/>
      <w:r/>
    </w:p>
    <w:p>
      <w:pPr>
        <w:pStyle w:val="1206"/>
        <w:jc w:val="center"/>
        <w:spacing w:line="360" w:lineRule="auto"/>
        <w:rPr>
          <w:rFonts w:hint="default" w:ascii="Times New Roman" w:hAnsi="Times New Roman" w:eastAsia="仿宋" w:cs="Times New Roman"/>
          <w:b/>
          <w:sz w:val="24"/>
          <w:highlight w:val="none"/>
        </w:rPr>
      </w:pPr>
      <w:r/>
      <w:bookmarkStart w:id="143" w:name="_Toc21194_WPSOffice_Level1"/>
      <w:r>
        <w:rPr>
          <w:rFonts w:hint="default" w:ascii="Times New Roman" w:hAnsi="Times New Roman" w:eastAsia="仿宋" w:cs="Times New Roman"/>
          <w:b/>
          <w:sz w:val="24"/>
          <w:highlight w:val="none"/>
        </w:rPr>
        <w:t xml:space="preserve">目录</w:t>
      </w:r>
      <w:bookmarkEnd w:id="140"/>
      <w:r/>
      <w:bookmarkEnd w:id="141"/>
      <w:r/>
      <w:bookmarkEnd w:id="142"/>
      <w:r/>
      <w:bookmarkEnd w:id="143"/>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前言</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人身保险伤残评定标准（行业标准）</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1神经系统的结构和精神功能</w:t>
      </w:r>
      <w:r/>
    </w:p>
    <w:p>
      <w:pPr>
        <w:pStyle w:val="1206"/>
        <w:rPr>
          <w:rFonts w:hint="default" w:ascii="Times New Roman" w:hAnsi="Times New Roman" w:eastAsia="仿宋" w:cs="Times New Roman"/>
          <w:sz w:val="24"/>
          <w:highlight w:val="none"/>
        </w:rPr>
      </w:pPr>
      <w:r/>
      <w:bookmarkStart w:id="144" w:name="_Toc24797_WPSOffice_Level1"/>
      <w:r/>
      <w:bookmarkStart w:id="145" w:name="_Toc27161_WPSOffice_Level1"/>
      <w:r/>
      <w:bookmarkStart w:id="146" w:name="_Toc24794_WPSOffice_Level1"/>
      <w:r>
        <w:rPr>
          <w:rFonts w:hint="default" w:ascii="Times New Roman" w:hAnsi="Times New Roman" w:eastAsia="仿宋" w:cs="Times New Roman"/>
          <w:sz w:val="24"/>
          <w:highlight w:val="none"/>
        </w:rPr>
        <w:t xml:space="preserve">1.1脑膜的结构损伤</w:t>
      </w:r>
      <w:bookmarkEnd w:id="144"/>
      <w:r/>
      <w:bookmarkEnd w:id="145"/>
      <w:r/>
      <w:bookmarkEnd w:id="146"/>
      <w:r/>
      <w:r/>
    </w:p>
    <w:p>
      <w:pPr>
        <w:pStyle w:val="1206"/>
        <w:rPr>
          <w:rFonts w:hint="default" w:ascii="Times New Roman" w:hAnsi="Times New Roman" w:eastAsia="仿宋" w:cs="Times New Roman"/>
          <w:sz w:val="24"/>
          <w:highlight w:val="none"/>
        </w:rPr>
      </w:pPr>
      <w:r/>
      <w:bookmarkStart w:id="147" w:name="_Toc11428_WPSOffice_Level1"/>
      <w:r/>
      <w:bookmarkStart w:id="148" w:name="_Toc22596_WPSOffice_Level1"/>
      <w:r/>
      <w:bookmarkStart w:id="149" w:name="_Toc20058_WPSOffice_Level1"/>
      <w:r>
        <w:rPr>
          <w:rFonts w:hint="default" w:ascii="Times New Roman" w:hAnsi="Times New Roman" w:eastAsia="仿宋" w:cs="Times New Roman"/>
          <w:sz w:val="24"/>
          <w:highlight w:val="none"/>
        </w:rPr>
        <w:t xml:space="preserve">1.2脑的结构损伤，智力功能障碍</w:t>
      </w:r>
      <w:bookmarkEnd w:id="147"/>
      <w:r/>
      <w:bookmarkEnd w:id="148"/>
      <w:r/>
      <w:bookmarkEnd w:id="149"/>
      <w:r/>
      <w:r/>
    </w:p>
    <w:p>
      <w:pPr>
        <w:pStyle w:val="1206"/>
        <w:rPr>
          <w:rFonts w:hint="default" w:ascii="Times New Roman" w:hAnsi="Times New Roman" w:eastAsia="仿宋" w:cs="Times New Roman"/>
          <w:sz w:val="24"/>
          <w:highlight w:val="none"/>
        </w:rPr>
      </w:pPr>
      <w:r/>
      <w:bookmarkStart w:id="150" w:name="_Toc26804_WPSOffice_Level1"/>
      <w:r/>
      <w:bookmarkStart w:id="151" w:name="_Toc568_WPSOffice_Level1"/>
      <w:r/>
      <w:bookmarkStart w:id="152" w:name="_Toc13615_WPSOffice_Level1"/>
      <w:r>
        <w:rPr>
          <w:rFonts w:hint="default" w:ascii="Times New Roman" w:hAnsi="Times New Roman" w:eastAsia="仿宋" w:cs="Times New Roman"/>
          <w:sz w:val="24"/>
          <w:highlight w:val="none"/>
        </w:rPr>
        <w:t xml:space="preserve">1.3意识功能障碍</w:t>
      </w:r>
      <w:bookmarkEnd w:id="150"/>
      <w:r/>
      <w:bookmarkEnd w:id="151"/>
      <w:r/>
      <w:bookmarkEnd w:id="152"/>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2眼，耳和有关的结构和功能</w:t>
      </w:r>
      <w:r/>
    </w:p>
    <w:p>
      <w:pPr>
        <w:pStyle w:val="1206"/>
        <w:rPr>
          <w:rFonts w:hint="default" w:ascii="Times New Roman" w:hAnsi="Times New Roman" w:eastAsia="仿宋" w:cs="Times New Roman"/>
          <w:sz w:val="24"/>
          <w:highlight w:val="none"/>
        </w:rPr>
      </w:pPr>
      <w:r/>
      <w:bookmarkStart w:id="153" w:name="_Toc12483_WPSOffice_Level1"/>
      <w:r>
        <w:rPr>
          <w:rFonts w:hint="default" w:ascii="Times New Roman" w:hAnsi="Times New Roman" w:eastAsia="仿宋" w:cs="Times New Roman"/>
          <w:sz w:val="24"/>
          <w:highlight w:val="none"/>
        </w:rPr>
        <w:t xml:space="preserve">2.1眼球损伤或视功能障碍</w:t>
      </w:r>
      <w:bookmarkEnd w:id="153"/>
      <w:r/>
      <w:r/>
    </w:p>
    <w:p>
      <w:pPr>
        <w:pStyle w:val="1206"/>
        <w:rPr>
          <w:rFonts w:hint="default" w:ascii="Times New Roman" w:hAnsi="Times New Roman" w:eastAsia="仿宋" w:cs="Times New Roman"/>
          <w:sz w:val="24"/>
          <w:highlight w:val="none"/>
        </w:rPr>
      </w:pPr>
      <w:r/>
      <w:bookmarkStart w:id="154" w:name="_Toc25695_WPSOffice_Level1"/>
      <w:r>
        <w:rPr>
          <w:rFonts w:hint="default" w:ascii="Times New Roman" w:hAnsi="Times New Roman" w:eastAsia="仿宋" w:cs="Times New Roman"/>
          <w:sz w:val="24"/>
          <w:highlight w:val="none"/>
        </w:rPr>
        <w:t xml:space="preserve">2.2视功能障碍</w:t>
      </w:r>
      <w:bookmarkEnd w:id="154"/>
      <w:r/>
      <w:r/>
    </w:p>
    <w:p>
      <w:pPr>
        <w:pStyle w:val="1206"/>
        <w:rPr>
          <w:rFonts w:hint="default" w:ascii="Times New Roman" w:hAnsi="Times New Roman" w:eastAsia="仿宋" w:cs="Times New Roman"/>
          <w:sz w:val="24"/>
          <w:highlight w:val="none"/>
        </w:rPr>
      </w:pPr>
      <w:r/>
      <w:bookmarkStart w:id="155" w:name="_Toc32388_WPSOffice_Level1"/>
      <w:r>
        <w:rPr>
          <w:rFonts w:hint="default" w:ascii="Times New Roman" w:hAnsi="Times New Roman" w:eastAsia="仿宋" w:cs="Times New Roman"/>
          <w:sz w:val="24"/>
          <w:highlight w:val="none"/>
        </w:rPr>
        <w:t xml:space="preserve">2.3眼球的晶状体结构损伤</w:t>
      </w:r>
      <w:bookmarkEnd w:id="155"/>
      <w:r/>
      <w:r/>
    </w:p>
    <w:p>
      <w:pPr>
        <w:pStyle w:val="1206"/>
        <w:rPr>
          <w:rFonts w:hint="default" w:ascii="Times New Roman" w:hAnsi="Times New Roman" w:eastAsia="仿宋" w:cs="Times New Roman"/>
          <w:sz w:val="24"/>
          <w:highlight w:val="none"/>
        </w:rPr>
      </w:pPr>
      <w:r/>
      <w:bookmarkStart w:id="156" w:name="_Toc31001_WPSOffice_Level1"/>
      <w:r>
        <w:rPr>
          <w:rFonts w:hint="default" w:ascii="Times New Roman" w:hAnsi="Times New Roman" w:eastAsia="仿宋" w:cs="Times New Roman"/>
          <w:sz w:val="24"/>
          <w:highlight w:val="none"/>
        </w:rPr>
        <w:t xml:space="preserve">2.4眼睑结构损伤</w:t>
      </w:r>
      <w:bookmarkEnd w:id="156"/>
      <w:r/>
      <w:r/>
    </w:p>
    <w:p>
      <w:pPr>
        <w:pStyle w:val="1206"/>
        <w:rPr>
          <w:rFonts w:hint="default" w:ascii="Times New Roman" w:hAnsi="Times New Roman" w:eastAsia="仿宋" w:cs="Times New Roman"/>
          <w:sz w:val="24"/>
          <w:highlight w:val="none"/>
        </w:rPr>
      </w:pPr>
      <w:r/>
      <w:bookmarkStart w:id="157" w:name="_Toc13948_WPSOffice_Level1"/>
      <w:r>
        <w:rPr>
          <w:rFonts w:hint="default" w:ascii="Times New Roman" w:hAnsi="Times New Roman" w:eastAsia="仿宋" w:cs="Times New Roman"/>
          <w:sz w:val="24"/>
          <w:highlight w:val="none"/>
        </w:rPr>
        <w:t xml:space="preserve">2.5耳廓结构损伤或听功能障碍</w:t>
      </w:r>
      <w:bookmarkEnd w:id="157"/>
      <w:r/>
      <w:r/>
    </w:p>
    <w:p>
      <w:pPr>
        <w:pStyle w:val="1206"/>
        <w:rPr>
          <w:rFonts w:hint="default" w:ascii="Times New Roman" w:hAnsi="Times New Roman" w:eastAsia="仿宋" w:cs="Times New Roman"/>
          <w:sz w:val="24"/>
          <w:highlight w:val="none"/>
        </w:rPr>
      </w:pPr>
      <w:r/>
      <w:bookmarkStart w:id="158" w:name="_Toc7770_WPSOffice_Level1"/>
      <w:r>
        <w:rPr>
          <w:rFonts w:hint="default" w:ascii="Times New Roman" w:hAnsi="Times New Roman" w:eastAsia="仿宋" w:cs="Times New Roman"/>
          <w:sz w:val="24"/>
          <w:highlight w:val="none"/>
        </w:rPr>
        <w:t xml:space="preserve">2.6听功能障碍</w:t>
      </w:r>
      <w:bookmarkEnd w:id="158"/>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3发声和言语的结构和功能</w:t>
      </w:r>
      <w:r/>
    </w:p>
    <w:p>
      <w:pPr>
        <w:pStyle w:val="1206"/>
        <w:rPr>
          <w:rFonts w:hint="default" w:ascii="Times New Roman" w:hAnsi="Times New Roman" w:eastAsia="仿宋" w:cs="Times New Roman"/>
          <w:sz w:val="24"/>
          <w:highlight w:val="none"/>
        </w:rPr>
      </w:pPr>
      <w:r/>
      <w:bookmarkStart w:id="159" w:name="_Toc20574_WPSOffice_Level1"/>
      <w:r>
        <w:rPr>
          <w:rFonts w:hint="default" w:ascii="Times New Roman" w:hAnsi="Times New Roman" w:eastAsia="仿宋" w:cs="Times New Roman"/>
          <w:sz w:val="24"/>
          <w:highlight w:val="none"/>
        </w:rPr>
        <w:t xml:space="preserve">3.1鼻的结构损伤</w:t>
      </w:r>
      <w:bookmarkEnd w:id="159"/>
      <w:r/>
      <w:r/>
    </w:p>
    <w:p>
      <w:pPr>
        <w:pStyle w:val="1206"/>
        <w:rPr>
          <w:rFonts w:hint="default" w:ascii="Times New Roman" w:hAnsi="Times New Roman" w:eastAsia="仿宋" w:cs="Times New Roman"/>
          <w:sz w:val="24"/>
          <w:highlight w:val="none"/>
        </w:rPr>
      </w:pPr>
      <w:r/>
      <w:bookmarkStart w:id="160" w:name="_Toc24686_WPSOffice_Level1"/>
      <w:r>
        <w:rPr>
          <w:rFonts w:hint="default" w:ascii="Times New Roman" w:hAnsi="Times New Roman" w:eastAsia="仿宋" w:cs="Times New Roman"/>
          <w:sz w:val="24"/>
          <w:highlight w:val="none"/>
        </w:rPr>
        <w:t xml:space="preserve">3.2口腔的结构损伤</w:t>
      </w:r>
      <w:bookmarkEnd w:id="160"/>
      <w:r/>
      <w:r/>
    </w:p>
    <w:p>
      <w:pPr>
        <w:pStyle w:val="1206"/>
        <w:rPr>
          <w:rFonts w:hint="default" w:ascii="Times New Roman" w:hAnsi="Times New Roman" w:eastAsia="仿宋" w:cs="Times New Roman"/>
          <w:sz w:val="24"/>
          <w:highlight w:val="none"/>
        </w:rPr>
      </w:pPr>
      <w:r/>
      <w:bookmarkStart w:id="161" w:name="_Toc21785_WPSOffice_Level1"/>
      <w:r>
        <w:rPr>
          <w:rFonts w:hint="default" w:ascii="Times New Roman" w:hAnsi="Times New Roman" w:eastAsia="仿宋" w:cs="Times New Roman"/>
          <w:sz w:val="24"/>
          <w:highlight w:val="none"/>
        </w:rPr>
        <w:t xml:space="preserve">3.3发声和言语的功能障碍</w:t>
      </w:r>
      <w:bookmarkEnd w:id="161"/>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4心血管，免疫和呼吸系统的结构和功能</w:t>
      </w:r>
      <w:r/>
    </w:p>
    <w:p>
      <w:pPr>
        <w:pStyle w:val="1206"/>
        <w:rPr>
          <w:rFonts w:hint="default" w:ascii="Times New Roman" w:hAnsi="Times New Roman" w:eastAsia="仿宋" w:cs="Times New Roman"/>
          <w:sz w:val="24"/>
          <w:highlight w:val="none"/>
        </w:rPr>
      </w:pPr>
      <w:r/>
      <w:bookmarkStart w:id="162" w:name="_Toc757_WPSOffice_Level1"/>
      <w:r>
        <w:rPr>
          <w:rFonts w:hint="default" w:ascii="Times New Roman" w:hAnsi="Times New Roman" w:eastAsia="仿宋" w:cs="Times New Roman"/>
          <w:sz w:val="24"/>
          <w:highlight w:val="none"/>
        </w:rPr>
        <w:t xml:space="preserve">4.1心脏的结构损伤或功能障碍</w:t>
      </w:r>
      <w:bookmarkEnd w:id="162"/>
      <w:r/>
      <w:r/>
    </w:p>
    <w:p>
      <w:pPr>
        <w:pStyle w:val="1206"/>
        <w:rPr>
          <w:rFonts w:hint="default" w:ascii="Times New Roman" w:hAnsi="Times New Roman" w:eastAsia="仿宋" w:cs="Times New Roman"/>
          <w:sz w:val="24"/>
          <w:highlight w:val="none"/>
        </w:rPr>
      </w:pPr>
      <w:r/>
      <w:bookmarkStart w:id="163" w:name="_Toc9850_WPSOffice_Level1"/>
      <w:r>
        <w:rPr>
          <w:rFonts w:hint="default" w:ascii="Times New Roman" w:hAnsi="Times New Roman" w:eastAsia="仿宋" w:cs="Times New Roman"/>
          <w:sz w:val="24"/>
          <w:highlight w:val="none"/>
        </w:rPr>
        <w:t xml:space="preserve">4.2脾结构损伤</w:t>
      </w:r>
      <w:bookmarkEnd w:id="163"/>
      <w:r/>
      <w:r/>
    </w:p>
    <w:p>
      <w:pPr>
        <w:pStyle w:val="1206"/>
        <w:rPr>
          <w:rFonts w:hint="default" w:ascii="Times New Roman" w:hAnsi="Times New Roman" w:eastAsia="仿宋" w:cs="Times New Roman"/>
          <w:sz w:val="24"/>
          <w:highlight w:val="none"/>
        </w:rPr>
      </w:pPr>
      <w:r/>
      <w:bookmarkStart w:id="164" w:name="_Toc652_WPSOffice_Level1"/>
      <w:r>
        <w:rPr>
          <w:rFonts w:hint="default" w:ascii="Times New Roman" w:hAnsi="Times New Roman" w:eastAsia="仿宋" w:cs="Times New Roman"/>
          <w:sz w:val="24"/>
          <w:highlight w:val="none"/>
        </w:rPr>
        <w:t xml:space="preserve">4.3肺的结构损伤</w:t>
      </w:r>
      <w:bookmarkEnd w:id="164"/>
      <w:r/>
      <w:r/>
    </w:p>
    <w:p>
      <w:pPr>
        <w:pStyle w:val="1206"/>
        <w:rPr>
          <w:rFonts w:hint="default" w:ascii="Times New Roman" w:hAnsi="Times New Roman" w:eastAsia="仿宋" w:cs="Times New Roman"/>
          <w:sz w:val="24"/>
          <w:highlight w:val="none"/>
        </w:rPr>
      </w:pPr>
      <w:r/>
      <w:bookmarkStart w:id="165" w:name="_Toc28839_WPSOffice_Level1"/>
      <w:r>
        <w:rPr>
          <w:rFonts w:hint="default" w:ascii="Times New Roman" w:hAnsi="Times New Roman" w:eastAsia="仿宋" w:cs="Times New Roman"/>
          <w:sz w:val="24"/>
          <w:highlight w:val="none"/>
        </w:rPr>
        <w:t xml:space="preserve">4.4胸廓的结构损伤</w:t>
      </w:r>
      <w:bookmarkEnd w:id="165"/>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5消化、代谢和内分泌系统有关的结构和功能</w:t>
      </w:r>
      <w:r/>
    </w:p>
    <w:p>
      <w:pPr>
        <w:pStyle w:val="1206"/>
        <w:rPr>
          <w:rFonts w:hint="default" w:ascii="Times New Roman" w:hAnsi="Times New Roman" w:eastAsia="仿宋" w:cs="Times New Roman"/>
          <w:sz w:val="24"/>
          <w:highlight w:val="none"/>
        </w:rPr>
      </w:pPr>
      <w:r/>
      <w:bookmarkStart w:id="166" w:name="_Toc23763_WPSOffice_Level1"/>
      <w:r>
        <w:rPr>
          <w:rFonts w:hint="default" w:ascii="Times New Roman" w:hAnsi="Times New Roman" w:eastAsia="仿宋" w:cs="Times New Roman"/>
          <w:sz w:val="24"/>
          <w:highlight w:val="none"/>
        </w:rPr>
        <w:t xml:space="preserve">5.1咀嚼和吞咽功能障碍</w:t>
      </w:r>
      <w:bookmarkEnd w:id="166"/>
      <w:r/>
      <w:r/>
    </w:p>
    <w:p>
      <w:pPr>
        <w:pStyle w:val="1206"/>
        <w:rPr>
          <w:rFonts w:hint="default" w:ascii="Times New Roman" w:hAnsi="Times New Roman" w:eastAsia="仿宋" w:cs="Times New Roman"/>
          <w:sz w:val="24"/>
          <w:highlight w:val="none"/>
        </w:rPr>
      </w:pPr>
      <w:r/>
      <w:bookmarkStart w:id="167" w:name="_Toc31876_WPSOffice_Level1"/>
      <w:r>
        <w:rPr>
          <w:rFonts w:hint="default" w:ascii="Times New Roman" w:hAnsi="Times New Roman" w:eastAsia="仿宋" w:cs="Times New Roman"/>
          <w:sz w:val="24"/>
          <w:highlight w:val="none"/>
        </w:rPr>
        <w:t xml:space="preserve">5.2肠的结构损伤</w:t>
      </w:r>
      <w:bookmarkEnd w:id="167"/>
      <w:r/>
      <w:r/>
    </w:p>
    <w:p>
      <w:pPr>
        <w:pStyle w:val="1206"/>
        <w:rPr>
          <w:rFonts w:hint="default" w:ascii="Times New Roman" w:hAnsi="Times New Roman" w:eastAsia="仿宋" w:cs="Times New Roman"/>
          <w:sz w:val="24"/>
          <w:highlight w:val="none"/>
        </w:rPr>
      </w:pPr>
      <w:r/>
      <w:bookmarkStart w:id="168" w:name="_Toc6593_WPSOffice_Level1"/>
      <w:r>
        <w:rPr>
          <w:rFonts w:hint="default" w:ascii="Times New Roman" w:hAnsi="Times New Roman" w:eastAsia="仿宋" w:cs="Times New Roman"/>
          <w:sz w:val="24"/>
          <w:highlight w:val="none"/>
        </w:rPr>
        <w:t xml:space="preserve">5.3胃结构损伤</w:t>
      </w:r>
      <w:bookmarkEnd w:id="168"/>
      <w:r/>
      <w:r/>
    </w:p>
    <w:p>
      <w:pPr>
        <w:pStyle w:val="1206"/>
        <w:rPr>
          <w:rFonts w:hint="default" w:ascii="Times New Roman" w:hAnsi="Times New Roman" w:eastAsia="仿宋" w:cs="Times New Roman"/>
          <w:sz w:val="24"/>
          <w:highlight w:val="none"/>
        </w:rPr>
      </w:pPr>
      <w:r/>
      <w:bookmarkStart w:id="169" w:name="_Toc4683_WPSOffice_Level1"/>
      <w:r>
        <w:rPr>
          <w:rFonts w:hint="default" w:ascii="Times New Roman" w:hAnsi="Times New Roman" w:eastAsia="仿宋" w:cs="Times New Roman"/>
          <w:sz w:val="24"/>
          <w:highlight w:val="none"/>
        </w:rPr>
        <w:t xml:space="preserve">5.4胰结构损伤或代谢功能障碍</w:t>
      </w:r>
      <w:bookmarkEnd w:id="169"/>
      <w:r/>
      <w:r/>
    </w:p>
    <w:p>
      <w:pPr>
        <w:pStyle w:val="1206"/>
        <w:rPr>
          <w:rFonts w:hint="default" w:ascii="Times New Roman" w:hAnsi="Times New Roman" w:eastAsia="仿宋" w:cs="Times New Roman"/>
          <w:sz w:val="24"/>
          <w:highlight w:val="none"/>
        </w:rPr>
      </w:pPr>
      <w:r/>
      <w:bookmarkStart w:id="170" w:name="_Toc10329_WPSOffice_Level1"/>
      <w:r>
        <w:rPr>
          <w:rFonts w:hint="default" w:ascii="Times New Roman" w:hAnsi="Times New Roman" w:eastAsia="仿宋" w:cs="Times New Roman"/>
          <w:sz w:val="24"/>
          <w:highlight w:val="none"/>
        </w:rPr>
        <w:t xml:space="preserve">5.5肝结构损伤</w:t>
      </w:r>
      <w:bookmarkEnd w:id="170"/>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6泌尿和生殖系统有关的结构和功能</w:t>
      </w:r>
      <w:r/>
    </w:p>
    <w:p>
      <w:pPr>
        <w:pStyle w:val="1206"/>
        <w:rPr>
          <w:rFonts w:hint="default" w:ascii="Times New Roman" w:hAnsi="Times New Roman" w:eastAsia="仿宋" w:cs="Times New Roman"/>
          <w:sz w:val="24"/>
          <w:highlight w:val="none"/>
        </w:rPr>
      </w:pPr>
      <w:r/>
      <w:bookmarkStart w:id="171" w:name="_Toc21981_WPSOffice_Level1"/>
      <w:r>
        <w:rPr>
          <w:rFonts w:hint="default" w:ascii="Times New Roman" w:hAnsi="Times New Roman" w:eastAsia="仿宋" w:cs="Times New Roman"/>
          <w:sz w:val="24"/>
          <w:highlight w:val="none"/>
        </w:rPr>
        <w:t xml:space="preserve">6.1泌尿系统的结构损伤</w:t>
      </w:r>
      <w:bookmarkEnd w:id="171"/>
      <w:r/>
      <w:r/>
    </w:p>
    <w:p>
      <w:pPr>
        <w:pStyle w:val="1206"/>
        <w:rPr>
          <w:rFonts w:hint="default" w:ascii="Times New Roman" w:hAnsi="Times New Roman" w:eastAsia="仿宋" w:cs="Times New Roman"/>
          <w:sz w:val="24"/>
          <w:highlight w:val="none"/>
        </w:rPr>
      </w:pPr>
      <w:r/>
      <w:bookmarkStart w:id="172" w:name="_Toc29242_WPSOffice_Level1"/>
      <w:r>
        <w:rPr>
          <w:rFonts w:hint="default" w:ascii="Times New Roman" w:hAnsi="Times New Roman" w:eastAsia="仿宋" w:cs="Times New Roman"/>
          <w:sz w:val="24"/>
          <w:highlight w:val="none"/>
        </w:rPr>
        <w:t xml:space="preserve">6.2生殖系统的结构损伤</w:t>
      </w:r>
      <w:bookmarkEnd w:id="172"/>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7神经肌肉骨骼和运动有关的结构和功能</w:t>
      </w:r>
      <w:r/>
    </w:p>
    <w:p>
      <w:pPr>
        <w:pStyle w:val="1206"/>
        <w:rPr>
          <w:rFonts w:hint="default" w:ascii="Times New Roman" w:hAnsi="Times New Roman" w:eastAsia="仿宋" w:cs="Times New Roman"/>
          <w:sz w:val="24"/>
          <w:highlight w:val="none"/>
        </w:rPr>
      </w:pPr>
      <w:r/>
      <w:bookmarkStart w:id="173" w:name="_Toc4754_WPSOffice_Level1"/>
      <w:r>
        <w:rPr>
          <w:rFonts w:hint="default" w:ascii="Times New Roman" w:hAnsi="Times New Roman" w:eastAsia="仿宋" w:cs="Times New Roman"/>
          <w:sz w:val="24"/>
          <w:highlight w:val="none"/>
        </w:rPr>
        <w:t xml:space="preserve">7.1头颈部的结构损伤</w:t>
      </w:r>
      <w:bookmarkEnd w:id="173"/>
      <w:r/>
      <w:r/>
    </w:p>
    <w:p>
      <w:pPr>
        <w:pStyle w:val="1206"/>
        <w:rPr>
          <w:rFonts w:hint="default" w:ascii="Times New Roman" w:hAnsi="Times New Roman" w:eastAsia="仿宋" w:cs="Times New Roman"/>
          <w:sz w:val="24"/>
          <w:highlight w:val="none"/>
        </w:rPr>
      </w:pPr>
      <w:r/>
      <w:bookmarkStart w:id="174" w:name="_Toc25777_WPSOffice_Level1"/>
      <w:r>
        <w:rPr>
          <w:rFonts w:hint="default" w:ascii="Times New Roman" w:hAnsi="Times New Roman" w:eastAsia="仿宋" w:cs="Times New Roman"/>
          <w:sz w:val="24"/>
          <w:highlight w:val="none"/>
        </w:rPr>
        <w:t xml:space="preserve">7.2头颈部关节功能障碍</w:t>
      </w:r>
      <w:bookmarkEnd w:id="174"/>
      <w:r/>
      <w:r/>
    </w:p>
    <w:p>
      <w:pPr>
        <w:pStyle w:val="1206"/>
        <w:rPr>
          <w:rFonts w:hint="default" w:ascii="Times New Roman" w:hAnsi="Times New Roman" w:eastAsia="仿宋" w:cs="Times New Roman"/>
          <w:sz w:val="24"/>
          <w:highlight w:val="none"/>
        </w:rPr>
      </w:pPr>
      <w:r/>
      <w:bookmarkStart w:id="175" w:name="_Toc23185_WPSOffice_Level1"/>
      <w:r>
        <w:rPr>
          <w:rFonts w:hint="default" w:ascii="Times New Roman" w:hAnsi="Times New Roman" w:eastAsia="仿宋" w:cs="Times New Roman"/>
          <w:sz w:val="24"/>
          <w:highlight w:val="none"/>
        </w:rPr>
        <w:t xml:space="preserve">7.3上肢的结构损伤，手功能或关节功能障碍</w:t>
      </w:r>
      <w:bookmarkEnd w:id="175"/>
      <w:r/>
      <w:r/>
    </w:p>
    <w:p>
      <w:pPr>
        <w:pStyle w:val="1206"/>
        <w:rPr>
          <w:rFonts w:hint="default" w:ascii="Times New Roman" w:hAnsi="Times New Roman" w:eastAsia="仿宋" w:cs="Times New Roman"/>
          <w:sz w:val="24"/>
          <w:highlight w:val="none"/>
        </w:rPr>
      </w:pPr>
      <w:r/>
      <w:bookmarkStart w:id="176" w:name="_Toc25380_WPSOffice_Level1"/>
      <w:r>
        <w:rPr>
          <w:rFonts w:hint="default" w:ascii="Times New Roman" w:hAnsi="Times New Roman" w:eastAsia="仿宋" w:cs="Times New Roman"/>
          <w:sz w:val="24"/>
          <w:highlight w:val="none"/>
        </w:rPr>
        <w:t xml:space="preserve">7.4骨盆部的结构损伤</w:t>
      </w:r>
      <w:bookmarkEnd w:id="176"/>
      <w:r/>
      <w:r/>
    </w:p>
    <w:p>
      <w:pPr>
        <w:pStyle w:val="1206"/>
        <w:rPr>
          <w:rFonts w:hint="default" w:ascii="Times New Roman" w:hAnsi="Times New Roman" w:eastAsia="仿宋" w:cs="Times New Roman"/>
          <w:sz w:val="24"/>
          <w:highlight w:val="none"/>
        </w:rPr>
      </w:pPr>
      <w:r/>
      <w:bookmarkStart w:id="177" w:name="_Toc15874_WPSOffice_Level1"/>
      <w:r>
        <w:rPr>
          <w:rFonts w:hint="default" w:ascii="Times New Roman" w:hAnsi="Times New Roman" w:eastAsia="仿宋" w:cs="Times New Roman"/>
          <w:sz w:val="24"/>
          <w:highlight w:val="none"/>
        </w:rPr>
        <w:t xml:space="preserve">7.5下肢的结构损伤，足功能或关节功能障碍</w:t>
      </w:r>
      <w:bookmarkEnd w:id="177"/>
      <w:r/>
      <w:r/>
    </w:p>
    <w:p>
      <w:pPr>
        <w:pStyle w:val="1206"/>
        <w:rPr>
          <w:rFonts w:hint="default" w:ascii="Times New Roman" w:hAnsi="Times New Roman" w:eastAsia="仿宋" w:cs="Times New Roman"/>
          <w:sz w:val="24"/>
          <w:highlight w:val="none"/>
        </w:rPr>
      </w:pPr>
      <w:r/>
      <w:bookmarkStart w:id="178" w:name="_Toc30229_WPSOffice_Level1"/>
      <w:r>
        <w:rPr>
          <w:rFonts w:hint="default" w:ascii="Times New Roman" w:hAnsi="Times New Roman" w:eastAsia="仿宋" w:cs="Times New Roman"/>
          <w:sz w:val="24"/>
          <w:highlight w:val="none"/>
        </w:rPr>
        <w:t xml:space="preserve">7.6四肢的结构损伤，肢体功能或关节功能障碍</w:t>
      </w:r>
      <w:bookmarkEnd w:id="178"/>
      <w:r/>
      <w:r/>
    </w:p>
    <w:p>
      <w:pPr>
        <w:pStyle w:val="1206"/>
        <w:rPr>
          <w:rFonts w:hint="default" w:ascii="Times New Roman" w:hAnsi="Times New Roman" w:eastAsia="仿宋" w:cs="Times New Roman"/>
          <w:sz w:val="24"/>
          <w:highlight w:val="none"/>
        </w:rPr>
      </w:pPr>
      <w:r/>
      <w:bookmarkStart w:id="179" w:name="_Toc16522_WPSOffice_Level1"/>
      <w:r>
        <w:rPr>
          <w:rFonts w:hint="default" w:ascii="Times New Roman" w:hAnsi="Times New Roman" w:eastAsia="仿宋" w:cs="Times New Roman"/>
          <w:sz w:val="24"/>
          <w:highlight w:val="none"/>
        </w:rPr>
        <w:t xml:space="preserve">7.7脊柱结构损伤和关节活动功能障碍</w:t>
      </w:r>
      <w:bookmarkEnd w:id="179"/>
      <w:r/>
      <w:r/>
    </w:p>
    <w:p>
      <w:pPr>
        <w:pStyle w:val="1206"/>
        <w:rPr>
          <w:rFonts w:hint="default" w:ascii="Times New Roman" w:hAnsi="Times New Roman" w:eastAsia="仿宋" w:cs="Times New Roman"/>
          <w:sz w:val="24"/>
          <w:highlight w:val="none"/>
        </w:rPr>
      </w:pPr>
      <w:r/>
      <w:bookmarkStart w:id="180" w:name="_Toc25362_WPSOffice_Level1"/>
      <w:r>
        <w:rPr>
          <w:rFonts w:hint="default" w:ascii="Times New Roman" w:hAnsi="Times New Roman" w:eastAsia="仿宋" w:cs="Times New Roman"/>
          <w:sz w:val="24"/>
          <w:highlight w:val="none"/>
        </w:rPr>
        <w:t xml:space="preserve">7.8肌肉力量功能障碍</w:t>
      </w:r>
      <w:bookmarkEnd w:id="180"/>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8皮肤和有关的结构和功能</w:t>
      </w:r>
      <w:r/>
    </w:p>
    <w:p>
      <w:pPr>
        <w:pStyle w:val="1206"/>
        <w:rPr>
          <w:rFonts w:hint="default" w:ascii="Times New Roman" w:hAnsi="Times New Roman" w:eastAsia="仿宋" w:cs="Times New Roman"/>
          <w:sz w:val="24"/>
          <w:highlight w:val="none"/>
        </w:rPr>
      </w:pPr>
      <w:r/>
      <w:bookmarkStart w:id="181" w:name="_Toc10229_WPSOffice_Level1"/>
      <w:r>
        <w:rPr>
          <w:rFonts w:hint="default" w:ascii="Times New Roman" w:hAnsi="Times New Roman" w:eastAsia="仿宋" w:cs="Times New Roman"/>
          <w:sz w:val="24"/>
          <w:highlight w:val="none"/>
        </w:rPr>
        <w:t xml:space="preserve">8.1头颈部皮肤结构损伤和修复功能障碍</w:t>
      </w:r>
      <w:bookmarkEnd w:id="181"/>
      <w:r/>
      <w:r/>
    </w:p>
    <w:p>
      <w:pPr>
        <w:pStyle w:val="1206"/>
        <w:rPr>
          <w:rFonts w:hint="default" w:ascii="Times New Roman" w:hAnsi="Times New Roman" w:eastAsia="仿宋" w:cs="Times New Roman"/>
          <w:sz w:val="24"/>
          <w:highlight w:val="none"/>
        </w:rPr>
      </w:pPr>
      <w:r/>
      <w:bookmarkStart w:id="182" w:name="_Toc32074_WPSOffice_Level1"/>
      <w:r>
        <w:rPr>
          <w:rFonts w:hint="default" w:ascii="Times New Roman" w:hAnsi="Times New Roman" w:eastAsia="仿宋" w:cs="Times New Roman"/>
          <w:sz w:val="24"/>
          <w:highlight w:val="none"/>
        </w:rPr>
        <w:t xml:space="preserve">8.2各部位皮肤结构损伤和修复功能障碍</w:t>
      </w:r>
      <w:bookmarkEnd w:id="182"/>
      <w:r/>
      <w:r/>
    </w:p>
    <w:p>
      <w:pPr>
        <w:pStyle w:val="1206"/>
        <w:jc w:val="center"/>
        <w:rPr>
          <w:rFonts w:hint="default" w:ascii="Times New Roman" w:hAnsi="Times New Roman" w:eastAsia="仿宋" w:cs="Times New Roman"/>
          <w:b/>
          <w:sz w:val="24"/>
          <w:highlight w:val="none"/>
        </w:rPr>
      </w:pPr>
      <w:r/>
      <w:bookmarkStart w:id="183" w:name="_Toc4242_WPSOffice_Level1"/>
      <w:r/>
      <w:bookmarkStart w:id="184" w:name="_Toc2986_WPSOffice_Level1"/>
      <w:r/>
      <w:bookmarkStart w:id="185" w:name="_Toc21763_WPSOffice_Level1"/>
      <w:r/>
      <w:bookmarkStart w:id="186" w:name="_Toc5016_WPSOffice_Level1"/>
      <w:r>
        <w:rPr>
          <w:rFonts w:hint="default" w:ascii="Times New Roman" w:hAnsi="Times New Roman" w:eastAsia="仿宋" w:cs="Times New Roman"/>
          <w:b/>
          <w:sz w:val="24"/>
          <w:highlight w:val="none"/>
        </w:rPr>
        <w:t xml:space="preserve">前言</w:t>
      </w:r>
      <w:bookmarkEnd w:id="183"/>
      <w:r/>
      <w:bookmarkEnd w:id="184"/>
      <w:r/>
      <w:bookmarkEnd w:id="185"/>
      <w:r/>
      <w:bookmarkEnd w:id="186"/>
      <w:r/>
      <w:r/>
    </w:p>
    <w:p>
      <w:pPr>
        <w:pStyle w:val="1206"/>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根据保险行业业务发展要求，制订本标准。</w:t>
      </w:r>
      <w:r/>
    </w:p>
    <w:p>
      <w:pPr>
        <w:pStyle w:val="1206"/>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本标准制定过程中参照世界卫生组织《国际功能、残疾和健康分类》（以下简称“ICF”）的理论与方法，建立新的残疾标准的理论架构、术语体系和分类方法。</w:t>
      </w:r>
      <w:r/>
    </w:p>
    <w:p>
      <w:pPr>
        <w:pStyle w:val="1206"/>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本标准制定过程中参考了国内重要的伤残评定标准，如《劳动能力鉴定，职工工伤与职业病致残等级》、</w:t>
      </w:r>
      <w:r/>
    </w:p>
    <w:p>
      <w:pPr>
        <w:pStyle w:val="1206"/>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《道路交通事故受伤人员伤残评定》等，符合国内相关的残疾政策，同时参考了国际上其他国家地区的伤残分级原则和标准。</w:t>
      </w:r>
      <w:r/>
    </w:p>
    <w:p>
      <w:pPr>
        <w:pStyle w:val="1206"/>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本标准建立了保险行业人身保险伤残评定和保险金给付比例的基础，各保险公司应根据自身的业务特点，根据本标准的方法、内容和结构，开发保险产品，提供保险服务。</w:t>
      </w:r>
      <w:r/>
    </w:p>
    <w:p>
      <w:pPr>
        <w:pStyle w:val="1206"/>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本标准负责起草单位：中国保险行业协会。本标准规定了人身保险伤残程度的评定等级以及保险金给付比例的原则和方法，人身保险伤残程度分为</w:t>
      </w:r>
      <w:r/>
    </w:p>
    <w:p>
      <w:pPr>
        <w:pStyle w:val="1206"/>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一至十级，保险金给付比例分为100%至10%。</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1适用范围</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本标准适用于意外险产品或包括意外责任的保险产品中的伤残保障，用于评定由于意外伤害因素引起的伤残程度。</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2术语和定义</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下列术语和定义适用于本标准。</w:t>
      </w:r>
      <w:r/>
    </w:p>
    <w:p>
      <w:pPr>
        <w:pStyle w:val="1206"/>
        <w:rPr>
          <w:rFonts w:hint="default" w:ascii="Times New Roman" w:hAnsi="Times New Roman" w:eastAsia="仿宋" w:cs="Times New Roman"/>
          <w:sz w:val="24"/>
          <w:highlight w:val="none"/>
        </w:rPr>
      </w:pPr>
      <w:r/>
      <w:bookmarkStart w:id="187" w:name="_Toc15263_WPSOffice_Level1"/>
      <w:r>
        <w:rPr>
          <w:rFonts w:hint="default" w:ascii="Times New Roman" w:hAnsi="Times New Roman" w:eastAsia="仿宋" w:cs="Times New Roman"/>
          <w:sz w:val="24"/>
          <w:highlight w:val="none"/>
        </w:rPr>
        <w:t xml:space="preserve">2.1伤残：因意外伤害损伤所致的人体残疾。</w:t>
      </w:r>
      <w:bookmarkEnd w:id="187"/>
      <w:r/>
      <w:r/>
    </w:p>
    <w:p>
      <w:pPr>
        <w:pStyle w:val="1206"/>
        <w:rPr>
          <w:rFonts w:hint="default" w:ascii="Times New Roman" w:hAnsi="Times New Roman" w:eastAsia="仿宋" w:cs="Times New Roman"/>
          <w:sz w:val="24"/>
          <w:highlight w:val="none"/>
        </w:rPr>
      </w:pPr>
      <w:r/>
      <w:bookmarkStart w:id="188" w:name="_Toc8103_WPSOffice_Level1"/>
      <w:r>
        <w:rPr>
          <w:rFonts w:hint="default" w:ascii="Times New Roman" w:hAnsi="Times New Roman" w:eastAsia="仿宋" w:cs="Times New Roman"/>
          <w:sz w:val="24"/>
          <w:highlight w:val="none"/>
        </w:rPr>
        <w:t xml:space="preserve">2.2身体结构：指身体的解剖部位，如器官、肢体及其组成部分。</w:t>
      </w:r>
      <w:bookmarkEnd w:id="188"/>
      <w:r/>
      <w:r/>
    </w:p>
    <w:p>
      <w:pPr>
        <w:pStyle w:val="1206"/>
        <w:rPr>
          <w:rFonts w:hint="default" w:ascii="Times New Roman" w:hAnsi="Times New Roman" w:eastAsia="仿宋" w:cs="Times New Roman"/>
          <w:sz w:val="24"/>
          <w:highlight w:val="none"/>
        </w:rPr>
      </w:pPr>
      <w:r/>
      <w:bookmarkStart w:id="189" w:name="_Toc18538_WPSOffice_Level1"/>
      <w:r>
        <w:rPr>
          <w:rFonts w:hint="default" w:ascii="Times New Roman" w:hAnsi="Times New Roman" w:eastAsia="仿宋" w:cs="Times New Roman"/>
          <w:sz w:val="24"/>
          <w:highlight w:val="none"/>
        </w:rPr>
        <w:t xml:space="preserve">2.3身体功能：指身体各系统的生理功能。</w:t>
      </w:r>
      <w:bookmarkEnd w:id="189"/>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3标准的内容和结构</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参照ICF有关功能和残疾的分类理论与方法，建立“神经系统的结构和精神功能”、“眼，耳和有关的结构和功能”、“发声和言语的结构和功能”、“心血管，免疫和呼吸系统的结构和功能”、“消化、代谢和内分泌系统有关的结构和功能”、“泌尿和生殖系统有关的结构和功能”、“神经肌肉骨骼和运动有关的结构和功能”和“皮肤和有关的结构和功能”8大类，共281项人身保险伤残条目。</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本标准对功能和残疾进行了分类和分级，将人身保险伤残程度划分为一至十级，最重为第一级，最轻为第十级。</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与人身保险伤残程度等级相对应的保险金给付比例分为十档，伤残程度第一级对应的保险金给付比例为100%，伤残程度第十级对应的保险金给付比例为10%，每级相差10%。</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4伤残的评定原则</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4.1确定伤残类别：评定伤残时，应根据人体的身体结构与功能损伤情况确定所涉及的伤残类别。</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4.2确定伤残等级：应根据伤残情况，在同类别伤残下，确定伤残等级。</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4.3确定保险金给付比例：应根据伤残等级对应的百分比，确定保险金给付比例。</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4.4多处伤残的评定原则：当同一保险事故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同一部位和性质的伤残，不应采用本标准条文两条以上或者同一条文两次以上进行评定。</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5说明</w:t>
      </w:r>
      <w:r/>
    </w:p>
    <w:p>
      <w:pPr>
        <w:pStyle w:val="1206"/>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本标准中“以上”均包括本数值或本部位。</w:t>
      </w:r>
      <w:r/>
    </w:p>
    <w:p>
      <w:pPr>
        <w:pStyle w:val="1206"/>
        <w:jc w:val="center"/>
        <w:rPr>
          <w:rFonts w:hint="default" w:ascii="Times New Roman" w:hAnsi="Times New Roman" w:eastAsia="仿宋" w:cs="Times New Roman"/>
          <w:b/>
          <w:sz w:val="24"/>
          <w:highlight w:val="none"/>
          <w:lang w:val="zh-CN"/>
        </w:rPr>
      </w:pPr>
      <w:r/>
      <w:bookmarkStart w:id="190" w:name="_Toc5778_WPSOffice_Level1"/>
      <w:r/>
      <w:bookmarkStart w:id="191" w:name="_Toc8276_WPSOffice_Level1"/>
      <w:r/>
      <w:bookmarkStart w:id="192" w:name="_Toc15626_WPSOffice_Level1"/>
      <w:r/>
      <w:bookmarkStart w:id="193" w:name="_Toc22124_WPSOffice_Level1"/>
      <w:r>
        <w:rPr>
          <w:rFonts w:hint="default" w:ascii="Times New Roman" w:hAnsi="Times New Roman" w:eastAsia="仿宋" w:cs="Times New Roman"/>
          <w:b/>
          <w:sz w:val="24"/>
          <w:highlight w:val="none"/>
          <w:lang w:val="zh-CN"/>
        </w:rPr>
        <w:t xml:space="preserve">人身保险伤残评定标准（行业标准）</w:t>
      </w:r>
      <w:bookmarkEnd w:id="190"/>
      <w:r/>
      <w:bookmarkEnd w:id="191"/>
      <w:r/>
      <w:bookmarkEnd w:id="192"/>
      <w:r/>
      <w:bookmarkEnd w:id="193"/>
      <w:r/>
      <w:r/>
    </w:p>
    <w:p>
      <w:pPr>
        <w:pStyle w:val="1206"/>
        <w:ind w:firstLine="42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（中保协发〔2013〕88号）</w:t>
      </w:r>
      <w:r/>
    </w:p>
    <w:p>
      <w:pPr>
        <w:pStyle w:val="1206"/>
        <w:ind w:firstLine="480"/>
        <w:widowControl/>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说明：本标准对功能和残疾进行了分类和分级，将人身保险伤残程度划分为一至十级，最重为第一级，最轻为第十级。与人身保险伤残程度等级相对应的保险金给付比例分为十档，伤残程度第一级对应的保险金给付比例为100%，伤残程度第十级对应的保险金给付比例为10%，每级相差10%。</w:t>
      </w:r>
      <w:r/>
    </w:p>
    <w:p>
      <w:pPr>
        <w:pStyle w:val="1206"/>
        <w:numPr>
          <w:ilvl w:val="0"/>
          <w:numId w:val="5"/>
        </w:numPr>
        <w:ind w:firstLine="482"/>
        <w:rPr>
          <w:rFonts w:hint="default" w:ascii="Times New Roman" w:hAnsi="Times New Roman" w:eastAsia="仿宋" w:cs="Times New Roman"/>
          <w:b/>
          <w:sz w:val="24"/>
          <w:highlight w:val="none"/>
        </w:rPr>
      </w:pPr>
      <w:r>
        <w:rPr>
          <w:rFonts w:hint="default" w:ascii="Times New Roman" w:hAnsi="Times New Roman" w:eastAsia="仿宋" w:cs="Times New Roman"/>
          <w:b/>
          <w:sz w:val="24"/>
          <w:highlight w:val="none"/>
          <w:lang w:val="zh-CN"/>
        </w:rPr>
        <w:t xml:space="preserve">神经系统的结构和精神功能</w:t>
      </w:r>
      <w:r/>
    </w:p>
    <w:p>
      <w:pPr>
        <w:pStyle w:val="1206"/>
        <w:numPr>
          <w:ilvl w:val="0"/>
          <w:numId w:val="5"/>
        </w:numPr>
        <w:ind w:firstLine="482"/>
        <w:rPr>
          <w:rFonts w:hint="default" w:ascii="Times New Roman" w:hAnsi="Times New Roman" w:eastAsia="仿宋" w:cs="Times New Roman"/>
          <w:b/>
          <w:sz w:val="24"/>
          <w:highlight w:val="none"/>
        </w:rPr>
      </w:pPr>
      <w:r>
        <w:rPr>
          <w:rFonts w:hint="default" w:ascii="Times New Roman" w:hAnsi="Times New Roman" w:eastAsia="仿宋" w:cs="Times New Roman"/>
          <w:b/>
          <w:sz w:val="24"/>
          <w:highlight w:val="none"/>
          <w:lang w:val="zh-CN"/>
        </w:rPr>
        <w:t xml:space="preserve">脑膜的结构损伤</w:t>
      </w:r>
      <w:r/>
    </w:p>
    <w:tbl>
      <w:tblPr>
        <w:tblStyle w:val="1031"/>
        <w:tblW w:w="8268" w:type="dxa"/>
        <w:jc w:val="center"/>
        <w:tblLayout w:type="fixed"/>
        <w:tblCellMar>
          <w:left w:w="108" w:type="dxa"/>
          <w:top w:w="0" w:type="dxa"/>
          <w:right w:w="108" w:type="dxa"/>
          <w:bottom w:w="0" w:type="dxa"/>
        </w:tblCellMar>
        <w:tblLook w:val="04A0" w:firstRow="1" w:lastRow="0" w:firstColumn="1" w:lastColumn="0" w:noHBand="0" w:noVBand="1"/>
      </w:tblPr>
      <w:tblGrid>
        <w:gridCol w:w="7208"/>
        <w:gridCol w:w="1060"/>
      </w:tblGrid>
      <w:tr>
        <w:trPr>
          <w:jc w:val="center"/>
          <w:trHeight w:val="284"/>
        </w:trPr>
        <w:tc>
          <w:tcPr>
            <w:tcBorders>
              <w:top w:val="single" w:color="000000" w:sz="2" w:space="0"/>
              <w:left w:val="single" w:color="000000" w:sz="2" w:space="0"/>
              <w:bottom w:val="single" w:color="000000" w:sz="2" w:space="0"/>
              <w:right w:val="single" w:color="000000" w:sz="2" w:space="0"/>
            </w:tcBorders>
            <w:tcW w:w="720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外伤性脑脊液鼻漏或耳漏</w:t>
            </w:r>
            <w:r/>
          </w:p>
        </w:tc>
        <w:tc>
          <w:tcPr>
            <w:tcBorders>
              <w:top w:val="single" w:color="000000" w:sz="2" w:space="0"/>
              <w:left w:val="single" w:color="000000" w:sz="2" w:space="0"/>
              <w:bottom w:val="single" w:color="000000" w:sz="2" w:space="0"/>
              <w:right w:val="single" w:color="000000" w:sz="2" w:space="0"/>
            </w:tcBorders>
            <w:tcW w:w="106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ind w:firstLine="482"/>
        <w:jc w:val="left"/>
        <w:tabs>
          <w:tab w:val="left" w:pos="693" w:leader="none"/>
        </w:tabs>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脑的结构损伤，智力功能障碍</w:t>
      </w:r>
      <w:r/>
    </w:p>
    <w:tbl>
      <w:tblPr>
        <w:tblStyle w:val="1031"/>
        <w:tblW w:w="8261" w:type="dxa"/>
        <w:jc w:val="center"/>
        <w:tblLayout w:type="fixed"/>
        <w:tblCellMar>
          <w:left w:w="108" w:type="dxa"/>
          <w:top w:w="0" w:type="dxa"/>
          <w:right w:w="108" w:type="dxa"/>
          <w:bottom w:w="0" w:type="dxa"/>
        </w:tblCellMar>
        <w:tblLook w:val="04A0" w:firstRow="1" w:lastRow="0" w:firstColumn="1" w:lastColumn="0" w:noHBand="0" w:noVBand="1"/>
      </w:tblPr>
      <w:tblGrid>
        <w:gridCol w:w="7205"/>
        <w:gridCol w:w="1056"/>
      </w:tblGrid>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颅脑损伤导致极度智力缺损（智商小于等于20），日常生活完全不能自理，处于完全护理依赖状态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颅脑损伤导致重度智力缺损（智商小于等于34），日常生活需随时有人帮助才能完成，处于完全护理依赖状态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颅脑损伤导致重度智力缺损（智商小于等于34），不能完全独立生活，需经常有人监护，处于大部分护理依赖状态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颅脑损伤导致中度智力缺损（智商小于等于49），日常生活能力严重受限，间或需要帮助，处于大部分护理依赖状态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注：①护理依赖：应用“基本日常生活活动能力”的丧失程度来判断护理依赖程度。</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基本日常生活活动是指：（1）穿衣：自己能够穿衣及脱衣；（2）移动：自己从一个房间到另一个房间；（3）行动：自己上下床或上下轮椅；（4）如厕：自己控制进行大小便；（5）进食：自己从已准备好的碗或碟中取食物放入口中；（6）洗澡：自己进行淋浴或盆浴。</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护理依赖的程度分三级：（1）完全护理依赖指生活完全不能自理，上述六项基本日常生活活动均需护理者；（2）大部分护理依赖指生活大部不能自理，上述六项基本日常生活活动中三项或三项以上需要护理者；（3）部分护理依赖指部分生活不能自理，上述六项基本日常生活活动中一项或一项以上需要护理者。</w:t>
      </w:r>
      <w:r/>
    </w:p>
    <w:p>
      <w:pPr>
        <w:pStyle w:val="1206"/>
        <w:numPr>
          <w:ilvl w:val="0"/>
          <w:numId w:val="5"/>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意识功能障碍</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意识功能是指意识和警觉状态下的一般精神功能，包括清醒和持续的觉醒状态。本标准中的意识功能障碍是指颅脑损伤导致植物状态。</w:t>
      </w:r>
      <w:r/>
    </w:p>
    <w:tbl>
      <w:tblPr>
        <w:tblStyle w:val="1031"/>
        <w:tblW w:w="8292" w:type="dxa"/>
        <w:tblInd w:w="-108" w:type="dxa"/>
        <w:tblLayout w:type="fixed"/>
        <w:tblCellMar>
          <w:left w:w="108" w:type="dxa"/>
          <w:top w:w="0" w:type="dxa"/>
          <w:right w:w="108" w:type="dxa"/>
          <w:bottom w:w="0" w:type="dxa"/>
        </w:tblCellMar>
        <w:tblLook w:val="04A0" w:firstRow="1" w:lastRow="0" w:firstColumn="1" w:lastColumn="0" w:noHBand="0" w:noVBand="1"/>
      </w:tblPr>
      <w:tblGrid>
        <w:gridCol w:w="7220"/>
        <w:gridCol w:w="1072"/>
      </w:tblGrid>
      <w:tr>
        <w:trPr>
          <w:trHeight w:val="284"/>
        </w:trPr>
        <w:tc>
          <w:tcPr>
            <w:tcBorders>
              <w:top w:val="single" w:color="000000" w:sz="2" w:space="0"/>
              <w:left w:val="single" w:color="000000" w:sz="2" w:space="0"/>
              <w:bottom w:val="single" w:color="000000" w:sz="2" w:space="0"/>
              <w:right w:val="single" w:color="000000" w:sz="2" w:space="0"/>
            </w:tcBorders>
            <w:tcW w:w="722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颅脑损伤导致植物状态</w:t>
            </w:r>
            <w:r/>
          </w:p>
        </w:tc>
        <w:tc>
          <w:tcPr>
            <w:tcBorders>
              <w:top w:val="single" w:color="000000" w:sz="2" w:space="0"/>
              <w:left w:val="single" w:color="000000" w:sz="2" w:space="0"/>
              <w:bottom w:val="single" w:color="000000" w:sz="2" w:space="0"/>
              <w:right w:val="single" w:color="000000" w:sz="2" w:space="0"/>
            </w:tcBorders>
            <w:tcW w:w="107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bl>
    <w:p>
      <w:pPr>
        <w:pStyle w:val="1206"/>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注：植物状态指由于严重颅脑损伤造成认知功能丧失，无意识活动，不能执行命令，保持自主呼吸和血压，有睡眠-醒觉周期，不能理解和表达语言，能自动睁眼或刺激下睁眼，可有无目的性眼球跟踪运动，丘脑下部及脑干功能基本保存。</w:t>
      </w:r>
      <w:r/>
    </w:p>
    <w:p>
      <w:pPr>
        <w:pStyle w:val="1206"/>
        <w:numPr>
          <w:ilvl w:val="0"/>
          <w:numId w:val="5"/>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眼，耳和有关的结构和功能</w:t>
      </w:r>
      <w:r/>
    </w:p>
    <w:p>
      <w:pPr>
        <w:pStyle w:val="1206"/>
        <w:numPr>
          <w:ilvl w:val="0"/>
          <w:numId w:val="5"/>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眼球损伤或视功能障碍</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视功能是指与感受存在的光线和感受视觉刺激的形式、大小、形状和颜色等有关的感觉功能。本标准中的视功能障碍是指眼盲目或低视力。</w:t>
      </w:r>
      <w:r/>
    </w:p>
    <w:tbl>
      <w:tblPr>
        <w:tblStyle w:val="1031"/>
        <w:tblW w:w="8329"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99"/>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双侧眼球缺失</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一侧眼球缺失，且另一侧眼盲目5级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一侧眼球缺失，且另一侧眼盲目4级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一侧眼球缺失，且另一侧眼盲目3级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一侧眼球缺失，且另一侧眼低视力2级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一侧眼球缺失，且另一侧眼低视力1级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bl>
    <w:p>
      <w:pPr>
        <w:pStyle w:val="1206"/>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视功能障碍</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除眼盲目和低视力外，本标准中的视功能障碍还包括视野缺损。</w:t>
      </w:r>
      <w:r/>
    </w:p>
    <w:tbl>
      <w:tblPr>
        <w:tblStyle w:val="1031"/>
        <w:tblW w:w="8289" w:type="dxa"/>
        <w:tblInd w:w="-108" w:type="dxa"/>
        <w:tblLayout w:type="fixed"/>
        <w:tblCellMar>
          <w:left w:w="108" w:type="dxa"/>
          <w:top w:w="0" w:type="dxa"/>
          <w:right w:w="108" w:type="dxa"/>
          <w:bottom w:w="0" w:type="dxa"/>
        </w:tblCellMar>
        <w:tblLook w:val="04A0" w:firstRow="1" w:lastRow="0" w:firstColumn="1" w:lastColumn="0" w:noHBand="0" w:noVBand="1"/>
      </w:tblPr>
      <w:tblGrid>
        <w:gridCol w:w="7219"/>
        <w:gridCol w:w="1070"/>
      </w:tblGrid>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双眼盲目5级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双眼视野缺损，直径小于5°</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双眼盲目大于等于4级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双眼视野缺损，直径小于10°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双眼盲目大于等于3级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双眼视野缺损，直径小于20°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双眼低视力大于等于2级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双眼低视力大于等于1级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双眼视野缺损，直径小于60°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一眼盲目5级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一眼视野缺损，直径小于5°</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一眼盲目大于等于4级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一眼视野缺损，直径小于10°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一眼盲目大于等于3级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一眼视野缺损，直径小于20°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一眼低视力大于等于1级。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一眼视野缺损，直径小于60°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widowControl/>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注：①视力和视野</w:t>
      </w:r>
      <w:r/>
    </w:p>
    <w:tbl>
      <w:tblPr>
        <w:tblStyle w:val="1031"/>
        <w:tblW w:w="8322" w:type="dxa"/>
        <w:tblInd w:w="-108" w:type="dxa"/>
        <w:tblLayout w:type="fixed"/>
        <w:tblCellMar>
          <w:left w:w="108" w:type="dxa"/>
          <w:top w:w="0" w:type="dxa"/>
          <w:right w:w="108" w:type="dxa"/>
          <w:bottom w:w="0" w:type="dxa"/>
        </w:tblCellMar>
        <w:tblLook w:val="04A0" w:firstRow="1" w:lastRow="0" w:firstColumn="1" w:lastColumn="0" w:noHBand="0" w:noVBand="1"/>
      </w:tblPr>
      <w:tblGrid>
        <w:gridCol w:w="1776"/>
        <w:gridCol w:w="772"/>
        <w:gridCol w:w="2552"/>
        <w:gridCol w:w="3222"/>
      </w:tblGrid>
      <w:tr>
        <w:trPr>
          <w:trHeight w:val="70"/>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restart"/>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级别</w:t>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低视力及盲目分级标准</w:t>
            </w:r>
            <w:r/>
          </w:p>
        </w:tc>
      </w:tr>
      <w:tr>
        <w:trPr>
          <w:trHeight w:val="193"/>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continue"/>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最好矫正视力</w:t>
            </w:r>
            <w:r/>
          </w:p>
        </w:tc>
      </w:tr>
      <w:tr>
        <w:trPr>
          <w:trHeight w:val="70"/>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continue"/>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最好矫正视力低于</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最低矫正视力等于或优于</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restart"/>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低视力</w:t>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0.3</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0.1</w:t>
            </w:r>
            <w:r/>
          </w:p>
        </w:tc>
      </w:tr>
      <w:tr>
        <w:trPr>
          <w:trHeight w:val="66"/>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0.1</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0.05（三米指数）</w:t>
            </w:r>
            <w:r/>
          </w:p>
        </w:tc>
      </w:tr>
      <w:tr>
        <w:trPr>
          <w:trHeight w:val="66"/>
        </w:trPr>
        <w:tc>
          <w:tcPr>
            <w:tcBorders>
              <w:top w:val="single" w:color="000000" w:sz="2" w:space="0"/>
              <w:left w:val="single" w:color="000000" w:sz="2" w:space="0"/>
              <w:bottom w:val="single" w:color="000000" w:sz="2" w:space="0"/>
              <w:right w:val="single" w:color="000000" w:sz="2" w:space="0"/>
            </w:tcBorders>
            <w:tcW w:w="1776" w:type="dxa"/>
            <w:vAlign w:val="center"/>
            <w:vMerge w:val="restart"/>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盲目</w:t>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0.05</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0.02（一米指数）</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0.02</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光感</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w:t>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无光感</w:t>
            </w:r>
            <w:r/>
          </w:p>
        </w:tc>
      </w:tr>
    </w:tbl>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如果中心视力好而视野缩小，以中央注视点为中心，视野直径小于20°而大于10°者为盲目3级；如直径小于10°者为盲目4级。</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本标准视力以矫正视力为准，经治疗而无法恢复者。</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②视野缺损指因损伤导致眼球注视前方而不转动所能看到的空间范围缩窄，以致难以从事正常工作、学习或其他活动。</w:t>
      </w:r>
      <w:r/>
    </w:p>
    <w:p>
      <w:pPr>
        <w:pStyle w:val="1206"/>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眼球的晶状体结构损伤</w:t>
      </w:r>
      <w:r/>
    </w:p>
    <w:tbl>
      <w:tblPr>
        <w:tblStyle w:val="1031"/>
        <w:tblW w:w="8289" w:type="dxa"/>
        <w:tblInd w:w="-108" w:type="dxa"/>
        <w:tblLayout w:type="fixed"/>
        <w:tblCellMar>
          <w:left w:w="108" w:type="dxa"/>
          <w:top w:w="0" w:type="dxa"/>
          <w:right w:w="108" w:type="dxa"/>
          <w:bottom w:w="0" w:type="dxa"/>
        </w:tblCellMar>
        <w:tblLook w:val="04A0" w:firstRow="1" w:lastRow="0" w:firstColumn="1" w:lastColumn="0" w:noHBand="0" w:noVBand="1"/>
      </w:tblPr>
      <w:tblGrid>
        <w:gridCol w:w="7219"/>
        <w:gridCol w:w="1070"/>
      </w:tblGrid>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外伤性白内障</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注：外伤性白内障：凡未做手术者，均适用本条；外伤性白内障术后遗留相关视功能障碍，参照有关条款评定伤残等级。</w:t>
      </w:r>
      <w:r/>
    </w:p>
    <w:p>
      <w:pPr>
        <w:pStyle w:val="1206"/>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眼睑结构损伤</w:t>
      </w:r>
      <w:r/>
    </w:p>
    <w:tbl>
      <w:tblPr>
        <w:tblStyle w:val="1031"/>
        <w:tblW w:w="8359" w:type="dxa"/>
        <w:tblInd w:w="-108" w:type="dxa"/>
        <w:tblLayout w:type="fixed"/>
        <w:tblCellMar>
          <w:left w:w="108" w:type="dxa"/>
          <w:top w:w="0" w:type="dxa"/>
          <w:right w:w="108" w:type="dxa"/>
          <w:bottom w:w="0" w:type="dxa"/>
        </w:tblCellMar>
        <w:tblLook w:val="04A0" w:firstRow="1" w:lastRow="0" w:firstColumn="1" w:lastColumn="0" w:noHBand="0" w:noVBand="1"/>
      </w:tblPr>
      <w:tblGrid>
        <w:gridCol w:w="7254"/>
        <w:gridCol w:w="1105"/>
      </w:tblGrid>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双侧眼睑显著缺损</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双侧眼睑外翻</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双侧眼睑闭合不全</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一侧眼睑显著缺损</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一侧眼睑外翻</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一侧眼睑闭合不全</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注：眼睑显著缺损指闭眼时眼睑不能完全覆盖角膜。</w:t>
      </w:r>
      <w:r/>
    </w:p>
    <w:p>
      <w:pPr>
        <w:pStyle w:val="1206"/>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耳廓结构损伤或听功能障碍</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听功能是指与感受存在的声音和辨别方位、音调、音量和音质有关的感觉功能。</w:t>
      </w:r>
      <w:r/>
    </w:p>
    <w:tbl>
      <w:tblPr>
        <w:tblStyle w:val="1031"/>
        <w:tblW w:w="8329" w:type="dxa"/>
        <w:tblInd w:w="-108" w:type="dxa"/>
        <w:tblLayout w:type="fixed"/>
        <w:tblCellMar>
          <w:left w:w="108" w:type="dxa"/>
          <w:top w:w="0" w:type="dxa"/>
          <w:right w:w="108" w:type="dxa"/>
          <w:bottom w:w="0" w:type="dxa"/>
        </w:tblCellMar>
        <w:tblLook w:val="04A0" w:firstRow="1" w:lastRow="0" w:firstColumn="1" w:lastColumn="0" w:noHBand="0" w:noVBand="1"/>
      </w:tblPr>
      <w:tblGrid>
        <w:gridCol w:w="7239"/>
        <w:gridCol w:w="1090"/>
      </w:tblGrid>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双耳听力损失大于等于91dB，且双侧耳廓缺失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双耳听力损失大于等于91dB，且一侧耳廓缺失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510"/>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一耳听力损失大于等于91dB，另一耳听力损失大于等于71dB，且一侧耳廓缺失，另一侧耳廓缺失大于等于50%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双耳听力损失大于等于71dB，且双侧耳廓缺失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双耳听力损失大于等于71dB，且一侧耳廓缺失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双耳听力损失大于等于56dB，且双侧耳廓缺失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510"/>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一耳听力损失大于等于91dB，另一耳听力损失大于等于71dB，且一侧耳廓缺失大于等于50%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双耳听力损失大于等于71dB，且一侧耳廓缺失大于等于50%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双耳听力损失大于等于56dB，且一侧耳廓缺失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一侧耳廓缺失，且另一侧耳廓缺失大于等于50%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6"/>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听功能障碍</w:t>
      </w:r>
      <w:r/>
    </w:p>
    <w:tbl>
      <w:tblPr>
        <w:tblStyle w:val="1031"/>
        <w:tblW w:w="8271" w:type="dxa"/>
        <w:tblInd w:w="-108" w:type="dxa"/>
        <w:tblLayout w:type="fixed"/>
        <w:tblCellMar>
          <w:left w:w="108" w:type="dxa"/>
          <w:top w:w="0" w:type="dxa"/>
          <w:right w:w="108" w:type="dxa"/>
          <w:bottom w:w="0" w:type="dxa"/>
        </w:tblCellMar>
        <w:tblLook w:val="04A0" w:firstRow="1" w:lastRow="0" w:firstColumn="1" w:lastColumn="0" w:noHBand="0" w:noVBand="1"/>
      </w:tblPr>
      <w:tblGrid>
        <w:gridCol w:w="7210"/>
        <w:gridCol w:w="1061"/>
      </w:tblGrid>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双耳听力损失大于等于91dB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双耳听力损失大于等于81dB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一耳听力损失大于等于91dB，且另一耳听力损失大于等于71dB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一耳听力损失大于等于91dB，且另一耳听力损失大于等于56dB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一耳听力损失大于等于71dB，且另一耳听力损失大于等于56dB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一耳听力损失大于等于71dB，且另一耳听力损失大于等于41dB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一耳听力损失大于等于56dB，且另一耳听力损失大于等于41dB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双耳听力损失大于等于26dB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numPr>
          <w:ilvl w:val="0"/>
          <w:numId w:val="5"/>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发声和言语的结构和功能</w:t>
      </w:r>
      <w:r/>
    </w:p>
    <w:p>
      <w:pPr>
        <w:pStyle w:val="1206"/>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鼻的结构损伤</w:t>
      </w:r>
      <w:r/>
    </w:p>
    <w:tbl>
      <w:tblPr>
        <w:tblStyle w:val="1031"/>
        <w:tblW w:w="8245" w:type="dxa"/>
        <w:tblInd w:w="-108" w:type="dxa"/>
        <w:tblLayout w:type="fixed"/>
        <w:tblCellMar>
          <w:left w:w="108" w:type="dxa"/>
          <w:top w:w="0" w:type="dxa"/>
          <w:right w:w="108" w:type="dxa"/>
          <w:bottom w:w="0" w:type="dxa"/>
        </w:tblCellMar>
        <w:tblLook w:val="04A0" w:firstRow="1" w:lastRow="0" w:firstColumn="1" w:lastColumn="0" w:noHBand="0" w:noVBand="1"/>
      </w:tblPr>
      <w:tblGrid>
        <w:gridCol w:w="7202"/>
        <w:gridCol w:w="1043"/>
      </w:tblGrid>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外鼻部完全缺失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外鼻部大部分缺损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鼻尖及一侧鼻翼缺损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双侧鼻腔或鼻咽部闭锁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一侧鼻翼缺损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单侧鼻腔或鼻孔闭锁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口腔的结构损伤</w:t>
      </w:r>
      <w:r/>
    </w:p>
    <w:tbl>
      <w:tblPr>
        <w:tblStyle w:val="1031"/>
        <w:tblW w:w="8259" w:type="dxa"/>
        <w:tblInd w:w="-108" w:type="dxa"/>
        <w:tblLayout w:type="fixed"/>
        <w:tblCellMar>
          <w:left w:w="108" w:type="dxa"/>
          <w:top w:w="0" w:type="dxa"/>
          <w:right w:w="108" w:type="dxa"/>
          <w:bottom w:w="0" w:type="dxa"/>
        </w:tblCellMar>
        <w:tblLook w:val="04A0" w:firstRow="1" w:lastRow="0" w:firstColumn="1" w:lastColumn="0" w:noHBand="0" w:noVBand="1"/>
      </w:tblPr>
      <w:tblGrid>
        <w:gridCol w:w="7216"/>
        <w:gridCol w:w="1043"/>
      </w:tblGrid>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舌缺损大于全舌的2/3</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舌缺损大于全舌的1/3</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口腔损伤导致牙齿脱落大于等于16枚</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口腔损伤导致牙齿脱落大于等于8枚</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发声和言语的功能障碍</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本标准中的发声和言语的功能障碍是指语言功能丧失。</w:t>
      </w:r>
      <w:r/>
    </w:p>
    <w:tbl>
      <w:tblPr>
        <w:tblStyle w:val="1031"/>
        <w:tblW w:w="8273"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43"/>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语言功能完全丧失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6"/>
        <w:widowControl/>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zh-CN"/>
        </w:rPr>
        <w:t xml:space="preserve">注：语言功能完全丧失指构成语言的口唇音、齿舌音、口盖音和喉头音的四种语言功能中，有三种以上不能构声、或声带全部切除，或因大脑语言中枢受伤害而患失语症，并须有资格的耳鼻喉科医师出具医疗诊断证明，但不包括任何心理障碍引致的失语。</w:t>
      </w:r>
      <w:r/>
    </w:p>
    <w:p>
      <w:pPr>
        <w:pStyle w:val="1206"/>
        <w:numPr>
          <w:ilvl w:val="0"/>
          <w:numId w:val="5"/>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心血管，免疫和呼吸系统的结构和功能</w:t>
      </w:r>
      <w:r/>
    </w:p>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心脏的结构损伤或功能障碍</w:t>
      </w:r>
      <w:r/>
    </w:p>
    <w:tbl>
      <w:tblPr>
        <w:tblStyle w:val="1031"/>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胸部损伤导致心肺联合移植</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胸部损伤导致心脏贯通伤修补术后，心电图有明显改变</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胸部损伤导致心肌破裂修补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脾结构损伤</w:t>
      </w:r>
      <w:r/>
    </w:p>
    <w:tbl>
      <w:tblPr>
        <w:tblStyle w:val="1031"/>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腹部损伤导致脾部分切除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腹部损伤导致脾破裂修补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肺的结构损伤</w:t>
      </w:r>
      <w:r/>
    </w:p>
    <w:tbl>
      <w:tblPr>
        <w:tblStyle w:val="1031"/>
        <w:tblW w:w="82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胸部损伤导致一侧全肺切除</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胸部损伤导致双侧肺叶切除</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胸部损伤导致同侧双肺叶切除</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胸部损伤导致肺叶切除</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胸廓的结构损伤</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本标准中的胸廓的结构损伤是指肋骨骨折或缺失。</w:t>
      </w:r>
      <w:r/>
    </w:p>
    <w:tbl>
      <w:tblPr>
        <w:tblStyle w:val="1031"/>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71"/>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胸部损伤导致大于等于12根肋骨骨折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胸部损伤导致大于等于8根肋骨骨折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胸部损伤导致大于等于4根肋骨缺失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胸部损伤导致大于等于4根肋骨骨折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胸部损伤导致大于等于2根肋骨缺失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numPr>
          <w:ilvl w:val="0"/>
          <w:numId w:val="5"/>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消化、代谢和内分泌系统有关的结构和功能</w:t>
      </w:r>
      <w:r/>
    </w:p>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咀嚼和吞咽功能障碍</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咀嚼是指用后牙（如磨牙）碾、磨或咀嚼食物的功能。吞咽是指通过口腔、咽和食道把食物和饮料以适宜的频率和速度送入胃中的功能。</w:t>
      </w:r>
      <w:r/>
    </w:p>
    <w:tbl>
      <w:tblPr>
        <w:tblStyle w:val="1031"/>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ind w:firstLine="480"/>
              <w:widowControl/>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咀嚼、吞咽功能完全丧失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ind w:firstLine="480"/>
              <w:widowControl/>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注：咀嚼、吞咽功能丧失指由于牙齿以外的原因引起器质障碍或机能障碍，以致不能作咀嚼、吞咽运动，除流质食物外不能摄取或吞咽的状态。</w:t>
      </w:r>
      <w:r/>
    </w:p>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肠的结构损伤</w:t>
      </w:r>
      <w:r/>
    </w:p>
    <w:tbl>
      <w:tblPr>
        <w:tblStyle w:val="1031"/>
        <w:tblW w:w="83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8"/>
        <w:gridCol w:w="1088"/>
      </w:tblGrid>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腹部损伤导致小肠切除大于等于90%</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腹部损伤导致小肠切除大于等于75%，合并短肠综合症</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腹部损伤导致小肠切除大于等于75%</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腹部或骨盆部损伤导致全结肠、直肠、肛门结构切除，回肠造瘘</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腹部或骨盆部损伤导致直肠、肛门切除，且结肠部分切除，结肠造瘘</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腹部损伤导致小肠切除大于等于50%,且包括回盲部切除</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腹部损伤导致小肠切除大于等于50%</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腹部损伤导致结肠切除大于等于50%</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腹部损伤导致结肠部分切除</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骨盆部损伤导致直肠、肛门损伤，且遗留永久性乙状结肠造口</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骨盆部损伤导致直肠、肛门损伤，且瘢痕形成</w:t>
            </w:r>
            <w:r/>
          </w:p>
        </w:tc>
        <w:tc>
          <w:tcPr>
            <w:tcW w:w="1088"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胃结构损伤</w:t>
      </w:r>
      <w:r/>
    </w:p>
    <w:tbl>
      <w:tblPr>
        <w:tblStyle w:val="1031"/>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腹部损伤导致全胃切除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腹部损伤导致胃切除大于等于50%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胰结构损伤或代谢功能障碍</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本标准中的代谢功能障碍是指胰岛素依赖。</w:t>
      </w:r>
      <w:r/>
    </w:p>
    <w:tbl>
      <w:tblPr>
        <w:tblStyle w:val="1031"/>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腹部损伤导致胰完全切除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腹部损伤导致胰切除大于等于50%，且伴有胰岛素依赖</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腹部损伤导致胰头、十二指肠切除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肝结构损伤</w:t>
      </w:r>
      <w:r/>
    </w:p>
    <w:tbl>
      <w:tblPr>
        <w:tblStyle w:val="1031"/>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腹部损伤导致肝切除大于等于75%</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腹部损伤导致肝切除大于等于50%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腹部损伤导致肝部分切除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6"/>
        <w:numPr>
          <w:ilvl w:val="0"/>
          <w:numId w:val="5"/>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泌尿和生殖系统有关的结构和功能</w:t>
      </w:r>
      <w:r/>
    </w:p>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泌尿系统的结构损伤</w:t>
      </w:r>
      <w:r/>
    </w:p>
    <w:tbl>
      <w:tblPr>
        <w:tblStyle w:val="1031"/>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腹部损伤导致双侧肾切除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腹部损伤导致孤肾切除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骨盆部损伤导致双侧输尿管缺失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骨盆部损伤导致双侧输尿管闭锁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骨盆部损伤导致一侧输尿管缺失，另一侧输尿管闭锁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骨盆部损伤导致膀胱切除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骨盆部损伤导致尿道闭锁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骨盆部损伤导致一侧输尿管缺失，另一侧输尿管严重狭窄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骨盆部损伤导致一侧输尿管闭锁，另一侧输尿管严重狭窄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腹部损伤导致一侧肾切除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骨盆部损伤导致双侧输尿管严重狭窄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骨盆部损伤导致一侧输尿管缺失，另一侧输尿管狭窄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骨盆部损伤导致一侧输尿管闭锁，另一侧输尿管狭窄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腹部损伤导致一侧肾部分切除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骨盆部损伤导致尿道狭窄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骨盆部损伤导致膀胱部分切除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腹部损伤导致肾破裂修补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骨盆部损伤导致膀胱破裂修补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生殖系统的结构损伤</w:t>
      </w:r>
      <w:r/>
    </w:p>
    <w:tbl>
      <w:tblPr>
        <w:tblStyle w:val="1031"/>
        <w:tblW w:w="83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8"/>
        <w:gridCol w:w="1071"/>
      </w:tblGrid>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会阴部损伤导致双侧睾丸缺失</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会阴部损伤导致双侧睾丸完全萎缩</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会阴部损伤导致一侧睾丸缺失，另一侧睾丸完全萎缩</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会阴部损伤导致阴茎体完全缺失</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会阴部损伤导致阴道闭锁</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会阴部损伤导致阴茎体缺失大于50%</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会阴部损伤导致双侧输精管缺失</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会阴部损伤导致双侧输精管闭锁</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会阴部损伤导致一侧输精管缺失，另一侧输精管闭锁</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胸部损伤导致女性双侧乳房缺失</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骨盆部损伤导致子宫切除</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胸部损伤导致女性一侧乳房缺失，另一侧乳房部分缺失</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胸部损伤导致女性一侧乳房缺失</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骨盆部损伤导致子宫部分切除</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骨盆部损伤导致子宫破裂修补</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会阴部损伤导致一侧睾丸缺失</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会阴部损伤导致一侧睾丸完全萎缩</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会阴部损伤导致一侧输精管缺失</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W w:w="725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会阴部损伤导致一侧输精管闭锁</w:t>
            </w:r>
            <w:r/>
          </w:p>
        </w:tc>
        <w:tc>
          <w:tcPr>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numPr>
          <w:ilvl w:val="0"/>
          <w:numId w:val="5"/>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神经肌肉骨骼和运动有关的结构和功能</w:t>
      </w:r>
      <w:r/>
    </w:p>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头颈部的结构损伤</w:t>
      </w:r>
      <w:r/>
    </w:p>
    <w:tbl>
      <w:tblPr>
        <w:tblStyle w:val="1031"/>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71"/>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双侧上颌骨完全缺失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一侧上颌骨及对侧下颌骨完全缺失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同侧上、下颌骨完全缺失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上颌骨、下颌骨缺损，且牙齿脱落大于等于24枚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一侧上颌骨缺损大于等于50%，且口腔、颜面部软组织缺损大于20cm2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一侧下颌骨缺损大于等于6cm，且口腔、颜面部软组织缺损大于20cm2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面颊部洞穿性缺损大于20cm2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上颌骨、下颌骨缺损，且牙齿脱落大于等于20枚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一侧上颌骨缺损大于25%，小于50%，且口腔、颜面部软组织缺损大于10cm2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一侧下颌骨缺损大于等于4cm，且口腔、颜面部软组织缺损大于10cm2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一侧上颌骨缺损等于25%，且口腔、颜面部软组织缺损大于10cm2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面部软组织缺损大于20cm2，且伴发涎瘘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上颌骨、下颌骨缺损，且牙齿脱落大于等于16枚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上颌骨、下颌骨缺损，且牙齿脱落大于等于12枚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上颌骨、下颌骨缺损，且牙齿脱落大于等于8枚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上颌骨、下颌骨缺损，且牙齿脱落大于等于4枚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颅骨缺损大于等于6cm2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头颈部关节功能障碍</w:t>
      </w:r>
      <w:r/>
    </w:p>
    <w:tbl>
      <w:tblPr>
        <w:tblStyle w:val="1031"/>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088"/>
        <w:gridCol w:w="1213"/>
      </w:tblGrid>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单侧颞下颌关节强直，张口困难Ⅲ度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双侧颞下颌关节强直，张口困难Ⅲ度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双侧颞下颌关节强直，张口困难Ⅱ度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一侧颞下颌关节强直，张口困难I度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张口困难判定及测量方法是以患者自身的食指、中指、无名指并列垂直置入上、下中切牙切缘间测量。正常张口度指张口时上述三指可垂直置入上、下切牙切缘间（相当于4.5cm左右）；张口困难I度指大张口时，只能垂直置入食指和中指（相当于3cm左右）；张口困难II度指大张口时，只能垂直置入食指（相当于1.7cm左右）；张口困难Ⅲ度指大张口时，上、下切牙间距小于食指之横径。</w:t>
      </w:r>
      <w:r/>
    </w:p>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上肢的结构损伤，手功能或关节功能障碍</w:t>
      </w:r>
      <w:r/>
    </w:p>
    <w:tbl>
      <w:tblPr>
        <w:tblStyle w:val="1031"/>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088"/>
        <w:gridCol w:w="1213"/>
      </w:tblGrid>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双手完全缺失</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一手完全缺失，另一手完全丧失功能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双手缺失（或丧失功能）大于等于90%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双手缺失（或丧失功能）大于等于70%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双手缺失（或丧失功能）大于等于50%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一上肢三大关节中，有两个关节完全丧失功能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一上肢三大关节中，有一个关节完全丧失功能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双手缺失（或丧失功能）大于等于30%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双手缺失（或丧失功能）大于等于10%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双上肢长度相差大于等于10cm</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双上肢长度相差大于等于4cm</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一上肢三大关节中，因骨折累及关节面导致一个关节功能部分丧失</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手缺失和丧失功能的计算：一手拇指占一手功能的36%，其中末节和近节指节各占18%；食指、中指各占一手功能的18%，其中末节指节占8%，中节指节占7%，近节指节占3%；无名指和小指各占一手功能的9%，其中末节指节占4%，中节指节占3%，近节指节占2%。一手掌占一手功能的10%，其中第一掌骨占4%，第二、第三掌骨各占2%，第四、第五掌骨各占1%。本标准中，双手缺失或丧失功能的程度是按前面方式累加计算的结果。</w:t>
      </w:r>
      <w:r/>
    </w:p>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骨盆部的结构损伤</w:t>
      </w:r>
      <w:r/>
    </w:p>
    <w:tbl>
      <w:tblPr>
        <w:tblStyle w:val="1031"/>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骨盆环骨折，且两下肢相对长度相差大于等于8cm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髋臼骨折，且两下肢相对长度相差大于等于8cm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骨盆环骨折，且两下肢相对长度相差大于等于6cm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髋臼骨折，且两下肢相对长度相差大于等于6cm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骨盆环骨折，且两下肢相对长度相差大于等于4cm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髋臼骨折，且两下肢相对长度相差大于等于4cm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骨盆环骨折，且两下肢相对长度相差大于等于2cm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髋臼骨折，且两下肢相对长度相差大于等于2cm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下肢的结构损伤，足功能或关节功能障碍</w:t>
      </w:r>
      <w:r/>
    </w:p>
    <w:tbl>
      <w:tblPr>
        <w:tblStyle w:val="1031"/>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双足跗跖关节以上缺失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双下肢长度相差大于等于8cm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一下肢三大关节中，有两个关节完全丧失功能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双足足弓结构完全破坏</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一足跗跖关节以上缺失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双下肢长度相差大于等于6cm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90"/>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一足足弓结构完全破坏，另一足足弓结构破坏大于等于1/3</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双足十趾完全缺失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一下肢三大关节中，有一个关节完全丧失功能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双足十趾完全丧失功能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双下肢长度相差大于等于4cm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一足足弓结构完全破坏</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双足十趾中，大于等于五趾缺失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一足五趾完全丧失功能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一足足弓结构破坏大于等于1/3</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双足十趾中，大于等于两趾缺失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双下肢长度相差大于等于2cm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一下肢三大关节中，因骨折累及关节面导致一个关节功能部分丧失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注：①足弓结构破坏：指意外损伤导致的足弓缺失或丧失功能。</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②足弓结构完全破坏指足的内、外侧纵弓和横弓结构完全破坏，包括缺失和丧失功能；足弓1/3结构破坏指足三弓的任一弓的结构破坏。</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③足趾缺失：指自趾关节以上完全切断。</w:t>
      </w:r>
      <w:r/>
    </w:p>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四肢的结构损伤，肢体功能或关节功能障碍</w:t>
      </w:r>
      <w:r/>
    </w:p>
    <w:tbl>
      <w:tblPr>
        <w:tblStyle w:val="1031"/>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385"/>
        <w:gridCol w:w="930"/>
      </w:tblGrid>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三肢以上缺失(上肢在腕关节以上,下肢在踝关节以上)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三肢以上完全丧失功能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二肢缺失（上肢在腕关节以上，下肢在踝关节以上），且第三肢完全丧失功能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一肢缺失（上肢在腕关节以上，下肢在踝关节以上），且另二肢完全丧失功能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二肢缺失(上肢在肘关节以上，下肢在膝关节以上)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一肢缺失（上肢在肘关节以上，下肢在膝关节以上），且另一肢完全丧失功能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二肢完全丧失功能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一肢缺失（上肢在腕关节以上，下肢在踝关节以上），且另一肢完全丧失功能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二肢缺失(上肢在腕关节以上，下肢在踝关节以上)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两上肢、或两下肢、或一上肢及一下肢，各有三大关节中的两个关节完全丧失功能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一肢缺失(上肢在肘关节以上，下肢在膝关节以上)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四肢长骨一骺板以上粉碎性骨折</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注：①骺板：骺板的定义只适用于儿童，四肢长骨骺板骨折可能影响肢体发育，如果存在肢体发育障碍的，应当另行评定伤残等级。</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②肢体丧失功能指意外损伤导致肢体三大关节（上肢腕关节、肘关节、肩关节或下肢踝关节、膝关节、髋关节）功能的丧失。</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③关节功能的丧失指关节永久完全僵硬、或麻痹、或关节不能随意识活动。</w:t>
      </w:r>
      <w:r/>
    </w:p>
    <w:p>
      <w:pPr>
        <w:pStyle w:val="1206"/>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脊柱结构损伤和关节活动功能障碍</w:t>
      </w:r>
      <w:r/>
    </w:p>
    <w:p>
      <w:pPr>
        <w:pStyle w:val="1206"/>
        <w:ind w:firstLine="480"/>
        <w:jc w:val="left"/>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本标准中的脊柱结构损伤是指颈椎或腰椎的骨折脱位，本标准中的关节活动功能障碍是指颈部或腰部活动度丧失。</w:t>
      </w:r>
      <w:r/>
    </w:p>
    <w:tbl>
      <w:tblPr>
        <w:tblStyle w:val="1031"/>
        <w:tblW w:w="8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6"/>
        <w:gridCol w:w="902"/>
      </w:tblGrid>
      <w:tr>
        <w:trPr>
          <w:trHeight w:val="284"/>
        </w:trPr>
        <w:tc>
          <w:tcPr>
            <w:tcW w:w="7386"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脊柱骨折脱位导致颈椎或腰椎畸形愈合，且颈部或腰部活动度丧失大于等于75%</w:t>
            </w:r>
            <w:r/>
          </w:p>
        </w:tc>
        <w:tc>
          <w:tcPr>
            <w:tcW w:w="90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386"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脊柱骨折脱位导致颈椎或腰椎畸形愈合，且颈部或腰部活动度丧失大于等于50%</w:t>
            </w:r>
            <w:r/>
          </w:p>
        </w:tc>
        <w:tc>
          <w:tcPr>
            <w:tcW w:w="90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W w:w="7386"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脊柱骨折脱位导致颈椎或腰椎畸形愈合，且颈部或腰部活动度丧失大于等于25%</w:t>
            </w:r>
            <w:r/>
          </w:p>
        </w:tc>
        <w:tc>
          <w:tcPr>
            <w:tcW w:w="902"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6"/>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肌肉力量功能障碍</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肌肉力量功能是指与肌肉或肌群收缩产生力量有关的功能。本标准中的肌肉力量功能障碍是指四肢瘫、偏瘫、截瘫或单瘫。</w:t>
      </w:r>
      <w:r/>
    </w:p>
    <w:tbl>
      <w:tblPr>
        <w:tblStyle w:val="1031"/>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四肢瘫（三肢以上肌力小于等于3级)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截瘫(肌力小于等于2级)且大便和小便失禁</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四肢瘫（二肢以上肌力小于等于2级)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四肢瘫（二肢以上肌力小于等于3级)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四肢瘫（二肢以上肌力小于等于4级)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偏瘫（一肢肌力小于等于2级)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截瘫（一肢肌力小于等于2级)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偏瘫（一肢肌力小于等于3级)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截瘫（一肢肌力小于等于3级)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偏瘫（一肢肌力小于等于4级)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截瘫（一肢肌力小于等于4级)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单瘫（肌力小于等于4级)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注：①偏瘫指一侧上下肢的瘫痪。</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②截瘫指脊髓损伤后，受伤平面以下双侧肢体感觉、运动、反射等消失和膀胱、肛门括约肌功能丧失的病症。</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③单瘫指一个肢体或肢体的某一部分瘫痪。</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④肌力：为判断肢体瘫痪程度，将肌力分级划分为0-5级。</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0级：肌肉完全瘫痪，毫无收缩。</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1级：可看到或触及肌肉轻微收缩，但不能产生动作。</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2级：肌肉在不受重力影响下，可进行运动，即肢体能在床面上移动，但不能抬高。</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3级：在和地心引力相反的方向中尚能完成其动作，但不能对抗外加的阻力。</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4级：能对抗一定的阻力，但较正常人为低。</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2"/>
          <w:szCs w:val="22"/>
          <w:highlight w:val="none"/>
          <w:lang w:val="zh-CN"/>
        </w:rPr>
        <w:t xml:space="preserve">5级：正常肌力。</w:t>
      </w:r>
      <w:r/>
    </w:p>
    <w:p>
      <w:pPr>
        <w:pStyle w:val="1206"/>
        <w:numPr>
          <w:ilvl w:val="0"/>
          <w:numId w:val="5"/>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皮肤和有关的结构和功能</w:t>
      </w:r>
      <w:r/>
    </w:p>
    <w:p>
      <w:pPr>
        <w:pStyle w:val="1206"/>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头颈部皮肤结构损伤和修复功能障碍</w:t>
      </w:r>
      <w:r/>
    </w:p>
    <w:p>
      <w:pPr>
        <w:pStyle w:val="1206"/>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皮肤的修复功能是指修复皮肤破损和其他损伤的功能。本标准中的皮肤修复功能障碍是指瘢痕形成。</w:t>
      </w:r>
      <w:r/>
    </w:p>
    <w:tbl>
      <w:tblPr>
        <w:tblStyle w:val="1031"/>
        <w:tblW w:w="8288" w:type="dxa"/>
        <w:tblInd w:w="-108" w:type="dxa"/>
        <w:tblLayout w:type="fixed"/>
        <w:tblCellMar>
          <w:left w:w="108" w:type="dxa"/>
          <w:top w:w="0" w:type="dxa"/>
          <w:right w:w="108" w:type="dxa"/>
          <w:bottom w:w="0" w:type="dxa"/>
        </w:tblCellMar>
        <w:tblLook w:val="04A0" w:firstRow="1" w:lastRow="0" w:firstColumn="1" w:lastColumn="0" w:noHBand="0" w:noVBand="1"/>
      </w:tblPr>
      <w:tblGrid>
        <w:gridCol w:w="7323"/>
        <w:gridCol w:w="965"/>
      </w:tblGrid>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头颈部Ⅲ度烧伤，面积大于等于全身体表面积的8%</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面部皮肤损伤导致瘢痕形成，且瘢痕面积大于等于面部皮肤面积的90%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颈部皮肤损伤导致瘢痕形成，颈部活动度完全丧失</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面部皮肤损伤导致瘢痕形成，且瘢痕面积大于等于面部皮肤面积的80%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颈部皮肤损伤导致瘢痕形成，颈部活动度丧失大于等于75%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面部皮肤损伤导致瘢痕形成，且瘢痕面积大于等于面部皮肤面积的60%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头颈部Ⅲ度烧伤，面积大于等于全身体表面积的5%，且小于8%</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颈部皮肤损伤导致瘢痕形成，颈部活动度丧失大于等于50%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面部皮肤损伤导致瘢痕形成，且瘢痕面积大于等于面部皮肤面积的40%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面部皮肤损伤导致瘢痕形成，且瘢痕面积大于等于面部皮肤面积的20%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头部撕脱伤后导致头皮缺失，面积大于等于头皮面积的20%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颈部皮肤损伤导致颈前三角区瘢痕形成，且瘢痕面积大于等于颈前三角区面积的75%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面部皮肤损伤导致瘢痕形成，且瘢痕面积大于等于24cm2</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头颈部Ⅲ度烧伤，面积大于等于全身体表面积的2%，且小于5%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颈部皮肤损伤导致颈前三角区瘢痕形成，且瘢痕面积大于等于颈前三角区面积的50%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面部皮肤损伤导致瘢痕形成，且瘢痕面积大于等于18cm2</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面部皮肤损伤导致瘢痕形成，且瘢痕面积大于等于12cm2或面部线条状瘢痕大于等于20cm</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面部皮肤损伤导致瘢痕形成，且瘢痕面积大于等于6cm2或面部线条状瘢痕大于等于10cm</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注：①瘢痕：指创面愈合后的增生性瘢痕，不包括皮肤平整、无明显质地改变的萎缩性瘢痕或疤痕。</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面部的范围和瘢痕面积的计算：面部的范围指上至发际、下至下颌下缘、两侧至下颌支后缘之间的区域，包括额部、眼部、眶部、鼻部、口唇部、颏部、颧部、颊部和腮腺咬肌部。面部瘢痕面积的计算采用全面部和5等分面部以及实测瘢痕面积的方法，分别计算瘢痕面积。面部多处瘢痕，其面积可以累加计算。</w:t>
      </w:r>
      <w:r/>
    </w:p>
    <w:p>
      <w:pPr>
        <w:pStyle w:val="1206"/>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③颈前三角区：两边为胸锁乳突肌前缘，底为舌骨体上缘及下颌骨下缘。</w:t>
      </w:r>
      <w:r/>
    </w:p>
    <w:p>
      <w:pPr>
        <w:pStyle w:val="1206"/>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各部位皮肤结构损伤和修复功能障碍</w:t>
      </w:r>
      <w:r/>
    </w:p>
    <w:tbl>
      <w:tblPr>
        <w:tblStyle w:val="1031"/>
        <w:tblW w:w="8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5"/>
        <w:gridCol w:w="1043"/>
      </w:tblGrid>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皮肤损伤导致瘢痕形成，且瘢痕面积大于等于全身体表面积的90%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躯干及四肢Ⅲ度烧伤，面积大于等于全身皮肤面积的60%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皮肤损伤导致瘢痕形成，且瘢痕面积大于等于全身体表面积的80%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皮肤损伤导致瘢痕形成，且瘢痕面积大于等于全身体表面积的70%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躯干及四肢Ⅲ度烧伤，面积大于等于全身皮肤面积的40%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皮肤损伤导致瘢痕形成，且瘢痕面积大于等于全身体表面积的60%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皮肤损伤导致瘢痕形成，且瘢痕面积大于等于全身体表面积的50%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躯干及四肢Ⅲ度烧伤，面积大于等于全身皮肤面积的20%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皮肤损伤导致瘢痕形成，且瘢痕面积大于等于全身体表面积的40%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腹部损伤导致腹壁缺损面积大于等于腹壁面积的25%</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皮肤损伤导致瘢痕形成，且瘢痕面积大于等于全身体表面积的30%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躯干及四肢Ⅲ度烧伤，面积大于等于全身皮肤面积的10%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皮肤损伤导致瘢痕形成，且瘢痕面积大于等于全身体表面积的20%</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W w:w="7245" w:type="dxa"/>
            <w:vAlign w:val="center"/>
            <w:textDirection w:val="lrTb"/>
            <w:noWrap w:val="false"/>
          </w:tcPr>
          <w:p>
            <w:pPr>
              <w:pStyle w:val="1206"/>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皮肤损伤导致瘢痕形成，且瘢痕面积大于等于全身体表面积的5%</w:t>
            </w:r>
            <w:r/>
          </w:p>
        </w:tc>
        <w:tc>
          <w:tcPr>
            <w:tcW w:w="1043" w:type="dxa"/>
            <w:vAlign w:val="center"/>
            <w:textDirection w:val="lrTb"/>
            <w:noWrap w:val="false"/>
          </w:tcPr>
          <w:p>
            <w:pPr>
              <w:pStyle w:val="1206"/>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6"/>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全身皮肤瘢痕面积的计算：按皮肤瘢痕面积占全身体表面积的百分数来计算，即中国新九分法：在100%的体表总面积中：头颈部占9%（9×1）（头部、面部、颈部各占3%）；双上肢占18%（9×2）（双上臂7%，双前臂6%，双手5%）；躯干前后包括会阴占27%（9×3）（前躯13%，后躯13%，会阴1%）；双下肢（含臀部）占46%（双臀5%，双大腿21%，双小腿13%，双足7%）（9×5+1）（女性双足和臀各占6%）。</w:t>
      </w:r>
      <w:r/>
    </w:p>
    <w:p>
      <w:pPr>
        <w:pStyle w:val="1206"/>
        <w:ind w:firstLine="480"/>
        <w:widowControl/>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zh-CN"/>
        </w:rPr>
        <w:t xml:space="preserve">②烧伤面积和烧伤深度：烧伤面积的计算按中国新九分法，烧伤深度按三度四分法。Ⅲ度烧伤指烧伤深达皮肤全层甚至达到皮下、肌肉和骨骼。烧伤事故不包括冻伤、吸入性损伤（又称呼吸道烧伤）和电击伤。烧伤后按烧伤面积、深度评定伤残等级，待医疗终结后，可以依据造成的功能障碍程度、皮肤瘢痕面积大小评定伤残等级，最终的伤残等级以严重者为准。</w:t>
      </w:r>
      <w:r/>
    </w:p>
    <w:p>
      <w:pPr>
        <w:pStyle w:val="1207"/>
        <w:numPr>
          <w:ilvl w:val="0"/>
          <w:numId w:val="0"/>
        </w:numPr>
        <w:rPr>
          <w:rFonts w:hint="default" w:ascii="Times New Roman" w:hAnsi="Times New Roman" w:cs="Times New Roman"/>
          <w:highlight w:val="none"/>
        </w:rPr>
      </w:pPr>
      <w:r>
        <w:rPr>
          <w:rFonts w:hint="default" w:ascii="Times New Roman" w:hAnsi="Times New Roman" w:cs="Times New Roman"/>
          <w:highlight w:val="none"/>
        </w:rPr>
      </w:r>
      <w:r/>
    </w:p>
    <w:p>
      <w:pPr>
        <w:pStyle w:val="1206"/>
        <w:rPr>
          <w:rFonts w:hint="default" w:ascii="Times New Roman" w:hAnsi="Times New Roman" w:cs="Times New Roman"/>
          <w:highlight w:val="none"/>
        </w:rPr>
      </w:pPr>
      <w:r>
        <w:rPr>
          <w:rFonts w:hint="default" w:ascii="Times New Roman" w:hAnsi="Times New Roman" w:cs="Times New Roman"/>
          <w:highlight w:val="none"/>
        </w:rPr>
      </w:r>
      <w:r/>
    </w:p>
    <w:p>
      <w:pPr>
        <w:pStyle w:val="1207"/>
        <w:rPr>
          <w:rFonts w:hint="default" w:ascii="Times New Roman" w:hAnsi="Times New Roman" w:cs="Times New Roman"/>
          <w:highlight w:val="none"/>
        </w:rPr>
      </w:pPr>
      <w:r>
        <w:rPr>
          <w:rFonts w:hint="default" w:ascii="Times New Roman" w:hAnsi="Times New Roman" w:cs="Times New Roman"/>
          <w:highlight w:val="none"/>
        </w:rPr>
      </w:r>
      <w:r/>
    </w:p>
    <w:p>
      <w:pPr>
        <w:pStyle w:val="1206"/>
        <w:rPr>
          <w:rFonts w:hint="default" w:ascii="Times New Roman" w:hAnsi="Times New Roman" w:cs="Times New Roman"/>
          <w:highlight w:val="none"/>
        </w:rPr>
      </w:pPr>
      <w:r>
        <w:rPr>
          <w:rFonts w:hint="default" w:ascii="Times New Roman" w:hAnsi="Times New Roman" w:cs="Times New Roman"/>
          <w:highlight w:val="none"/>
        </w:rPr>
      </w:r>
      <w:r/>
    </w:p>
    <w:p>
      <w:pPr>
        <w:pStyle w:val="1207"/>
        <w:rPr>
          <w:rFonts w:hint="default" w:ascii="Times New Roman" w:hAnsi="Times New Roman" w:cs="Times New Roman"/>
          <w:highlight w:val="none"/>
        </w:rPr>
      </w:pPr>
      <w:r>
        <w:rPr>
          <w:rFonts w:hint="default" w:ascii="Times New Roman" w:hAnsi="Times New Roman" w:cs="Times New Roman"/>
          <w:highlight w:val="none"/>
        </w:rPr>
      </w:r>
      <w:r/>
    </w:p>
    <w:p>
      <w:pPr>
        <w:pStyle w:val="1206"/>
        <w:rPr>
          <w:rFonts w:hint="default" w:ascii="Times New Roman" w:hAnsi="Times New Roman" w:cs="Times New Roman"/>
          <w:highlight w:val="none"/>
        </w:rPr>
      </w:pPr>
      <w:r>
        <w:rPr>
          <w:rFonts w:hint="default" w:ascii="Times New Roman" w:hAnsi="Times New Roman" w:cs="Times New Roman"/>
          <w:highlight w:val="none"/>
        </w:rPr>
      </w:r>
      <w:r/>
    </w:p>
    <w:p>
      <w:pPr>
        <w:pStyle w:val="1207"/>
        <w:rPr>
          <w:rFonts w:hint="default" w:ascii="Times New Roman" w:hAnsi="Times New Roman" w:cs="Times New Roman"/>
          <w:highlight w:val="none"/>
        </w:rPr>
      </w:pPr>
      <w:r>
        <w:rPr>
          <w:rFonts w:hint="default" w:ascii="Times New Roman" w:hAnsi="Times New Roman" w:cs="Times New Roman"/>
          <w:highlight w:val="none"/>
        </w:rPr>
      </w:r>
      <w:r/>
    </w:p>
    <w:p>
      <w:pPr>
        <w:pStyle w:val="1206"/>
        <w:rPr>
          <w:rFonts w:hint="default" w:ascii="Times New Roman" w:hAnsi="Times New Roman" w:cs="Times New Roman"/>
          <w:highlight w:val="none"/>
        </w:rPr>
      </w:pPr>
      <w:r>
        <w:rPr>
          <w:rFonts w:hint="default" w:ascii="Times New Roman" w:hAnsi="Times New Roman" w:cs="Times New Roman"/>
          <w:highlight w:val="none"/>
        </w:rPr>
      </w:r>
      <w:r/>
    </w:p>
    <w:p>
      <w:pPr>
        <w:pStyle w:val="1207"/>
        <w:rPr>
          <w:rFonts w:hint="default" w:ascii="Times New Roman" w:hAnsi="Times New Roman" w:cs="Times New Roman"/>
          <w:highlight w:val="none"/>
        </w:rPr>
      </w:pPr>
      <w:r>
        <w:rPr>
          <w:rFonts w:hint="default" w:ascii="Times New Roman" w:hAnsi="Times New Roman" w:cs="Times New Roman"/>
          <w:highlight w:val="none"/>
        </w:rPr>
      </w:r>
      <w:r/>
    </w:p>
    <w:p>
      <w:pPr>
        <w:pStyle w:val="1206"/>
        <w:rPr>
          <w:rFonts w:hint="default" w:ascii="Times New Roman" w:hAnsi="Times New Roman" w:cs="Times New Roman"/>
          <w:highlight w:val="none"/>
        </w:rPr>
      </w:pPr>
      <w:r>
        <w:rPr>
          <w:rFonts w:hint="default" w:ascii="Times New Roman" w:hAnsi="Times New Roman" w:cs="Times New Roman"/>
          <w:highlight w:val="none"/>
        </w:rPr>
      </w:r>
      <w:r/>
    </w:p>
    <w:p>
      <w:pPr>
        <w:pStyle w:val="1207"/>
        <w:rPr>
          <w:rFonts w:hint="default" w:ascii="Times New Roman" w:hAnsi="Times New Roman" w:cs="Times New Roman"/>
          <w:highlight w:val="none"/>
        </w:rPr>
      </w:pPr>
      <w:r>
        <w:rPr>
          <w:rFonts w:hint="default" w:ascii="Times New Roman" w:hAnsi="Times New Roman" w:cs="Times New Roman"/>
          <w:highlight w:val="none"/>
        </w:rPr>
      </w:r>
      <w:r/>
    </w:p>
    <w:p>
      <w:pPr>
        <w:pStyle w:val="1206"/>
        <w:rPr>
          <w:rFonts w:hint="default" w:ascii="Times New Roman" w:hAnsi="Times New Roman" w:cs="Times New Roman"/>
          <w:highlight w:val="none"/>
        </w:rPr>
      </w:pPr>
      <w:r>
        <w:rPr>
          <w:rFonts w:hint="default" w:ascii="Times New Roman" w:hAnsi="Times New Roman" w:cs="Times New Roman"/>
          <w:highlight w:val="none"/>
        </w:rPr>
      </w:r>
      <w:r/>
    </w:p>
    <w:p>
      <w:pPr>
        <w:pStyle w:val="1207"/>
        <w:rPr>
          <w:rFonts w:hint="default" w:ascii="Times New Roman" w:hAnsi="Times New Roman" w:cs="Times New Roman"/>
          <w:highlight w:val="none"/>
        </w:rPr>
      </w:pPr>
      <w:r>
        <w:rPr>
          <w:rFonts w:hint="default" w:ascii="Times New Roman" w:hAnsi="Times New Roman" w:cs="Times New Roman"/>
          <w:highlight w:val="none"/>
        </w:rPr>
      </w:r>
      <w:r/>
    </w:p>
    <w:p>
      <w:pPr>
        <w:ind w:firstLine="480"/>
        <w:rPr>
          <w:rFonts w:hint="default" w:ascii="Times New Roman" w:hAnsi="Times New Roman" w:eastAsia="仿宋_GB2312" w:cs="Times New Roman"/>
          <w:color w:val="000000" w:themeColor="text1"/>
          <w:sz w:val="28"/>
          <w:szCs w:val="28"/>
          <w:highlight w:val="none"/>
          <w14:textFill>
            <w14:solidFill>
              <w14:schemeClr w14:val="tx1"/>
            </w14:solidFill>
          </w14:textFill>
        </w:rPr>
      </w:pPr>
      <w:r>
        <w:rPr>
          <w:rFonts w:hint="default" w:ascii="Times New Roman" w:hAnsi="Times New Roman" w:eastAsia="仿宋_GB2312" w:cs="Times New Roman"/>
          <w:color w:val="000000" w:themeColor="text1"/>
          <w:sz w:val="28"/>
          <w:szCs w:val="28"/>
          <w:highlight w:val="none"/>
          <w14:textFill>
            <w14:solidFill>
              <w14:schemeClr w14:val="tx1"/>
            </w14:solidFill>
          </w14:textFill>
        </w:rPr>
      </w:r>
      <w:r/>
    </w:p>
    <w:p>
      <w:pPr>
        <w:jc w:val="center"/>
        <w:spacing w:line="520" w:lineRule="exact"/>
        <w:rPr>
          <w:rStyle w:val="1213"/>
          <w:rFonts w:hint="default" w:ascii="Times New Roman" w:hAnsi="Times New Roman" w:eastAsia="方正小标宋_GBK" w:cs="Times New Roman"/>
          <w:b w:val="0"/>
          <w:bCs w:val="0"/>
          <w:highlight w:val="none"/>
        </w:rPr>
        <w:outlineLvl w:val="0"/>
      </w:pPr>
      <w:r>
        <w:rPr>
          <w:rFonts w:hint="default" w:ascii="Times New Roman" w:hAnsi="Times New Roman" w:eastAsia="仿宋" w:cs="Times New Roman"/>
          <w:sz w:val="28"/>
          <w:szCs w:val="28"/>
          <w:highlight w:val="none"/>
        </w:rPr>
        <w:br w:type="page" w:clear="all"/>
      </w:r>
      <w:bookmarkStart w:id="194" w:name="_Toc9736"/>
      <w:r/>
      <w:bookmarkStart w:id="195" w:name="_Toc26408"/>
      <w:r/>
      <w:bookmarkStart w:id="196" w:name="_Toc522790136"/>
      <w:r/>
      <w:bookmarkStart w:id="197" w:name="_Toc14003"/>
      <w:r>
        <w:rPr>
          <w:rStyle w:val="1213"/>
          <w:rFonts w:hint="default" w:ascii="Times New Roman" w:hAnsi="Times New Roman" w:eastAsia="方正小标宋_GBK" w:cs="Times New Roman"/>
          <w:b w:val="0"/>
          <w:bCs w:val="0"/>
          <w:highlight w:val="none"/>
        </w:rPr>
        <w:t xml:space="preserve">第七章  投标文件相关格式</w:t>
      </w:r>
      <w:bookmarkEnd w:id="194"/>
      <w:r/>
      <w:bookmarkEnd w:id="195"/>
      <w:r/>
      <w:bookmarkEnd w:id="196"/>
      <w:r/>
      <w:bookmarkEnd w:id="197"/>
      <w:r/>
      <w:r/>
    </w:p>
    <w:p>
      <w:pPr>
        <w:jc w:val="left"/>
        <w:spacing w:line="240" w:lineRule="auto"/>
        <w:rPr>
          <w:rFonts w:hint="default" w:ascii="Times New Roman" w:hAnsi="Times New Roman" w:eastAsia="黑体" w:cs="Times New Roman"/>
          <w:sz w:val="32"/>
          <w:szCs w:val="32"/>
          <w:highlight w:val="none"/>
          <w:lang w:val="en-US" w:eastAsia="zh-CN"/>
        </w:rPr>
      </w:pPr>
      <w:r>
        <w:rPr>
          <w:rFonts w:hint="default" w:ascii="Times New Roman" w:hAnsi="Times New Roman" w:eastAsia="黑体" w:cs="Times New Roman"/>
          <w:sz w:val="32"/>
          <w:szCs w:val="32"/>
          <w:highlight w:val="none"/>
          <w:lang w:val="en-US" w:eastAsia="zh-CN"/>
        </w:rPr>
      </w:r>
      <w:r/>
    </w:p>
    <w:p>
      <w:pPr>
        <w:jc w:val="center"/>
        <w:spacing w:line="240" w:lineRule="auto"/>
        <w:rPr>
          <w:rFonts w:hint="default" w:ascii="Times New Roman" w:hAnsi="Times New Roman" w:eastAsia="仿宋_GB2312" w:cs="Times New Roman"/>
          <w:b/>
          <w:bCs/>
          <w:sz w:val="28"/>
          <w:szCs w:val="28"/>
          <w:highlight w:val="none"/>
          <w:lang w:val="en-US" w:eastAsia="zh-CN"/>
        </w:rPr>
      </w:pPr>
      <w:r>
        <w:rPr>
          <w:rFonts w:hint="default" w:ascii="Times New Roman" w:hAnsi="Times New Roman" w:eastAsia="仿宋_GB2312" w:cs="Times New Roman"/>
          <w:b/>
          <w:bCs/>
          <w:sz w:val="28"/>
          <w:szCs w:val="28"/>
          <w:highlight w:val="none"/>
          <w:lang w:val="en-US" w:eastAsia="zh-CN"/>
        </w:rPr>
        <w:t xml:space="preserve">目</w:t>
      </w:r>
      <w:r>
        <w:rPr>
          <w:rFonts w:hint="eastAsia" w:eastAsia="仿宋_GB2312" w:cs="Times New Roman"/>
          <w:b/>
          <w:bCs/>
          <w:sz w:val="28"/>
          <w:szCs w:val="28"/>
          <w:highlight w:val="none"/>
          <w:lang w:val="en-US" w:eastAsia="zh-CN"/>
        </w:rPr>
        <w:t xml:space="preserve"> </w:t>
      </w:r>
      <w:r>
        <w:rPr>
          <w:rFonts w:hint="default" w:ascii="Times New Roman" w:hAnsi="Times New Roman" w:eastAsia="仿宋_GB2312" w:cs="Times New Roman"/>
          <w:b/>
          <w:bCs/>
          <w:sz w:val="28"/>
          <w:szCs w:val="28"/>
          <w:highlight w:val="none"/>
          <w:lang w:val="en-US" w:eastAsia="zh-CN"/>
        </w:rPr>
        <w:t xml:space="preserve">录</w:t>
      </w:r>
      <w:r/>
    </w:p>
    <w:p>
      <w:pPr>
        <w:jc w:val="center"/>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r>
      <w:r/>
    </w:p>
    <w:p>
      <w:pPr>
        <w:numPr>
          <w:ilvl w:val="0"/>
          <w:numId w:val="6"/>
        </w:numPr>
        <w:jc w:val="left"/>
        <w:spacing w:line="240" w:lineRule="auto"/>
        <w:rPr>
          <w:rFonts w:hint="default" w:ascii="Times New Roman" w:hAnsi="Times New Roman" w:eastAsia="仿宋_GB2312" w:cs="Times New Roman"/>
          <w:sz w:val="28"/>
          <w:szCs w:val="28"/>
          <w:highlight w:val="none"/>
          <w:lang w:eastAsia="zh-CN"/>
        </w:rPr>
      </w:pPr>
      <w:r>
        <w:rPr>
          <w:rFonts w:hint="default" w:ascii="Times New Roman" w:hAnsi="Times New Roman" w:eastAsia="仿宋_GB2312" w:cs="Times New Roman"/>
          <w:sz w:val="28"/>
          <w:szCs w:val="28"/>
          <w:highlight w:val="none"/>
        </w:rPr>
        <w:t xml:space="preserve">投标函</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lang w:val="en-US" w:eastAsia="zh-CN"/>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开标一览表</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分项价格表</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偏离表</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eastAsia="zh-CN"/>
        </w:rPr>
        <w:t xml:space="preserve">法定代表人/负责人</w:t>
      </w:r>
      <w:r>
        <w:rPr>
          <w:rFonts w:hint="default" w:ascii="Times New Roman" w:hAnsi="Times New Roman" w:eastAsia="仿宋_GB2312" w:cs="Times New Roman"/>
          <w:sz w:val="28"/>
          <w:szCs w:val="28"/>
          <w:highlight w:val="none"/>
        </w:rPr>
        <w:t xml:space="preserve">授权书</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中小企业声明函</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残疾人福利性单位声明函</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投标人参加政府采购活动前3年内在经营活动中没有重大违法记录的书面声明</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具备履行合同所必需的设备和专业技术能力的书面声明</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投标人相关承诺</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投标人书面声明</w:t>
      </w:r>
      <w:r/>
    </w:p>
    <w:p>
      <w:pPr>
        <w:numPr>
          <w:ilvl w:val="0"/>
          <w:numId w:val="6"/>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预付款保函支付条款模板</w:t>
      </w:r>
      <w:r/>
    </w:p>
    <w:p>
      <w:pPr>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br w:type="page" w:clear="all"/>
      </w:r>
      <w:r/>
    </w:p>
    <w:p>
      <w:pPr>
        <w:jc w:val="center"/>
        <w:spacing w:line="240" w:lineRule="auto"/>
        <w:rPr>
          <w:rFonts w:hint="default" w:ascii="Times New Roman" w:hAnsi="Times New Roman" w:eastAsia="仿宋_GB2312" w:cs="Times New Roman"/>
          <w:b/>
          <w:bCs/>
          <w:sz w:val="32"/>
          <w:szCs w:val="32"/>
          <w:highlight w:val="none"/>
          <w:lang w:val="en-US" w:eastAsia="zh-CN"/>
        </w:rPr>
      </w:pPr>
      <w:r>
        <w:rPr>
          <w:rFonts w:hint="default" w:ascii="Times New Roman" w:hAnsi="Times New Roman" w:eastAsia="仿宋_GB2312" w:cs="Times New Roman"/>
          <w:b/>
          <w:bCs/>
          <w:sz w:val="32"/>
          <w:szCs w:val="32"/>
          <w:highlight w:val="none"/>
        </w:rPr>
        <w:t xml:space="preserve">一、投标函</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lang w:val="en-US" w:eastAsia="zh-CN"/>
        </w:rPr>
        <w:t xml:space="preserve">格式</w:t>
      </w:r>
      <w:r>
        <w:rPr>
          <w:rFonts w:hint="default" w:ascii="Times New Roman" w:hAnsi="Times New Roman" w:eastAsia="仿宋_GB2312" w:cs="Times New Roman"/>
          <w:b/>
          <w:bCs/>
          <w:sz w:val="32"/>
          <w:szCs w:val="32"/>
          <w:highlight w:val="none"/>
          <w:lang w:eastAsia="zh-CN"/>
        </w:rPr>
        <w:t xml:space="preserve">）</w:t>
      </w:r>
      <w:r/>
    </w:p>
    <w:p>
      <w:pPr>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240" w:lineRule="auto"/>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rPr>
        <w:t xml:space="preserve">致：</w:t>
      </w:r>
      <w:r>
        <w:rPr>
          <w:rFonts w:hint="default" w:ascii="Times New Roman" w:hAnsi="Times New Roman" w:eastAsia="仿宋_GB2312" w:cs="Times New Roman"/>
          <w:sz w:val="30"/>
          <w:szCs w:val="30"/>
          <w:highlight w:val="none"/>
          <w:u w:val="single"/>
          <w:lang w:eastAsia="zh-CN"/>
        </w:rPr>
        <w:t xml:space="preserve">江苏盛瑞保险经纪有限公司</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根据</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u w:val="single"/>
          <w:lang w:val="en-US" w:eastAsia="zh-CN"/>
        </w:rPr>
        <w:t xml:space="preserve">徐州市残疾人团体专属保险</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项目[项目编号：</w:t>
      </w:r>
      <w:r>
        <w:rPr>
          <w:rFonts w:hint="default" w:ascii="Times New Roman" w:hAnsi="Times New Roman" w:eastAsia="仿宋_GB2312" w:cs="Times New Roman"/>
          <w:sz w:val="30"/>
          <w:szCs w:val="30"/>
          <w:highlight w:val="none"/>
          <w:lang w:eastAsia="zh-CN"/>
        </w:rPr>
        <w:t xml:space="preserve">JSZC-320300-SRJJ-G2026-0001</w:t>
      </w:r>
      <w:r>
        <w:rPr>
          <w:rFonts w:hint="default" w:ascii="Times New Roman" w:hAnsi="Times New Roman" w:eastAsia="仿宋_GB2312" w:cs="Times New Roman"/>
          <w:sz w:val="30"/>
          <w:szCs w:val="30"/>
          <w:highlight w:val="none"/>
        </w:rPr>
        <w:t xml:space="preserve">]招标文件， </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(姓名)代表我方</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（投标人的名称）全权处理本次投标的有关事宜。</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据此函，投标人承诺并同意如下： </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1. 投标人投标报价见《开标一览表》</w:t>
      </w:r>
      <w:r>
        <w:rPr>
          <w:rFonts w:hint="eastAsia" w:eastAsia="仿宋_GB2312" w:cs="Times New Roman"/>
          <w:sz w:val="30"/>
          <w:szCs w:val="30"/>
          <w:highlight w:val="none"/>
          <w:lang w:val="en-US" w:eastAsia="zh-CN"/>
        </w:rPr>
        <w:t xml:space="preserve">及《分项价格表》</w:t>
      </w:r>
      <w:r>
        <w:rPr>
          <w:rFonts w:hint="default" w:ascii="Times New Roman" w:hAnsi="Times New Roman" w:eastAsia="仿宋_GB2312" w:cs="Times New Roman"/>
          <w:sz w:val="30"/>
          <w:szCs w:val="30"/>
          <w:highlight w:val="none"/>
        </w:rPr>
        <w:t xml:space="preserve">。</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2. 投标人将按招标文件的规定履行合同责任和义务。</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3. 投标人已详细审查全部招标文件，包括第[插入编号] [补遗书][如果有的话]。投标人完全理解并同意放弃对这方面有不明及误解的权力。</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4. 投标有效期为开标之日后90天。</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5. 投标人同意提供按照贵方可能要求的与其投标有关的一切数据或资料，完全理解贵方不一定接受最低价的投标或收到的任何投标。</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6. 投标人同意在授予合同后，按照有关规定支付</w:t>
      </w:r>
      <w:r>
        <w:rPr>
          <w:rFonts w:hint="default" w:ascii="Times New Roman" w:hAnsi="Times New Roman" w:eastAsia="仿宋_GB2312" w:cs="Times New Roman"/>
          <w:sz w:val="30"/>
          <w:szCs w:val="30"/>
          <w:highlight w:val="none"/>
          <w:lang w:val="en-US" w:eastAsia="zh-CN"/>
        </w:rPr>
        <w:t xml:space="preserve">招标代理服务费</w:t>
      </w:r>
      <w:r>
        <w:rPr>
          <w:rFonts w:hint="default" w:ascii="Times New Roman" w:hAnsi="Times New Roman" w:eastAsia="仿宋_GB2312" w:cs="Times New Roman"/>
          <w:sz w:val="30"/>
          <w:szCs w:val="30"/>
          <w:highlight w:val="none"/>
        </w:rPr>
        <w:t xml:space="preserve">。</w:t>
      </w:r>
      <w:r/>
    </w:p>
    <w:p>
      <w:pPr>
        <w:ind w:right="29"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7. </w:t>
      </w:r>
      <w:r>
        <w:rPr>
          <w:rFonts w:hint="default" w:ascii="Times New Roman" w:hAnsi="Times New Roman" w:eastAsia="仿宋_GB2312" w:cs="Times New Roman"/>
          <w:sz w:val="30"/>
          <w:szCs w:val="30"/>
          <w:highlight w:val="none"/>
          <w:lang w:eastAsia="zh-CN"/>
        </w:rPr>
        <w:t xml:space="preserve">江苏盛瑞保险经纪有限公司</w:t>
      </w:r>
      <w:r>
        <w:rPr>
          <w:rFonts w:hint="default" w:ascii="Times New Roman" w:hAnsi="Times New Roman" w:eastAsia="仿宋_GB2312" w:cs="Times New Roman"/>
          <w:sz w:val="30"/>
          <w:szCs w:val="30"/>
          <w:highlight w:val="none"/>
        </w:rPr>
        <w:t xml:space="preserve">有权将我单位本项目的《开标一览表》和《分项价格表》予以公示，公示的方式由</w:t>
      </w:r>
      <w:r>
        <w:rPr>
          <w:rFonts w:hint="default" w:ascii="Times New Roman" w:hAnsi="Times New Roman" w:eastAsia="仿宋_GB2312" w:cs="Times New Roman"/>
          <w:sz w:val="30"/>
          <w:szCs w:val="30"/>
          <w:highlight w:val="none"/>
          <w:lang w:eastAsia="zh-CN"/>
        </w:rPr>
        <w:t xml:space="preserve">江苏盛瑞保险经纪有限公司</w:t>
      </w:r>
      <w:r>
        <w:rPr>
          <w:rFonts w:hint="default" w:ascii="Times New Roman" w:hAnsi="Times New Roman" w:eastAsia="仿宋_GB2312" w:cs="Times New Roman"/>
          <w:sz w:val="30"/>
          <w:szCs w:val="30"/>
          <w:highlight w:val="none"/>
        </w:rPr>
        <w:t xml:space="preserve">确定。</w:t>
      </w:r>
      <w:r/>
    </w:p>
    <w:p>
      <w:pPr>
        <w:ind w:right="29"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8. 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9.与本投标有关的一切正式往来信函请寄：</w:t>
      </w:r>
      <w:r/>
    </w:p>
    <w:p>
      <w:pPr>
        <w:ind w:firstLine="12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地址： </w:t>
      </w:r>
      <w:r/>
    </w:p>
    <w:p>
      <w:pPr>
        <w:ind w:firstLine="12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电话： </w:t>
      </w:r>
      <w:r/>
    </w:p>
    <w:p>
      <w:pPr>
        <w:ind w:firstLine="12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传真： </w:t>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jc w:val="center"/>
        <w:spacing w:line="480" w:lineRule="exact"/>
        <w:rPr>
          <w:rFonts w:hint="default" w:ascii="Times New Roman" w:hAnsi="Times New Roman" w:eastAsia="黑体" w:cs="Times New Roman"/>
          <w:sz w:val="32"/>
          <w:szCs w:val="32"/>
          <w:highlight w:val="none"/>
        </w:rPr>
      </w:pPr>
      <w:r>
        <w:rPr>
          <w:rFonts w:hint="default" w:ascii="Times New Roman" w:hAnsi="Times New Roman" w:eastAsia="仿宋_GB2312" w:cs="Times New Roman"/>
          <w:sz w:val="32"/>
          <w:szCs w:val="32"/>
          <w:highlight w:val="none"/>
        </w:rPr>
        <w:br w:type="page" w:clear="all"/>
      </w:r>
      <w:r>
        <w:rPr>
          <w:rFonts w:hint="default" w:ascii="Times New Roman" w:hAnsi="Times New Roman" w:eastAsia="仿宋_GB2312" w:cs="Times New Roman"/>
          <w:b/>
          <w:bCs/>
          <w:sz w:val="32"/>
          <w:szCs w:val="32"/>
          <w:highlight w:val="none"/>
        </w:rPr>
        <w:t xml:space="preserve">二、开标一览表</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520" w:lineRule="exact"/>
        <w:rPr>
          <w:rFonts w:hint="default" w:ascii="Times New Roman" w:hAnsi="Times New Roman" w:eastAsia="仿宋_GB2312" w:cs="Times New Roman"/>
          <w:sz w:val="30"/>
          <w:szCs w:val="30"/>
          <w:highlight w:val="none"/>
          <w:u w:val="single"/>
        </w:rPr>
      </w:pPr>
      <w:r>
        <w:rPr>
          <w:rFonts w:hint="default" w:ascii="Times New Roman" w:hAnsi="Times New Roman" w:eastAsia="仿宋_GB2312" w:cs="Times New Roman"/>
          <w:sz w:val="30"/>
          <w:szCs w:val="30"/>
          <w:highlight w:val="none"/>
        </w:rPr>
        <w:t xml:space="preserve">项目名称：</w:t>
      </w:r>
      <w:r>
        <w:rPr>
          <w:rFonts w:hint="default" w:ascii="Times New Roman" w:hAnsi="Times New Roman" w:eastAsia="仿宋_GB2312" w:cs="Times New Roman"/>
          <w:sz w:val="30"/>
          <w:szCs w:val="30"/>
          <w:highlight w:val="none"/>
          <w:lang w:eastAsia="zh-CN"/>
        </w:rPr>
        <w:t xml:space="preserve">徐州市残疾人团体专属保险</w:t>
      </w:r>
      <w:r>
        <w:rPr>
          <w:rFonts w:hint="default" w:ascii="Times New Roman" w:hAnsi="Times New Roman" w:eastAsia="仿宋_GB2312" w:cs="Times New Roman"/>
          <w:sz w:val="30"/>
          <w:szCs w:val="30"/>
          <w:highlight w:val="none"/>
        </w:rPr>
        <w:t xml:space="preserve"> </w:t>
      </w:r>
      <w:r/>
    </w:p>
    <w:p>
      <w:pPr>
        <w:spacing w:line="520" w:lineRule="exact"/>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rPr>
        <w:t xml:space="preserve">项目编号：</w:t>
      </w:r>
      <w:r>
        <w:rPr>
          <w:rFonts w:hint="default" w:ascii="Times New Roman" w:hAnsi="Times New Roman" w:eastAsia="仿宋_GB2312" w:cs="Times New Roman"/>
          <w:sz w:val="30"/>
          <w:szCs w:val="30"/>
          <w:highlight w:val="none"/>
          <w:lang w:eastAsia="zh-CN"/>
        </w:rPr>
        <w:t xml:space="preserve">JSZC-320300-SRJJ-G2026-0001</w:t>
      </w:r>
      <w:r/>
    </w:p>
    <w:p>
      <w:pPr>
        <w:jc w:val="righ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货币单位：人民币元</w:t>
      </w:r>
      <w:r/>
    </w:p>
    <w:p>
      <w:pPr>
        <w:ind w:firstLine="600"/>
        <w:spacing w:line="520" w:lineRule="exact"/>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r>
      <w:r/>
    </w:p>
    <w:p>
      <w:pPr>
        <w:ind w:firstLine="600"/>
        <w:spacing w:line="52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eastAsia="zh-CN"/>
        </w:rPr>
        <w:t xml:space="preserve">（</w:t>
      </w:r>
      <w:r>
        <w:rPr>
          <w:rFonts w:hint="default" w:ascii="Times New Roman" w:hAnsi="Times New Roman" w:eastAsia="仿宋_GB2312" w:cs="Times New Roman"/>
          <w:sz w:val="30"/>
          <w:szCs w:val="30"/>
          <w:highlight w:val="none"/>
        </w:rPr>
        <w:t xml:space="preserve">详见苏采云系统中的格式</w:t>
      </w:r>
      <w:r>
        <w:rPr>
          <w:rFonts w:hint="default" w:ascii="Times New Roman" w:hAnsi="Times New Roman" w:eastAsia="仿宋_GB2312" w:cs="Times New Roman"/>
          <w:sz w:val="30"/>
          <w:szCs w:val="30"/>
          <w:highlight w:val="none"/>
          <w:lang w:eastAsia="zh-CN"/>
        </w:rPr>
        <w:t xml:space="preserve">）</w:t>
      </w:r>
      <w:r/>
    </w:p>
    <w:p>
      <w:pPr>
        <w:pStyle w:val="1206"/>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p>
      <w:pPr>
        <w:pStyle w:val="1206"/>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p>
      <w:pPr>
        <w:pStyle w:val="1206"/>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p>
      <w:pPr>
        <w:pStyle w:val="1206"/>
        <w:tabs>
          <w:tab w:val="left" w:pos="1993" w:leader="none"/>
        </w:tabs>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 xml:space="preserve">注：</w:t>
      </w:r>
      <w:r>
        <w:tab/>
      </w:r>
      <w:r/>
    </w:p>
    <w:p>
      <w:pPr>
        <w:pStyle w:val="1206"/>
        <w:ind w:firstLine="480"/>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本项价格仅为预算价格，</w:t>
      </w:r>
      <w:r>
        <w:rPr>
          <w:rFonts w:hint="default" w:ascii="Times New Roman" w:hAnsi="Times New Roman" w:eastAsia="仿宋_GB2312" w:cs="Times New Roman"/>
          <w:sz w:val="24"/>
          <w:highlight w:val="none"/>
          <w:lang w:val="en-US" w:eastAsia="zh-CN"/>
        </w:rPr>
        <w:t xml:space="preserve">投标人</w:t>
      </w:r>
      <w:r>
        <w:rPr>
          <w:rFonts w:hint="default" w:ascii="Times New Roman" w:hAnsi="Times New Roman" w:eastAsia="仿宋_GB2312" w:cs="Times New Roman"/>
          <w:sz w:val="24"/>
          <w:highlight w:val="none"/>
          <w:lang w:val="en-US" w:eastAsia="zh-CN"/>
        </w:rPr>
        <w:t xml:space="preserve">统一</w:t>
      </w:r>
      <w:r>
        <w:rPr>
          <w:rFonts w:hint="default" w:ascii="Times New Roman" w:hAnsi="Times New Roman" w:eastAsia="仿宋_GB2312" w:cs="Times New Roman"/>
          <w:sz w:val="24"/>
          <w:highlight w:val="none"/>
          <w:lang w:val="en-US" w:eastAsia="zh-CN"/>
        </w:rPr>
        <w:t xml:space="preserve">填写1692000</w:t>
      </w:r>
      <w:r>
        <w:rPr>
          <w:rFonts w:hint="default" w:ascii="Times New Roman" w:hAnsi="Times New Roman" w:eastAsia="仿宋_GB2312" w:cs="Times New Roman"/>
          <w:sz w:val="24"/>
          <w:highlight w:val="none"/>
          <w:lang w:val="en-US" w:eastAsia="zh-CN"/>
        </w:rPr>
        <w:t xml:space="preserve">元</w:t>
      </w:r>
      <w:r>
        <w:rPr>
          <w:rFonts w:hint="default" w:ascii="Times New Roman" w:hAnsi="Times New Roman" w:eastAsia="仿宋_GB2312" w:cs="Times New Roman"/>
          <w:sz w:val="24"/>
          <w:highlight w:val="none"/>
          <w:lang w:val="en-US" w:eastAsia="zh-CN"/>
        </w:rPr>
        <w:t xml:space="preserve">，</w:t>
      </w:r>
      <w:r>
        <w:rPr>
          <w:rFonts w:hint="default" w:ascii="Times New Roman" w:hAnsi="Times New Roman" w:eastAsia="仿宋_GB2312" w:cs="Times New Roman"/>
          <w:sz w:val="24"/>
          <w:highlight w:val="none"/>
          <w:lang w:val="en-US" w:eastAsia="zh-CN"/>
        </w:rPr>
        <w:t xml:space="preserve">最终价格以实际投保人数为准，投标人价格分计算以分项价格表为准。</w:t>
      </w:r>
      <w:r/>
    </w:p>
    <w:p>
      <w:pPr>
        <w:ind w:firstLine="600"/>
        <w:spacing w:line="52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jc w:val="center"/>
        <w:widowControl/>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br w:type="page" w:clear="all"/>
      </w:r>
      <w:r>
        <w:rPr>
          <w:rFonts w:hint="default" w:ascii="Times New Roman" w:hAnsi="Times New Roman" w:eastAsia="仿宋_GB2312" w:cs="Times New Roman"/>
          <w:b/>
          <w:bCs/>
          <w:sz w:val="32"/>
          <w:szCs w:val="32"/>
          <w:highlight w:val="none"/>
        </w:rPr>
        <w:t xml:space="preserve">三、分项价格表</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项目名称：</w:t>
      </w:r>
      <w:r>
        <w:rPr>
          <w:rFonts w:hint="default" w:ascii="Times New Roman" w:hAnsi="Times New Roman" w:eastAsia="仿宋_GB2312" w:cs="Times New Roman"/>
          <w:sz w:val="30"/>
          <w:szCs w:val="30"/>
          <w:highlight w:val="none"/>
          <w:lang w:eastAsia="zh-CN"/>
        </w:rPr>
        <w:t xml:space="preserve">徐州市残疾人团体专属保险</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项目编号：</w:t>
      </w:r>
      <w:r>
        <w:rPr>
          <w:rFonts w:hint="default" w:ascii="Times New Roman" w:hAnsi="Times New Roman" w:eastAsia="仿宋_GB2312" w:cs="Times New Roman"/>
          <w:sz w:val="30"/>
          <w:szCs w:val="30"/>
          <w:highlight w:val="none"/>
          <w:lang w:eastAsia="zh-CN"/>
        </w:rPr>
        <w:t xml:space="preserve">JSZC-320300-SRJJ-G2026-0001</w:t>
      </w:r>
      <w:r>
        <w:rPr>
          <w:rFonts w:hint="default" w:ascii="Times New Roman" w:hAnsi="Times New Roman" w:eastAsia="仿宋_GB2312" w:cs="Times New Roman"/>
          <w:sz w:val="30"/>
          <w:szCs w:val="30"/>
          <w:highlight w:val="none"/>
        </w:rPr>
        <w:t xml:space="preserve">   </w:t>
      </w:r>
      <w:r/>
    </w:p>
    <w:p>
      <w:pPr>
        <w:jc w:val="right"/>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货币单位：人民币</w:t>
      </w:r>
      <w:r/>
    </w:p>
    <w:tbl>
      <w:tblPr>
        <w:tblStyle w:val="1031"/>
        <w:tblW w:w="8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3228"/>
        <w:gridCol w:w="4162"/>
      </w:tblGrid>
      <w:tr>
        <w:trPr>
          <w:cantSplit/>
          <w:jc w:val="center"/>
          <w:trHeight w:val="510"/>
        </w:trPr>
        <w:tc>
          <w:tcPr>
            <w:gridSpan w:val="2"/>
            <w:tcW w:w="4566" w:type="dxa"/>
            <w:vAlign w:val="center"/>
            <w:textDirection w:val="lrTb"/>
            <w:noWrap w:val="false"/>
          </w:tcPr>
          <w:p>
            <w:pPr>
              <w:pStyle w:val="1206"/>
              <w:jc w:val="center"/>
              <w:rPr>
                <w:rFonts w:hint="default" w:ascii="Times New Roman" w:hAnsi="Times New Roman" w:eastAsia="仿宋_GB2312" w:cs="Times New Roman"/>
                <w:sz w:val="24"/>
                <w:szCs w:val="32"/>
                <w:highlight w:val="none"/>
                <w:lang w:val="en-US" w:eastAsia="zh-CN"/>
              </w:rPr>
            </w:pPr>
            <w:r>
              <w:rPr>
                <w:rFonts w:hint="default" w:ascii="Times New Roman" w:hAnsi="Times New Roman" w:eastAsia="仿宋_GB2312" w:cs="Times New Roman"/>
                <w:sz w:val="24"/>
                <w:szCs w:val="32"/>
                <w:highlight w:val="none"/>
                <w:lang w:val="en-US" w:eastAsia="zh-CN"/>
              </w:rPr>
              <w:t xml:space="preserve">保险责任</w:t>
            </w:r>
            <w:r/>
          </w:p>
        </w:tc>
        <w:tc>
          <w:tcPr>
            <w:tcW w:w="4162" w:type="dxa"/>
            <w:vAlign w:val="center"/>
            <w:textDirection w:val="lrTb"/>
            <w:noWrap w:val="false"/>
          </w:tcPr>
          <w:p>
            <w:pPr>
              <w:pStyle w:val="1206"/>
              <w:jc w:val="center"/>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lang w:val="zh"/>
              </w:rPr>
              <w:t xml:space="preserve">每人</w:t>
            </w:r>
            <w:r>
              <w:rPr>
                <w:rFonts w:hint="default" w:ascii="Times New Roman" w:hAnsi="Times New Roman" w:eastAsia="仿宋_GB2312" w:cs="Times New Roman"/>
                <w:sz w:val="24"/>
                <w:szCs w:val="24"/>
                <w:highlight w:val="none"/>
                <w:lang w:val="en-US" w:eastAsia="zh-CN" w:bidi="ar-SA"/>
              </w:rPr>
              <w:t xml:space="preserve">赔偿限额</w:t>
            </w:r>
            <w:r/>
          </w:p>
        </w:tc>
      </w:tr>
      <w:tr>
        <w:trPr>
          <w:cantSplit/>
          <w:jc w:val="center"/>
          <w:trHeight w:val="353"/>
        </w:trPr>
        <w:tc>
          <w:tcPr>
            <w:tcW w:w="1338" w:type="dxa"/>
            <w:vAlign w:val="center"/>
            <w:vMerge w:val="restart"/>
            <w:textDirection w:val="lrTb"/>
            <w:noWrap w:val="false"/>
          </w:tcPr>
          <w:p>
            <w:pPr>
              <w:pStyle w:val="1206"/>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意外伤害</w:t>
            </w:r>
            <w:r/>
          </w:p>
        </w:tc>
        <w:tc>
          <w:tcPr>
            <w:tcW w:w="3228" w:type="dxa"/>
            <w:vAlign w:val="center"/>
            <w:textDirection w:val="lrTb"/>
            <w:noWrap w:val="false"/>
          </w:tcPr>
          <w:p>
            <w:pPr>
              <w:pStyle w:val="1206"/>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意外身故</w:t>
            </w:r>
            <w:r/>
          </w:p>
        </w:tc>
        <w:tc>
          <w:tcPr>
            <w:tcW w:w="4162" w:type="dxa"/>
            <w:vAlign w:val="center"/>
            <w:textDirection w:val="lrTb"/>
            <w:noWrap w:val="false"/>
          </w:tcPr>
          <w:p>
            <w:pPr>
              <w:pStyle w:val="1292"/>
              <w:ind w:left="0" w:firstLine="0"/>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rPr>
              <w:t xml:space="preserve">2万元</w:t>
            </w:r>
            <w:r/>
          </w:p>
        </w:tc>
      </w:tr>
      <w:tr>
        <w:trPr>
          <w:cantSplit/>
          <w:jc w:val="center"/>
          <w:trHeight w:val="310"/>
        </w:trPr>
        <w:tc>
          <w:tcPr>
            <w:tcW w:w="1338" w:type="dxa"/>
            <w:vAlign w:val="center"/>
            <w:vMerge w:val="continue"/>
            <w:textDirection w:val="lrTb"/>
            <w:noWrap w:val="false"/>
          </w:tcPr>
          <w:p>
            <w:pPr>
              <w:pStyle w:val="1206"/>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3228" w:type="dxa"/>
            <w:vAlign w:val="center"/>
            <w:textDirection w:val="lrTb"/>
            <w:noWrap w:val="false"/>
          </w:tcPr>
          <w:p>
            <w:pPr>
              <w:pStyle w:val="1206"/>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意外残疾</w:t>
            </w:r>
            <w:r/>
          </w:p>
        </w:tc>
        <w:tc>
          <w:tcPr>
            <w:tcW w:w="4162" w:type="dxa"/>
            <w:vAlign w:val="center"/>
            <w:textDirection w:val="lrTb"/>
            <w:noWrap w:val="false"/>
          </w:tcPr>
          <w:p>
            <w:pPr>
              <w:pStyle w:val="1292"/>
              <w:ind w:left="0" w:firstLine="0"/>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u w:val="none"/>
                <w:lang w:val="en-US" w:eastAsia="zh-CN"/>
              </w:rPr>
              <w:t xml:space="preserve">5</w:t>
            </w:r>
            <w:r>
              <w:rPr>
                <w:rFonts w:hint="default" w:ascii="Times New Roman" w:hAnsi="Times New Roman" w:eastAsia="仿宋_GB2312" w:cs="Times New Roman"/>
                <w:sz w:val="24"/>
                <w:highlight w:val="none"/>
              </w:rPr>
              <w:t xml:space="preserve">万元</w:t>
            </w:r>
            <w:r/>
          </w:p>
        </w:tc>
      </w:tr>
      <w:tr>
        <w:trPr>
          <w:cantSplit/>
          <w:jc w:val="center"/>
          <w:trHeight w:val="673"/>
        </w:trPr>
        <w:tc>
          <w:tcPr>
            <w:tcW w:w="1338" w:type="dxa"/>
            <w:vAlign w:val="center"/>
            <w:textDirection w:val="lrTb"/>
            <w:noWrap w:val="false"/>
          </w:tcPr>
          <w:p>
            <w:pPr>
              <w:pStyle w:val="1206"/>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意外医疗</w:t>
            </w:r>
            <w:r/>
          </w:p>
        </w:tc>
        <w:tc>
          <w:tcPr>
            <w:tcW w:w="3228" w:type="dxa"/>
            <w:vAlign w:val="center"/>
            <w:textDirection w:val="lrTb"/>
            <w:noWrap w:val="false"/>
          </w:tcPr>
          <w:p>
            <w:pPr>
              <w:pStyle w:val="1206"/>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因意外导致的医疗费用补偿</w:t>
            </w:r>
            <w:r/>
          </w:p>
        </w:tc>
        <w:tc>
          <w:tcPr>
            <w:tcW w:w="4162" w:type="dxa"/>
            <w:vAlign w:val="center"/>
            <w:textDirection w:val="lrTb"/>
            <w:noWrap w:val="false"/>
          </w:tcPr>
          <w:p>
            <w:pPr>
              <w:pStyle w:val="1292"/>
              <w:jc w:val="cente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u w:val="none"/>
              </w:rPr>
              <w:t xml:space="preserve">2万元</w:t>
            </w:r>
            <w:r>
              <w:rPr>
                <w:rFonts w:hint="default" w:ascii="Times New Roman" w:hAnsi="Times New Roman" w:eastAsia="仿宋_GB2312" w:cs="Times New Roman"/>
                <w:sz w:val="24"/>
                <w:highlight w:val="none"/>
                <w:lang w:eastAsia="zh-CN"/>
              </w:rPr>
              <w:t xml:space="preserve">，</w:t>
            </w:r>
            <w:r>
              <w:rPr>
                <w:rFonts w:hint="default" w:ascii="Times New Roman" w:hAnsi="Times New Roman" w:eastAsia="仿宋_GB2312" w:cs="Times New Roman"/>
                <w:sz w:val="24"/>
                <w:highlight w:val="none"/>
              </w:rPr>
              <w:t xml:space="preserve">无免赔天数，按</w:t>
            </w:r>
            <w:r>
              <w:rPr>
                <w:rFonts w:hint="default" w:ascii="Times New Roman" w:hAnsi="Times New Roman" w:eastAsia="仿宋_GB2312" w:cs="Times New Roman"/>
                <w:sz w:val="24"/>
                <w:highlight w:val="none"/>
                <w:lang w:val="en-US" w:eastAsia="zh-CN"/>
              </w:rPr>
              <w:t xml:space="preserve">90</w:t>
            </w:r>
            <w:r>
              <w:rPr>
                <w:rFonts w:hint="default" w:ascii="Times New Roman" w:hAnsi="Times New Roman" w:eastAsia="仿宋_GB2312" w:cs="Times New Roman"/>
                <w:sz w:val="24"/>
                <w:highlight w:val="none"/>
              </w:rPr>
              <w:t xml:space="preserve">％赔付</w:t>
            </w:r>
            <w:r/>
          </w:p>
          <w:p>
            <w:pPr>
              <w:pStyle w:val="1292"/>
              <w:ind w:left="0" w:firstLine="0"/>
              <w:jc w:val="center"/>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rPr>
              <w:t xml:space="preserve">（</w:t>
            </w:r>
            <w:r>
              <w:rPr>
                <w:rFonts w:hint="default" w:ascii="Times New Roman" w:hAnsi="Times New Roman" w:eastAsia="仿宋_GB2312" w:cs="Times New Roman"/>
                <w:sz w:val="24"/>
                <w:highlight w:val="none"/>
                <w:lang w:val="en-US" w:eastAsia="zh-CN"/>
              </w:rPr>
              <w:t xml:space="preserve">医</w:t>
            </w:r>
            <w:r>
              <w:rPr>
                <w:rFonts w:hint="default" w:ascii="Times New Roman" w:hAnsi="Times New Roman" w:eastAsia="仿宋_GB2312" w:cs="Times New Roman"/>
                <w:sz w:val="24"/>
                <w:highlight w:val="none"/>
              </w:rPr>
              <w:t xml:space="preserve">保用药范围内）。</w:t>
            </w:r>
            <w:r/>
          </w:p>
        </w:tc>
      </w:tr>
      <w:tr>
        <w:trPr>
          <w:cantSplit/>
          <w:jc w:val="center"/>
          <w:trHeight w:val="694"/>
        </w:trPr>
        <w:tc>
          <w:tcPr>
            <w:tcW w:w="1338" w:type="dxa"/>
            <w:vAlign w:val="center"/>
            <w:textDirection w:val="lrTb"/>
            <w:noWrap w:val="false"/>
          </w:tcPr>
          <w:p>
            <w:pPr>
              <w:pStyle w:val="1206"/>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意外住院津贴</w:t>
            </w:r>
            <w:r/>
          </w:p>
        </w:tc>
        <w:tc>
          <w:tcPr>
            <w:tcW w:w="3228" w:type="dxa"/>
            <w:vAlign w:val="center"/>
            <w:textDirection w:val="lrTb"/>
            <w:noWrap w:val="false"/>
          </w:tcPr>
          <w:p>
            <w:pPr>
              <w:pStyle w:val="1206"/>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意外伤害住院医疗定额补贴</w:t>
            </w:r>
            <w:r/>
          </w:p>
        </w:tc>
        <w:tc>
          <w:tcPr>
            <w:tcW w:w="4162" w:type="dxa"/>
            <w:vAlign w:val="center"/>
            <w:textDirection w:val="lrTb"/>
            <w:noWrap w:val="false"/>
          </w:tcPr>
          <w:p>
            <w:pPr>
              <w:pStyle w:val="1292"/>
              <w:ind w:left="0" w:firstLine="0"/>
              <w:jc w:val="center"/>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rPr>
              <w:t xml:space="preserve">100元/天，无免赔天数，全年最高赔付</w:t>
            </w:r>
            <w:r>
              <w:rPr>
                <w:rFonts w:hint="default" w:ascii="Times New Roman" w:hAnsi="Times New Roman" w:eastAsia="仿宋_GB2312" w:cs="Times New Roman"/>
                <w:sz w:val="24"/>
                <w:highlight w:val="none"/>
                <w:lang w:val="en-US" w:eastAsia="zh-CN"/>
              </w:rPr>
              <w:t xml:space="preserve">60</w:t>
            </w:r>
            <w:r>
              <w:rPr>
                <w:rFonts w:hint="default" w:ascii="Times New Roman" w:hAnsi="Times New Roman" w:eastAsia="仿宋_GB2312" w:cs="Times New Roman"/>
                <w:sz w:val="24"/>
                <w:highlight w:val="none"/>
              </w:rPr>
              <w:t xml:space="preserve">天。</w:t>
            </w:r>
            <w:r/>
          </w:p>
        </w:tc>
      </w:tr>
      <w:tr>
        <w:trPr>
          <w:cantSplit/>
          <w:jc w:val="center"/>
          <w:trHeight w:val="719"/>
        </w:trPr>
        <w:tc>
          <w:tcPr>
            <w:tcW w:w="1338" w:type="dxa"/>
            <w:vAlign w:val="center"/>
            <w:textDirection w:val="lrTb"/>
            <w:noWrap w:val="false"/>
          </w:tcPr>
          <w:p>
            <w:pPr>
              <w:pStyle w:val="1206"/>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重大疾病</w:t>
            </w:r>
            <w:r/>
          </w:p>
        </w:tc>
        <w:tc>
          <w:tcPr>
            <w:tcW w:w="3228" w:type="dxa"/>
            <w:vAlign w:val="center"/>
            <w:textDirection w:val="lrTb"/>
            <w:noWrap w:val="false"/>
          </w:tcPr>
          <w:p>
            <w:pPr>
              <w:pStyle w:val="1206"/>
              <w:jc w:val="left"/>
              <w:rPr>
                <w:rFonts w:hint="default" w:ascii="Times New Roman" w:hAnsi="Times New Roman" w:eastAsia="仿宋_GB2312" w:cs="Times New Roman"/>
                <w:sz w:val="24"/>
                <w:szCs w:val="32"/>
                <w:highlight w:val="none"/>
                <w:lang w:val="zh"/>
              </w:rPr>
            </w:pPr>
            <w:r>
              <w:rPr>
                <w:rFonts w:hint="default" w:ascii="Times New Roman" w:hAnsi="Times New Roman" w:eastAsia="仿宋_GB2312" w:cs="Times New Roman"/>
                <w:sz w:val="24"/>
                <w:szCs w:val="32"/>
                <w:highlight w:val="none"/>
                <w:lang w:val="zh"/>
              </w:rPr>
              <w:t xml:space="preserve">重大疾病</w:t>
            </w:r>
            <w:r/>
          </w:p>
          <w:p>
            <w:pPr>
              <w:pStyle w:val="1206"/>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（首次确诊）</w:t>
            </w:r>
            <w:r/>
          </w:p>
        </w:tc>
        <w:tc>
          <w:tcPr>
            <w:tcW w:w="4162" w:type="dxa"/>
            <w:vAlign w:val="center"/>
            <w:textDirection w:val="lrTb"/>
            <w:noWrap w:val="false"/>
          </w:tcPr>
          <w:p>
            <w:pPr>
              <w:pStyle w:val="1292"/>
              <w:ind w:left="0" w:firstLine="0"/>
              <w:jc w:val="center"/>
              <w:rPr>
                <w:rFonts w:hint="default" w:ascii="Times New Roman" w:hAnsi="Times New Roman" w:eastAsia="仿宋_GB2312" w:cs="Times New Roman"/>
                <w:highlight w:val="none"/>
                <w:u w:val="none"/>
              </w:rPr>
            </w:pPr>
            <w:r>
              <w:rPr>
                <w:rFonts w:hint="default" w:ascii="Times New Roman" w:hAnsi="Times New Roman" w:eastAsia="仿宋_GB2312" w:cs="Times New Roman"/>
                <w:sz w:val="24"/>
                <w:szCs w:val="32"/>
                <w:highlight w:val="none"/>
                <w:u w:val="none"/>
                <w:lang w:val="zh"/>
              </w:rPr>
              <w:t xml:space="preserve">罹患</w:t>
            </w:r>
            <w:r>
              <w:rPr>
                <w:rFonts w:hint="default" w:ascii="Times New Roman" w:hAnsi="Times New Roman" w:eastAsia="仿宋_GB2312" w:cs="Times New Roman"/>
                <w:sz w:val="24"/>
                <w:szCs w:val="32"/>
                <w:highlight w:val="none"/>
                <w:u w:val="none"/>
                <w:lang w:val="en-US" w:eastAsia="zh-CN"/>
              </w:rPr>
              <w:t xml:space="preserve">30</w:t>
            </w:r>
            <w:r>
              <w:rPr>
                <w:rFonts w:hint="default" w:ascii="Times New Roman" w:hAnsi="Times New Roman" w:eastAsia="仿宋_GB2312" w:cs="Times New Roman"/>
                <w:sz w:val="24"/>
                <w:szCs w:val="32"/>
                <w:highlight w:val="none"/>
                <w:u w:val="none"/>
                <w:lang w:val="zh"/>
              </w:rPr>
              <w:t xml:space="preserve">种重大疾病定额给付</w:t>
            </w:r>
            <w:r>
              <w:rPr>
                <w:rFonts w:hint="default" w:ascii="Times New Roman" w:hAnsi="Times New Roman" w:eastAsia="仿宋_GB2312" w:cs="Times New Roman"/>
                <w:sz w:val="24"/>
                <w:szCs w:val="32"/>
                <w:highlight w:val="none"/>
                <w:u w:val="none"/>
                <w:lang w:val="en-US" w:eastAsia="zh-CN"/>
              </w:rPr>
              <w:t xml:space="preserve">1.5</w:t>
            </w:r>
            <w:r>
              <w:rPr>
                <w:rFonts w:hint="default" w:ascii="Times New Roman" w:hAnsi="Times New Roman" w:eastAsia="仿宋_GB2312" w:cs="Times New Roman"/>
                <w:sz w:val="24"/>
                <w:highlight w:val="none"/>
                <w:u w:val="none"/>
              </w:rPr>
              <w:t xml:space="preserve">万元</w:t>
            </w:r>
            <w:r>
              <w:rPr>
                <w:rFonts w:hint="default" w:ascii="Times New Roman" w:hAnsi="Times New Roman" w:eastAsia="仿宋_GB2312" w:cs="Times New Roman"/>
                <w:sz w:val="24"/>
                <w:szCs w:val="32"/>
                <w:highlight w:val="none"/>
                <w:u w:val="none"/>
                <w:lang w:val="zh"/>
              </w:rPr>
              <w:t xml:space="preserve">，3种轻度疾病定额给付</w:t>
            </w:r>
            <w:r>
              <w:rPr>
                <w:rFonts w:hint="default" w:ascii="Times New Roman" w:hAnsi="Times New Roman" w:eastAsia="仿宋_GB2312" w:cs="Times New Roman"/>
                <w:sz w:val="24"/>
                <w:szCs w:val="32"/>
                <w:highlight w:val="none"/>
                <w:u w:val="none"/>
                <w:lang w:val="en-US" w:eastAsia="zh-CN"/>
              </w:rPr>
              <w:t xml:space="preserve">5000</w:t>
            </w:r>
            <w:r>
              <w:rPr>
                <w:rFonts w:hint="default" w:ascii="Times New Roman" w:hAnsi="Times New Roman" w:eastAsia="仿宋_GB2312" w:cs="Times New Roman"/>
                <w:sz w:val="24"/>
                <w:highlight w:val="none"/>
                <w:u w:val="none"/>
              </w:rPr>
              <w:t xml:space="preserve">元</w:t>
            </w:r>
            <w:r/>
          </w:p>
        </w:tc>
      </w:tr>
      <w:tr>
        <w:trPr>
          <w:cantSplit/>
          <w:jc w:val="center"/>
          <w:trHeight w:val="758"/>
        </w:trPr>
        <w:tc>
          <w:tcPr>
            <w:tcW w:w="1338" w:type="dxa"/>
            <w:vAlign w:val="center"/>
            <w:textDirection w:val="lrTb"/>
            <w:noWrap w:val="false"/>
          </w:tcPr>
          <w:p>
            <w:pPr>
              <w:pStyle w:val="1206"/>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重疾住院津贴</w:t>
            </w:r>
            <w:r/>
          </w:p>
        </w:tc>
        <w:tc>
          <w:tcPr>
            <w:tcW w:w="3228" w:type="dxa"/>
            <w:vAlign w:val="center"/>
            <w:textDirection w:val="lrTb"/>
            <w:noWrap w:val="false"/>
          </w:tcPr>
          <w:p>
            <w:pPr>
              <w:pStyle w:val="1206"/>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重大疾病住院医疗定额补贴（首次确诊）</w:t>
            </w:r>
            <w:r/>
          </w:p>
        </w:tc>
        <w:tc>
          <w:tcPr>
            <w:tcW w:w="4162" w:type="dxa"/>
            <w:vAlign w:val="center"/>
            <w:textDirection w:val="lrTb"/>
            <w:noWrap w:val="false"/>
          </w:tcPr>
          <w:p>
            <w:pPr>
              <w:pStyle w:val="1206"/>
              <w:jc w:val="center"/>
              <w:widowControl/>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u w:val="single"/>
                <w:lang w:val="en-US" w:eastAsia="zh-CN"/>
              </w:rPr>
              <w:t xml:space="preserve"> 填写 </w:t>
            </w:r>
            <w:r>
              <w:rPr>
                <w:rFonts w:hint="default" w:ascii="Times New Roman" w:hAnsi="Times New Roman" w:eastAsia="仿宋_GB2312" w:cs="Times New Roman"/>
                <w:sz w:val="24"/>
                <w:highlight w:val="none"/>
              </w:rPr>
              <w:t xml:space="preserve">元/天，无免赔天数，全年最高赔付</w:t>
            </w:r>
            <w:r>
              <w:rPr>
                <w:rFonts w:hint="default" w:ascii="Times New Roman" w:hAnsi="Times New Roman" w:eastAsia="仿宋_GB2312" w:cs="Times New Roman"/>
                <w:sz w:val="24"/>
                <w:highlight w:val="none"/>
                <w:lang w:val="en-US" w:eastAsia="zh-CN"/>
              </w:rPr>
              <w:t xml:space="preserve">60</w:t>
            </w:r>
            <w:r>
              <w:rPr>
                <w:rFonts w:hint="default" w:ascii="Times New Roman" w:hAnsi="Times New Roman" w:eastAsia="仿宋_GB2312" w:cs="Times New Roman"/>
                <w:sz w:val="24"/>
                <w:highlight w:val="none"/>
              </w:rPr>
              <w:t xml:space="preserve">天。</w:t>
            </w:r>
            <w:r/>
          </w:p>
        </w:tc>
      </w:tr>
    </w:tbl>
    <w:p>
      <w:pPr>
        <w:pStyle w:val="1206"/>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r>
      <w:r/>
    </w:p>
    <w:p>
      <w:pPr>
        <w:keepLines w:val="0"/>
        <w:keepNext w:val="0"/>
        <w:pageBreakBefore w:val="0"/>
        <w:spacing w:before="181" w:line="360" w:lineRule="auto"/>
        <w:widowControl/>
        <w:rPr>
          <w:rFonts w:hint="default" w:ascii="Times New Roman" w:hAnsi="Times New Roman" w:eastAsia="仿宋_GB2312" w:cs="Times New Roman"/>
          <w:sz w:val="24"/>
          <w:szCs w:val="24"/>
          <w:highlight w:val="none"/>
          <w:lang w:val="en-US" w:eastAsia="zh-CN"/>
        </w:rPr>
        <w:outlineLvl w:val="9"/>
      </w:pPr>
      <w:r>
        <w:rPr>
          <w:rFonts w:hint="default" w:ascii="Times New Roman" w:hAnsi="Times New Roman" w:eastAsia="仿宋_GB2312" w:cs="Times New Roman"/>
          <w:sz w:val="24"/>
          <w:szCs w:val="24"/>
          <w:highlight w:val="none"/>
          <w:lang w:val="en-US" w:eastAsia="zh-CN"/>
        </w:rPr>
        <w:t xml:space="preserve">以上为方案内容，</w:t>
      </w:r>
      <w:r>
        <w:rPr>
          <w:rFonts w:hint="default" w:ascii="Times New Roman" w:hAnsi="Times New Roman" w:eastAsia="仿宋_GB2312" w:cs="Times New Roman"/>
          <w:b/>
          <w:bCs/>
          <w:sz w:val="24"/>
          <w:szCs w:val="24"/>
          <w:highlight w:val="none"/>
          <w:lang w:val="en-US" w:eastAsia="zh-CN"/>
        </w:rPr>
        <w:t xml:space="preserve">报价填写下表：</w:t>
      </w:r>
      <w:r/>
    </w:p>
    <w:tbl>
      <w:tblPr>
        <w:tblStyle w:val="1031"/>
        <w:tblW w:w="88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0"/>
        <w:gridCol w:w="3622"/>
      </w:tblGrid>
      <w:tr>
        <w:trPr>
          <w:cantSplit/>
          <w:jc w:val="center"/>
          <w:trHeight w:val="456"/>
        </w:trPr>
        <w:tc>
          <w:tcPr>
            <w:tcW w:w="5190" w:type="dxa"/>
            <w:vAlign w:val="center"/>
            <w:textDirection w:val="lrTb"/>
            <w:noWrap w:val="false"/>
          </w:tcPr>
          <w:p>
            <w:pPr>
              <w:pStyle w:val="1206"/>
              <w:spacing w:after="0" w:line="240" w:lineRule="auto"/>
              <w:rPr>
                <w:rFonts w:hint="default" w:ascii="Times New Roman" w:hAnsi="Times New Roman" w:eastAsia="仿宋_GB2312" w:cs="Times New Roman"/>
                <w:sz w:val="24"/>
                <w:szCs w:val="24"/>
                <w:highlight w:val="none"/>
                <w:lang w:val="zh" w:eastAsia="zh-CN" w:bidi="ar-SA"/>
              </w:rPr>
            </w:pPr>
            <w:r>
              <w:rPr>
                <w:rFonts w:hint="default" w:ascii="Times New Roman" w:hAnsi="Times New Roman" w:eastAsia="仿宋_GB2312" w:cs="Times New Roman"/>
                <w:sz w:val="24"/>
                <w:szCs w:val="32"/>
                <w:highlight w:val="none"/>
                <w:lang w:val="zh"/>
              </w:rPr>
              <w:t xml:space="preserve">重大疾病住院医疗定额补贴</w:t>
            </w:r>
            <w:r>
              <w:rPr>
                <w:rFonts w:hint="default" w:ascii="Times New Roman" w:hAnsi="Times New Roman" w:eastAsia="仿宋_GB2312" w:cs="Times New Roman"/>
                <w:sz w:val="24"/>
                <w:szCs w:val="24"/>
                <w:highlight w:val="none"/>
                <w:lang w:val="en-US" w:eastAsia="zh-CN" w:bidi="ar-SA"/>
              </w:rPr>
              <w:t xml:space="preserve">报价（小写）</w:t>
            </w:r>
            <w:r/>
          </w:p>
        </w:tc>
        <w:tc>
          <w:tcPr>
            <w:tcW w:w="3622" w:type="dxa"/>
            <w:vAlign w:val="center"/>
            <w:textDirection w:val="lrTb"/>
            <w:noWrap w:val="false"/>
          </w:tcPr>
          <w:p>
            <w:pPr>
              <w:pStyle w:val="1206"/>
              <w:spacing w:after="0" w:line="240" w:lineRule="auto"/>
              <w:rPr>
                <w:rFonts w:hint="default" w:ascii="Times New Roman" w:hAnsi="Times New Roman" w:eastAsia="仿宋_GB2312" w:cs="Times New Roman"/>
                <w:sz w:val="24"/>
                <w:szCs w:val="24"/>
                <w:highlight w:val="none"/>
                <w:lang w:val="en-US" w:eastAsia="zh-CN" w:bidi="ar-SA"/>
              </w:rPr>
            </w:pPr>
            <w:r>
              <w:rPr>
                <w:rFonts w:hint="default" w:ascii="Times New Roman" w:hAnsi="Times New Roman" w:eastAsia="仿宋_GB2312" w:cs="Times New Roman"/>
                <w:sz w:val="24"/>
                <w:szCs w:val="24"/>
                <w:highlight w:val="none"/>
                <w:u w:val="single"/>
                <w:lang w:val="en-US" w:eastAsia="zh-CN" w:bidi="ar-SA"/>
              </w:rPr>
              <w:t xml:space="preserve">      </w:t>
            </w:r>
            <w:r>
              <w:rPr>
                <w:rFonts w:hint="default" w:ascii="Times New Roman" w:hAnsi="Times New Roman" w:eastAsia="仿宋_GB2312" w:cs="Times New Roman"/>
                <w:sz w:val="24"/>
                <w:szCs w:val="24"/>
                <w:highlight w:val="none"/>
                <w:lang w:val="en-US" w:eastAsia="zh-CN" w:bidi="ar-SA"/>
              </w:rPr>
              <w:t xml:space="preserve">元/天</w:t>
            </w:r>
            <w:r/>
          </w:p>
        </w:tc>
      </w:tr>
      <w:tr>
        <w:trPr>
          <w:cantSplit/>
          <w:jc w:val="center"/>
          <w:trHeight w:val="458"/>
        </w:trPr>
        <w:tc>
          <w:tcPr>
            <w:tcW w:w="5190" w:type="dxa"/>
            <w:vAlign w:val="center"/>
            <w:textDirection w:val="lrTb"/>
            <w:noWrap w:val="false"/>
          </w:tcPr>
          <w:p>
            <w:pPr>
              <w:pStyle w:val="1206"/>
              <w:spacing w:after="0" w:line="240" w:lineRule="auto"/>
              <w:rPr>
                <w:rFonts w:hint="default" w:ascii="Times New Roman" w:hAnsi="Times New Roman" w:eastAsia="仿宋_GB2312" w:cs="Times New Roman"/>
                <w:sz w:val="24"/>
                <w:szCs w:val="24"/>
                <w:highlight w:val="none"/>
                <w:lang w:val="en-US" w:eastAsia="zh-CN" w:bidi="ar-SA"/>
              </w:rPr>
            </w:pPr>
            <w:r>
              <w:rPr>
                <w:rFonts w:hint="default" w:ascii="Times New Roman" w:hAnsi="Times New Roman" w:eastAsia="仿宋_GB2312" w:cs="Times New Roman"/>
                <w:sz w:val="24"/>
                <w:szCs w:val="32"/>
                <w:highlight w:val="none"/>
                <w:lang w:val="zh"/>
              </w:rPr>
              <w:t xml:space="preserve">重大疾病住院医疗定额补贴</w:t>
            </w:r>
            <w:r>
              <w:rPr>
                <w:rFonts w:hint="default" w:ascii="Times New Roman" w:hAnsi="Times New Roman" w:eastAsia="仿宋_GB2312" w:cs="Times New Roman"/>
                <w:sz w:val="24"/>
                <w:szCs w:val="24"/>
                <w:highlight w:val="none"/>
                <w:lang w:val="en-US" w:eastAsia="zh-CN" w:bidi="ar-SA"/>
              </w:rPr>
              <w:t xml:space="preserve">报价（大写）</w:t>
            </w:r>
            <w:r/>
          </w:p>
        </w:tc>
        <w:tc>
          <w:tcPr>
            <w:tcW w:w="3622" w:type="dxa"/>
            <w:vAlign w:val="center"/>
            <w:textDirection w:val="lrTb"/>
            <w:noWrap w:val="false"/>
          </w:tcPr>
          <w:p>
            <w:pPr>
              <w:pStyle w:val="1206"/>
              <w:spacing w:after="0" w:line="240" w:lineRule="auto"/>
              <w:rPr>
                <w:rFonts w:hint="default" w:ascii="Times New Roman" w:hAnsi="Times New Roman" w:eastAsia="仿宋_GB2312" w:cs="Times New Roman"/>
                <w:sz w:val="24"/>
                <w:szCs w:val="24"/>
                <w:highlight w:val="none"/>
                <w:lang w:val="en-US" w:eastAsia="zh-CN" w:bidi="ar-SA"/>
              </w:rPr>
            </w:pPr>
            <w:r>
              <w:rPr>
                <w:rFonts w:hint="default" w:ascii="Times New Roman" w:hAnsi="Times New Roman" w:eastAsia="仿宋_GB2312" w:cs="Times New Roman"/>
                <w:sz w:val="24"/>
                <w:szCs w:val="24"/>
                <w:highlight w:val="none"/>
                <w:u w:val="single"/>
                <w:lang w:val="en-US" w:eastAsia="zh-CN" w:bidi="ar-SA"/>
              </w:rPr>
              <w:t xml:space="preserve">      </w:t>
            </w:r>
            <w:r>
              <w:rPr>
                <w:rFonts w:hint="default" w:ascii="Times New Roman" w:hAnsi="Times New Roman" w:eastAsia="仿宋_GB2312" w:cs="Times New Roman"/>
                <w:sz w:val="24"/>
                <w:szCs w:val="24"/>
                <w:highlight w:val="none"/>
                <w:lang w:val="en-US" w:eastAsia="zh-CN" w:bidi="ar-SA"/>
              </w:rPr>
              <w:t xml:space="preserve">元/天</w:t>
            </w:r>
            <w:r/>
          </w:p>
        </w:tc>
      </w:tr>
    </w:tbl>
    <w:p>
      <w:pPr>
        <w:pStyle w:val="1206"/>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 xml:space="preserve">注：</w:t>
      </w:r>
      <w:r/>
    </w:p>
    <w:p>
      <w:pPr>
        <w:pStyle w:val="1206"/>
        <w:ind w:firstLine="480"/>
        <w:keepLines w:val="0"/>
        <w:keepNext w:val="0"/>
        <w:pageBreakBefore w:val="0"/>
        <w:spacing w:line="240" w:lineRule="auto"/>
        <w:widowControl w:val="off"/>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 xml:space="preserve">1、投标人所报保额明显高于其他通过符合性审查投标人的保额，有可能影响诚信履约的，必须在评标现场合理的时间内提供书面说明，必要时须提交相关证明材料；投标人不能证明其所报保额合理性的，评标委员会将其作为无效投标处理。</w:t>
      </w:r>
      <w:r/>
    </w:p>
    <w:p>
      <w:pPr>
        <w:ind w:firstLine="600"/>
        <w:keepLines w:val="0"/>
        <w:keepNext w:val="0"/>
        <w:pageBreakBefore w:val="0"/>
        <w:spacing w:line="240" w:lineRule="auto"/>
        <w:widowControl w:val="off"/>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24"/>
          <w:highlight w:val="none"/>
          <w:lang w:val="en-US" w:eastAsia="zh-CN"/>
        </w:rPr>
        <w:t xml:space="preserve">2、因苏采云系统以最低价优先算法自动生成价格分，暂未考虑保险保额报价计算情况，故系统开标时仅显示开标一览表，不显示分项价格表，分项价格表待中标结束后向所有投标人公开。</w:t>
      </w:r>
      <w:r/>
    </w:p>
    <w:p>
      <w:pPr>
        <w:ind w:firstLine="285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ind w:firstLine="600"/>
        <w:spacing w:line="480" w:lineRule="exac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ind w:firstLine="600"/>
        <w:spacing w:line="480" w:lineRule="exac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jc w:val="center"/>
        <w:spacing w:line="480" w:lineRule="exact"/>
        <w:rPr>
          <w:rFonts w:hint="default" w:ascii="Times New Roman" w:hAnsi="Times New Roman" w:cs="Times New Roman"/>
          <w:sz w:val="24"/>
          <w:highlight w:val="none"/>
        </w:rPr>
      </w:pPr>
      <w:r>
        <w:rPr>
          <w:rFonts w:hint="default" w:ascii="Times New Roman" w:hAnsi="Times New Roman" w:eastAsia="黑体" w:cs="Times New Roman"/>
          <w:sz w:val="28"/>
          <w:szCs w:val="28"/>
          <w:highlight w:val="none"/>
        </w:rPr>
        <w:br w:type="page" w:clear="all"/>
      </w:r>
      <w:r>
        <w:rPr>
          <w:rFonts w:hint="default" w:ascii="Times New Roman" w:hAnsi="Times New Roman" w:eastAsia="仿宋_GB2312" w:cs="Times New Roman"/>
          <w:b/>
          <w:bCs/>
          <w:sz w:val="32"/>
          <w:szCs w:val="32"/>
          <w:highlight w:val="none"/>
        </w:rPr>
        <w:t xml:space="preserve">四、偏离表</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u w:val="single"/>
          <w:lang w:eastAsia="zh-CN"/>
        </w:rPr>
      </w:pPr>
      <w:r>
        <w:rPr>
          <w:rFonts w:hint="default" w:ascii="Times New Roman" w:hAnsi="Times New Roman" w:eastAsia="仿宋_GB2312" w:cs="Times New Roman"/>
          <w:sz w:val="30"/>
          <w:szCs w:val="30"/>
          <w:highlight w:val="none"/>
        </w:rPr>
        <w:t xml:space="preserve">项目名称：</w:t>
      </w:r>
      <w:r>
        <w:rPr>
          <w:rFonts w:hint="default" w:ascii="Times New Roman" w:hAnsi="Times New Roman" w:eastAsia="仿宋_GB2312" w:cs="Times New Roman"/>
          <w:sz w:val="30"/>
          <w:szCs w:val="30"/>
          <w:highlight w:val="none"/>
          <w:lang w:eastAsia="zh-CN"/>
        </w:rPr>
        <w:t xml:space="preserve">徐州市残疾人团体专属保险</w:t>
      </w:r>
      <w:r/>
    </w:p>
    <w:p>
      <w:pPr>
        <w:spacing w:line="480" w:lineRule="exact"/>
        <w:rPr>
          <w:rFonts w:hint="default" w:ascii="Times New Roman" w:hAnsi="Times New Roman" w:eastAsia="仿宋_GB2312" w:cs="Times New Roman"/>
          <w:sz w:val="30"/>
          <w:szCs w:val="30"/>
          <w:highlight w:val="none"/>
          <w:u w:val="single"/>
          <w:lang w:eastAsia="zh-CN"/>
        </w:rPr>
      </w:pPr>
      <w:r>
        <w:rPr>
          <w:rFonts w:hint="default" w:ascii="Times New Roman" w:hAnsi="Times New Roman" w:eastAsia="仿宋_GB2312" w:cs="Times New Roman"/>
          <w:sz w:val="30"/>
          <w:szCs w:val="30"/>
          <w:highlight w:val="none"/>
        </w:rPr>
        <w:t xml:space="preserve">项目编号：</w:t>
      </w:r>
      <w:r>
        <w:rPr>
          <w:rFonts w:hint="default" w:ascii="Times New Roman" w:hAnsi="Times New Roman" w:eastAsia="仿宋_GB2312" w:cs="Times New Roman"/>
          <w:sz w:val="30"/>
          <w:szCs w:val="30"/>
          <w:highlight w:val="none"/>
          <w:lang w:eastAsia="zh-CN"/>
        </w:rPr>
        <w:t xml:space="preserve">JSZC-320300-SRJJ-G2026-0001</w:t>
      </w:r>
      <w:r/>
    </w:p>
    <w:p>
      <w:pPr>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u w:val="single"/>
        </w:rPr>
      </w:r>
      <w:r/>
    </w:p>
    <w:tbl>
      <w:tblPr>
        <w:tblStyle w:val="1031"/>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caps/>
                <w:sz w:val="24"/>
                <w:highlight w:val="none"/>
              </w:rPr>
              <w:t xml:space="preserve">序号</w:t>
            </w:r>
            <w:r/>
          </w:p>
        </w:tc>
        <w:tc>
          <w:tcPr>
            <w:tcW w:w="1404"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caps/>
                <w:sz w:val="24"/>
                <w:highlight w:val="none"/>
              </w:rPr>
              <w:t xml:space="preserve">偏离内容</w:t>
            </w:r>
            <w:r>
              <w:rPr>
                <w:rFonts w:hint="eastAsia" w:ascii="仿宋_GB2312" w:hAnsi="Times New Roman" w:eastAsia="仿宋_GB2312"/>
                <w:highlight w:val="none"/>
              </w:rPr>
              <w:t xml:space="preserve">（</w:t>
            </w:r>
            <w:r>
              <w:rPr>
                <w:rFonts w:hint="eastAsia" w:ascii="仿宋_GB2312" w:hAnsi="Times New Roman" w:eastAsia="仿宋_GB2312"/>
                <w:b/>
                <w:bCs/>
                <w:highlight w:val="none"/>
              </w:rPr>
              <w:t xml:space="preserve">打“★”内容</w:t>
            </w:r>
            <w:r>
              <w:rPr>
                <w:rFonts w:hint="eastAsia" w:ascii="仿宋_GB2312" w:hAnsi="Times New Roman" w:eastAsia="仿宋_GB2312"/>
                <w:b/>
                <w:bCs/>
                <w:highlight w:val="none"/>
                <w:lang w:val="en-US" w:eastAsia="zh-CN"/>
              </w:rPr>
              <w:t xml:space="preserve">为实质性要求，必须</w:t>
            </w:r>
            <w:r>
              <w:rPr>
                <w:rFonts w:hint="eastAsia" w:ascii="仿宋_GB2312" w:eastAsia="仿宋_GB2312"/>
                <w:b/>
                <w:bCs/>
                <w:highlight w:val="none"/>
                <w:lang w:val="en-US" w:eastAsia="zh-CN"/>
              </w:rPr>
              <w:t xml:space="preserve">在本表内</w:t>
            </w:r>
            <w:r>
              <w:rPr>
                <w:rFonts w:hint="eastAsia" w:ascii="仿宋_GB2312" w:hAnsi="Times New Roman" w:eastAsia="仿宋_GB2312"/>
                <w:b/>
                <w:bCs/>
                <w:highlight w:val="none"/>
                <w:lang w:val="en-US" w:eastAsia="zh-CN"/>
              </w:rPr>
              <w:t xml:space="preserve">全部进行逐条体现</w:t>
            </w:r>
            <w:r>
              <w:rPr>
                <w:rFonts w:hint="eastAsia" w:ascii="仿宋_GB2312" w:hAnsi="Times New Roman" w:eastAsia="仿宋_GB2312"/>
                <w:highlight w:val="none"/>
              </w:rPr>
              <w:t xml:space="preserve">）</w:t>
            </w:r>
            <w:r/>
          </w:p>
        </w:tc>
        <w:tc>
          <w:tcPr>
            <w:tcW w:w="1476"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sz w:val="24"/>
                <w:highlight w:val="none"/>
              </w:rPr>
              <w:t xml:space="preserve">招标文件的要求</w:t>
            </w:r>
            <w:r/>
          </w:p>
        </w:tc>
        <w:tc>
          <w:tcPr>
            <w:tcW w:w="1620"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sz w:val="24"/>
                <w:highlight w:val="none"/>
              </w:rPr>
              <w:t xml:space="preserve">投标文件中的内容</w:t>
            </w:r>
            <w:r/>
          </w:p>
        </w:tc>
        <w:tc>
          <w:tcPr>
            <w:tcW w:w="1260"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caps/>
                <w:sz w:val="24"/>
                <w:highlight w:val="none"/>
              </w:rPr>
              <w:t xml:space="preserve">（正/负/无）偏离</w:t>
            </w:r>
            <w:r/>
          </w:p>
        </w:tc>
        <w:tc>
          <w:tcPr>
            <w:tcW w:w="2520"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caps/>
                <w:sz w:val="24"/>
                <w:highlight w:val="none"/>
              </w:rPr>
              <w:t xml:space="preserve">说明</w:t>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bl>
    <w:p>
      <w:pPr>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u w:val="single"/>
        </w:rPr>
      </w:r>
      <w:r/>
    </w:p>
    <w:p>
      <w:pPr>
        <w:pStyle w:val="1206"/>
        <w:rPr>
          <w:rFonts w:hint="default" w:ascii="Times New Roman" w:hAnsi="Times New Roman" w:eastAsia="仿宋_GB2312" w:cs="Times New Roman"/>
          <w:sz w:val="24"/>
          <w:highlight w:val="none"/>
          <w:u w:val="none"/>
        </w:rPr>
      </w:pPr>
      <w:r>
        <w:rPr>
          <w:rFonts w:hint="default" w:ascii="Times New Roman" w:hAnsi="Times New Roman" w:eastAsia="仿宋_GB2312" w:cs="Times New Roman"/>
          <w:sz w:val="24"/>
          <w:highlight w:val="none"/>
          <w:u w:val="none"/>
        </w:rPr>
        <w:t xml:space="preserve">注：</w:t>
      </w:r>
      <w:r/>
    </w:p>
    <w:p>
      <w:pPr>
        <w:pStyle w:val="1206"/>
        <w:numPr>
          <w:ilvl w:val="0"/>
          <w:numId w:val="0"/>
        </w:numPr>
        <w:rPr>
          <w:rFonts w:hint="default" w:ascii="Times New Roman" w:hAnsi="Times New Roman" w:eastAsia="仿宋_GB2312" w:cs="Times New Roman"/>
          <w:sz w:val="24"/>
          <w:highlight w:val="none"/>
          <w:u w:val="none"/>
        </w:rPr>
      </w:pPr>
      <w:r>
        <w:rPr>
          <w:rFonts w:hint="default" w:ascii="Times New Roman" w:hAnsi="Times New Roman" w:eastAsia="仿宋_GB2312" w:cs="Times New Roman"/>
          <w:b/>
          <w:bCs/>
          <w:sz w:val="24"/>
          <w:highlight w:val="none"/>
          <w:u w:val="none"/>
          <w:lang w:val="en-US" w:eastAsia="zh-CN"/>
        </w:rPr>
        <w:t xml:space="preserve">1、请仔细查看参考性条款，投标人的保险</w:t>
      </w:r>
      <w:r>
        <w:rPr>
          <w:rFonts w:hint="eastAsia" w:eastAsia="仿宋_GB2312" w:cs="Times New Roman"/>
          <w:b/>
          <w:bCs/>
          <w:sz w:val="24"/>
          <w:highlight w:val="none"/>
          <w:u w:val="none"/>
          <w:lang w:val="en-US" w:eastAsia="zh-CN"/>
        </w:rPr>
        <w:t xml:space="preserve">保障范围</w:t>
      </w:r>
      <w:r>
        <w:rPr>
          <w:rFonts w:hint="default" w:ascii="Times New Roman" w:hAnsi="Times New Roman" w:eastAsia="仿宋_GB2312" w:cs="Times New Roman"/>
          <w:b/>
          <w:bCs/>
          <w:sz w:val="24"/>
          <w:highlight w:val="none"/>
          <w:u w:val="none"/>
          <w:lang w:val="en-US" w:eastAsia="zh-CN"/>
        </w:rPr>
        <w:t xml:space="preserve">与参考性条款</w:t>
      </w:r>
      <w:r>
        <w:rPr>
          <w:rFonts w:hint="eastAsia" w:eastAsia="仿宋_GB2312" w:cs="Times New Roman"/>
          <w:b/>
          <w:bCs/>
          <w:sz w:val="24"/>
          <w:highlight w:val="none"/>
          <w:u w:val="none"/>
          <w:lang w:val="en-US" w:eastAsia="zh-CN"/>
        </w:rPr>
        <w:t xml:space="preserve">中保障范围</w:t>
      </w:r>
      <w:r>
        <w:rPr>
          <w:rFonts w:hint="default" w:ascii="Times New Roman" w:hAnsi="Times New Roman" w:eastAsia="仿宋_GB2312" w:cs="Times New Roman"/>
          <w:b/>
          <w:bCs/>
          <w:sz w:val="24"/>
          <w:highlight w:val="none"/>
          <w:u w:val="none"/>
          <w:lang w:val="en-US" w:eastAsia="zh-CN"/>
        </w:rPr>
        <w:t xml:space="preserve">不一致时，必须</w:t>
      </w:r>
      <w:r>
        <w:rPr>
          <w:rFonts w:hint="default" w:ascii="Times New Roman" w:hAnsi="Times New Roman" w:eastAsia="仿宋_GB2312" w:cs="Times New Roman"/>
          <w:b/>
          <w:bCs/>
          <w:sz w:val="24"/>
          <w:highlight w:val="none"/>
          <w:u w:val="none"/>
        </w:rPr>
        <w:t xml:space="preserve">逐条列在偏离表中，</w:t>
      </w:r>
      <w:r>
        <w:rPr>
          <w:rFonts w:hint="default" w:ascii="Times New Roman" w:hAnsi="Times New Roman" w:eastAsia="仿宋_GB2312" w:cs="Times New Roman"/>
          <w:b/>
          <w:bCs/>
          <w:sz w:val="24"/>
          <w:highlight w:val="none"/>
          <w:u w:val="none"/>
          <w:lang w:val="en-US" w:eastAsia="zh-CN"/>
        </w:rPr>
        <w:t xml:space="preserve">否则按照投标无效处理。</w:t>
      </w:r>
      <w:r>
        <w:rPr>
          <w:rFonts w:hint="default" w:ascii="Times New Roman" w:hAnsi="Times New Roman" w:eastAsia="仿宋_GB2312" w:cs="Times New Roman"/>
          <w:sz w:val="24"/>
          <w:highlight w:val="none"/>
          <w:u w:val="none"/>
          <w:lang w:val="en-US" w:eastAsia="zh-CN"/>
        </w:rPr>
        <w:t xml:space="preserve">若产生负偏离，在说明中以扩展条款或增加特别约定，将偏离改为无偏离。</w:t>
      </w:r>
      <w:r/>
    </w:p>
    <w:p>
      <w:pPr>
        <w:pStyle w:val="1206"/>
        <w:numPr>
          <w:ilvl w:val="0"/>
          <w:numId w:val="0"/>
        </w:numPr>
        <w:rPr>
          <w:rFonts w:hint="default" w:ascii="Times New Roman" w:hAnsi="Times New Roman" w:eastAsia="仿宋_GB2312" w:cs="Times New Roman"/>
          <w:sz w:val="24"/>
          <w:highlight w:val="none"/>
          <w:u w:val="none"/>
        </w:rPr>
      </w:pPr>
      <w:r>
        <w:rPr>
          <w:rFonts w:hint="default" w:ascii="Times New Roman" w:hAnsi="Times New Roman" w:eastAsia="仿宋_GB2312" w:cs="Times New Roman"/>
          <w:sz w:val="24"/>
          <w:highlight w:val="none"/>
          <w:u w:val="none"/>
          <w:lang w:val="en-US" w:eastAsia="zh-CN"/>
        </w:rPr>
        <w:t xml:space="preserve">2、</w:t>
      </w:r>
      <w:r>
        <w:rPr>
          <w:rFonts w:hint="default" w:ascii="Times New Roman" w:hAnsi="Times New Roman" w:eastAsia="仿宋_GB2312" w:cs="Times New Roman"/>
          <w:sz w:val="24"/>
          <w:highlight w:val="none"/>
          <w:u w:val="none"/>
        </w:rPr>
        <w:t xml:space="preserve">投标人的投标文件中的内容与招标文件（含招标文件的澄清或者修改的内容，下同）的要求不同时，逐条列在偏离表中，否则将认为投标人接受招标文件的要求。</w:t>
      </w:r>
      <w:r/>
    </w:p>
    <w:p>
      <w:pPr>
        <w:pStyle w:val="1248"/>
        <w:spacing w:line="300" w:lineRule="auto"/>
        <w:rPr>
          <w:rFonts w:hint="default" w:ascii="Times New Roman" w:hAnsi="Times New Roman" w:eastAsia="仿宋_GB2312" w:cs="Times New Roman"/>
          <w:sz w:val="24"/>
          <w:highlight w:val="none"/>
          <w:u w:val="none"/>
        </w:rPr>
      </w:pPr>
      <w:r>
        <w:rPr>
          <w:rFonts w:hint="default" w:ascii="Times New Roman" w:hAnsi="Times New Roman" w:eastAsia="仿宋_GB2312" w:cs="Times New Roman"/>
          <w:sz w:val="24"/>
          <w:highlight w:val="none"/>
          <w:u w:val="none"/>
          <w:lang w:val="en-US" w:eastAsia="zh-CN"/>
        </w:rPr>
        <w:t xml:space="preserve">3</w:t>
      </w:r>
      <w:r>
        <w:rPr>
          <w:rFonts w:hint="default" w:ascii="Times New Roman" w:hAnsi="Times New Roman" w:eastAsia="仿宋_GB2312" w:cs="Times New Roman"/>
          <w:sz w:val="24"/>
          <w:highlight w:val="none"/>
          <w:u w:val="none"/>
        </w:rPr>
        <w:t xml:space="preserve">、表格自行拆分扩展。</w:t>
      </w:r>
      <w:r/>
    </w:p>
    <w:p>
      <w:pPr>
        <w:ind w:firstLine="2850"/>
        <w:spacing w:line="30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ind w:firstLine="600"/>
        <w:spacing w:line="480" w:lineRule="exact"/>
        <w:rPr>
          <w:rFonts w:hint="default" w:ascii="Times New Roman" w:hAnsi="Times New Roman" w:eastAsia="仿宋_GB2312" w:cs="Times New Roman"/>
          <w:bCs/>
          <w:sz w:val="30"/>
          <w:szCs w:val="30"/>
          <w:highlight w:val="none"/>
        </w:rPr>
      </w:pPr>
      <w:r>
        <w:rPr>
          <w:rFonts w:hint="default" w:ascii="Times New Roman" w:hAnsi="Times New Roman" w:eastAsia="仿宋_GB2312" w:cs="Times New Roman"/>
          <w:bCs/>
          <w:sz w:val="30"/>
          <w:szCs w:val="30"/>
          <w:highlight w:val="none"/>
        </w:rPr>
      </w:r>
      <w:r/>
    </w:p>
    <w:p>
      <w:pPr>
        <w:ind w:firstLine="600"/>
        <w:spacing w:line="480" w:lineRule="exact"/>
        <w:rPr>
          <w:rFonts w:hint="default" w:ascii="Times New Roman" w:hAnsi="Times New Roman" w:eastAsia="黑体" w:cs="Times New Roman"/>
          <w:bCs/>
          <w:sz w:val="30"/>
          <w:szCs w:val="30"/>
          <w:highlight w:val="none"/>
        </w:rPr>
      </w:pPr>
      <w:r>
        <w:rPr>
          <w:rFonts w:hint="default" w:ascii="Times New Roman" w:hAnsi="Times New Roman" w:eastAsia="黑体" w:cs="Times New Roman"/>
          <w:bCs/>
          <w:sz w:val="30"/>
          <w:szCs w:val="30"/>
          <w:highlight w:val="none"/>
        </w:rPr>
      </w:r>
      <w:r/>
    </w:p>
    <w:p>
      <w:pPr>
        <w:jc w:val="center"/>
        <w:widowControl/>
        <w:rPr>
          <w:rFonts w:hint="default" w:ascii="Times New Roman" w:hAnsi="Times New Roman" w:eastAsia="黑体" w:cs="Times New Roman"/>
          <w:sz w:val="30"/>
          <w:szCs w:val="30"/>
          <w:highlight w:val="none"/>
        </w:rPr>
      </w:pPr>
      <w:r>
        <w:rPr>
          <w:rFonts w:hint="default" w:ascii="Times New Roman" w:hAnsi="Times New Roman" w:eastAsia="仿宋_GB2312" w:cs="Times New Roman"/>
          <w:b/>
          <w:bCs w:val="0"/>
          <w:sz w:val="32"/>
          <w:szCs w:val="32"/>
          <w:highlight w:val="none"/>
        </w:rPr>
        <w:t xml:space="preserve">五、</w:t>
      </w:r>
      <w:r>
        <w:rPr>
          <w:rFonts w:hint="default" w:ascii="Times New Roman" w:hAnsi="Times New Roman" w:eastAsia="仿宋_GB2312" w:cs="Times New Roman"/>
          <w:b/>
          <w:bCs w:val="0"/>
          <w:sz w:val="32"/>
          <w:szCs w:val="32"/>
          <w:highlight w:val="none"/>
          <w:lang w:eastAsia="zh-CN"/>
        </w:rPr>
        <w:t xml:space="preserve">法定代表人/负责人</w:t>
      </w:r>
      <w:r>
        <w:rPr>
          <w:rFonts w:hint="default" w:ascii="Times New Roman" w:hAnsi="Times New Roman" w:eastAsia="仿宋_GB2312" w:cs="Times New Roman"/>
          <w:b/>
          <w:bCs w:val="0"/>
          <w:sz w:val="32"/>
          <w:szCs w:val="32"/>
          <w:highlight w:val="none"/>
        </w:rPr>
        <w:t xml:space="preserve">授权书</w:t>
      </w:r>
      <w:r>
        <w:rPr>
          <w:rFonts w:hint="default" w:ascii="Times New Roman" w:hAnsi="Times New Roman" w:eastAsia="仿宋_GB2312" w:cs="Times New Roman"/>
          <w:b/>
          <w:bCs w:val="0"/>
          <w:sz w:val="32"/>
          <w:szCs w:val="32"/>
          <w:highlight w:val="none"/>
          <w:lang w:eastAsia="zh-CN"/>
        </w:rPr>
        <w:t xml:space="preserve">（</w:t>
      </w:r>
      <w:r>
        <w:rPr>
          <w:rFonts w:hint="default" w:ascii="Times New Roman" w:hAnsi="Times New Roman" w:eastAsia="仿宋_GB2312" w:cs="Times New Roman"/>
          <w:b/>
          <w:bCs w:val="0"/>
          <w:sz w:val="32"/>
          <w:szCs w:val="32"/>
          <w:highlight w:val="none"/>
        </w:rPr>
        <w:t xml:space="preserve">格式</w:t>
      </w:r>
      <w:r>
        <w:rPr>
          <w:rFonts w:hint="default" w:ascii="Times New Roman" w:hAnsi="Times New Roman" w:eastAsia="仿宋_GB2312" w:cs="Times New Roman"/>
          <w:b/>
          <w:bCs w:val="0"/>
          <w:sz w:val="32"/>
          <w:szCs w:val="32"/>
          <w:highlight w:val="none"/>
          <w:lang w:eastAsia="zh-CN"/>
        </w:rPr>
        <w:t xml:space="preserve">）</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 w:cs="Times New Roman"/>
          <w:sz w:val="30"/>
          <w:szCs w:val="30"/>
          <w:highlight w:val="none"/>
        </w:rPr>
        <w:t xml:space="preserve">委</w:t>
      </w:r>
      <w:r>
        <w:rPr>
          <w:rFonts w:hint="default" w:ascii="Times New Roman" w:hAnsi="Times New Roman" w:eastAsia="仿宋_GB2312" w:cs="Times New Roman"/>
          <w:sz w:val="30"/>
          <w:szCs w:val="30"/>
          <w:highlight w:val="none"/>
        </w:rPr>
        <w:t xml:space="preserve">托人：</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地  址：</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eastAsia="zh-CN"/>
        </w:rPr>
        <w:t xml:space="preserve">法定代表人/负责人</w:t>
      </w:r>
      <w:r>
        <w:rPr>
          <w:rFonts w:hint="default" w:ascii="Times New Roman" w:hAnsi="Times New Roman" w:eastAsia="仿宋_GB2312" w:cs="Times New Roman"/>
          <w:sz w:val="30"/>
          <w:szCs w:val="30"/>
          <w:highlight w:val="none"/>
        </w:rPr>
        <w:t xml:space="preserve">：               职务：</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统一社会信用代码：</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受托人：                   性别：男（女）  </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年龄：  岁                 民族：   族</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职务：</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身份证号：</w:t>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兹委托（       ）全权代表我企业（公司）参与（</w:t>
      </w:r>
      <w:r>
        <w:rPr>
          <w:rFonts w:hint="default" w:ascii="Times New Roman" w:hAnsi="Times New Roman" w:eastAsia="仿宋_GB2312" w:cs="Times New Roman"/>
          <w:sz w:val="30"/>
          <w:szCs w:val="30"/>
          <w:highlight w:val="none"/>
          <w:lang w:eastAsia="zh-CN"/>
        </w:rPr>
        <w:t xml:space="preserve">徐州市残疾人团体专属保险</w:t>
      </w:r>
      <w:r>
        <w:rPr>
          <w:rFonts w:hint="default" w:ascii="Times New Roman" w:hAnsi="Times New Roman" w:eastAsia="仿宋_GB2312" w:cs="Times New Roman"/>
          <w:sz w:val="30"/>
          <w:szCs w:val="30"/>
          <w:highlight w:val="none"/>
        </w:rPr>
        <w:t xml:space="preserve">）项目（项目编号：</w:t>
      </w:r>
      <w:r>
        <w:rPr>
          <w:rFonts w:hint="default" w:ascii="Times New Roman" w:hAnsi="Times New Roman" w:eastAsia="仿宋_GB2312" w:cs="Times New Roman"/>
          <w:sz w:val="30"/>
          <w:szCs w:val="30"/>
          <w:highlight w:val="none"/>
          <w:lang w:eastAsia="zh-CN"/>
        </w:rPr>
        <w:t xml:space="preserve">JSZC-320300-SRJJ-G2026-0001</w:t>
      </w:r>
      <w:r>
        <w:rPr>
          <w:rFonts w:hint="default" w:ascii="Times New Roman" w:hAnsi="Times New Roman" w:eastAsia="仿宋_GB2312" w:cs="Times New Roman"/>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特此授权委托。</w:t>
      </w:r>
      <w:r/>
    </w:p>
    <w:p>
      <w:pPr>
        <w:ind w:firstLine="63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委托人（盖单位电子签章）：       受托人（签字或盖章）：</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eastAsia="zh-CN"/>
        </w:rPr>
        <w:t xml:space="preserve">法定代表人/负责人</w:t>
      </w:r>
      <w:r>
        <w:rPr>
          <w:rFonts w:hint="default" w:ascii="Times New Roman" w:hAnsi="Times New Roman" w:eastAsia="仿宋_GB2312" w:cs="Times New Roman"/>
          <w:sz w:val="30"/>
          <w:szCs w:val="30"/>
          <w:highlight w:val="none"/>
        </w:rPr>
        <w:t xml:space="preserve">（签字或盖章）： </w:t>
      </w:r>
      <w:r/>
    </w:p>
    <w:p>
      <w:pPr>
        <w:ind w:right="600"/>
        <w:jc w:val="right"/>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年   月   日 </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(受托人身份证复印件附后)</w:t>
      </w:r>
      <w:r/>
    </w:p>
    <w:p>
      <w:pPr>
        <w:ind w:firstLine="447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 </w:t>
      </w:r>
      <w:r/>
    </w:p>
    <w:p>
      <w:pPr>
        <w:ind w:firstLine="447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firstLine="447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firstLine="447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jc w:val="center"/>
        <w:widowControl/>
        <w:rPr>
          <w:rFonts w:hint="default" w:ascii="Times New Roman" w:hAnsi="Times New Roman" w:eastAsia="黑体" w:cs="Times New Roman"/>
          <w:sz w:val="30"/>
          <w:szCs w:val="30"/>
          <w:highlight w:val="none"/>
        </w:rPr>
      </w:pPr>
      <w:r>
        <w:rPr>
          <w:rFonts w:hint="default" w:ascii="Times New Roman" w:hAnsi="Times New Roman" w:eastAsia="仿宋_GB2312" w:cs="Times New Roman"/>
          <w:sz w:val="30"/>
          <w:szCs w:val="30"/>
          <w:highlight w:val="none"/>
        </w:rPr>
        <w:br w:type="page" w:clear="all"/>
      </w:r>
      <w:r>
        <w:rPr>
          <w:rFonts w:hint="default" w:ascii="Times New Roman" w:hAnsi="Times New Roman" w:eastAsia="仿宋_GB2312" w:cs="Times New Roman"/>
          <w:b/>
          <w:bCs/>
          <w:sz w:val="32"/>
          <w:szCs w:val="32"/>
          <w:highlight w:val="none"/>
        </w:rPr>
        <w:t xml:space="preserve">六、中小企业声明函</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spacing w:line="480" w:lineRule="exac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spacing w:line="480" w:lineRule="exact"/>
        <w:rPr>
          <w:rFonts w:hint="default" w:ascii="Times New Roman" w:hAnsi="Times New Roman" w:eastAsia="仿宋_GB2312" w:cs="Times New Roman"/>
          <w:sz w:val="30"/>
          <w:szCs w:val="30"/>
          <w:highlight w:val="none"/>
          <w:u w:val="single"/>
          <w:lang w:eastAsia="zh-CN"/>
        </w:rPr>
      </w:pPr>
      <w:r>
        <w:rPr>
          <w:rFonts w:hint="default" w:ascii="Times New Roman" w:hAnsi="Times New Roman" w:eastAsia="仿宋_GB2312" w:cs="Times New Roman"/>
          <w:sz w:val="30"/>
          <w:szCs w:val="30"/>
          <w:highlight w:val="none"/>
        </w:rPr>
        <w:t xml:space="preserve">项目名称：</w:t>
      </w:r>
      <w:r>
        <w:rPr>
          <w:rFonts w:hint="default" w:ascii="Times New Roman" w:hAnsi="Times New Roman" w:eastAsia="仿宋_GB2312" w:cs="Times New Roman"/>
          <w:sz w:val="30"/>
          <w:szCs w:val="30"/>
          <w:highlight w:val="none"/>
          <w:lang w:eastAsia="zh-CN"/>
        </w:rPr>
        <w:t xml:space="preserve">徐州市残疾人团体专属保险</w:t>
      </w:r>
      <w:r/>
    </w:p>
    <w:p>
      <w:pPr>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z w:val="30"/>
          <w:szCs w:val="30"/>
          <w:highlight w:val="none"/>
        </w:rPr>
        <w:t xml:space="preserve">项目编号：</w:t>
      </w:r>
      <w:r>
        <w:rPr>
          <w:rFonts w:hint="default" w:ascii="Times New Roman" w:hAnsi="Times New Roman" w:eastAsia="仿宋_GB2312" w:cs="Times New Roman"/>
          <w:sz w:val="30"/>
          <w:szCs w:val="30"/>
          <w:highlight w:val="none"/>
          <w:lang w:eastAsia="zh-CN"/>
        </w:rPr>
        <w:t xml:space="preserve">JSZC-320300-SRJJ-G2026-0001</w:t>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本公司郑重声明，根据《政府采购促进中小企业发展管理办法》（财库﹝2020﹞46号）的规定，本公司参加</w:t>
      </w:r>
      <w:r>
        <w:rPr>
          <w:rFonts w:hint="default" w:ascii="Times New Roman" w:hAnsi="Times New Roman" w:eastAsia="仿宋_GB2312" w:cs="Times New Roman"/>
          <w:sz w:val="30"/>
          <w:szCs w:val="30"/>
          <w:highlight w:val="none"/>
          <w:u w:val="single"/>
        </w:rPr>
        <w:t xml:space="preserve">（单位名称）</w:t>
      </w:r>
      <w:r>
        <w:rPr>
          <w:rFonts w:hint="default" w:ascii="Times New Roman" w:hAnsi="Times New Roman" w:eastAsia="仿宋_GB2312" w:cs="Times New Roman"/>
          <w:sz w:val="30"/>
          <w:szCs w:val="30"/>
          <w:highlight w:val="none"/>
        </w:rPr>
        <w:t xml:space="preserve">的</w:t>
      </w:r>
      <w:r>
        <w:rPr>
          <w:rFonts w:hint="default" w:ascii="Times New Roman" w:hAnsi="Times New Roman" w:eastAsia="仿宋_GB2312" w:cs="Times New Roman"/>
          <w:sz w:val="30"/>
          <w:szCs w:val="30"/>
          <w:highlight w:val="none"/>
          <w:u w:val="single"/>
        </w:rPr>
        <w:t xml:space="preserve">（项目名称）</w:t>
      </w:r>
      <w:r>
        <w:rPr>
          <w:rFonts w:hint="default" w:ascii="Times New Roman" w:hAnsi="Times New Roman" w:eastAsia="仿宋_GB2312" w:cs="Times New Roman"/>
          <w:sz w:val="30"/>
          <w:szCs w:val="30"/>
          <w:highlight w:val="none"/>
        </w:rPr>
        <w:t xml:space="preserve">采购活动，服务全部由符合政策要求的中小企业承接。相关企业的具体情况如下：</w:t>
      </w:r>
      <w:r/>
    </w:p>
    <w:p>
      <w:pPr>
        <w:ind w:firstLine="600"/>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z w:val="30"/>
          <w:szCs w:val="30"/>
          <w:highlight w:val="none"/>
          <w:u w:val="single"/>
        </w:rPr>
        <w:t xml:space="preserve">（标的名称）</w:t>
      </w:r>
      <w:r>
        <w:rPr>
          <w:rFonts w:hint="default" w:ascii="Times New Roman" w:hAnsi="Times New Roman" w:eastAsia="仿宋_GB2312" w:cs="Times New Roman"/>
          <w:sz w:val="30"/>
          <w:szCs w:val="30"/>
          <w:highlight w:val="none"/>
        </w:rPr>
        <w:t xml:space="preserve">，属于</w:t>
      </w:r>
      <w:r>
        <w:rPr>
          <w:rFonts w:hint="default" w:ascii="Times New Roman" w:hAnsi="Times New Roman" w:eastAsia="仿宋_GB2312" w:cs="Times New Roman"/>
          <w:sz w:val="30"/>
          <w:szCs w:val="30"/>
          <w:highlight w:val="none"/>
          <w:u w:val="single"/>
        </w:rPr>
        <w:t xml:space="preserve">（其他未列明行业）</w:t>
      </w:r>
      <w:r>
        <w:rPr>
          <w:rFonts w:hint="default" w:ascii="Times New Roman" w:hAnsi="Times New Roman" w:eastAsia="仿宋_GB2312" w:cs="Times New Roman"/>
          <w:sz w:val="30"/>
          <w:szCs w:val="30"/>
          <w:highlight w:val="none"/>
        </w:rPr>
        <w:t xml:space="preserve">；承建（承接）企业为</w:t>
      </w:r>
      <w:r>
        <w:rPr>
          <w:rFonts w:hint="default" w:ascii="Times New Roman" w:hAnsi="Times New Roman" w:eastAsia="仿宋_GB2312" w:cs="Times New Roman"/>
          <w:sz w:val="30"/>
          <w:szCs w:val="30"/>
          <w:highlight w:val="none"/>
          <w:u w:val="single"/>
        </w:rPr>
        <w:t xml:space="preserve">（企业名称）</w:t>
      </w:r>
      <w:r>
        <w:rPr>
          <w:rFonts w:hint="default" w:ascii="Times New Roman" w:hAnsi="Times New Roman" w:eastAsia="仿宋_GB2312" w:cs="Times New Roman"/>
          <w:sz w:val="30"/>
          <w:szCs w:val="30"/>
          <w:highlight w:val="none"/>
        </w:rPr>
        <w:t xml:space="preserve">，从业人员</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人，营业收入为</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万元，资产总额为</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万元，属于（中型企业、小型企业、微型企业）；</w:t>
      </w:r>
      <w:r/>
    </w:p>
    <w:p>
      <w:pPr>
        <w:ind w:firstLine="600"/>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z w:val="30"/>
          <w:szCs w:val="30"/>
          <w:highlight w:val="none"/>
        </w:rPr>
        <w:t xml:space="preserve">以上企业，不属于大企业的分支机构，不存在控股股东为大企业的情形，也不存在与大企业的负责人为同一人的情形。</w:t>
      </w:r>
      <w:r/>
    </w:p>
    <w:p>
      <w:pPr>
        <w:ind w:firstLine="600"/>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z w:val="30"/>
          <w:szCs w:val="30"/>
          <w:highlight w:val="none"/>
        </w:rPr>
        <w:t xml:space="preserve">本企业对上述声明内容的真实性负责。如有虚假，将依法承担相应责任。</w:t>
      </w:r>
      <w:r/>
    </w:p>
    <w:p>
      <w:pPr>
        <w:ind w:firstLine="600"/>
        <w:jc w:val="left"/>
        <w:spacing w:line="480" w:lineRule="exact"/>
        <w:widowControl/>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                        企业名称（盖单位电子签章）：</w:t>
      </w:r>
      <w:r/>
    </w:p>
    <w:p>
      <w:pPr>
        <w:ind w:firstLine="600"/>
        <w:jc w:val="left"/>
        <w:spacing w:line="46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                        日期：</w:t>
      </w:r>
      <w:r/>
    </w:p>
    <w:p>
      <w:pPr>
        <w:ind w:firstLine="600"/>
        <w:jc w:val="left"/>
        <w:spacing w:line="46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注：本项目采购的服务属于其他未列明行业。</w:t>
      </w:r>
      <w:r/>
    </w:p>
    <w:p>
      <w:pPr>
        <w:pStyle w:val="1264"/>
        <w:ind w:firstLine="602"/>
        <w:jc w:val="lef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说明：</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2.从业人员、营业收入、资产总额填报供应商上一年度数据，无上一年度数据的新成立企业可不填报。</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4.执行江苏省财政厅关于进一步加大政府采购支持中小企业力度的通知（苏财购〔2022〕45号）的规定。</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5.供应商提供的《中小企业声明函》与事实不符的，依照《政府采购法》第七十七条第一款的规定追究法律责任。</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6.《中小企业声明函》查询渠道用微信搜索“中小企业规模类型自测小程序”。</w:t>
      </w:r>
      <w:r/>
    </w:p>
    <w:p>
      <w:pPr>
        <w:jc w:val="center"/>
        <w:spacing w:line="480" w:lineRule="exact"/>
        <w:rPr>
          <w:rFonts w:hint="default" w:ascii="Times New Roman" w:hAnsi="Times New Roman" w:eastAsia="黑体" w:cs="Times New Roman"/>
          <w:b/>
          <w:spacing w:val="6"/>
          <w:sz w:val="30"/>
          <w:szCs w:val="30"/>
          <w:highlight w:val="none"/>
        </w:rPr>
      </w:pPr>
      <w:r>
        <w:rPr>
          <w:rFonts w:hint="default" w:ascii="Times New Roman" w:hAnsi="Times New Roman" w:cs="Times New Roman"/>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1291590</wp:posOffset>
                </wp:positionH>
                <wp:positionV relativeFrom="paragraph">
                  <wp:posOffset>193040</wp:posOffset>
                </wp:positionV>
                <wp:extent cx="2875280" cy="5948045"/>
                <wp:effectExtent l="0" t="0" r="5080" b="10795"/>
                <wp:wrapTight wrapText="bothSides">
                  <wp:wrapPolygon edited="1">
                    <wp:start x="0" y="0"/>
                    <wp:lineTo x="0" y="21529"/>
                    <wp:lineTo x="21524" y="21529"/>
                    <wp:lineTo x="21524" y="0"/>
                    <wp:lineTo x="0" y="0"/>
                  </wp:wrapPolygon>
                </wp:wrapTight>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rcRect l="0" t="4498" r="0" b="0"/>
                        <a:stretch/>
                      </pic:blipFill>
                      <pic:spPr bwMode="auto">
                        <a:xfrm>
                          <a:off x="0" y="0"/>
                          <a:ext cx="2875280" cy="5948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01.7pt;mso-position-horizontal:absolute;mso-position-vertical-relative:text;margin-top:15.2pt;mso-position-vertical:absolute;width:226.4pt;height:468.3pt;mso-wrap-distance-left:9.0pt;mso-wrap-distance-top:0.0pt;mso-wrap-distance-right:9.0pt;mso-wrap-distance-bottom:0.0pt;" wrapcoords="0 0 0 99671 99648 99671 99648 0 0 0" stroked="f">
                <v:path textboxrect="0,0,0,0"/>
                <w10:wrap type="tight"/>
                <v:imagedata r:id="rId12" o:title=""/>
              </v:shape>
            </w:pict>
          </mc:Fallback>
        </mc:AlternateContent>
      </w:r>
      <w:r>
        <w:rPr>
          <w:rFonts w:hint="default" w:ascii="Times New Roman" w:hAnsi="Times New Roman" w:eastAsia="黑体" w:cs="Times New Roman"/>
          <w:sz w:val="30"/>
          <w:szCs w:val="30"/>
          <w:highlight w:val="none"/>
        </w:rPr>
        <w:br w:type="page" w:clear="all"/>
      </w:r>
      <w:r>
        <w:rPr>
          <w:rFonts w:hint="default" w:ascii="Times New Roman" w:hAnsi="Times New Roman" w:eastAsia="仿宋_GB2312" w:cs="Times New Roman"/>
          <w:b/>
          <w:bCs/>
          <w:sz w:val="32"/>
          <w:szCs w:val="32"/>
          <w:highlight w:val="none"/>
        </w:rPr>
        <w:t xml:space="preserve">七、残疾人福利性单位声明函</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r>
      <w:r/>
    </w:p>
    <w:p>
      <w:pPr>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t xml:space="preserve">项目名称：</w:t>
      </w:r>
      <w:r>
        <w:rPr>
          <w:rFonts w:hint="default" w:ascii="Times New Roman" w:hAnsi="Times New Roman" w:eastAsia="仿宋_GB2312" w:cs="Times New Roman"/>
          <w:spacing w:val="6"/>
          <w:sz w:val="30"/>
          <w:szCs w:val="30"/>
          <w:highlight w:val="none"/>
          <w:lang w:eastAsia="zh-CN"/>
        </w:rPr>
        <w:t xml:space="preserve">徐州市残疾人团体专属保险</w:t>
      </w:r>
      <w:r>
        <w:rPr>
          <w:rFonts w:hint="default" w:ascii="Times New Roman" w:hAnsi="Times New Roman" w:eastAsia="仿宋_GB2312" w:cs="Times New Roman"/>
          <w:spacing w:val="6"/>
          <w:sz w:val="30"/>
          <w:szCs w:val="30"/>
          <w:highlight w:val="none"/>
        </w:rPr>
        <w:t xml:space="preserve"> </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rPr>
        <w:t xml:space="preserve">项目编号：</w:t>
      </w:r>
      <w:r>
        <w:rPr>
          <w:rFonts w:hint="default" w:ascii="Times New Roman" w:hAnsi="Times New Roman" w:eastAsia="仿宋_GB2312" w:cs="Times New Roman"/>
          <w:spacing w:val="6"/>
          <w:sz w:val="30"/>
          <w:szCs w:val="30"/>
          <w:highlight w:val="none"/>
          <w:lang w:eastAsia="zh-CN"/>
        </w:rPr>
        <w:t xml:space="preserve">JSZC-320300-SRJJ-G2026-0001</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t xml:space="preserve">本单位郑重声明，根据《财政部 民政部 中国残疾人联合会关于促进残疾人就业政府采购政策的通知》（财库</w:t>
      </w:r>
      <w:r>
        <w:rPr>
          <w:rFonts w:hint="default" w:ascii="Times New Roman" w:hAnsi="Times New Roman" w:eastAsia="仿宋_GB2312" w:cs="Times New Roman"/>
          <w:sz w:val="30"/>
          <w:szCs w:val="30"/>
          <w:highlight w:val="none"/>
        </w:rPr>
        <w:t xml:space="preserve">〔2017〕 141</w:t>
      </w:r>
      <w:r>
        <w:rPr>
          <w:rFonts w:hint="default" w:ascii="Times New Roman" w:hAnsi="Times New Roman" w:eastAsia="仿宋_GB2312" w:cs="Times New Roman"/>
          <w:spacing w:val="6"/>
          <w:sz w:val="30"/>
          <w:szCs w:val="30"/>
          <w:highlight w:val="none"/>
        </w:rPr>
        <w:t xml:space="preserve">号）的规定，本单位为符合条件的残疾人福利性单位，且本单位参加</w:t>
      </w:r>
      <w:r>
        <w:rPr>
          <w:rFonts w:hint="default" w:ascii="Times New Roman" w:hAnsi="Times New Roman" w:eastAsia="仿宋_GB2312" w:cs="Times New Roman"/>
          <w:sz w:val="30"/>
          <w:szCs w:val="30"/>
          <w:highlight w:val="none"/>
        </w:rPr>
        <w:t xml:space="preserve">______</w:t>
      </w:r>
      <w:r>
        <w:rPr>
          <w:rFonts w:hint="default" w:ascii="Times New Roman" w:hAnsi="Times New Roman" w:eastAsia="仿宋_GB2312" w:cs="Times New Roman"/>
          <w:spacing w:val="6"/>
          <w:sz w:val="30"/>
          <w:szCs w:val="30"/>
          <w:highlight w:val="none"/>
        </w:rPr>
        <w:t xml:space="preserve">单位的</w:t>
      </w:r>
      <w:r>
        <w:rPr>
          <w:rFonts w:hint="default" w:ascii="Times New Roman" w:hAnsi="Times New Roman" w:eastAsia="仿宋_GB2312" w:cs="Times New Roman"/>
          <w:sz w:val="30"/>
          <w:szCs w:val="30"/>
          <w:highlight w:val="none"/>
        </w:rPr>
        <w:t xml:space="preserve">______</w:t>
      </w:r>
      <w:r>
        <w:rPr>
          <w:rFonts w:hint="default" w:ascii="Times New Roman" w:hAnsi="Times New Roman" w:eastAsia="仿宋_GB2312" w:cs="Times New Roman"/>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t xml:space="preserve">本单位对上述声明的真实性负责。如有虚假，将依法承担相应责任。</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ind w:firstLine="45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ind w:firstLine="600"/>
        <w:spacing w:line="480" w:lineRule="exact"/>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r>
      <w:r/>
    </w:p>
    <w:p>
      <w:pPr>
        <w:jc w:val="center"/>
        <w:spacing w:line="480" w:lineRule="exact"/>
        <w:rPr>
          <w:rFonts w:hint="default" w:ascii="Times New Roman" w:hAnsi="Times New Roman" w:eastAsia="仿宋_GB2312" w:cs="Times New Roman"/>
          <w:b/>
          <w:bCs/>
          <w:sz w:val="32"/>
          <w:szCs w:val="32"/>
          <w:highlight w:val="none"/>
        </w:rPr>
      </w:pPr>
      <w:r>
        <w:rPr>
          <w:rFonts w:hint="default" w:ascii="Times New Roman" w:hAnsi="Times New Roman" w:eastAsia="黑体" w:cs="Times New Roman"/>
          <w:sz w:val="30"/>
          <w:szCs w:val="30"/>
          <w:highlight w:val="none"/>
        </w:rPr>
        <w:br w:type="page" w:clear="all"/>
      </w:r>
      <w:r>
        <w:rPr>
          <w:rFonts w:hint="default" w:ascii="Times New Roman" w:hAnsi="Times New Roman" w:eastAsia="仿宋_GB2312" w:cs="Times New Roman"/>
          <w:b/>
          <w:bCs/>
          <w:sz w:val="32"/>
          <w:szCs w:val="32"/>
          <w:highlight w:val="none"/>
        </w:rPr>
        <w:t xml:space="preserve">八、投标人参加政府采购活动前3年内在经营活动中没有</w:t>
      </w:r>
      <w:r/>
    </w:p>
    <w:p>
      <w:pPr>
        <w:jc w:val="center"/>
        <w:spacing w:line="480" w:lineRule="exact"/>
        <w:rPr>
          <w:rFonts w:hint="default" w:ascii="Times New Roman" w:hAnsi="Times New Roman" w:eastAsia="黑体" w:cs="Times New Roman"/>
          <w:sz w:val="30"/>
          <w:szCs w:val="30"/>
          <w:highlight w:val="none"/>
        </w:rPr>
      </w:pPr>
      <w:r>
        <w:rPr>
          <w:rFonts w:hint="default" w:ascii="Times New Roman" w:hAnsi="Times New Roman" w:eastAsia="仿宋_GB2312" w:cs="Times New Roman"/>
          <w:b/>
          <w:bCs/>
          <w:sz w:val="32"/>
          <w:szCs w:val="32"/>
          <w:highlight w:val="none"/>
        </w:rPr>
        <w:t xml:space="preserve">重大违法记录的书面声明</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我单位在参加</w:t>
      </w:r>
      <w:r>
        <w:rPr>
          <w:rFonts w:hint="default" w:ascii="Times New Roman" w:hAnsi="Times New Roman" w:eastAsia="仿宋_GB2312" w:cs="Times New Roman"/>
          <w:sz w:val="30"/>
          <w:szCs w:val="30"/>
          <w:highlight w:val="none"/>
          <w:lang w:eastAsia="zh-CN"/>
        </w:rPr>
        <w:t xml:space="preserve">徐州市残疾人团体专属保险</w:t>
      </w:r>
      <w:r>
        <w:rPr>
          <w:rFonts w:hint="default" w:ascii="Times New Roman" w:hAnsi="Times New Roman" w:eastAsia="仿宋_GB2312" w:cs="Times New Roman"/>
          <w:sz w:val="30"/>
          <w:szCs w:val="30"/>
          <w:highlight w:val="none"/>
        </w:rPr>
        <w:t xml:space="preserve">（项目编号：</w:t>
      </w:r>
      <w:r>
        <w:rPr>
          <w:rFonts w:hint="default" w:ascii="Times New Roman" w:hAnsi="Times New Roman" w:eastAsia="仿宋_GB2312" w:cs="Times New Roman"/>
          <w:sz w:val="30"/>
          <w:szCs w:val="30"/>
          <w:highlight w:val="none"/>
          <w:lang w:eastAsia="zh-CN"/>
        </w:rPr>
        <w:t xml:space="preserve">JSZC-320300-SRJJ-G2026-0001</w:t>
      </w:r>
      <w:r>
        <w:rPr>
          <w:rFonts w:hint="default" w:ascii="Times New Roman" w:hAnsi="Times New Roman" w:eastAsia="仿宋_GB2312" w:cs="Times New Roman"/>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37"/>
        <w:ind w:firstLine="600"/>
        <w:spacing w:before="0" w:beforeAutospacing="0" w:after="0" w:afterAutospacing="0"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我单位对上述声明的真实性负责。如有虚假，将依法承担相应责任。</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pStyle w:val="1234"/>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r>
      <w:r/>
    </w:p>
    <w:p>
      <w:pPr>
        <w:pStyle w:val="1217"/>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34"/>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7"/>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34"/>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7"/>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34"/>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7"/>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34"/>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7"/>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34"/>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7"/>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34"/>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7"/>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34"/>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7"/>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ind w:firstLine="562"/>
        <w:spacing w:line="480" w:lineRule="exact"/>
        <w:rPr>
          <w:rFonts w:hint="default" w:ascii="Times New Roman" w:hAnsi="Times New Roman" w:cs="Times New Roman"/>
          <w:b/>
          <w:sz w:val="28"/>
          <w:szCs w:val="28"/>
          <w:highlight w:val="none"/>
        </w:rPr>
      </w:pPr>
      <w:r>
        <w:rPr>
          <w:rFonts w:hint="default" w:ascii="Times New Roman" w:hAnsi="Times New Roman" w:cs="Times New Roman"/>
          <w:b/>
          <w:sz w:val="28"/>
          <w:szCs w:val="28"/>
          <w:highlight w:val="none"/>
        </w:rPr>
      </w:r>
      <w:r/>
    </w:p>
    <w:p>
      <w:pPr>
        <w:rPr>
          <w:rFonts w:hint="default" w:ascii="Times New Roman" w:hAnsi="Times New Roman" w:cs="Times New Roman"/>
          <w:b/>
          <w:bCs w:val="0"/>
          <w:color w:val="000000"/>
          <w:spacing w:val="6"/>
          <w:sz w:val="30"/>
          <w:szCs w:val="30"/>
          <w:highlight w:val="none"/>
        </w:rPr>
      </w:pPr>
      <w:r>
        <w:rPr>
          <w:rFonts w:hint="default" w:ascii="Times New Roman" w:hAnsi="Times New Roman" w:cs="Times New Roman"/>
          <w:b/>
          <w:bCs w:val="0"/>
          <w:color w:val="000000"/>
          <w:spacing w:val="6"/>
          <w:sz w:val="30"/>
          <w:szCs w:val="30"/>
          <w:highlight w:val="none"/>
        </w:rPr>
        <w:br w:type="page" w:clear="all"/>
      </w:r>
      <w:r/>
    </w:p>
    <w:p>
      <w:pPr>
        <w:numPr>
          <w:ilvl w:val="0"/>
          <w:numId w:val="7"/>
        </w:numPr>
        <w:jc w:val="center"/>
        <w:spacing w:line="480" w:lineRule="exact"/>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 xml:space="preserve">具备履行合同所必需的设备和专业技术能力的书面声明</w:t>
      </w:r>
      <w:r/>
    </w:p>
    <w:p>
      <w:pPr>
        <w:numPr>
          <w:ilvl w:val="0"/>
          <w:numId w:val="0"/>
        </w:numPr>
        <w:jc w:val="center"/>
        <w:spacing w:line="480" w:lineRule="exact"/>
        <w:rPr>
          <w:rFonts w:hint="default" w:ascii="Times New Roman" w:hAnsi="Times New Roman" w:eastAsia="仿宋_GB2312" w:cs="Times New Roman"/>
          <w:b/>
          <w:bCs/>
          <w:spacing w:val="6"/>
          <w:sz w:val="32"/>
          <w:szCs w:val="32"/>
          <w:highlight w:val="none"/>
        </w:rPr>
      </w:pP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r>
      <w:r/>
    </w:p>
    <w:p>
      <w:pPr>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t xml:space="preserve">项目名称：</w:t>
      </w:r>
      <w:r>
        <w:rPr>
          <w:rFonts w:hint="default" w:ascii="Times New Roman" w:hAnsi="Times New Roman" w:eastAsia="仿宋_GB2312" w:cs="Times New Roman"/>
          <w:spacing w:val="6"/>
          <w:sz w:val="30"/>
          <w:szCs w:val="30"/>
          <w:highlight w:val="none"/>
          <w:lang w:eastAsia="zh-CN"/>
        </w:rPr>
        <w:t xml:space="preserve">徐州市残疾人团体专属保险</w:t>
      </w:r>
      <w:r>
        <w:rPr>
          <w:rFonts w:hint="default" w:ascii="Times New Roman" w:hAnsi="Times New Roman" w:eastAsia="仿宋_GB2312" w:cs="Times New Roman"/>
          <w:spacing w:val="6"/>
          <w:sz w:val="30"/>
          <w:szCs w:val="30"/>
          <w:highlight w:val="none"/>
        </w:rPr>
        <w:t xml:space="preserve"> </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rPr>
        <w:t xml:space="preserve">项目编号：</w:t>
      </w:r>
      <w:r>
        <w:rPr>
          <w:rFonts w:hint="default" w:ascii="Times New Roman" w:hAnsi="Times New Roman" w:eastAsia="仿宋_GB2312" w:cs="Times New Roman"/>
          <w:spacing w:val="6"/>
          <w:sz w:val="30"/>
          <w:szCs w:val="30"/>
          <w:highlight w:val="none"/>
          <w:lang w:eastAsia="zh-CN"/>
        </w:rPr>
        <w:t xml:space="preserve">JSZC-320300-SRJJ-G2026-0001</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投标人郑重声明：投标人具备履行合同（项目名称：徐州市残疾人团体专属保险项目，项目编号：JSZC-320300-SRJJ-G2026-0001）所必需的设备和专业技术能力，具体为：</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设备：</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1.</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2.</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3.</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专业技术能力：</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1.</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2.</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3.</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特此声明。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投标人对上述声明的真实性负责。如有虚假，将依法承担相应责任。</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rPr>
          <w:rFonts w:hint="default" w:ascii="Times New Roman" w:hAnsi="Times New Roman" w:cs="Times New Roman"/>
          <w:b/>
          <w:bCs w:val="0"/>
          <w:color w:val="000000"/>
          <w:spacing w:val="6"/>
          <w:sz w:val="30"/>
          <w:szCs w:val="30"/>
          <w:highlight w:val="none"/>
        </w:rPr>
      </w:pPr>
      <w:r>
        <w:rPr>
          <w:rFonts w:hint="default" w:ascii="Times New Roman" w:hAnsi="Times New Roman" w:cs="Times New Roman"/>
          <w:b/>
          <w:bCs w:val="0"/>
          <w:color w:val="000000"/>
          <w:spacing w:val="6"/>
          <w:sz w:val="30"/>
          <w:szCs w:val="30"/>
          <w:highlight w:val="none"/>
        </w:rPr>
        <w:br w:type="page" w:clear="all"/>
      </w:r>
      <w:r/>
    </w:p>
    <w:p>
      <w:pPr>
        <w:pStyle w:val="1252"/>
        <w:jc w:val="center"/>
        <w:widowControl/>
        <w:rPr>
          <w:rFonts w:hint="default" w:ascii="Times New Roman" w:hAnsi="Times New Roman" w:eastAsia="仿宋_GB2312" w:cs="Times New Roman"/>
          <w:b/>
          <w:bCs w:val="0"/>
          <w:color w:val="000000"/>
          <w:sz w:val="32"/>
          <w:szCs w:val="32"/>
          <w:highlight w:val="none"/>
        </w:rPr>
      </w:pPr>
      <w:r>
        <w:rPr>
          <w:rFonts w:hint="default" w:ascii="Times New Roman" w:hAnsi="Times New Roman" w:eastAsia="仿宋_GB2312" w:cs="Times New Roman"/>
          <w:b/>
          <w:bCs w:val="0"/>
          <w:color w:val="000000"/>
          <w:spacing w:val="6"/>
          <w:sz w:val="32"/>
          <w:szCs w:val="32"/>
          <w:highlight w:val="none"/>
          <w:lang w:val="en-US" w:eastAsia="zh-CN"/>
        </w:rPr>
        <w:t xml:space="preserve">十</w:t>
      </w:r>
      <w:r>
        <w:rPr>
          <w:rFonts w:hint="default" w:ascii="Times New Roman" w:hAnsi="Times New Roman" w:eastAsia="仿宋_GB2312" w:cs="Times New Roman"/>
          <w:b/>
          <w:bCs w:val="0"/>
          <w:color w:val="000000"/>
          <w:spacing w:val="6"/>
          <w:sz w:val="32"/>
          <w:szCs w:val="32"/>
          <w:highlight w:val="none"/>
        </w:rPr>
        <w:t xml:space="preserve">、投标人相关承诺</w:t>
      </w:r>
      <w:r/>
    </w:p>
    <w:p>
      <w:pPr>
        <w:ind w:firstLine="624"/>
        <w:spacing w:line="480" w:lineRule="exact"/>
        <w:rPr>
          <w:rFonts w:hint="default" w:ascii="Times New Roman" w:hAnsi="Times New Roman" w:cs="Times New Roman"/>
          <w:color w:val="000000"/>
          <w:spacing w:val="6"/>
          <w:sz w:val="30"/>
          <w:szCs w:val="30"/>
          <w:highlight w:val="none"/>
        </w:rPr>
      </w:pPr>
      <w:r>
        <w:rPr>
          <w:rFonts w:hint="default" w:ascii="Times New Roman" w:hAnsi="Times New Roman" w:cs="Times New Roman"/>
          <w:color w:val="000000"/>
          <w:spacing w:val="6"/>
          <w:sz w:val="30"/>
          <w:szCs w:val="30"/>
          <w:highlight w:val="none"/>
        </w:rPr>
      </w:r>
      <w:r/>
    </w:p>
    <w:p>
      <w:pPr>
        <w:spacing w:line="480" w:lineRule="exact"/>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t xml:space="preserve">项目名称：</w:t>
      </w:r>
      <w:r>
        <w:rPr>
          <w:rFonts w:hint="default" w:ascii="Times New Roman" w:hAnsi="Times New Roman" w:eastAsia="仿宋_GB2312" w:cs="Times New Roman"/>
          <w:color w:val="000000"/>
          <w:spacing w:val="6"/>
          <w:sz w:val="30"/>
          <w:szCs w:val="30"/>
          <w:highlight w:val="none"/>
          <w:lang w:eastAsia="zh-CN"/>
        </w:rPr>
        <w:t xml:space="preserve">徐州市残疾人团体专属保险</w:t>
      </w:r>
      <w:r>
        <w:rPr>
          <w:rFonts w:hint="default" w:ascii="Times New Roman" w:hAnsi="Times New Roman" w:eastAsia="仿宋_GB2312" w:cs="Times New Roman"/>
          <w:color w:val="000000"/>
          <w:spacing w:val="6"/>
          <w:sz w:val="30"/>
          <w:szCs w:val="30"/>
          <w:highlight w:val="none"/>
        </w:rPr>
        <w:t xml:space="preserve"> </w:t>
      </w:r>
      <w:r/>
    </w:p>
    <w:p>
      <w:pPr>
        <w:spacing w:line="480" w:lineRule="exact"/>
        <w:rPr>
          <w:rFonts w:hint="default" w:ascii="Times New Roman" w:hAnsi="Times New Roman" w:eastAsia="仿宋_GB2312" w:cs="Times New Roman"/>
          <w:color w:val="000000"/>
          <w:spacing w:val="6"/>
          <w:sz w:val="30"/>
          <w:szCs w:val="30"/>
          <w:highlight w:val="none"/>
          <w:lang w:eastAsia="zh-CN"/>
        </w:rPr>
      </w:pPr>
      <w:r>
        <w:rPr>
          <w:rFonts w:hint="default" w:ascii="Times New Roman" w:hAnsi="Times New Roman" w:eastAsia="仿宋_GB2312" w:cs="Times New Roman"/>
          <w:color w:val="000000"/>
          <w:spacing w:val="6"/>
          <w:sz w:val="30"/>
          <w:szCs w:val="30"/>
          <w:highlight w:val="none"/>
        </w:rPr>
        <w:t xml:space="preserve">项目编号：</w:t>
      </w:r>
      <w:r>
        <w:rPr>
          <w:rFonts w:hint="default" w:ascii="Times New Roman" w:hAnsi="Times New Roman" w:eastAsia="仿宋_GB2312" w:cs="Times New Roman"/>
          <w:color w:val="000000"/>
          <w:spacing w:val="6"/>
          <w:sz w:val="30"/>
          <w:szCs w:val="30"/>
          <w:highlight w:val="none"/>
          <w:lang w:eastAsia="zh-CN"/>
        </w:rPr>
        <w:t xml:space="preserve">JSZC-320300-SRJJ-G2026-0001</w:t>
      </w:r>
      <w:r/>
    </w:p>
    <w:p>
      <w:pPr>
        <w:pStyle w:val="1252"/>
        <w:ind w:firstLine="584"/>
        <w:spacing w:line="588" w:lineRule="exact"/>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r>
      <w:r/>
    </w:p>
    <w:p>
      <w:pPr>
        <w:pStyle w:val="1252"/>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t xml:space="preserve">我单位承诺：</w:t>
      </w:r>
      <w:r/>
    </w:p>
    <w:p>
      <w:pPr>
        <w:pStyle w:val="1252"/>
        <w:ind w:firstLine="624"/>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lang w:val="en-US" w:eastAsia="zh-CN"/>
        </w:rPr>
        <w:t xml:space="preserve">1.</w:t>
      </w:r>
      <w:r>
        <w:rPr>
          <w:rFonts w:hint="default" w:ascii="Times New Roman" w:hAnsi="Times New Roman" w:eastAsia="仿宋_GB2312" w:cs="Times New Roman"/>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252"/>
        <w:ind w:firstLine="624"/>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lang w:val="en-US" w:eastAsia="zh-CN"/>
        </w:rPr>
        <w:t xml:space="preserve">2.</w:t>
      </w:r>
      <w:r>
        <w:rPr>
          <w:rFonts w:hint="default" w:ascii="Times New Roman" w:hAnsi="Times New Roman" w:eastAsia="仿宋_GB2312" w:cs="Times New Roman"/>
          <w:color w:val="000000"/>
          <w:spacing w:val="6"/>
          <w:sz w:val="30"/>
          <w:szCs w:val="30"/>
          <w:highlight w:val="none"/>
        </w:rPr>
        <w:t xml:space="preserve">本项目</w:t>
      </w:r>
      <w:r>
        <w:rPr>
          <w:rFonts w:hint="default" w:ascii="Times New Roman" w:hAnsi="Times New Roman" w:eastAsia="仿宋_GB2312" w:cs="Times New Roman"/>
          <w:color w:val="000000"/>
          <w:spacing w:val="6"/>
          <w:sz w:val="30"/>
          <w:szCs w:val="30"/>
          <w:highlight w:val="none"/>
          <w:lang w:val="en-US" w:eastAsia="zh-CN"/>
        </w:rPr>
        <w:t xml:space="preserve">我公司</w:t>
      </w:r>
      <w:r>
        <w:rPr>
          <w:rFonts w:hint="default" w:ascii="Times New Roman" w:hAnsi="Times New Roman" w:eastAsia="仿宋_GB2312" w:cs="Times New Roman"/>
          <w:color w:val="000000"/>
          <w:spacing w:val="6"/>
          <w:sz w:val="30"/>
          <w:szCs w:val="30"/>
          <w:highlight w:val="none"/>
        </w:rPr>
        <w:t xml:space="preserve">拟使用的保险条款</w:t>
      </w:r>
      <w:r>
        <w:rPr>
          <w:rFonts w:hint="default" w:ascii="Times New Roman" w:hAnsi="Times New Roman" w:eastAsia="仿宋_GB2312" w:cs="Times New Roman"/>
          <w:color w:val="000000"/>
          <w:spacing w:val="6"/>
          <w:sz w:val="30"/>
          <w:szCs w:val="30"/>
          <w:highlight w:val="none"/>
          <w:lang w:eastAsia="zh-CN"/>
        </w:rPr>
        <w:t xml:space="preserve">、</w:t>
      </w:r>
      <w:r>
        <w:rPr>
          <w:rFonts w:hint="default" w:ascii="Times New Roman" w:hAnsi="Times New Roman" w:eastAsia="仿宋_GB2312" w:cs="Times New Roman"/>
          <w:color w:val="000000"/>
          <w:spacing w:val="6"/>
          <w:sz w:val="30"/>
          <w:szCs w:val="30"/>
          <w:highlight w:val="none"/>
        </w:rPr>
        <w:t xml:space="preserve">费率</w:t>
      </w:r>
      <w:r>
        <w:rPr>
          <w:rFonts w:hint="default" w:ascii="Times New Roman" w:hAnsi="Times New Roman" w:eastAsia="仿宋_GB2312" w:cs="Times New Roman"/>
          <w:color w:val="000000"/>
          <w:spacing w:val="6"/>
          <w:sz w:val="30"/>
          <w:szCs w:val="30"/>
          <w:highlight w:val="none"/>
          <w:lang w:val="en-US" w:eastAsia="zh-CN"/>
        </w:rPr>
        <w:t xml:space="preserve">及相关措辞</w:t>
      </w:r>
      <w:r>
        <w:rPr>
          <w:rFonts w:hint="default" w:ascii="Times New Roman" w:hAnsi="Times New Roman" w:eastAsia="仿宋_GB2312" w:cs="Times New Roman"/>
          <w:color w:val="000000"/>
          <w:spacing w:val="6"/>
          <w:sz w:val="30"/>
          <w:szCs w:val="30"/>
          <w:highlight w:val="none"/>
        </w:rPr>
        <w:t xml:space="preserve">均已按照监管规定完成备案，并严格执行经备案的条款和费率。如有违反，投标人承担由此产生的一切法律责任和监管后果。</w:t>
      </w:r>
      <w:r/>
    </w:p>
    <w:p>
      <w:pPr>
        <w:pStyle w:val="1253"/>
        <w:numPr>
          <w:ilvl w:val="0"/>
          <w:numId w:val="0"/>
        </w:numPr>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r>
      <w:r/>
    </w:p>
    <w:p>
      <w:pPr>
        <w:pStyle w:val="1252"/>
        <w:ind w:firstLine="624"/>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r>
      <w:r/>
    </w:p>
    <w:p>
      <w:pPr>
        <w:pStyle w:val="1252"/>
        <w:ind w:firstLine="624"/>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t xml:space="preserve">我单位对上述承诺负责，并依法承担相应责任。</w:t>
      </w:r>
      <w:r/>
    </w:p>
    <w:p>
      <w:pPr>
        <w:pStyle w:val="1258"/>
        <w:ind w:left="0" w:firstLine="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58"/>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pStyle w:val="1252"/>
        <w:jc w:val="center"/>
        <w:rPr>
          <w:rFonts w:hint="default" w:ascii="Times New Roman" w:hAnsi="Times New Roman" w:cs="Times New Roman"/>
          <w:color w:val="000000"/>
          <w:sz w:val="30"/>
          <w:szCs w:val="30"/>
          <w:highlight w:val="none"/>
        </w:rPr>
      </w:pPr>
      <w:r>
        <w:rPr>
          <w:rFonts w:hint="default" w:ascii="Times New Roman" w:hAnsi="Times New Roman" w:cs="Times New Roman"/>
          <w:color w:val="000000"/>
          <w:sz w:val="30"/>
          <w:szCs w:val="30"/>
          <w:highlight w:val="none"/>
        </w:rPr>
      </w:r>
      <w:r/>
    </w:p>
    <w:p>
      <w:pPr>
        <w:pStyle w:val="1252"/>
        <w:jc w:val="center"/>
        <w:rPr>
          <w:rFonts w:hint="default" w:ascii="Times New Roman" w:hAnsi="Times New Roman" w:eastAsia="仿宋" w:cs="Times New Roman"/>
          <w:color w:val="000000"/>
          <w:sz w:val="30"/>
          <w:szCs w:val="30"/>
          <w:highlight w:val="none"/>
        </w:rPr>
      </w:pPr>
      <w:r>
        <w:rPr>
          <w:rFonts w:hint="default" w:ascii="Times New Roman" w:hAnsi="Times New Roman" w:eastAsia="仿宋" w:cs="Times New Roman"/>
          <w:color w:val="000000"/>
          <w:sz w:val="30"/>
          <w:szCs w:val="30"/>
          <w:highlight w:val="none"/>
        </w:rPr>
      </w:r>
      <w:r/>
    </w:p>
    <w:p>
      <w:pPr>
        <w:pStyle w:val="1252"/>
        <w:ind w:firstLine="700"/>
        <w:spacing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r>
      <w:r/>
    </w:p>
    <w:p>
      <w:pPr>
        <w:pStyle w:val="1252"/>
        <w:spacing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r>
      <w:r/>
    </w:p>
    <w:p>
      <w:pPr>
        <w:pStyle w:val="1252"/>
        <w:spacing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r>
      <w:r/>
    </w:p>
    <w:p>
      <w:pPr>
        <w:pStyle w:val="1258"/>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1252"/>
        <w:jc w:val="center"/>
        <w:widowControl/>
        <w:rPr>
          <w:rFonts w:hint="default" w:ascii="Times New Roman" w:hAnsi="Times New Roman" w:cs="Times New Roman"/>
          <w:color w:val="000000"/>
          <w:sz w:val="30"/>
          <w:szCs w:val="30"/>
          <w:highlight w:val="none"/>
        </w:rPr>
      </w:pPr>
      <w:r>
        <w:rPr>
          <w:rFonts w:hint="default" w:ascii="Times New Roman" w:hAnsi="Times New Roman" w:eastAsia="仿宋" w:cs="Times New Roman"/>
          <w:color w:val="000000"/>
          <w:sz w:val="28"/>
          <w:szCs w:val="28"/>
          <w:highlight w:val="none"/>
        </w:rPr>
        <w:br w:type="page" w:clear="all"/>
      </w:r>
      <w:r>
        <w:rPr>
          <w:rFonts w:hint="default" w:ascii="Times New Roman" w:hAnsi="Times New Roman" w:eastAsia="仿宋_GB2312" w:cs="Times New Roman"/>
          <w:b/>
          <w:bCs/>
          <w:color w:val="000000"/>
          <w:sz w:val="32"/>
          <w:szCs w:val="32"/>
          <w:highlight w:val="none"/>
        </w:rPr>
        <w:t xml:space="preserve">十</w:t>
      </w:r>
      <w:r>
        <w:rPr>
          <w:rFonts w:hint="default" w:ascii="Times New Roman" w:hAnsi="Times New Roman" w:eastAsia="仿宋_GB2312" w:cs="Times New Roman"/>
          <w:b/>
          <w:bCs/>
          <w:color w:val="000000"/>
          <w:sz w:val="32"/>
          <w:szCs w:val="32"/>
          <w:highlight w:val="none"/>
          <w:lang w:val="en-US" w:eastAsia="zh-CN"/>
        </w:rPr>
        <w:t xml:space="preserve">一</w:t>
      </w:r>
      <w:r>
        <w:rPr>
          <w:rFonts w:hint="default" w:ascii="Times New Roman" w:hAnsi="Times New Roman" w:eastAsia="仿宋_GB2312" w:cs="Times New Roman"/>
          <w:b/>
          <w:bCs/>
          <w:color w:val="000000"/>
          <w:sz w:val="32"/>
          <w:szCs w:val="32"/>
          <w:highlight w:val="none"/>
        </w:rPr>
        <w:t xml:space="preserve">、投标人</w:t>
      </w:r>
      <w:r>
        <w:rPr>
          <w:rFonts w:hint="default" w:ascii="Times New Roman" w:hAnsi="Times New Roman" w:eastAsia="仿宋_GB2312" w:cs="Times New Roman"/>
          <w:b/>
          <w:bCs/>
          <w:color w:val="000000"/>
          <w:spacing w:val="6"/>
          <w:sz w:val="32"/>
          <w:szCs w:val="32"/>
          <w:highlight w:val="none"/>
        </w:rPr>
        <w:t xml:space="preserve">书面声明</w:t>
      </w:r>
      <w:r/>
    </w:p>
    <w:p>
      <w:pPr>
        <w:spacing w:line="480" w:lineRule="exact"/>
        <w:rPr>
          <w:rFonts w:hint="default" w:ascii="Times New Roman" w:hAnsi="Times New Roman" w:eastAsia="仿宋" w:cs="Times New Roman"/>
          <w:color w:val="000000"/>
          <w:spacing w:val="6"/>
          <w:sz w:val="30"/>
          <w:szCs w:val="30"/>
          <w:highlight w:val="none"/>
        </w:rPr>
      </w:pPr>
      <w:r>
        <w:rPr>
          <w:rFonts w:hint="default" w:ascii="Times New Roman" w:hAnsi="Times New Roman" w:eastAsia="仿宋" w:cs="Times New Roman"/>
          <w:color w:val="000000"/>
          <w:spacing w:val="6"/>
          <w:sz w:val="30"/>
          <w:szCs w:val="30"/>
          <w:highlight w:val="none"/>
        </w:rPr>
      </w:r>
      <w:r/>
    </w:p>
    <w:p>
      <w:pPr>
        <w:spacing w:line="480" w:lineRule="exact"/>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t xml:space="preserve">项目名称：</w:t>
      </w:r>
      <w:r>
        <w:rPr>
          <w:rFonts w:hint="default" w:ascii="Times New Roman" w:hAnsi="Times New Roman" w:eastAsia="仿宋_GB2312" w:cs="Times New Roman"/>
          <w:color w:val="000000"/>
          <w:spacing w:val="6"/>
          <w:sz w:val="30"/>
          <w:szCs w:val="30"/>
          <w:highlight w:val="none"/>
          <w:lang w:eastAsia="zh-CN"/>
        </w:rPr>
        <w:t xml:space="preserve">徐州市残疾人团体专属保险</w:t>
      </w:r>
      <w:r>
        <w:rPr>
          <w:rFonts w:hint="default" w:ascii="Times New Roman" w:hAnsi="Times New Roman" w:eastAsia="仿宋_GB2312" w:cs="Times New Roman"/>
          <w:color w:val="000000"/>
          <w:spacing w:val="6"/>
          <w:sz w:val="30"/>
          <w:szCs w:val="30"/>
          <w:highlight w:val="none"/>
        </w:rPr>
        <w:t xml:space="preserve"> </w:t>
      </w:r>
      <w:r/>
    </w:p>
    <w:p>
      <w:pPr>
        <w:spacing w:line="480" w:lineRule="exact"/>
        <w:rPr>
          <w:rFonts w:hint="default" w:ascii="Times New Roman" w:hAnsi="Times New Roman" w:eastAsia="仿宋_GB2312" w:cs="Times New Roman"/>
          <w:color w:val="000000"/>
          <w:spacing w:val="6"/>
          <w:sz w:val="30"/>
          <w:szCs w:val="30"/>
          <w:highlight w:val="none"/>
          <w:lang w:eastAsia="zh-CN"/>
        </w:rPr>
      </w:pPr>
      <w:r>
        <w:rPr>
          <w:rFonts w:hint="default" w:ascii="Times New Roman" w:hAnsi="Times New Roman" w:eastAsia="仿宋_GB2312" w:cs="Times New Roman"/>
          <w:color w:val="000000"/>
          <w:spacing w:val="6"/>
          <w:sz w:val="30"/>
          <w:szCs w:val="30"/>
          <w:highlight w:val="none"/>
        </w:rPr>
        <w:t xml:space="preserve">项目编号：</w:t>
      </w:r>
      <w:r>
        <w:rPr>
          <w:rFonts w:hint="default" w:ascii="Times New Roman" w:hAnsi="Times New Roman" w:eastAsia="仿宋_GB2312" w:cs="Times New Roman"/>
          <w:color w:val="000000"/>
          <w:spacing w:val="6"/>
          <w:sz w:val="30"/>
          <w:szCs w:val="30"/>
          <w:highlight w:val="none"/>
          <w:lang w:eastAsia="zh-CN"/>
        </w:rPr>
        <w:t xml:space="preserve">JSZC-320300-SRJJ-G2026-0001</w:t>
      </w:r>
      <w:r/>
    </w:p>
    <w:p>
      <w:pPr>
        <w:pStyle w:val="1252"/>
        <w:ind w:firstLine="480"/>
        <w:jc w:val="left"/>
        <w:widowControl/>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52"/>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lang w:val="en-US" w:eastAsia="zh-CN"/>
        </w:rPr>
        <w:t xml:space="preserve">1.</w:t>
      </w:r>
      <w:r>
        <w:rPr>
          <w:rFonts w:hint="default" w:ascii="Times New Roman" w:hAnsi="Times New Roman" w:eastAsia="仿宋_GB2312" w:cs="Times New Roman"/>
          <w:color w:val="000000"/>
          <w:sz w:val="30"/>
          <w:szCs w:val="30"/>
          <w:highlight w:val="none"/>
        </w:rPr>
        <w:t xml:space="preserve">我单位不是为本采购项目提供整体设计、规范编制或者项目管理、监理、检测等服务的供应商。</w:t>
      </w:r>
      <w:r/>
    </w:p>
    <w:p>
      <w:pPr>
        <w:pStyle w:val="1252"/>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lang w:val="en-US" w:eastAsia="zh-CN"/>
        </w:rPr>
        <w:t xml:space="preserve">2.</w:t>
      </w:r>
      <w:r>
        <w:rPr>
          <w:rFonts w:hint="default" w:ascii="Times New Roman" w:hAnsi="Times New Roman" w:eastAsia="仿宋_GB2312" w:cs="Times New Roman"/>
          <w:color w:val="000000"/>
          <w:sz w:val="30"/>
          <w:szCs w:val="30"/>
          <w:highlight w:val="none"/>
        </w:rPr>
        <w:t xml:space="preserve">我单位非联合体参加本项目投标，本项目实施过程由本单位独立承担。</w:t>
      </w:r>
      <w:r/>
    </w:p>
    <w:p>
      <w:pPr>
        <w:pStyle w:val="1252"/>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52"/>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特此声明。</w:t>
      </w:r>
      <w:r/>
    </w:p>
    <w:p>
      <w:pPr>
        <w:pStyle w:val="1252"/>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我单位对上述声明的真实性负责。如有虚假，将依法承担相应责任。</w:t>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58"/>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9"/>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ind w:firstLine="562"/>
        <w:spacing w:line="480" w:lineRule="exact"/>
        <w:rPr>
          <w:rFonts w:hint="default" w:ascii="Times New Roman" w:hAnsi="Times New Roman" w:eastAsia="仿宋_GB2312" w:cs="Times New Roman"/>
          <w:b/>
          <w:sz w:val="28"/>
          <w:szCs w:val="28"/>
          <w:highlight w:val="none"/>
        </w:rPr>
      </w:pPr>
      <w:r>
        <w:rPr>
          <w:rFonts w:hint="default" w:ascii="Times New Roman" w:hAnsi="Times New Roman" w:eastAsia="仿宋_GB2312" w:cs="Times New Roman"/>
          <w:b/>
          <w:sz w:val="28"/>
          <w:szCs w:val="28"/>
          <w:highlight w:val="none"/>
        </w:rPr>
      </w:r>
      <w:r/>
    </w:p>
    <w:p>
      <w:pPr>
        <w:jc w:val="center"/>
        <w:spacing w:line="480" w:lineRule="exact"/>
        <w:rPr>
          <w:rFonts w:hint="default" w:ascii="Times New Roman" w:hAnsi="Times New Roman" w:eastAsia="黑体" w:cs="Times New Roman"/>
          <w:sz w:val="30"/>
          <w:szCs w:val="30"/>
          <w:highlight w:val="none"/>
        </w:rPr>
      </w:pPr>
      <w:r>
        <w:rPr>
          <w:rFonts w:hint="default" w:ascii="Times New Roman" w:hAnsi="Times New Roman" w:cs="Times New Roman"/>
          <w:b/>
          <w:sz w:val="28"/>
          <w:szCs w:val="28"/>
          <w:highlight w:val="none"/>
        </w:rPr>
        <w:br w:type="page" w:clear="all"/>
      </w:r>
      <w:r>
        <w:rPr>
          <w:rFonts w:hint="default" w:ascii="Times New Roman" w:hAnsi="Times New Roman" w:eastAsia="仿宋_GB2312" w:cs="Times New Roman"/>
          <w:b/>
          <w:bCs w:val="0"/>
          <w:sz w:val="32"/>
          <w:szCs w:val="32"/>
          <w:highlight w:val="none"/>
          <w:lang w:val="en-US" w:eastAsia="zh-CN"/>
        </w:rPr>
        <w:t xml:space="preserve">十二</w:t>
      </w:r>
      <w:r>
        <w:rPr>
          <w:rFonts w:hint="default" w:ascii="Times New Roman" w:hAnsi="Times New Roman" w:eastAsia="仿宋_GB2312" w:cs="Times New Roman"/>
          <w:b/>
          <w:bCs w:val="0"/>
          <w:sz w:val="32"/>
          <w:szCs w:val="32"/>
          <w:highlight w:val="none"/>
        </w:rPr>
        <w:t xml:space="preserve">、预付款保函支付条款模板</w:t>
      </w:r>
      <w:r/>
    </w:p>
    <w:p>
      <w:pPr>
        <w:pStyle w:val="1234"/>
        <w:rPr>
          <w:rFonts w:hint="default" w:ascii="Times New Roman" w:hAnsi="Times New Roman" w:cs="Times New Roman"/>
          <w:highlight w:val="none"/>
        </w:rPr>
      </w:pPr>
      <w:r>
        <w:rPr>
          <w:rFonts w:hint="default" w:ascii="Times New Roman" w:hAnsi="Times New Roman" w:cs="Times New Roman"/>
          <w:highlight w:val="none"/>
        </w:rPr>
      </w:r>
      <w:r/>
    </w:p>
    <w:p>
      <w:pPr>
        <w:ind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符合条件一：提交预付款保函的</w:t>
      </w:r>
      <w:r/>
    </w:p>
    <w:p>
      <w:pPr>
        <w:ind w:firstLine="602"/>
        <w:spacing w:line="480" w:lineRule="exact"/>
        <w:rPr>
          <w:rFonts w:hint="default" w:ascii="Times New Roman" w:hAnsi="Times New Roman" w:eastAsia="仿宋_GB2312" w:cs="Times New Roman"/>
          <w:sz w:val="30"/>
          <w:szCs w:val="30"/>
          <w:highlight w:val="none"/>
          <w:u w:val="single"/>
        </w:rPr>
      </w:pPr>
      <w:r>
        <w:rPr>
          <w:rFonts w:hint="default" w:ascii="Times New Roman" w:hAnsi="Times New Roman" w:eastAsia="仿宋_GB2312" w:cs="Times New Roman"/>
          <w:sz w:val="30"/>
          <w:szCs w:val="30"/>
          <w:highlight w:val="none"/>
        </w:rPr>
        <w:t xml:space="preserve">（1）合同签订且乙方向甲方出具预付款保函后</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个工作日内，甲方应支付合同价款的百分之</w:t>
      </w:r>
      <w:r>
        <w:rPr>
          <w:rFonts w:hint="default" w:ascii="Times New Roman" w:hAnsi="Times New Roman" w:eastAsia="仿宋_GB2312" w:cs="Times New Roman"/>
          <w:sz w:val="30"/>
          <w:szCs w:val="30"/>
          <w:highlight w:val="none"/>
          <w:u w:val="single"/>
        </w:rPr>
        <w:t xml:space="preserve">        XX（    XX%），</w:t>
      </w:r>
      <w:r>
        <w:rPr>
          <w:rFonts w:hint="default" w:ascii="Times New Roman" w:hAnsi="Times New Roman" w:eastAsia="仿宋_GB2312" w:cs="Times New Roman"/>
          <w:sz w:val="30"/>
          <w:szCs w:val="30"/>
          <w:highlight w:val="none"/>
        </w:rPr>
        <w:t xml:space="preserve">小写￥</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大写：人民币</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乙方需提交的支付文件：乙方出具的全额正式发票。</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（2）验收合格后</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个工作日内，甲方应支付合同价款的百分之</w:t>
      </w:r>
      <w:r>
        <w:rPr>
          <w:rFonts w:hint="default" w:ascii="Times New Roman" w:hAnsi="Times New Roman" w:eastAsia="仿宋_GB2312" w:cs="Times New Roman"/>
          <w:sz w:val="30"/>
          <w:szCs w:val="30"/>
          <w:highlight w:val="none"/>
          <w:u w:val="single"/>
        </w:rPr>
        <w:t xml:space="preserve">XX（    XX%），</w:t>
      </w:r>
      <w:r>
        <w:rPr>
          <w:rFonts w:hint="default" w:ascii="Times New Roman" w:hAnsi="Times New Roman" w:eastAsia="仿宋_GB2312" w:cs="Times New Roman"/>
          <w:sz w:val="30"/>
          <w:szCs w:val="30"/>
          <w:highlight w:val="none"/>
        </w:rPr>
        <w:t xml:space="preserve">小写￥</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大写：人民币</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w:t>
      </w:r>
      <w:r/>
    </w:p>
    <w:p>
      <w:pPr>
        <w:ind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w:t>
      </w:r>
      <w:r/>
    </w:p>
    <w:p>
      <w:pPr>
        <w:ind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符合条件二：不提交预付款保函的</w:t>
      </w:r>
      <w:r/>
    </w:p>
    <w:p>
      <w:pPr>
        <w:ind w:firstLine="602"/>
        <w:spacing w:line="480" w:lineRule="exact"/>
        <w:rPr>
          <w:rFonts w:hint="default" w:ascii="Times New Roman" w:hAnsi="Times New Roman" w:eastAsia="仿宋_GB2312" w:cs="Times New Roman"/>
          <w:sz w:val="30"/>
          <w:szCs w:val="30"/>
          <w:highlight w:val="none"/>
          <w:u w:val="single"/>
        </w:rPr>
      </w:pPr>
      <w:r>
        <w:rPr>
          <w:rFonts w:hint="default" w:ascii="Times New Roman" w:hAnsi="Times New Roman" w:eastAsia="仿宋_GB2312" w:cs="Times New Roman"/>
          <w:sz w:val="30"/>
          <w:szCs w:val="30"/>
          <w:highlight w:val="none"/>
        </w:rPr>
        <w:t xml:space="preserve">（1）合同签订后</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个工作日内，甲方应支付合同价款的百分之</w:t>
      </w:r>
      <w:r>
        <w:rPr>
          <w:rFonts w:hint="default" w:ascii="Times New Roman" w:hAnsi="Times New Roman" w:eastAsia="仿宋_GB2312" w:cs="Times New Roman"/>
          <w:sz w:val="30"/>
          <w:szCs w:val="30"/>
          <w:highlight w:val="none"/>
          <w:u w:val="single"/>
        </w:rPr>
        <w:t xml:space="preserve">XX（    XX%），</w:t>
      </w:r>
      <w:r>
        <w:rPr>
          <w:rFonts w:hint="default" w:ascii="Times New Roman" w:hAnsi="Times New Roman" w:eastAsia="仿宋_GB2312" w:cs="Times New Roman"/>
          <w:sz w:val="30"/>
          <w:szCs w:val="30"/>
          <w:highlight w:val="none"/>
        </w:rPr>
        <w:t xml:space="preserve">小写￥</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大写：人民币</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乙方需提交的支付文件：乙方出具的全额正式发票。</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（2）验收合格后</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个工作日内，甲方应支付合同价款的百分之</w:t>
      </w:r>
      <w:r>
        <w:rPr>
          <w:rFonts w:hint="default" w:ascii="Times New Roman" w:hAnsi="Times New Roman" w:eastAsia="仿宋_GB2312" w:cs="Times New Roman"/>
          <w:sz w:val="30"/>
          <w:szCs w:val="30"/>
          <w:highlight w:val="none"/>
          <w:u w:val="single"/>
        </w:rPr>
        <w:t xml:space="preserve">XX（    XX%），</w:t>
      </w:r>
      <w:r>
        <w:rPr>
          <w:rFonts w:hint="default" w:ascii="Times New Roman" w:hAnsi="Times New Roman" w:eastAsia="仿宋_GB2312" w:cs="Times New Roman"/>
          <w:sz w:val="30"/>
          <w:szCs w:val="30"/>
          <w:highlight w:val="none"/>
        </w:rPr>
        <w:t xml:space="preserve">小写￥</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大写：人民币</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w:t>
      </w:r>
      <w:r/>
    </w:p>
    <w:p>
      <w:pPr>
        <w:ind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w:t>
      </w:r>
      <w:r/>
    </w:p>
    <w:p>
      <w:pPr>
        <w:ind w:left="140"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注:</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1、付款条件一中，出具预付款保函后支付的合同款应当与保函金额一致。</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2、付款条件二中，预付款比例设定应符合《关于做好政府采购支持企业发展有关事项的通知》(苏财购〔2020〕52号)要求。</w:t>
      </w:r>
      <w:r/>
    </w:p>
    <w:p>
      <w:pPr>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bookmarkEnd w:id="198"/>
      <w:r/>
      <w:r/>
    </w:p>
    <w:sectPr>
      <w:footerReference w:type="default" r:id="rId10"/>
      <w:footnotePr/>
      <w:endnotePr/>
      <w:type w:val="nextPage"/>
      <w:pgSz w:w="11906" w:h="16838" w:orient="portrait"/>
      <w:pgMar w:top="851" w:right="1702" w:bottom="851" w:left="18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FangSong">
    <w:panose1 w:val="02010609060101010101"/>
  </w:font>
  <w:font w:name="方正小标宋_GBK">
    <w:panose1 w:val="020B0503020202020204"/>
  </w:font>
  <w:font w:name="Wingdings">
    <w:panose1 w:val="05000000000000000000"/>
  </w:font>
  <w:font w:name="Cambria">
    <w:panose1 w:val="02040503050406030204"/>
  </w:font>
  <w:font w:name="黑体">
    <w:panose1 w:val="02010609060101010101"/>
  </w:font>
  <w:font w:name="仿宋_GB2312">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新宋体">
    <w:panose1 w:val="02010609030101010101"/>
  </w:font>
  <w:font w:name="Symbol">
    <w:panose1 w:val="05050102010706020507"/>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9"/>
                            <w:tabs>
                              <w:tab w:val="clear" w:pos="4153" w:leader="none"/>
                              <w:tab w:val="clear" w:pos="8306" w:leader="none"/>
                            </w:tabs>
                            <w:rPr>
                              <w:rStyle w:val="1242"/>
                            </w:rPr>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9"/>
                      <w:tabs>
                        <w:tab w:val="clear" w:pos="4153" w:leader="none"/>
                        <w:tab w:val="clear" w:pos="8306" w:leader="none"/>
                      </w:tabs>
                      <w:rPr>
                        <w:rStyle w:val="1242"/>
                      </w:rPr>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206"/>
        <w:keepLines/>
        <w:keepNext/>
        <w:spacing w:before="0" w:after="0" w:line="240" w:lineRule="auto"/>
        <w:widowControl w:val="off"/>
        <w:rPr>
          <w:rFonts w:ascii="微软雅黑" w:hAnsi="微软雅黑" w:eastAsia="微软雅黑"/>
          <w:b w:val="0"/>
          <w:bCs/>
          <w:sz w:val="18"/>
          <w:szCs w:val="32"/>
          <w:lang w:val="en-US" w:eastAsia="zh-CN" w:bidi="ar-SA"/>
        </w:rPr>
        <w:outlineLvl w:val="1"/>
      </w:pPr>
      <w:r>
        <w:rPr>
          <w:rStyle w:val="1290"/>
          <w:rFonts w:ascii="微软雅黑" w:hAnsi="微软雅黑" w:eastAsia="微软雅黑" w:cstheme="minorBidi"/>
          <w:b/>
          <w:bCs/>
          <w:sz w:val="18"/>
          <w:szCs w:val="32"/>
          <w:lang w:val="en-US" w:eastAsia="en-US" w:bidi="ar-SA"/>
        </w:rPr>
        <w:footnoteRef/>
      </w:r>
      <w:r>
        <w:rPr>
          <w:rFonts w:ascii="微软雅黑" w:hAnsi="微软雅黑" w:eastAsia="微软雅黑"/>
          <w:b/>
          <w:bCs/>
          <w:sz w:val="18"/>
          <w:szCs w:val="32"/>
          <w:lang w:val="en-US" w:eastAsia="zh-CN" w:bidi="ar-SA"/>
        </w:rPr>
        <w:t xml:space="preserve"> 组织病理学检查：</w:t>
      </w:r>
      <w:r>
        <w:rPr>
          <w:rFonts w:ascii="微软雅黑" w:hAnsi="微软雅黑" w:eastAsia="微软雅黑"/>
          <w:b w:val="0"/>
          <w:bCs/>
          <w:sz w:val="18"/>
          <w:szCs w:val="32"/>
          <w:lang w:val="en-US" w:eastAsia="zh-CN" w:bidi="ar-SA"/>
        </w:rPr>
        <w:t xml:space="preserve">组织病理学检查是通过局部切除、钳取、穿刺等手术方法，从患者机体采取病变组织块，经过包埋、切片后，进行病理检查的方法。</w:t>
      </w:r>
      <w:r>
        <w:rPr>
          <w:rFonts w:ascii="微软雅黑" w:hAnsi="微软雅黑" w:eastAsia="微软雅黑"/>
          <w:b/>
          <w:bCs/>
          <w:sz w:val="18"/>
          <w:szCs w:val="32"/>
          <w:lang w:val="en-US" w:eastAsia="zh-CN" w:bidi="ar-SA"/>
        </w:rPr>
        <w:t xml:space="preserve">通过采集病变部位脱落细胞、细针吸取病变部位细胞、体腔积液分离病变细胞等方式获取病变细胞，制成涂片，进行病理检查的方法，属于细胞病理学检查，不属于组织病理学检查。</w:t>
      </w:r>
      <w:r>
        <w:rPr>
          <w:rFonts w:ascii="微软雅黑" w:hAnsi="微软雅黑" w:eastAsia="微软雅黑"/>
          <w:b w:val="0"/>
          <w:bCs/>
          <w:sz w:val="18"/>
          <w:szCs w:val="32"/>
          <w:lang w:val="en-US" w:eastAsia="zh-CN" w:bidi="ar-SA"/>
        </w:rPr>
        <w:t xml:space="preserve">如无特别说明，本合同下文提及处，意思相同。</w:t>
      </w:r>
      <w:r/>
    </w:p>
  </w:footnote>
  <w:footnote w:id="3">
    <w:p>
      <w:pPr>
        <w:pStyle w:val="1291"/>
        <w:ind w:left="0" w:firstLine="0"/>
        <w:rPr>
          <w:rFonts w:ascii="微软雅黑" w:hAnsi="微软雅黑" w:eastAsia="微软雅黑"/>
          <w:b/>
          <w:sz w:val="18"/>
          <w:szCs w:val="21"/>
          <w:lang w:eastAsia="zh-CN"/>
        </w:rPr>
      </w:pPr>
      <w:r>
        <w:rPr>
          <w:rStyle w:val="1290"/>
          <w:rFonts w:ascii="微软雅黑" w:hAnsi="微软雅黑" w:eastAsia="微软雅黑" w:cstheme="minorBidi"/>
          <w:b/>
          <w:sz w:val="18"/>
        </w:rPr>
        <w:footnoteRef/>
      </w:r>
      <w:r>
        <w:rPr>
          <w:rFonts w:ascii="微软雅黑" w:hAnsi="微软雅黑" w:eastAsia="微软雅黑"/>
          <w:b/>
          <w:sz w:val="18"/>
          <w:szCs w:val="21"/>
          <w:lang w:eastAsia="zh-CN"/>
        </w:rPr>
        <w:t xml:space="preserve"> ICD-10与ICD-O-3:</w:t>
      </w:r>
      <w:r>
        <w:rPr>
          <w:rFonts w:ascii="微软雅黑" w:hAnsi="微软雅黑" w:eastAsia="微软雅黑"/>
          <w:sz w:val="18"/>
          <w:szCs w:val="21"/>
          <w:lang w:eastAsia="zh-CN"/>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ascii="微软雅黑" w:hAnsi="微软雅黑" w:eastAsia="微软雅黑"/>
          <w:b/>
          <w:sz w:val="18"/>
          <w:szCs w:val="21"/>
          <w:lang w:eastAsia="zh-CN"/>
        </w:rPr>
        <w:t xml:space="preserve">如果出现ICD-10与ICD-O-3不一致的情况，以ICD-O-3为准。</w:t>
      </w:r>
      <w:r>
        <w:rPr>
          <w:rFonts w:ascii="微软雅黑" w:hAnsi="微软雅黑" w:eastAsia="微软雅黑"/>
          <w:sz w:val="18"/>
          <w:szCs w:val="21"/>
          <w:lang w:eastAsia="zh-CN"/>
        </w:rPr>
        <w:t xml:space="preserve">如无特别说明，本合同下文提及处，意思相同。</w:t>
      </w:r>
      <w:r/>
    </w:p>
  </w:footnote>
  <w:footnote w:id="4">
    <w:p>
      <w:pPr>
        <w:pStyle w:val="1291"/>
        <w:ind w:left="0" w:firstLine="2"/>
        <w:rPr>
          <w:rFonts w:ascii="微软雅黑" w:hAnsi="微软雅黑" w:eastAsia="微软雅黑"/>
          <w:b/>
          <w:sz w:val="18"/>
          <w:szCs w:val="21"/>
          <w:lang w:eastAsia="zh-CN"/>
        </w:rPr>
      </w:pPr>
      <w:r>
        <w:rPr>
          <w:rStyle w:val="1290"/>
          <w:rFonts w:ascii="微软雅黑" w:hAnsi="微软雅黑" w:eastAsia="微软雅黑" w:cstheme="minorBidi"/>
          <w:b/>
          <w:sz w:val="18"/>
          <w:szCs w:val="21"/>
        </w:rPr>
        <w:footnoteRef/>
      </w:r>
      <w:r>
        <w:rPr>
          <w:rFonts w:ascii="微软雅黑" w:hAnsi="微软雅黑" w:eastAsia="微软雅黑"/>
          <w:b/>
          <w:sz w:val="18"/>
          <w:szCs w:val="21"/>
          <w:lang w:eastAsia="zh-CN"/>
        </w:rPr>
        <w:t xml:space="preserve"> TNM分期、甲状腺癌的TNM分期：TNM分期</w:t>
      </w:r>
      <w:r>
        <w:rPr>
          <w:rFonts w:ascii="微软雅黑" w:hAnsi="微软雅黑" w:eastAsia="微软雅黑"/>
          <w:sz w:val="18"/>
          <w:szCs w:val="21"/>
          <w:lang w:eastAsia="zh-CN"/>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ascii="微软雅黑" w:hAnsi="微软雅黑" w:eastAsia="微软雅黑"/>
          <w:b/>
          <w:sz w:val="18"/>
          <w:szCs w:val="21"/>
          <w:lang w:eastAsia="zh-CN"/>
        </w:rPr>
        <w:t xml:space="preserve">甲状腺癌的TNM分期</w:t>
      </w:r>
      <w:r>
        <w:rPr>
          <w:rFonts w:ascii="微软雅黑" w:hAnsi="微软雅黑" w:eastAsia="微软雅黑"/>
          <w:sz w:val="18"/>
          <w:szCs w:val="21"/>
          <w:lang w:eastAsia="zh-CN"/>
        </w:rPr>
        <w:t xml:space="preserve">采用目前现行的AJCC第八版定义标准，我国国家卫生健康委员会2018年发布的《甲状腺癌诊疗规范（2018年版）》也采用此定义标准，具体见</w:t>
      </w:r>
      <w:r>
        <w:rPr>
          <w:rFonts w:ascii="微软雅黑" w:hAnsi="微软雅黑" w:eastAsia="微软雅黑"/>
          <w:b/>
          <w:sz w:val="18"/>
          <w:szCs w:val="21"/>
          <w:lang w:eastAsia="zh-CN"/>
        </w:rPr>
        <w:t xml:space="preserve">附录</w:t>
      </w:r>
      <w:r>
        <w:rPr>
          <w:rFonts w:ascii="微软雅黑" w:hAnsi="微软雅黑" w:eastAsia="微软雅黑"/>
          <w:sz w:val="18"/>
          <w:szCs w:val="21"/>
          <w:lang w:eastAsia="zh-CN"/>
        </w:rPr>
        <w:t xml:space="preserve">。如无特别说明，本合同下文提及处，意思相同。</w:t>
      </w:r>
      <w:r/>
    </w:p>
  </w:footnote>
  <w:footnote w:id="5">
    <w:p>
      <w:pPr>
        <w:pStyle w:val="1291"/>
        <w:ind w:left="0" w:firstLine="0"/>
        <w:rPr>
          <w:rFonts w:ascii="宋体" w:hAnsi="宋体"/>
          <w:b/>
          <w:sz w:val="18"/>
          <w:szCs w:val="21"/>
          <w:lang w:eastAsia="zh-CN"/>
        </w:rPr>
      </w:pPr>
      <w:r>
        <w:rPr>
          <w:rStyle w:val="1290"/>
          <w:rFonts w:ascii="宋体" w:hAnsi="宋体" w:eastAsia="宋体" w:cstheme="minorBidi"/>
          <w:b/>
          <w:sz w:val="18"/>
          <w:szCs w:val="21"/>
        </w:rPr>
        <w:footnoteRef/>
      </w:r>
      <w:r>
        <w:rPr>
          <w:rFonts w:ascii="宋体" w:hAnsi="宋体"/>
          <w:b/>
          <w:sz w:val="18"/>
          <w:szCs w:val="21"/>
          <w:lang w:eastAsia="zh-CN"/>
        </w:rPr>
        <w:t xml:space="preserve"> 肢体：</w:t>
      </w:r>
      <w:r>
        <w:rPr>
          <w:rFonts w:ascii="宋体" w:hAnsi="宋体"/>
          <w:sz w:val="18"/>
          <w:szCs w:val="21"/>
          <w:lang w:eastAsia="zh-CN"/>
        </w:rPr>
        <w:t xml:space="preserve">指包括肩关节的整个上肢或包括髋关节的整个下肢。如无特别说明，本合同下文提及处，意思相同。</w:t>
      </w:r>
      <w:r/>
    </w:p>
  </w:footnote>
  <w:footnote w:id="6">
    <w:p>
      <w:pPr>
        <w:pStyle w:val="1291"/>
        <w:ind w:left="0" w:firstLine="0"/>
        <w:rPr>
          <w:rFonts w:ascii="宋体" w:hAnsi="宋体"/>
          <w:sz w:val="18"/>
          <w:szCs w:val="21"/>
          <w:lang w:eastAsia="zh-CN"/>
        </w:rPr>
      </w:pPr>
      <w:r>
        <w:rPr>
          <w:rStyle w:val="1290"/>
          <w:rFonts w:ascii="宋体" w:hAnsi="宋体" w:eastAsia="宋体" w:cstheme="minorBidi"/>
          <w:b/>
          <w:sz w:val="18"/>
          <w:szCs w:val="21"/>
        </w:rPr>
        <w:footnoteRef/>
      </w:r>
      <w:r>
        <w:rPr>
          <w:rFonts w:ascii="宋体" w:hAnsi="宋体"/>
          <w:b/>
          <w:sz w:val="18"/>
          <w:szCs w:val="21"/>
          <w:lang w:eastAsia="zh-CN"/>
        </w:rPr>
        <w:t xml:space="preserve"> 肌力：</w:t>
      </w:r>
      <w:r>
        <w:rPr>
          <w:rFonts w:ascii="宋体" w:hAnsi="宋体"/>
          <w:sz w:val="18"/>
          <w:szCs w:val="21"/>
          <w:lang w:eastAsia="zh-CN"/>
        </w:rPr>
        <w:t xml:space="preserve">指肌肉收缩时的力量。肌力划分为0-5级，具体为：</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0级：肌肉完全瘫痪，毫无收缩。</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1级：可看到或者触及肌肉轻微收缩，但不能产生动作。</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2级：肌肉在不受重力影响下，可进行运动，即肢体能在床面上移动，但不能抬高。</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3级：在和地心引力相反的方向中尚能完成其动作，但不能对抗外加阻力。</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4级：能对抗一定的阻力，但较正常人为低。</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5级：正常肌力。</w:t>
      </w:r>
      <w:r/>
    </w:p>
    <w:p>
      <w:pPr>
        <w:pStyle w:val="1291"/>
        <w:ind w:left="0" w:firstLine="0"/>
        <w:rPr>
          <w:rFonts w:ascii="宋体" w:hAnsi="宋体"/>
          <w:b/>
          <w:sz w:val="18"/>
          <w:szCs w:val="21"/>
          <w:lang w:eastAsia="zh-CN"/>
        </w:rPr>
      </w:pPr>
      <w:r>
        <w:rPr>
          <w:rFonts w:ascii="宋体" w:hAnsi="宋体"/>
          <w:sz w:val="18"/>
          <w:szCs w:val="21"/>
          <w:lang w:eastAsia="zh-CN"/>
        </w:rPr>
        <w:t xml:space="preserve">如无特别说明，本合同下文提及处，意思相同。</w:t>
      </w:r>
      <w:r/>
    </w:p>
  </w:footnote>
  <w:footnote w:id="7">
    <w:p>
      <w:pPr>
        <w:pStyle w:val="1291"/>
        <w:ind w:left="0" w:firstLine="0"/>
        <w:rPr>
          <w:rFonts w:ascii="宋体" w:hAnsi="宋体"/>
          <w:b/>
          <w:sz w:val="18"/>
          <w:szCs w:val="21"/>
          <w:lang w:eastAsia="zh-CN"/>
        </w:rPr>
      </w:pPr>
      <w:r>
        <w:rPr>
          <w:rStyle w:val="1290"/>
          <w:rFonts w:ascii="宋体" w:hAnsi="宋体" w:eastAsia="宋体" w:cstheme="minorBidi"/>
          <w:b/>
          <w:sz w:val="18"/>
          <w:szCs w:val="21"/>
        </w:rPr>
        <w:footnoteRef/>
      </w:r>
      <w:r>
        <w:rPr>
          <w:rFonts w:ascii="宋体" w:hAnsi="宋体"/>
          <w:b/>
          <w:sz w:val="18"/>
          <w:szCs w:val="21"/>
          <w:lang w:eastAsia="zh-CN"/>
        </w:rPr>
        <w:t xml:space="preserve"> 语言能力完全丧失：</w:t>
      </w:r>
      <w:r>
        <w:rPr>
          <w:rFonts w:ascii="宋体" w:hAnsi="宋体"/>
          <w:sz w:val="18"/>
          <w:szCs w:val="21"/>
          <w:lang w:eastAsia="zh-CN"/>
        </w:rPr>
        <w:t xml:space="preserve">指无法发出四种语音（包括口唇音、齿舌音、口盖音和喉头音）中的任何三种、或声带全部切除，或因大脑语言中枢受伤害而患失语症。如无特别说明，本合同下文提及处，意思相同。</w:t>
      </w:r>
      <w:r/>
    </w:p>
  </w:footnote>
  <w:footnote w:id="8">
    <w:p>
      <w:pPr>
        <w:pStyle w:val="1291"/>
        <w:ind w:left="0" w:firstLine="0"/>
        <w:rPr>
          <w:rFonts w:ascii="宋体" w:hAnsi="宋体"/>
          <w:b/>
          <w:sz w:val="18"/>
          <w:szCs w:val="21"/>
          <w:lang w:eastAsia="zh-CN"/>
        </w:rPr>
      </w:pPr>
      <w:r>
        <w:rPr>
          <w:rStyle w:val="1290"/>
          <w:rFonts w:ascii="宋体" w:hAnsi="宋体" w:eastAsia="宋体" w:cstheme="minorBidi"/>
          <w:b/>
          <w:sz w:val="18"/>
          <w:szCs w:val="21"/>
        </w:rPr>
        <w:footnoteRef/>
      </w:r>
      <w:r>
        <w:rPr>
          <w:rFonts w:ascii="宋体" w:hAnsi="宋体"/>
          <w:b/>
          <w:sz w:val="18"/>
          <w:szCs w:val="21"/>
          <w:lang w:eastAsia="zh-CN"/>
        </w:rPr>
        <w:t xml:space="preserve"> 严重咀嚼吞咽功能障碍：</w:t>
      </w:r>
      <w:r>
        <w:rPr>
          <w:rFonts w:ascii="宋体" w:hAnsi="宋体"/>
          <w:sz w:val="18"/>
          <w:szCs w:val="21"/>
          <w:lang w:eastAsia="zh-CN"/>
        </w:rPr>
        <w:t xml:space="preserve">指因牙齿以外的原因导致器质障碍或机能障碍，以致不能作咀嚼吞咽运动，除流质食物外不能摄取或吞咽的状态。如无特别说明，本合同下文提及处，意思相同。</w:t>
      </w:r>
      <w:r/>
    </w:p>
  </w:footnote>
  <w:footnote w:id="9">
    <w:p>
      <w:pPr>
        <w:pStyle w:val="1291"/>
        <w:ind w:left="0" w:firstLine="0"/>
        <w:rPr>
          <w:rFonts w:ascii="宋体" w:hAnsi="宋体"/>
          <w:b/>
          <w:sz w:val="18"/>
          <w:szCs w:val="21"/>
          <w:lang w:eastAsia="zh-CN"/>
        </w:rPr>
      </w:pPr>
      <w:r>
        <w:rPr>
          <w:rStyle w:val="1290"/>
          <w:rFonts w:ascii="宋体" w:hAnsi="宋体" w:eastAsia="宋体" w:cstheme="minorBidi"/>
          <w:b/>
          <w:sz w:val="18"/>
        </w:rPr>
        <w:footnoteRef/>
      </w:r>
      <w:r>
        <w:rPr>
          <w:rFonts w:ascii="宋体" w:hAnsi="宋体"/>
          <w:b/>
          <w:sz w:val="18"/>
          <w:szCs w:val="21"/>
          <w:lang w:eastAsia="zh-CN"/>
        </w:rPr>
        <w:t xml:space="preserve"> 六项基本日常生活活动</w:t>
      </w:r>
      <w:r>
        <w:rPr>
          <w:rFonts w:ascii="宋体" w:hAnsi="宋体"/>
          <w:sz w:val="18"/>
          <w:szCs w:val="21"/>
          <w:lang w:eastAsia="zh-CN"/>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ascii="宋体" w:hAnsi="宋体"/>
          <w:b/>
          <w:sz w:val="18"/>
          <w:szCs w:val="21"/>
          <w:lang w:eastAsia="zh-CN"/>
        </w:rPr>
        <w:t xml:space="preserve">六项基本日常生活活动能力的鉴定不适用于0-3周岁幼儿。</w:t>
      </w:r>
      <w:r>
        <w:rPr>
          <w:rFonts w:ascii="宋体" w:hAnsi="宋体"/>
          <w:sz w:val="18"/>
          <w:szCs w:val="21"/>
          <w:lang w:eastAsia="zh-CN"/>
        </w:rPr>
        <w:t xml:space="preserve">如无特别说明，本合同下文提及处，意思相同。</w:t>
      </w:r>
      <w:r/>
    </w:p>
  </w:footnote>
  <w:footnote w:id="10">
    <w:p>
      <w:pPr>
        <w:pStyle w:val="1291"/>
        <w:ind w:left="0" w:firstLine="0"/>
        <w:rPr>
          <w:rFonts w:ascii="宋体" w:hAnsi="宋体"/>
          <w:b/>
          <w:sz w:val="21"/>
          <w:szCs w:val="21"/>
          <w:lang w:eastAsia="zh-CN"/>
        </w:rPr>
      </w:pPr>
      <w:r>
        <w:rPr>
          <w:rStyle w:val="1290"/>
          <w:rFonts w:ascii="宋体" w:hAnsi="宋体" w:eastAsia="宋体" w:cstheme="minorBidi"/>
          <w:b/>
          <w:sz w:val="18"/>
        </w:rPr>
        <w:footnoteRef/>
      </w:r>
      <w:r>
        <w:rPr>
          <w:rFonts w:ascii="宋体" w:hAnsi="宋体"/>
          <w:b/>
          <w:sz w:val="18"/>
          <w:szCs w:val="21"/>
          <w:lang w:eastAsia="zh-CN"/>
        </w:rPr>
        <w:t xml:space="preserve"> 永久不可逆：</w:t>
      </w:r>
      <w:r>
        <w:rPr>
          <w:rFonts w:ascii="宋体" w:hAnsi="宋体"/>
          <w:sz w:val="18"/>
          <w:szCs w:val="21"/>
          <w:lang w:eastAsia="zh-CN"/>
        </w:rPr>
        <w:t xml:space="preserve">指自疾病确诊或意外伤害发生之日起，经过积极治疗180天后，仍无法通过现有医疗手段恢复。如无特别说明，本合同下文提及处，意思相同。</w:t>
      </w:r>
      <w:r/>
    </w:p>
  </w:footnote>
  <w:footnote w:id="11">
    <w:p>
      <w:pPr>
        <w:pStyle w:val="1291"/>
        <w:ind w:left="0" w:firstLine="0"/>
        <w:rPr>
          <w:rFonts w:ascii="宋体" w:hAnsi="宋体"/>
          <w:b/>
          <w:sz w:val="18"/>
          <w:szCs w:val="21"/>
        </w:rPr>
      </w:pPr>
      <w:r>
        <w:rPr>
          <w:rStyle w:val="1290"/>
          <w:rFonts w:ascii="宋体" w:hAnsi="宋体" w:eastAsia="宋体" w:cstheme="minorBidi"/>
          <w:b/>
          <w:sz w:val="18"/>
        </w:rPr>
        <w:footnoteRef/>
      </w:r>
      <w:r>
        <w:rPr>
          <w:rFonts w:ascii="宋体" w:hAnsi="宋体"/>
          <w:b/>
          <w:sz w:val="18"/>
          <w:szCs w:val="21"/>
        </w:rPr>
        <w:t xml:space="preserve"> 美国纽约心脏病学会（New York Heart Association，NYHA）心功能状态分级：</w:t>
      </w:r>
      <w:r>
        <w:rPr>
          <w:rFonts w:ascii="宋体" w:hAnsi="宋体"/>
          <w:sz w:val="18"/>
          <w:szCs w:val="21"/>
        </w:rPr>
        <w:t xml:space="preserve">美国纽约心脏病学会（New York Heart Association，NYHA）将心功能状态分为四级：</w:t>
      </w:r>
      <w:r/>
    </w:p>
    <w:p>
      <w:pPr>
        <w:pStyle w:val="1291"/>
        <w:ind w:left="0" w:firstLine="0"/>
        <w:rPr>
          <w:rFonts w:ascii="宋体" w:hAnsi="宋体"/>
          <w:sz w:val="18"/>
          <w:szCs w:val="21"/>
          <w:lang w:eastAsia="zh-CN"/>
        </w:rPr>
      </w:pPr>
      <w:r>
        <w:rPr>
          <w:rFonts w:ascii="宋体" w:hAnsi="宋体"/>
          <w:sz w:val="18"/>
          <w:szCs w:val="21"/>
          <w:lang w:eastAsia="zh-CN"/>
        </w:rPr>
        <w:t xml:space="preserve">Ⅰ级：心脏病病人日常活动量不受限制，一般活动不引起乏力、呼吸困难等心衰症状。</w:t>
      </w:r>
      <w:r/>
    </w:p>
    <w:p>
      <w:pPr>
        <w:pStyle w:val="1291"/>
        <w:ind w:left="0" w:firstLine="0"/>
        <w:rPr>
          <w:rFonts w:ascii="宋体" w:hAnsi="宋体"/>
          <w:sz w:val="18"/>
          <w:szCs w:val="21"/>
          <w:lang w:eastAsia="zh-CN"/>
        </w:rPr>
      </w:pPr>
      <w:r>
        <w:rPr>
          <w:rFonts w:ascii="宋体" w:hAnsi="宋体"/>
          <w:sz w:val="18"/>
          <w:szCs w:val="21"/>
          <w:lang w:eastAsia="zh-CN"/>
        </w:rPr>
        <w:t xml:space="preserve">Ⅱ级：心脏病病人体力活动轻度受限制，休息时无自觉症状，一般活动下可出现心衰症状。</w:t>
      </w:r>
      <w:r/>
    </w:p>
    <w:p>
      <w:pPr>
        <w:pStyle w:val="1291"/>
        <w:ind w:left="0" w:firstLine="0"/>
        <w:rPr>
          <w:rFonts w:ascii="宋体" w:hAnsi="宋体"/>
          <w:sz w:val="18"/>
          <w:szCs w:val="21"/>
          <w:lang w:eastAsia="zh-CN"/>
        </w:rPr>
      </w:pPr>
      <w:r>
        <w:rPr>
          <w:rFonts w:ascii="宋体" w:hAnsi="宋体"/>
          <w:sz w:val="18"/>
          <w:szCs w:val="21"/>
          <w:lang w:eastAsia="zh-CN"/>
        </w:rPr>
        <w:t xml:space="preserve">Ⅲ级：心脏病病人体力活动明显受限，低于平时一般活动即引起心衰症状。</w:t>
      </w:r>
      <w:r/>
    </w:p>
    <w:p>
      <w:pPr>
        <w:pStyle w:val="1291"/>
        <w:ind w:left="0" w:firstLine="0"/>
        <w:rPr>
          <w:rFonts w:ascii="宋体" w:hAnsi="宋体"/>
          <w:sz w:val="21"/>
          <w:szCs w:val="21"/>
          <w:lang w:eastAsia="zh-CN"/>
        </w:rPr>
      </w:pPr>
      <w:r>
        <w:rPr>
          <w:rFonts w:ascii="宋体" w:hAnsi="宋体"/>
          <w:sz w:val="18"/>
          <w:szCs w:val="21"/>
          <w:lang w:eastAsia="zh-CN"/>
        </w:rPr>
        <w:t xml:space="preserve">Ⅳ级：心脏病病人不能从事任何体力活动，休息状态下也存在心衰症状，活动后加重。</w:t>
      </w:r>
      <w:r/>
    </w:p>
  </w:footnote>
  <w:footnote w:id="12">
    <w:p>
      <w:pPr>
        <w:pStyle w:val="1206"/>
        <w:keepLines/>
        <w:keepNext/>
        <w:spacing w:before="0" w:after="0" w:line="240" w:lineRule="auto"/>
        <w:widowControl w:val="off"/>
        <w:rPr>
          <w:rFonts w:ascii="宋体" w:hAnsi="宋体" w:eastAsia="宋体"/>
          <w:b w:val="0"/>
          <w:bCs/>
          <w:sz w:val="18"/>
          <w:szCs w:val="32"/>
          <w:lang w:val="en-US" w:eastAsia="zh-CN" w:bidi="ar-SA"/>
        </w:rPr>
        <w:outlineLvl w:val="1"/>
      </w:pPr>
      <w:r>
        <w:rPr>
          <w:rStyle w:val="1290"/>
          <w:rFonts w:ascii="宋体" w:hAnsi="宋体" w:eastAsia="宋体" w:cstheme="minorBidi"/>
          <w:b/>
          <w:bCs/>
          <w:sz w:val="18"/>
          <w:szCs w:val="32"/>
          <w:lang w:val="en-US" w:eastAsia="en-US" w:bidi="ar-SA"/>
        </w:rPr>
        <w:footnoteRef/>
      </w:r>
      <w:r>
        <w:rPr>
          <w:rFonts w:ascii="宋体" w:hAnsi="宋体" w:eastAsia="宋体"/>
          <w:b/>
          <w:bCs/>
          <w:sz w:val="18"/>
          <w:szCs w:val="32"/>
          <w:lang w:val="en-US" w:eastAsia="zh-CN" w:bidi="ar-SA"/>
        </w:rPr>
        <w:t xml:space="preserve"> 组织病理学检查：</w:t>
      </w:r>
      <w:r>
        <w:rPr>
          <w:rFonts w:ascii="宋体" w:hAnsi="宋体" w:eastAsia="宋体"/>
          <w:b w:val="0"/>
          <w:bCs/>
          <w:sz w:val="18"/>
          <w:szCs w:val="32"/>
          <w:lang w:val="en-US" w:eastAsia="zh-CN" w:bidi="ar-SA"/>
        </w:rPr>
        <w:t xml:space="preserve">组织病理学检查是通过局部切除、钳取、穿刺等手术方法，从患者机体采取病变组织块，经过包埋、切片后，进行病理检查的方法。</w:t>
      </w:r>
      <w:r>
        <w:rPr>
          <w:rFonts w:ascii="宋体" w:hAnsi="宋体" w:eastAsia="宋体"/>
          <w:b/>
          <w:bCs/>
          <w:sz w:val="18"/>
          <w:szCs w:val="32"/>
          <w:lang w:val="en-US" w:eastAsia="zh-CN" w:bidi="ar-SA"/>
        </w:rPr>
        <w:t xml:space="preserve">通过采集病变部位脱落细胞、细针吸取病变部位细胞、体腔积液分离病变细胞等方式获取病变细胞，制成涂片，进行病理检查的方法，属于细胞病理学检查，不属于组织病理学检查。</w:t>
      </w:r>
      <w:r>
        <w:rPr>
          <w:rFonts w:ascii="宋体" w:hAnsi="宋体" w:eastAsia="宋体"/>
          <w:b w:val="0"/>
          <w:bCs/>
          <w:sz w:val="18"/>
          <w:szCs w:val="32"/>
          <w:lang w:val="en-US" w:eastAsia="zh-CN" w:bidi="ar-SA"/>
        </w:rPr>
        <w:t xml:space="preserve">如无特别说明，本合同下文提及处，意思相同。</w:t>
      </w:r>
      <w:r/>
    </w:p>
  </w:footnote>
  <w:footnote w:id="13">
    <w:p>
      <w:pPr>
        <w:pStyle w:val="1291"/>
        <w:ind w:left="0" w:firstLine="0"/>
        <w:rPr>
          <w:rFonts w:ascii="宋体" w:hAnsi="宋体"/>
          <w:b/>
          <w:sz w:val="18"/>
          <w:szCs w:val="21"/>
          <w:lang w:eastAsia="zh-CN"/>
        </w:rPr>
      </w:pPr>
      <w:r>
        <w:rPr>
          <w:rStyle w:val="1290"/>
          <w:rFonts w:ascii="宋体" w:hAnsi="宋体" w:eastAsia="宋体" w:cstheme="minorBidi"/>
          <w:b/>
          <w:sz w:val="18"/>
        </w:rPr>
        <w:footnoteRef/>
      </w:r>
      <w:r>
        <w:rPr>
          <w:rFonts w:ascii="宋体" w:hAnsi="宋体"/>
          <w:b/>
          <w:sz w:val="18"/>
          <w:szCs w:val="21"/>
          <w:lang w:eastAsia="zh-CN"/>
        </w:rPr>
        <w:t xml:space="preserve"> ICD-10与ICD-O-3:</w:t>
      </w:r>
      <w:r>
        <w:rPr>
          <w:rFonts w:ascii="宋体" w:hAnsi="宋体"/>
          <w:sz w:val="18"/>
          <w:szCs w:val="21"/>
          <w:lang w:eastAsia="zh-CN"/>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ascii="宋体" w:hAnsi="宋体"/>
          <w:b/>
          <w:sz w:val="18"/>
          <w:szCs w:val="21"/>
          <w:lang w:eastAsia="zh-CN"/>
        </w:rPr>
        <w:t xml:space="preserve">如果出现ICD-10与ICD-O-3不一致的情况，以ICD-O-3为准。</w:t>
      </w:r>
      <w:r>
        <w:rPr>
          <w:rFonts w:ascii="宋体" w:hAnsi="宋体"/>
          <w:sz w:val="18"/>
          <w:szCs w:val="21"/>
          <w:lang w:eastAsia="zh-CN"/>
        </w:rPr>
        <w:t xml:space="preserve">如无特别说明，本合同下文提及处，意思相同。</w:t>
      </w:r>
      <w:r/>
    </w:p>
  </w:footnote>
  <w:footnote w:id="14">
    <w:p>
      <w:pPr>
        <w:pStyle w:val="1291"/>
        <w:ind w:left="0" w:firstLine="2"/>
        <w:rPr>
          <w:rFonts w:ascii="宋体" w:hAnsi="宋体"/>
          <w:b/>
          <w:sz w:val="18"/>
          <w:szCs w:val="21"/>
          <w:lang w:eastAsia="zh-CN"/>
        </w:rPr>
      </w:pPr>
      <w:r>
        <w:rPr>
          <w:rStyle w:val="1290"/>
          <w:rFonts w:ascii="宋体" w:hAnsi="宋体" w:eastAsia="宋体" w:cstheme="minorBidi"/>
          <w:b/>
          <w:sz w:val="18"/>
          <w:szCs w:val="21"/>
        </w:rPr>
        <w:footnoteRef/>
      </w:r>
      <w:r>
        <w:rPr>
          <w:rFonts w:ascii="宋体" w:hAnsi="宋体"/>
          <w:b/>
          <w:sz w:val="18"/>
          <w:szCs w:val="21"/>
          <w:lang w:eastAsia="zh-CN"/>
        </w:rPr>
        <w:t xml:space="preserve"> TNM分期、甲状腺癌的TNM分期：TNM分期</w:t>
      </w:r>
      <w:r>
        <w:rPr>
          <w:rFonts w:ascii="宋体" w:hAnsi="宋体"/>
          <w:sz w:val="18"/>
          <w:szCs w:val="21"/>
          <w:lang w:eastAsia="zh-CN"/>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ascii="宋体" w:hAnsi="宋体"/>
          <w:b/>
          <w:sz w:val="18"/>
          <w:szCs w:val="21"/>
          <w:lang w:eastAsia="zh-CN"/>
        </w:rPr>
        <w:t xml:space="preserve">甲状腺癌的TNM分期</w:t>
      </w:r>
      <w:r>
        <w:rPr>
          <w:rFonts w:ascii="宋体" w:hAnsi="宋体"/>
          <w:sz w:val="18"/>
          <w:szCs w:val="21"/>
          <w:lang w:eastAsia="zh-CN"/>
        </w:rPr>
        <w:t xml:space="preserve">采用目前现行的AJCC第八版定义标准，我国国家卫生健康委员会2018年发布的《甲状腺癌诊疗规范（2018年版）》也采用此定义标准，具体见</w:t>
      </w:r>
      <w:r>
        <w:rPr>
          <w:rFonts w:ascii="宋体" w:hAnsi="宋体"/>
          <w:b/>
          <w:sz w:val="18"/>
          <w:szCs w:val="21"/>
          <w:lang w:eastAsia="zh-CN"/>
        </w:rPr>
        <w:t xml:space="preserve">附录</w:t>
      </w:r>
      <w:r>
        <w:rPr>
          <w:rFonts w:ascii="宋体" w:hAnsi="宋体"/>
          <w:sz w:val="18"/>
          <w:szCs w:val="21"/>
          <w:lang w:eastAsia="zh-CN"/>
        </w:rPr>
        <w:t xml:space="preserve">。如无特别说明，本合同下文提及处，意思相同。</w:t>
      </w:r>
      <w:r/>
    </w:p>
  </w:footnote>
  <w:footnote w:id="15">
    <w:p>
      <w:pPr>
        <w:pStyle w:val="1291"/>
        <w:ind w:left="0" w:firstLine="0"/>
        <w:rPr>
          <w:rFonts w:ascii="宋体" w:hAnsi="宋体"/>
          <w:b/>
          <w:sz w:val="18"/>
          <w:szCs w:val="21"/>
          <w:lang w:eastAsia="zh-CN"/>
        </w:rPr>
      </w:pPr>
      <w:r>
        <w:rPr>
          <w:rStyle w:val="1290"/>
          <w:rFonts w:ascii="宋体" w:hAnsi="宋体" w:eastAsia="宋体" w:cstheme="minorBidi"/>
          <w:b/>
          <w:sz w:val="18"/>
          <w:szCs w:val="21"/>
        </w:rPr>
        <w:footnoteRef/>
      </w:r>
      <w:r>
        <w:rPr>
          <w:rFonts w:ascii="宋体" w:hAnsi="宋体"/>
          <w:b/>
          <w:sz w:val="18"/>
          <w:szCs w:val="21"/>
          <w:lang w:eastAsia="zh-CN"/>
        </w:rPr>
        <w:t xml:space="preserve"> 肢体：</w:t>
      </w:r>
      <w:r>
        <w:rPr>
          <w:rFonts w:ascii="宋体" w:hAnsi="宋体"/>
          <w:sz w:val="18"/>
          <w:szCs w:val="21"/>
          <w:lang w:eastAsia="zh-CN"/>
        </w:rPr>
        <w:t xml:space="preserve">指包括肩关节的整个上肢或包括髋关节的整个下肢。如无特别说明，本合同下文提及处，意思相同。</w:t>
      </w:r>
      <w:r/>
    </w:p>
  </w:footnote>
  <w:footnote w:id="16">
    <w:p>
      <w:pPr>
        <w:pStyle w:val="1291"/>
        <w:ind w:left="0" w:firstLine="0"/>
        <w:rPr>
          <w:rFonts w:ascii="宋体" w:hAnsi="宋体"/>
          <w:sz w:val="18"/>
          <w:szCs w:val="21"/>
          <w:lang w:eastAsia="zh-CN"/>
        </w:rPr>
      </w:pPr>
      <w:r>
        <w:rPr>
          <w:rStyle w:val="1290"/>
          <w:rFonts w:ascii="宋体" w:hAnsi="宋体" w:eastAsia="宋体" w:cstheme="minorBidi"/>
          <w:b/>
          <w:sz w:val="18"/>
          <w:szCs w:val="21"/>
        </w:rPr>
        <w:footnoteRef/>
      </w:r>
      <w:r>
        <w:rPr>
          <w:rFonts w:ascii="宋体" w:hAnsi="宋体"/>
          <w:b/>
          <w:sz w:val="18"/>
          <w:szCs w:val="21"/>
          <w:lang w:eastAsia="zh-CN"/>
        </w:rPr>
        <w:t xml:space="preserve"> 肌力：</w:t>
      </w:r>
      <w:r>
        <w:rPr>
          <w:rFonts w:ascii="宋体" w:hAnsi="宋体"/>
          <w:sz w:val="18"/>
          <w:szCs w:val="21"/>
          <w:lang w:eastAsia="zh-CN"/>
        </w:rPr>
        <w:t xml:space="preserve">指肌肉收缩时的力量。肌力划分为0-5级，具体为：</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0级：肌肉完全瘫痪，毫无收缩。</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1级：可看到或者触及肌肉轻微收缩，但不能产生动作。</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2级：肌肉在不受重力影响下，可进行运动，即肢体能在床面上移动，但不能抬高。</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3级：在和地心引力相反的方向中尚能完成其动作，但不能对抗外加阻力。</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4级：能对抗一定的阻力，但较正常人为低。</w:t>
      </w:r>
      <w:r/>
    </w:p>
    <w:p>
      <w:pPr>
        <w:pStyle w:val="1291"/>
        <w:ind w:left="0" w:firstLine="0"/>
        <w:spacing w:line="204" w:lineRule="auto"/>
        <w:rPr>
          <w:rFonts w:ascii="宋体" w:hAnsi="宋体"/>
          <w:sz w:val="18"/>
          <w:szCs w:val="21"/>
          <w:lang w:eastAsia="zh-CN"/>
        </w:rPr>
      </w:pPr>
      <w:r>
        <w:rPr>
          <w:rFonts w:ascii="宋体" w:hAnsi="宋体"/>
          <w:sz w:val="18"/>
          <w:szCs w:val="21"/>
          <w:lang w:eastAsia="zh-CN"/>
        </w:rPr>
        <w:t xml:space="preserve">5级：正常肌力。</w:t>
      </w:r>
      <w:r/>
    </w:p>
    <w:p>
      <w:pPr>
        <w:pStyle w:val="1291"/>
        <w:ind w:left="0" w:firstLine="0"/>
        <w:rPr>
          <w:rFonts w:ascii="宋体" w:hAnsi="宋体"/>
          <w:b/>
          <w:sz w:val="18"/>
          <w:szCs w:val="21"/>
          <w:lang w:eastAsia="zh-CN"/>
        </w:rPr>
      </w:pPr>
      <w:r>
        <w:rPr>
          <w:rFonts w:ascii="宋体" w:hAnsi="宋体"/>
          <w:sz w:val="18"/>
          <w:szCs w:val="21"/>
          <w:lang w:eastAsia="zh-CN"/>
        </w:rPr>
        <w:t xml:space="preserve">如无特别说明，本合同下文提及处，意思相同。</w:t>
      </w:r>
      <w:r/>
    </w:p>
  </w:footnote>
  <w:footnote w:id="17">
    <w:p>
      <w:pPr>
        <w:pStyle w:val="1291"/>
        <w:ind w:left="0" w:firstLine="0"/>
        <w:rPr>
          <w:rFonts w:ascii="宋体" w:hAnsi="宋体"/>
          <w:b/>
          <w:sz w:val="18"/>
          <w:szCs w:val="21"/>
          <w:lang w:eastAsia="zh-CN"/>
        </w:rPr>
      </w:pPr>
      <w:r>
        <w:rPr>
          <w:rStyle w:val="1290"/>
          <w:rFonts w:ascii="宋体" w:hAnsi="宋体" w:eastAsia="宋体" w:cstheme="minorBidi"/>
          <w:b/>
          <w:sz w:val="18"/>
          <w:szCs w:val="21"/>
        </w:rPr>
        <w:footnoteRef/>
      </w:r>
      <w:r>
        <w:rPr>
          <w:rFonts w:ascii="宋体" w:hAnsi="宋体"/>
          <w:b/>
          <w:sz w:val="18"/>
          <w:szCs w:val="21"/>
          <w:lang w:eastAsia="zh-CN"/>
        </w:rPr>
        <w:t xml:space="preserve"> 语言能力完全丧失：</w:t>
      </w:r>
      <w:r>
        <w:rPr>
          <w:rFonts w:ascii="宋体" w:hAnsi="宋体"/>
          <w:sz w:val="18"/>
          <w:szCs w:val="21"/>
          <w:lang w:eastAsia="zh-CN"/>
        </w:rPr>
        <w:t xml:space="preserve">指无法发出四种语音（包括口唇音、齿舌音、口盖音和喉头音）中的任何三种、或声带全部切除，或因大脑语言中枢受伤害而患失语症。如无特别说明，本合同下文提及处，意思相同。</w:t>
      </w:r>
      <w:r/>
    </w:p>
  </w:footnote>
  <w:footnote w:id="18">
    <w:p>
      <w:pPr>
        <w:pStyle w:val="1291"/>
        <w:ind w:left="0" w:firstLine="0"/>
        <w:rPr>
          <w:rFonts w:ascii="宋体" w:hAnsi="宋体"/>
          <w:b/>
          <w:sz w:val="18"/>
          <w:szCs w:val="21"/>
          <w:lang w:eastAsia="zh-CN"/>
        </w:rPr>
      </w:pPr>
      <w:r>
        <w:rPr>
          <w:rStyle w:val="1290"/>
          <w:rFonts w:ascii="宋体" w:hAnsi="宋体" w:eastAsia="宋体" w:cstheme="minorBidi"/>
          <w:b/>
          <w:sz w:val="18"/>
          <w:szCs w:val="21"/>
        </w:rPr>
        <w:footnoteRef/>
      </w:r>
      <w:r>
        <w:rPr>
          <w:rFonts w:ascii="宋体" w:hAnsi="宋体"/>
          <w:b/>
          <w:sz w:val="18"/>
          <w:szCs w:val="21"/>
          <w:lang w:eastAsia="zh-CN"/>
        </w:rPr>
        <w:t xml:space="preserve"> 严重咀嚼吞咽功能障碍：</w:t>
      </w:r>
      <w:r>
        <w:rPr>
          <w:rFonts w:ascii="宋体" w:hAnsi="宋体"/>
          <w:sz w:val="18"/>
          <w:szCs w:val="21"/>
          <w:lang w:eastAsia="zh-CN"/>
        </w:rPr>
        <w:t xml:space="preserve">指因牙齿以外的原因导致器质障碍或机能障碍，以致不能作咀嚼吞咽运动，除流质食物外不能摄取或吞咽的状态。如无特别说明，本合同下文提及处，意思相同。</w:t>
      </w:r>
      <w:r/>
    </w:p>
  </w:footnote>
  <w:footnote w:id="19">
    <w:p>
      <w:pPr>
        <w:pStyle w:val="1291"/>
        <w:ind w:left="0" w:firstLine="0"/>
        <w:rPr>
          <w:rFonts w:ascii="宋体" w:hAnsi="宋体"/>
          <w:b/>
          <w:sz w:val="18"/>
          <w:szCs w:val="21"/>
          <w:lang w:eastAsia="zh-CN"/>
        </w:rPr>
      </w:pPr>
      <w:r>
        <w:rPr>
          <w:rStyle w:val="1290"/>
          <w:rFonts w:ascii="宋体" w:hAnsi="宋体" w:eastAsia="宋体" w:cstheme="minorBidi"/>
          <w:b/>
          <w:sz w:val="18"/>
        </w:rPr>
        <w:footnoteRef/>
      </w:r>
      <w:r>
        <w:rPr>
          <w:rFonts w:ascii="宋体" w:hAnsi="宋体"/>
          <w:b/>
          <w:sz w:val="18"/>
          <w:szCs w:val="21"/>
          <w:lang w:eastAsia="zh-CN"/>
        </w:rPr>
        <w:t xml:space="preserve"> 六项基本日常生活活动</w:t>
      </w:r>
      <w:r>
        <w:rPr>
          <w:rFonts w:ascii="宋体" w:hAnsi="宋体"/>
          <w:sz w:val="18"/>
          <w:szCs w:val="21"/>
          <w:lang w:eastAsia="zh-CN"/>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ascii="宋体" w:hAnsi="宋体"/>
          <w:b/>
          <w:sz w:val="18"/>
          <w:szCs w:val="21"/>
          <w:lang w:eastAsia="zh-CN"/>
        </w:rPr>
        <w:t xml:space="preserve">六项基本日常生活活动能力的鉴定不适用于0-3周岁幼儿。</w:t>
      </w:r>
      <w:r>
        <w:rPr>
          <w:rFonts w:ascii="宋体" w:hAnsi="宋体"/>
          <w:sz w:val="18"/>
          <w:szCs w:val="21"/>
          <w:lang w:eastAsia="zh-CN"/>
        </w:rPr>
        <w:t xml:space="preserve">如无特别说明，本合同下文提及处，意思相同。</w:t>
      </w:r>
      <w:r/>
    </w:p>
  </w:footnote>
  <w:footnote w:id="20">
    <w:p>
      <w:pPr>
        <w:pStyle w:val="1291"/>
        <w:ind w:left="0" w:firstLine="0"/>
        <w:rPr>
          <w:rFonts w:ascii="宋体" w:hAnsi="宋体"/>
          <w:b/>
          <w:sz w:val="21"/>
          <w:szCs w:val="21"/>
          <w:lang w:eastAsia="zh-CN"/>
        </w:rPr>
      </w:pPr>
      <w:r>
        <w:rPr>
          <w:rStyle w:val="1290"/>
          <w:rFonts w:ascii="宋体" w:hAnsi="宋体" w:eastAsia="宋体" w:cstheme="minorBidi"/>
          <w:b/>
          <w:sz w:val="18"/>
        </w:rPr>
        <w:footnoteRef/>
      </w:r>
      <w:r>
        <w:rPr>
          <w:rFonts w:ascii="宋体" w:hAnsi="宋体"/>
          <w:b/>
          <w:sz w:val="18"/>
          <w:szCs w:val="21"/>
          <w:lang w:eastAsia="zh-CN"/>
        </w:rPr>
        <w:t xml:space="preserve"> 永久不可逆：</w:t>
      </w:r>
      <w:r>
        <w:rPr>
          <w:rFonts w:ascii="宋体" w:hAnsi="宋体"/>
          <w:sz w:val="18"/>
          <w:szCs w:val="21"/>
          <w:lang w:eastAsia="zh-CN"/>
        </w:rPr>
        <w:t xml:space="preserve">指自疾病确诊或意外伤害发生之日起，经过积极治疗180天后，仍无法通过现有医疗手段恢复。如无特别说明，本合同下文提及处，意思相同。</w:t>
      </w:r>
      <w:r/>
    </w:p>
  </w:footnote>
  <w:footnote w:id="21">
    <w:p>
      <w:pPr>
        <w:pStyle w:val="1291"/>
        <w:ind w:left="0" w:firstLine="0"/>
        <w:rPr>
          <w:rFonts w:ascii="宋体" w:hAnsi="宋体"/>
          <w:b/>
          <w:sz w:val="18"/>
          <w:szCs w:val="21"/>
        </w:rPr>
      </w:pPr>
      <w:r>
        <w:rPr>
          <w:rStyle w:val="1290"/>
          <w:rFonts w:ascii="宋体" w:hAnsi="宋体" w:eastAsia="宋体" w:cstheme="minorBidi"/>
          <w:b/>
          <w:sz w:val="18"/>
        </w:rPr>
        <w:footnoteRef/>
      </w:r>
      <w:r>
        <w:rPr>
          <w:rFonts w:ascii="宋体" w:hAnsi="宋体"/>
          <w:b/>
          <w:sz w:val="18"/>
          <w:szCs w:val="21"/>
        </w:rPr>
        <w:t xml:space="preserve"> 美国纽约心脏病学会（New York Heart Association，NYHA）心功能状态分级：</w:t>
      </w:r>
      <w:r>
        <w:rPr>
          <w:rFonts w:ascii="宋体" w:hAnsi="宋体"/>
          <w:sz w:val="18"/>
          <w:szCs w:val="21"/>
        </w:rPr>
        <w:t xml:space="preserve">美国纽约心脏病学会（New York Heart Association，NYHA）将心功能状态分为四级：</w:t>
      </w:r>
      <w:r/>
    </w:p>
    <w:p>
      <w:pPr>
        <w:pStyle w:val="1291"/>
        <w:ind w:left="0" w:firstLine="0"/>
        <w:rPr>
          <w:rFonts w:ascii="宋体" w:hAnsi="宋体"/>
          <w:sz w:val="18"/>
          <w:szCs w:val="21"/>
          <w:lang w:eastAsia="zh-CN"/>
        </w:rPr>
      </w:pPr>
      <w:r>
        <w:rPr>
          <w:rFonts w:ascii="宋体" w:hAnsi="宋体"/>
          <w:sz w:val="18"/>
          <w:szCs w:val="21"/>
          <w:lang w:eastAsia="zh-CN"/>
        </w:rPr>
        <w:t xml:space="preserve">Ⅰ级：心脏病病人日常活动量不受限制，一般活动不引起乏力、呼吸困难等心衰症状。</w:t>
      </w:r>
      <w:r/>
    </w:p>
    <w:p>
      <w:pPr>
        <w:pStyle w:val="1291"/>
        <w:ind w:left="0" w:firstLine="0"/>
        <w:rPr>
          <w:rFonts w:ascii="宋体" w:hAnsi="宋体"/>
          <w:sz w:val="18"/>
          <w:szCs w:val="21"/>
          <w:lang w:eastAsia="zh-CN"/>
        </w:rPr>
      </w:pPr>
      <w:r>
        <w:rPr>
          <w:rFonts w:ascii="宋体" w:hAnsi="宋体"/>
          <w:sz w:val="18"/>
          <w:szCs w:val="21"/>
          <w:lang w:eastAsia="zh-CN"/>
        </w:rPr>
        <w:t xml:space="preserve">Ⅱ级：心脏病病人体力活动轻度受限制，休息时无自觉症状，一般活动下可出现心衰症状。</w:t>
      </w:r>
      <w:r/>
    </w:p>
    <w:p>
      <w:pPr>
        <w:pStyle w:val="1291"/>
        <w:ind w:left="0" w:firstLine="0"/>
        <w:rPr>
          <w:rFonts w:ascii="宋体" w:hAnsi="宋体"/>
          <w:sz w:val="18"/>
          <w:szCs w:val="21"/>
          <w:lang w:eastAsia="zh-CN"/>
        </w:rPr>
      </w:pPr>
      <w:r>
        <w:rPr>
          <w:rFonts w:ascii="宋体" w:hAnsi="宋体"/>
          <w:sz w:val="18"/>
          <w:szCs w:val="21"/>
          <w:lang w:eastAsia="zh-CN"/>
        </w:rPr>
        <w:t xml:space="preserve">Ⅲ级：心脏病病人体力活动明显受限，低于平时一般活动即引起心衰症状。</w:t>
      </w:r>
      <w:r/>
    </w:p>
    <w:p>
      <w:pPr>
        <w:pStyle w:val="1291"/>
        <w:ind w:left="0" w:firstLine="0"/>
        <w:rPr>
          <w:rFonts w:ascii="宋体" w:hAnsi="宋体"/>
          <w:sz w:val="21"/>
          <w:szCs w:val="21"/>
          <w:lang w:eastAsia="zh-CN"/>
        </w:rPr>
      </w:pPr>
      <w:r>
        <w:rPr>
          <w:rFonts w:ascii="宋体" w:hAnsi="宋体"/>
          <w:sz w:val="18"/>
          <w:szCs w:val="21"/>
          <w:lang w:eastAsia="zh-CN"/>
        </w:rPr>
        <w:t xml:space="preserve">Ⅳ级：心脏病病人不能从事任何体力活动，休息状态下也存在心衰症状，活动后加重。</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6"/>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0" w:default="1">
    <w:name w:val="Normal"/>
    <w:link w:val="12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name w:val="Heading 1"/>
    <w:basedOn w:val="1020"/>
    <w:next w:val="1020"/>
    <w:link w:val="1057"/>
    <w:uiPriority w:val="9"/>
    <w:qFormat/>
    <w:pPr>
      <w:keepLines/>
      <w:keepNext/>
      <w:spacing w:before="480" w:after="200"/>
      <w:outlineLvl w:val="0"/>
    </w:pPr>
    <w:rPr>
      <w:rFonts w:ascii="Arial" w:hAnsi="Arial" w:eastAsia="Arial" w:cs="Arial"/>
      <w:sz w:val="40"/>
      <w:szCs w:val="40"/>
    </w:rPr>
  </w:style>
  <w:style w:type="paragraph" w:styleId="1022">
    <w:name w:val="Heading 2"/>
    <w:basedOn w:val="1020"/>
    <w:next w:val="1020"/>
    <w:link w:val="1058"/>
    <w:uiPriority w:val="9"/>
    <w:unhideWhenUsed/>
    <w:qFormat/>
    <w:pPr>
      <w:keepLines/>
      <w:keepNext/>
      <w:spacing w:before="360" w:after="200"/>
      <w:outlineLvl w:val="1"/>
    </w:pPr>
    <w:rPr>
      <w:rFonts w:ascii="Arial" w:hAnsi="Arial" w:eastAsia="Arial" w:cs="Arial"/>
      <w:sz w:val="34"/>
    </w:rPr>
  </w:style>
  <w:style w:type="paragraph" w:styleId="1023">
    <w:name w:val="Heading 3"/>
    <w:basedOn w:val="1020"/>
    <w:next w:val="1032"/>
    <w:link w:val="1059"/>
    <w:uiPriority w:val="9"/>
    <w:unhideWhenUsed/>
    <w:qFormat/>
    <w:pPr>
      <w:keepLines/>
      <w:keepNext/>
      <w:spacing w:before="320" w:after="200"/>
      <w:outlineLvl w:val="2"/>
    </w:pPr>
    <w:rPr>
      <w:rFonts w:ascii="Arial" w:hAnsi="Arial" w:eastAsia="Arial" w:cs="Arial"/>
      <w:sz w:val="30"/>
      <w:szCs w:val="30"/>
    </w:rPr>
  </w:style>
  <w:style w:type="paragraph" w:styleId="1024">
    <w:name w:val="Heading 4"/>
    <w:basedOn w:val="1020"/>
    <w:next w:val="1020"/>
    <w:link w:val="1060"/>
    <w:uiPriority w:val="9"/>
    <w:unhideWhenUsed/>
    <w:qFormat/>
    <w:pPr>
      <w:keepLines/>
      <w:keepNext/>
      <w:spacing w:before="320" w:after="200"/>
      <w:outlineLvl w:val="3"/>
    </w:pPr>
    <w:rPr>
      <w:rFonts w:ascii="Arial" w:hAnsi="Arial" w:eastAsia="Arial" w:cs="Arial"/>
      <w:b/>
      <w:bCs/>
      <w:sz w:val="26"/>
      <w:szCs w:val="26"/>
    </w:rPr>
  </w:style>
  <w:style w:type="paragraph" w:styleId="1025">
    <w:name w:val="Heading 5"/>
    <w:basedOn w:val="1020"/>
    <w:next w:val="1020"/>
    <w:link w:val="1061"/>
    <w:uiPriority w:val="9"/>
    <w:unhideWhenUsed/>
    <w:qFormat/>
    <w:pPr>
      <w:keepLines/>
      <w:keepNext/>
      <w:spacing w:before="320" w:after="200"/>
      <w:outlineLvl w:val="4"/>
    </w:pPr>
    <w:rPr>
      <w:rFonts w:ascii="Arial" w:hAnsi="Arial" w:eastAsia="Arial" w:cs="Arial"/>
      <w:b/>
      <w:bCs/>
      <w:sz w:val="24"/>
      <w:szCs w:val="24"/>
    </w:rPr>
  </w:style>
  <w:style w:type="paragraph" w:styleId="1026">
    <w:name w:val="Heading 6"/>
    <w:basedOn w:val="1020"/>
    <w:next w:val="1020"/>
    <w:link w:val="1062"/>
    <w:uiPriority w:val="9"/>
    <w:unhideWhenUsed/>
    <w:qFormat/>
    <w:pPr>
      <w:keepLines/>
      <w:keepNext/>
      <w:spacing w:before="320" w:after="200"/>
      <w:outlineLvl w:val="5"/>
    </w:pPr>
    <w:rPr>
      <w:rFonts w:ascii="Arial" w:hAnsi="Arial" w:eastAsia="Arial" w:cs="Arial"/>
      <w:b/>
      <w:bCs/>
      <w:sz w:val="22"/>
      <w:szCs w:val="22"/>
    </w:rPr>
  </w:style>
  <w:style w:type="paragraph" w:styleId="1027">
    <w:name w:val="Heading 7"/>
    <w:basedOn w:val="1020"/>
    <w:next w:val="1020"/>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28">
    <w:name w:val="Heading 8"/>
    <w:basedOn w:val="1020"/>
    <w:next w:val="1020"/>
    <w:link w:val="1064"/>
    <w:uiPriority w:val="9"/>
    <w:unhideWhenUsed/>
    <w:qFormat/>
    <w:pPr>
      <w:keepLines/>
      <w:keepNext/>
      <w:spacing w:before="320" w:after="200"/>
      <w:outlineLvl w:val="7"/>
    </w:pPr>
    <w:rPr>
      <w:rFonts w:ascii="Arial" w:hAnsi="Arial" w:eastAsia="Arial" w:cs="Arial"/>
      <w:i/>
      <w:iCs/>
      <w:sz w:val="22"/>
      <w:szCs w:val="22"/>
    </w:rPr>
  </w:style>
  <w:style w:type="paragraph" w:styleId="1029">
    <w:name w:val="Heading 9"/>
    <w:basedOn w:val="1020"/>
    <w:next w:val="1020"/>
    <w:link w:val="1065"/>
    <w:uiPriority w:val="9"/>
    <w:unhideWhenUsed/>
    <w:qFormat/>
    <w:pPr>
      <w:keepLines/>
      <w:keepNext/>
      <w:spacing w:before="320" w:after="200"/>
      <w:outlineLvl w:val="8"/>
    </w:pPr>
    <w:rPr>
      <w:rFonts w:ascii="Arial" w:hAnsi="Arial" w:eastAsia="Arial" w:cs="Arial"/>
      <w:i/>
      <w:iCs/>
      <w:sz w:val="21"/>
      <w:szCs w:val="21"/>
    </w:rPr>
  </w:style>
  <w:style w:type="character" w:styleId="1030" w:default="1">
    <w:name w:val="Default Paragraph Font"/>
    <w:uiPriority w:val="1"/>
    <w:semiHidden/>
    <w:unhideWhenUsed/>
    <w:qFormat/>
  </w:style>
  <w:style w:type="table" w:styleId="1031" w:default="1">
    <w:name w:val="Normal Table"/>
    <w:uiPriority w:val="99"/>
    <w:semiHidden/>
    <w:unhideWhenUsed/>
    <w:qFormat/>
    <w:tblPr>
      <w:tblCellMar>
        <w:left w:w="108" w:type="dxa"/>
        <w:top w:w="0" w:type="dxa"/>
        <w:right w:w="108" w:type="dxa"/>
        <w:bottom w:w="0" w:type="dxa"/>
      </w:tblCellMar>
    </w:tblPr>
  </w:style>
  <w:style w:type="paragraph" w:styleId="1032">
    <w:name w:val="Normal Indent"/>
    <w:basedOn w:val="1020"/>
    <w:next w:val="1020"/>
    <w:uiPriority w:val="0"/>
    <w:qFormat/>
    <w:pPr>
      <w:ind w:firstLine="420"/>
    </w:pPr>
  </w:style>
  <w:style w:type="paragraph" w:styleId="1033">
    <w:name w:val="toc 7"/>
    <w:basedOn w:val="1020"/>
    <w:next w:val="1020"/>
    <w:uiPriority w:val="39"/>
    <w:unhideWhenUsed/>
    <w:qFormat/>
    <w:pPr>
      <w:ind w:left="1701" w:right="0" w:firstLine="0"/>
      <w:spacing w:after="57"/>
    </w:pPr>
  </w:style>
  <w:style w:type="paragraph" w:styleId="1034">
    <w:name w:val="Caption"/>
    <w:basedOn w:val="1020"/>
    <w:next w:val="10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5">
    <w:name w:val="Block Text"/>
    <w:basedOn w:val="1020"/>
    <w:uiPriority w:val="99"/>
    <w:unhideWhenUsed/>
    <w:qFormat/>
    <w:pPr>
      <w:ind w:left="1440" w:right="1440"/>
      <w:spacing w:after="120"/>
    </w:pPr>
  </w:style>
  <w:style w:type="paragraph" w:styleId="1036">
    <w:name w:val="toc 5"/>
    <w:basedOn w:val="1020"/>
    <w:next w:val="1020"/>
    <w:uiPriority w:val="39"/>
    <w:unhideWhenUsed/>
    <w:qFormat/>
    <w:pPr>
      <w:ind w:left="1134" w:right="0" w:firstLine="0"/>
      <w:spacing w:after="57"/>
    </w:pPr>
  </w:style>
  <w:style w:type="paragraph" w:styleId="1037">
    <w:name w:val="toc 3"/>
    <w:basedOn w:val="1020"/>
    <w:next w:val="1020"/>
    <w:uiPriority w:val="39"/>
    <w:unhideWhenUsed/>
    <w:qFormat/>
    <w:pPr>
      <w:ind w:left="567" w:right="0" w:firstLine="0"/>
      <w:spacing w:after="57"/>
    </w:pPr>
  </w:style>
  <w:style w:type="paragraph" w:styleId="1038">
    <w:name w:val="toc 8"/>
    <w:basedOn w:val="1020"/>
    <w:next w:val="1020"/>
    <w:uiPriority w:val="39"/>
    <w:unhideWhenUsed/>
    <w:qFormat/>
    <w:pPr>
      <w:ind w:left="1984" w:right="0" w:firstLine="0"/>
      <w:spacing w:after="57"/>
    </w:pPr>
  </w:style>
  <w:style w:type="paragraph" w:styleId="1039">
    <w:name w:val="endnote text"/>
    <w:basedOn w:val="1020"/>
    <w:link w:val="1203"/>
    <w:uiPriority w:val="99"/>
    <w:semiHidden/>
    <w:unhideWhenUsed/>
    <w:qFormat/>
    <w:pPr>
      <w:spacing w:after="0" w:line="240" w:lineRule="auto"/>
    </w:pPr>
    <w:rPr>
      <w:sz w:val="20"/>
    </w:rPr>
  </w:style>
  <w:style w:type="paragraph" w:styleId="1040">
    <w:name w:val="Footer"/>
    <w:basedOn w:val="1020"/>
    <w:link w:val="1076"/>
    <w:uiPriority w:val="99"/>
    <w:unhideWhenUsed/>
    <w:qFormat/>
    <w:pPr>
      <w:spacing w:after="0" w:line="240" w:lineRule="auto"/>
      <w:tabs>
        <w:tab w:val="center" w:pos="7143" w:leader="none"/>
        <w:tab w:val="right" w:pos="14287" w:leader="none"/>
      </w:tabs>
    </w:pPr>
  </w:style>
  <w:style w:type="paragraph" w:styleId="1041">
    <w:name w:val="Header"/>
    <w:basedOn w:val="1020"/>
    <w:link w:val="1074"/>
    <w:uiPriority w:val="99"/>
    <w:unhideWhenUsed/>
    <w:qFormat/>
    <w:pPr>
      <w:spacing w:after="0" w:line="240" w:lineRule="auto"/>
      <w:tabs>
        <w:tab w:val="center" w:pos="7143" w:leader="none"/>
        <w:tab w:val="right" w:pos="14287" w:leader="none"/>
      </w:tabs>
    </w:pPr>
  </w:style>
  <w:style w:type="paragraph" w:styleId="1042">
    <w:name w:val="toc 1"/>
    <w:basedOn w:val="1020"/>
    <w:next w:val="1020"/>
    <w:uiPriority w:val="39"/>
    <w:unhideWhenUsed/>
    <w:qFormat/>
    <w:pPr>
      <w:ind w:left="0" w:right="0" w:firstLine="0"/>
      <w:spacing w:after="57"/>
    </w:pPr>
  </w:style>
  <w:style w:type="paragraph" w:styleId="1043">
    <w:name w:val="toc 4"/>
    <w:basedOn w:val="1020"/>
    <w:next w:val="1020"/>
    <w:uiPriority w:val="39"/>
    <w:unhideWhenUsed/>
    <w:qFormat/>
    <w:pPr>
      <w:ind w:left="850" w:right="0" w:firstLine="0"/>
      <w:spacing w:after="57"/>
    </w:pPr>
  </w:style>
  <w:style w:type="paragraph" w:styleId="1044">
    <w:name w:val="Subtitle"/>
    <w:basedOn w:val="1020"/>
    <w:next w:val="1020"/>
    <w:link w:val="1069"/>
    <w:uiPriority w:val="11"/>
    <w:qFormat/>
    <w:pPr>
      <w:spacing w:before="200" w:after="200"/>
    </w:pPr>
    <w:rPr>
      <w:sz w:val="24"/>
      <w:szCs w:val="24"/>
    </w:rPr>
  </w:style>
  <w:style w:type="paragraph" w:styleId="1045">
    <w:name w:val="footnote text"/>
    <w:basedOn w:val="1020"/>
    <w:link w:val="1202"/>
    <w:uiPriority w:val="99"/>
    <w:semiHidden/>
    <w:unhideWhenUsed/>
    <w:qFormat/>
    <w:pPr>
      <w:spacing w:after="40" w:line="240" w:lineRule="auto"/>
    </w:pPr>
    <w:rPr>
      <w:sz w:val="18"/>
    </w:rPr>
  </w:style>
  <w:style w:type="paragraph" w:styleId="1046">
    <w:name w:val="toc 6"/>
    <w:basedOn w:val="1020"/>
    <w:next w:val="1020"/>
    <w:uiPriority w:val="39"/>
    <w:unhideWhenUsed/>
    <w:qFormat/>
    <w:pPr>
      <w:ind w:left="1417" w:right="0" w:firstLine="0"/>
      <w:spacing w:after="57"/>
    </w:pPr>
  </w:style>
  <w:style w:type="paragraph" w:styleId="1047">
    <w:name w:val="table of figures"/>
    <w:basedOn w:val="1020"/>
    <w:next w:val="1020"/>
    <w:uiPriority w:val="99"/>
    <w:unhideWhenUsed/>
    <w:qFormat/>
    <w:pPr>
      <w:spacing w:after="0" w:afterAutospacing="0"/>
    </w:pPr>
  </w:style>
  <w:style w:type="paragraph" w:styleId="1048">
    <w:name w:val="toc 2"/>
    <w:basedOn w:val="1020"/>
    <w:next w:val="1020"/>
    <w:uiPriority w:val="39"/>
    <w:unhideWhenUsed/>
    <w:qFormat/>
    <w:pPr>
      <w:ind w:left="283" w:right="0" w:firstLine="0"/>
      <w:spacing w:after="57"/>
    </w:pPr>
  </w:style>
  <w:style w:type="paragraph" w:styleId="1049">
    <w:name w:val="toc 9"/>
    <w:basedOn w:val="1020"/>
    <w:next w:val="1020"/>
    <w:uiPriority w:val="39"/>
    <w:unhideWhenUsed/>
    <w:qFormat/>
    <w:pPr>
      <w:ind w:left="2268" w:right="0" w:firstLine="0"/>
      <w:spacing w:after="57"/>
    </w:pPr>
  </w:style>
  <w:style w:type="paragraph" w:styleId="1050">
    <w:name w:val="Normal (Web)"/>
    <w:basedOn w:val="1020"/>
    <w:uiPriority w:val="99"/>
    <w:semiHidden/>
    <w:unhideWhenUsed/>
    <w:qFormat/>
    <w:rPr>
      <w:sz w:val="24"/>
    </w:rPr>
  </w:style>
  <w:style w:type="paragraph" w:styleId="1051">
    <w:name w:val="Title"/>
    <w:basedOn w:val="1020"/>
    <w:next w:val="1020"/>
    <w:link w:val="1068"/>
    <w:uiPriority w:val="10"/>
    <w:qFormat/>
    <w:pPr>
      <w:contextualSpacing/>
      <w:spacing w:before="300" w:after="200"/>
    </w:pPr>
    <w:rPr>
      <w:sz w:val="48"/>
      <w:szCs w:val="48"/>
    </w:rPr>
  </w:style>
  <w:style w:type="table" w:styleId="10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3">
    <w:name w:val="endnote reference"/>
    <w:uiPriority w:val="99"/>
    <w:semiHidden/>
    <w:unhideWhenUsed/>
    <w:qFormat/>
    <w:rPr>
      <w:vertAlign w:val="superscript"/>
    </w:rPr>
  </w:style>
  <w:style w:type="character" w:styleId="1054">
    <w:name w:val="Hyperlink"/>
    <w:uiPriority w:val="99"/>
    <w:unhideWhenUsed/>
    <w:qFormat/>
    <w:rPr>
      <w:color w:val="0000ff" w:themeColor="hyperlink"/>
      <w:u w:val="single"/>
      <w14:textFill>
        <w14:solidFill>
          <w14:schemeClr w14:val="hlink"/>
        </w14:solidFill>
      </w14:textFill>
    </w:rPr>
  </w:style>
  <w:style w:type="character" w:styleId="1055">
    <w:name w:val="footnote reference"/>
    <w:uiPriority w:val="99"/>
    <w:unhideWhenUsed/>
    <w:qFormat/>
    <w:rPr>
      <w:vertAlign w:val="superscript"/>
    </w:rPr>
  </w:style>
  <w:style w:type="paragraph" w:styleId="1056" w:customStyle="1">
    <w:name w:val="标题 21"/>
    <w:basedOn w:val="1020"/>
    <w:next w:val="1020"/>
    <w:uiPriority w:val="99"/>
    <w:qFormat/>
    <w:pPr>
      <w:jc w:val="center"/>
      <w:keepLines/>
      <w:keepNext/>
      <w:spacing w:before="260" w:after="260" w:line="360" w:lineRule="auto"/>
      <w:outlineLvl w:val="1"/>
    </w:pPr>
    <w:rPr>
      <w:rFonts w:ascii="Arial" w:hAnsi="Arial" w:eastAsia="仿宋"/>
      <w:bCs/>
      <w:sz w:val="24"/>
      <w:szCs w:val="32"/>
    </w:rPr>
  </w:style>
  <w:style w:type="character" w:styleId="1057" w:customStyle="1">
    <w:name w:val="Heading 1 Char"/>
    <w:link w:val="1021"/>
    <w:uiPriority w:val="9"/>
    <w:qFormat/>
    <w:rPr>
      <w:rFonts w:ascii="Arial" w:hAnsi="Arial" w:eastAsia="Arial" w:cs="Arial"/>
      <w:sz w:val="40"/>
      <w:szCs w:val="40"/>
    </w:rPr>
  </w:style>
  <w:style w:type="character" w:styleId="1058" w:customStyle="1">
    <w:name w:val="Heading 2 Char"/>
    <w:link w:val="1022"/>
    <w:uiPriority w:val="9"/>
    <w:qFormat/>
    <w:rPr>
      <w:rFonts w:ascii="Arial" w:hAnsi="Arial" w:eastAsia="Arial" w:cs="Arial"/>
      <w:sz w:val="34"/>
    </w:rPr>
  </w:style>
  <w:style w:type="character" w:styleId="1059" w:customStyle="1">
    <w:name w:val="Heading 3 Char"/>
    <w:link w:val="1023"/>
    <w:uiPriority w:val="9"/>
    <w:qFormat/>
    <w:rPr>
      <w:rFonts w:ascii="Arial" w:hAnsi="Arial" w:eastAsia="Arial" w:cs="Arial"/>
      <w:sz w:val="30"/>
      <w:szCs w:val="30"/>
    </w:rPr>
  </w:style>
  <w:style w:type="character" w:styleId="1060" w:customStyle="1">
    <w:name w:val="Heading 4 Char"/>
    <w:link w:val="1024"/>
    <w:uiPriority w:val="9"/>
    <w:qFormat/>
    <w:rPr>
      <w:rFonts w:ascii="Arial" w:hAnsi="Arial" w:eastAsia="Arial" w:cs="Arial"/>
      <w:b/>
      <w:bCs/>
      <w:sz w:val="26"/>
      <w:szCs w:val="26"/>
    </w:rPr>
  </w:style>
  <w:style w:type="character" w:styleId="1061" w:customStyle="1">
    <w:name w:val="Heading 5 Char"/>
    <w:link w:val="1025"/>
    <w:uiPriority w:val="9"/>
    <w:qFormat/>
    <w:rPr>
      <w:rFonts w:ascii="Arial" w:hAnsi="Arial" w:eastAsia="Arial" w:cs="Arial"/>
      <w:b/>
      <w:bCs/>
      <w:sz w:val="24"/>
      <w:szCs w:val="24"/>
    </w:rPr>
  </w:style>
  <w:style w:type="character" w:styleId="1062" w:customStyle="1">
    <w:name w:val="Heading 6 Char"/>
    <w:link w:val="1026"/>
    <w:uiPriority w:val="9"/>
    <w:qFormat/>
    <w:rPr>
      <w:rFonts w:ascii="Arial" w:hAnsi="Arial" w:eastAsia="Arial" w:cs="Arial"/>
      <w:b/>
      <w:bCs/>
      <w:sz w:val="22"/>
      <w:szCs w:val="22"/>
    </w:rPr>
  </w:style>
  <w:style w:type="character" w:styleId="1063" w:customStyle="1">
    <w:name w:val="Heading 7 Char"/>
    <w:link w:val="1027"/>
    <w:uiPriority w:val="9"/>
    <w:qFormat/>
    <w:rPr>
      <w:rFonts w:ascii="Arial" w:hAnsi="Arial" w:eastAsia="Arial" w:cs="Arial"/>
      <w:b/>
      <w:bCs/>
      <w:i/>
      <w:iCs/>
      <w:sz w:val="22"/>
      <w:szCs w:val="22"/>
    </w:rPr>
  </w:style>
  <w:style w:type="character" w:styleId="1064" w:customStyle="1">
    <w:name w:val="Heading 8 Char"/>
    <w:link w:val="1028"/>
    <w:uiPriority w:val="9"/>
    <w:qFormat/>
    <w:rPr>
      <w:rFonts w:ascii="Arial" w:hAnsi="Arial" w:eastAsia="Arial" w:cs="Arial"/>
      <w:i/>
      <w:iCs/>
      <w:sz w:val="22"/>
      <w:szCs w:val="22"/>
    </w:rPr>
  </w:style>
  <w:style w:type="character" w:styleId="1065" w:customStyle="1">
    <w:name w:val="Heading 9 Char"/>
    <w:link w:val="1029"/>
    <w:uiPriority w:val="9"/>
    <w:qFormat/>
    <w:rPr>
      <w:rFonts w:ascii="Arial" w:hAnsi="Arial" w:eastAsia="Arial" w:cs="Arial"/>
      <w:i/>
      <w:iCs/>
      <w:sz w:val="21"/>
      <w:szCs w:val="21"/>
    </w:rPr>
  </w:style>
  <w:style w:type="paragraph" w:styleId="1066">
    <w:name w:val="List Paragraph"/>
    <w:basedOn w:val="1020"/>
    <w:uiPriority w:val="34"/>
    <w:qFormat/>
    <w:pPr>
      <w:contextualSpacing/>
      <w:ind w:left="720"/>
    </w:pPr>
  </w:style>
  <w:style w:type="paragraph" w:styleId="1067">
    <w:name w:val="No Spacing"/>
    <w:uiPriority w:val="1"/>
    <w:qFormat/>
    <w:pPr>
      <w:spacing w:before="0" w:after="0" w:line="240" w:lineRule="auto"/>
    </w:pPr>
    <w:rPr>
      <w:rFonts w:hint="default" w:ascii="Times New Roman" w:hAnsi="Times New Roman" w:eastAsia="宋体" w:cs="Times New Roman"/>
    </w:rPr>
  </w:style>
  <w:style w:type="character" w:styleId="1068" w:customStyle="1">
    <w:name w:val="Title Char"/>
    <w:link w:val="1051"/>
    <w:uiPriority w:val="10"/>
    <w:qFormat/>
    <w:rPr>
      <w:sz w:val="48"/>
      <w:szCs w:val="48"/>
    </w:rPr>
  </w:style>
  <w:style w:type="character" w:styleId="1069" w:customStyle="1">
    <w:name w:val="Subtitle Char"/>
    <w:link w:val="1044"/>
    <w:uiPriority w:val="11"/>
    <w:qFormat/>
    <w:rPr>
      <w:sz w:val="24"/>
      <w:szCs w:val="24"/>
    </w:rPr>
  </w:style>
  <w:style w:type="paragraph" w:styleId="1070">
    <w:name w:val="Quote"/>
    <w:basedOn w:val="1020"/>
    <w:next w:val="1020"/>
    <w:link w:val="1071"/>
    <w:uiPriority w:val="29"/>
    <w:qFormat/>
    <w:pPr>
      <w:ind w:left="720" w:right="720"/>
    </w:pPr>
    <w:rPr>
      <w:i/>
    </w:rPr>
  </w:style>
  <w:style w:type="character" w:styleId="1071" w:customStyle="1">
    <w:name w:val="Quote Char"/>
    <w:link w:val="1070"/>
    <w:uiPriority w:val="29"/>
    <w:qFormat/>
    <w:rPr>
      <w:i/>
    </w:rPr>
  </w:style>
  <w:style w:type="paragraph" w:styleId="1072">
    <w:name w:val="Intense Quote"/>
    <w:basedOn w:val="1020"/>
    <w:next w:val="1020"/>
    <w:link w:val="10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3" w:customStyle="1">
    <w:name w:val="Intense Quote Char"/>
    <w:link w:val="1072"/>
    <w:uiPriority w:val="30"/>
    <w:qFormat/>
    <w:rPr>
      <w:i/>
    </w:rPr>
  </w:style>
  <w:style w:type="character" w:styleId="1074" w:customStyle="1">
    <w:name w:val="Header Char"/>
    <w:link w:val="1041"/>
    <w:uiPriority w:val="99"/>
    <w:qFormat/>
  </w:style>
  <w:style w:type="character" w:styleId="1075" w:customStyle="1">
    <w:name w:val="Footer Char"/>
    <w:link w:val="1040"/>
    <w:uiPriority w:val="99"/>
    <w:qFormat/>
  </w:style>
  <w:style w:type="character" w:styleId="1076" w:customStyle="1">
    <w:name w:val="Caption Char"/>
    <w:link w:val="1040"/>
    <w:uiPriority w:val="99"/>
    <w:qFormat/>
  </w:style>
  <w:style w:type="table" w:styleId="10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2" w:customStyle="1">
    <w:name w:val="Footnote Text Char"/>
    <w:link w:val="1045"/>
    <w:uiPriority w:val="99"/>
    <w:qFormat/>
    <w:rPr>
      <w:sz w:val="18"/>
    </w:rPr>
  </w:style>
  <w:style w:type="character" w:styleId="1203" w:customStyle="1">
    <w:name w:val="Endnote Text Char"/>
    <w:link w:val="1039"/>
    <w:uiPriority w:val="99"/>
    <w:qFormat/>
    <w:rPr>
      <w:sz w:val="20"/>
    </w:rPr>
  </w:style>
  <w:style w:type="paragraph" w:styleId="1204" w:customStyle="1">
    <w:name w:val="TOC Heading"/>
    <w:uiPriority w:val="39"/>
    <w:unhideWhenUsed/>
    <w:qFormat/>
    <w:rPr>
      <w:rFonts w:hint="default" w:ascii="Times New Roman" w:hAnsi="Times New Roman" w:eastAsia="宋体" w:cs="Times New Roman"/>
    </w:rPr>
  </w:style>
  <w:style w:type="paragraph" w:styleId="1205" w:customStyle="1">
    <w:name w:val="标题 11"/>
    <w:basedOn w:val="1206"/>
    <w:next w:val="1206"/>
    <w:link w:val="1213"/>
    <w:uiPriority w:val="0"/>
    <w:qFormat/>
    <w:pPr>
      <w:jc w:val="center"/>
      <w:keepLines/>
      <w:keepNext/>
      <w:spacing w:line="578" w:lineRule="auto"/>
      <w:outlineLvl w:val="0"/>
    </w:pPr>
    <w:rPr>
      <w:rFonts w:eastAsia="新宋体"/>
      <w:b/>
      <w:bCs/>
      <w:sz w:val="30"/>
      <w:szCs w:val="44"/>
    </w:rPr>
  </w:style>
  <w:style w:type="paragraph" w:styleId="1206" w:customStyle="1">
    <w:name w:val="正文1111"/>
    <w:next w:val="1207"/>
    <w:link w:val="12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目录 112"/>
    <w:basedOn w:val="1206"/>
    <w:next w:val="1206"/>
    <w:uiPriority w:val="0"/>
    <w:qFormat/>
  </w:style>
  <w:style w:type="paragraph" w:styleId="1208" w:customStyle="1">
    <w:name w:val="标题 211"/>
    <w:basedOn w:val="1020"/>
    <w:next w:val="1020"/>
    <w:uiPriority w:val="99"/>
    <w:qFormat/>
    <w:pPr>
      <w:jc w:val="center"/>
      <w:keepLines/>
      <w:keepNext/>
      <w:spacing w:before="260" w:after="260" w:line="360" w:lineRule="auto"/>
      <w:outlineLvl w:val="1"/>
    </w:pPr>
    <w:rPr>
      <w:rFonts w:ascii="Arial" w:hAnsi="Arial" w:eastAsia="仿宋"/>
      <w:bCs/>
      <w:sz w:val="24"/>
      <w:szCs w:val="32"/>
    </w:rPr>
  </w:style>
  <w:style w:type="paragraph" w:styleId="1209" w:customStyle="1">
    <w:name w:val="标题 31"/>
    <w:basedOn w:val="1020"/>
    <w:next w:val="1020"/>
    <w:link w:val="1214"/>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1210" w:customStyle="1">
    <w:name w:val="标题 411"/>
    <w:basedOn w:val="1020"/>
    <w:next w:val="1020"/>
    <w:link w:val="1215"/>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1211" w:customStyle="1">
    <w:name w:val="默认段落字体1"/>
    <w:link w:val="1020"/>
    <w:uiPriority w:val="1"/>
    <w:unhideWhenUsed/>
    <w:qFormat/>
  </w:style>
  <w:style w:type="table" w:styleId="1212" w:customStyle="1">
    <w:name w:val="普通表格1"/>
    <w:uiPriority w:val="99"/>
    <w:unhideWhenUsed/>
    <w:qFormat/>
    <w:tblPr/>
  </w:style>
  <w:style w:type="character" w:styleId="1213" w:customStyle="1">
    <w:name w:val="标题 1 字符"/>
    <w:link w:val="1205"/>
    <w:uiPriority w:val="0"/>
    <w:qFormat/>
    <w:rPr>
      <w:rFonts w:eastAsia="新宋体"/>
      <w:b/>
      <w:bCs/>
      <w:sz w:val="30"/>
      <w:szCs w:val="44"/>
    </w:rPr>
  </w:style>
  <w:style w:type="character" w:styleId="1214" w:customStyle="1">
    <w:name w:val="标题 3 字符"/>
    <w:link w:val="1209"/>
    <w:uiPriority w:val="9"/>
    <w:qFormat/>
    <w:rPr>
      <w:rFonts w:ascii="Tahoma" w:hAnsi="Tahoma" w:eastAsia="微软雅黑" w:cs="Times New Roman"/>
      <w:b/>
      <w:bCs/>
      <w:sz w:val="32"/>
      <w:szCs w:val="32"/>
    </w:rPr>
  </w:style>
  <w:style w:type="character" w:styleId="1215" w:customStyle="1">
    <w:name w:val="标题 4 字符"/>
    <w:link w:val="1210"/>
    <w:uiPriority w:val="0"/>
    <w:semiHidden/>
    <w:qFormat/>
    <w:rPr>
      <w:rFonts w:ascii="Calibri Light" w:hAnsi="Calibri Light" w:eastAsia="宋体" w:cs="Times New Roman"/>
      <w:b/>
      <w:bCs/>
      <w:sz w:val="28"/>
      <w:szCs w:val="28"/>
    </w:rPr>
  </w:style>
  <w:style w:type="paragraph" w:styleId="1216" w:customStyle="1">
    <w:name w:val="正文缩进1"/>
    <w:basedOn w:val="1020"/>
    <w:uiPriority w:val="0"/>
    <w:qFormat/>
    <w:pPr>
      <w:ind w:firstLine="420"/>
    </w:pPr>
  </w:style>
  <w:style w:type="paragraph" w:styleId="1217" w:customStyle="1">
    <w:name w:val="索引 5111"/>
    <w:basedOn w:val="1020"/>
    <w:next w:val="1020"/>
    <w:uiPriority w:val="0"/>
    <w:qFormat/>
    <w:pPr>
      <w:ind w:left="798"/>
      <w:jc w:val="left"/>
    </w:pPr>
    <w:rPr>
      <w:rFonts w:ascii="Calibri" w:hAnsi="Calibri"/>
    </w:rPr>
  </w:style>
  <w:style w:type="paragraph" w:styleId="1218" w:customStyle="1">
    <w:name w:val="批注文字1"/>
    <w:basedOn w:val="1020"/>
    <w:link w:val="1219"/>
    <w:uiPriority w:val="99"/>
    <w:qFormat/>
    <w:pPr>
      <w:jc w:val="left"/>
    </w:pPr>
  </w:style>
  <w:style w:type="character" w:styleId="1219" w:customStyle="1">
    <w:name w:val="批注文字 字符"/>
    <w:link w:val="1218"/>
    <w:uiPriority w:val="99"/>
    <w:qFormat/>
    <w:rPr>
      <w:sz w:val="21"/>
      <w:szCs w:val="24"/>
    </w:rPr>
  </w:style>
  <w:style w:type="paragraph" w:styleId="1220" w:customStyle="1">
    <w:name w:val="正文文本111"/>
    <w:basedOn w:val="1020"/>
    <w:next w:val="1221"/>
    <w:uiPriority w:val="0"/>
    <w:qFormat/>
    <w:pPr>
      <w:spacing w:after="120"/>
    </w:pPr>
    <w:rPr>
      <w:rFonts w:ascii="Calibri" w:hAnsi="Calibri"/>
    </w:rPr>
  </w:style>
  <w:style w:type="paragraph" w:styleId="1221" w:customStyle="1">
    <w:name w:val="目录 71"/>
    <w:basedOn w:val="1020"/>
    <w:next w:val="1020"/>
    <w:uiPriority w:val="0"/>
    <w:qFormat/>
    <w:pPr>
      <w:ind w:left="2520"/>
    </w:pPr>
    <w:rPr>
      <w:rFonts w:ascii="Calibri"/>
    </w:rPr>
  </w:style>
  <w:style w:type="paragraph" w:styleId="1222" w:customStyle="1">
    <w:name w:val="正文文本缩进12"/>
    <w:basedOn w:val="1020"/>
    <w:uiPriority w:val="0"/>
    <w:qFormat/>
    <w:pPr>
      <w:ind w:left="420"/>
      <w:spacing w:after="120"/>
    </w:pPr>
    <w:rPr>
      <w:rFonts w:ascii="Calibri" w:hAnsi="Calibri"/>
    </w:rPr>
  </w:style>
  <w:style w:type="paragraph" w:styleId="1223" w:customStyle="1">
    <w:name w:val="文本块12"/>
    <w:basedOn w:val="1020"/>
    <w:next w:val="1020"/>
    <w:uiPriority w:val="6"/>
    <w:unhideWhenUsed/>
    <w:qFormat/>
    <w:pPr>
      <w:ind w:left="1440" w:right="1440"/>
      <w:spacing w:after="120"/>
    </w:pPr>
  </w:style>
  <w:style w:type="paragraph" w:styleId="1224" w:customStyle="1">
    <w:name w:val="目录 31"/>
    <w:basedOn w:val="1020"/>
    <w:next w:val="1020"/>
    <w:uiPriority w:val="0"/>
    <w:unhideWhenUsed/>
    <w:qFormat/>
    <w:pPr>
      <w:ind w:left="840"/>
    </w:pPr>
  </w:style>
  <w:style w:type="paragraph" w:styleId="1225" w:customStyle="1">
    <w:name w:val="纯文本11"/>
    <w:basedOn w:val="1020"/>
    <w:uiPriority w:val="0"/>
    <w:qFormat/>
    <w:rPr>
      <w:rFonts w:ascii="宋体" w:hAnsi="Courier New"/>
      <w:szCs w:val="20"/>
    </w:rPr>
  </w:style>
  <w:style w:type="paragraph" w:styleId="1226" w:customStyle="1">
    <w:name w:val="日期1"/>
    <w:basedOn w:val="1020"/>
    <w:next w:val="1020"/>
    <w:uiPriority w:val="0"/>
    <w:qFormat/>
    <w:rPr>
      <w:rFonts w:eastAsia="仿宋_GB2312"/>
      <w:sz w:val="28"/>
      <w:szCs w:val="20"/>
    </w:rPr>
  </w:style>
  <w:style w:type="paragraph" w:styleId="1227" w:customStyle="1">
    <w:name w:val="批注框文本1"/>
    <w:basedOn w:val="1020"/>
    <w:link w:val="1228"/>
    <w:uiPriority w:val="0"/>
    <w:qFormat/>
    <w:rPr>
      <w:sz w:val="18"/>
      <w:szCs w:val="18"/>
    </w:rPr>
  </w:style>
  <w:style w:type="character" w:styleId="1228" w:customStyle="1">
    <w:name w:val="批注框文本 字符"/>
    <w:link w:val="1227"/>
    <w:uiPriority w:val="0"/>
    <w:qFormat/>
    <w:rPr>
      <w:rFonts w:ascii="Times New Roman" w:hAnsi="Times New Roman" w:eastAsia="宋体" w:cs="Times New Roman"/>
      <w:sz w:val="18"/>
      <w:szCs w:val="18"/>
    </w:rPr>
  </w:style>
  <w:style w:type="paragraph" w:styleId="1229" w:customStyle="1">
    <w:name w:val="页脚1"/>
    <w:basedOn w:val="1020"/>
    <w:link w:val="1230"/>
    <w:uiPriority w:val="99"/>
    <w:qFormat/>
    <w:pPr>
      <w:jc w:val="left"/>
      <w:tabs>
        <w:tab w:val="center" w:pos="4153" w:leader="none"/>
        <w:tab w:val="right" w:pos="8306" w:leader="none"/>
      </w:tabs>
    </w:pPr>
    <w:rPr>
      <w:sz w:val="18"/>
      <w:szCs w:val="18"/>
    </w:rPr>
  </w:style>
  <w:style w:type="character" w:styleId="1230" w:customStyle="1">
    <w:name w:val="页脚 字符"/>
    <w:link w:val="1229"/>
    <w:uiPriority w:val="99"/>
    <w:qFormat/>
    <w:rPr>
      <w:rFonts w:ascii="Times New Roman" w:hAnsi="Times New Roman" w:eastAsia="宋体" w:cs="Times New Roman"/>
      <w:sz w:val="18"/>
      <w:szCs w:val="18"/>
    </w:rPr>
  </w:style>
  <w:style w:type="paragraph" w:styleId="1231" w:customStyle="1">
    <w:name w:val="页眉1"/>
    <w:basedOn w:val="1020"/>
    <w:uiPriority w:val="99"/>
    <w:qFormat/>
    <w:pPr>
      <w:jc w:val="center"/>
      <w:tabs>
        <w:tab w:val="center" w:pos="4153" w:leader="none"/>
        <w:tab w:val="right" w:pos="8306" w:leader="none"/>
      </w:tabs>
      <w:pBdr>
        <w:bottom w:val="single" w:color="000000" w:sz="6" w:space="1"/>
      </w:pBdr>
    </w:pPr>
    <w:rPr>
      <w:sz w:val="18"/>
      <w:szCs w:val="18"/>
    </w:rPr>
  </w:style>
  <w:style w:type="paragraph" w:styleId="1232" w:customStyle="1">
    <w:name w:val="目录 111"/>
    <w:basedOn w:val="1020"/>
    <w:next w:val="1020"/>
    <w:uiPriority w:val="39"/>
    <w:qFormat/>
  </w:style>
  <w:style w:type="paragraph" w:styleId="1233" w:customStyle="1">
    <w:name w:val="目录 41"/>
    <w:basedOn w:val="1020"/>
    <w:next w:val="1020"/>
    <w:uiPriority w:val="39"/>
    <w:unhideWhenUsed/>
    <w:qFormat/>
    <w:pPr>
      <w:ind w:left="1260"/>
    </w:pPr>
  </w:style>
  <w:style w:type="paragraph" w:styleId="1234" w:customStyle="1">
    <w:name w:val="脚注文本111"/>
    <w:basedOn w:val="1020"/>
    <w:next w:val="1217"/>
    <w:link w:val="1235"/>
    <w:uiPriority w:val="99"/>
    <w:qFormat/>
    <w:pPr>
      <w:jc w:val="left"/>
    </w:pPr>
    <w:rPr>
      <w:rFonts w:ascii="宋体" w:eastAsia="Times New Roman"/>
      <w:sz w:val="18"/>
      <w:szCs w:val="18"/>
    </w:rPr>
  </w:style>
  <w:style w:type="character" w:styleId="1235" w:customStyle="1">
    <w:name w:val="脚注文本 字符"/>
    <w:link w:val="1234"/>
    <w:uiPriority w:val="99"/>
    <w:qFormat/>
    <w:rPr>
      <w:rFonts w:ascii="宋体" w:hAnsi="Times New Roman" w:eastAsia="Times New Roman" w:cs="Times New Roman"/>
      <w:sz w:val="18"/>
      <w:szCs w:val="18"/>
    </w:rPr>
  </w:style>
  <w:style w:type="paragraph" w:styleId="1236" w:customStyle="1">
    <w:name w:val="目录 21"/>
    <w:basedOn w:val="1020"/>
    <w:next w:val="1020"/>
    <w:uiPriority w:val="0"/>
    <w:unhideWhenUsed/>
    <w:qFormat/>
    <w:pPr>
      <w:ind w:left="420"/>
    </w:pPr>
  </w:style>
  <w:style w:type="paragraph" w:styleId="1237" w:customStyle="1">
    <w:name w:val="普通(网站)1"/>
    <w:basedOn w:val="1020"/>
    <w:uiPriority w:val="99"/>
    <w:qFormat/>
    <w:pPr>
      <w:jc w:val="left"/>
      <w:spacing w:before="100" w:beforeAutospacing="1" w:after="100" w:afterAutospacing="1"/>
      <w:widowControl/>
    </w:pPr>
    <w:rPr>
      <w:rFonts w:ascii="宋体" w:hAnsi="宋体" w:cs="宋体"/>
      <w:sz w:val="24"/>
    </w:rPr>
  </w:style>
  <w:style w:type="paragraph" w:styleId="1238" w:customStyle="1">
    <w:name w:val="标题1"/>
    <w:basedOn w:val="1020"/>
    <w:next w:val="1020"/>
    <w:uiPriority w:val="10"/>
    <w:qFormat/>
    <w:pPr>
      <w:contextualSpacing/>
      <w:spacing w:before="300" w:after="200"/>
    </w:pPr>
    <w:rPr>
      <w:sz w:val="48"/>
      <w:szCs w:val="48"/>
    </w:rPr>
  </w:style>
  <w:style w:type="paragraph" w:styleId="1239" w:customStyle="1">
    <w:name w:val="批注主题1"/>
    <w:basedOn w:val="1218"/>
    <w:next w:val="1218"/>
    <w:link w:val="1240"/>
    <w:uiPriority w:val="0"/>
    <w:unhideWhenUsed/>
    <w:qFormat/>
    <w:rPr>
      <w:b/>
      <w:bCs/>
    </w:rPr>
  </w:style>
  <w:style w:type="character" w:styleId="1240" w:customStyle="1">
    <w:name w:val="批注主题 字符"/>
    <w:link w:val="1239"/>
    <w:uiPriority w:val="0"/>
    <w:semiHidden/>
    <w:qFormat/>
    <w:rPr>
      <w:b/>
      <w:bCs/>
      <w:sz w:val="21"/>
      <w:szCs w:val="24"/>
    </w:rPr>
  </w:style>
  <w:style w:type="table" w:styleId="1241" w:customStyle="1">
    <w:name w:val="网格型1"/>
    <w:basedOn w:val="1212"/>
    <w:uiPriority w:val="0"/>
    <w:qFormat/>
    <w:tblPr/>
  </w:style>
  <w:style w:type="character" w:styleId="1242" w:customStyle="1">
    <w:name w:val="页码1"/>
    <w:basedOn w:val="1211"/>
    <w:link w:val="1020"/>
    <w:uiPriority w:val="0"/>
    <w:qFormat/>
  </w:style>
  <w:style w:type="character" w:styleId="1243" w:customStyle="1">
    <w:name w:val="超链接11"/>
    <w:link w:val="1020"/>
    <w:uiPriority w:val="99"/>
    <w:unhideWhenUsed/>
    <w:qFormat/>
    <w:rPr>
      <w:color w:val="0000ff"/>
      <w:u w:val="single"/>
    </w:rPr>
  </w:style>
  <w:style w:type="character" w:styleId="1244" w:customStyle="1">
    <w:name w:val="批注引用1"/>
    <w:link w:val="1020"/>
    <w:uiPriority w:val="0"/>
    <w:unhideWhenUsed/>
    <w:qFormat/>
    <w:rPr>
      <w:sz w:val="21"/>
      <w:szCs w:val="21"/>
    </w:rPr>
  </w:style>
  <w:style w:type="paragraph" w:styleId="1245" w:customStyle="1">
    <w:name w:val="文本块11"/>
    <w:basedOn w:val="1020"/>
    <w:next w:val="1020"/>
    <w:uiPriority w:val="6"/>
    <w:unhideWhenUsed/>
    <w:qFormat/>
    <w:pPr>
      <w:ind w:left="1440" w:right="1440"/>
      <w:spacing w:after="120"/>
    </w:pPr>
  </w:style>
  <w:style w:type="character" w:styleId="1246" w:customStyle="1">
    <w:name w:val="NormalCharacter1"/>
    <w:link w:val="1020"/>
    <w:uiPriority w:val="0"/>
    <w:semiHidden/>
    <w:qFormat/>
    <w:rPr>
      <w:sz w:val="28"/>
      <w:lang w:val="en-US" w:eastAsia="zh-CN" w:bidi="ar-SA"/>
    </w:rPr>
  </w:style>
  <w:style w:type="character" w:styleId="1247" w:customStyle="1">
    <w:name w:val="超链接1"/>
    <w:link w:val="1248"/>
    <w:uiPriority w:val="0"/>
    <w:qFormat/>
    <w:rPr>
      <w:rFonts w:ascii="Times New Roman" w:hAnsi="Times New Roman" w:eastAsia="宋体" w:cs="Times New Roman"/>
      <w:sz w:val="21"/>
      <w:szCs w:val="24"/>
      <w:lang w:val="en-US" w:eastAsia="zh-CN" w:bidi="ar-SA"/>
    </w:rPr>
  </w:style>
  <w:style w:type="paragraph" w:styleId="1248" w:customStyle="1">
    <w:name w:val="正文11"/>
    <w:next w:val="1249"/>
    <w:link w:val="12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文本块1"/>
    <w:basedOn w:val="1250"/>
    <w:next w:val="1251"/>
    <w:uiPriority w:val="0"/>
    <w:qFormat/>
    <w:pPr>
      <w:ind w:left="1440" w:right="1440"/>
      <w:spacing w:after="120"/>
    </w:pPr>
  </w:style>
  <w:style w:type="paragraph" w:styleId="1250" w:customStyle="1">
    <w:name w:val="正文111"/>
    <w:next w:val="1232"/>
    <w:uiPriority w:val="0"/>
    <w:qFormat/>
    <w:pPr>
      <w:jc w:val="both"/>
      <w:widowControl w:val="off"/>
    </w:pPr>
    <w:rPr>
      <w:rFonts w:hint="default" w:ascii="Calibri" w:hAnsi="Calibri" w:eastAsia="宋体" w:cs="Times New Roman"/>
      <w:sz w:val="21"/>
      <w:szCs w:val="24"/>
      <w:lang w:val="en-US" w:eastAsia="zh-CN" w:bidi="ar-SA"/>
    </w:rPr>
  </w:style>
  <w:style w:type="paragraph" w:styleId="1251" w:customStyle="1">
    <w:name w:val="标题 41"/>
    <w:basedOn w:val="1252"/>
    <w:next w:val="1248"/>
    <w:uiPriority w:val="0"/>
    <w:qFormat/>
    <w:pPr>
      <w:keepLines/>
      <w:keepNext/>
      <w:spacing w:before="280" w:after="290" w:line="376" w:lineRule="auto"/>
      <w:outlineLvl w:val="3"/>
    </w:pPr>
    <w:rPr>
      <w:rFonts w:ascii="Cambria" w:hAnsi="Cambria"/>
      <w:b/>
      <w:bCs/>
      <w:sz w:val="28"/>
      <w:szCs w:val="28"/>
    </w:rPr>
  </w:style>
  <w:style w:type="paragraph" w:styleId="1252" w:customStyle="1">
    <w:name w:val="正文1"/>
    <w:basedOn w:val="1250"/>
    <w:next w:val="1253"/>
    <w:uiPriority w:val="0"/>
    <w:qFormat/>
    <w:pPr>
      <w:jc w:val="both"/>
      <w:widowControl w:val="off"/>
    </w:pPr>
    <w:rPr>
      <w:sz w:val="21"/>
      <w:szCs w:val="24"/>
      <w:lang w:val="en-US" w:eastAsia="zh-CN" w:bidi="ar-SA"/>
    </w:rPr>
  </w:style>
  <w:style w:type="paragraph" w:styleId="1253" w:customStyle="1">
    <w:name w:val="正文文本1"/>
    <w:basedOn w:val="1254"/>
    <w:next w:val="1260"/>
    <w:uiPriority w:val="0"/>
    <w:qFormat/>
    <w:pPr>
      <w:spacing w:after="120"/>
    </w:pPr>
    <w:rPr>
      <w:rFonts w:ascii="Calibri" w:hAnsi="Calibri"/>
    </w:rPr>
  </w:style>
  <w:style w:type="paragraph" w:styleId="1254" w:customStyle="1">
    <w:name w:val="正文13"/>
    <w:next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正文首行缩进1"/>
    <w:basedOn w:val="1256"/>
    <w:next w:val="1258"/>
    <w:uiPriority w:val="0"/>
    <w:qFormat/>
    <w:pPr>
      <w:ind w:firstLine="420"/>
      <w:spacing w:after="120"/>
    </w:pPr>
    <w:rPr>
      <w:rFonts w:ascii="Times New Roman"/>
      <w:szCs w:val="24"/>
    </w:rPr>
  </w:style>
  <w:style w:type="paragraph" w:styleId="1256" w:customStyle="1">
    <w:name w:val="正文文本11"/>
    <w:basedOn w:val="1257"/>
    <w:uiPriority w:val="0"/>
    <w:qFormat/>
    <w:pPr>
      <w:spacing w:after="120"/>
    </w:pPr>
  </w:style>
  <w:style w:type="paragraph" w:styleId="1257" w:customStyle="1">
    <w:name w:val="正文112"/>
    <w:next w:val="12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首行缩进 21"/>
    <w:basedOn w:val="1259"/>
    <w:uiPriority w:val="0"/>
    <w:qFormat/>
    <w:pPr>
      <w:ind w:firstLine="420"/>
    </w:pPr>
  </w:style>
  <w:style w:type="paragraph" w:styleId="1259" w:customStyle="1">
    <w:name w:val="正文文本缩进1"/>
    <w:basedOn w:val="1252"/>
    <w:uiPriority w:val="0"/>
    <w:qFormat/>
    <w:pPr>
      <w:ind w:left="420"/>
      <w:spacing w:after="120"/>
    </w:pPr>
    <w:rPr>
      <w:rFonts w:ascii="Calibri" w:hAnsi="Calibri"/>
    </w:rPr>
  </w:style>
  <w:style w:type="paragraph" w:styleId="1260" w:customStyle="1">
    <w:name w:val="一级条标题"/>
    <w:basedOn w:val="1261"/>
    <w:next w:val="12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1" w:customStyle="1">
    <w:name w:val="章标题"/>
    <w:basedOn w:val="1020"/>
    <w:next w:val="102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262" w:customStyle="1">
    <w:name w:val="段"/>
    <w:basedOn w:val="1020"/>
    <w:next w:val="1020"/>
    <w:uiPriority w:val="0"/>
    <w:qFormat/>
    <w:pPr>
      <w:ind w:firstLine="200"/>
      <w:widowControl/>
    </w:pPr>
    <w:rPr>
      <w:rFonts w:hint="eastAsia" w:ascii="宋体"/>
    </w:rPr>
  </w:style>
  <w:style w:type="paragraph" w:styleId="1263" w:customStyle="1">
    <w:name w:val="正文首行缩进 211"/>
    <w:basedOn w:val="1264"/>
    <w:next w:val="1257"/>
    <w:uiPriority w:val="0"/>
    <w:qFormat/>
    <w:pPr>
      <w:ind w:firstLine="420"/>
    </w:pPr>
    <w:rPr>
      <w:sz w:val="24"/>
    </w:rPr>
  </w:style>
  <w:style w:type="paragraph" w:styleId="1264" w:customStyle="1">
    <w:name w:val="正文文本缩进11"/>
    <w:basedOn w:val="1257"/>
    <w:next w:val="1257"/>
    <w:uiPriority w:val="0"/>
    <w:qFormat/>
    <w:pPr>
      <w:ind w:firstLine="425"/>
      <w:spacing w:line="360" w:lineRule="auto"/>
    </w:pPr>
  </w:style>
  <w:style w:type="paragraph" w:styleId="126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266" w:customStyle="1">
    <w:name w:val="目录 11"/>
    <w:basedOn w:val="1267"/>
    <w:next w:val="1250"/>
    <w:uiPriority w:val="0"/>
    <w:qFormat/>
    <w:pPr>
      <w:jc w:val="left"/>
      <w:spacing w:after="100" w:line="259" w:lineRule="auto"/>
      <w:widowControl/>
    </w:pPr>
    <w:rPr>
      <w:rFonts w:ascii="Calibri" w:hAnsi="Calibri"/>
      <w:sz w:val="22"/>
      <w:szCs w:val="22"/>
    </w:rPr>
  </w:style>
  <w:style w:type="paragraph" w:styleId="1267" w:customStyle="1">
    <w:name w:val="正文12"/>
    <w:next w:val="1268"/>
    <w:uiPriority w:val="0"/>
    <w:qFormat/>
    <w:pPr>
      <w:jc w:val="both"/>
      <w:widowControl w:val="off"/>
    </w:pPr>
    <w:rPr>
      <w:rFonts w:hint="default" w:ascii="Calibri" w:hAnsi="Calibri" w:eastAsia="宋体" w:cs="Times New Roman"/>
      <w:sz w:val="21"/>
      <w:szCs w:val="24"/>
      <w:lang w:val="en-US" w:eastAsia="zh-CN" w:bidi="ar-SA"/>
    </w:rPr>
  </w:style>
  <w:style w:type="paragraph" w:styleId="1268" w:customStyle="1">
    <w:name w:val="脚注文本1"/>
    <w:basedOn w:val="1248"/>
    <w:next w:val="1269"/>
    <w:uiPriority w:val="0"/>
    <w:qFormat/>
    <w:pPr>
      <w:jc w:val="left"/>
    </w:pPr>
    <w:rPr>
      <w:rFonts w:ascii="宋体" w:eastAsia="Times New Roman"/>
      <w:sz w:val="18"/>
      <w:szCs w:val="18"/>
    </w:rPr>
  </w:style>
  <w:style w:type="paragraph" w:styleId="1269" w:customStyle="1">
    <w:name w:val="索引 51"/>
    <w:basedOn w:val="1252"/>
    <w:next w:val="1252"/>
    <w:uiPriority w:val="0"/>
    <w:qFormat/>
    <w:pPr>
      <w:ind w:left="798"/>
      <w:jc w:val="left"/>
    </w:pPr>
    <w:rPr>
      <w:rFonts w:ascii="Calibri" w:hAnsi="Calibri"/>
    </w:rPr>
  </w:style>
  <w:style w:type="paragraph" w:styleId="1270" w:customStyle="1">
    <w:name w:val="列表段落"/>
    <w:basedOn w:val="1020"/>
    <w:uiPriority w:val="34"/>
    <w:qFormat/>
    <w:pPr>
      <w:ind w:firstLine="420"/>
    </w:pPr>
  </w:style>
  <w:style w:type="paragraph" w:styleId="1271" w:customStyle="1">
    <w:name w:val="索引 511"/>
    <w:basedOn w:val="1020"/>
    <w:next w:val="1020"/>
    <w:uiPriority w:val="0"/>
    <w:qFormat/>
    <w:pPr>
      <w:ind w:left="798"/>
      <w:jc w:val="left"/>
    </w:pPr>
    <w:rPr>
      <w:rFonts w:ascii="Calibri" w:hAnsi="Calibri"/>
    </w:rPr>
  </w:style>
  <w:style w:type="paragraph" w:styleId="1272" w:customStyle="1">
    <w:name w:val="Table Paragraph"/>
    <w:basedOn w:val="1020"/>
    <w:uiPriority w:val="1"/>
    <w:qFormat/>
    <w:pPr>
      <w:jc w:val="left"/>
    </w:pPr>
    <w:rPr>
      <w:rFonts w:ascii="Arial Unicode MS" w:hAnsi="Arial Unicode MS" w:eastAsia="Arial Unicode MS" w:cs="Arial Unicode MS"/>
      <w:sz w:val="22"/>
      <w:szCs w:val="22"/>
      <w:lang w:val="zh-CN" w:bidi="zh-CN"/>
    </w:rPr>
  </w:style>
  <w:style w:type="paragraph" w:styleId="1273" w:customStyle="1">
    <w:name w:val="style4"/>
    <w:next w:val="1274"/>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1274" w:customStyle="1">
    <w:name w:val="2"/>
    <w:next w:val="1020"/>
    <w:uiPriority w:val="0"/>
    <w:qFormat/>
    <w:pPr>
      <w:ind w:firstLine="420"/>
      <w:jc w:val="both"/>
      <w:spacing w:line="440" w:lineRule="atLeast"/>
      <w:widowControl w:val="off"/>
    </w:pPr>
    <w:rPr>
      <w:rFonts w:hint="default" w:ascii="Times New Roman" w:hAnsi="Times New Roman" w:eastAsia="宋体" w:cs="Times New Roman"/>
      <w:sz w:val="24"/>
      <w:lang w:val="en-US" w:eastAsia="zh-CN" w:bidi="ar-SA"/>
    </w:rPr>
  </w:style>
  <w:style w:type="paragraph" w:styleId="1275" w:customStyle="1">
    <w:name w:val="Table Text"/>
    <w:basedOn w:val="1020"/>
    <w:uiPriority w:val="0"/>
    <w:semiHidden/>
    <w:qFormat/>
    <w:rPr>
      <w:rFonts w:ascii="宋体" w:hAnsi="宋体" w:eastAsia="宋体" w:cs="宋体"/>
      <w:sz w:val="32"/>
      <w:szCs w:val="32"/>
      <w:lang w:val="en-US" w:eastAsia="en-US" w:bidi="ar-SA"/>
    </w:rPr>
  </w:style>
  <w:style w:type="paragraph" w:styleId="1276" w:customStyle="1">
    <w:name w:val="纯文本1"/>
    <w:basedOn w:val="1252"/>
    <w:uiPriority w:val="0"/>
    <w:qFormat/>
    <w:rPr>
      <w:rFonts w:ascii="宋体" w:hAnsi="Courier New"/>
      <w:sz w:val="20"/>
      <w:szCs w:val="20"/>
    </w:rPr>
  </w:style>
  <w:style w:type="paragraph" w:styleId="1277" w:customStyle="1">
    <w:name w:val="Heading21"/>
    <w:basedOn w:val="1020"/>
    <w:next w:val="1020"/>
    <w:uiPriority w:val="0"/>
    <w:qFormat/>
    <w:pPr>
      <w:jc w:val="left"/>
      <w:keepLines/>
      <w:keepNext/>
      <w:spacing w:before="260" w:after="260" w:line="416" w:lineRule="auto"/>
    </w:pPr>
    <w:rPr>
      <w:rFonts w:ascii="Calibri Light" w:hAnsi="Calibri Light"/>
      <w:b/>
      <w:bCs/>
      <w:sz w:val="24"/>
      <w:szCs w:val="32"/>
    </w:rPr>
  </w:style>
  <w:style w:type="paragraph" w:styleId="1278" w:customStyle="1">
    <w:name w:val="标准"/>
    <w:basedOn w:val="1020"/>
    <w:uiPriority w:val="0"/>
    <w:qFormat/>
    <w:pPr>
      <w:ind w:firstLine="200"/>
      <w:spacing w:line="360" w:lineRule="auto"/>
    </w:pPr>
    <w:rPr>
      <w:rFonts w:cs="宋体"/>
      <w:szCs w:val="21"/>
    </w:rPr>
  </w:style>
  <w:style w:type="paragraph" w:styleId="127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280" w:customStyle="1">
    <w:name w:val="脚注文本11"/>
    <w:basedOn w:val="1020"/>
    <w:next w:val="1271"/>
    <w:uiPriority w:val="0"/>
    <w:unhideWhenUsed/>
    <w:qFormat/>
    <w:pPr>
      <w:spacing w:after="40"/>
    </w:pPr>
    <w:rPr>
      <w:sz w:val="18"/>
    </w:rPr>
  </w:style>
  <w:style w:type="paragraph" w:styleId="1281" w:customStyle="1">
    <w:name w:val="样式 样式 样式 样式 小四 左 首行缩进:  2 字符 + 首行缩进:  2 字符 Char + 右  0 字符1 + 首行缩...3"/>
    <w:basedOn w:val="1020"/>
    <w:uiPriority w:val="99"/>
    <w:qFormat/>
    <w:pPr>
      <w:ind w:firstLine="480"/>
      <w:jc w:val="left"/>
      <w:spacing w:line="360" w:lineRule="auto"/>
    </w:pPr>
    <w:rPr>
      <w:sz w:val="24"/>
    </w:rPr>
  </w:style>
  <w:style w:type="paragraph" w:styleId="1282" w:customStyle="1">
    <w:name w:val="WPSOffice手动目录 1"/>
    <w:uiPriority w:val="0"/>
    <w:qFormat/>
    <w:rPr>
      <w:rFonts w:hint="default" w:ascii="Times New Roman" w:hAnsi="Times New Roman" w:eastAsia="宋体" w:cs="Times New Roman"/>
      <w:sz w:val="20"/>
      <w:szCs w:val="20"/>
    </w:rPr>
  </w:style>
  <w:style w:type="paragraph" w:styleId="1283" w:customStyle="1">
    <w:name w:val="179"/>
    <w:basedOn w:val="1020"/>
    <w:uiPriority w:val="0"/>
    <w:qFormat/>
    <w:pPr>
      <w:ind w:firstLine="420"/>
      <w:jc w:val="left"/>
      <w:widowControl/>
    </w:pPr>
    <w:rPr>
      <w:rFonts w:ascii="宋体" w:hAnsi="宋体"/>
      <w:sz w:val="24"/>
    </w:rPr>
  </w:style>
  <w:style w:type="paragraph" w:styleId="1284" w:customStyle="1">
    <w:name w:val="p0"/>
    <w:basedOn w:val="1020"/>
    <w:uiPriority w:val="0"/>
    <w:qFormat/>
    <w:pPr>
      <w:widowControl/>
    </w:pPr>
    <w:rPr>
      <w:szCs w:val="21"/>
    </w:rPr>
  </w:style>
  <w:style w:type="paragraph" w:styleId="1285" w:customStyle="1">
    <w:name w:val="列表段落1"/>
    <w:basedOn w:val="1020"/>
    <w:uiPriority w:val="34"/>
    <w:qFormat/>
    <w:pPr>
      <w:ind w:firstLine="420"/>
    </w:pPr>
  </w:style>
  <w:style w:type="paragraph" w:styleId="1286" w:customStyle="1">
    <w:name w:val="正文_0_0"/>
    <w:basedOn w:val="1287"/>
    <w:uiPriority w:val="0"/>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128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寄信人地址1"/>
    <w:basedOn w:val="1248"/>
    <w:uiPriority w:val="0"/>
    <w:qFormat/>
    <w:rPr>
      <w:rFonts w:ascii="Arial" w:hAnsi="Arial"/>
    </w:rPr>
  </w:style>
  <w:style w:type="paragraph" w:styleId="1289" w:customStyle="1">
    <w:name w:val="普通正文"/>
    <w:basedOn w:val="1020"/>
    <w:uiPriority w:val="0"/>
    <w:qFormat/>
    <w:pPr>
      <w:ind w:firstLine="480"/>
      <w:jc w:val="left"/>
      <w:spacing w:before="120" w:after="120" w:line="360" w:lineRule="auto"/>
    </w:pPr>
    <w:rPr>
      <w:rFonts w:ascii="Arial" w:hAnsi="Arial"/>
      <w:sz w:val="24"/>
      <w:szCs w:val="24"/>
    </w:rPr>
  </w:style>
  <w:style w:type="character" w:styleId="1290" w:customStyle="1">
    <w:name w:val="脚注引用1"/>
    <w:link w:val="1206"/>
    <w:uiPriority w:val="0"/>
    <w:qFormat/>
    <w:rPr>
      <w:rFonts w:hint="default" w:ascii="Times New Roman" w:hAnsi="Times New Roman" w:eastAsia="宋体" w:cs="Times New Roman"/>
      <w:sz w:val="21"/>
      <w:szCs w:val="24"/>
      <w:lang w:val="en-US" w:eastAsia="zh-CN" w:bidi="ar-SA"/>
    </w:rPr>
  </w:style>
  <w:style w:type="paragraph" w:styleId="1291" w:customStyle="1">
    <w:name w:val="条款正文"/>
    <w:uiPriority w:val="0"/>
    <w:qFormat/>
    <w:pPr>
      <w:ind w:left="840" w:firstLine="420"/>
      <w:spacing w:after="200" w:line="240" w:lineRule="auto"/>
      <w:widowControl w:val="off"/>
    </w:pPr>
    <w:rPr>
      <w:rFonts w:hint="default" w:ascii="Times New Roman" w:hAnsi="Times New Roman" w:eastAsia="Calibri" w:cs="Times New Roman"/>
      <w:sz w:val="21"/>
      <w:szCs w:val="20"/>
      <w:lang w:val="en-US" w:eastAsia="en-US" w:bidi="ar-SA"/>
    </w:rPr>
  </w:style>
  <w:style w:type="paragraph" w:styleId="1292" w:customStyle="1">
    <w:name w:val="表格1居中"/>
    <w:basedOn w:val="1293"/>
    <w:uiPriority w:val="0"/>
    <w:qFormat/>
    <w:pPr>
      <w:ind w:left="0" w:firstLine="0"/>
      <w:jc w:val="center"/>
    </w:pPr>
    <w:rPr>
      <w:rFonts w:ascii="Times New Roman" w:hAnsi="Times New Roman" w:eastAsia="宋体"/>
      <w:sz w:val="24"/>
      <w:szCs w:val="24"/>
    </w:rPr>
  </w:style>
  <w:style w:type="paragraph" w:styleId="1293" w:customStyle="1">
    <w:name w:val="列表1"/>
    <w:basedOn w:val="1206"/>
    <w:uiPriority w:val="0"/>
    <w:qFormat/>
    <w:pPr>
      <w:ind w:left="200" w:hanging="200"/>
    </w:pPr>
    <w:rPr>
      <w:rFonts w:ascii="Times New Roman" w:hAnsi="Times New Roman" w:eastAsia="宋体"/>
    </w:rPr>
  </w:style>
  <w:style w:type="table" w:styleId="1294" w:customStyle="1">
    <w:name w:val="网格型11"/>
    <w:basedOn w:val="1212"/>
    <w:uiPriority w:val="59"/>
    <w:qFormat/>
    <w:pPr>
      <w:jc w:val="both"/>
      <w:widowControl w:val="off"/>
    </w:pPr>
    <w:tblPr/>
  </w:style>
  <w:style w:type="paragraph" w:styleId="1295" w:customStyle="1">
    <w:name w:val="正文空2字"/>
    <w:basedOn w:val="1296"/>
    <w:uiPriority w:val="99"/>
    <w:qFormat/>
    <w:pPr>
      <w:ind w:firstLine="640"/>
      <w:spacing w:line="560" w:lineRule="exact"/>
      <w:widowControl w:val="off"/>
    </w:pPr>
    <w:rPr>
      <w:rFonts w:ascii="仿宋_GB2312" w:hAnsi="仿宋_GB2312" w:cs="仿宋_GB2312"/>
      <w:lang w:val="zh-TW"/>
    </w:rPr>
  </w:style>
  <w:style w:type="paragraph" w:styleId="1296" w:customStyle="1">
    <w:name w:val="左对齐正文"/>
    <w:uiPriority w:val="99"/>
    <w:qFormat/>
    <w:rPr>
      <w:rFonts w:ascii="Calibri" w:hAnsi="Calibri" w:eastAsia="仿宋_GB2312" w:cs="Calibri"/>
      <w:sz w:val="32"/>
      <w:szCs w:val="32"/>
      <w:lang w:val="en-US" w:eastAsia="zh-CN" w:bidi="ar-SA"/>
    </w:rPr>
  </w:style>
  <w:style w:type="numbering" w:styleId="1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赵庭</cp:lastModifiedBy>
  <cp:revision>19</cp:revision>
  <dcterms:created xsi:type="dcterms:W3CDTF">2025-04-02T05:49:00Z</dcterms:created>
  <dcterms:modified xsi:type="dcterms:W3CDTF">2026-07-06T08:46:31Z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4DC70B049E65420AAD0C81A230CFAF50_13</vt:lpwstr>
  </property>
  <property fmtid="{D5CDD505-2E9C-101B-9397-08002B2CF9AE}" pid="4" name="KSOTemplateDocerSaveRecord">
    <vt:lpwstr>eyJoZGlkIjoiYmVjM2JhZDZkOWQzMDI0NzA0N2Q4NzgxMWE0M2EyNGUiLCJ1c2VySWQiOiIxNjUwNzI4NzYwIn0=</vt:lpwstr>
  </property>
</Properties>
</file>