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30"/>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扬州工业职业技术学院国产云计算平台建设</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项目编号：JSZC-321000-JZCG-G2026-0061</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lang w:val="en-US" w:eastAsia="zh-CN"/>
        </w:rPr>
        <w:t xml:space="preserve">06</w:t>
      </w:r>
      <w:r>
        <w:rPr>
          <w:rFonts w:ascii="宋体" w:hAnsi="宋体" w:cs="宋体"/>
          <w:b/>
          <w:color w:val="000000"/>
          <w:sz w:val="32"/>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rPr>
        <w:t xml:space="preserve">3</w:t>
      </w:r>
      <w:r>
        <w:rPr>
          <w:rFonts w:hint="eastAsia" w:ascii="黑体" w:hAnsi="黑体" w:eastAsia="黑体" w:cs="黑体"/>
          <w:color w:val="000000"/>
          <w:sz w:val="36"/>
          <w:lang w:val="en-US" w:eastAsia="zh-CN"/>
        </w:rPr>
        <w:t xml:space="preserve">3</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1</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5</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70"/>
        <w:rPr>
          <w:rFonts w:hint="eastAsia"/>
        </w:rPr>
      </w:pPr>
      <w:r>
        <w:rPr>
          <w:rFonts w:ascii="黑体" w:hAnsi="黑体" w:cs="黑体"/>
          <w:color w:val="000000"/>
        </w:rPr>
        <w:t xml:space="preserve">第一章投标邀请</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受[扬州市工业职业技术学院]的委托，扬州市公共资源交易中心就[</w:t>
      </w:r>
      <w:r>
        <w:rPr>
          <w:rFonts w:hint="eastAsia" w:ascii="宋体" w:hAnsi="宋体" w:cs="宋体"/>
          <w:color w:val="000000"/>
          <w:sz w:val="24"/>
          <w:lang w:eastAsia="zh-CN"/>
        </w:rPr>
        <w:t xml:space="preserve">扬州工业职业技术学院国产云计算平台建设</w:t>
      </w:r>
      <w:r>
        <w:rPr>
          <w:rFonts w:hint="eastAsia" w:ascii="宋体" w:hAnsi="宋体" w:cs="宋体"/>
          <w:color w:val="000000"/>
          <w:sz w:val="24"/>
        </w:rPr>
        <w:t xml:space="preserve">](JSZC-321000-JZCG-G2026-0061)项目进行公开招标采购，欢迎符合条件的供应商投标。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lang w:eastAsia="zh-CN"/>
        </w:rPr>
        <w:t xml:space="preserve">扬州工业职业技术学院国产云计算平台建设</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000000"/>
          <w:sz w:val="24"/>
        </w:rPr>
        <w:t xml:space="preserve">2026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bookmarkStart w:id="0" w:name="_GoBack"/>
      <w:r/>
      <w:bookmarkEnd w:id="0"/>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JSZC-321000-JZCG-G2026-0061</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扬州工业职业技术学院国产云计算平台建设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97"/>
        <w:tblW w:w="632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5479"/>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p>
            <w:pPr>
              <w:jc w:val="center"/>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97"/>
        <w:tblW w:w="630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49"/>
        <w:gridCol w:w="3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both"/>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5.采购需求(简介)：本次采购的</w:t>
      </w:r>
      <w:r>
        <w:rPr>
          <w:rFonts w:hint="eastAsia" w:ascii="宋体" w:hAnsi="宋体" w:cs="宋体"/>
          <w:color w:val="000000"/>
          <w:sz w:val="24"/>
        </w:rPr>
        <w:t xml:space="preserve">国产云计算平台建设项目</w:t>
      </w:r>
      <w:r>
        <w:rPr>
          <w:rFonts w:ascii="宋体" w:hAnsi="宋体" w:cs="宋体"/>
          <w:color w:val="000000"/>
          <w:sz w:val="24"/>
        </w:rPr>
        <w:t xml:space="preserve">，需满足高校教学、科研、办公虚拟化终端及信息化基础设施的扩容升级需求，设备需与校区现有信息化系统、信创平台全面兼容，可实现与全校信息化平台无缝对接，保障校园信创业务、教学科研及办公系统长期安全、稳定、高效运行。（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合同签订之日起50个日历天内完成供货、安装、调试、验收。</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p>
      <w:pPr>
        <w:ind w:firstLine="480"/>
        <w:pBdr>
          <w:top w:val="none" w:color="000000" w:sz="0" w:space="0"/>
          <w:left w:val="none" w:color="000000" w:sz="0" w:space="0"/>
          <w:bottom w:val="none" w:color="000000" w:sz="0" w:space="0"/>
          <w:right w:val="none" w:color="000000" w:sz="0" w:space="0"/>
        </w:pBdr>
      </w:pPr>
      <w:r/>
      <w:r/>
    </w:p>
    <w:tbl>
      <w:tblPr>
        <w:tblStyle w:val="797"/>
        <w:tblW w:w="730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97"/>
        <w:tblW w:w="733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797"/>
        <w:tblW w:w="732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16</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rPr>
          <w:rFonts w:hint="eastAsia"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sz w:val="24"/>
          <w:szCs w:val="24"/>
          <w:u w:val="single"/>
        </w:rPr>
        <w:t xml:space="preserve">扬州工业职业技术学院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olor w:val="000000"/>
          <w:sz w:val="24"/>
          <w:szCs w:val="24"/>
          <w:u w:val="single"/>
        </w:rPr>
        <w:t xml:space="preserve">扬州市华杨西路199号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olor w:val="000000"/>
          <w:sz w:val="24"/>
          <w:szCs w:val="24"/>
          <w:u w:val="single"/>
        </w:rPr>
        <w:t xml:space="preserve">陆老师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w:t>
      </w:r>
      <w:r>
        <w:rPr>
          <w:rFonts w:hint="eastAsia" w:ascii="宋体" w:hAnsi="宋体"/>
          <w:sz w:val="24"/>
          <w:szCs w:val="24"/>
          <w:u w:val="single"/>
        </w:rPr>
        <w:t xml:space="preserve">15152722855</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ascii="宋体" w:hAnsi="宋体" w:cs="宋体"/>
          <w:color w:val="000000"/>
          <w:sz w:val="24"/>
          <w:u w:val="single"/>
        </w:rPr>
        <w:t xml:space="preserve">扬州市文昌东路9号广陵新城市民中心1号楼5楼1529室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姜涛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宋体" w:hAnsi="宋体" w:cs="宋体"/>
          <w:color w:val="000000"/>
          <w:sz w:val="24"/>
          <w:u w:val="single"/>
        </w:rPr>
        <w:t xml:space="preserve">0514-82087195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970"/>
        <w:rPr>
          <w:rFonts w:hint="eastAsia"/>
        </w:rPr>
      </w:pPr>
      <w:r>
        <w:rPr>
          <w:rFonts w:ascii="黑体" w:hAnsi="黑体" w:cs="黑体"/>
          <w:b/>
          <w:color w:val="000000"/>
        </w:rPr>
        <w:t xml:space="preserve">第二章投标人须知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3.2在本项目政府采购活动过程中，如果所执行的标准有更新的，按照最新标准执行。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10.1投标人应按照招标文件要求提交证明文件，证明其投标标的符合招标文件规定。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13.2投标人需根据招标文件要求提供培训计划。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13.3投标人需根据招标文件要求提供所投标的的主要组成部分、功能设计、实现思路及关键技术等。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17.1投标人应当按照《操作手册》规定，在投标截止时间前制作并上传电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子投标文件。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18.1投标人上传电子投标文件的时间不得迟于招标公告中规定的投标截止时间。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20.3在投标截止时间至招标文件中规定的投标有效期满之间的这段时间内，投标人不得撤回其投标。</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21.4投标人如果对开标过程和开标记录有疑义，应当根据《操作手册》规定提出，如苏采云系统中《开标记录表》宣布后5分钟内未提出的，视同认可开标结果。</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22.3评委会独立工作，负责评审所有投标文件并确定中标候选人。</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23.3交易中心和评委会不向未中标的投标人解释未中标原因，也不公布评标过程中的相关细节。</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23.4采用综合评分法的项目，未中标的投标人可于中标结果公告期限届满之日起通过苏采云系统查看自己的评审得分及排序情况。</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26.1.2投标人未按照招标文件要求上传电子投标文件的。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26.1.3投标人同一采购包提交两个（含两个）以上不同的投标报价的。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26.1.7不符合招标文件中规定的实质性要求的</w:t>
      </w:r>
      <w:r>
        <w:rPr>
          <w:rFonts w:ascii="宋体" w:hAnsi="宋体" w:cs="宋体"/>
          <w:b/>
          <w:color w:val="ff0000"/>
          <w:sz w:val="24"/>
        </w:rPr>
        <w:t xml:space="preserve">（本招标文件中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26.1.9投标文件含有采购人不能接受的附加条件的。</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 异常低价投标（响应）</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26.1.10.1</w:t>
      </w:r>
      <w:r>
        <w:rPr>
          <w:rFonts w:ascii="宋体" w:hAnsi="宋体" w:cs="宋体"/>
          <w:color w:val="383838"/>
          <w:sz w:val="24"/>
          <w:highlight w:val="yellow"/>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26.1.10.2</w:t>
      </w:r>
      <w:r>
        <w:rPr>
          <w:rFonts w:ascii="宋体" w:hAnsi="宋体" w:cs="宋体"/>
          <w:color w:val="383838"/>
          <w:sz w:val="24"/>
          <w:highlight w:val="yellow"/>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26.1.10.3投标（响应）报价低于采购项目最高限价 45% 的，即投标（响应）报价&lt;采购项目最高限价×45% ；</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26.1.10.4评审委员会认定的供应商报价过低、有可能影响产品质量或者不能诚信履约的其他情形。</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26.1.10.5</w:t>
      </w:r>
      <w:r>
        <w:rPr>
          <w:rFonts w:ascii="宋体" w:hAnsi="宋体" w:cs="宋体"/>
          <w:color w:val="383838"/>
          <w:sz w:val="24"/>
          <w:highlight w:val="yellow"/>
        </w:rPr>
        <w:t xml:space="preserve">评审委员会启动异常低价投标（响应）审查后，属于前述第1项至第4项情形的，应当要求相关供应商在评审现场合理的时间内</w:t>
      </w:r>
      <w:r>
        <w:rPr>
          <w:rFonts w:ascii="宋体" w:hAnsi="宋体" w:cs="宋体"/>
          <w:color w:val="ff0000"/>
          <w:sz w:val="24"/>
          <w:highlight w:val="yellow"/>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yellow"/>
        </w:rPr>
        <w:t xml:space="preserve">给予相关供应商的合理时间一般</w:t>
      </w:r>
      <w:r>
        <w:rPr>
          <w:rFonts w:ascii="宋体" w:hAnsi="宋体" w:cs="宋体"/>
          <w:color w:val="ff0000"/>
          <w:sz w:val="24"/>
          <w:highlight w:val="yellow"/>
        </w:rPr>
        <w:t xml:space="preserve">不少于30分钟</w:t>
      </w:r>
      <w:r>
        <w:rPr>
          <w:rFonts w:ascii="宋体" w:hAnsi="宋体" w:cs="宋体"/>
          <w:color w:val="383838"/>
          <w:sz w:val="24"/>
          <w:highlight w:val="yellow"/>
        </w:rPr>
        <w:t xml:space="preserve">。其中，属于第3项情形，供应商已随投标（响应）文件一并提交相关书面说明及必要的证明材料的，在评审现场可不再重复提交。</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投标文件未按照招标文件要求加盖CA电子公章的。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26.1.13 投标人所投标产品不符合招标文件中所列国家强制性标准的。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26.1.14其他法律、法规及本招标文件规定的属无效投标的情形。</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26.2.1符合专业条件的供应商或者对招标文件作出实质响应的供应商不足三家的。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26.2.2出现影响采购公正的违法、违规行为的。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26.2.4评委会认定招标文件存在歧义、重大缺陷导致评审工作无法进</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行。</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26.2.5因苏采云系统系统故障原因造成开标不成功的。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26.3.1如出现投标截止时间结束后参加投标的供应商或者在评标期间对招标文件作出实质响应的供应商不足三家情况，按政府采购相关规定执行。</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rPr>
          <w:rFonts w:ascii="宋体" w:hAnsi="宋体" w:cs="宋体"/>
          <w:color w:val="000000"/>
          <w:sz w:val="24"/>
        </w:rPr>
        <w:br/>
      </w:r>
      <w:r>
        <w:rPr>
          <w:rFonts w:ascii="宋体" w:hAnsi="宋体" w:cs="宋体"/>
          <w:color w:val="000000"/>
          <w:sz w:val="24"/>
        </w:rPr>
        <w:t xml:space="preserve">28.2.3对中标或者成交结果提出质疑的，为中标或者成交结果公告期限届满之日。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质疑接收人及联系方式详见招标文件第一章。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firstLine="55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firstLine="2640"/>
        <w:pBdr>
          <w:top w:val="none" w:color="000000" w:sz="0" w:space="0"/>
          <w:left w:val="none" w:color="000000" w:sz="0" w:space="0"/>
          <w:bottom w:val="none" w:color="000000" w:sz="0" w:space="0"/>
          <w:right w:val="none" w:color="000000" w:sz="0" w:space="0"/>
        </w:pBdr>
      </w:pPr>
      <w:r>
        <w:rPr>
          <w:rStyle w:val="1023"/>
          <w:rFonts w:ascii="黑体" w:hAnsi="黑体" w:cs="黑体"/>
        </w:rPr>
        <w:t xml:space="preserve">第三章合同文本</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财政部 政府采购货物买卖合同（试行）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范本</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合同编号</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甲方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乙方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签订时间</w:t>
      </w:r>
      <w:r>
        <w:rPr>
          <w:rFonts w:ascii="宋体" w:hAnsi="宋体" w:cs="宋体"/>
          <w:color w:val="000000"/>
          <w:sz w:val="24"/>
        </w:rPr>
        <w:t xml:space="preserve">：</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使 用 说 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1.本合同标准文本适用于购买现成货物的采购项目，不包括需要供应商定制开发、创新研发的货物采购项目。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2.本合同标准文本为政府采购货物买卖合同编制提供参考，可以结合采购项目具体情况，对文本作必要的调整修订后使用。</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Arial" w:hAnsi="Arial" w:eastAsia="Arial" w:cs="Arial"/>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8"/>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（应明确一次性支付合同款项的条件）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þ</w:t>
      </w:r>
      <w:r>
        <w:rPr>
          <w:rFonts w:ascii="宋体" w:hAnsi="宋体" w:cs="宋体"/>
          <w:color w:val="000000"/>
        </w:rPr>
        <w:t xml:space="preserve">分期付款：</w:t>
      </w:r>
      <w:r>
        <w:rPr>
          <w:rFonts w:hint="eastAsia" w:ascii="宋体" w:hAnsi="宋体" w:cs="宋体"/>
          <w:b/>
          <w:bCs/>
          <w:color w:val="000000"/>
          <w:u w:val="single"/>
        </w:rPr>
        <w:t xml:space="preserve">合同签订，乙方向甲方开具发票，甲方自收到发票之日起10个工作日内支付合同总价30%的预付款；项目验收合格后，乙方向甲方开具发票，甲方自收到发票之日起10个工作日内支付余款。</w:t>
      </w:r>
      <w:r>
        <w:rPr>
          <w:rFonts w:ascii="宋体" w:hAnsi="宋体" w:cs="宋体"/>
          <w:b/>
          <w:bCs/>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其中涉及预付款的：（</w:t>
      </w:r>
      <w:r>
        <w:rPr>
          <w:rFonts w:hint="eastAsia" w:ascii="宋体" w:hAnsi="宋体" w:cs="宋体"/>
          <w:color w:val="000000"/>
          <w:u w:val="single"/>
        </w:rPr>
        <w:t xml:space="preserve">合同签订，乙方向甲方开具发票，甲方自收到发票之日起10个工作日内支付合同总价30%的预付款</w:t>
      </w:r>
      <w:r>
        <w:rPr>
          <w:rFonts w:ascii="宋体" w:hAnsi="宋体" w:cs="宋体"/>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（应明确按照成本补偿方式的支付方式和支付条件）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（应明确按照绩效激励方式的支付方式和支付条件）</w:t>
      </w:r>
      <w:r/>
    </w:p>
    <w:p>
      <w:pPr>
        <w:numPr>
          <w:ilvl w:val="-1"/>
          <w:numId w:val="0"/>
        </w:numPr>
        <w:ind w:left="0" w:firstLine="422"/>
        <w:spacing w:line="400" w:lineRule="exact"/>
        <w:rPr>
          <w:rFonts w:ascii="宋体" w:hAnsi="宋体"/>
          <w:b/>
          <w:szCs w:val="21"/>
          <w:u w:val="single"/>
        </w:rPr>
      </w:pPr>
      <w:r>
        <w:rPr>
          <w:rFonts w:hint="eastAsia" w:ascii="宋体" w:hAnsi="宋体"/>
          <w:b/>
          <w:szCs w:val="21"/>
          <w:lang w:val="en-US" w:eastAsia="zh-CN"/>
        </w:rPr>
        <w:t xml:space="preserve">3.</w:t>
      </w: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91"/>
        <w:rPr>
          <w:rFonts w:cs="宋体" w:asciiTheme="minorEastAsia" w:hAnsiTheme="minorEastAsia" w:eastAsiaTheme="minorEastAsia"/>
          <w:sz w:val="21"/>
          <w:highlight w:val="none"/>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none"/>
        </w:rPr>
        <w:t xml:space="preserve">收取履约保证金形式：</w:t>
      </w:r>
      <w:r>
        <w:rPr>
          <w:rFonts w:hint="eastAsia" w:cs="宋体" w:asciiTheme="minorEastAsia" w:hAnsiTheme="minorEastAsia" w:eastAsiaTheme="minorEastAsia"/>
          <w:bCs/>
          <w:highlight w:val="none"/>
          <w:u w:val="single"/>
        </w:rPr>
        <w:t xml:space="preserve">乙方可以自主选择支票、汇票、本票、保函（电子保函）等非现金形式缴纳履约保证金。</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cs="宋体" w:asciiTheme="minorEastAsia" w:hAnsiTheme="minorEastAsia" w:eastAsiaTheme="minorEastAsia"/>
          <w:bCs/>
          <w:highlight w:val="none"/>
          <w:u w:val="single"/>
        </w:rPr>
        <w:t xml:space="preserve">中标金额的</w:t>
      </w:r>
      <w:r>
        <w:rPr>
          <w:rFonts w:cs="宋体" w:asciiTheme="minorEastAsia" w:hAnsiTheme="minorEastAsia" w:eastAsiaTheme="minorEastAsia"/>
          <w:bCs/>
          <w:highlight w:val="none"/>
          <w:u w:val="single"/>
        </w:rPr>
        <w:t xml:space="preserve">5</w:t>
      </w:r>
      <w:r>
        <w:rPr>
          <w:rFonts w:hint="eastAsia" w:cs="宋体" w:asciiTheme="minorEastAsia" w:hAnsiTheme="minorEastAsia" w:eastAsiaTheme="minorEastAsia"/>
          <w:bCs/>
          <w:highlight w:val="none"/>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none"/>
          <w:u w:val="single"/>
        </w:rPr>
      </w:pPr>
      <w:r>
        <w:rPr>
          <w:rFonts w:hint="eastAsia" w:ascii="宋体" w:hAnsi="宋体" w:cs="宋体"/>
          <w:bCs/>
          <w:szCs w:val="21"/>
          <w:highlight w:val="none"/>
        </w:rPr>
        <w:t xml:space="preserve"> 履约担保期限：</w:t>
      </w:r>
      <w:r>
        <w:rPr>
          <w:rFonts w:hint="eastAsia" w:cs="宋体" w:asciiTheme="minorEastAsia" w:hAnsiTheme="minorEastAsia" w:eastAsiaTheme="minorEastAsia"/>
          <w:bCs/>
          <w:sz w:val="22"/>
          <w:szCs w:val="21"/>
          <w:highlight w:val="none"/>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Ansi="宋体"/>
          <w:color w:val="000000"/>
          <w:sz w:val="24"/>
          <w:szCs w:val="24"/>
          <w:highlight w:val="none"/>
        </w:rPr>
      </w:pPr>
      <w:r>
        <w:rPr>
          <w:rFonts w:hint="eastAsia" w:ascii="宋体" w:hAnsi="宋体" w:cs="宋体"/>
          <w:bCs/>
          <w:szCs w:val="21"/>
          <w:highlight w:val="none"/>
        </w:rPr>
        <w:t xml:space="preserve">（5）风险处置措施和替代方案：1、</w:t>
      </w:r>
      <w:r>
        <w:rPr>
          <w:rFonts w:hint="eastAsia" w:cs="宋体" w:asciiTheme="minorEastAsia" w:hAnsiTheme="minorEastAsia" w:eastAsiaTheme="minorEastAsia"/>
          <w:bCs/>
          <w:sz w:val="22"/>
          <w:szCs w:val="21"/>
          <w:highlight w:val="none"/>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none"/>
          <w:u w:val="single"/>
        </w:rPr>
        <w:t xml:space="preserve">2、</w:t>
      </w:r>
      <w:r>
        <w:rPr>
          <w:rFonts w:hint="eastAsia" w:cs="宋体" w:asciiTheme="minorEastAsia" w:hAnsiTheme="minorEastAsia" w:eastAsiaTheme="minorEastAsia"/>
          <w:bCs/>
          <w:sz w:val="22"/>
          <w:szCs w:val="21"/>
          <w:highlight w:val="none"/>
          <w:u w:val="single"/>
        </w:rPr>
        <w:t xml:space="preserve">履约保证金不予退还的情形：乙方不履行合同或履行该合同不符合合同约定不足以弥补乙方违约造成甲方损失的。</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hAnsi="宋体" w:cs="宋体"/>
          <w:bCs/>
          <w:highlight w:val="none"/>
        </w:rPr>
        <w:t xml:space="preserve">（</w:t>
      </w:r>
      <w:r>
        <w:rPr>
          <w:rFonts w:hAnsi="宋体" w:cs="宋体"/>
          <w:bCs/>
          <w:highlight w:val="none"/>
        </w:rPr>
        <w:t xml:space="preserve">6</w:t>
      </w:r>
      <w:r>
        <w:rPr>
          <w:rFonts w:hint="eastAsia" w:hAnsi="宋体" w:cs="宋体"/>
          <w:bCs/>
          <w:highlight w:val="none"/>
        </w:rPr>
        <w:t xml:space="preserve">）履约保证金逾期退还的违约责任：</w:t>
      </w:r>
      <w:r>
        <w:rPr>
          <w:rFonts w:hint="eastAsia" w:hAnsi="宋体" w:cs="宋体"/>
          <w:bCs/>
          <w:highlight w:val="none"/>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4.</w:t>
      </w:r>
      <w:r>
        <w:rPr>
          <w:rFonts w:hint="eastAsia" w:ascii="宋体" w:hAnsi="宋体"/>
          <w:b/>
          <w:szCs w:val="21"/>
        </w:rPr>
        <w:t xml:space="preserve">合同验收</w:t>
      </w:r>
      <w:r/>
    </w:p>
    <w:p>
      <w:pPr>
        <w:numPr>
          <w:ilvl w:val="-1"/>
          <w:numId w:val="0"/>
        </w:numPr>
        <w:ind w:left="420" w:firstLine="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ind w:firstLine="420"/>
        <w:spacing w:line="400" w:lineRule="exact"/>
        <w:rPr>
          <w:rFonts w:hint="eastAsia" w:ascii="宋体" w:hAnsi="宋体" w:cs="宋体"/>
          <w:bCs/>
          <w:szCs w:val="21"/>
          <w:u w:val="single"/>
        </w:rPr>
      </w:pPr>
      <w:r>
        <w:rPr>
          <w:rFonts w:hint="eastAsia" w:ascii="宋体" w:hAnsi="宋体" w:cs="宋体"/>
          <w:bCs/>
          <w:szCs w:val="21"/>
          <w:u w:val="single"/>
        </w:rPr>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5.</w:t>
      </w: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6.</w:t>
      </w: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7.</w:t>
      </w: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62"/>
        <w:spacing w:line="400" w:lineRule="exact"/>
        <w:rPr>
          <w:rFonts w:ascii="宋体" w:hAnsi="宋体"/>
          <w:b w:val="0"/>
          <w:bCs w:val="0"/>
          <w:sz w:val="21"/>
          <w:szCs w:val="21"/>
        </w:rPr>
      </w:pPr>
      <w:r>
        <w:rPr>
          <w:lang w:val="en"/>
        </w:rPr>
        <w:t xml:space="preserve">   </w:t>
      </w:r>
      <w:r/>
    </w:p>
    <w:p>
      <w:pPr>
        <w:pStyle w:val="985"/>
        <w:rPr>
          <w:lang w:eastAsia="zh-CN"/>
        </w:rPr>
      </w:pPr>
      <w:r>
        <w:rPr>
          <w:lang w:eastAsia="zh-CN"/>
        </w:rPr>
      </w:r>
      <w:r/>
    </w:p>
    <w:tbl>
      <w:tblPr>
        <w:tblStyle w:val="771"/>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7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u w:val="single"/>
        </w:rPr>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（3）其他合同主体是指除采购人和供应商以外，依法参与合同缔结或履行，享有权利、承担义务的合同当事人。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（2）“合同价款”系指根据本合同规定乙方在全面履行合同义务后甲方应支付给乙方的价款。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 xml:space="preserve">政府采购合同专用条款</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（7）其他术语解释，见【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w:t>
      </w:r>
      <w:r>
        <w:rPr>
          <w:rFonts w:ascii="宋体" w:hAnsi="宋体" w:cs="宋体"/>
          <w:b/>
          <w:color w:val="000000"/>
          <w:sz w:val="24"/>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 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 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4.3 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4.4 甲方应当按照合同约定及时对交付的货物进行验收，未在</w:t>
      </w:r>
      <w:r>
        <w:rPr>
          <w:rFonts w:ascii="宋体" w:hAnsi="宋体" w:cs="宋体"/>
          <w:b/>
          <w:color w:val="000000"/>
        </w:rPr>
        <w:t xml:space="preserve">【政府采购合同专用条款】</w:t>
      </w:r>
      <w:r>
        <w:rPr>
          <w:rFonts w:ascii="宋体" w:hAnsi="宋体" w:cs="宋体"/>
          <w:color w:val="000000"/>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4.5 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 国家法律法规规定及</w:t>
      </w:r>
      <w:r>
        <w:rPr>
          <w:rFonts w:ascii="宋体" w:hAnsi="宋体" w:cs="宋体"/>
          <w:b/>
          <w:color w:val="000000"/>
        </w:rPr>
        <w:t xml:space="preserve">【政府采购合同专用条款】</w:t>
      </w:r>
      <w:r>
        <w:rPr>
          <w:rFonts w:ascii="宋体" w:hAnsi="宋体" w:cs="宋体"/>
          <w:color w:val="000000"/>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 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5.3乙方有权根据合同约定向甲方收取合同价款。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5.4国家法律法规规定及</w:t>
      </w:r>
      <w:r>
        <w:rPr>
          <w:rFonts w:ascii="宋体" w:hAnsi="宋体" w:cs="宋体"/>
          <w:b/>
          <w:color w:val="000000"/>
        </w:rPr>
        <w:t xml:space="preserve">【政府采购合同专用条款】</w:t>
      </w:r>
      <w:r>
        <w:rPr>
          <w:rFonts w:ascii="宋体" w:hAnsi="宋体" w:cs="宋体"/>
          <w:color w:val="000000"/>
        </w:rPr>
        <w:t xml:space="preserve">约定应由乙方承担的其他义务和责任。</w:t>
      </w:r>
      <w:r/>
    </w:p>
    <w:p>
      <w:pPr>
        <w:numPr>
          <w:ilvl w:val="0"/>
          <w:numId w:val="10"/>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 甲乙双方应当按照</w:t>
      </w:r>
      <w:r>
        <w:rPr>
          <w:rFonts w:ascii="宋体" w:hAnsi="宋体" w:cs="宋体"/>
          <w:b/>
          <w:color w:val="000000"/>
        </w:rPr>
        <w:t xml:space="preserve">【政府采购合同专用条款】</w:t>
      </w:r>
      <w:r>
        <w:rPr>
          <w:rFonts w:ascii="宋体" w:hAnsi="宋体" w:cs="宋体"/>
          <w:color w:val="000000"/>
        </w:rPr>
        <w:t xml:space="preserve">约定顺序履行合同义务；如果没有先后顺序的，应当同时履行。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 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 本合同涉及商品包装、快递包装的，除</w:t>
      </w:r>
      <w:r>
        <w:rPr>
          <w:rFonts w:ascii="宋体" w:hAnsi="宋体" w:cs="宋体"/>
          <w:b/>
          <w:color w:val="000000"/>
        </w:rPr>
        <w:t xml:space="preserve">【政府采购合同专用条款】</w:t>
      </w:r>
      <w:r>
        <w:rPr>
          <w:rFonts w:ascii="宋体" w:hAnsi="宋体" w:cs="宋体"/>
          <w:color w:val="000000"/>
        </w:rPr>
        <w:t xml:space="preserve">另有约定外，包装应适应远距离运输、防潮、防震、防锈和防野蛮装卸等要求，确保货物安全无损地运抵</w:t>
      </w:r>
      <w:r>
        <w:rPr>
          <w:rFonts w:ascii="宋体" w:hAnsi="宋体" w:cs="宋体"/>
          <w:b/>
          <w:color w:val="000000"/>
        </w:rPr>
        <w:t xml:space="preserve">【政府采购合同专用条款】</w:t>
      </w:r>
      <w:r>
        <w:rPr>
          <w:rFonts w:ascii="宋体" w:hAnsi="宋体" w:cs="宋体"/>
          <w:color w:val="000000"/>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 除</w:t>
      </w:r>
      <w:r>
        <w:rPr>
          <w:rFonts w:ascii="宋体" w:hAnsi="宋体" w:cs="宋体"/>
          <w:b/>
          <w:color w:val="000000"/>
        </w:rPr>
        <w:t xml:space="preserve">【政府采购合同专用条款】</w:t>
      </w:r>
      <w:r>
        <w:rPr>
          <w:rFonts w:ascii="宋体" w:hAnsi="宋体" w:cs="宋体"/>
          <w:color w:val="000000"/>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 货物保险要求按</w:t>
      </w:r>
      <w:r>
        <w:rPr>
          <w:rFonts w:ascii="宋体" w:hAnsi="宋体" w:cs="宋体"/>
          <w:b/>
          <w:color w:val="000000"/>
        </w:rPr>
        <w:t xml:space="preserve">【政府采购合同专用条款】</w:t>
      </w:r>
      <w:r>
        <w:rPr>
          <w:rFonts w:ascii="宋体" w:hAnsi="宋体" w:cs="宋体"/>
          <w:color w:val="000000"/>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 乙方在运输到达之前应提前通知甲方，并提示货物运输装卸的注意事项，甲方配合乙方做好货物的接收工作。</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 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 xml:space="preserve">【政府采购合同专用条款】</w:t>
      </w:r>
      <w:r>
        <w:rPr>
          <w:rFonts w:ascii="宋体" w:hAnsi="宋体" w:cs="宋体"/>
          <w:color w:val="000000"/>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（3）乙方收到通知后，应在</w:t>
      </w:r>
      <w:r>
        <w:rPr>
          <w:rFonts w:ascii="宋体" w:hAnsi="宋体" w:cs="宋体"/>
          <w:b/>
          <w:color w:val="000000"/>
        </w:rPr>
        <w:t xml:space="preserve">【政府采购合同专用条款】</w:t>
      </w:r>
      <w:r>
        <w:rPr>
          <w:rFonts w:ascii="宋体" w:hAnsi="宋体" w:cs="宋体"/>
          <w:color w:val="000000"/>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 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 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 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 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 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13. 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 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 如果乙方出现</w:t>
      </w:r>
      <w:r>
        <w:rPr>
          <w:rFonts w:ascii="宋体" w:hAnsi="宋体" w:cs="宋体"/>
          <w:b/>
          <w:color w:val="000000"/>
        </w:rPr>
        <w:t xml:space="preserve">【政府采购合同专用条款】</w:t>
      </w:r>
      <w:r>
        <w:rPr>
          <w:rFonts w:ascii="宋体" w:hAnsi="宋体" w:cs="宋体"/>
          <w:color w:val="00000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 甲方在项目通过验收后按照</w:t>
      </w:r>
      <w:r>
        <w:rPr>
          <w:rFonts w:ascii="宋体" w:hAnsi="宋体" w:cs="宋体"/>
          <w:b/>
          <w:color w:val="000000"/>
        </w:rPr>
        <w:t xml:space="preserve">【政府采购合同专用条款】</w:t>
      </w:r>
      <w:r>
        <w:rPr>
          <w:rFonts w:ascii="宋体" w:hAnsi="宋体" w:cs="宋体"/>
          <w:color w:val="000000"/>
        </w:rPr>
        <w:t xml:space="preserve">规定的时间内将履约保证金退还乙方；逾期退还的，乙方可要求甲方支付违约金，违约金按照</w:t>
      </w:r>
      <w:r>
        <w:rPr>
          <w:rFonts w:ascii="宋体" w:hAnsi="宋体" w:cs="宋体"/>
          <w:b/>
          <w:color w:val="000000"/>
        </w:rPr>
        <w:t xml:space="preserve">【政府采购合同专用条款】</w:t>
      </w:r>
      <w:r>
        <w:rPr>
          <w:rFonts w:ascii="宋体" w:hAnsi="宋体" w:cs="宋体"/>
          <w:color w:val="000000"/>
        </w:rPr>
        <w:t xml:space="preserve">规定支付。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 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 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（3）在</w:t>
      </w:r>
      <w:r>
        <w:rPr>
          <w:rFonts w:ascii="宋体" w:hAnsi="宋体" w:cs="宋体"/>
          <w:b/>
          <w:color w:val="000000"/>
        </w:rPr>
        <w:t xml:space="preserve">【政府采购合同专用条款】</w:t>
      </w:r>
      <w:r>
        <w:rPr>
          <w:rFonts w:ascii="宋体" w:hAnsi="宋体" w:cs="宋体"/>
          <w:color w:val="000000"/>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（4）在制造商所在地或指定现场就货物的安装、启动、运营、维护、废弃处置等对甲方操作人员进行培训；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（5）依照法律、行政法规的规定或者按照</w:t>
      </w:r>
      <w:r>
        <w:rPr>
          <w:rFonts w:ascii="宋体" w:hAnsi="宋体" w:cs="宋体"/>
          <w:b/>
          <w:color w:val="000000"/>
        </w:rPr>
        <w:t xml:space="preserve">【政府采购合同专用条款】</w:t>
      </w:r>
      <w:r>
        <w:rPr>
          <w:rFonts w:ascii="宋体" w:hAnsi="宋体" w:cs="宋体"/>
          <w:color w:val="000000"/>
        </w:rPr>
        <w:t xml:space="preserve">约定，货物在有效使用年限届满后应予回收的，乙方负有自行或者委托第三人对货物予以回收的义务；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ascii="宋体" w:hAnsi="宋体" w:cs="宋体"/>
          <w:b/>
          <w:color w:val="000000"/>
        </w:rPr>
        <w:t xml:space="preserve">【政府采购合同专用条款】</w:t>
      </w:r>
      <w:r>
        <w:rPr>
          <w:rFonts w:ascii="宋体" w:hAnsi="宋体" w:cs="宋体"/>
          <w:color w:val="000000"/>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 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乙方提供的产品不符合合同约定的质量标准或存在产品质量缺陷，甲方有权要求乙方根据</w:t>
      </w:r>
      <w:r>
        <w:rPr>
          <w:rFonts w:ascii="宋体" w:hAnsi="宋体" w:cs="宋体"/>
          <w:b/>
          <w:color w:val="000000"/>
        </w:rPr>
        <w:t xml:space="preserve">【政府采购合同专用条款】</w:t>
      </w:r>
      <w:r>
        <w:rPr>
          <w:rFonts w:ascii="宋体" w:hAnsi="宋体" w:cs="宋体"/>
          <w:color w:val="000000"/>
        </w:rPr>
        <w:t xml:space="preserve">要求及时修理、重作、更换，并承担由此给甲方造成的损失。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rPr>
        <w:t xml:space="preserve">【政府采购合同专用条款】</w:t>
      </w:r>
      <w:r>
        <w:rPr>
          <w:rFonts w:ascii="宋体" w:hAnsi="宋体" w:cs="宋体"/>
          <w:color w:val="000000"/>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 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甲方存在迟延支付乙方合同款项的，应当承担</w:t>
      </w:r>
      <w:r>
        <w:rPr>
          <w:rFonts w:ascii="宋体" w:hAnsi="宋体" w:cs="宋体"/>
          <w:b/>
          <w:color w:val="000000"/>
        </w:rPr>
        <w:t xml:space="preserve">【政府采购合同专用条款】</w:t>
      </w:r>
      <w:r>
        <w:rPr>
          <w:rFonts w:ascii="宋体" w:hAnsi="宋体" w:cs="宋体"/>
          <w:color w:val="000000"/>
        </w:rPr>
        <w:t xml:space="preserve">规定的逾期付款利息。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15.4其他违约责任根据项目实际需要按</w:t>
      </w:r>
      <w:r>
        <w:rPr>
          <w:rFonts w:ascii="宋体" w:hAnsi="宋体" w:cs="宋体"/>
          <w:b/>
          <w:color w:val="000000"/>
        </w:rPr>
        <w:t xml:space="preserve">【政府采购合同专用条款】</w:t>
      </w:r>
      <w:r>
        <w:rPr>
          <w:rFonts w:ascii="宋体" w:hAnsi="宋体" w:cs="宋体"/>
          <w:color w:val="000000"/>
        </w:rPr>
        <w:t xml:space="preserve">规定执行。</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16.</w:t>
      </w:r>
      <w:r>
        <w:rPr>
          <w:rFonts w:ascii="宋体" w:hAnsi="宋体" w:cs="宋体"/>
          <w:b/>
          <w:color w:val="000000"/>
          <w:sz w:val="24"/>
        </w:rPr>
        <w:t xml:space="preserve">合同变更、中止与终止</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（2）乙方未按合同约定履行，构成根本性违约的，甲方有权终止合同，并追究乙方的违约责任。</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cs="宋体"/>
          <w:color w:val="000000"/>
        </w:rPr>
        <w:t xml:space="preserve">涉及国家利益、社会公共利益的情形</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17. 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 乙方不得将合同转包给其他供应商。涉及合同分包的，乙方应根据采购文件和投标（响应）文件规定进行合同分包。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 乙方执行政府采购政策向中小企业依法分包的，乙方应当按采购文件和投标（响应）文件签订分包意向协议，分包意向协议属于本合同组成部分。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18. 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 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18.2 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19. 解决争议的方法</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19.2 选择仲裁的，应在</w:t>
      </w:r>
      <w:r>
        <w:rPr>
          <w:rFonts w:ascii="宋体" w:hAnsi="宋体" w:cs="宋体"/>
          <w:b/>
          <w:color w:val="000000"/>
        </w:rPr>
        <w:t xml:space="preserve">【政府采购合同专用条款】</w:t>
      </w:r>
      <w:r>
        <w:rPr>
          <w:rFonts w:ascii="宋体" w:hAnsi="宋体" w:cs="宋体"/>
          <w:color w:val="000000"/>
        </w:rPr>
        <w:t xml:space="preserve">中明确仲裁机构及仲裁地；通过诉讼方式解决的，可以在</w:t>
      </w:r>
      <w:r>
        <w:rPr>
          <w:rFonts w:ascii="宋体" w:hAnsi="宋体" w:cs="宋体"/>
          <w:b/>
          <w:color w:val="000000"/>
        </w:rPr>
        <w:t xml:space="preserve">【政府采购合同专用条款】</w:t>
      </w:r>
      <w:r>
        <w:rPr>
          <w:rFonts w:ascii="宋体" w:hAnsi="宋体" w:cs="宋体"/>
          <w:color w:val="000000"/>
        </w:rPr>
        <w:t xml:space="preserve">中进一步约定选择与争议有实际联系的地点的人民法院管辖，但管辖法院的约定不得违反级别管辖和专属管辖的规定。</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19.3 如甲乙双方有争议的事项不影响合同其他部分的履行，在争议解决期间，合同其他部分应当继续履行。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 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20.1 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 法律适用</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 本合同的订立、生效、解释、履行及与本合同有关的争议解决，均适用法律、行政法规。</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 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 通知</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22.1 本合同任何一方向对方发出的通知、信件、数据电文等，应当发送至本合同第一部分《政府采购合同协议书》所约定的通讯地址、联系人、联系电话或电子邮箱。</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22.4通知以送达之日或通知书中规定的生效之日起生效，两者中以较迟之日为准。</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23.</w:t>
      </w:r>
      <w:r>
        <w:rPr>
          <w:rFonts w:ascii="宋体" w:hAnsi="宋体" w:cs="宋体"/>
          <w:b/>
          <w:color w:val="000000"/>
          <w:sz w:val="24"/>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23.1合同未尽事项见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23.2 合同附件与合同正文具有同等的法律效力。</w:t>
      </w:r>
      <w:r/>
    </w:p>
    <w:p>
      <w:pPr>
        <w:jc w:val="center"/>
        <w:pBdr>
          <w:top w:val="none" w:color="000000" w:sz="0" w:space="0"/>
          <w:left w:val="none" w:color="000000" w:sz="0" w:space="0"/>
          <w:bottom w:val="none" w:color="000000" w:sz="0" w:space="0"/>
          <w:right w:val="none" w:color="000000" w:sz="0" w:space="0"/>
        </w:pBdr>
      </w:pPr>
      <w:r>
        <w:br w:type="page" w:clear="all"/>
      </w:r>
      <w:r/>
    </w:p>
    <w:p>
      <w:pPr>
        <w:pStyle w:val="762"/>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97"/>
        <w:tblW w:w="621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41"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firstLine="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货物质量缺陷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因本合同及合同有关事项发生的争议，按下列第</w:t>
            </w:r>
            <w:r>
              <w:rPr>
                <w:rFonts w:ascii="宋体" w:hAnsi="宋体" w:cs="宋体"/>
                <w:color w:val="000000"/>
                <w:u w:val="single"/>
              </w:rPr>
              <w:t xml:space="preserve">   </w:t>
            </w:r>
            <w:r>
              <w:rPr>
                <w:rFonts w:ascii="宋体" w:hAnsi="宋体" w:cs="宋体"/>
                <w:color w:val="000000"/>
              </w:rPr>
              <w:t xml:space="preserve">种方式解决：</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（1）向</w:t>
            </w:r>
            <w:r>
              <w:rPr>
                <w:rFonts w:ascii="宋体" w:hAnsi="宋体" w:cs="宋体"/>
                <w:color w:val="000000"/>
                <w:u w:val="single"/>
              </w:rPr>
              <w:t xml:space="preserve">                    </w:t>
            </w:r>
            <w:r>
              <w:rPr>
                <w:rFonts w:ascii="宋体" w:hAnsi="宋体" w:cs="宋体"/>
                <w:color w:val="000000"/>
              </w:rPr>
              <w:t xml:space="preserve">仲裁委员会申请仲裁，仲裁地点为</w:t>
            </w:r>
            <w:r>
              <w:rPr>
                <w:rFonts w:ascii="宋体" w:hAnsi="宋体" w:cs="宋体"/>
                <w:color w:val="000000"/>
                <w:u w:val="single"/>
              </w:rPr>
              <w:t xml:space="preserve">           </w:t>
            </w:r>
            <w:r>
              <w:rPr>
                <w:rFonts w:ascii="宋体" w:hAnsi="宋体" w:cs="宋体"/>
                <w:color w:val="000000"/>
              </w:rPr>
              <w:t xml:space="preserve">；</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（2）向</w:t>
            </w:r>
            <w:r>
              <w:rPr>
                <w:rFonts w:ascii="宋体" w:hAnsi="宋体" w:cs="宋体"/>
                <w:color w:val="000000"/>
                <w:u w:val="single"/>
              </w:rPr>
              <w:t xml:space="preserve">                    </w:t>
            </w:r>
            <w:r>
              <w:rPr>
                <w:rFonts w:ascii="宋体" w:hAnsi="宋体" w:cs="宋体"/>
                <w:color w:val="000000"/>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95" w:hanging="495"/>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rPr>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3.投标人需对技术要求（未加斜体下划线的非实质性要求）逐条做出明确响应。如果招标文件要求提供证明材料，投标人需将证明材料列于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 投标人需对商务要求（未加斜体下划线的非实质性要求）逐条做出明确响应。如果招标文件要求提供证明材料，投标人需将证明材料列于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hint="eastAsia"/>
          <w:bCs/>
          <w:iCs/>
          <w:sz w:val="24"/>
          <w:szCs w:val="24"/>
        </w:rPr>
      </w:pPr>
      <w:r>
        <w:rPr>
          <w:rFonts w:hint="eastAsia"/>
          <w:bCs/>
          <w:iCs/>
          <w:sz w:val="24"/>
          <w:szCs w:val="24"/>
        </w:rPr>
        <w:t xml:space="preserve">5. 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71"/>
        <w:tblW w:w="7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采购包号</w:t>
            </w:r>
            <w:r/>
          </w:p>
        </w:tc>
        <w:tc>
          <w:tcPr>
            <w:tcW w:w="3124" w:type="dxa"/>
            <w:vAlign w:val="center"/>
            <w:textDirection w:val="lrTb"/>
            <w:noWrap w:val="false"/>
          </w:tcPr>
          <w:p>
            <w:pPr>
              <w:ind w:firstLine="787"/>
              <w:spacing w:line="360" w:lineRule="auto"/>
              <w:rPr>
                <w:rFonts w:eastAsia="宋体"/>
                <w:bCs/>
                <w:iCs/>
                <w:sz w:val="24"/>
                <w:szCs w:val="24"/>
              </w:rPr>
            </w:pPr>
            <w:r>
              <w:rPr>
                <w:rFonts w:hint="eastAsia" w:eastAsia="宋体"/>
                <w:bCs/>
                <w:iCs/>
                <w:sz w:val="24"/>
                <w:szCs w:val="24"/>
              </w:rPr>
              <w:t xml:space="preserve">采购</w:t>
            </w:r>
            <w:r>
              <w:rPr>
                <w:rFonts w:eastAsia="宋体"/>
                <w:bCs/>
                <w:iCs/>
                <w:sz w:val="24"/>
                <w:szCs w:val="24"/>
              </w:rPr>
              <w:t xml:space="preserve">标的</w:t>
            </w:r>
            <w:r/>
          </w:p>
        </w:tc>
        <w:tc>
          <w:tcPr>
            <w:tcW w:w="3022"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对应中</w:t>
            </w:r>
            <w:r>
              <w:rPr>
                <w:rFonts w:eastAsia="宋体"/>
                <w:bCs/>
                <w:iCs/>
                <w:sz w:val="24"/>
                <w:szCs w:val="24"/>
              </w:rPr>
              <w:t xml:space="preserve">小企业划分标准所属行业</w:t>
            </w:r>
            <w:r/>
          </w:p>
        </w:tc>
      </w:tr>
      <w:tr>
        <w:trPr>
          <w:cantSplit/>
          <w:jc w:val="center"/>
          <w:trHeight w:val="291"/>
        </w:trPr>
        <w:tc>
          <w:tcPr>
            <w:tcW w:w="1289" w:type="dxa"/>
            <w:vAlign w:val="center"/>
            <w:textDirection w:val="lrTb"/>
            <w:noWrap w:val="false"/>
          </w:tcPr>
          <w:p>
            <w:pPr>
              <w:ind w:firstLine="480"/>
              <w:spacing w:line="360" w:lineRule="auto"/>
              <w:rPr>
                <w:rFonts w:eastAsia="宋体"/>
                <w:bCs/>
                <w:iCs/>
                <w:sz w:val="24"/>
                <w:szCs w:val="24"/>
              </w:rPr>
            </w:pPr>
            <w:r>
              <w:rPr>
                <w:rFonts w:hint="eastAsia" w:eastAsia="宋体"/>
                <w:bCs/>
                <w:iCs/>
                <w:sz w:val="24"/>
                <w:szCs w:val="24"/>
              </w:rPr>
              <w:t xml:space="preserve">1</w:t>
            </w:r>
            <w:r/>
          </w:p>
        </w:tc>
        <w:tc>
          <w:tcPr>
            <w:tcW w:w="3124" w:type="dxa"/>
            <w:vAlign w:val="center"/>
            <w:textDirection w:val="lrTb"/>
            <w:noWrap w:val="false"/>
          </w:tcPr>
          <w:p>
            <w:pPr>
              <w:spacing w:line="360" w:lineRule="auto"/>
              <w:rPr>
                <w:rFonts w:hint="eastAsia" w:eastAsia="宋体"/>
                <w:bCs/>
                <w:iCs/>
                <w:sz w:val="24"/>
                <w:szCs w:val="24"/>
                <w:lang w:eastAsia="zh-CN"/>
              </w:rPr>
            </w:pPr>
            <w:r>
              <w:rPr>
                <w:rFonts w:hint="eastAsia" w:eastAsia="宋体"/>
                <w:bCs/>
                <w:iCs/>
                <w:sz w:val="24"/>
                <w:szCs w:val="24"/>
                <w:lang w:eastAsia="zh-CN"/>
              </w:rPr>
              <w:t xml:space="preserve">扬州工业职业技术学院国产云计算平台建设采购</w:t>
            </w:r>
            <w:r/>
          </w:p>
        </w:tc>
        <w:tc>
          <w:tcPr>
            <w:tcW w:w="3022" w:type="dxa"/>
            <w:vAlign w:val="center"/>
            <w:textDirection w:val="lrTb"/>
            <w:noWrap w:val="false"/>
          </w:tcPr>
          <w:p>
            <w:pPr>
              <w:ind w:firstLine="1024"/>
              <w:spacing w:line="360" w:lineRule="auto"/>
              <w:rPr>
                <w:rFonts w:hint="eastAsia" w:eastAsia="宋体"/>
                <w:bCs/>
                <w:iCs/>
                <w:sz w:val="24"/>
                <w:szCs w:val="24"/>
                <w:lang w:eastAsia="zh-CN"/>
              </w:rPr>
            </w:pPr>
            <w:r>
              <w:rPr>
                <w:rFonts w:hint="eastAsia" w:eastAsia="宋体"/>
                <w:bCs/>
                <w:iCs/>
                <w:sz w:val="24"/>
                <w:szCs w:val="24"/>
                <w:lang w:val="en-US" w:eastAsia="zh-CN"/>
              </w:rPr>
              <w:t xml:space="preserve">工业</w:t>
            </w:r>
            <w:r/>
          </w:p>
        </w:tc>
      </w:tr>
    </w:tbl>
    <w:p>
      <w:pPr>
        <w:ind w:firstLine="480"/>
        <w:spacing w:line="360" w:lineRule="auto"/>
        <w:rPr>
          <w:rFonts w:eastAsia="宋体"/>
          <w:bCs/>
          <w:iCs/>
          <w:sz w:val="24"/>
          <w:szCs w:val="24"/>
        </w:rPr>
      </w:pPr>
      <w:r>
        <w:rPr>
          <w:rFonts w:hint="eastAsia" w:eastAsia="宋体"/>
          <w:bCs/>
          <w:iCs/>
          <w:sz w:val="24"/>
          <w:szCs w:val="24"/>
        </w:rPr>
        <w:t xml:space="preserve">7．核心产品</w:t>
      </w:r>
      <w:r/>
    </w:p>
    <w:tbl>
      <w:tblPr>
        <w:tblStyle w:val="771"/>
        <w:tblW w:w="4380" w:type="dxa"/>
        <w:tblInd w:w="8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105"/>
      </w:tblGrid>
      <w:tr>
        <w:trPr/>
        <w:tc>
          <w:tcPr>
            <w:tcW w:w="1275" w:type="dxa"/>
            <w:vAlign w:val="center"/>
            <w:textDirection w:val="lrTb"/>
            <w:noWrap w:val="false"/>
          </w:tcPr>
          <w:p>
            <w:pPr>
              <w:jc w:val="left"/>
              <w:spacing w:line="360" w:lineRule="auto"/>
              <w:rPr>
                <w:rFonts w:eastAsia="宋体"/>
                <w:bCs/>
                <w:iCs/>
                <w:sz w:val="24"/>
                <w:szCs w:val="24"/>
              </w:rPr>
            </w:pPr>
            <w:r>
              <w:rPr>
                <w:rFonts w:hint="eastAsia" w:eastAsia="宋体"/>
                <w:bCs/>
                <w:iCs/>
                <w:sz w:val="24"/>
                <w:szCs w:val="24"/>
              </w:rPr>
              <w:t xml:space="preserve">采购包号</w:t>
            </w:r>
            <w:r/>
          </w:p>
        </w:tc>
        <w:tc>
          <w:tcPr>
            <w:tcW w:w="3105" w:type="dxa"/>
            <w:vAlign w:val="center"/>
            <w:textDirection w:val="lrTb"/>
            <w:noWrap w:val="false"/>
          </w:tcPr>
          <w:p>
            <w:pPr>
              <w:jc w:val="center"/>
              <w:spacing w:line="360" w:lineRule="auto"/>
              <w:rPr>
                <w:rFonts w:eastAsia="宋体"/>
                <w:bCs/>
                <w:iCs/>
                <w:sz w:val="24"/>
                <w:szCs w:val="24"/>
              </w:rPr>
            </w:pPr>
            <w:r>
              <w:rPr>
                <w:rFonts w:hint="eastAsia" w:eastAsia="宋体"/>
                <w:bCs/>
                <w:iCs/>
                <w:sz w:val="24"/>
                <w:szCs w:val="24"/>
              </w:rPr>
              <w:t xml:space="preserve">核心产品</w:t>
            </w:r>
            <w:r/>
          </w:p>
        </w:tc>
      </w:tr>
      <w:tr>
        <w:trPr/>
        <w:tc>
          <w:tcPr>
            <w:tcW w:w="1275" w:type="dxa"/>
            <w:vAlign w:val="center"/>
            <w:textDirection w:val="lrTb"/>
            <w:noWrap w:val="false"/>
          </w:tcPr>
          <w:p>
            <w:pPr>
              <w:ind w:firstLine="480"/>
              <w:jc w:val="left"/>
              <w:spacing w:line="360" w:lineRule="auto"/>
              <w:rPr>
                <w:rFonts w:eastAsia="宋体"/>
                <w:bCs/>
                <w:iCs/>
                <w:sz w:val="24"/>
                <w:szCs w:val="24"/>
              </w:rPr>
            </w:pPr>
            <w:r>
              <w:rPr>
                <w:rFonts w:hint="eastAsia" w:eastAsia="宋体"/>
                <w:bCs/>
                <w:iCs/>
                <w:sz w:val="24"/>
                <w:szCs w:val="24"/>
              </w:rPr>
              <w:t xml:space="preserve">1</w:t>
            </w:r>
            <w:r/>
          </w:p>
        </w:tc>
        <w:tc>
          <w:tcPr>
            <w:tcW w:w="3105" w:type="dxa"/>
            <w:vAlign w:val="center"/>
            <w:textDirection w:val="lrTb"/>
            <w:noWrap w:val="false"/>
          </w:tcPr>
          <w:p>
            <w:pPr>
              <w:jc w:val="center"/>
              <w:spacing w:line="360" w:lineRule="auto"/>
              <w:rPr>
                <w:rFonts w:hint="default" w:eastAsia="宋体"/>
                <w:bCs/>
                <w:iCs/>
                <w:sz w:val="24"/>
                <w:szCs w:val="24"/>
                <w:lang w:val="en-US" w:eastAsia="zh-CN"/>
              </w:rPr>
            </w:pPr>
            <w:r>
              <w:rPr>
                <w:rFonts w:hint="eastAsia"/>
                <w:bCs/>
                <w:iCs/>
                <w:sz w:val="24"/>
                <w:szCs w:val="24"/>
                <w:lang w:val="en-US" w:eastAsia="zh-CN"/>
              </w:rPr>
              <w:t xml:space="preserve">服务器</w:t>
            </w:r>
            <w:r/>
          </w:p>
        </w:tc>
      </w:tr>
    </w:tbl>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400" w:lineRule="atLeast"/>
        <w:rPr>
          <w:rFonts w:ascii="宋体" w:hAnsi="宋体" w:cs="宋体"/>
          <w:b/>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r>
      <w:r/>
    </w:p>
    <w:p>
      <w:pPr>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t xml:space="preserve">二、政府采购中实施本国产品标准及相关政策</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1.本项目对采购本国产品给予政策支持，具体内容见招标文件“第五章 评标方法与评标标准”。</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bCs/>
          <w:color w:val="000000"/>
          <w:sz w:val="24"/>
          <w:szCs w:val="24"/>
        </w:rPr>
        <w:outlineLvl w:val="1"/>
      </w:pPr>
      <w:r>
        <w:rPr>
          <w:rFonts w:ascii="宋体" w:hAnsi="宋体"/>
          <w:b/>
          <w:color w:val="000000"/>
          <w:sz w:val="24"/>
          <w:szCs w:val="24"/>
        </w:rPr>
        <w:t xml:space="preserve">三、技术要求</w:t>
      </w:r>
      <w:r/>
    </w:p>
    <w:p>
      <w:pPr>
        <w:ind w:firstLine="240"/>
        <w:rPr>
          <w:rFonts w:ascii="宋体" w:hAnsi="宋体"/>
          <w:b/>
          <w:bCs/>
          <w:color w:val="ff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szCs w:val="32"/>
        </w:rPr>
        <w:t xml:space="preserve">采购清单</w:t>
      </w:r>
      <w:r/>
    </w:p>
    <w:tbl>
      <w:tblPr>
        <w:tblStyle w:val="771"/>
        <w:tblW w:w="9948"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3760"/>
        <w:gridCol w:w="3760"/>
        <w:gridCol w:w="782"/>
        <w:gridCol w:w="866"/>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eastAsia="宋体"/>
                <w:bCs/>
                <w:color w:val="000000"/>
                <w:sz w:val="24"/>
                <w:szCs w:val="24"/>
                <w:lang w:eastAsia="zh-CN"/>
              </w:rPr>
            </w:pPr>
            <w:r>
              <w:rPr>
                <w:rFonts w:hint="eastAsia"/>
                <w:sz w:val="24"/>
                <w:szCs w:val="24"/>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ascii="宋体" w:hAnsi="宋体"/>
                <w:bCs/>
                <w:color w:val="000000"/>
                <w:sz w:val="24"/>
                <w:szCs w:val="24"/>
              </w:rPr>
            </w:pPr>
            <w:r>
              <w:rPr>
                <w:rFonts w:hint="eastAsia"/>
                <w:sz w:val="24"/>
                <w:szCs w:val="24"/>
              </w:rPr>
              <w:t xml:space="preserve">超融合软件</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sz w:val="24"/>
                <w:szCs w:val="24"/>
              </w:rPr>
              <w:t xml:space="preserve">套</w:t>
            </w:r>
            <w:r/>
          </w:p>
        </w:tc>
      </w:tr>
    </w:tbl>
    <w:p>
      <w:pPr>
        <w:rPr>
          <w:rFonts w:hint="eastAsia"/>
          <w:b/>
          <w:bCs/>
          <w:sz w:val="24"/>
          <w:szCs w:val="24"/>
        </w:rPr>
      </w:pPr>
      <w:r>
        <w:rPr>
          <w:rFonts w:hint="eastAsia"/>
          <w:b/>
          <w:bCs/>
          <w:sz w:val="24"/>
          <w:szCs w:val="24"/>
        </w:rPr>
      </w:r>
      <w:r/>
    </w:p>
    <w:p>
      <w:pPr>
        <w:rPr>
          <w:rFonts w:hint="eastAsia"/>
          <w:b/>
          <w:bCs/>
          <w:sz w:val="24"/>
          <w:szCs w:val="24"/>
        </w:rPr>
      </w:pPr>
      <w:r>
        <w:rPr>
          <w:rFonts w:hint="eastAsia"/>
          <w:b/>
          <w:bCs/>
          <w:sz w:val="24"/>
          <w:szCs w:val="24"/>
        </w:rPr>
      </w:r>
      <w:r/>
    </w:p>
    <w:p>
      <w:pPr>
        <w:numPr>
          <w:ilvl w:val="0"/>
          <w:numId w:val="11"/>
        </w:numPr>
        <w:spacing w:line="360" w:lineRule="auto"/>
        <w:rPr>
          <w:rFonts w:hint="eastAsia"/>
          <w:b/>
          <w:bCs/>
          <w:sz w:val="24"/>
          <w:szCs w:val="24"/>
        </w:rPr>
      </w:pPr>
      <w:r>
        <w:rPr>
          <w:rFonts w:hint="eastAsia"/>
          <w:b/>
          <w:bCs/>
          <w:sz w:val="24"/>
          <w:szCs w:val="24"/>
          <w:lang w:val="en-US" w:eastAsia="zh-CN"/>
        </w:rPr>
        <w:t xml:space="preserve">服务器</w:t>
      </w:r>
      <w:r/>
    </w:p>
    <w:p>
      <w:pPr>
        <w:ind w:firstLine="480"/>
        <w:rPr>
          <w:sz w:val="24"/>
          <w:szCs w:val="24"/>
        </w:rPr>
      </w:pPr>
      <w:r>
        <w:rPr>
          <w:rFonts w:hint="eastAsia"/>
          <w:sz w:val="24"/>
          <w:szCs w:val="24"/>
        </w:rPr>
        <w:t xml:space="preserve">注：以下均为单台/套技术要求</w:t>
      </w:r>
      <w:r/>
    </w:p>
    <w:p>
      <w:pPr>
        <w:ind w:firstLine="420"/>
        <w:rPr>
          <w:rFonts w:hint="eastAsia" w:eastAsia="宋体"/>
          <w:b/>
          <w:bCs/>
          <w:sz w:val="24"/>
          <w:szCs w:val="24"/>
          <w:lang w:eastAsia="zh-CN"/>
        </w:rPr>
      </w:pPr>
      <w:r>
        <w:rPr>
          <w:rFonts w:hint="eastAsia"/>
          <w:sz w:val="24"/>
          <w:szCs w:val="24"/>
        </w:rPr>
        <w:t xml:space="preserve">服务器应符合《通用服务器政府采购需求标准（2023年版）》【财库〔2023〕33号】要求</w:t>
      </w:r>
      <w:r>
        <w:rPr>
          <w:rFonts w:hint="eastAsia"/>
          <w:sz w:val="24"/>
          <w:szCs w:val="24"/>
          <w:lang w:eastAsia="zh-CN"/>
        </w:rPr>
        <w:t xml:space="preserve">。</w:t>
      </w:r>
      <w:r/>
    </w:p>
    <w:p>
      <w:pPr>
        <w:pStyle w:val="850"/>
        <w:ind w:left="0"/>
        <w:rPr>
          <w:b/>
          <w:bCs/>
          <w:sz w:val="24"/>
          <w:szCs w:val="24"/>
        </w:rPr>
      </w:pPr>
      <w:r>
        <w:rPr>
          <w:b/>
          <w:bCs/>
          <w:sz w:val="24"/>
          <w:szCs w:val="24"/>
        </w:rPr>
      </w:r>
      <w:r/>
    </w:p>
    <w:tbl>
      <w:tblPr>
        <w:tblStyle w:val="79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1794"/>
        <w:gridCol w:w="6631"/>
      </w:tblGrid>
      <w:tr>
        <w:trPr/>
        <w:tc>
          <w:tcPr>
            <w:shd w:val="clear" w:color="auto" w:fill="dcd8c2" w:themeFill="background2" w:themeFillShade="E5"/>
            <w:tcW w:w="1539"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一级指标</w:t>
            </w:r>
            <w:r/>
          </w:p>
        </w:tc>
        <w:tc>
          <w:tcPr>
            <w:shd w:val="clear" w:color="auto" w:fill="dcd8c2" w:themeFill="background2" w:themeFillShade="E5"/>
            <w:tcW w:w="1794"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二级指标</w:t>
            </w:r>
            <w:r/>
          </w:p>
        </w:tc>
        <w:tc>
          <w:tcPr>
            <w:shd w:val="clear" w:color="auto" w:fill="dcd8c2" w:themeFill="background2" w:themeFillShade="E5"/>
            <w:tcW w:w="6631"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指标要求</w:t>
            </w:r>
            <w:r/>
          </w:p>
        </w:tc>
      </w:tr>
      <w:tr>
        <w:trPr>
          <w:trHeight w:val="574"/>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CPU信息</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color w:val="auto"/>
                <w:sz w:val="24"/>
                <w:szCs w:val="24"/>
                <w:u w:val="single"/>
              </w:rPr>
              <w:t xml:space="preserve">配置2颗国产CPU，主频≥2.5GHz,</w:t>
            </w:r>
            <w:r>
              <w:rPr>
                <w:rFonts w:hint="eastAsia" w:asciiTheme="minorEastAsia" w:hAnsiTheme="minorEastAsia" w:eastAsiaTheme="minorEastAsia" w:cstheme="minorEastAsia"/>
                <w:b/>
                <w:bCs/>
                <w:i/>
                <w:iCs/>
                <w:sz w:val="24"/>
                <w:szCs w:val="24"/>
                <w:u w:val="single"/>
              </w:rPr>
              <w:t xml:space="preserve">主频≥2.5GHz,单CPU物理核心数≥32C，支持超线程，L3缓存≥64MB</w:t>
            </w:r>
            <w:r/>
          </w:p>
        </w:tc>
      </w:tr>
      <w:tr>
        <w:trPr>
          <w:trHeight w:val="724"/>
        </w:trPr>
        <w:tc>
          <w:tcPr>
            <w:tcW w:w="1539"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内存规格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≥64GB, DDR5 5600MHz ECC RDIMM</w:t>
            </w:r>
            <w:r/>
          </w:p>
        </w:tc>
      </w:tr>
      <w:tr>
        <w:trPr/>
        <w:tc>
          <w:tcPr>
            <w:tcW w:w="1539" w:type="dxa"/>
            <w:vAlign w:val="center"/>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存储规格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硬磁盘实配容量</w:t>
            </w:r>
            <w:r/>
          </w:p>
        </w:tc>
        <w:tc>
          <w:tcPr>
            <w:tcW w:w="6631" w:type="dxa"/>
            <w:vAlign w:val="center"/>
            <w:textDirection w:val="lrTb"/>
            <w:noWrap w:val="false"/>
          </w:tcPr>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480G M.2 SSD；</w:t>
            </w:r>
            <w:r/>
          </w:p>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1.6TB 读写均衡型 NVMe SSD，DWPD≥3；</w:t>
            </w:r>
            <w:r/>
          </w:p>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硬盘</w:t>
            </w:r>
            <w:r>
              <w:rPr>
                <w:rFonts w:hint="eastAsia" w:asciiTheme="minorEastAsia" w:hAnsiTheme="minorEastAsia" w:eastAsiaTheme="minorEastAsia" w:cstheme="minorEastAsia"/>
                <w:b/>
                <w:bCs/>
                <w:i/>
                <w:iCs/>
                <w:sz w:val="24"/>
                <w:szCs w:val="24"/>
                <w:u w:val="single"/>
              </w:rPr>
              <w:t xml:space="preserve">：≥4 x 8TB 7.2k RPM 6Gbps SATA HDD</w:t>
            </w:r>
            <w:r/>
          </w:p>
        </w:tc>
      </w:tr>
      <w:tr>
        <w:trPr>
          <w:trHeight w:val="506"/>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硬盘实配数量</w:t>
            </w:r>
            <w:r/>
          </w:p>
        </w:tc>
        <w:tc>
          <w:tcPr>
            <w:tcW w:w="6631" w:type="dxa"/>
            <w:vAlign w:val="center"/>
            <w:textDirection w:val="lrTb"/>
            <w:noWrap w:val="false"/>
          </w:tcPr>
          <w:p>
            <w:pP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共8块硬盘</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硬盘插槽数量及规格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配置≥12个3.5寸硬盘盘位</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Raid卡规格</w:t>
            </w:r>
            <w:r/>
          </w:p>
        </w:tc>
        <w:tc>
          <w:tcPr>
            <w:tcW w:w="6631"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配置≥1块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，支持RAID0/RAID1。</w:t>
            </w:r>
            <w:r/>
          </w:p>
        </w:tc>
      </w:tr>
      <w:tr>
        <w:trPr>
          <w:trHeight w:val="1038"/>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网络规格</w:t>
            </w:r>
            <w:r/>
          </w:p>
        </w:tc>
        <w:tc>
          <w:tcPr>
            <w:tcW w:w="17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iCs/>
                <w:sz w:val="24"/>
                <w:szCs w:val="24"/>
                <w:u w:val="single"/>
              </w:rPr>
              <w:t xml:space="preserve">网口速率和数量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配置1块≥4</w:t>
            </w:r>
            <w:r>
              <w:rPr>
                <w:rFonts w:hint="eastAsia" w:asciiTheme="minorEastAsia" w:hAnsiTheme="minorEastAsia" w:eastAsiaTheme="minorEastAsia" w:cstheme="minorEastAsia"/>
                <w:b/>
                <w:bCs/>
                <w:i/>
                <w:iCs/>
                <w:sz w:val="24"/>
                <w:szCs w:val="24"/>
                <w:u w:val="single"/>
                <w:lang w:val="en-US" w:eastAsia="zh-CN"/>
              </w:rPr>
              <w:t xml:space="preserve">个</w:t>
            </w:r>
            <w:r>
              <w:rPr>
                <w:rFonts w:hint="eastAsia" w:asciiTheme="minorEastAsia" w:hAnsiTheme="minorEastAsia" w:eastAsiaTheme="minorEastAsia" w:cstheme="minorEastAsia"/>
                <w:b/>
                <w:bCs/>
                <w:i/>
                <w:iCs/>
                <w:sz w:val="24"/>
                <w:szCs w:val="24"/>
                <w:u w:val="single"/>
              </w:rPr>
              <w:t xml:space="preserve">千兆电口网卡；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val="0"/>
                <w:iCs w:val="0"/>
                <w:sz w:val="24"/>
                <w:szCs w:val="24"/>
                <w:u w:val="none"/>
              </w:rPr>
              <w:t xml:space="preserve">配置2块≥双口10G万兆光口网卡（含满配数量的光模块）</w:t>
            </w:r>
            <w:r/>
          </w:p>
        </w:tc>
      </w:tr>
      <w:tr>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电源规格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电源冗余模式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w:t>
            </w: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00W</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1+1冗余电源</w:t>
            </w:r>
            <w:r/>
          </w:p>
        </w:tc>
      </w:tr>
      <w:tr>
        <w:trPr/>
        <w:tc>
          <w:tcPr>
            <w:gridSpan w:val="3"/>
            <w:tcW w:w="9964"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cs="宋体"/>
                <w:b/>
                <w:bCs/>
                <w:i/>
                <w:iCs/>
                <w:sz w:val="24"/>
                <w:szCs w:val="24"/>
                <w:u w:val="single"/>
              </w:rPr>
              <w:t xml:space="preserve">其他未列明参数必须满足</w:t>
            </w:r>
            <w:r>
              <w:rPr>
                <w:rFonts w:hint="eastAsia"/>
                <w:b/>
                <w:bCs/>
                <w:i/>
                <w:sz w:val="24"/>
                <w:szCs w:val="24"/>
                <w:u w:val="single"/>
              </w:rPr>
              <w:t xml:space="preserve">【财库〔</w:t>
            </w:r>
            <w:r>
              <w:rPr>
                <w:b/>
                <w:bCs/>
                <w:i/>
                <w:sz w:val="24"/>
                <w:szCs w:val="24"/>
                <w:u w:val="single"/>
              </w:rPr>
              <w:t xml:space="preserve">2023</w:t>
            </w:r>
            <w:r>
              <w:rPr>
                <w:rFonts w:hint="eastAsia"/>
                <w:b/>
                <w:bCs/>
                <w:i/>
                <w:sz w:val="24"/>
                <w:szCs w:val="24"/>
                <w:u w:val="single"/>
              </w:rPr>
              <w:t xml:space="preserve">〕</w:t>
            </w:r>
            <w:r>
              <w:rPr>
                <w:rFonts w:hint="eastAsia"/>
                <w:b/>
                <w:bCs/>
                <w:i/>
                <w:sz w:val="24"/>
                <w:szCs w:val="24"/>
                <w:u w:val="single"/>
                <w:lang w:val="en-US" w:eastAsia="zh-CN"/>
              </w:rPr>
              <w:t xml:space="preserve">33</w:t>
            </w:r>
            <w:r>
              <w:rPr>
                <w:rFonts w:hint="eastAsia"/>
                <w:b/>
                <w:bCs/>
                <w:i/>
                <w:sz w:val="24"/>
                <w:szCs w:val="24"/>
                <w:u w:val="single"/>
              </w:rPr>
              <w:t xml:space="preserve">号】要求</w:t>
            </w:r>
            <w:r/>
          </w:p>
        </w:tc>
      </w:tr>
    </w:tbl>
    <w:p>
      <w:pPr>
        <w:pStyle w:val="850"/>
        <w:ind w:left="0"/>
        <w:rPr>
          <w:b/>
          <w:bCs/>
          <w:sz w:val="24"/>
          <w:szCs w:val="24"/>
        </w:rPr>
      </w:pPr>
      <w:r>
        <w:rPr>
          <w:b/>
          <w:bCs/>
          <w:sz w:val="24"/>
          <w:szCs w:val="24"/>
        </w:rPr>
      </w:r>
      <w:r/>
    </w:p>
    <w:p>
      <w:pPr>
        <w:numPr>
          <w:ilvl w:val="0"/>
          <w:numId w:val="11"/>
        </w:numPr>
        <w:spacing w:line="360" w:lineRule="auto"/>
        <w:rPr>
          <w:b/>
          <w:bCs/>
          <w:sz w:val="24"/>
          <w:szCs w:val="24"/>
        </w:rPr>
      </w:pPr>
      <w:r>
        <w:rPr>
          <w:rFonts w:hint="eastAsia"/>
          <w:b/>
          <w:bCs/>
          <w:sz w:val="24"/>
          <w:szCs w:val="24"/>
        </w:rPr>
        <w:t xml:space="preserve">超融合软件</w:t>
      </w:r>
      <w:r/>
    </w:p>
    <w:tbl>
      <w:tblPr>
        <w:tblStyle w:val="797"/>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4"/>
        <w:gridCol w:w="7754"/>
      </w:tblGrid>
      <w:tr>
        <w:trPr/>
        <w:tc>
          <w:tcPr>
            <w:shd w:val="clear" w:color="auto" w:fill="dcd8c2" w:themeFill="background2" w:themeFillShade="E5"/>
            <w:tcW w:w="1904" w:type="dxa"/>
            <w:vAlign w:val="center"/>
            <w:textDirection w:val="lrTb"/>
            <w:noWrap w:val="false"/>
          </w:tcPr>
          <w:p>
            <w:pPr>
              <w:jc w:val="center"/>
              <w:rPr>
                <w:b/>
                <w:bCs/>
                <w:sz w:val="24"/>
                <w:szCs w:val="24"/>
              </w:rPr>
            </w:pPr>
            <w:r>
              <w:rPr>
                <w:rFonts w:hint="eastAsia"/>
                <w:b/>
                <w:bCs/>
                <w:sz w:val="24"/>
                <w:szCs w:val="24"/>
              </w:rPr>
              <w:t xml:space="preserve">指标项</w:t>
            </w:r>
            <w:r/>
          </w:p>
        </w:tc>
        <w:tc>
          <w:tcPr>
            <w:shd w:val="clear" w:color="auto" w:fill="dcd8c2" w:themeFill="background2" w:themeFillShade="E5"/>
            <w:tcW w:w="7754" w:type="dxa"/>
            <w:vAlign w:val="center"/>
            <w:textDirection w:val="lrTb"/>
            <w:noWrap w:val="false"/>
          </w:tcPr>
          <w:p>
            <w:pPr>
              <w:jc w:val="center"/>
              <w:rPr>
                <w:b/>
                <w:bCs/>
                <w:sz w:val="24"/>
                <w:szCs w:val="24"/>
              </w:rPr>
            </w:pPr>
            <w:r>
              <w:rPr>
                <w:rFonts w:hint="eastAsia"/>
                <w:b/>
                <w:bCs/>
                <w:sz w:val="24"/>
                <w:szCs w:val="24"/>
              </w:rPr>
              <w:t xml:space="preserve">技术规格要求</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授权要求</w:t>
            </w:r>
            <w:r/>
          </w:p>
        </w:tc>
        <w:tc>
          <w:tcPr>
            <w:shd w:val="clear" w:color="auto" w:fill="auto"/>
            <w:tcW w:w="7754" w:type="dxa"/>
            <w:vAlign w:val="center"/>
            <w:textDirection w:val="lrTb"/>
            <w:noWrap w:val="false"/>
          </w:tcPr>
          <w:p>
            <w:pPr>
              <w:pStyle w:val="1069"/>
              <w:numPr>
                <w:ilvl w:val="0"/>
                <w:numId w:val="0"/>
              </w:numPr>
              <w:jc w:val="left"/>
              <w:rPr>
                <w:b/>
                <w:bCs/>
                <w:i/>
                <w:iCs/>
                <w:sz w:val="24"/>
                <w:szCs w:val="24"/>
                <w:u w:val="single"/>
              </w:rPr>
            </w:pPr>
            <w:r>
              <w:rPr>
                <w:rFonts w:hint="eastAsia"/>
                <w:b/>
                <w:bCs/>
                <w:i/>
                <w:iCs/>
                <w:sz w:val="24"/>
                <w:szCs w:val="24"/>
                <w:u w:val="single"/>
              </w:rPr>
              <w:t xml:space="preserve">提供不少于20颗CPU的超融合永久授权，包括计算虚拟化、分布式存储、集群管理平台模块，授权不限制CPU核数，提供三年不限次数安装部署、迁移、备份、调试服务；</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一体化要求</w:t>
            </w:r>
            <w:r/>
          </w:p>
        </w:tc>
        <w:tc>
          <w:tcPr>
            <w:shd w:val="clear" w:color="auto" w:fill="auto"/>
            <w:tcW w:w="7754" w:type="dxa"/>
            <w:vAlign w:val="center"/>
            <w:textDirection w:val="lrTb"/>
            <w:noWrap w:val="false"/>
          </w:tcPr>
          <w:p>
            <w:pPr>
              <w:pStyle w:val="1069"/>
              <w:numPr>
                <w:ilvl w:val="0"/>
                <w:numId w:val="0"/>
              </w:numPr>
              <w:jc w:val="left"/>
              <w:rPr>
                <w:rFonts w:hint="eastAsia" w:eastAsia="宋体"/>
                <w:b/>
                <w:bCs/>
                <w:i/>
                <w:iCs/>
                <w:sz w:val="24"/>
                <w:szCs w:val="24"/>
                <w:u w:val="single"/>
                <w:lang w:eastAsia="zh-CN"/>
              </w:rPr>
            </w:pPr>
            <w:r>
              <w:rPr>
                <w:rFonts w:hint="eastAsia" w:ascii="宋体" w:hAnsi="宋体" w:eastAsia="宋体"/>
                <w:b/>
                <w:bCs/>
                <w:i/>
                <w:iCs/>
                <w:sz w:val="24"/>
                <w:szCs w:val="24"/>
                <w:u w:val="single"/>
              </w:rPr>
              <w:t xml:space="preserve">本次采购</w:t>
            </w:r>
            <w:r>
              <w:rPr>
                <w:rFonts w:hint="eastAsia" w:ascii="宋体" w:hAnsi="宋体" w:eastAsia="宋体"/>
                <w:b/>
                <w:bCs/>
                <w:i/>
                <w:iCs/>
                <w:sz w:val="24"/>
                <w:szCs w:val="24"/>
                <w:u w:val="single"/>
                <w:lang w:val="en-US" w:eastAsia="zh-CN"/>
              </w:rPr>
              <w:t xml:space="preserve">的服务器</w:t>
            </w:r>
            <w:r>
              <w:rPr>
                <w:rFonts w:hint="eastAsia" w:ascii="宋体" w:hAnsi="宋体" w:eastAsia="宋体"/>
                <w:b/>
                <w:bCs/>
                <w:i/>
                <w:iCs/>
                <w:sz w:val="24"/>
                <w:szCs w:val="24"/>
                <w:u w:val="single"/>
              </w:rPr>
              <w:t xml:space="preserve">，</w:t>
            </w:r>
            <w:r>
              <w:rPr>
                <w:rFonts w:hint="eastAsia" w:ascii="宋体" w:hAnsi="宋体" w:eastAsia="宋体"/>
                <w:b/>
                <w:bCs/>
                <w:i/>
                <w:iCs/>
                <w:sz w:val="24"/>
                <w:szCs w:val="24"/>
                <w:u w:val="single"/>
                <w:lang w:val="en-US" w:eastAsia="zh-CN"/>
              </w:rPr>
              <w:t xml:space="preserve">应与</w:t>
            </w:r>
            <w:r>
              <w:rPr>
                <w:rFonts w:hint="eastAsia" w:ascii="宋体" w:hAnsi="宋体" w:eastAsia="宋体"/>
                <w:b/>
                <w:bCs/>
                <w:i/>
                <w:iCs/>
                <w:sz w:val="24"/>
                <w:szCs w:val="24"/>
                <w:u w:val="single"/>
              </w:rPr>
              <w:t xml:space="preserve">超融合软件为同一品牌</w:t>
            </w:r>
            <w:r>
              <w:rPr>
                <w:rFonts w:hint="eastAsia" w:ascii="宋体" w:hAnsi="宋体" w:eastAsia="宋体"/>
                <w:b/>
                <w:bCs/>
                <w:i/>
                <w:iCs/>
                <w:sz w:val="24"/>
                <w:szCs w:val="24"/>
                <w:u w:val="single"/>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批量创建虚拟机</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支持根据指定的计算资源配置批量创建虚拟机功能，所配置的资源包括但不限于 vCPU、内存、存储、操作系统、主机 IP 地址</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虚拟机资源热添加</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支持虚拟机运行时 CPU、内存、网络、虚拟盘的热添加功能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集群内虚拟机迁移</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支持集群内虚拟机关机或运行状态下的跨主机、跨存储的迁移功能；</w:t>
            </w:r>
            <w:r/>
          </w:p>
        </w:tc>
      </w:tr>
      <w:tr>
        <w:trPr/>
        <w:tc>
          <w:tcPr>
            <w:tcW w:w="1904" w:type="dxa"/>
            <w:vAlign w:val="center"/>
            <w:textDirection w:val="lrTb"/>
            <w:noWrap w:val="false"/>
          </w:tcPr>
          <w:p>
            <w:pPr>
              <w:jc w:val="center"/>
              <w:rPr>
                <w:sz w:val="24"/>
                <w:szCs w:val="24"/>
              </w:rPr>
            </w:pPr>
            <w:r>
              <w:rPr>
                <w:rFonts w:hint="eastAsia"/>
                <w:sz w:val="24"/>
                <w:szCs w:val="24"/>
              </w:rPr>
              <w:t xml:space="preserve">USB映射</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支持本地及跨主机的USB映射功能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UI界面修改虚拟机信息</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cs="宋体"/>
                <w:sz w:val="24"/>
                <w:szCs w:val="24"/>
              </w:rPr>
              <w:t xml:space="preserve">★</w:t>
            </w:r>
            <w:r>
              <w:rPr>
                <w:rFonts w:hint="eastAsia"/>
                <w:sz w:val="24"/>
                <w:szCs w:val="24"/>
              </w:rPr>
              <w:t xml:space="preserve">支持在超融合管理界面，通过界面化方式修改虚拟机 IP 地址、子网掩码、网关，支持界面化重置 NTP 服务器、重置指定账户的密码；（提供</w:t>
            </w:r>
            <w:r>
              <w:rPr>
                <w:rFonts w:hint="eastAsia"/>
                <w:sz w:val="24"/>
                <w:szCs w:val="24"/>
                <w:lang w:val="en-US" w:eastAsia="zh-CN"/>
              </w:rPr>
              <w:t xml:space="preserve">具备</w:t>
            </w:r>
            <w:r>
              <w:rPr>
                <w:rFonts w:hint="eastAsia"/>
                <w:sz w:val="24"/>
                <w:szCs w:val="24"/>
              </w:rPr>
              <w:t xml:space="preserve">CMA</w:t>
            </w:r>
            <w:r>
              <w:rPr>
                <w:rFonts w:hint="eastAsia"/>
                <w:sz w:val="24"/>
                <w:szCs w:val="24"/>
                <w:lang w:val="en-US" w:eastAsia="zh-CN"/>
              </w:rPr>
              <w:t xml:space="preserve">检测资质的第三方机构出具的检测报告</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数据本地化</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支持虚拟机基于副本的数据本地化的功能，虚拟机读取数据只在本地完成，虚拟机发生迁移后，数据副本可在新目标主机重新形成本地化</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分布式存储</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支持分布式存储功能，池化集群内服务器中的本地硬盘；</w:t>
            </w:r>
            <w:r/>
          </w:p>
        </w:tc>
      </w:tr>
      <w:tr>
        <w:trPr/>
        <w:tc>
          <w:tcPr>
            <w:tcW w:w="1904" w:type="dxa"/>
            <w:vAlign w:val="center"/>
            <w:textDirection w:val="lrTb"/>
            <w:noWrap w:val="false"/>
          </w:tcPr>
          <w:p>
            <w:pPr>
              <w:jc w:val="center"/>
              <w:rPr>
                <w:sz w:val="24"/>
                <w:szCs w:val="24"/>
              </w:rPr>
            </w:pPr>
            <w:r>
              <w:rPr>
                <w:rFonts w:hint="eastAsia"/>
                <w:sz w:val="24"/>
                <w:szCs w:val="24"/>
              </w:rPr>
              <w:t xml:space="preserve">置备模式</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支持虚拟卷的精简置备模式和厚置备模式设置功能；</w:t>
            </w:r>
            <w:r/>
          </w:p>
        </w:tc>
      </w:tr>
      <w:tr>
        <w:trPr/>
        <w:tc>
          <w:tcPr>
            <w:tcW w:w="1904" w:type="dxa"/>
            <w:vAlign w:val="center"/>
            <w:textDirection w:val="lrTb"/>
            <w:noWrap w:val="false"/>
          </w:tcPr>
          <w:p>
            <w:pPr>
              <w:jc w:val="center"/>
              <w:rPr>
                <w:sz w:val="24"/>
                <w:szCs w:val="24"/>
              </w:rPr>
            </w:pPr>
            <w:r>
              <w:rPr>
                <w:rFonts w:hint="eastAsia"/>
                <w:sz w:val="24"/>
                <w:szCs w:val="24"/>
              </w:rPr>
              <w:t xml:space="preserve">常驻缓存</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hint="eastAsia"/>
                <w:sz w:val="24"/>
                <w:szCs w:val="24"/>
              </w:rPr>
              <w:t xml:space="preserve">支持界面一键启用常驻缓存的功能，</w:t>
            </w:r>
            <w:r>
              <w:rPr>
                <w:rFonts w:ascii="宋体" w:hAnsi="宋体" w:cs="宋体"/>
                <w:color w:val="000000"/>
                <w:sz w:val="24"/>
                <w:szCs w:val="24"/>
                <w:lang w:bidi="ar"/>
              </w:rPr>
              <w:t xml:space="preserve">启用该功能后虚拟磁盘的数据可一直保留在缓存（高速硬盘）中，不会被交换至低速硬盘</w:t>
            </w:r>
            <w:r>
              <w:rPr>
                <w:rFonts w:hint="eastAsia" w:ascii="宋体" w:hAnsi="宋体" w:cs="宋体"/>
                <w:color w:val="000000"/>
                <w:sz w:val="24"/>
                <w:szCs w:val="24"/>
                <w:lang w:bidi="ar"/>
              </w:rPr>
              <w:t xml:space="preserve">，保障核心业务的性能要求</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SSD故障影响</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考虑平台运行稳定性，产品需支持在单个SSD故障的场景下，不会导致HDD硬盘的连带掉线，集群存储容量不减少，并立刻触发自动数据恢复（承诺交付阶段提供测试验证</w:t>
            </w:r>
            <w:r>
              <w:rPr>
                <w:rFonts w:hint="eastAsia"/>
                <w:sz w:val="24"/>
                <w:szCs w:val="24"/>
                <w:lang w:eastAsia="zh-CN"/>
              </w:rPr>
              <w:t xml:space="preserve">，</w:t>
            </w:r>
            <w:r>
              <w:rPr>
                <w:rFonts w:hint="eastAsia"/>
                <w:sz w:val="24"/>
                <w:szCs w:val="24"/>
                <w:lang w:val="en-US" w:eastAsia="zh-CN"/>
              </w:rPr>
              <w:t xml:space="preserve">扫描上传</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存储策略</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cs="宋体"/>
                <w:sz w:val="24"/>
                <w:szCs w:val="24"/>
              </w:rPr>
              <w:t xml:space="preserve">★</w:t>
            </w:r>
            <w:r>
              <w:rPr>
                <w:rFonts w:hint="eastAsia"/>
                <w:sz w:val="24"/>
                <w:szCs w:val="24"/>
              </w:rPr>
              <w:t xml:space="preserve">需同时支持副本和 EC 两种数据冗余机制，提升空间利用率和灵活性。支持单一集群内，虚拟机的多个虚拟磁盘可对应不同存储策略（2副本、3副本和EC），从而满足不同类型数据的需求，在保证数据可靠性的同时提高存储空间的利用效率。</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机架级别高可用</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sz w:val="24"/>
                <w:szCs w:val="24"/>
              </w:rPr>
              <w:t xml:space="preserve">机架级别高可用：</w:t>
            </w:r>
            <w:r>
              <w:rPr>
                <w:rFonts w:ascii="宋体" w:hAnsi="宋体" w:cs="宋体"/>
                <w:color w:val="000000"/>
                <w:sz w:val="24"/>
                <w:szCs w:val="24"/>
                <w:lang w:bidi="ar"/>
              </w:rPr>
              <w:t xml:space="preserve">支持机架级别故障域隔离的功能，能在图形界面动态调整机架拓扑，实现副本的重新分布</w:t>
            </w:r>
            <w:r>
              <w:rPr>
                <w:rFonts w:hint="eastAsia" w:ascii="宋体" w:hAnsi="宋体" w:cs="宋体"/>
                <w:color w:val="000000"/>
                <w:sz w:val="24"/>
                <w:szCs w:val="24"/>
                <w:lang w:bidi="ar"/>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在线提升副本数量</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支持在线提升虚拟机的副本数量，提升过程中虚拟机不需要重启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虚拟机隔离</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支持虚拟机隔离能力，在安全事件场景中可对虚拟机进行紧急隔离，考虑安全事件的应急处理和后续排查，隔离能力应支持完全隔离和诊断隔离；（提供产品界面截图并盖公章）</w:t>
            </w:r>
            <w:r/>
          </w:p>
        </w:tc>
      </w:tr>
      <w:tr>
        <w:trPr/>
        <w:tc>
          <w:tcPr>
            <w:tcW w:w="1904" w:type="dxa"/>
            <w:vAlign w:val="center"/>
            <w:textDirection w:val="lrTb"/>
            <w:noWrap w:val="false"/>
          </w:tcPr>
          <w:p>
            <w:pPr>
              <w:jc w:val="center"/>
              <w:rPr>
                <w:sz w:val="24"/>
                <w:szCs w:val="24"/>
              </w:rPr>
            </w:pPr>
            <w:r>
              <w:rPr>
                <w:rFonts w:hint="eastAsia"/>
                <w:sz w:val="24"/>
                <w:szCs w:val="24"/>
              </w:rPr>
              <w:t xml:space="preserve">虚拟机安全策略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支持虚拟机安全策略配置，支持以虚拟机标签、虚拟机安全组、IP地址为对象进行安全策略设计，并可显示安全策略命中情况；</w:t>
            </w:r>
            <w:r/>
          </w:p>
        </w:tc>
      </w:tr>
      <w:tr>
        <w:trPr/>
        <w:tc>
          <w:tcPr>
            <w:tcW w:w="1904" w:type="dxa"/>
            <w:vAlign w:val="center"/>
            <w:textDirection w:val="lrTb"/>
            <w:noWrap w:val="false"/>
          </w:tcPr>
          <w:p>
            <w:pPr>
              <w:jc w:val="center"/>
              <w:rPr>
                <w:sz w:val="24"/>
                <w:szCs w:val="24"/>
              </w:rPr>
            </w:pPr>
            <w:r>
              <w:rPr>
                <w:rFonts w:hint="eastAsia"/>
                <w:sz w:val="24"/>
                <w:szCs w:val="24"/>
              </w:rPr>
              <w:t xml:space="preserve">流量可视化</w:t>
            </w:r>
            <w:r/>
          </w:p>
        </w:tc>
        <w:tc>
          <w:tcPr>
            <w:shd w:val="clear" w:color="auto" w:fill="auto"/>
            <w:tcW w:w="7754" w:type="dxa"/>
            <w:vAlign w:val="center"/>
            <w:textDirection w:val="lrTb"/>
            <w:noWrap w:val="false"/>
          </w:tcPr>
          <w:p>
            <w:pPr>
              <w:jc w:val="left"/>
              <w:rPr>
                <w:rFonts w:hint="eastAsia" w:ascii="Times New Roman" w:hAnsi="Times New Roman" w:eastAsia="宋体" w:cs="Times New Roman"/>
                <w:sz w:val="24"/>
                <w:szCs w:val="24"/>
              </w:rPr>
            </w:pPr>
            <w:r>
              <w:rPr>
                <w:rFonts w:hint="eastAsia" w:ascii="Times New Roman" w:hAnsi="Times New Roman" w:cs="Times New Roman"/>
                <w:sz w:val="24"/>
                <w:szCs w:val="24"/>
              </w:rPr>
              <w:t xml:space="preserve">★</w:t>
            </w:r>
            <w:r>
              <w:rPr>
                <w:rFonts w:hint="eastAsia"/>
                <w:sz w:val="24"/>
                <w:szCs w:val="24"/>
              </w:rPr>
              <w:t xml:space="preserve">支持流量可视化能力，通过箭头颜色、粗细直观展示虚拟机流量情况；（提供</w:t>
            </w:r>
            <w:r>
              <w:rPr>
                <w:rFonts w:hint="eastAsia"/>
                <w:sz w:val="24"/>
                <w:szCs w:val="24"/>
                <w:lang w:val="en-US" w:eastAsia="zh-CN"/>
              </w:rPr>
              <w:t xml:space="preserve">产品软件功能截图</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策略联动</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支持分布式防火墙与流量可视化的策略联动，为防止安全策略错配误配导致影响业务正常运行，未启用的安全策略可通过流量可视化直观查看策略影响；</w:t>
            </w:r>
            <w:r/>
          </w:p>
        </w:tc>
      </w:tr>
      <w:tr>
        <w:trPr/>
        <w:tc>
          <w:tcPr>
            <w:tcW w:w="1904" w:type="dxa"/>
            <w:vAlign w:val="center"/>
            <w:textDirection w:val="lrTb"/>
            <w:noWrap w:val="false"/>
          </w:tcPr>
          <w:p>
            <w:pPr>
              <w:jc w:val="center"/>
              <w:rPr>
                <w:sz w:val="24"/>
                <w:szCs w:val="24"/>
              </w:rPr>
            </w:pPr>
            <w:r>
              <w:rPr>
                <w:rFonts w:hint="eastAsia"/>
                <w:sz w:val="24"/>
                <w:szCs w:val="24"/>
              </w:rPr>
              <w:t xml:space="preserve">集群热升级</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sz w:val="24"/>
                <w:szCs w:val="24"/>
              </w:rPr>
              <w:t xml:space="preserve">集群支持滚动热升级的能力，升级过程不会造成主机重启、业务中断且无需迁移虚拟机</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访问控制策略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支持设置细粒度访问控制策略功能，如角色、用户、虚拟机等权限设置</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亲和性与反亲和性</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w:t>
            </w:r>
            <w:r>
              <w:rPr>
                <w:rFonts w:hint="eastAsia"/>
                <w:sz w:val="24"/>
                <w:szCs w:val="24"/>
              </w:rPr>
              <w:t xml:space="preserve">根据业务特性设计</w:t>
            </w:r>
            <w:r>
              <w:rPr>
                <w:sz w:val="24"/>
                <w:szCs w:val="24"/>
              </w:rPr>
              <w:t xml:space="preserve">虚拟机亲和性和反亲和</w:t>
            </w:r>
            <w:r>
              <w:rPr>
                <w:rFonts w:hint="eastAsia"/>
                <w:sz w:val="24"/>
                <w:szCs w:val="24"/>
              </w:rPr>
              <w:t xml:space="preserve">性，如设置某台虚拟机必须运行在某台服务器、设置数据库的多个实例优先运行在不同服务器；</w:t>
            </w:r>
            <w:r/>
          </w:p>
        </w:tc>
      </w:tr>
      <w:tr>
        <w:trPr/>
        <w:tc>
          <w:tcPr>
            <w:tcW w:w="1904" w:type="dxa"/>
            <w:vAlign w:val="center"/>
            <w:textDirection w:val="lrTb"/>
            <w:noWrap w:val="false"/>
          </w:tcPr>
          <w:p>
            <w:pPr>
              <w:jc w:val="center"/>
              <w:rPr>
                <w:sz w:val="24"/>
                <w:szCs w:val="24"/>
              </w:rPr>
            </w:pPr>
            <w:r>
              <w:rPr>
                <w:rFonts w:hint="eastAsia"/>
                <w:sz w:val="24"/>
                <w:szCs w:val="24"/>
              </w:rPr>
              <w:t xml:space="preserve">资源优化</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支持虚拟机资源优化的功能，能对集群内</w:t>
            </w:r>
            <w:r>
              <w:rPr>
                <w:rFonts w:hint="eastAsia" w:ascii="宋体" w:hAnsi="宋体" w:cs="宋体"/>
                <w:color w:val="000000"/>
                <w:sz w:val="24"/>
                <w:szCs w:val="24"/>
                <w:lang w:bidi="ar"/>
              </w:rPr>
              <w:t xml:space="preserve">长期关机</w:t>
            </w:r>
            <w:r>
              <w:rPr>
                <w:rFonts w:ascii="宋体" w:hAnsi="宋体" w:cs="宋体"/>
                <w:color w:val="000000"/>
                <w:sz w:val="24"/>
                <w:szCs w:val="24"/>
                <w:lang w:bidi="ar"/>
              </w:rPr>
              <w:t xml:space="preserve">虚拟机进行筛选和识别，并能够导出虚拟机列表信息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VMware迁移工具</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提供不限制数量的VMware迁移工具，支持对VMware虚拟机在无代理的情况下进行业务的在线迁移，数据迁移中无需中断业务，降低迁移对业务的影响；</w:t>
            </w:r>
            <w:r/>
          </w:p>
        </w:tc>
      </w:tr>
    </w:tbl>
    <w:p>
      <w:pPr>
        <w:pStyle w:val="850"/>
        <w:ind w:left="0"/>
        <w:rPr>
          <w:b/>
          <w:bCs/>
          <w:sz w:val="24"/>
          <w:szCs w:val="24"/>
        </w:rPr>
      </w:pPr>
      <w:r>
        <w:rPr>
          <w:b/>
          <w:bCs/>
          <w:sz w:val="24"/>
          <w:szCs w:val="24"/>
        </w:rPr>
      </w:r>
      <w:r/>
    </w:p>
    <w:p>
      <w:pPr>
        <w:rPr>
          <w:rFonts w:hint="eastAsia"/>
          <w:b/>
          <w:bCs/>
          <w:sz w:val="24"/>
          <w:szCs w:val="24"/>
        </w:rPr>
        <w:outlineLvl w:val="1"/>
      </w:pPr>
      <w:r>
        <w:rPr>
          <w:rFonts w:hint="eastAsia"/>
          <w:b/>
          <w:bCs/>
          <w:sz w:val="24"/>
          <w:szCs w:val="24"/>
        </w:rPr>
      </w:r>
      <w:r/>
    </w:p>
    <w:p>
      <w:pPr>
        <w:rPr>
          <w:rFonts w:hint="eastAsia"/>
          <w:bCs/>
          <w:iCs/>
          <w:sz w:val="24"/>
          <w:szCs w:val="24"/>
          <w:lang w:eastAsia="zh-CN"/>
        </w:rPr>
        <w:outlineLvl w:val="1"/>
      </w:pPr>
      <w:r>
        <w:rPr>
          <w:rFonts w:hint="eastAsia"/>
          <w:b/>
          <w:bCs/>
          <w:sz w:val="24"/>
          <w:szCs w:val="24"/>
        </w:rPr>
        <w:t xml:space="preserve">四、人员要求</w:t>
      </w:r>
      <w:r/>
    </w:p>
    <w:p>
      <w:pPr>
        <w:ind w:firstLine="480"/>
        <w:jc w:val="left"/>
        <w:spacing w:before="120" w:after="120" w:line="400" w:lineRule="exact"/>
        <w:rPr>
          <w:rFonts w:hint="eastAsia" w:ascii="宋体" w:hAnsi="宋体"/>
          <w:bCs w:val="0"/>
          <w:iCs w:val="0"/>
          <w:color w:val="000000"/>
          <w:sz w:val="24"/>
          <w:szCs w:val="24"/>
          <w:lang w:eastAsia="zh-CN"/>
        </w:rPr>
      </w:pPr>
      <w:r>
        <w:rPr>
          <w:rFonts w:hint="eastAsia" w:ascii="宋体" w:hAnsi="宋体"/>
          <w:bCs w:val="0"/>
          <w:iCs w:val="0"/>
          <w:color w:val="000000"/>
          <w:sz w:val="24"/>
          <w:szCs w:val="24"/>
          <w:lang w:eastAsia="zh-CN"/>
        </w:rPr>
        <w:t xml:space="preserve">中标人在提供所投设备的同时必须提供对于本次招标软硬件的系统安装、数据迁移服务。中标人负责软硬件安装调试，应具备实施本次项目相应的技术能力，充分了解采购人现状和业务需求，需针对本项目提供详细的项目计划与进度。</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eastAsia="zh-CN"/>
        </w:rPr>
        <w:t xml:space="preserve">投标人为本项目配备1名项目经理，</w:t>
      </w:r>
      <w:r>
        <w:rPr>
          <w:rFonts w:hint="eastAsia" w:ascii="宋体" w:hAnsi="宋体"/>
          <w:bCs w:val="0"/>
          <w:iCs w:val="0"/>
          <w:color w:val="000000"/>
          <w:sz w:val="24"/>
          <w:szCs w:val="24"/>
          <w:lang w:val="en-US" w:eastAsia="zh-CN"/>
        </w:rPr>
        <w:t xml:space="preserve">该项目经理应具备</w:t>
      </w:r>
      <w:r>
        <w:rPr>
          <w:rFonts w:hint="eastAsia" w:ascii="宋体" w:hAnsi="宋体"/>
          <w:bCs w:val="0"/>
          <w:iCs w:val="0"/>
          <w:color w:val="000000"/>
          <w:sz w:val="24"/>
          <w:szCs w:val="24"/>
          <w:lang w:eastAsia="zh-CN"/>
        </w:rPr>
        <w:t xml:space="preserve">信息系统项目管理师证书 </w:t>
      </w:r>
      <w:r>
        <w:rPr>
          <w:rFonts w:hint="eastAsia" w:ascii="宋体" w:hAnsi="宋体"/>
          <w:bCs w:val="0"/>
          <w:iCs w:val="0"/>
          <w:color w:val="000000"/>
          <w:sz w:val="24"/>
          <w:szCs w:val="24"/>
          <w:lang w:val="en-US" w:eastAsia="zh-CN"/>
        </w:rPr>
        <w:t xml:space="preserve">和</w:t>
      </w:r>
      <w:r>
        <w:rPr>
          <w:rFonts w:hint="eastAsia" w:ascii="宋体" w:hAnsi="宋体"/>
          <w:bCs w:val="0"/>
          <w:iCs w:val="0"/>
          <w:color w:val="000000"/>
          <w:sz w:val="24"/>
          <w:szCs w:val="24"/>
          <w:lang w:eastAsia="zh-CN"/>
        </w:rPr>
        <w:t xml:space="preserve">信息安全保障人员认证证书。</w:t>
      </w:r>
      <w:r/>
    </w:p>
    <w:p>
      <w:pPr>
        <w:numPr>
          <w:ilvl w:val="0"/>
          <w:numId w:val="12"/>
        </w:num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实施要求</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安装</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.1供应商须在安装前完成环境健康预检，包括现有集群兼容性、网络连通性及硬件状态。存在可能影响扩容的严重告警时，不得开展后续安装工作。</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.2安装过程须支持在线扩容，确保业务不中断。新节点上架、布线、加电后，供应商须按步骤完成节点加入、磁盘认领、存储池扩展及数据重平衡。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.3数据重平衡操作仅允许在业务低峰期（如每日22:00至次日06:00）执行，且须配置限速策略，避免影响生产业务。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.4安装完成后，供应商须交付《安装实施手册》，并配合采购人确认新节点状态正常、存储容量准确、原有策略继承无误。</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测试</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供应商中标后拟定并向用户提交核心产品测试计划、测试内容和方法及测试报告。测试内容包含但不限于以下内容：</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.1功能测试：验证新节点在线状态、存储池容量增加、虚拟机/存储卷的创建、删除、迁移、快照等功能正常，且与原有集群功能一致。</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.2性能测试：使用标准工具（如vdbench、fio或原厂性能工具）在混合读写场景下进行测试，提供详细的测试数据。</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.3稳定性测试：扩容完成后，系统需连续稳定运行7天，期间无重大告警。供应商须配合采购人至少完成一次模拟单节点掉电或单磁盘拔出的故障演练，验证高可用自动恢复机制有效。</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验收</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.1设备到货后，采购人与中标人共同配合有关部门对所有设备进行开箱检查，出现损坏、数量不全或产品不对等问题时，由中标人负责解决。</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.2项目验收时所有产品的最终用户名称需通过原厂电话或官网进行查证，所有产品的最终归属权必须是“扬州市工业职业技术学院”，否则合同取消。</w:t>
      </w:r>
      <w:r/>
    </w:p>
    <w:p>
      <w:pPr>
        <w:ind w:firstLine="480"/>
        <w:jc w:val="left"/>
        <w:spacing w:before="120" w:after="120" w:line="400" w:lineRule="exact"/>
        <w:rPr>
          <w:rFonts w:hint="eastAsia" w:ascii="宋体" w:hAnsi="宋体" w:cs="Times New Roman"/>
          <w:color w:val="000000"/>
          <w:sz w:val="24"/>
          <w:szCs w:val="24"/>
          <w:lang w:bidi="ar"/>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.3设备安装完成，由中标人制定测试方案并经采购人确认后，对产品的性能和配置进行测试验收，并形成测试验收报告。如验收中出现不符合采购文件和合同要求的严重质量问题时，采购人保留索赔权利。</w:t>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六、应急响应要求</w:t>
      </w:r>
      <w:r/>
    </w:p>
    <w:p>
      <w:pPr>
        <w:ind w:firstLine="480"/>
        <w:spacing w:line="360" w:lineRule="auto"/>
        <w:rPr>
          <w:rFonts w:hint="eastAsia"/>
          <w:bCs/>
          <w:iCs/>
          <w:sz w:val="24"/>
          <w:szCs w:val="24"/>
        </w:rPr>
      </w:pPr>
      <w:r>
        <w:rPr>
          <w:rFonts w:hint="eastAsia"/>
          <w:bCs/>
          <w:iCs/>
          <w:sz w:val="24"/>
          <w:szCs w:val="24"/>
        </w:rPr>
        <w:t xml:space="preserve">1、应急处置：投标人需承诺一般故障半小时内响应并恢复设备，如不能在规定时间内排除故障，必须提供同等型号或以上的备用机供我校免费顶替使用。</w:t>
      </w:r>
      <w:r/>
    </w:p>
    <w:p>
      <w:pPr>
        <w:ind w:firstLine="480"/>
        <w:spacing w:line="360" w:lineRule="auto"/>
        <w:rPr>
          <w:sz w:val="24"/>
          <w:szCs w:val="24"/>
        </w:rPr>
      </w:pPr>
      <w:r>
        <w:rPr>
          <w:rFonts w:hint="eastAsia"/>
          <w:bCs/>
          <w:iCs/>
          <w:sz w:val="24"/>
          <w:szCs w:val="24"/>
        </w:rPr>
        <w:t xml:space="preserve">2、人员安排：为了保证我校超融合集群正常工作，需安排专业售后服务人员对软件的故障处理进行及时响应，响应时间不超过半小时。</w:t>
      </w:r>
      <w:r/>
    </w:p>
    <w:p>
      <w:pPr>
        <w:pStyle w:val="850"/>
        <w:ind w:left="0"/>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七、培训要求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供应商须提供培训计划，为采购人使用人员提供免费培训。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培训内容：对超融合、分布式存储等相关设备操作方面开展培训，组织运维人员进行操作培训，使他们熟悉所有提供设备的操作界面和操作流程，能够高效地完成日常工作任务。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培训方式</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培训可以采用集中授课、现场演示、实际操作等方式进行，确保采购人能够真正掌握所有硬件系统的使用方法和技巧。</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培训流程</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培训日程安排：参加培训人员、培训地点由采购人组织协调，供应商负责配合提出培训计划、准备培训内容等工作</w:t>
      </w:r>
      <w:r/>
    </w:p>
    <w:p>
      <w:pPr>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八、售后服务要求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系统服务时间承诺：供应商应根据不同情况设定不同的故障级别，并就不同故障级别提出对应的故障响应方案。在维护期内要求供应商提供7×24 小时不间断的技术支持响应。</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lang w:val="en-US" w:eastAsia="zh-CN"/>
        </w:rPr>
        <w:t xml:space="preserve">硬件质保运维期</w:t>
      </w:r>
      <w:r>
        <w:rPr>
          <w:rFonts w:hint="eastAsia" w:ascii="宋体" w:hAnsi="宋体"/>
          <w:bCs w:val="0"/>
          <w:iCs w:val="0"/>
          <w:color w:val="000000"/>
          <w:sz w:val="24"/>
          <w:szCs w:val="24"/>
        </w:rPr>
        <w:t xml:space="preserve">：</w:t>
      </w:r>
      <w:r>
        <w:rPr>
          <w:rFonts w:hint="eastAsia" w:ascii="宋体" w:hAnsi="宋体" w:eastAsia="宋体" w:cs="Times New Roman"/>
          <w:bCs w:val="0"/>
          <w:iCs w:val="0"/>
          <w:color w:val="000000"/>
          <w:sz w:val="24"/>
          <w:szCs w:val="24"/>
        </w:rPr>
        <w:t xml:space="preserve">本项目所有服务器硬件整机提供3年 7×24 小时原厂标准质保服务，质保起始时间自设备到货验收合格签署验收单当日起计算，质保期内全程免费硬件更换、备件供应、原厂技术支持，不含人为损坏、外力损毁、私自拆机造成故障。</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eastAsia="宋体" w:cs="Times New Roman"/>
          <w:bCs w:val="0"/>
          <w:iCs w:val="0"/>
          <w:color w:val="000000"/>
          <w:sz w:val="24"/>
          <w:szCs w:val="24"/>
        </w:rPr>
        <w:t xml:space="preserve">质保期内服务约定</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1.</w:t>
      </w:r>
      <w:r>
        <w:rPr>
          <w:rFonts w:hint="eastAsia" w:ascii="宋体" w:hAnsi="宋体" w:eastAsia="宋体" w:cs="Times New Roman"/>
          <w:bCs w:val="0"/>
          <w:iCs w:val="0"/>
          <w:color w:val="000000"/>
          <w:sz w:val="24"/>
          <w:szCs w:val="24"/>
        </w:rPr>
        <w:t xml:space="preserve">一般硬件告警、轻微故障：7×24 小时远程在线协助排查、驱动固件调试、系统优化</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2.</w:t>
      </w:r>
      <w:r>
        <w:rPr>
          <w:rFonts w:hint="eastAsia" w:ascii="宋体" w:hAnsi="宋体" w:eastAsia="宋体" w:cs="Times New Roman"/>
          <w:bCs w:val="0"/>
          <w:iCs w:val="0"/>
          <w:color w:val="000000"/>
          <w:sz w:val="24"/>
          <w:szCs w:val="24"/>
        </w:rPr>
        <w:t xml:space="preserve">硬件故障需更换备件：远程无法修复后，原厂工程师 4 小时内抵达现场开展硬件拆机更换、整机检修</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3.</w:t>
      </w:r>
      <w:r>
        <w:rPr>
          <w:rFonts w:hint="eastAsia" w:ascii="宋体" w:hAnsi="宋体" w:eastAsia="宋体" w:cs="Times New Roman"/>
          <w:bCs w:val="0"/>
          <w:iCs w:val="0"/>
          <w:color w:val="000000"/>
          <w:sz w:val="24"/>
          <w:szCs w:val="24"/>
        </w:rPr>
        <w:t xml:space="preserve">重大硬件宕机、集群瘫痪故障：即刻启动应急响应，远程同步排查 + 工程师极速到场抢修，同步提供临时备件替代方案，保障业务不中断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软件升级期：</w:t>
      </w:r>
      <w:r>
        <w:rPr>
          <w:rFonts w:hint="eastAsia" w:ascii="宋体" w:hAnsi="宋体" w:eastAsia="宋体" w:cs="Times New Roman"/>
          <w:bCs w:val="0"/>
          <w:iCs w:val="0"/>
          <w:color w:val="000000"/>
          <w:sz w:val="24"/>
          <w:szCs w:val="24"/>
          <w:lang w:val="en-US" w:eastAsia="zh-CN"/>
        </w:rPr>
        <w:t xml:space="preserve">质保</w:t>
      </w:r>
      <w:r>
        <w:rPr>
          <w:rFonts w:hint="eastAsia" w:ascii="宋体" w:hAnsi="宋体" w:eastAsia="宋体" w:cs="Times New Roman"/>
          <w:bCs w:val="0"/>
          <w:iCs w:val="0"/>
          <w:color w:val="000000"/>
          <w:sz w:val="24"/>
          <w:szCs w:val="24"/>
        </w:rPr>
        <w:t xml:space="preserve">服务期内提供免费配套软件版本迭代、补丁推送、漏洞修复升级；优先远程在线一键升级，小规模变更远程实施，重大版本升级提前报备、到场配合部署，全程保障系统稳定运行</w:t>
      </w:r>
      <w:r>
        <w:rPr>
          <w:rFonts w:hint="eastAsia" w:ascii="宋体" w:hAnsi="宋体"/>
          <w:bCs w:val="0"/>
          <w:iCs w:val="0"/>
          <w:color w:val="000000"/>
          <w:sz w:val="24"/>
          <w:szCs w:val="24"/>
        </w:rPr>
        <w:t xml:space="preserve">。</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设备运行期间，供应商应向，采购人提供设备维护和管理文档。</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中标后，投标人须提供原厂针对本项目产品售后服务承诺函原件。</w:t>
      </w:r>
      <w:r/>
    </w:p>
    <w:p>
      <w:pPr>
        <w:rPr>
          <w:rFonts w:ascii="宋体" w:hAnsi="宋体" w:cs="宋体"/>
          <w:b/>
          <w:sz w:val="24"/>
          <w:szCs w:val="24"/>
        </w:rPr>
      </w:pPr>
      <w:r>
        <w:rPr>
          <w:rFonts w:ascii="宋体" w:hAnsi="宋体" w:cs="宋体"/>
          <w:b/>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jc w:val="both"/>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left"/>
        <w:spacing w:before="0" w:after="0"/>
        <w:rPr>
          <w:rFonts w:ascii="黑体" w:hAnsi="黑体" w:eastAsia="黑体" w:cs="黑体"/>
          <w:color w:val="000000"/>
          <w:sz w:val="44"/>
        </w:rPr>
        <w:pBdr>
          <w:top w:val="none" w:color="auto" w:sz="0" w:space="0"/>
          <w:left w:val="none" w:color="auto" w:sz="0" w:space="0"/>
          <w:bottom w:val="none" w:color="auto" w:sz="0" w:space="0"/>
          <w:right w:val="none" w:color="auto" w:sz="0" w:space="0"/>
        </w:pBdr>
      </w:pPr>
      <w:r>
        <w:rPr>
          <w:rFonts w:ascii="黑体" w:hAnsi="黑体" w:eastAsia="黑体" w:cs="黑体"/>
          <w:color w:val="000000"/>
          <w:sz w:val="44"/>
        </w:rPr>
        <w:br w:type="page" w:clear="all"/>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71"/>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771"/>
        <w:tblW w:w="778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6432"/>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6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7、采购本国产品的支持政策</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7.3 供应商需按照招标文件的要求提供《关于符合本国产品标准的声明函》（以下简称《声明函》），如不提供将不享受本国产品价格评审优惠。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20" w:after="12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00" w:lineRule="exact"/>
        <w:rPr>
          <w:rFonts w:ascii="宋体" w:hAnsi="宋体"/>
          <w:color w:val="000000"/>
          <w:sz w:val="24"/>
          <w:szCs w:val="24"/>
        </w:rPr>
      </w:pPr>
      <w:r>
        <w:rPr>
          <w:rFonts w:ascii="宋体" w:hAnsi="宋体"/>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71"/>
        <w:tblW w:w="9519" w:type="dxa"/>
        <w:tblInd w:w="113" w:type="dxa"/>
        <w:tblLayout w:type="fixed"/>
        <w:tblCellMar>
          <w:left w:w="108" w:type="dxa"/>
          <w:top w:w="0" w:type="dxa"/>
          <w:right w:w="108" w:type="dxa"/>
          <w:bottom w:w="0" w:type="dxa"/>
        </w:tblCellMar>
        <w:tblLook w:val="04A0" w:firstRow="1" w:lastRow="0" w:firstColumn="1" w:lastColumn="0" w:noHBand="0" w:noVBand="1"/>
      </w:tblPr>
      <w:tblGrid>
        <w:gridCol w:w="1466"/>
        <w:gridCol w:w="8053"/>
      </w:tblGrid>
      <w:tr>
        <w:trPr>
          <w:trHeight w:val="264"/>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ind w:firstLine="240"/>
              <w:jc w:val="center"/>
              <w:spacing w:line="360" w:lineRule="auto"/>
              <w:rPr>
                <w:rFonts w:hint="eastAsia"/>
                <w:bCs/>
                <w:iCs/>
                <w:sz w:val="24"/>
                <w:szCs w:val="24"/>
              </w:rPr>
            </w:pPr>
            <w:r>
              <w:rPr>
                <w:rFonts w:hint="eastAsia"/>
                <w:bCs/>
                <w:iCs/>
                <w:sz w:val="24"/>
                <w:szCs w:val="24"/>
              </w:rPr>
              <w:t xml:space="preserve">评分项</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firstLine="2942"/>
              <w:jc w:val="both"/>
              <w:spacing w:line="360" w:lineRule="auto"/>
              <w:rPr>
                <w:rFonts w:hint="eastAsia"/>
                <w:bCs/>
                <w:iCs/>
                <w:sz w:val="24"/>
                <w:szCs w:val="24"/>
              </w:rPr>
            </w:pPr>
            <w:r>
              <w:rPr>
                <w:rFonts w:hint="eastAsia"/>
                <w:bCs/>
                <w:iCs/>
                <w:sz w:val="24"/>
                <w:szCs w:val="24"/>
              </w:rPr>
              <w:t xml:space="preserve">评分标准</w:t>
            </w:r>
            <w:r/>
          </w:p>
        </w:tc>
      </w:tr>
      <w:tr>
        <w:trPr>
          <w:trHeight w:val="106"/>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报价</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40</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right="0"/>
              <w:jc w:val="left"/>
              <w:spacing w:before="120" w:after="120"/>
              <w:rPr>
                <w:rFonts w:hint="eastAsia"/>
                <w:bCs/>
                <w:i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以满足招标文件要求的最低投标报价为评标基准价，得满分</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分，其他投标报价得分=(评标基准价／其他投标报价)×</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×100%。</w:t>
            </w:r>
            <w:r/>
          </w:p>
        </w:tc>
      </w:tr>
      <w:tr>
        <w:trPr>
          <w:trHeight w:val="793"/>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项目技术响应</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27</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带“★”号（共</w:t>
            </w:r>
            <w:r>
              <w:rPr>
                <w:rFonts w:hint="eastAsia"/>
                <w:bCs/>
                <w:iCs/>
                <w:sz w:val="24"/>
                <w:szCs w:val="24"/>
                <w:lang w:val="en-US" w:eastAsia="zh-CN"/>
              </w:rPr>
              <w:t xml:space="preserve">9</w:t>
            </w:r>
            <w:r>
              <w:rPr>
                <w:rFonts w:hint="eastAsia"/>
                <w:bCs/>
                <w:iCs/>
                <w:sz w:val="24"/>
                <w:szCs w:val="24"/>
              </w:rPr>
              <w:t xml:space="preserve">个）项指标参数为重要参数，每提供1项重要参数的证明材料，得3分，总分</w:t>
            </w:r>
            <w:r>
              <w:rPr>
                <w:rFonts w:hint="eastAsia"/>
                <w:bCs/>
                <w:iCs/>
                <w:sz w:val="24"/>
                <w:szCs w:val="24"/>
                <w:lang w:val="en-US" w:eastAsia="zh-CN"/>
              </w:rPr>
              <w:t xml:space="preserve">27</w:t>
            </w:r>
            <w:r>
              <w:rPr>
                <w:rFonts w:hint="eastAsia"/>
                <w:bCs/>
                <w:iCs/>
                <w:sz w:val="24"/>
                <w:szCs w:val="24"/>
              </w:rPr>
              <w:t xml:space="preserve">分，不提供不得分。</w:t>
            </w:r>
            <w:r/>
          </w:p>
          <w:p>
            <w:pPr>
              <w:jc w:val="left"/>
              <w:spacing w:line="360" w:lineRule="auto"/>
              <w:rPr>
                <w:rFonts w:hint="eastAsia"/>
                <w:bCs/>
                <w:iCs/>
                <w:sz w:val="24"/>
                <w:szCs w:val="24"/>
              </w:rPr>
            </w:pPr>
            <w:r>
              <w:rPr>
                <w:rFonts w:hint="eastAsia"/>
                <w:bCs/>
                <w:iCs/>
                <w:sz w:val="24"/>
                <w:szCs w:val="24"/>
              </w:rPr>
              <w:t xml:space="preserve">注：需</w:t>
            </w:r>
            <w:r>
              <w:rPr>
                <w:rFonts w:hint="eastAsia"/>
                <w:bCs/>
                <w:iCs/>
                <w:sz w:val="24"/>
                <w:szCs w:val="24"/>
                <w:lang w:val="en-US" w:eastAsia="zh-CN"/>
              </w:rPr>
              <w:t xml:space="preserve">按要求</w:t>
            </w:r>
            <w:r>
              <w:rPr>
                <w:rFonts w:hint="eastAsia"/>
                <w:bCs/>
                <w:iCs/>
                <w:sz w:val="24"/>
                <w:szCs w:val="24"/>
              </w:rPr>
              <w:t xml:space="preserve">提供相关证明材料</w:t>
            </w:r>
            <w:r>
              <w:rPr>
                <w:rFonts w:hint="eastAsia"/>
                <w:bCs/>
                <w:iCs/>
                <w:sz w:val="24"/>
                <w:szCs w:val="24"/>
                <w:lang w:eastAsia="zh-CN"/>
              </w:rPr>
              <w:t xml:space="preserve">，</w:t>
            </w:r>
            <w:r>
              <w:rPr>
                <w:rFonts w:hint="eastAsia"/>
                <w:bCs/>
                <w:iCs/>
                <w:sz w:val="24"/>
                <w:szCs w:val="24"/>
                <w:lang w:val="en-US" w:eastAsia="zh-CN"/>
              </w:rPr>
              <w:t xml:space="preserve">原件扫描上传</w:t>
            </w:r>
            <w:r>
              <w:rPr>
                <w:rFonts w:hint="eastAsia"/>
                <w:bCs/>
                <w:iCs/>
                <w:sz w:val="24"/>
                <w:szCs w:val="24"/>
              </w:rPr>
              <w:t xml:space="preserve">，不提供不得分。</w:t>
            </w:r>
            <w:r/>
          </w:p>
        </w:tc>
      </w:tr>
      <w:tr>
        <w:trPr>
          <w:trHeight w:val="1052"/>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实施方案（5分）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558"/>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应急方案（5分）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培训方案（5分）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售后服务</w:t>
            </w:r>
            <w:r/>
          </w:p>
          <w:p>
            <w:pPr>
              <w:jc w:val="center"/>
              <w:spacing w:line="360" w:lineRule="auto"/>
              <w:rPr>
                <w:rFonts w:hint="eastAsia"/>
                <w:bCs/>
                <w:iCs/>
                <w:sz w:val="24"/>
                <w:szCs w:val="24"/>
              </w:rPr>
            </w:pPr>
            <w:r>
              <w:rPr>
                <w:rFonts w:hint="eastAsia"/>
                <w:bCs/>
                <w:iCs/>
                <w:sz w:val="24"/>
                <w:szCs w:val="24"/>
              </w:rPr>
              <w:t xml:space="preserve">（5分）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业绩</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投标人自202</w:t>
            </w:r>
            <w:r>
              <w:rPr>
                <w:rFonts w:hint="eastAsia"/>
                <w:bCs/>
                <w:iCs/>
                <w:sz w:val="24"/>
                <w:szCs w:val="24"/>
                <w:lang w:val="en-US" w:eastAsia="zh-CN"/>
              </w:rPr>
              <w:t xml:space="preserve">3</w:t>
            </w:r>
            <w:r>
              <w:rPr>
                <w:rFonts w:hint="eastAsia"/>
                <w:bCs/>
                <w:iCs/>
                <w:sz w:val="24"/>
                <w:szCs w:val="24"/>
              </w:rPr>
              <w:t xml:space="preserve">年01月01日（以合同签订时间为准）以来承担过的类似项目业绩，有一个得2分，满分4分。（提供合同</w:t>
            </w:r>
            <w:r>
              <w:rPr>
                <w:rFonts w:hint="eastAsia"/>
                <w:bCs/>
                <w:iCs/>
                <w:sz w:val="24"/>
                <w:szCs w:val="24"/>
                <w:lang w:eastAsia="zh-CN"/>
              </w:rPr>
              <w:t xml:space="preserve">，</w:t>
            </w:r>
            <w:r>
              <w:rPr>
                <w:rFonts w:hint="eastAsia"/>
                <w:bCs/>
                <w:iCs/>
                <w:sz w:val="24"/>
                <w:szCs w:val="24"/>
              </w:rPr>
              <w:t xml:space="preserve">原件扫描上传）</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项目负责人资质</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eastAsia="宋体"/>
                <w:bCs/>
                <w:iCs/>
                <w:sz w:val="24"/>
                <w:szCs w:val="24"/>
                <w:lang w:eastAsia="zh-CN"/>
              </w:rPr>
            </w:pPr>
            <w:r>
              <w:rPr>
                <w:rFonts w:hint="eastAsia"/>
                <w:bCs/>
                <w:iCs/>
                <w:sz w:val="24"/>
                <w:szCs w:val="24"/>
              </w:rPr>
              <w:t xml:space="preserve">提供一名项目经理，该项目经理具有工信部颁发的信息系统项目管理师证书，中国网络安全审查认证和市场监管大数据中心颁发</w:t>
            </w:r>
            <w:r>
              <w:rPr>
                <w:rFonts w:hint="eastAsia"/>
                <w:bCs/>
                <w:iCs/>
                <w:sz w:val="24"/>
                <w:szCs w:val="24"/>
                <w:lang w:eastAsia="zh-CN"/>
              </w:rPr>
              <w:t xml:space="preserve">，</w:t>
            </w:r>
            <w:r>
              <w:rPr>
                <w:rFonts w:hint="eastAsia"/>
                <w:bCs/>
                <w:iCs/>
                <w:sz w:val="24"/>
                <w:szCs w:val="24"/>
                <w:lang w:val="en-US" w:eastAsia="zh-CN"/>
              </w:rPr>
              <w:t xml:space="preserve">原中国网络安全审查技术与认证中心颁发</w:t>
            </w:r>
            <w:r>
              <w:rPr>
                <w:rFonts w:hint="eastAsia"/>
                <w:bCs/>
                <w:iCs/>
                <w:sz w:val="24"/>
                <w:szCs w:val="24"/>
              </w:rPr>
              <w:t xml:space="preserve">的信息安全保障人员认证证书，每有一个得2分，满分4分。</w:t>
            </w:r>
            <w:r>
              <w:rPr>
                <w:rFonts w:hint="eastAsia"/>
                <w:bCs/>
                <w:iCs/>
                <w:sz w:val="24"/>
                <w:szCs w:val="24"/>
                <w:lang w:eastAsia="zh-CN"/>
              </w:rPr>
              <w:t xml:space="preserve">（</w:t>
            </w:r>
            <w:r>
              <w:rPr>
                <w:rFonts w:hint="eastAsia"/>
                <w:bCs/>
                <w:iCs/>
                <w:sz w:val="24"/>
                <w:szCs w:val="24"/>
              </w:rPr>
              <w:t xml:space="preserve">提供相关证书和投标人近三个月内任意一个月为其缴纳的社保证明</w:t>
            </w:r>
            <w:r>
              <w:rPr>
                <w:rFonts w:hint="eastAsia"/>
                <w:bCs/>
                <w:iCs/>
                <w:sz w:val="24"/>
                <w:szCs w:val="24"/>
                <w:lang w:eastAsia="zh-CN"/>
              </w:rPr>
              <w:t xml:space="preserve">，</w:t>
            </w:r>
            <w:r>
              <w:rPr>
                <w:rFonts w:hint="eastAsia"/>
                <w:bCs/>
                <w:iCs/>
                <w:sz w:val="24"/>
                <w:szCs w:val="24"/>
                <w:lang w:val="en-US" w:eastAsia="zh-CN"/>
              </w:rPr>
              <w:t xml:space="preserve">原件</w:t>
            </w:r>
            <w:r>
              <w:rPr>
                <w:rFonts w:hint="eastAsia"/>
                <w:bCs/>
                <w:iCs/>
                <w:sz w:val="24"/>
                <w:szCs w:val="24"/>
              </w:rPr>
              <w:t xml:space="preserve">扫描上传</w:t>
            </w:r>
            <w:r>
              <w:rPr>
                <w:rFonts w:hint="eastAsia"/>
                <w:bCs/>
                <w:iCs/>
                <w:sz w:val="24"/>
                <w:szCs w:val="24"/>
                <w:lang w:eastAsia="zh-CN"/>
              </w:rPr>
              <w:t xml:space="preserve">）</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投标人</w:t>
            </w:r>
            <w:r>
              <w:rPr>
                <w:rFonts w:hint="eastAsia"/>
                <w:bCs/>
                <w:iCs/>
                <w:sz w:val="24"/>
                <w:szCs w:val="24"/>
                <w:lang w:val="en-US" w:eastAsia="zh-CN"/>
              </w:rPr>
              <w:t xml:space="preserve">实力</w:t>
            </w:r>
            <w:r>
              <w:rPr>
                <w:rFonts w:hint="eastAsia"/>
                <w:bCs/>
                <w:iCs/>
                <w:sz w:val="24"/>
                <w:szCs w:val="24"/>
              </w:rPr>
              <w:t xml:space="preserve">（</w:t>
            </w:r>
            <w:r>
              <w:rPr>
                <w:rFonts w:hint="eastAsia"/>
                <w:bCs/>
                <w:iCs/>
                <w:sz w:val="24"/>
                <w:szCs w:val="24"/>
                <w:lang w:val="en-US" w:eastAsia="zh-CN"/>
              </w:rPr>
              <w:t xml:space="preserve">5</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numPr>
                <w:ilvl w:val="0"/>
                <w:numId w:val="13"/>
              </w:numPr>
              <w:jc w:val="left"/>
              <w:spacing w:line="360" w:lineRule="auto"/>
              <w:rPr>
                <w:rFonts w:hint="eastAsia"/>
                <w:iCs/>
                <w:sz w:val="24"/>
                <w:szCs w:val="24"/>
                <w14:ligatures w14:val="none"/>
              </w:rPr>
            </w:pPr>
            <w:r>
              <w:rPr>
                <w:rFonts w:hint="eastAsia"/>
                <w:sz w:val="24"/>
                <w:szCs w:val="24"/>
              </w:rPr>
              <w:t xml:space="preserve">投标人具有CCRC信息安全应急处理服务资质，三级得1分，二级及以上的得</w:t>
            </w:r>
            <w:r>
              <w:rPr>
                <w:rFonts w:hint="eastAsia"/>
                <w:sz w:val="24"/>
                <w:szCs w:val="24"/>
                <w:lang w:val="en-US" w:eastAsia="zh-CN"/>
              </w:rPr>
              <w:t xml:space="preserve">2</w:t>
            </w:r>
            <w:r>
              <w:rPr>
                <w:rFonts w:hint="eastAsia"/>
                <w:sz w:val="24"/>
                <w:szCs w:val="24"/>
              </w:rPr>
              <w:t xml:space="preserve">分，没有不得分；</w:t>
            </w:r>
            <w:r>
              <w:rPr>
                <w:rFonts w:hint="eastAsia"/>
                <w:sz w:val="24"/>
                <w:szCs w:val="24"/>
              </w:rPr>
            </w:r>
          </w:p>
          <w:p>
            <w:pPr>
              <w:ind w:left="0" w:firstLine="0"/>
              <w:jc w:val="left"/>
              <w:spacing w:line="360" w:lineRule="auto"/>
              <w:rPr>
                <w:rFonts w:hint="eastAsia"/>
                <w:iCs/>
                <w:sz w:val="24"/>
                <w:szCs w:val="24"/>
                <w14:ligatures w14:val="none"/>
              </w:rPr>
            </w:pPr>
            <w:r>
              <w:rPr>
                <w:rFonts w:hint="eastAsia"/>
                <w:sz w:val="24"/>
                <w:szCs w:val="24"/>
              </w:rPr>
              <w:t xml:space="preserve">2、</w:t>
            </w:r>
            <w:r>
              <w:rPr>
                <w:rFonts w:hint="eastAsia"/>
                <w:sz w:val="24"/>
                <w:szCs w:val="24"/>
              </w:rPr>
              <w:t xml:space="preserve">投标人具有ITSS信息技术服务标准符合性证书，运行维护三级得1分，运行维护</w:t>
            </w:r>
            <w:r>
              <w:rPr>
                <w:rFonts w:hint="eastAsia"/>
                <w:sz w:val="24"/>
                <w:szCs w:val="24"/>
              </w:rPr>
              <w:t xml:space="preserve">二</w:t>
            </w:r>
            <w:r>
              <w:rPr>
                <w:rFonts w:hint="eastAsia"/>
                <w:sz w:val="24"/>
                <w:szCs w:val="24"/>
              </w:rPr>
              <w:t xml:space="preserve">级及以上证书的得3分，没有不得分</w:t>
            </w:r>
            <w:r>
              <w:rPr>
                <w:rFonts w:hint="eastAsia"/>
                <w:sz w:val="24"/>
                <w:szCs w:val="24"/>
              </w:rPr>
            </w:r>
            <w:r>
              <w:rPr>
                <w:rFonts w:hint="eastAsia"/>
                <w:sz w:val="24"/>
                <w:szCs w:val="24"/>
              </w:rPr>
              <w:t xml:space="preserve">。</w:t>
            </w:r>
            <w:r>
              <w:rPr>
                <w:rFonts w:hint="eastAsia"/>
                <w:sz w:val="24"/>
                <w:szCs w:val="24"/>
              </w:rPr>
            </w:r>
          </w:p>
          <w:p>
            <w:pPr>
              <w:numPr>
                <w:ilvl w:val="0"/>
                <w:numId w:val="13"/>
              </w:numPr>
              <w:jc w:val="left"/>
              <w:spacing w:line="360" w:lineRule="auto"/>
              <w:rPr>
                <w:rFonts w:hint="eastAsia"/>
                <w:iCs/>
                <w:sz w:val="24"/>
                <w:szCs w:val="24"/>
                <w14:ligatures w14:val="none"/>
              </w:rPr>
            </w:pPr>
            <w:r>
              <w:rPr>
                <w:rFonts w:hint="eastAsia"/>
                <w:sz w:val="24"/>
                <w:szCs w:val="24"/>
              </w:rPr>
              <w:t xml:space="preserve">（提供上述证书</w:t>
            </w:r>
            <w:r>
              <w:rPr>
                <w:rFonts w:hint="eastAsia"/>
                <w:sz w:val="24"/>
                <w:szCs w:val="24"/>
                <w:lang w:eastAsia="zh-CN"/>
              </w:rPr>
              <w:t xml:space="preserve">，</w:t>
            </w:r>
            <w:r>
              <w:rPr>
                <w:rFonts w:hint="eastAsia"/>
                <w:sz w:val="24"/>
                <w:szCs w:val="24"/>
                <w:lang w:val="en-US" w:eastAsia="zh-CN"/>
              </w:rPr>
              <w:t xml:space="preserve">原件扫描上传</w:t>
            </w:r>
            <w:r>
              <w:rPr>
                <w:rFonts w:hint="eastAsia"/>
                <w:sz w:val="24"/>
                <w:szCs w:val="24"/>
              </w:rPr>
              <w:t xml:space="preserve">，未提供不得分）</w:t>
            </w:r>
            <w:r>
              <w:rPr>
                <w:rFonts w:hint="eastAsia"/>
                <w:sz w:val="24"/>
                <w:szCs w:val="24"/>
              </w:rP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rPr>
          <w:rFonts w:hint="eastAsia"/>
        </w:rPr>
        <w:pBdr>
          <w:top w:val="none" w:color="000000" w:sz="0" w:space="0"/>
          <w:left w:val="none" w:color="000000" w:sz="0" w:space="0"/>
          <w:bottom w:val="none" w:color="000000" w:sz="0" w:space="0"/>
          <w:right w:val="none" w:color="000000" w:sz="0" w:space="0"/>
        </w:pBdr>
      </w:pPr>
      <w:r>
        <w:br w:type="page" w:clear="all"/>
      </w:r>
      <w:r>
        <w:rPr>
          <w:rFonts w:ascii="黑体" w:hAnsi="黑体" w:eastAsia="黑体" w:cs="黑体"/>
          <w:color w:val="000000"/>
          <w:sz w:val="44"/>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投标人名称 ：（加盖CA电子公章）</w:t>
      </w:r>
      <w:r/>
    </w:p>
    <w:p>
      <w:pPr>
        <w:jc w:val="left"/>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      日期 ：               </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投标文件的组成</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8.联合体协议（格式见附件14）。</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关于符合本国产品标准的声明函（格式见附件13）</w:t>
      </w:r>
      <w:r/>
    </w:p>
    <w:p>
      <w:pPr>
        <w:ind w:firstLine="480"/>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97"/>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
    </w:p>
    <w:tbl>
      <w:tblPr>
        <w:tblStyle w:val="79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本采购包中提供的符合本国产品标准的产品成本之和占该采购包提供的全部产品成本之和的比例为***%。</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5.项目经办人可以根据项目实际需要对表格结构进行调整。</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jc w:val="left"/>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仿宋" w:hAnsi="仿宋" w:eastAsia="仿宋" w:cs="仿宋"/>
          <w:b/>
          <w:color w:val="000000"/>
          <w:sz w:val="24"/>
        </w:rPr>
        <w:t xml:space="preserve">      </w:t>
      </w:r>
      <w:r>
        <w:rPr>
          <w:rFonts w:ascii="宋体" w:hAnsi="宋体" w:cs="宋体"/>
          <w:b/>
          <w:color w:val="000000"/>
          <w:sz w:val="24"/>
        </w:rPr>
        <w:t xml:space="preserve">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97"/>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0"/>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1200"/>
        <w:pBdr>
          <w:top w:val="none" w:color="000000" w:sz="0" w:space="0"/>
          <w:left w:val="none" w:color="000000" w:sz="0" w:space="0"/>
          <w:bottom w:val="none" w:color="000000" w:sz="0" w:space="0"/>
          <w:right w:val="none" w:color="000000" w:sz="0" w:space="0"/>
        </w:pBdr>
      </w:pPr>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rPr>
          <w:rFonts w:ascii="仿宋" w:hAnsi="仿宋" w:eastAsia="仿宋" w:cs="仿宋"/>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cs="宋体"/>
          <w:color w:val="000000"/>
          <w:sz w:val="24"/>
          <w:u w:val="single"/>
        </w:rPr>
        <w:t xml:space="preserve">（项目名称），（项目编号）</w:t>
      </w:r>
      <w:r>
        <w:rPr>
          <w:rFonts w:ascii="宋体" w:hAnsi="宋体" w:cs="宋体"/>
          <w:color w:val="000000"/>
          <w:sz w:val="24"/>
        </w:rPr>
        <w:t xml:space="preserve">的采购活动，提供的货物全部由符合政策要求的中小企业制造。相关企业（含联合体中的中小企业、签订分包意向协议的中小企业）的具体情况如下：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b/>
          <w:bCs/>
          <w:color w:val="000000"/>
          <w:sz w:val="24"/>
          <w:u w:val="single"/>
        </w:rPr>
        <w:t xml:space="preserve">（</w:t>
      </w:r>
      <w:r>
        <w:rPr>
          <w:rFonts w:hint="eastAsia" w:ascii="宋体" w:hAnsi="宋体" w:cs="宋体"/>
          <w:b/>
          <w:bCs/>
          <w:color w:val="ff0000"/>
          <w:sz w:val="24"/>
          <w:u w:val="single"/>
        </w:rPr>
        <w:t xml:space="preserve">工业</w:t>
      </w:r>
      <w:r>
        <w:rPr>
          <w:rFonts w:ascii="宋体" w:hAnsi="宋体" w:cs="宋体"/>
          <w:b/>
          <w:bCs/>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ascii="宋体" w:hAnsi="宋体" w:cs="宋体"/>
          <w:color w:val="ff0000"/>
          <w:sz w:val="24"/>
          <w:u w:val="single"/>
        </w:rPr>
        <w:t xml:space="preserve">采购文件中明确的所属行业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firstLine="48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9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59" w:firstLine="624"/>
        <w:jc w:val="center"/>
        <w:spacing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 附件13 关于符合本国产品标准的声明函（采购包号：**）</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2.0pt,43.2pt" to="178.6pt,61.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360.8pt,24.4pt" to="437.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267.8pt,24.4pt" to="344.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83.8pt,24.4pt" to="260.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flip:y;visibility:visible;" from="366.8pt,-1.5pt" to="443.3pt,16.4pt" filled="f" strokecolor="#233B59" strokeweight="0.75pt"/>
            </w:pict>
          </mc:Fallback>
        </mc:AlternateContent>
      </w:r>
      <w:r>
        <w:rPr>
          <w:rFonts w:ascii="宋体" w:hAnsi="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flip:y;visibility:visible;" from="152.9pt,47.0pt" to="229.4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flip:y;visibility:visible;" from="68.3pt,47.0pt" to="144.8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flip:y;visibility:visible;" from="351.1pt,19.2pt" to="427.6pt,37.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8480;mso-wrap-distance-left:9.0pt;mso-wrap-distance-top:0.0pt;mso-wrap-distance-right:9.0pt;mso-wrap-distance-bottom:0.0pt;flip:y;visibility:visible;" from="260.3pt,23.8pt" to="336.8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9504;mso-wrap-distance-left:9.0pt;mso-wrap-distance-top:0.0pt;mso-wrap-distance-right:9.0pt;mso-wrap-distance-bottom:0.0pt;flip:y;visibility:visible;" from="168.8pt,23.8pt" to="245.3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70528;mso-wrap-distance-left:9.0pt;mso-wrap-distance-top:0.0pt;mso-wrap-distance-right:9.0pt;mso-wrap-distance-bottom:0.0pt;flip:y;visibility:visible;" from="357.0pt,1.2pt" to="433.5pt,19.2pt" filled="f" strokecolor="#233B59" strokeweight="0.75pt"/>
            </w:pict>
          </mc:Fallback>
        </mc:AlternateContent>
      </w:r>
      <w:r>
        <w:rPr>
          <w:rFonts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6.用斜线划除的地方无需填写。</w:t>
      </w:r>
      <w:r/>
    </w:p>
    <w:p>
      <w:r/>
      <w:r/>
    </w:p>
    <w:p>
      <w:r/>
      <w:r/>
    </w:p>
    <w:p>
      <w:r/>
      <w:r/>
    </w:p>
    <w:p>
      <w:r/>
      <w:r/>
    </w:p>
    <w:p>
      <w:r/>
      <w:r/>
    </w:p>
    <w:p>
      <w:r/>
      <w:r/>
    </w:p>
    <w:p>
      <w:r/>
      <w:r/>
    </w:p>
    <w:p>
      <w:r/>
      <w:r/>
    </w:p>
    <w:p>
      <w:pPr>
        <w:spacing w:line="400" w:lineRule="atLeast"/>
        <w:pBdr>
          <w:top w:val="none" w:color="000000" w:sz="0" w:space="0"/>
          <w:left w:val="none" w:color="000000" w:sz="0" w:space="0"/>
          <w:bottom w:val="none" w:color="000000" w:sz="0" w:space="0"/>
          <w:right w:val="none" w:color="000000" w:sz="0" w:space="0"/>
        </w:pBdr>
      </w:pPr>
      <w:r/>
      <w:r/>
    </w:p>
    <w:p>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附件15      实质性要求响应及偏离表（采购包号：**）</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9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egoe UI Symbol">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5">
    <w:multiLevelType w:val="hybridMultilevel"/>
    <w:lvl w:ilvl="0">
      <w:start w:val="1"/>
      <w:numFmt w:val="bullet"/>
      <w:pStyle w:val="7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3"/>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1">
    <w:name w:val="Heading 1"/>
    <w:basedOn w:val="760"/>
    <w:next w:val="760"/>
    <w:link w:val="841"/>
    <w:uiPriority w:val="9"/>
    <w:qFormat/>
    <w:pPr>
      <w:keepLines/>
      <w:keepNext/>
      <w:spacing w:before="480" w:after="200"/>
      <w:outlineLvl w:val="0"/>
    </w:pPr>
    <w:rPr>
      <w:rFonts w:ascii="Arial" w:hAnsi="Arial" w:eastAsia="黑体" w:cs="Arial"/>
      <w:sz w:val="44"/>
      <w:szCs w:val="40"/>
    </w:rPr>
  </w:style>
  <w:style w:type="paragraph" w:styleId="762">
    <w:name w:val="Heading 2"/>
    <w:basedOn w:val="760"/>
    <w:next w:val="772"/>
    <w:link w:val="84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3"/>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4"/>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5"/>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4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9"/>
    <w:uiPriority w:val="9"/>
    <w:unhideWhenUsed/>
    <w:qFormat/>
    <w:pPr>
      <w:keepLines/>
      <w:keepNext/>
      <w:spacing w:before="320" w:after="200"/>
      <w:outlineLvl w:val="8"/>
    </w:pPr>
    <w:rPr>
      <w:rFonts w:ascii="Arial" w:hAnsi="Arial" w:eastAsia="Arial" w:cs="Arial"/>
      <w:i/>
      <w:iCs/>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pPr>
      <w:jc w:val="left"/>
    </w:pPr>
  </w:style>
  <w:style w:type="paragraph" w:styleId="776">
    <w:name w:val="Body Text"/>
    <w:basedOn w:val="760"/>
    <w:uiPriority w:val="0"/>
    <w:qFormat/>
    <w:rPr>
      <w:rFonts w:ascii="楷体_GB2312" w:hAnsi="Arial" w:eastAsia="楷体_GB2312"/>
      <w:sz w:val="28"/>
      <w:szCs w:val="28"/>
    </w:rPr>
  </w:style>
  <w:style w:type="paragraph" w:styleId="777">
    <w:name w:val="Body Text Indent"/>
    <w:basedOn w:val="760"/>
    <w:uiPriority w:val="0"/>
    <w:unhideWhenUsed/>
    <w:qFormat/>
    <w:pPr>
      <w:ind w:left="420"/>
      <w:spacing w:after="120"/>
    </w:pPr>
  </w:style>
  <w:style w:type="paragraph" w:styleId="778">
    <w:name w:val="List Bullet 2"/>
    <w:basedOn w:val="760"/>
    <w:uiPriority w:val="99"/>
    <w:semiHidden/>
    <w:unhideWhenUsed/>
    <w:qFormat/>
    <w:pPr>
      <w:numPr>
        <w:ilvl w:val="0"/>
        <w:numId w:val="1"/>
      </w:numPr>
    </w:pPr>
  </w:style>
  <w:style w:type="paragraph" w:styleId="779">
    <w:name w:val="index 4"/>
    <w:basedOn w:val="760"/>
    <w:next w:val="760"/>
    <w:uiPriority w:val="0"/>
    <w:qFormat/>
    <w:pPr>
      <w:ind w:left="600" w:firstLine="200"/>
      <w:spacing w:line="360" w:lineRule="auto"/>
    </w:pPr>
    <w:rPr>
      <w:rFonts w:ascii="等线" w:hAnsi="等线" w:eastAsia="等线"/>
      <w:sz w:val="24"/>
      <w:szCs w:val="24"/>
    </w:rPr>
  </w:style>
  <w:style w:type="paragraph" w:styleId="780">
    <w:name w:val="toc 5"/>
    <w:basedOn w:val="760"/>
    <w:next w:val="760"/>
    <w:uiPriority w:val="39"/>
    <w:unhideWhenUsed/>
    <w:qFormat/>
    <w:pPr>
      <w:ind w:left="1134"/>
      <w:spacing w:after="57"/>
    </w:pPr>
  </w:style>
  <w:style w:type="paragraph" w:styleId="781">
    <w:name w:val="toc 3"/>
    <w:basedOn w:val="760"/>
    <w:next w:val="760"/>
    <w:uiPriority w:val="39"/>
    <w:unhideWhenUsed/>
    <w:qFormat/>
    <w:pPr>
      <w:ind w:left="567"/>
      <w:spacing w:after="57"/>
    </w:pPr>
  </w:style>
  <w:style w:type="paragraph" w:styleId="782">
    <w:name w:val="toc 8"/>
    <w:basedOn w:val="760"/>
    <w:next w:val="760"/>
    <w:uiPriority w:val="39"/>
    <w:unhideWhenUsed/>
    <w:qFormat/>
    <w:pPr>
      <w:ind w:left="1984"/>
      <w:spacing w:after="57"/>
    </w:pPr>
  </w:style>
  <w:style w:type="paragraph" w:styleId="783">
    <w:name w:val="endnote text"/>
    <w:basedOn w:val="760"/>
    <w:link w:val="968"/>
    <w:uiPriority w:val="99"/>
    <w:semiHidden/>
    <w:unhideWhenUsed/>
    <w:qFormat/>
    <w:rPr>
      <w:sz w:val="20"/>
    </w:rPr>
  </w:style>
  <w:style w:type="paragraph" w:styleId="784">
    <w:name w:val="Footer"/>
    <w:basedOn w:val="760"/>
    <w:link w:val="860"/>
    <w:uiPriority w:val="99"/>
    <w:unhideWhenUsed/>
    <w:qFormat/>
    <w:pPr>
      <w:tabs>
        <w:tab w:val="center" w:pos="7143" w:leader="none"/>
        <w:tab w:val="right" w:pos="14287" w:leader="none"/>
      </w:tabs>
    </w:pPr>
  </w:style>
  <w:style w:type="paragraph" w:styleId="785">
    <w:name w:val="Header"/>
    <w:basedOn w:val="760"/>
    <w:link w:val="858"/>
    <w:uiPriority w:val="99"/>
    <w:unhideWhenUsed/>
    <w:qFormat/>
    <w:pPr>
      <w:tabs>
        <w:tab w:val="center" w:pos="7143" w:leader="none"/>
        <w:tab w:val="right" w:pos="14287" w:leader="none"/>
      </w:tabs>
    </w:p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53"/>
    <w:uiPriority w:val="11"/>
    <w:qFormat/>
    <w:pPr>
      <w:spacing w:before="200" w:after="200"/>
    </w:pPr>
    <w:rPr>
      <w:sz w:val="24"/>
      <w:szCs w:val="24"/>
    </w:rPr>
  </w:style>
  <w:style w:type="paragraph" w:styleId="789">
    <w:name w:val="footnote text"/>
    <w:basedOn w:val="760"/>
    <w:link w:val="967"/>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Body Text 2"/>
    <w:basedOn w:val="760"/>
    <w:uiPriority w:val="0"/>
    <w:qFormat/>
    <w:pPr>
      <w:spacing w:after="120" w:line="480" w:lineRule="auto"/>
    </w:pPr>
  </w:style>
  <w:style w:type="paragraph" w:styleId="795">
    <w:name w:val="Normal (Web)"/>
    <w:basedOn w:val="760"/>
    <w:uiPriority w:val="0"/>
    <w:qFormat/>
    <w:rPr>
      <w:sz w:val="24"/>
    </w:rPr>
  </w:style>
  <w:style w:type="paragraph" w:styleId="796">
    <w:name w:val="Title"/>
    <w:basedOn w:val="760"/>
    <w:next w:val="760"/>
    <w:link w:val="852"/>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0"/>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uiPriority w:val="0"/>
    <w:semiHidden/>
    <w:qFormat/>
    <w:rPr>
      <w:sz w:val="21"/>
      <w:szCs w:val="21"/>
    </w:rPr>
  </w:style>
  <w:style w:type="character" w:styleId="802">
    <w:name w:val="footnote reference"/>
    <w:uiPriority w:val="99"/>
    <w:unhideWhenUsed/>
    <w:qFormat/>
    <w:rPr>
      <w:vertAlign w:val="superscript"/>
    </w:rPr>
  </w:style>
  <w:style w:type="paragraph" w:styleId="803" w:customStyle="1">
    <w:name w:val="Default"/>
    <w:next w:val="760"/>
    <w:uiPriority w:val="0"/>
    <w:qFormat/>
    <w:pPr>
      <w:widowControl w:val="off"/>
    </w:pPr>
    <w:rPr>
      <w:rFonts w:ascii="宋体" w:hAnsi="Times New Roman" w:eastAsia="宋体" w:cs="宋体"/>
      <w:color w:val="000000"/>
      <w:sz w:val="24"/>
      <w:szCs w:val="24"/>
      <w:lang w:val="en-US" w:eastAsia="zh-CN" w:bidi="ar-SA"/>
    </w:rPr>
  </w:style>
  <w:style w:type="character" w:styleId="804" w:customStyle="1">
    <w:name w:val="Heading 1 Char"/>
    <w:basedOn w:val="770"/>
    <w:uiPriority w:val="9"/>
    <w:qFormat/>
    <w:rPr>
      <w:rFonts w:ascii="Arial" w:hAnsi="Arial" w:eastAsia="Arial" w:cs="Arial"/>
      <w:sz w:val="40"/>
      <w:szCs w:val="40"/>
    </w:rPr>
  </w:style>
  <w:style w:type="character" w:styleId="805" w:customStyle="1">
    <w:name w:val="Heading 2 Char"/>
    <w:basedOn w:val="770"/>
    <w:uiPriority w:val="9"/>
    <w:qFormat/>
    <w:rPr>
      <w:rFonts w:ascii="Arial" w:hAnsi="Arial" w:eastAsia="Arial" w:cs="Arial"/>
      <w:sz w:val="34"/>
    </w:rPr>
  </w:style>
  <w:style w:type="character" w:styleId="806" w:customStyle="1">
    <w:name w:val="Heading 3 Char"/>
    <w:basedOn w:val="770"/>
    <w:uiPriority w:val="9"/>
    <w:qFormat/>
    <w:rPr>
      <w:rFonts w:ascii="Arial" w:hAnsi="Arial" w:eastAsia="Arial" w:cs="Arial"/>
      <w:sz w:val="30"/>
      <w:szCs w:val="30"/>
    </w:rPr>
  </w:style>
  <w:style w:type="character" w:styleId="807" w:customStyle="1">
    <w:name w:val="Heading 4 Char"/>
    <w:basedOn w:val="770"/>
    <w:uiPriority w:val="9"/>
    <w:qFormat/>
    <w:rPr>
      <w:rFonts w:ascii="Arial" w:hAnsi="Arial" w:eastAsia="Arial" w:cs="Arial"/>
      <w:b/>
      <w:bCs/>
      <w:sz w:val="26"/>
      <w:szCs w:val="26"/>
    </w:rPr>
  </w:style>
  <w:style w:type="character" w:styleId="808" w:customStyle="1">
    <w:name w:val="Heading 5 Char"/>
    <w:basedOn w:val="770"/>
    <w:uiPriority w:val="9"/>
    <w:qFormat/>
    <w:rPr>
      <w:rFonts w:ascii="Arial" w:hAnsi="Arial" w:eastAsia="Arial" w:cs="Arial"/>
      <w:b/>
      <w:bCs/>
      <w:sz w:val="24"/>
      <w:szCs w:val="24"/>
    </w:rPr>
  </w:style>
  <w:style w:type="character" w:styleId="809" w:customStyle="1">
    <w:name w:val="Heading 6 Char"/>
    <w:basedOn w:val="770"/>
    <w:uiPriority w:val="9"/>
    <w:qFormat/>
    <w:rPr>
      <w:rFonts w:ascii="Arial" w:hAnsi="Arial" w:eastAsia="Arial" w:cs="Arial"/>
      <w:b/>
      <w:bCs/>
      <w:sz w:val="22"/>
      <w:szCs w:val="22"/>
    </w:rPr>
  </w:style>
  <w:style w:type="character" w:styleId="810" w:customStyle="1">
    <w:name w:val="Heading 7 Char"/>
    <w:basedOn w:val="770"/>
    <w:uiPriority w:val="9"/>
    <w:qFormat/>
    <w:rPr>
      <w:rFonts w:ascii="Arial" w:hAnsi="Arial" w:eastAsia="Arial" w:cs="Arial"/>
      <w:b/>
      <w:bCs/>
      <w:i/>
      <w:iCs/>
      <w:sz w:val="22"/>
      <w:szCs w:val="22"/>
    </w:rPr>
  </w:style>
  <w:style w:type="character" w:styleId="811" w:customStyle="1">
    <w:name w:val="Heading 8 Char"/>
    <w:basedOn w:val="770"/>
    <w:uiPriority w:val="9"/>
    <w:qFormat/>
    <w:rPr>
      <w:rFonts w:ascii="Arial" w:hAnsi="Arial" w:eastAsia="Arial" w:cs="Arial"/>
      <w:i/>
      <w:iCs/>
      <w:sz w:val="22"/>
      <w:szCs w:val="22"/>
    </w:rPr>
  </w:style>
  <w:style w:type="character" w:styleId="812" w:customStyle="1">
    <w:name w:val="Heading 9 Char"/>
    <w:basedOn w:val="770"/>
    <w:uiPriority w:val="9"/>
    <w:qFormat/>
    <w:rPr>
      <w:rFonts w:ascii="Arial" w:hAnsi="Arial" w:eastAsia="Arial" w:cs="Arial"/>
      <w:i/>
      <w:iCs/>
      <w:sz w:val="21"/>
      <w:szCs w:val="21"/>
    </w:rPr>
  </w:style>
  <w:style w:type="character" w:styleId="813" w:customStyle="1">
    <w:name w:val="Title Char"/>
    <w:basedOn w:val="770"/>
    <w:uiPriority w:val="10"/>
    <w:qFormat/>
    <w:rPr>
      <w:sz w:val="48"/>
      <w:szCs w:val="48"/>
    </w:rPr>
  </w:style>
  <w:style w:type="character" w:styleId="814" w:customStyle="1">
    <w:name w:val="Subtitle Char"/>
    <w:basedOn w:val="770"/>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70"/>
    <w:uiPriority w:val="99"/>
    <w:qFormat/>
  </w:style>
  <w:style w:type="character" w:styleId="818" w:customStyle="1">
    <w:name w:val="Caption Char"/>
    <w:uiPriority w:val="99"/>
    <w:qFormat/>
  </w:style>
  <w:style w:type="table" w:styleId="819"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7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7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character" w:styleId="841" w:customStyle="1">
    <w:name w:val="标题 1 字符"/>
    <w:link w:val="761"/>
    <w:uiPriority w:val="9"/>
    <w:qFormat/>
    <w:rPr>
      <w:rFonts w:ascii="Arial" w:hAnsi="Arial" w:eastAsia="黑体" w:cs="Arial"/>
      <w:sz w:val="44"/>
      <w:szCs w:val="40"/>
    </w:rPr>
  </w:style>
  <w:style w:type="character" w:styleId="842" w:customStyle="1">
    <w:name w:val="标题 2 字符"/>
    <w:link w:val="762"/>
    <w:uiPriority w:val="9"/>
    <w:qFormat/>
    <w:rPr>
      <w:rFonts w:ascii="Arial" w:hAnsi="Arial" w:eastAsia="Arial" w:cs="Arial"/>
      <w:sz w:val="34"/>
    </w:rPr>
  </w:style>
  <w:style w:type="character" w:styleId="843" w:customStyle="1">
    <w:name w:val="标题 3 字符"/>
    <w:link w:val="763"/>
    <w:uiPriority w:val="9"/>
    <w:qFormat/>
    <w:rPr>
      <w:rFonts w:ascii="Arial" w:hAnsi="Arial" w:eastAsia="Arial" w:cs="Arial"/>
      <w:sz w:val="30"/>
      <w:szCs w:val="30"/>
    </w:rPr>
  </w:style>
  <w:style w:type="character" w:styleId="844" w:customStyle="1">
    <w:name w:val="标题 4 字符"/>
    <w:link w:val="764"/>
    <w:uiPriority w:val="9"/>
    <w:qFormat/>
    <w:rPr>
      <w:rFonts w:ascii="Arial" w:hAnsi="Arial" w:eastAsia="Arial" w:cs="Arial"/>
      <w:b/>
      <w:bCs/>
      <w:sz w:val="26"/>
      <w:szCs w:val="26"/>
    </w:rPr>
  </w:style>
  <w:style w:type="character" w:styleId="845" w:customStyle="1">
    <w:name w:val="标题 5 字符"/>
    <w:link w:val="765"/>
    <w:uiPriority w:val="9"/>
    <w:qFormat/>
    <w:rPr>
      <w:rFonts w:ascii="Arial" w:hAnsi="Arial" w:eastAsia="Arial" w:cs="Arial"/>
      <w:b/>
      <w:bCs/>
      <w:sz w:val="24"/>
      <w:szCs w:val="24"/>
    </w:rPr>
  </w:style>
  <w:style w:type="character" w:styleId="846" w:customStyle="1">
    <w:name w:val="标题 6 字符"/>
    <w:link w:val="766"/>
    <w:uiPriority w:val="9"/>
    <w:qFormat/>
    <w:rPr>
      <w:rFonts w:ascii="Arial" w:hAnsi="Arial" w:eastAsia="Arial" w:cs="Arial"/>
      <w:b/>
      <w:bCs/>
      <w:sz w:val="22"/>
      <w:szCs w:val="22"/>
    </w:rPr>
  </w:style>
  <w:style w:type="character" w:styleId="847" w:customStyle="1">
    <w:name w:val="标题 7 字符"/>
    <w:link w:val="767"/>
    <w:uiPriority w:val="9"/>
    <w:qFormat/>
    <w:rPr>
      <w:rFonts w:ascii="Arial" w:hAnsi="Arial" w:eastAsia="Arial" w:cs="Arial"/>
      <w:b/>
      <w:bCs/>
      <w:i/>
      <w:iCs/>
      <w:sz w:val="22"/>
      <w:szCs w:val="22"/>
    </w:rPr>
  </w:style>
  <w:style w:type="character" w:styleId="848" w:customStyle="1">
    <w:name w:val="标题 8 字符"/>
    <w:link w:val="768"/>
    <w:uiPriority w:val="9"/>
    <w:qFormat/>
    <w:rPr>
      <w:rFonts w:ascii="Arial" w:hAnsi="Arial" w:eastAsia="Arial" w:cs="Arial"/>
      <w:i/>
      <w:iCs/>
      <w:sz w:val="22"/>
      <w:szCs w:val="22"/>
    </w:rPr>
  </w:style>
  <w:style w:type="character" w:styleId="849" w:customStyle="1">
    <w:name w:val="标题 9 字符"/>
    <w:link w:val="769"/>
    <w:uiPriority w:val="9"/>
    <w:qFormat/>
    <w:rPr>
      <w:rFonts w:ascii="Arial" w:hAnsi="Arial" w:eastAsia="Arial" w:cs="Arial"/>
      <w:i/>
      <w:iCs/>
      <w:sz w:val="21"/>
      <w:szCs w:val="21"/>
    </w:rPr>
  </w:style>
  <w:style w:type="paragraph" w:styleId="850">
    <w:name w:val="List Paragraph"/>
    <w:basedOn w:val="760"/>
    <w:uiPriority w:val="34"/>
    <w:qFormat/>
    <w:pPr>
      <w:contextualSpacing/>
      <w:ind w:left="720"/>
    </w:p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字符"/>
    <w:link w:val="796"/>
    <w:uiPriority w:val="10"/>
    <w:qFormat/>
    <w:rPr>
      <w:sz w:val="48"/>
      <w:szCs w:val="48"/>
    </w:rPr>
  </w:style>
  <w:style w:type="character" w:styleId="853" w:customStyle="1">
    <w:name w:val="副标题 字符"/>
    <w:link w:val="788"/>
    <w:uiPriority w:val="11"/>
    <w:qFormat/>
    <w:rPr>
      <w:sz w:val="24"/>
      <w:szCs w:val="24"/>
    </w:rPr>
  </w:style>
  <w:style w:type="paragraph" w:styleId="854">
    <w:name w:val="Quote"/>
    <w:basedOn w:val="760"/>
    <w:next w:val="760"/>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0"/>
    <w:next w:val="76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85"/>
    <w:uiPriority w:val="99"/>
    <w:qFormat/>
  </w:style>
  <w:style w:type="character" w:styleId="859" w:customStyle="1">
    <w:name w:val="Footer Char"/>
    <w:uiPriority w:val="99"/>
    <w:qFormat/>
  </w:style>
  <w:style w:type="character" w:styleId="860" w:customStyle="1">
    <w:name w:val="页脚 字符"/>
    <w:link w:val="784"/>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89"/>
    <w:uiPriority w:val="99"/>
    <w:qFormat/>
    <w:rPr>
      <w:sz w:val="18"/>
    </w:rPr>
  </w:style>
  <w:style w:type="character" w:styleId="968" w:customStyle="1">
    <w:name w:val="尾注文本 字符"/>
    <w:link w:val="783"/>
    <w:uiPriority w:val="99"/>
    <w:qFormat/>
    <w:rPr>
      <w:sz w:val="20"/>
    </w:rPr>
  </w:style>
  <w:style w:type="paragraph" w:styleId="969" w:customStyle="1">
    <w:name w:val="TOC 标题11"/>
    <w:uiPriority w:val="39"/>
    <w:unhideWhenUsed/>
    <w:qFormat/>
    <w:rPr>
      <w:rFonts w:ascii="Calibri" w:hAnsi="Calibri" w:eastAsia="宋体" w:cs="Times New Roman"/>
      <w:lang w:val="en-US" w:eastAsia="zh-CN" w:bidi="ar-SA"/>
    </w:rPr>
  </w:style>
  <w:style w:type="paragraph" w:styleId="970" w:customStyle="1">
    <w:name w:val="标题 11"/>
    <w:basedOn w:val="760"/>
    <w:next w:val="760"/>
    <w:link w:val="1023"/>
    <w:uiPriority w:val="0"/>
    <w:qFormat/>
    <w:pPr>
      <w:jc w:val="center"/>
      <w:keepNext/>
      <w:outlineLvl w:val="0"/>
    </w:pPr>
    <w:rPr>
      <w:rFonts w:ascii="楷体_GB2312" w:hAnsi="楷体_GB2312" w:eastAsia="黑体"/>
      <w:sz w:val="44"/>
      <w:szCs w:val="28"/>
    </w:rPr>
  </w:style>
  <w:style w:type="paragraph" w:styleId="971" w:customStyle="1">
    <w:name w:val="标题 21"/>
    <w:basedOn w:val="760"/>
    <w:next w:val="760"/>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标题 31"/>
    <w:basedOn w:val="760"/>
    <w:next w:val="760"/>
    <w:link w:val="1005"/>
    <w:uiPriority w:val="0"/>
    <w:qFormat/>
    <w:pPr>
      <w:keepLines/>
      <w:keepNext/>
      <w:spacing w:before="260" w:after="260" w:line="416" w:lineRule="auto"/>
      <w:outlineLvl w:val="2"/>
    </w:pPr>
    <w:rPr>
      <w:b/>
      <w:bCs/>
      <w:sz w:val="32"/>
      <w:szCs w:val="32"/>
    </w:rPr>
  </w:style>
  <w:style w:type="paragraph" w:styleId="973" w:customStyle="1">
    <w:name w:val="标题 41"/>
    <w:basedOn w:val="760"/>
    <w:next w:val="974"/>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缩进1"/>
    <w:basedOn w:val="760"/>
    <w:link w:val="1008"/>
    <w:uiPriority w:val="0"/>
    <w:qFormat/>
    <w:pPr>
      <w:ind w:firstLine="420"/>
    </w:pPr>
  </w:style>
  <w:style w:type="paragraph" w:styleId="975" w:customStyle="1">
    <w:name w:val="标题 51"/>
    <w:basedOn w:val="760"/>
    <w:next w:val="974"/>
    <w:link w:val="1015"/>
    <w:uiPriority w:val="0"/>
    <w:qFormat/>
    <w:pPr>
      <w:keepNext/>
      <w:outlineLvl w:val="4"/>
    </w:pPr>
    <w:rPr>
      <w:rFonts w:ascii="宋体"/>
      <w:color w:val="000000"/>
      <w:sz w:val="28"/>
      <w:szCs w:val="28"/>
    </w:rPr>
  </w:style>
  <w:style w:type="paragraph" w:styleId="976" w:customStyle="1">
    <w:name w:val="标题 61"/>
    <w:basedOn w:val="760"/>
    <w:next w:val="760"/>
    <w:link w:val="99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60"/>
    <w:next w:val="760"/>
    <w:link w:val="989"/>
    <w:uiPriority w:val="0"/>
    <w:qFormat/>
    <w:pPr>
      <w:numPr>
        <w:ilvl w:val="6"/>
        <w:numId w:val="2"/>
      </w:numPr>
      <w:keepLines/>
      <w:keepNext/>
      <w:spacing w:before="240" w:after="64" w:line="320" w:lineRule="auto"/>
      <w:outlineLvl w:val="6"/>
    </w:pPr>
    <w:rPr>
      <w:b/>
      <w:bCs/>
      <w:sz w:val="24"/>
      <w:szCs w:val="24"/>
    </w:rPr>
  </w:style>
  <w:style w:type="paragraph" w:styleId="978" w:customStyle="1">
    <w:name w:val="标题 81"/>
    <w:basedOn w:val="760"/>
    <w:next w:val="760"/>
    <w:link w:val="98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9" w:customStyle="1">
    <w:name w:val="标题 91"/>
    <w:basedOn w:val="760"/>
    <w:next w:val="760"/>
    <w:link w:val="1025"/>
    <w:uiPriority w:val="0"/>
    <w:qFormat/>
    <w:pPr>
      <w:numPr>
        <w:ilvl w:val="8"/>
        <w:numId w:val="2"/>
      </w:numPr>
      <w:keepLines/>
      <w:keepNext/>
      <w:spacing w:before="240" w:after="64" w:line="320" w:lineRule="auto"/>
      <w:outlineLvl w:val="8"/>
    </w:pPr>
    <w:rPr>
      <w:rFonts w:ascii="Arial" w:hAnsi="Arial" w:eastAsia="黑体"/>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60"/>
    <w:link w:val="982"/>
    <w:uiPriority w:val="0"/>
    <w:semiHidden/>
    <w:qFormat/>
    <w:rPr>
      <w:sz w:val="18"/>
      <w:szCs w:val="18"/>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60"/>
    <w:link w:val="984"/>
    <w:uiPriority w:val="0"/>
    <w:qFormat/>
    <w:pPr>
      <w:contextualSpacing/>
      <w:ind w:left="720"/>
      <w:jc w:val="left"/>
      <w:widowControl/>
    </w:pPr>
    <w:rPr>
      <w:rFonts w:ascii="Calibri" w:hAnsi="Calibri"/>
      <w:sz w:val="24"/>
      <w:szCs w:val="24"/>
      <w:lang w:eastAsia="en-US" w:bidi="en-US"/>
    </w:rPr>
  </w:style>
  <w:style w:type="character" w:styleId="986" w:customStyle="1">
    <w:name w:val="正文文本 Char"/>
    <w:link w:val="987"/>
    <w:uiPriority w:val="0"/>
    <w:qFormat/>
    <w:rPr>
      <w:rFonts w:ascii="楷体_GB2312" w:hAnsi="Arial" w:eastAsia="楷体_GB2312" w:cs="Times New Roman"/>
      <w:sz w:val="28"/>
      <w:szCs w:val="28"/>
    </w:rPr>
  </w:style>
  <w:style w:type="paragraph" w:styleId="987" w:customStyle="1">
    <w:name w:val="正文文本1"/>
    <w:basedOn w:val="760"/>
    <w:link w:val="986"/>
    <w:uiPriority w:val="0"/>
    <w:qFormat/>
    <w:rPr>
      <w:rFonts w:ascii="楷体_GB2312" w:hAnsi="Arial" w:eastAsia="楷体_GB2312"/>
      <w:sz w:val="28"/>
      <w:szCs w:val="28"/>
    </w:rPr>
  </w:style>
  <w:style w:type="character" w:styleId="988" w:customStyle="1">
    <w:name w:val="标题 8 Char"/>
    <w:link w:val="978"/>
    <w:uiPriority w:val="0"/>
    <w:qFormat/>
    <w:rPr>
      <w:rFonts w:ascii="Arial" w:hAnsi="Arial" w:eastAsia="黑体" w:cs="Times New Roman"/>
      <w:sz w:val="24"/>
      <w:szCs w:val="24"/>
    </w:rPr>
  </w:style>
  <w:style w:type="character" w:styleId="989" w:customStyle="1">
    <w:name w:val="标题 7 Char"/>
    <w:link w:val="977"/>
    <w:uiPriority w:val="0"/>
    <w:qFormat/>
    <w:rPr>
      <w:rFonts w:ascii="Times New Roman" w:hAnsi="Times New Roman" w:eastAsia="宋体" w:cs="Times New Roman"/>
      <w:b/>
      <w:bCs/>
      <w:sz w:val="24"/>
      <w:szCs w:val="24"/>
    </w:rPr>
  </w:style>
  <w:style w:type="character" w:styleId="990" w:customStyle="1">
    <w:name w:val="超链接1"/>
    <w:uiPriority w:val="0"/>
    <w:qFormat/>
    <w:rPr>
      <w:color w:val="0000ff"/>
      <w:u w:val="single"/>
    </w:rPr>
  </w:style>
  <w:style w:type="character" w:styleId="991" w:customStyle="1">
    <w:name w:val="正文文本 3 Char"/>
    <w:link w:val="992"/>
    <w:uiPriority w:val="0"/>
    <w:qFormat/>
    <w:rPr>
      <w:rFonts w:ascii="仿宋_GB2312" w:hAnsi="Arial" w:eastAsia="仿宋_GB2312" w:cs="Times New Roman"/>
      <w:sz w:val="32"/>
      <w:szCs w:val="32"/>
    </w:rPr>
  </w:style>
  <w:style w:type="paragraph" w:styleId="992" w:customStyle="1">
    <w:name w:val="正文文本 31"/>
    <w:basedOn w:val="760"/>
    <w:link w:val="991"/>
    <w:uiPriority w:val="0"/>
    <w:qFormat/>
    <w:rPr>
      <w:rFonts w:ascii="仿宋_GB2312" w:hAnsi="Arial" w:eastAsia="仿宋_GB2312"/>
      <w:sz w:val="32"/>
      <w:szCs w:val="32"/>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标题 6 Char"/>
    <w:link w:val="976"/>
    <w:uiPriority w:val="0"/>
    <w:qFormat/>
    <w:rPr>
      <w:rFonts w:ascii="Arial" w:hAnsi="Arial" w:eastAsia="黑体" w:cs="Times New Roman"/>
      <w:b/>
      <w:bCs/>
      <w:sz w:val="24"/>
      <w:szCs w:val="24"/>
    </w:rPr>
  </w:style>
  <w:style w:type="character" w:styleId="995" w:customStyle="1">
    <w:name w:val="已访问的超链接1"/>
    <w:uiPriority w:val="0"/>
    <w:qFormat/>
    <w:rPr>
      <w:color w:val="800080"/>
      <w:u w:val="single"/>
    </w:rPr>
  </w:style>
  <w:style w:type="character" w:styleId="996" w:customStyle="1">
    <w:name w:val="标题 4 Char"/>
    <w:link w:val="973"/>
    <w:uiPriority w:val="0"/>
    <w:qFormat/>
    <w:rPr>
      <w:rFonts w:ascii="Arial" w:hAnsi="Arial" w:eastAsia="黑体" w:cs="Arial"/>
      <w:b/>
      <w:bCs/>
      <w:sz w:val="28"/>
      <w:szCs w:val="28"/>
    </w:rPr>
  </w:style>
  <w:style w:type="character" w:styleId="997" w:customStyle="1">
    <w:name w:val="二级目录 Char"/>
    <w:link w:val="998"/>
    <w:uiPriority w:val="0"/>
    <w:qFormat/>
    <w:rPr>
      <w:b/>
      <w:sz w:val="30"/>
      <w:szCs w:val="28"/>
    </w:rPr>
  </w:style>
  <w:style w:type="paragraph" w:styleId="998" w:customStyle="1">
    <w:name w:val="二级目录"/>
    <w:next w:val="760"/>
    <w:link w:val="9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9" w:customStyle="1">
    <w:name w:val="页眉 Char"/>
    <w:link w:val="1000"/>
    <w:uiPriority w:val="0"/>
    <w:qFormat/>
    <w:rPr>
      <w:rFonts w:ascii="Times New Roman" w:hAnsi="Times New Roman" w:eastAsia="宋体" w:cs="Times New Roman"/>
      <w:sz w:val="18"/>
      <w:szCs w:val="18"/>
    </w:rPr>
  </w:style>
  <w:style w:type="paragraph" w:styleId="1000" w:customStyle="1">
    <w:name w:val="页眉1"/>
    <w:basedOn w:val="760"/>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码1"/>
    <w:uiPriority w:val="0"/>
    <w:qFormat/>
  </w:style>
  <w:style w:type="character" w:styleId="1002" w:customStyle="1">
    <w:name w:val="正文首行缩进 2 Char"/>
    <w:link w:val="1003"/>
    <w:uiPriority w:val="0"/>
    <w:qFormat/>
    <w:rPr>
      <w:rFonts w:ascii="宋体" w:hAnsi="宋体" w:eastAsia="宋体" w:cs="Times New Roman"/>
      <w:sz w:val="32"/>
      <w:szCs w:val="20"/>
    </w:rPr>
  </w:style>
  <w:style w:type="paragraph" w:styleId="1003" w:customStyle="1">
    <w:name w:val="正文首行缩进 21"/>
    <w:basedOn w:val="1004"/>
    <w:link w:val="1002"/>
    <w:uiPriority w:val="0"/>
    <w:qFormat/>
    <w:pPr>
      <w:ind w:firstLine="420"/>
      <w:spacing w:line="360" w:lineRule="auto"/>
    </w:pPr>
    <w:rPr>
      <w:rFonts w:ascii="宋体" w:hAnsi="宋体" w:eastAsia="宋体"/>
      <w:sz w:val="21"/>
      <w:szCs w:val="20"/>
    </w:rPr>
  </w:style>
  <w:style w:type="paragraph" w:styleId="1004" w:customStyle="1">
    <w:name w:val="正文文本缩进1"/>
    <w:basedOn w:val="760"/>
    <w:link w:val="1020"/>
    <w:uiPriority w:val="0"/>
    <w:qFormat/>
    <w:pPr>
      <w:ind w:firstLine="645"/>
    </w:pPr>
    <w:rPr>
      <w:rFonts w:ascii="楷体_GB2312" w:eastAsia="楷体_GB2312"/>
      <w:sz w:val="32"/>
      <w:szCs w:val="32"/>
    </w:rPr>
  </w:style>
  <w:style w:type="character" w:styleId="1005" w:customStyle="1">
    <w:name w:val="标题 3 Char"/>
    <w:link w:val="972"/>
    <w:uiPriority w:val="0"/>
    <w:qFormat/>
    <w:rPr>
      <w:rFonts w:ascii="Times New Roman" w:hAnsi="Times New Roman" w:eastAsia="宋体" w:cs="Times New Roman"/>
      <w:b/>
      <w:bCs/>
      <w:sz w:val="32"/>
      <w:szCs w:val="32"/>
    </w:rPr>
  </w:style>
  <w:style w:type="character" w:styleId="1006" w:customStyle="1">
    <w:name w:val="批注文字 Char"/>
    <w:link w:val="1007"/>
    <w:uiPriority w:val="0"/>
    <w:semiHidden/>
    <w:qFormat/>
    <w:rPr>
      <w:rFonts w:ascii="Times New Roman" w:hAnsi="Times New Roman" w:eastAsia="宋体" w:cs="Times New Roman"/>
      <w:szCs w:val="21"/>
    </w:rPr>
  </w:style>
  <w:style w:type="paragraph" w:styleId="1007" w:customStyle="1">
    <w:name w:val="批注文字1"/>
    <w:basedOn w:val="760"/>
    <w:link w:val="1006"/>
    <w:uiPriority w:val="0"/>
    <w:semiHidden/>
    <w:qFormat/>
    <w:pPr>
      <w:jc w:val="left"/>
    </w:pPr>
  </w:style>
  <w:style w:type="character" w:styleId="1008" w:customStyle="1">
    <w:name w:val="正文缩进 Char"/>
    <w:link w:val="974"/>
    <w:uiPriority w:val="0"/>
    <w:qFormat/>
    <w:rPr>
      <w:rFonts w:ascii="Times New Roman" w:hAnsi="Times New Roman" w:eastAsia="宋体" w:cs="Times New Roman"/>
      <w:szCs w:val="21"/>
    </w:rPr>
  </w:style>
  <w:style w:type="character" w:styleId="1009" w:customStyle="1">
    <w:name w:val="日期 Char"/>
    <w:link w:val="1010"/>
    <w:uiPriority w:val="0"/>
    <w:qFormat/>
    <w:rPr>
      <w:rFonts w:ascii="Times New Roman" w:hAnsi="Times New Roman" w:eastAsia="宋体" w:cs="Times New Roman"/>
      <w:sz w:val="24"/>
      <w:szCs w:val="24"/>
    </w:rPr>
  </w:style>
  <w:style w:type="paragraph" w:styleId="1010" w:customStyle="1">
    <w:name w:val="日期1"/>
    <w:basedOn w:val="760"/>
    <w:next w:val="760"/>
    <w:link w:val="1009"/>
    <w:uiPriority w:val="0"/>
    <w:qFormat/>
    <w:rPr>
      <w:sz w:val="24"/>
      <w:szCs w:val="24"/>
    </w:rPr>
  </w:style>
  <w:style w:type="character" w:styleId="1011" w:customStyle="1">
    <w:name w:val="要点1"/>
    <w:uiPriority w:val="0"/>
    <w:qFormat/>
    <w:rPr>
      <w:b/>
      <w:bCs/>
    </w:rPr>
  </w:style>
  <w:style w:type="character" w:styleId="1012" w:customStyle="1">
    <w:name w:val="页脚 Char"/>
    <w:link w:val="1013"/>
    <w:uiPriority w:val="0"/>
    <w:qFormat/>
    <w:rPr>
      <w:rFonts w:ascii="Times New Roman" w:hAnsi="Times New Roman" w:eastAsia="宋体" w:cs="Times New Roman"/>
      <w:sz w:val="18"/>
      <w:szCs w:val="18"/>
    </w:rPr>
  </w:style>
  <w:style w:type="paragraph" w:styleId="1013" w:customStyle="1">
    <w:name w:val="页脚1"/>
    <w:basedOn w:val="760"/>
    <w:link w:val="1012"/>
    <w:uiPriority w:val="0"/>
    <w:qFormat/>
    <w:pPr>
      <w:jc w:val="left"/>
      <w:tabs>
        <w:tab w:val="center" w:pos="4153" w:leader="none"/>
        <w:tab w:val="right" w:pos="8306" w:leader="none"/>
      </w:tabs>
    </w:pPr>
    <w:rPr>
      <w:sz w:val="18"/>
      <w:szCs w:val="18"/>
    </w:rPr>
  </w:style>
  <w:style w:type="character" w:styleId="1014" w:customStyle="1">
    <w:name w:val="批注引用1"/>
    <w:uiPriority w:val="0"/>
    <w:semiHidden/>
    <w:qFormat/>
    <w:rPr>
      <w:sz w:val="21"/>
      <w:szCs w:val="21"/>
    </w:rPr>
  </w:style>
  <w:style w:type="character" w:styleId="1015" w:customStyle="1">
    <w:name w:val="标题 5 Char"/>
    <w:link w:val="975"/>
    <w:uiPriority w:val="0"/>
    <w:qFormat/>
    <w:rPr>
      <w:rFonts w:ascii="宋体" w:hAnsi="Times New Roman" w:eastAsia="宋体" w:cs="Times New Roman"/>
      <w:color w:val="000000"/>
      <w:sz w:val="28"/>
      <w:szCs w:val="28"/>
    </w:rPr>
  </w:style>
  <w:style w:type="character" w:styleId="1016" w:customStyle="1">
    <w:name w:val="文档结构图 Char"/>
    <w:link w:val="1017"/>
    <w:uiPriority w:val="0"/>
    <w:semiHidden/>
    <w:qFormat/>
    <w:rPr>
      <w:rFonts w:ascii="Times New Roman" w:hAnsi="Times New Roman" w:eastAsia="宋体" w:cs="Times New Roman"/>
      <w:szCs w:val="21"/>
      <w:shd w:val="clear" w:color="auto" w:fill="000080"/>
    </w:rPr>
  </w:style>
  <w:style w:type="paragraph" w:styleId="1017" w:customStyle="1">
    <w:name w:val="文档结构图1"/>
    <w:basedOn w:val="760"/>
    <w:link w:val="1016"/>
    <w:uiPriority w:val="0"/>
    <w:semiHidden/>
    <w:qFormat/>
    <w:pPr>
      <w:shd w:val="clear" w:color="auto" w:fill="000080"/>
    </w:pPr>
  </w:style>
  <w:style w:type="character" w:styleId="1018" w:customStyle="1">
    <w:name w:val="正文文本缩进 3 Char"/>
    <w:link w:val="1019"/>
    <w:uiPriority w:val="0"/>
    <w:qFormat/>
    <w:rPr>
      <w:rFonts w:ascii="Arial" w:hAnsi="Arial" w:eastAsia="仿宋_GB2312" w:cs="Arial"/>
      <w:color w:val="ffff00"/>
      <w:sz w:val="32"/>
      <w:szCs w:val="32"/>
    </w:rPr>
  </w:style>
  <w:style w:type="paragraph" w:styleId="1019" w:customStyle="1">
    <w:name w:val="正文文本缩进 31"/>
    <w:basedOn w:val="760"/>
    <w:link w:val="1018"/>
    <w:uiPriority w:val="0"/>
    <w:qFormat/>
    <w:pPr>
      <w:ind w:left="645" w:firstLine="645"/>
    </w:pPr>
    <w:rPr>
      <w:rFonts w:ascii="Arial" w:hAnsi="Arial" w:eastAsia="仿宋_GB2312" w:cs="Arial"/>
      <w:color w:val="ffff00"/>
      <w:sz w:val="32"/>
      <w:szCs w:val="32"/>
    </w:rPr>
  </w:style>
  <w:style w:type="character" w:styleId="1020" w:customStyle="1">
    <w:name w:val="正文文本缩进 Char"/>
    <w:link w:val="1004"/>
    <w:uiPriority w:val="0"/>
    <w:qFormat/>
    <w:rPr>
      <w:rFonts w:ascii="楷体_GB2312" w:hAnsi="Times New Roman" w:eastAsia="楷体_GB2312" w:cs="Times New Roman"/>
      <w:sz w:val="32"/>
      <w:szCs w:val="32"/>
    </w:rPr>
  </w:style>
  <w:style w:type="character" w:styleId="1021" w:customStyle="1">
    <w:name w:val="纯文本 Char"/>
    <w:link w:val="1022"/>
    <w:uiPriority w:val="0"/>
    <w:qFormat/>
    <w:rPr>
      <w:rFonts w:ascii="宋体" w:hAnsi="Courier New" w:eastAsia="宋体" w:cs="Courier New"/>
      <w:szCs w:val="21"/>
    </w:rPr>
  </w:style>
  <w:style w:type="paragraph" w:styleId="1022" w:customStyle="1">
    <w:name w:val="纯文本1"/>
    <w:basedOn w:val="760"/>
    <w:link w:val="1021"/>
    <w:uiPriority w:val="0"/>
    <w:qFormat/>
    <w:rPr>
      <w:rFonts w:ascii="宋体" w:hAnsi="Courier New" w:cs="Courier New"/>
    </w:rPr>
  </w:style>
  <w:style w:type="character" w:styleId="1023" w:customStyle="1">
    <w:name w:val="标题 1 Char"/>
    <w:link w:val="970"/>
    <w:uiPriority w:val="0"/>
    <w:qFormat/>
    <w:rPr>
      <w:rFonts w:ascii="楷体_GB2312" w:hAnsi="楷体_GB2312" w:eastAsia="黑体" w:cs="Times New Roman"/>
      <w:sz w:val="44"/>
      <w:szCs w:val="28"/>
    </w:rPr>
  </w:style>
  <w:style w:type="character" w:styleId="1024" w:customStyle="1">
    <w:name w:val="标题 2 Char"/>
    <w:link w:val="971"/>
    <w:uiPriority w:val="0"/>
    <w:qFormat/>
    <w:rPr>
      <w:rFonts w:ascii="Arial" w:hAnsi="Arial" w:eastAsia="幼圆" w:cs="Arial"/>
      <w:b/>
      <w:bCs/>
      <w:sz w:val="44"/>
      <w:szCs w:val="44"/>
    </w:rPr>
  </w:style>
  <w:style w:type="character" w:styleId="1025" w:customStyle="1">
    <w:name w:val="标题 9 Char"/>
    <w:link w:val="979"/>
    <w:uiPriority w:val="0"/>
    <w:qFormat/>
    <w:rPr>
      <w:rFonts w:ascii="Arial" w:hAnsi="Arial" w:eastAsia="黑体" w:cs="Times New Roman"/>
      <w:szCs w:val="21"/>
    </w:rPr>
  </w:style>
  <w:style w:type="character" w:styleId="1026" w:customStyle="1">
    <w:name w:val="正文文本缩进 2 Char"/>
    <w:link w:val="1027"/>
    <w:uiPriority w:val="0"/>
    <w:qFormat/>
    <w:rPr>
      <w:rFonts w:ascii="Arial" w:hAnsi="Arial" w:eastAsia="仿宋_GB2312" w:cs="Arial"/>
      <w:sz w:val="32"/>
      <w:szCs w:val="32"/>
    </w:rPr>
  </w:style>
  <w:style w:type="paragraph" w:styleId="1027" w:customStyle="1">
    <w:name w:val="正文文本缩进 21"/>
    <w:basedOn w:val="760"/>
    <w:link w:val="1026"/>
    <w:uiPriority w:val="0"/>
    <w:qFormat/>
    <w:pPr>
      <w:ind w:left="630" w:firstLine="645"/>
    </w:pPr>
    <w:rPr>
      <w:rFonts w:ascii="Arial" w:hAnsi="Arial" w:eastAsia="仿宋_GB2312" w:cs="Arial"/>
      <w:sz w:val="32"/>
      <w:szCs w:val="32"/>
    </w:r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760"/>
    <w:link w:val="1028"/>
    <w:uiPriority w:val="0"/>
    <w:qFormat/>
    <w:pPr>
      <w:jc w:val="center"/>
      <w:widowControl/>
    </w:pPr>
    <w:rPr>
      <w:rFonts w:ascii="楷体_GB2312" w:eastAsia="楷体_GB2312"/>
      <w:sz w:val="28"/>
      <w:szCs w:val="28"/>
    </w:rPr>
  </w:style>
  <w:style w:type="character" w:styleId="1030" w:customStyle="1">
    <w:name w:val="批注主题 Char"/>
    <w:link w:val="1031"/>
    <w:uiPriority w:val="0"/>
    <w:semiHidden/>
    <w:qFormat/>
    <w:rPr>
      <w:rFonts w:ascii="Times New Roman" w:hAnsi="Times New Roman" w:eastAsia="宋体" w:cs="Times New Roman"/>
      <w:b/>
      <w:bCs/>
      <w:szCs w:val="21"/>
    </w:rPr>
  </w:style>
  <w:style w:type="paragraph" w:styleId="1031" w:customStyle="1">
    <w:name w:val="批注主题1"/>
    <w:basedOn w:val="1007"/>
    <w:next w:val="1007"/>
    <w:link w:val="1030"/>
    <w:uiPriority w:val="0"/>
    <w:semiHidden/>
    <w:qFormat/>
    <w:rPr>
      <w:b/>
      <w:bCs/>
    </w:rPr>
  </w:style>
  <w:style w:type="character" w:styleId="1032" w:customStyle="1">
    <w:name w:val="正文首行缩进 Char"/>
    <w:link w:val="1033"/>
    <w:uiPriority w:val="0"/>
    <w:qFormat/>
    <w:rPr>
      <w:rFonts w:ascii="仿宋_GB2312" w:hAnsi="Times New Roman" w:eastAsia="仿宋_GB2312" w:cs="Times New Roman"/>
      <w:sz w:val="30"/>
      <w:szCs w:val="30"/>
    </w:rPr>
  </w:style>
  <w:style w:type="paragraph" w:styleId="1033" w:customStyle="1">
    <w:name w:val="正文首行缩进1"/>
    <w:basedOn w:val="760"/>
    <w:link w:val="1032"/>
    <w:uiPriority w:val="0"/>
    <w:qFormat/>
    <w:pPr>
      <w:ind w:firstLine="200"/>
      <w:spacing w:line="360" w:lineRule="auto"/>
    </w:pPr>
    <w:rPr>
      <w:rFonts w:ascii="仿宋_GB2312" w:eastAsia="仿宋_GB2312"/>
      <w:sz w:val="30"/>
      <w:szCs w:val="30"/>
    </w:rPr>
  </w:style>
  <w:style w:type="paragraph" w:styleId="1034" w:customStyle="1">
    <w:name w:val="table_lines"/>
    <w:basedOn w:val="760"/>
    <w:uiPriority w:val="0"/>
    <w:qFormat/>
    <w:pPr>
      <w:jc w:val="left"/>
      <w:widowControl/>
    </w:pPr>
    <w:rPr>
      <w:sz w:val="20"/>
      <w:szCs w:val="20"/>
      <w:lang w:val="de-DE" w:eastAsia="de-DE"/>
    </w:rPr>
  </w:style>
  <w:style w:type="paragraph" w:styleId="1035" w:customStyle="1">
    <w:name w:val="Char"/>
    <w:basedOn w:val="1017"/>
    <w:uiPriority w:val="0"/>
    <w:qFormat/>
    <w:rPr>
      <w:rFonts w:ascii="Tahoma" w:hAnsi="Tahoma"/>
      <w:sz w:val="24"/>
      <w:szCs w:val="24"/>
    </w:rPr>
  </w:style>
  <w:style w:type="paragraph" w:styleId="1036" w:customStyle="1">
    <w:name w:val="索引 11"/>
    <w:basedOn w:val="760"/>
    <w:next w:val="760"/>
    <w:uiPriority w:val="0"/>
    <w:semiHidden/>
    <w:qFormat/>
    <w:pPr>
      <w:spacing w:line="240" w:lineRule="atLeast"/>
    </w:pPr>
    <w:rPr>
      <w:b/>
      <w:bCs/>
    </w:rPr>
  </w:style>
  <w:style w:type="paragraph" w:styleId="1037" w:customStyle="1">
    <w:name w:val="目录 51"/>
    <w:basedOn w:val="760"/>
    <w:next w:val="760"/>
    <w:uiPriority w:val="0"/>
    <w:semiHidden/>
    <w:qFormat/>
    <w:pPr>
      <w:ind w:left="840"/>
      <w:jc w:val="left"/>
    </w:pPr>
  </w:style>
  <w:style w:type="paragraph" w:styleId="1038" w:customStyle="1">
    <w:name w:val="Char Char Char Char"/>
    <w:basedOn w:val="1017"/>
    <w:uiPriority w:val="0"/>
    <w:qFormat/>
    <w:pPr>
      <w:spacing w:line="360" w:lineRule="auto"/>
    </w:pPr>
    <w:rPr>
      <w:rFonts w:ascii="Tahoma" w:hAnsi="Tahoma"/>
      <w:sz w:val="24"/>
      <w:szCs w:val="24"/>
    </w:rPr>
  </w:style>
  <w:style w:type="paragraph" w:styleId="1039" w:customStyle="1">
    <w:name w:val="列出段落2"/>
    <w:basedOn w:val="760"/>
    <w:uiPriority w:val="0"/>
    <w:qFormat/>
    <w:pPr>
      <w:contextualSpacing/>
      <w:ind w:left="720"/>
      <w:jc w:val="left"/>
      <w:widowControl/>
    </w:pPr>
    <w:rPr>
      <w:rFonts w:ascii="Calibri" w:hAnsi="Calibri"/>
      <w:sz w:val="24"/>
      <w:szCs w:val="24"/>
      <w:lang w:eastAsia="en-US" w:bidi="en-US"/>
    </w:rPr>
  </w:style>
  <w:style w:type="paragraph" w:styleId="1040" w:customStyle="1">
    <w:name w:val="普通(网站)1"/>
    <w:basedOn w:val="760"/>
    <w:uiPriority w:val="99"/>
    <w:qFormat/>
    <w:pPr>
      <w:jc w:val="left"/>
      <w:spacing w:before="100" w:beforeAutospacing="1" w:after="100" w:afterAutospacing="1"/>
      <w:widowControl/>
    </w:pPr>
    <w:rPr>
      <w:rFonts w:ascii="宋体" w:hAnsi="宋体" w:cs="宋体"/>
      <w:sz w:val="24"/>
      <w:szCs w:val="24"/>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普通 (Web)"/>
    <w:basedOn w:val="760"/>
    <w:uiPriority w:val="0"/>
    <w:qFormat/>
    <w:pPr>
      <w:jc w:val="left"/>
      <w:spacing w:before="100" w:beforeAutospacing="1" w:after="100" w:afterAutospacing="1"/>
      <w:widowControl/>
    </w:pPr>
    <w:rPr>
      <w:rFonts w:ascii="宋体" w:hAnsi="宋体"/>
      <w:sz w:val="24"/>
      <w:szCs w:val="24"/>
    </w:rPr>
  </w:style>
  <w:style w:type="paragraph" w:styleId="1043" w:customStyle="1">
    <w:name w:val="xl27"/>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目录 81"/>
    <w:basedOn w:val="760"/>
    <w:next w:val="760"/>
    <w:uiPriority w:val="0"/>
    <w:semiHidden/>
    <w:qFormat/>
    <w:pPr>
      <w:ind w:left="1470"/>
      <w:jc w:val="left"/>
    </w:pPr>
  </w:style>
  <w:style w:type="paragraph" w:styleId="1045" w:customStyle="1">
    <w:name w:val="目录 91"/>
    <w:basedOn w:val="760"/>
    <w:next w:val="760"/>
    <w:uiPriority w:val="0"/>
    <w:semiHidden/>
    <w:qFormat/>
    <w:pPr>
      <w:ind w:left="1680"/>
      <w:jc w:val="left"/>
    </w:pPr>
  </w:style>
  <w:style w:type="paragraph" w:styleId="1046" w:customStyle="1">
    <w:name w:val="Char1"/>
    <w:basedOn w:val="760"/>
    <w:uiPriority w:val="0"/>
    <w:qFormat/>
    <w:pPr>
      <w:ind w:firstLine="200"/>
      <w:tabs>
        <w:tab w:val="left" w:pos="360" w:leader="none"/>
      </w:tabs>
    </w:pPr>
    <w:rPr>
      <w:sz w:val="28"/>
      <w:szCs w:val="30"/>
    </w:rPr>
  </w:style>
  <w:style w:type="paragraph" w:styleId="1047" w:customStyle="1">
    <w:name w:val="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Char Char Char Char Char Char"/>
    <w:basedOn w:val="760"/>
    <w:uiPriority w:val="0"/>
    <w:qFormat/>
    <w:pPr>
      <w:spacing w:line="360" w:lineRule="auto"/>
    </w:pPr>
    <w:rPr>
      <w:sz w:val="24"/>
      <w:szCs w:val="20"/>
    </w:rPr>
  </w:style>
  <w:style w:type="paragraph" w:styleId="1050"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table_1stline"/>
    <w:basedOn w:val="760"/>
    <w:uiPriority w:val="0"/>
    <w:qFormat/>
    <w:pPr>
      <w:jc w:val="left"/>
      <w:spacing w:before="120"/>
      <w:widowControl/>
    </w:pPr>
    <w:rPr>
      <w:bCs/>
      <w:sz w:val="20"/>
      <w:szCs w:val="20"/>
      <w:lang w:val="de-DE" w:eastAsia="de-DE"/>
    </w:rPr>
  </w:style>
  <w:style w:type="paragraph" w:styleId="1052"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目录 31"/>
    <w:basedOn w:val="760"/>
    <w:next w:val="760"/>
    <w:uiPriority w:val="0"/>
    <w:semiHidden/>
    <w:qFormat/>
    <w:pPr>
      <w:ind w:left="420"/>
      <w:jc w:val="left"/>
    </w:pPr>
    <w:rPr>
      <w:i/>
      <w:iCs/>
      <w:szCs w:val="24"/>
    </w:rPr>
  </w:style>
  <w:style w:type="paragraph" w:styleId="1054" w:customStyle="1">
    <w:name w:val="目录 61"/>
    <w:basedOn w:val="760"/>
    <w:next w:val="760"/>
    <w:uiPriority w:val="0"/>
    <w:semiHidden/>
    <w:qFormat/>
    <w:pPr>
      <w:ind w:left="1050"/>
      <w:jc w:val="left"/>
    </w:pPr>
  </w:style>
  <w:style w:type="paragraph" w:styleId="1055" w:customStyle="1">
    <w:name w:val="目录 71"/>
    <w:basedOn w:val="760"/>
    <w:next w:val="760"/>
    <w:uiPriority w:val="0"/>
    <w:semiHidden/>
    <w:qFormat/>
    <w:pPr>
      <w:ind w:left="1260"/>
      <w:jc w:val="left"/>
    </w:pPr>
  </w:style>
  <w:style w:type="paragraph" w:styleId="1056"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57" w:customStyle="1">
    <w:name w:val="标题3"/>
    <w:basedOn w:val="760"/>
    <w:next w:val="760"/>
    <w:uiPriority w:val="0"/>
    <w:qFormat/>
    <w:pPr>
      <w:ind w:firstLine="624"/>
      <w:spacing w:line="590" w:lineRule="atLeast"/>
    </w:pPr>
    <w:rPr>
      <w:rFonts w:ascii="方正黑体_GBK" w:eastAsia="方正黑体_GBK"/>
      <w:sz w:val="32"/>
      <w:szCs w:val="32"/>
    </w:rPr>
  </w:style>
  <w:style w:type="paragraph" w:styleId="1058" w:customStyle="1">
    <w:name w:val="列表 31"/>
    <w:basedOn w:val="760"/>
    <w:uiPriority w:val="0"/>
    <w:qFormat/>
    <w:pPr>
      <w:ind w:left="100" w:hanging="200"/>
    </w:pPr>
  </w:style>
  <w:style w:type="paragraph" w:styleId="1059" w:customStyle="1">
    <w:name w:val="目录 11"/>
    <w:basedOn w:val="760"/>
    <w:next w:val="760"/>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30"/>
    <w:basedOn w:val="760"/>
    <w:uiPriority w:val="0"/>
    <w:qFormat/>
    <w:pPr>
      <w:jc w:val="center"/>
      <w:spacing w:before="100" w:beforeAutospacing="1" w:after="100" w:afterAutospacing="1"/>
      <w:widowControl/>
    </w:pPr>
    <w:rPr>
      <w:rFonts w:ascii="宋体" w:hAnsi="宋体"/>
      <w:b/>
      <w:bCs/>
      <w:sz w:val="36"/>
      <w:szCs w:val="36"/>
    </w:rPr>
  </w:style>
  <w:style w:type="paragraph" w:styleId="1061" w:customStyle="1">
    <w:name w:val="目录 41"/>
    <w:basedOn w:val="760"/>
    <w:next w:val="760"/>
    <w:uiPriority w:val="0"/>
    <w:semiHidden/>
    <w:qFormat/>
    <w:pPr>
      <w:ind w:left="630"/>
      <w:jc w:val="left"/>
    </w:pPr>
  </w:style>
  <w:style w:type="paragraph" w:styleId="1062" w:customStyle="1">
    <w:name w:val="4"/>
    <w:basedOn w:val="760"/>
    <w:next w:val="1019"/>
    <w:uiPriority w:val="0"/>
    <w:qFormat/>
    <w:pPr>
      <w:ind w:firstLine="420"/>
      <w:spacing w:line="360" w:lineRule="auto"/>
    </w:pPr>
    <w:rPr>
      <w:color w:val="ff0000"/>
      <w:sz w:val="24"/>
      <w:szCs w:val="24"/>
    </w:rPr>
  </w:style>
  <w:style w:type="paragraph" w:styleId="1063" w:customStyle="1">
    <w:name w:val="列表 21"/>
    <w:basedOn w:val="760"/>
    <w:uiPriority w:val="0"/>
    <w:qFormat/>
    <w:pPr>
      <w:ind w:left="100" w:hanging="200"/>
    </w:pPr>
  </w:style>
  <w:style w:type="paragraph" w:styleId="1064" w:customStyle="1">
    <w:name w:val="目录 21"/>
    <w:basedOn w:val="760"/>
    <w:next w:val="760"/>
    <w:uiPriority w:val="0"/>
    <w:semiHidden/>
    <w:qFormat/>
    <w:pPr>
      <w:ind w:left="210"/>
      <w:jc w:val="left"/>
    </w:pPr>
    <w:rPr>
      <w:smallCaps/>
      <w:szCs w:val="24"/>
    </w:rPr>
  </w:style>
  <w:style w:type="paragraph" w:styleId="1065" w:customStyle="1">
    <w:name w:val="Char Char Char Char1"/>
    <w:basedOn w:val="1017"/>
    <w:uiPriority w:val="0"/>
    <w:qFormat/>
    <w:pPr>
      <w:spacing w:line="360" w:lineRule="auto"/>
    </w:pPr>
    <w:rPr>
      <w:rFonts w:ascii="Tahoma" w:hAnsi="Tahoma"/>
      <w:sz w:val="24"/>
      <w:szCs w:val="24"/>
    </w:rPr>
  </w:style>
  <w:style w:type="paragraph" w:styleId="1066"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67" w:customStyle="1">
    <w:name w:val="Body Text(ch)"/>
    <w:basedOn w:val="760"/>
    <w:next w:val="987"/>
    <w:uiPriority w:val="0"/>
    <w:qFormat/>
    <w:pPr>
      <w:spacing w:after="120"/>
    </w:pPr>
    <w:rPr>
      <w:rFonts w:ascii="宋体" w:hAnsi="Arial"/>
      <w:bCs/>
      <w:iCs/>
      <w:szCs w:val="24"/>
    </w:rPr>
  </w:style>
  <w:style w:type="paragraph" w:styleId="1068" w:customStyle="1">
    <w:name w:val="列表1"/>
    <w:basedOn w:val="760"/>
    <w:uiPriority w:val="0"/>
    <w:qFormat/>
    <w:pPr>
      <w:ind w:left="200" w:hanging="200"/>
    </w:pPr>
  </w:style>
  <w:style w:type="paragraph" w:styleId="1069" w:customStyle="1">
    <w:name w:val="样式1"/>
    <w:basedOn w:val="760"/>
    <w:uiPriority w:val="0"/>
    <w:qFormat/>
    <w:pPr>
      <w:numPr>
        <w:ilvl w:val="0"/>
        <w:numId w:val="4"/>
      </w:numPr>
    </w:pPr>
    <w:rPr>
      <w:rFonts w:ascii="宋体" w:hAnsi="宋体"/>
    </w:rPr>
  </w:style>
  <w:style w:type="paragraph" w:styleId="1070" w:customStyle="1">
    <w:name w:val="xl29"/>
    <w:basedOn w:val="7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font5"/>
    <w:basedOn w:val="760"/>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图表目录1"/>
    <w:basedOn w:val="760"/>
    <w:next w:val="760"/>
    <w:uiPriority w:val="0"/>
    <w:semiHidden/>
    <w:qFormat/>
    <w:pPr>
      <w:ind w:left="840" w:hanging="420"/>
    </w:pPr>
  </w:style>
  <w:style w:type="paragraph" w:styleId="1073"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font6"/>
    <w:basedOn w:val="760"/>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24"/>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Char Char Char Char Char Char Char1"/>
    <w:basedOn w:val="760"/>
    <w:uiPriority w:val="0"/>
    <w:qFormat/>
    <w:pPr>
      <w:jc w:val="left"/>
      <w:spacing w:after="160" w:line="240" w:lineRule="exact"/>
      <w:widowControl/>
    </w:pPr>
    <w:rPr>
      <w:rFonts w:ascii="Verdana" w:hAnsi="Verdana"/>
      <w:sz w:val="20"/>
      <w:szCs w:val="20"/>
      <w:lang w:eastAsia="en-US"/>
    </w:rPr>
  </w:style>
  <w:style w:type="paragraph" w:styleId="1078"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1"/>
    <w:uiPriority w:val="99"/>
    <w:semiHidden/>
    <w:qFormat/>
    <w:rPr>
      <w:rFonts w:ascii="Times New Roman" w:hAnsi="Times New Roman" w:eastAsia="宋体" w:cs="Times New Roman"/>
      <w:sz w:val="21"/>
      <w:szCs w:val="21"/>
      <w:lang w:val="en-US" w:eastAsia="zh-CN" w:bidi="ar-SA"/>
    </w:rPr>
  </w:style>
  <w:style w:type="paragraph" w:styleId="1080" w:customStyle="1">
    <w:name w:val="正文1"/>
    <w:basedOn w:val="760"/>
    <w:next w:val="760"/>
    <w:uiPriority w:val="99"/>
    <w:qFormat/>
    <w:pPr>
      <w:ind w:firstLine="480"/>
      <w:spacing w:line="440" w:lineRule="exact"/>
    </w:pPr>
    <w:rPr>
      <w:rFonts w:ascii="微软雅黑" w:hAnsi="微软雅黑" w:eastAsia="微软雅黑"/>
      <w:sz w:val="24"/>
      <w:szCs w:val="20"/>
    </w:rPr>
  </w:style>
  <w:style w:type="table" w:styleId="1081" w:customStyle="1">
    <w:name w:val="网格型1"/>
    <w:basedOn w:val="981"/>
    <w:uiPriority w:val="0"/>
    <w:qFormat/>
    <w:pPr>
      <w:jc w:val="both"/>
      <w:widowControl w:val="off"/>
    </w:pPr>
    <w:tblPr/>
  </w:style>
  <w:style w:type="character" w:styleId="1082" w:customStyle="1">
    <w:name w:val="正文文本 Char1"/>
    <w:basedOn w:val="770"/>
    <w:uiPriority w:val="99"/>
    <w:semiHidden/>
    <w:qFormat/>
    <w:rPr>
      <w:rFonts w:ascii="Times New Roman" w:hAnsi="Times New Roman"/>
      <w:sz w:val="21"/>
      <w:szCs w:val="21"/>
    </w:rPr>
  </w:style>
  <w:style w:type="paragraph" w:styleId="1083" w:customStyle="1">
    <w:name w:val="正文2"/>
    <w:basedOn w:val="760"/>
    <w:uiPriority w:val="0"/>
    <w:qFormat/>
    <w:pPr>
      <w:spacing w:line="360" w:lineRule="auto"/>
      <w:tabs>
        <w:tab w:val="left" w:pos="6480" w:leader="none"/>
      </w:tabs>
    </w:pPr>
    <w:rPr>
      <w:sz w:val="24"/>
      <w:szCs w:val="24"/>
    </w:rPr>
  </w:style>
  <w:style w:type="paragraph" w:styleId="1084" w:customStyle="1">
    <w:name w:val="1 正文"/>
    <w:basedOn w:val="760"/>
    <w:uiPriority w:val="0"/>
    <w:qFormat/>
    <w:pPr>
      <w:ind w:firstLine="420"/>
      <w:spacing w:line="360" w:lineRule="auto"/>
    </w:pPr>
    <w:rPr>
      <w:rFonts w:ascii="宋体" w:hAnsi="宋体"/>
      <w:sz w:val="24"/>
      <w:szCs w:val="24"/>
    </w:rPr>
  </w:style>
  <w:style w:type="paragraph" w:styleId="1085" w:customStyle="1">
    <w:name w:val="A正文"/>
    <w:basedOn w:val="760"/>
    <w:uiPriority w:val="0"/>
    <w:qFormat/>
    <w:pPr>
      <w:ind w:firstLine="200"/>
      <w:spacing w:line="360" w:lineRule="auto"/>
    </w:pPr>
    <w:rPr>
      <w:rFonts w:cs="宋体"/>
      <w:sz w:val="24"/>
      <w:szCs w:val="28"/>
      <w:lang w:eastAsia="zh-Hans"/>
    </w:rPr>
  </w:style>
  <w:style w:type="paragraph" w:styleId="1086"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87"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88"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89" w:customStyle="1">
    <w:name w:val="UserStyle_11"/>
    <w:uiPriority w:val="0"/>
    <w:qFormat/>
    <w:rPr>
      <w:sz w:val="21"/>
      <w:szCs w:val="21"/>
      <w:lang w:val="en-US" w:eastAsia="zh-CN" w:bidi="ar-SA"/>
    </w:rPr>
  </w:style>
  <w:style w:type="character" w:styleId="1090" w:customStyle="1">
    <w:name w:val="NormalCharacter"/>
    <w:uiPriority w:val="0"/>
    <w:qFormat/>
  </w:style>
  <w:style w:type="paragraph" w:styleId="10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11</cp:revision>
  <dcterms:created xsi:type="dcterms:W3CDTF">2026-06-04T14:30:00Z</dcterms:created>
  <dcterms:modified xsi:type="dcterms:W3CDTF">2026-07-02T01:36:05Z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7F323219F6AD4FF39F6085465E85570D_13</vt:lpwstr>
  </property>
  <property fmtid="{D5CDD505-2E9C-101B-9397-08002B2CF9AE}" pid="4" name="KSOTemplateDocerSaveRecord">
    <vt:lpwstr>eyJoZGlkIjoiZmQ2MDMzZmM1ZjRlYWVlMzZjMzA5NDU5ZWU3NmUwMjYiLCJ1c2VySWQiOiIxMzU0NDA5MjkzIn0=</vt:lpwstr>
  </property>
</Properties>
</file>