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rPr>
          <w:rFonts w:hint="eastAsia" w:eastAsia="黑体"/>
          <w:b/>
          <w:bCs/>
          <w:color w:val="auto"/>
          <w:sz w:val="84"/>
          <w:highlight w:val="none"/>
        </w:rPr>
      </w:pPr>
      <w:r>
        <w:rPr>
          <w:rFonts w:hint="eastAsia" w:eastAsia="黑体"/>
          <w:b/>
          <w:bCs/>
          <w:color w:val="auto"/>
          <w:sz w:val="84"/>
          <w:highlight w:val="none"/>
        </w:rPr>
      </w:r>
      <w:r/>
    </w:p>
    <w:p>
      <w:pPr>
        <w:pStyle w:val="1010"/>
        <w:ind w:firstLine="0"/>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pStyle w:val="1010"/>
        <w:ind w:firstLine="0"/>
        <w:jc w:val="center"/>
        <w:rPr>
          <w:rFonts w:hint="eastAsia" w:eastAsia="黑体"/>
          <w:b/>
          <w:bCs/>
          <w:color w:val="auto"/>
          <w:sz w:val="84"/>
          <w:highlight w:val="none"/>
        </w:rPr>
      </w:pPr>
      <w:r>
        <w:rPr>
          <w:rFonts w:hint="eastAsia" w:eastAsia="黑体"/>
          <w:b/>
          <w:bCs/>
          <w:color w:val="auto"/>
          <w:sz w:val="84"/>
          <w:highlight w:val="none"/>
        </w:rPr>
      </w:r>
      <w:r/>
    </w:p>
    <w:p>
      <w:pPr>
        <w:ind w:left="0" w:firstLine="220"/>
        <w:jc w:val="left"/>
        <w:spacing w:before="120" w:after="120" w:line="360" w:lineRule="auto"/>
        <w:rPr>
          <w:rFonts w:hint="default" w:ascii="Arial" w:hAnsi="Arial"/>
          <w:b/>
          <w:bCs/>
          <w:color w:val="auto"/>
          <w:sz w:val="32"/>
          <w:szCs w:val="24"/>
          <w:highlight w:val="none"/>
          <w:u w:val="single"/>
          <w:lang w:val="en-US"/>
        </w:rPr>
        <w:outlineLvl w:val="0"/>
      </w:pPr>
      <w:r>
        <w:rPr>
          <w:rFonts w:hint="eastAsia" w:ascii="Arial" w:hAnsi="Arial"/>
          <w:b/>
          <w:bCs/>
          <w:color w:val="auto"/>
          <w:sz w:val="32"/>
          <w:szCs w:val="24"/>
          <w:highlight w:val="none"/>
        </w:rPr>
        <w:t xml:space="preserve">项目名称：</w:t>
      </w:r>
      <w:r>
        <w:rPr>
          <w:rFonts w:hint="eastAsia" w:ascii="Arial" w:hAnsi="宋体"/>
          <w:b/>
          <w:bCs/>
          <w:color w:val="auto"/>
          <w:sz w:val="28"/>
          <w:szCs w:val="28"/>
          <w:highlight w:val="none"/>
          <w:u w:val="single"/>
          <w:lang w:val="en-US" w:eastAsia="zh-CN"/>
        </w:rPr>
        <w:t xml:space="preserve">南通市通州区中医院公立医院绩效考核管理系统采购项目</w:t>
      </w:r>
      <w:r>
        <w:rPr>
          <w:rFonts w:hint="eastAsia" w:ascii="Arial" w:hAnsi="宋体"/>
          <w:color w:val="auto"/>
          <w:sz w:val="24"/>
          <w:szCs w:val="24"/>
          <w:highlight w:val="none"/>
          <w:u w:val="single"/>
          <w:lang w:val="en-US" w:eastAsia="zh-CN"/>
        </w:rPr>
        <w:t xml:space="preserve"> </w:t>
      </w:r>
      <w:r/>
    </w:p>
    <w:p>
      <w:pPr>
        <w:ind w:left="0" w:firstLine="643"/>
        <w:spacing w:before="120" w:after="120" w:line="360" w:lineRule="auto"/>
        <w:rPr>
          <w:rFonts w:hint="default"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项目编号：JSZC-320612-JZCG-G2026-0016</w:t>
      </w:r>
      <w:r/>
    </w:p>
    <w:p>
      <w:pPr>
        <w:ind w:left="0" w:firstLine="550"/>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ind w:left="2100" w:hanging="2100"/>
        <w:rPr>
          <w:rFonts w:hint="eastAsia" w:ascii="Times New Roman" w:hAnsi="Times New Roman"/>
          <w:b/>
          <w:color w:val="auto"/>
          <w:sz w:val="30"/>
          <w:szCs w:val="30"/>
          <w:highlight w:val="none"/>
        </w:rPr>
      </w:pPr>
      <w:r>
        <w:rPr>
          <w:rFonts w:hint="eastAsia" w:ascii="宋体" w:hAnsi="宋体" w:eastAsia="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2" ProgID="" ShapeID="_x0000_i2" Type="Embed"/>
        </w:object>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b/>
          <w:color w:val="auto"/>
          <w:spacing w:val="20"/>
          <w:sz w:val="44"/>
          <w:highlight w:val="none"/>
        </w:rPr>
        <w:outlineLvl w:val="0"/>
      </w:pPr>
      <w:r>
        <w:rPr>
          <w:rFonts w:hint="eastAsia" w:ascii="宋体" w:hAnsi="宋体" w:eastAsia="宋体" w:cs="宋体"/>
          <w:b/>
          <w:color w:val="auto"/>
          <w:spacing w:val="20"/>
          <w:sz w:val="44"/>
          <w:highlight w:val="none"/>
        </w:rPr>
        <w:t xml:space="preserve">南通市通州区公共资源交易中心</w:t>
      </w:r>
      <w:r/>
    </w:p>
    <w:p>
      <w:pPr>
        <w:jc w:val="center"/>
        <w:spacing w:line="500" w:lineRule="exact"/>
        <w:rPr>
          <w:rFonts w:hint="eastAsia" w:ascii="宋体" w:hAnsi="宋体" w:eastAsia="宋体" w:cs="宋体"/>
          <w:b/>
          <w:color w:val="auto"/>
          <w:spacing w:val="20"/>
          <w:sz w:val="44"/>
          <w:highlight w:val="none"/>
        </w:rPr>
        <w:outlineLvl w:val="0"/>
      </w:pPr>
      <w:r>
        <w:rPr>
          <w:rFonts w:hint="eastAsia" w:ascii="宋体" w:hAnsi="宋体" w:eastAsia="宋体" w:cs="宋体"/>
          <w:b/>
          <w:color w:val="auto"/>
          <w:spacing w:val="20"/>
          <w:sz w:val="44"/>
          <w:highlight w:val="none"/>
        </w:rPr>
        <w:t xml:space="preserve">（南通市通州区公共资源交易中心）印制</w:t>
      </w:r>
      <w:r/>
    </w:p>
    <w:p>
      <w:pPr>
        <w:pStyle w:val="1010"/>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202</w:t>
      </w:r>
      <w:r>
        <w:rPr>
          <w:rFonts w:hint="eastAsia" w:ascii="宋体" w:hAnsi="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  </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  </w:t>
      </w:r>
      <w:r>
        <w:rPr>
          <w:rFonts w:hint="eastAsia" w:ascii="宋体" w:hAnsi="宋体" w:eastAsia="宋体" w:cs="宋体"/>
          <w:b/>
          <w:bCs/>
          <w:color w:val="auto"/>
          <w:sz w:val="32"/>
          <w:highlight w:val="none"/>
        </w:rPr>
        <w:t xml:space="preserve">日</w:t>
      </w:r>
      <w:r/>
    </w:p>
    <w:p>
      <w:pPr>
        <w:ind w:left="-158"/>
        <w:rPr>
          <w:rFonts w:hint="eastAsia" w:ascii="宋体" w:hAnsi="宋体" w:eastAsia="宋体" w:cs="宋体"/>
          <w:b/>
          <w:color w:val="auto"/>
          <w:sz w:val="26"/>
          <w:szCs w:val="28"/>
          <w:highlight w:val="none"/>
          <w:u w:val="single"/>
        </w:rPr>
      </w:pPr>
      <w:r>
        <w:rPr>
          <w:rFonts w:hint="eastAsia" w:ascii="宋体" w:hAnsi="宋体" w:eastAsia="宋体" w:cs="宋体"/>
          <w:b/>
          <w:color w:val="auto"/>
          <w:sz w:val="26"/>
          <w:szCs w:val="28"/>
          <w:highlight w:val="none"/>
          <w:u w:val="single"/>
        </w:rPr>
        <w:t xml:space="preserve">                                                                    </w:t>
      </w:r>
      <w:r/>
    </w:p>
    <w:p>
      <w:pPr>
        <w:ind w:left="0" w:firstLine="0"/>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地址:</w:t>
      </w:r>
      <w:r>
        <w:rPr>
          <w:rFonts w:hint="eastAsia" w:ascii="宋体" w:hAnsi="宋体" w:eastAsia="宋体" w:cs="宋体"/>
          <w:color w:val="auto"/>
          <w:sz w:val="32"/>
          <w:szCs w:val="32"/>
          <w:highlight w:val="none"/>
        </w:rPr>
        <w:t xml:space="preserve"> 南通市通州区碧华路197号       </w:t>
      </w:r>
      <w:r>
        <w:rPr>
          <w:rFonts w:hint="eastAsia" w:ascii="宋体" w:hAnsi="宋体" w:eastAsia="宋体" w:cs="宋体"/>
          <w:b/>
          <w:color w:val="auto"/>
          <w:sz w:val="32"/>
          <w:szCs w:val="32"/>
          <w:highlight w:val="none"/>
        </w:rPr>
        <w:t xml:space="preserve">邮政编码：</w:t>
      </w:r>
      <w:r>
        <w:rPr>
          <w:rFonts w:hint="eastAsia" w:ascii="宋体" w:hAnsi="宋体" w:eastAsia="宋体" w:cs="宋体"/>
          <w:color w:val="auto"/>
          <w:sz w:val="32"/>
          <w:szCs w:val="32"/>
          <w:highlight w:val="none"/>
        </w:rPr>
        <w:t xml:space="preserve">226</w:t>
      </w:r>
      <w:r>
        <w:rPr>
          <w:rFonts w:hint="eastAsia" w:ascii="宋体" w:hAnsi="宋体" w:eastAsia="宋体" w:cs="宋体"/>
          <w:color w:val="auto"/>
          <w:sz w:val="32"/>
          <w:szCs w:val="32"/>
          <w:highlight w:val="none"/>
          <w:lang w:val="en-US" w:eastAsia="zh-CN"/>
        </w:rPr>
        <w:t xml:space="preserve">300</w:t>
      </w:r>
      <w:r>
        <w:rPr>
          <w:rFonts w:hint="eastAsia" w:ascii="宋体" w:hAnsi="宋体" w:eastAsia="宋体" w:cs="宋体"/>
          <w:color w:val="auto"/>
          <w:sz w:val="32"/>
          <w:szCs w:val="32"/>
          <w:highlight w:val="none"/>
        </w:rPr>
        <w:t xml:space="preserve">   </w:t>
      </w:r>
      <w:bookmarkStart w:id="0" w:name="_Toc120614210"/>
      <w:r/>
      <w:bookmarkStart w:id="1" w:name="_Toc16938516"/>
      <w:r/>
      <w:bookmarkStart w:id="2" w:name="_Toc523127445"/>
      <w:r/>
      <w:bookmarkStart w:id="3" w:name="_Toc513029200"/>
      <w:r/>
      <w:bookmarkStart w:id="4" w:name="_Toc20823272"/>
      <w:r/>
      <w:bookmarkStart w:id="5" w:name="_Toc479757206"/>
      <w:r/>
      <w:r/>
    </w:p>
    <w:p>
      <w:pPr>
        <w:ind w:left="0"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firstLine="0"/>
        <w:jc w:val="center"/>
        <w:rPr>
          <w:rFonts w:hint="eastAsia" w:ascii="黑体" w:hAnsi="Arial" w:eastAsia="黑体"/>
          <w:b/>
          <w:color w:val="auto"/>
          <w:sz w:val="44"/>
          <w:highlight w:val="none"/>
        </w:rPr>
      </w:pP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5"/>
        </w:numPr>
        <w:spacing w:line="480" w:lineRule="auto"/>
        <w:rPr>
          <w:rFonts w:hint="eastAsia" w:ascii="黑体" w:hAnsi="Showcard Gothic" w:eastAsia="黑体"/>
          <w:color w:val="auto"/>
          <w:sz w:val="32"/>
          <w:highlight w:val="none"/>
        </w:rPr>
        <w:outlineLvl w:val="0"/>
      </w:pPr>
      <w:r>
        <w:rPr>
          <w:rFonts w:hint="eastAsia" w:ascii="黑体" w:hAnsi="宋体" w:eastAsia="黑体"/>
          <w:color w:val="auto"/>
          <w:sz w:val="36"/>
          <w:highlight w:val="none"/>
        </w:rPr>
        <w:t xml:space="preserve">投标邀请</w:t>
      </w:r>
      <w:r>
        <w:rPr>
          <w:rFonts w:hint="eastAsia" w:ascii="黑体" w:hAnsi="Showcard Gothic" w:eastAsia="黑体"/>
          <w:color w:val="auto"/>
          <w:sz w:val="36"/>
          <w:highlight w:val="none"/>
        </w:rPr>
        <w:t xml:space="preserve">…………………………………… </w:t>
      </w:r>
      <w:r/>
    </w:p>
    <w:p>
      <w:pPr>
        <w:numPr>
          <w:ilvl w:val="0"/>
          <w:numId w:val="5"/>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 </w:t>
      </w:r>
      <w:r/>
    </w:p>
    <w:p>
      <w:pPr>
        <w:numPr>
          <w:ilvl w:val="0"/>
          <w:numId w:val="5"/>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highlight w:val="none"/>
        </w:rPr>
        <w:t xml:space="preserve">…………………………………… </w:t>
      </w:r>
      <w:r/>
    </w:p>
    <w:p>
      <w:pPr>
        <w:numPr>
          <w:ilvl w:val="0"/>
          <w:numId w:val="5"/>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p>
    <w:p>
      <w:pPr>
        <w:numPr>
          <w:ilvl w:val="0"/>
          <w:numId w:val="5"/>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highlight w:val="none"/>
        </w:rPr>
        <w:t xml:space="preserve">………………………</w:t>
      </w:r>
      <w:r/>
    </w:p>
    <w:p>
      <w:pPr>
        <w:numPr>
          <w:ilvl w:val="0"/>
          <w:numId w:val="5"/>
        </w:numPr>
        <w:spacing w:line="480" w:lineRule="auto"/>
        <w:rPr>
          <w:rFonts w:hint="eastAsia"/>
          <w:color w:val="auto"/>
          <w:highlight w:val="none"/>
        </w:rPr>
        <w:outlineLvl w:val="0"/>
      </w:pPr>
      <w:r>
        <w:rPr>
          <w:rFonts w:hint="eastAsia" w:ascii="黑体" w:hAnsi="宋体" w:eastAsia="黑体"/>
          <w:color w:val="auto"/>
          <w:sz w:val="36"/>
          <w:highlight w:val="none"/>
        </w:rPr>
        <w:t xml:space="preserve">投标文件格式</w:t>
      </w:r>
      <w:r>
        <w:rPr>
          <w:rFonts w:hint="eastAsia" w:ascii="黑体" w:hAnsi="Showcard Gothic" w:eastAsia="黑体"/>
          <w:color w:val="auto"/>
          <w:sz w:val="36"/>
          <w:highlight w:val="none"/>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黑体" w:eastAsia="黑体"/>
          <w:color w:val="auto"/>
          <w:sz w:val="44"/>
          <w:szCs w:val="44"/>
          <w:highlight w:val="none"/>
        </w:rPr>
      </w:pPr>
      <w:r>
        <w:rPr>
          <w:rFonts w:hint="eastAsia" w:ascii="黑体" w:eastAsia="黑体"/>
          <w:color w:val="auto"/>
          <w:sz w:val="44"/>
          <w:szCs w:val="44"/>
          <w:highlight w:val="none"/>
        </w:rPr>
        <w:br w:type="page" w:clear="all"/>
      </w:r>
      <w:r/>
    </w:p>
    <w:p>
      <w:pPr>
        <w:pStyle w:val="752"/>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val="en-US" w:eastAsia="zh-CN"/>
        </w:rPr>
        <w:t xml:space="preserve">南通市通州区中医院</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南通市通州区公共资源交易中心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val="en-US" w:eastAsia="zh-CN"/>
        </w:rPr>
        <w:t xml:space="preserve">南通市通州区中医院公立医院绩效考核管理系统采购项目，</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：JSZC-320612-JZCG-G2026-0016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进行公开招标采购，欢迎符合条件的供应商投标。</w:t>
      </w:r>
      <w:r/>
    </w:p>
    <w:p>
      <w:pPr>
        <w:ind w:firstLine="480"/>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南通市通州区中医院公立医院绩效考核管理系统采购项目</w:t>
      </w:r>
      <w:r>
        <w:rPr>
          <w:rFonts w:hint="eastAsia" w:ascii="宋体" w:hAnsi="宋体"/>
          <w:color w:val="auto"/>
          <w:sz w:val="24"/>
          <w:szCs w:val="24"/>
          <w:highlight w:val="none"/>
        </w:rPr>
        <w:t xml:space="preserve"> 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2026</w:t>
      </w: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27</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 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54"/>
        <w:ind w:firstLine="498"/>
        <w:pageBreakBefore w:val="0"/>
        <w:spacing w:before="145" w:after="145" w:line="400" w:lineRule="exact"/>
        <w:widowControl w:val="off"/>
        <w:rPr>
          <w:color w:val="auto"/>
          <w:sz w:val="24"/>
          <w:szCs w:val="24"/>
          <w:highlight w:val="none"/>
        </w:rPr>
        <w:outlineLvl w:val="1"/>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auto"/>
          <w:sz w:val="24"/>
          <w:szCs w:val="24"/>
          <w:highlight w:val="none"/>
        </w:rPr>
        <w:t xml:space="preserve">一、项目基本情况</w:t>
      </w:r>
      <w:bookmarkEnd w:id="6"/>
      <w:r/>
      <w:bookmarkEnd w:id="7"/>
      <w:r/>
      <w:bookmarkEnd w:id="8"/>
      <w:r/>
      <w:bookmarkEnd w:id="9"/>
      <w:r/>
      <w:bookmarkEnd w:id="10"/>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1.项目编号：JSZC-320612-JZCG-G2026-0016</w:t>
      </w:r>
      <w:r>
        <w:rPr>
          <w:rFonts w:hint="eastAsia" w:ascii="宋体" w:hAnsi="宋体" w:eastAsia="宋体" w:cs="宋体"/>
          <w:color w:val="auto"/>
          <w:sz w:val="24"/>
          <w:szCs w:val="24"/>
          <w:highlight w:val="none"/>
          <w:lang w:val="en-US" w:eastAsia="zh-CN"/>
        </w:rPr>
        <w:t xml:space="preserve">  </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南通市通州区中医院</w:t>
      </w:r>
      <w:bookmarkEnd w:id="11"/>
      <w:r>
        <w:rPr>
          <w:rFonts w:hint="eastAsia" w:ascii="宋体" w:hAnsi="宋体" w:eastAsia="宋体" w:cs="宋体"/>
          <w:color w:val="auto"/>
          <w:sz w:val="24"/>
          <w:szCs w:val="24"/>
          <w:highlight w:val="none"/>
          <w:lang w:val="en-US" w:eastAsia="zh-CN"/>
        </w:rPr>
        <w:t xml:space="preserve">公立医院绩效考核管理系统采购项目</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3.项目类型：服务</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4.所属行业类别：</w:t>
      </w:r>
      <w:r>
        <w:rPr>
          <w:rFonts w:hint="eastAsia" w:ascii="宋体" w:hAnsi="宋体" w:cs="宋体"/>
          <w:color w:val="auto"/>
          <w:sz w:val="24"/>
          <w:szCs w:val="24"/>
          <w:highlight w:val="none"/>
          <w:lang w:eastAsia="zh-CN"/>
        </w:rPr>
        <w:t xml:space="preserve">软件和信息技术服务业</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80万元</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简介）：根据《国家三级公立中医医院绩效监测操作手册（2025版）》的标准，对65个定量指标，5个定性指标的数据进行“取、治、管、用、报”的全流程管理。实现自动采集的定量数据自动采集、建模分析、可视化监管。 </w:t>
      </w:r>
      <w:r/>
    </w:p>
    <w:p>
      <w:pPr>
        <w:ind w:firstLine="482"/>
        <w:keepLines w:val="0"/>
        <w:keepNext w:val="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.合同履行期限：自签订合同之日起</w:t>
      </w:r>
      <w:r>
        <w:rPr>
          <w:rFonts w:hint="eastAsia" w:ascii="宋体" w:hAnsi="宋体" w:eastAsia="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rPr>
        <w:t xml:space="preserve">内完成本项目全部工作</w:t>
      </w:r>
      <w:r>
        <w:rPr>
          <w:rFonts w:hint="eastAsia" w:ascii="宋体" w:hAnsi="宋体" w:cs="宋体"/>
          <w:color w:val="auto"/>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系统</w:t>
      </w:r>
      <w:r>
        <w:rPr>
          <w:rFonts w:hint="eastAsia" w:ascii="宋体" w:hAnsi="宋体" w:cs="宋体"/>
          <w:color w:val="auto"/>
          <w:sz w:val="24"/>
          <w:szCs w:val="24"/>
          <w:highlight w:val="none"/>
          <w:lang w:val="en-US" w:eastAsia="zh-CN"/>
        </w:rPr>
        <w:t xml:space="preserve">免费质保期</w:t>
      </w:r>
      <w:r>
        <w:rPr>
          <w:rFonts w:hint="eastAsia" w:ascii="宋体" w:hAnsi="宋体" w:eastAsia="宋体" w:cs="宋体"/>
          <w:color w:val="auto"/>
          <w:sz w:val="24"/>
          <w:szCs w:val="24"/>
          <w:highlight w:val="none"/>
        </w:rPr>
        <w:t xml:space="preserve">两年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自项目验收合格之日起</w:t>
      </w:r>
      <w:r>
        <w:rPr>
          <w:rFonts w:hint="eastAsia" w:ascii="宋体" w:hAnsi="宋体" w:eastAsia="宋体" w:cs="宋体"/>
          <w:color w:val="auto"/>
          <w:sz w:val="24"/>
          <w:szCs w:val="24"/>
          <w:highlight w:val="none"/>
        </w:rPr>
        <w:t xml:space="preserve">。</w:t>
      </w:r>
      <w:r/>
    </w:p>
    <w:p>
      <w:pPr>
        <w:pStyle w:val="1043"/>
        <w:jc w:val="left"/>
        <w:spacing w:before="0" w:after="0" w:line="460" w:lineRule="exact"/>
        <w:rPr>
          <w:rFonts w:ascii="宋体"/>
          <w:color w:val="auto"/>
          <w:sz w:val="24"/>
          <w:szCs w:val="24"/>
          <w:highlight w:val="none"/>
        </w:rPr>
      </w:pPr>
      <w:r/>
      <w:bookmarkStart w:id="12" w:name="_Toc35393622"/>
      <w:r/>
      <w:bookmarkStart w:id="13" w:name="_Toc38985264"/>
      <w:r/>
      <w:bookmarkStart w:id="14" w:name="_Toc35393791"/>
      <w:r/>
      <w:bookmarkStart w:id="15" w:name="_Toc28359003"/>
      <w:r/>
      <w:bookmarkStart w:id="16" w:name="_Toc28359080"/>
      <w:r>
        <w:rPr>
          <w:rFonts w:hint="eastAsia" w:ascii="宋体" w:hAnsi="宋体" w:cs="宋体"/>
          <w:color w:val="auto"/>
          <w:sz w:val="24"/>
          <w:szCs w:val="24"/>
          <w:highlight w:val="none"/>
        </w:rPr>
        <w:t xml:space="preserve">二、申请人的资格要求：</w:t>
      </w:r>
      <w:bookmarkEnd w:id="12"/>
      <w:r/>
      <w:bookmarkEnd w:id="13"/>
      <w:r/>
      <w:bookmarkEnd w:id="14"/>
      <w:r/>
      <w:bookmarkEnd w:id="15"/>
      <w:r/>
      <w:bookmarkEnd w:id="16"/>
      <w:r/>
      <w:r/>
    </w:p>
    <w:p>
      <w:pPr>
        <w:ind w:firstLine="241"/>
        <w:jc w:val="left"/>
        <w:spacing w:line="460" w:lineRule="exact"/>
        <w:rPr>
          <w:rFonts w:ascii="宋体"/>
          <w:b/>
          <w:bCs/>
          <w:color w:val="auto"/>
          <w:sz w:val="24"/>
          <w:szCs w:val="24"/>
          <w:highlight w:val="none"/>
        </w:rPr>
      </w:pPr>
      <w:r/>
      <w:bookmarkStart w:id="17" w:name="_Toc28359081"/>
      <w:r/>
      <w:bookmarkStart w:id="18" w:name="_Toc35393623"/>
      <w:r/>
      <w:bookmarkStart w:id="19" w:name="_Toc35393792"/>
      <w:r/>
      <w:bookmarkStart w:id="20" w:name="_Toc28359004"/>
      <w:r/>
      <w:bookmarkStart w:id="21" w:name="_Toc38985265"/>
      <w:r>
        <w:rPr>
          <w:rFonts w:hint="eastAsia" w:ascii="宋体" w:hAnsi="宋体" w:cs="宋体"/>
          <w:b/>
          <w:bCs/>
          <w:color w:val="auto"/>
          <w:sz w:val="24"/>
          <w:szCs w:val="24"/>
          <w:highlight w:val="none"/>
        </w:rPr>
        <w:t xml:space="preserve">（一）通用资格要求</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满足《中华人民共和国政府采购法》第二十二条规定，并提供下列材料：</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1.1 </w:t>
      </w:r>
      <w:r>
        <w:rPr>
          <w:rFonts w:hint="eastAsia" w:ascii="宋体" w:hAnsi="宋体" w:cs="宋体"/>
          <w:color w:val="auto"/>
          <w:sz w:val="24"/>
          <w:szCs w:val="24"/>
          <w:highlight w:val="none"/>
        </w:rPr>
        <w:t xml:space="preserve">法人或者其他组织的营业执照等证明文件，自然人的身份证明；</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上一年度的财务状况报告（成立不满一年无需提供）；</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color w:val="auto"/>
          <w:sz w:val="24"/>
          <w:szCs w:val="24"/>
          <w:highlight w:val="none"/>
          <w:lang w:eastAsia="zh-CN"/>
        </w:rPr>
        <w:t xml:space="preserve">投标方</w:t>
      </w:r>
      <w:r>
        <w:rPr>
          <w:rFonts w:hint="eastAsia" w:ascii="宋体" w:hAnsi="宋体" w:cs="宋体"/>
          <w:color w:val="auto"/>
          <w:sz w:val="24"/>
          <w:szCs w:val="24"/>
          <w:highlight w:val="none"/>
        </w:rPr>
        <w:t xml:space="preserve">依法享受缓缴、免缴税收、社会保障资金的提供证明材料。）；</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1.4</w:t>
      </w:r>
      <w:r>
        <w:rPr>
          <w:rFonts w:hint="eastAsia" w:ascii="宋体" w:hAnsi="宋体" w:cs="宋体"/>
          <w:color w:val="auto"/>
          <w:sz w:val="24"/>
          <w:szCs w:val="24"/>
          <w:highlight w:val="none"/>
        </w:rPr>
        <w:t xml:space="preserve">具备履行合同所必需的设备和专业技术能力的书面声明；</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参加政府采购活动前</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年内在经营活动中没有重大违法记录的书面声明。</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在“信用中国”网站（</w:t>
      </w:r>
      <w:r>
        <w:rPr>
          <w:rFonts w:ascii="宋体" w:hAnsi="宋体" w:cs="宋体"/>
          <w:color w:val="auto"/>
          <w:sz w:val="24"/>
          <w:szCs w:val="24"/>
          <w:highlight w:val="none"/>
        </w:rPr>
        <w:t xml:space="preserve">www.creditchina.gov.cn</w:t>
      </w:r>
      <w:r>
        <w:rPr>
          <w:rFonts w:hint="eastAsia" w:ascii="宋体" w:hAnsi="宋体" w:cs="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落实政府采购政策需满足的资格要求：本项目专门面向中小微型企业采购。</w:t>
      </w:r>
      <w:r/>
    </w:p>
    <w:p>
      <w:pPr>
        <w:ind w:firstLine="480"/>
        <w:jc w:val="left"/>
        <w:spacing w:line="460" w:lineRule="exact"/>
        <w:rPr>
          <w:rFonts w:ascii="宋体"/>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本项目</w:t>
      </w:r>
      <w:r>
        <w:rPr>
          <w:b/>
          <w:bCs/>
          <w:color w:val="auto"/>
          <w:sz w:val="24"/>
          <w:szCs w:val="24"/>
          <w:highlight w:val="none"/>
          <w:u w:val="single"/>
        </w:rPr>
        <w:t xml:space="preserve"> </w:t>
      </w:r>
      <w:r>
        <w:rPr>
          <w:rFonts w:hint="eastAsia"/>
          <w:b/>
          <w:bCs/>
          <w:color w:val="auto"/>
          <w:sz w:val="24"/>
          <w:szCs w:val="24"/>
          <w:highlight w:val="none"/>
          <w:u w:val="single"/>
          <w:lang w:eastAsia="zh-CN"/>
        </w:rPr>
        <w:t xml:space="preserve">不</w:t>
      </w:r>
      <w:r>
        <w:rPr>
          <w:rFonts w:hint="eastAsia"/>
          <w:b/>
          <w:bCs/>
          <w:color w:val="auto"/>
          <w:sz w:val="24"/>
          <w:szCs w:val="24"/>
          <w:highlight w:val="none"/>
          <w:u w:val="single"/>
        </w:rPr>
        <w:t xml:space="preserve">接受</w:t>
      </w:r>
      <w:r>
        <w:rPr>
          <w:b/>
          <w:bCs/>
          <w:color w:val="auto"/>
          <w:sz w:val="24"/>
          <w:szCs w:val="24"/>
          <w:highlight w:val="none"/>
          <w:u w:val="single"/>
        </w:rPr>
        <w:t xml:space="preserve"> </w:t>
      </w:r>
      <w:r>
        <w:rPr>
          <w:rFonts w:hint="eastAsia"/>
          <w:color w:val="auto"/>
          <w:sz w:val="24"/>
          <w:szCs w:val="24"/>
          <w:highlight w:val="none"/>
        </w:rPr>
        <w:t xml:space="preserve">联合体投标。</w:t>
      </w:r>
      <w:r/>
    </w:p>
    <w:p>
      <w:pPr>
        <w:ind w:firstLine="361"/>
        <w:jc w:val="left"/>
        <w:spacing w:line="460" w:lineRule="exact"/>
        <w:rPr>
          <w:rFonts w:ascii="宋体"/>
          <w:b/>
          <w:bCs/>
          <w:color w:val="auto"/>
          <w:sz w:val="24"/>
          <w:szCs w:val="24"/>
          <w:highlight w:val="none"/>
        </w:rPr>
      </w:pPr>
      <w:r>
        <w:rPr>
          <w:rFonts w:hint="eastAsia" w:ascii="宋体" w:hAnsi="宋体" w:cs="宋体"/>
          <w:b/>
          <w:bCs/>
          <w:color w:val="auto"/>
          <w:sz w:val="24"/>
          <w:szCs w:val="24"/>
          <w:highlight w:val="none"/>
        </w:rPr>
        <w:t xml:space="preserve">（二）本项目的特定资格要求</w:t>
      </w:r>
      <w:r/>
    </w:p>
    <w:p>
      <w:pPr>
        <w:ind w:firstLine="60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无</w:t>
      </w:r>
      <w:r/>
    </w:p>
    <w:p>
      <w:pPr>
        <w:pStyle w:val="1043"/>
        <w:jc w:val="left"/>
        <w:spacing w:before="0" w:after="0" w:line="460" w:lineRule="exact"/>
        <w:rPr>
          <w:rFonts w:ascii="宋体"/>
          <w:color w:val="auto"/>
          <w:sz w:val="24"/>
          <w:szCs w:val="24"/>
          <w:highlight w:val="none"/>
        </w:rPr>
      </w:pPr>
      <w:r>
        <w:rPr>
          <w:rFonts w:hint="eastAsia" w:ascii="宋体" w:hAnsi="宋体" w:cs="宋体"/>
          <w:color w:val="auto"/>
          <w:sz w:val="24"/>
          <w:szCs w:val="24"/>
          <w:highlight w:val="none"/>
        </w:rPr>
        <w:t xml:space="preserve">三、获取招标文件</w:t>
      </w:r>
      <w:bookmarkEnd w:id="17"/>
      <w:r/>
      <w:bookmarkEnd w:id="18"/>
      <w:r/>
      <w:bookmarkEnd w:id="19"/>
      <w:r/>
      <w:bookmarkEnd w:id="20"/>
      <w:r/>
      <w:bookmarkEnd w:id="21"/>
      <w:r/>
      <w:r/>
    </w:p>
    <w:p>
      <w:pPr>
        <w:ind w:firstLine="540"/>
        <w:spacing w:line="460" w:lineRule="exact"/>
        <w:rPr>
          <w:rFonts w:ascii="宋体"/>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时间：自招标文件公告发布之日起</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个工作日。</w:t>
      </w:r>
      <w:r/>
    </w:p>
    <w:p>
      <w:pPr>
        <w:ind w:firstLine="540"/>
        <w:spacing w:line="460" w:lineRule="exact"/>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获取方式：</w:t>
      </w:r>
      <w:r/>
    </w:p>
    <w:p>
      <w:pPr>
        <w:ind w:firstLine="480"/>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地点：江苏政府采购网</w:t>
      </w:r>
      <w:r/>
    </w:p>
    <w:p>
      <w:pPr>
        <w:ind w:firstLine="480"/>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获取方式：本项目采用网上注册登记方式。</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2.1</w:t>
      </w:r>
      <w:r>
        <w:rPr>
          <w:rFonts w:hint="eastAsia" w:ascii="宋体" w:hAnsi="宋体" w:cs="宋体"/>
          <w:color w:val="auto"/>
          <w:sz w:val="24"/>
          <w:szCs w:val="24"/>
          <w:highlight w:val="none"/>
        </w:rPr>
        <w:t xml:space="preserve">潜在供应商访问电子招标响应交易平台的网络地址和方法：</w:t>
      </w:r>
      <w:r/>
    </w:p>
    <w:p>
      <w:pPr>
        <w:ind w:firstLine="480"/>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“苏采云”系统用户注册</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获取“</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数字证书”</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绑定与登录</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网上报名</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下载采购文件（后缀名为“</w:t>
      </w:r>
      <w:r>
        <w:rPr>
          <w:rFonts w:ascii="宋体" w:hAnsi="宋体" w:cs="宋体"/>
          <w:color w:val="auto"/>
          <w:sz w:val="24"/>
          <w:szCs w:val="24"/>
          <w:highlight w:val="none"/>
        </w:rPr>
        <w:t xml:space="preserve">.kedt</w:t>
      </w:r>
      <w:r>
        <w:rPr>
          <w:rFonts w:hint="eastAsia" w:ascii="宋体" w:hAnsi="宋体" w:cs="宋体"/>
          <w:color w:val="auto"/>
          <w:sz w:val="24"/>
          <w:szCs w:val="24"/>
          <w:highlight w:val="none"/>
        </w:rPr>
        <w:t xml:space="preserve">”）</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将后缀名为“</w:t>
      </w:r>
      <w:r>
        <w:rPr>
          <w:rFonts w:ascii="宋体" w:hAnsi="宋体" w:cs="宋体"/>
          <w:color w:val="auto"/>
          <w:sz w:val="24"/>
          <w:szCs w:val="24"/>
          <w:highlight w:val="none"/>
        </w:rPr>
        <w:t xml:space="preserve">.kedt</w:t>
      </w:r>
      <w:r>
        <w:rPr>
          <w:rFonts w:hint="eastAsia" w:ascii="宋体" w:hAnsi="宋体" w:cs="宋体"/>
          <w:color w:val="auto"/>
          <w:sz w:val="24"/>
          <w:szCs w:val="24"/>
          <w:highlight w:val="none"/>
        </w:rPr>
        <w:t xml:space="preserve">”的采购文件导入政府采购客户端工具</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制作响应文件</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导出加密的响应文件（后缀名为</w:t>
      </w:r>
      <w:r>
        <w:rPr>
          <w:rFonts w:ascii="宋体" w:hAnsi="宋体" w:cs="宋体"/>
          <w:color w:val="auto"/>
          <w:sz w:val="24"/>
          <w:szCs w:val="24"/>
          <w:highlight w:val="none"/>
        </w:rPr>
        <w:t xml:space="preserve">zip</w:t>
      </w:r>
      <w:r>
        <w:rPr>
          <w:rFonts w:hint="eastAsia" w:ascii="宋体" w:hAnsi="宋体" w:cs="宋体"/>
          <w:color w:val="auto"/>
          <w:sz w:val="24"/>
          <w:szCs w:val="24"/>
          <w:highlight w:val="none"/>
        </w:rPr>
        <w:t xml:space="preserve">）</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通过“苏采云”系统上传响应文件。具体见《（苏采云）供应商操作手册》。</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2.2</w:t>
      </w:r>
      <w:r>
        <w:rPr>
          <w:rFonts w:hint="eastAsia" w:ascii="宋体" w:hAnsi="宋体" w:cs="宋体"/>
          <w:color w:val="auto"/>
          <w:sz w:val="24"/>
          <w:szCs w:val="24"/>
          <w:highlight w:val="none"/>
        </w:rPr>
        <w:t xml:space="preserve">潜在供应商访问“苏采云”系统的网络地址和方法：“苏采云”系统的网址：</w:t>
      </w:r>
      <w:r>
        <w:rPr>
          <w:rFonts w:ascii="宋体" w:hAnsi="宋体" w:cs="宋体"/>
          <w:color w:val="auto"/>
          <w:sz w:val="24"/>
          <w:szCs w:val="24"/>
          <w:highlight w:val="none"/>
        </w:rPr>
        <w:t xml:space="preserve">http://jszfcg.jsczt.cn/</w:t>
      </w:r>
      <w:r>
        <w:rPr>
          <w:rFonts w:hint="eastAsia" w:ascii="宋体" w:hAnsi="宋体" w:cs="宋体"/>
          <w:color w:val="auto"/>
          <w:sz w:val="24"/>
          <w:szCs w:val="24"/>
          <w:highlight w:val="none"/>
        </w:rPr>
        <w:t xml:space="preserve">。</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数字证书”的获取：</w:t>
      </w:r>
      <w:r/>
    </w:p>
    <w:p>
      <w:pPr>
        <w:ind w:firstLine="480"/>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供应商需办理</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锁，“苏采云”系统目前仅支持国信</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，省内各地区办理的用于“苏采云”平台的国信</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全省通用。南通地区“</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数字证书”的办理：南通市政务中心四楼，电话：</w:t>
      </w:r>
      <w:r>
        <w:rPr>
          <w:rFonts w:ascii="宋体" w:hAnsi="宋体" w:cs="宋体"/>
          <w:color w:val="auto"/>
          <w:sz w:val="24"/>
          <w:szCs w:val="24"/>
          <w:highlight w:val="none"/>
        </w:rPr>
        <w:t xml:space="preserve">18951314963</w:t>
      </w:r>
      <w:r>
        <w:rPr>
          <w:rFonts w:hint="eastAsia" w:ascii="宋体" w:hAnsi="宋体" w:cs="宋体"/>
          <w:color w:val="auto"/>
          <w:sz w:val="24"/>
          <w:szCs w:val="24"/>
          <w:highlight w:val="none"/>
        </w:rPr>
        <w:t xml:space="preserve">。</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2.4</w:t>
      </w:r>
      <w:r>
        <w:rPr>
          <w:rFonts w:hint="eastAsia" w:ascii="宋体" w:hAnsi="宋体" w:cs="宋体"/>
          <w:color w:val="auto"/>
          <w:sz w:val="24"/>
          <w:szCs w:val="24"/>
          <w:highlight w:val="none"/>
        </w:rPr>
        <w:t xml:space="preserve">采购文件（后缀名为“</w:t>
      </w:r>
      <w:r>
        <w:rPr>
          <w:rFonts w:ascii="宋体" w:hAnsi="宋体" w:cs="宋体"/>
          <w:color w:val="auto"/>
          <w:sz w:val="24"/>
          <w:szCs w:val="24"/>
          <w:highlight w:val="none"/>
        </w:rPr>
        <w:t xml:space="preserve">.kedt</w:t>
      </w:r>
      <w:r>
        <w:rPr>
          <w:rFonts w:hint="eastAsia" w:ascii="宋体" w:hAnsi="宋体" w:cs="宋体"/>
          <w:color w:val="auto"/>
          <w:sz w:val="24"/>
          <w:szCs w:val="24"/>
          <w:highlight w:val="none"/>
        </w:rPr>
        <w:t xml:space="preserve">”）、供应商操作手册及政府采购客户端工具可通过“苏采云”系统</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已报名项目</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报名详情页面内相应链接进行下载。</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2.5</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或采购代理机构将数据电文形式的采购文件加载至“苏采云”系统，供潜在供应商下载或者查阅。</w:t>
      </w:r>
      <w:r/>
    </w:p>
    <w:p>
      <w:pPr>
        <w:ind w:firstLine="480"/>
        <w:jc w:val="left"/>
        <w:spacing w:line="460" w:lineRule="exact"/>
        <w:rPr>
          <w:rFonts w:ascii="宋体"/>
          <w:color w:val="auto"/>
          <w:sz w:val="24"/>
          <w:szCs w:val="24"/>
          <w:highlight w:val="none"/>
          <w:u w:val="single"/>
        </w:rPr>
      </w:pPr>
      <w:r>
        <w:rPr>
          <w:rFonts w:ascii="宋体" w:hAnsi="宋体" w:cs="宋体"/>
          <w:color w:val="auto"/>
          <w:sz w:val="24"/>
          <w:szCs w:val="24"/>
          <w:highlight w:val="none"/>
        </w:rPr>
        <w:t xml:space="preserve">2.6</w:t>
      </w:r>
      <w:r>
        <w:rPr>
          <w:rFonts w:hint="eastAsia" w:ascii="宋体" w:hAnsi="宋体" w:cs="宋体"/>
          <w:color w:val="auto"/>
          <w:sz w:val="24"/>
          <w:szCs w:val="24"/>
          <w:highlight w:val="none"/>
        </w:rPr>
        <w:t xml:space="preserve">请潜在供应商提前安装相应的控件（详见《（苏采云）供应商操作手册》）并使用谷歌浏览器登录“苏采云”系统参与不见面开评标。</w:t>
      </w:r>
      <w:r/>
    </w:p>
    <w:p>
      <w:pPr>
        <w:pStyle w:val="1043"/>
        <w:jc w:val="left"/>
        <w:spacing w:before="0" w:after="0" w:line="460" w:lineRule="exact"/>
        <w:rPr>
          <w:rFonts w:ascii="宋体"/>
          <w:color w:val="auto"/>
          <w:sz w:val="24"/>
          <w:szCs w:val="24"/>
          <w:highlight w:val="none"/>
        </w:rPr>
      </w:pPr>
      <w:r>
        <w:rPr>
          <w:rFonts w:hint="eastAsia" w:ascii="宋体" w:hAnsi="宋体" w:cs="宋体"/>
          <w:color w:val="auto"/>
          <w:sz w:val="24"/>
          <w:szCs w:val="24"/>
          <w:highlight w:val="none"/>
        </w:rPr>
        <w:t xml:space="preserve">四、提交投标文件</w:t>
      </w:r>
      <w:bookmarkEnd w:id="22"/>
      <w:r/>
      <w:bookmarkEnd w:id="23"/>
      <w:r>
        <w:rPr>
          <w:rFonts w:hint="eastAsia" w:ascii="宋体" w:hAnsi="宋体" w:cs="宋体"/>
          <w:color w:val="auto"/>
          <w:sz w:val="24"/>
          <w:szCs w:val="24"/>
          <w:highlight w:val="none"/>
        </w:rPr>
        <w:t xml:space="preserve">截止时间、开标时间和地点</w:t>
      </w:r>
      <w:bookmarkEnd w:id="24"/>
      <w:r/>
      <w:bookmarkEnd w:id="25"/>
      <w:r/>
      <w:bookmarkEnd w:id="26"/>
      <w:r/>
      <w:r/>
    </w:p>
    <w:p>
      <w:pPr>
        <w:ind w:firstLine="480"/>
        <w:jc w:val="left"/>
        <w:spacing w:line="460" w:lineRule="exact"/>
        <w:rPr>
          <w:rFonts w:hint="eastAsia" w:ascii="宋体" w:eastAsia="宋体"/>
          <w:color w:val="auto"/>
          <w:sz w:val="24"/>
          <w:szCs w:val="24"/>
          <w:highlight w:val="none"/>
          <w:u w:val="single"/>
          <w:lang w:eastAsia="zh-CN"/>
        </w:rPr>
      </w:pPr>
      <w:r>
        <w:rPr>
          <w:rFonts w:ascii="宋体" w:hAnsi="宋体" w:cs="宋体"/>
          <w:color w:val="auto"/>
          <w:sz w:val="24"/>
          <w:szCs w:val="24"/>
          <w:highlight w:val="none"/>
        </w:rPr>
        <w:t xml:space="preserve">1.</w:t>
      </w:r>
      <w:r>
        <w:rPr>
          <w:rFonts w:ascii="宋体" w:hAnsi="宋体" w:cs="宋体"/>
          <w:b/>
          <w:bCs/>
          <w:color w:val="auto"/>
          <w:sz w:val="24"/>
          <w:szCs w:val="24"/>
          <w:highlight w:val="none"/>
          <w:u w:val="single"/>
        </w:rPr>
        <w:t xml:space="preserve">2026</w:t>
      </w:r>
      <w:r>
        <w:rPr>
          <w:rFonts w:hint="eastAsia" w:ascii="宋体" w:hAnsi="宋体" w:cs="宋体"/>
          <w:color w:val="auto"/>
          <w:sz w:val="24"/>
          <w:szCs w:val="24"/>
          <w:highlight w:val="none"/>
        </w:rPr>
        <w:t xml:space="preserve">年</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27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u w:val="single"/>
          <w:lang w:val="en-US" w:eastAsia="zh-CN"/>
        </w:rPr>
        <w:t xml:space="preserve"> 9</w:t>
      </w:r>
      <w:r>
        <w:rPr>
          <w:rFonts w:hint="eastAsia" w:ascii="宋体" w:hAnsi="宋体" w:cs="宋体"/>
          <w:color w:val="auto"/>
          <w:sz w:val="24"/>
          <w:szCs w:val="24"/>
          <w:highlight w:val="none"/>
          <w:u w:val="single"/>
        </w:rPr>
        <w:t xml:space="preserve">点</w:t>
      </w:r>
      <w:r>
        <w:rPr>
          <w:rFonts w:hint="eastAsia" w:ascii="宋体" w:cs="宋体"/>
          <w:color w:val="auto"/>
          <w:sz w:val="24"/>
          <w:szCs w:val="24"/>
          <w:highlight w:val="none"/>
          <w:u w:val="single"/>
          <w:lang w:val="en-US" w:eastAsia="zh-CN"/>
        </w:rPr>
        <w:t xml:space="preserve"> 00</w:t>
      </w:r>
      <w:bookmarkStart w:id="222" w:name="_GoBack"/>
      <w:r/>
      <w:bookmarkEnd w:id="222"/>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rPr>
          <w:rFonts w:hint="eastAsia" w:ascii="宋体" w:hAnsi="宋体" w:cs="宋体"/>
          <w:color w:val="auto"/>
          <w:sz w:val="24"/>
          <w:szCs w:val="24"/>
          <w:highlight w:val="none"/>
          <w:lang w:eastAsia="zh-CN"/>
        </w:rPr>
        <w:t xml:space="preserve">。</w:t>
      </w:r>
      <w:r/>
    </w:p>
    <w:p>
      <w:pPr>
        <w:ind w:firstLine="480"/>
        <w:jc w:val="left"/>
        <w:spacing w:line="460" w:lineRule="exact"/>
        <w:rPr>
          <w:rFonts w:ascii="宋体"/>
          <w:color w:val="auto"/>
          <w:sz w:val="24"/>
          <w:szCs w:val="24"/>
          <w:highlight w:val="none"/>
          <w:u w:val="singl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地点：“苏采云”政府采购交易系统网上开标大厅。</w:t>
      </w:r>
      <w:r/>
    </w:p>
    <w:p>
      <w:pPr>
        <w:pStyle w:val="1043"/>
        <w:jc w:val="left"/>
        <w:spacing w:before="0" w:after="0" w:line="460" w:lineRule="exact"/>
        <w:rPr>
          <w:rFonts w:ascii="宋体"/>
          <w:color w:val="auto"/>
          <w:sz w:val="24"/>
          <w:szCs w:val="24"/>
          <w:highlight w:val="none"/>
        </w:rPr>
      </w:pPr>
      <w:r/>
      <w:bookmarkStart w:id="27" w:name="_Toc35393625"/>
      <w:r/>
      <w:bookmarkStart w:id="28" w:name="_Toc35393794"/>
      <w:r/>
      <w:bookmarkStart w:id="29" w:name="_Toc28359007"/>
      <w:r/>
      <w:bookmarkStart w:id="30" w:name="_Toc28359084"/>
      <w:r/>
      <w:bookmarkStart w:id="31" w:name="_Toc38985267"/>
      <w:r>
        <w:rPr>
          <w:rFonts w:hint="eastAsia" w:ascii="宋体" w:hAnsi="宋体" w:cs="宋体"/>
          <w:color w:val="auto"/>
          <w:sz w:val="24"/>
          <w:szCs w:val="24"/>
          <w:highlight w:val="none"/>
        </w:rPr>
        <w:t xml:space="preserve">五、公告期限</w:t>
      </w:r>
      <w:bookmarkEnd w:id="27"/>
      <w:r/>
      <w:bookmarkEnd w:id="28"/>
      <w:r/>
      <w:bookmarkEnd w:id="29"/>
      <w:r/>
      <w:bookmarkEnd w:id="30"/>
      <w:r/>
      <w:bookmarkEnd w:id="31"/>
      <w:r/>
      <w:r/>
    </w:p>
    <w:p>
      <w:pPr>
        <w:ind w:firstLine="480"/>
        <w:jc w:val="left"/>
        <w:spacing w:line="460" w:lineRule="exact"/>
        <w:rPr>
          <w:rFonts w:ascii="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招标公告及招标文件公告期限为自本公告发布之日起</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个工作日。</w:t>
      </w:r>
      <w:r/>
    </w:p>
    <w:p>
      <w:pPr>
        <w:pStyle w:val="1043"/>
        <w:jc w:val="left"/>
        <w:spacing w:before="0" w:after="0" w:line="460" w:lineRule="exact"/>
        <w:rPr>
          <w:rFonts w:ascii="宋体"/>
          <w:color w:val="auto"/>
          <w:sz w:val="24"/>
          <w:szCs w:val="24"/>
          <w:highlight w:val="none"/>
        </w:rPr>
      </w:pPr>
      <w:r>
        <w:rPr>
          <w:rFonts w:hint="eastAsia" w:ascii="宋体" w:hAnsi="宋体" w:cs="宋体"/>
          <w:color w:val="auto"/>
          <w:sz w:val="24"/>
          <w:szCs w:val="24"/>
          <w:highlight w:val="none"/>
        </w:rPr>
        <w:t xml:space="preserve">六、其他补充事宜</w:t>
      </w:r>
      <w:bookmarkEnd w:id="32"/>
      <w:r/>
      <w:bookmarkEnd w:id="33"/>
      <w:r/>
      <w:bookmarkEnd w:id="34"/>
      <w:r/>
      <w:r/>
    </w:p>
    <w:p>
      <w:pPr>
        <w:ind w:firstLine="480"/>
        <w:jc w:val="left"/>
        <w:spacing w:line="460" w:lineRule="exact"/>
        <w:rPr>
          <w:rFonts w:ascii="宋体"/>
          <w:color w:val="auto"/>
          <w:sz w:val="24"/>
          <w:szCs w:val="24"/>
          <w:highlight w:val="none"/>
        </w:rPr>
      </w:pPr>
      <w:r/>
      <w:bookmarkStart w:id="35" w:name="_Toc28359085"/>
      <w:r/>
      <w:bookmarkStart w:id="36" w:name="_Toc28359008"/>
      <w:r/>
      <w:bookmarkStart w:id="37" w:name="_Toc35393627"/>
      <w:r/>
      <w:bookmarkStart w:id="38" w:name="_Toc38985269"/>
      <w:r/>
      <w:bookmarkStart w:id="39" w:name="_Toc35393796"/>
      <w:r>
        <w:rPr>
          <w:rFonts w:ascii="宋体" w:hAnsi="宋体" w:cs="宋体"/>
          <w:color w:val="auto"/>
          <w:sz w:val="24"/>
          <w:szCs w:val="24"/>
          <w:highlight w:val="none"/>
        </w:rPr>
        <w:t xml:space="preserve">1. </w:t>
      </w:r>
      <w:r>
        <w:rPr>
          <w:rFonts w:hint="eastAsia" w:ascii="宋体" w:hAnsi="宋体" w:cs="宋体"/>
          <w:color w:val="auto"/>
          <w:sz w:val="24"/>
          <w:szCs w:val="24"/>
          <w:highlight w:val="none"/>
        </w:rPr>
        <w:t xml:space="preserve">投标保证金：免收</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2. </w:t>
      </w: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rPr>
        <w:t xml:space="preserve">有</w:t>
      </w:r>
      <w:r>
        <w:rPr>
          <w:rFonts w:hint="eastAsia" w:ascii="宋体" w:hAnsi="宋体" w:cs="宋体"/>
          <w:color w:val="auto"/>
          <w:sz w:val="24"/>
          <w:szCs w:val="24"/>
          <w:highlight w:val="none"/>
        </w:rPr>
        <w:t xml:space="preserve">演示，</w:t>
      </w:r>
      <w:r>
        <w:rPr>
          <w:rFonts w:hint="eastAsia" w:ascii="宋体" w:hAnsi="宋体" w:cs="宋体"/>
          <w:color w:val="auto"/>
          <w:sz w:val="24"/>
          <w:szCs w:val="24"/>
          <w:highlight w:val="none"/>
        </w:rPr>
        <w:t xml:space="preserve">无</w:t>
      </w:r>
      <w:r>
        <w:rPr>
          <w:rFonts w:hint="eastAsia" w:ascii="宋体" w:hAnsi="宋体" w:cs="宋体"/>
          <w:color w:val="auto"/>
          <w:sz w:val="24"/>
          <w:szCs w:val="24"/>
          <w:highlight w:val="none"/>
        </w:rPr>
        <w:t xml:space="preserve">样品</w:t>
      </w:r>
      <w:r>
        <w:rPr>
          <w:rFonts w:hint="eastAsia" w:ascii="宋体" w:hAnsi="宋体" w:cs="宋体"/>
          <w:color w:val="auto"/>
          <w:sz w:val="24"/>
          <w:szCs w:val="24"/>
          <w:highlight w:val="none"/>
        </w:rPr>
        <w:t xml:space="preserve">、答辩。</w:t>
      </w:r>
      <w:r/>
    </w:p>
    <w:p>
      <w:pPr>
        <w:ind w:firstLine="480"/>
        <w:jc w:val="left"/>
        <w:spacing w:line="460" w:lineRule="exact"/>
        <w:rPr>
          <w:rFonts w:ascii="宋体"/>
          <w:b/>
          <w:bCs/>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供应商（含潜在供应商）对采购方式、招标文件中采购需求、供应商资格条件、评标方法和评标标准、合同文本及资格审查结果的询问、质疑请向</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提出，由</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负责答复。供应商对其他事项的询问、质疑请向采购中心提出，由采购中心负责答复。</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系统操作过程中如遇问题，请致电“苏采云”客服</w:t>
      </w:r>
      <w:r>
        <w:rPr>
          <w:rFonts w:ascii="宋体" w:hAnsi="宋体" w:cs="宋体"/>
          <w:color w:val="auto"/>
          <w:sz w:val="24"/>
          <w:szCs w:val="24"/>
          <w:highlight w:val="none"/>
        </w:rPr>
        <w:t xml:space="preserve">0519-86722801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0519-86722806</w:t>
      </w:r>
      <w:r>
        <w:rPr>
          <w:rFonts w:hint="eastAsia" w:ascii="宋体" w:hAnsi="宋体" w:cs="宋体"/>
          <w:color w:val="auto"/>
          <w:sz w:val="24"/>
          <w:szCs w:val="24"/>
          <w:highlight w:val="none"/>
        </w:rPr>
        <w:t xml:space="preserve">。</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有关本次招标的事项若存在变动或修改，均以江苏政府采购网发布的更正或补充通知为准，敬请及时关注。</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6. </w:t>
      </w:r>
      <w:r>
        <w:rPr>
          <w:rFonts w:hint="eastAsia" w:ascii="宋体" w:hAnsi="宋体" w:cs="宋体"/>
          <w:color w:val="auto"/>
          <w:sz w:val="24"/>
          <w:szCs w:val="24"/>
          <w:highlight w:val="none"/>
        </w:rPr>
        <w:t xml:space="preserve">“苏采云”系统使用相关提醒</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开标当天投标供应商应及时登录“苏采云”不见面开标大厅，并在规定时间内自行实施远程解密。投标供应商解密时间限定为响应文件解密指令发出后</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原因或网上招投标平台发生故障，导致无法按时完成响应文件解密或开、评标工作无法进行的，可根据实际情况相应延迟解密时间或调整开、评标时间。</w:t>
      </w:r>
      <w:r/>
    </w:p>
    <w:p>
      <w:pPr>
        <w:pStyle w:val="1043"/>
        <w:jc w:val="left"/>
        <w:spacing w:before="0" w:after="0" w:line="460" w:lineRule="exact"/>
        <w:rPr>
          <w:rFonts w:ascii="宋体"/>
          <w:color w:val="auto"/>
          <w:sz w:val="24"/>
          <w:szCs w:val="24"/>
          <w:highlight w:val="none"/>
        </w:rPr>
      </w:pPr>
      <w:r>
        <w:rPr>
          <w:rFonts w:hint="eastAsia" w:ascii="宋体" w:hAnsi="宋体" w:cs="宋体"/>
          <w:color w:val="auto"/>
          <w:sz w:val="24"/>
          <w:szCs w:val="24"/>
          <w:highlight w:val="none"/>
        </w:rPr>
        <w:t xml:space="preserve">七、本次招标联系方式</w:t>
      </w:r>
      <w:bookmarkEnd w:id="35"/>
      <w:r/>
      <w:bookmarkEnd w:id="36"/>
      <w:r/>
      <w:bookmarkEnd w:id="37"/>
      <w:r/>
      <w:bookmarkEnd w:id="38"/>
      <w:r/>
      <w:bookmarkEnd w:id="39"/>
      <w:r/>
      <w:r/>
    </w:p>
    <w:p>
      <w:pPr>
        <w:ind w:firstLine="480"/>
        <w:jc w:val="left"/>
        <w:spacing w:line="460" w:lineRule="exact"/>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信息</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名称：南通金沙湾医学资产管理有限公司、南通市通州区中医院</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地址：南通市通州区金沙街道建设路</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号</w:t>
      </w:r>
      <w:r/>
    </w:p>
    <w:p>
      <w:pPr>
        <w:ind w:firstLine="480"/>
        <w:jc w:val="left"/>
        <w:spacing w:line="460" w:lineRule="exact"/>
        <w:rPr>
          <w:rFonts w:hint="eastAsia" w:ascii="宋体" w:eastAsia="宋体"/>
          <w:color w:val="auto"/>
          <w:sz w:val="24"/>
          <w:szCs w:val="24"/>
          <w:highlight w:val="none"/>
          <w:u w:val="singl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刘先生</w:t>
      </w:r>
      <w:r/>
    </w:p>
    <w:p>
      <w:pPr>
        <w:ind w:firstLine="480"/>
        <w:jc w:val="left"/>
        <w:spacing w:line="460" w:lineRule="exact"/>
        <w:rPr>
          <w:rFonts w:hint="default" w:ascii="宋体" w:eastAsia="宋体"/>
          <w:color w:val="auto"/>
          <w:sz w:val="24"/>
          <w:szCs w:val="24"/>
          <w:highlight w:val="none"/>
          <w:u w:val="single"/>
          <w:lang w:val="en-US" w:eastAsia="zh-CN"/>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lang w:val="en-US" w:eastAsia="zh-CN"/>
        </w:rPr>
        <w:t xml:space="preserve">0513-68382068、15996696568</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南通市通州区公共资源交易中心信息</w:t>
      </w:r>
      <w:bookmarkEnd w:id="40"/>
      <w:r/>
      <w:bookmarkEnd w:id="41"/>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地址：</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南通市通州区碧华路</w:t>
      </w:r>
      <w:r>
        <w:rPr>
          <w:rFonts w:ascii="宋体" w:hAnsi="宋体" w:cs="宋体"/>
          <w:color w:val="auto"/>
          <w:sz w:val="24"/>
          <w:szCs w:val="24"/>
          <w:highlight w:val="none"/>
        </w:rPr>
        <w:t xml:space="preserve">197</w:t>
      </w:r>
      <w:r>
        <w:rPr>
          <w:rFonts w:hint="eastAsia" w:ascii="宋体" w:hAnsi="宋体" w:cs="宋体"/>
          <w:color w:val="auto"/>
          <w:sz w:val="24"/>
          <w:szCs w:val="24"/>
          <w:highlight w:val="none"/>
        </w:rPr>
        <w:t xml:space="preserve">号</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联系人：政府采购科</w:t>
      </w:r>
      <w:r/>
    </w:p>
    <w:p>
      <w:pPr>
        <w:ind w:firstLine="480"/>
        <w:jc w:val="left"/>
        <w:spacing w:line="460" w:lineRule="exact"/>
        <w:rPr>
          <w:rFonts w:ascii="宋体"/>
          <w:color w:val="auto"/>
          <w:sz w:val="24"/>
          <w:szCs w:val="24"/>
          <w:highlight w:val="none"/>
          <w:u w:val="single"/>
        </w:rPr>
      </w:pPr>
      <w:r>
        <w:rPr>
          <w:rFonts w:hint="eastAsia" w:ascii="宋体" w:hAnsi="宋体" w:cs="宋体"/>
          <w:color w:val="auto"/>
          <w:sz w:val="24"/>
          <w:szCs w:val="24"/>
          <w:highlight w:val="none"/>
        </w:rPr>
        <w:t xml:space="preserve">联系方式：</w:t>
      </w:r>
      <w:r>
        <w:rPr>
          <w:rFonts w:ascii="宋体" w:hAnsi="宋体" w:cs="宋体"/>
          <w:color w:val="auto"/>
          <w:sz w:val="24"/>
          <w:szCs w:val="24"/>
          <w:highlight w:val="none"/>
        </w:rPr>
        <w:t xml:space="preserve">0513—86524079</w:t>
      </w:r>
      <w:r/>
    </w:p>
    <w:p>
      <w:pPr>
        <w:ind w:firstLine="480"/>
        <w:spacing w:line="560" w:lineRule="exact"/>
        <w:rPr>
          <w:rFonts w:hint="eastAsia" w:ascii="宋体" w:hAnsi="宋体"/>
          <w:color w:val="auto"/>
          <w:sz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0519-86722801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0519-86722806  </w:t>
      </w:r>
      <w:r/>
    </w:p>
    <w:p>
      <w:pPr>
        <w:ind w:right="840"/>
        <w:jc w:val="center"/>
        <w:rPr>
          <w:rFonts w:hint="eastAsia" w:ascii="黑体" w:hAnsi="Times New Roman" w:eastAsia="黑体" w:cs="Times New Roman"/>
          <w:color w:val="auto"/>
          <w:sz w:val="44"/>
          <w:szCs w:val="44"/>
          <w:highlight w:val="none"/>
          <w:lang w:val="en-US" w:eastAsia="zh-CN" w:bidi="ar-SA"/>
        </w:rPr>
        <w:outlineLvl w:val="0"/>
      </w:pPr>
      <w:r>
        <w:rPr>
          <w:rFonts w:ascii="宋体" w:hAnsi="宋体"/>
          <w:color w:val="auto"/>
          <w:sz w:val="24"/>
          <w:szCs w:val="24"/>
          <w:highlight w:val="none"/>
        </w:rPr>
        <w:br w:type="page" w:clear="all"/>
      </w:r>
      <w:bookmarkStart w:id="42" w:name="_Toc120614211"/>
      <w:r>
        <w:rPr>
          <w:rFonts w:hint="eastAsia" w:ascii="黑体" w:hAnsi="Times New Roman" w:eastAsia="黑体" w:cs="Times New Roman"/>
          <w:color w:val="auto"/>
          <w:sz w:val="44"/>
          <w:szCs w:val="44"/>
          <w:highlight w:val="none"/>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Times New Roman" w:eastAsia="黑体" w:cs="Times New Roman"/>
          <w:color w:val="auto"/>
          <w:sz w:val="44"/>
          <w:szCs w:val="44"/>
          <w:highlight w:val="none"/>
          <w:lang w:val="en-US" w:eastAsia="zh-CN" w:bidi="ar-SA"/>
        </w:rPr>
        <w:t xml:space="preserve">投标人须知</w:t>
      </w:r>
      <w:bookmarkEnd w:id="43"/>
      <w:r/>
      <w:bookmarkEnd w:id="44"/>
      <w:r/>
      <w:bookmarkEnd w:id="45"/>
      <w:r/>
      <w:bookmarkEnd w:id="46"/>
      <w:r/>
      <w:r/>
    </w:p>
    <w:p>
      <w:pPr>
        <w:pStyle w:val="754"/>
        <w:ind w:firstLine="498"/>
        <w:spacing w:before="145" w:after="145" w:line="360" w:lineRule="auto"/>
        <w:rPr>
          <w:rFonts w:hint="eastAsia"/>
          <w:color w:val="auto"/>
          <w:highlight w:val="none"/>
        </w:rPr>
        <w:outlineLvl w:val="1"/>
      </w:pPr>
      <w:r/>
      <w:bookmarkStart w:id="47" w:name="_Toc120614214"/>
      <w:r/>
      <w:bookmarkStart w:id="48" w:name="_Toc20823275"/>
      <w:r/>
      <w:bookmarkStart w:id="49" w:name="_Toc513029203"/>
      <w:r/>
      <w:bookmarkStart w:id="50" w:name="_Toc16938519"/>
      <w:r>
        <w:rPr>
          <w:rFonts w:hint="eastAsia"/>
          <w:color w:val="auto"/>
          <w:highlight w:val="none"/>
        </w:rPr>
        <w:t xml:space="preserve">一、总则</w:t>
      </w:r>
      <w:bookmarkEnd w:id="47"/>
      <w:r/>
      <w:bookmarkEnd w:id="48"/>
      <w:r/>
      <w:bookmarkEnd w:id="49"/>
      <w:r/>
      <w:bookmarkEnd w:id="50"/>
      <w:r/>
      <w:r/>
    </w:p>
    <w:p>
      <w:pPr>
        <w:pStyle w:val="755"/>
        <w:ind w:firstLine="420"/>
        <w:spacing w:before="0" w:after="0" w:line="240" w:lineRule="auto"/>
        <w:rPr>
          <w:rFonts w:hint="eastAsia"/>
          <w:b w:val="0"/>
          <w:bCs w:val="0"/>
          <w:color w:val="auto"/>
          <w:highlight w:val="none"/>
        </w:rPr>
        <w:outlineLvl w:val="2"/>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color w:val="auto"/>
          <w:highlight w:val="none"/>
        </w:rPr>
        <w:t xml:space="preserve">1</w:t>
      </w:r>
      <w:bookmarkEnd w:id="52"/>
      <w:r>
        <w:rPr>
          <w:rFonts w:hint="eastAsia"/>
          <w:b w:val="0"/>
          <w:bCs w:val="0"/>
          <w:color w:val="auto"/>
          <w:highlight w:val="none"/>
        </w:rPr>
        <w:t xml:space="preserve">、招标方式</w:t>
      </w:r>
      <w:bookmarkEnd w:id="53"/>
      <w:r/>
      <w:bookmarkEnd w:id="54"/>
      <w:r/>
      <w:bookmarkEnd w:id="55"/>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755"/>
        <w:ind w:firstLine="420"/>
        <w:spacing w:before="0" w:after="0" w:line="240" w:lineRule="auto"/>
        <w:rPr>
          <w:rFonts w:hint="eastAsia"/>
          <w:b w:val="0"/>
          <w:bCs w:val="0"/>
          <w:color w:val="auto"/>
          <w:highlight w:val="none"/>
        </w:rPr>
        <w:outlineLvl w:val="2"/>
      </w:pPr>
      <w:r/>
      <w:bookmarkStart w:id="56" w:name="_Toc20823277"/>
      <w:r/>
      <w:bookmarkStart w:id="57" w:name="_Toc513029205"/>
      <w:r/>
      <w:bookmarkStart w:id="58" w:name="_Toc16938521"/>
      <w:r>
        <w:rPr>
          <w:rFonts w:hint="eastAsia"/>
          <w:b w:val="0"/>
          <w:bCs w:val="0"/>
          <w:color w:val="auto"/>
          <w:highlight w:val="none"/>
        </w:rPr>
        <w:t xml:space="preserve">2、合格的投标人</w:t>
      </w:r>
      <w:bookmarkEnd w:id="56"/>
      <w:r/>
      <w:bookmarkEnd w:id="57"/>
      <w:r/>
      <w:bookmarkEnd w:id="58"/>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pStyle w:val="755"/>
        <w:ind w:firstLine="420"/>
        <w:spacing w:before="0" w:after="0" w:line="240" w:lineRule="auto"/>
        <w:rPr>
          <w:rFonts w:hint="eastAsia"/>
          <w:b w:val="0"/>
          <w:bCs w:val="0"/>
          <w:color w:val="auto"/>
          <w:highlight w:val="none"/>
        </w:rPr>
        <w:outlineLvl w:val="2"/>
      </w:pPr>
      <w:r/>
      <w:bookmarkStart w:id="59" w:name="_Toc20823278"/>
      <w:r/>
      <w:bookmarkStart w:id="60" w:name="_Toc513029206"/>
      <w:r/>
      <w:bookmarkStart w:id="61" w:name="_Toc16938522"/>
      <w:r>
        <w:rPr>
          <w:rFonts w:hint="eastAsia"/>
          <w:b w:val="0"/>
          <w:bCs w:val="0"/>
          <w:color w:val="auto"/>
          <w:highlight w:val="none"/>
        </w:rPr>
        <w:t xml:space="preserve">3、适用法律</w:t>
      </w:r>
      <w:bookmarkEnd w:id="59"/>
      <w:r/>
      <w:bookmarkEnd w:id="60"/>
      <w:r/>
      <w:bookmarkEnd w:id="61"/>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755"/>
        <w:ind w:firstLine="420"/>
        <w:spacing w:before="0" w:after="0" w:line="240" w:lineRule="auto"/>
        <w:rPr>
          <w:rFonts w:hint="eastAsia"/>
          <w:b w:val="0"/>
          <w:bCs w:val="0"/>
          <w:color w:val="auto"/>
          <w:highlight w:val="none"/>
        </w:rPr>
        <w:outlineLvl w:val="2"/>
      </w:pPr>
      <w:r/>
      <w:bookmarkStart w:id="62" w:name="_Toc513029207"/>
      <w:r/>
      <w:bookmarkStart w:id="63" w:name="_Toc462564067"/>
      <w:r/>
      <w:bookmarkStart w:id="64" w:name="_Toc16938523"/>
      <w:r/>
      <w:bookmarkStart w:id="65" w:name="_Toc20823279"/>
      <w:r>
        <w:rPr>
          <w:rFonts w:hint="eastAsia"/>
          <w:b w:val="0"/>
          <w:bCs w:val="0"/>
          <w:color w:val="auto"/>
          <w:highlight w:val="none"/>
        </w:rPr>
        <w:t xml:space="preserve">4、投标费用</w:t>
      </w:r>
      <w:bookmarkEnd w:id="62"/>
      <w:r/>
      <w:bookmarkEnd w:id="63"/>
      <w:r/>
      <w:bookmarkEnd w:id="64"/>
      <w:r/>
      <w:bookmarkEnd w:id="65"/>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eastAsia="zh-CN"/>
        </w:rPr>
        <w:t xml:space="preserve">南通市通州区公共资源交易中心</w:t>
      </w:r>
      <w:r>
        <w:rPr>
          <w:rFonts w:hint="eastAsia" w:ascii="宋体" w:hAnsi="宋体"/>
          <w:color w:val="auto"/>
          <w:sz w:val="24"/>
          <w:highlight w:val="none"/>
        </w:rPr>
        <w:t xml:space="preserve">（以下简称采购中心）在任何情况下均无义务和责任承担这些费用。</w:t>
      </w:r>
      <w:r/>
    </w:p>
    <w:p>
      <w:pPr>
        <w:ind w:firstLine="480"/>
        <w:spacing w:line="500" w:lineRule="exact"/>
        <w:rPr>
          <w:rFonts w:hint="eastAsia" w:ascii="宋体" w:hAnsi="宋体"/>
          <w:color w:val="auto"/>
          <w:sz w:val="24"/>
          <w:highlight w:val="none"/>
        </w:rPr>
        <w:outlineLvl w:val="3"/>
      </w:pPr>
      <w:r>
        <w:rPr>
          <w:rFonts w:hint="eastAsia" w:ascii="宋体" w:hAnsi="宋体"/>
          <w:color w:val="auto"/>
          <w:sz w:val="24"/>
          <w:highlight w:val="none"/>
        </w:rPr>
        <w:t xml:space="preserve">4.2本次招标采购中心和采购人不收取标书工本费与中标服务费。</w:t>
      </w:r>
      <w:r/>
    </w:p>
    <w:p>
      <w:pPr>
        <w:pStyle w:val="755"/>
        <w:ind w:firstLine="602"/>
        <w:spacing w:before="0" w:after="0" w:line="480" w:lineRule="exact"/>
        <w:rPr>
          <w:rFonts w:hint="eastAsia" w:ascii="黑体" w:hAnsi="宋体"/>
          <w:b w:val="0"/>
          <w:bCs w:val="0"/>
          <w:color w:val="auto"/>
          <w:highlight w:val="none"/>
        </w:rPr>
        <w:outlineLvl w:val="2"/>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pStyle w:val="754"/>
        <w:ind w:firstLine="321"/>
        <w:spacing w:before="145" w:after="145" w:line="360" w:lineRule="auto"/>
        <w:rPr>
          <w:rFonts w:hint="eastAsia"/>
          <w:color w:val="auto"/>
          <w:highlight w:val="none"/>
        </w:rPr>
        <w:outlineLvl w:val="1"/>
      </w:pPr>
      <w:r/>
      <w:bookmarkStart w:id="66" w:name="_Toc16938525"/>
      <w:r/>
      <w:bookmarkStart w:id="67" w:name="_Toc120614215"/>
      <w:r/>
      <w:bookmarkStart w:id="68" w:name="_Toc20823281"/>
      <w:r/>
      <w:bookmarkStart w:id="69" w:name="_Toc513029209"/>
      <w:r>
        <w:rPr>
          <w:rFonts w:hint="eastAsia"/>
          <w:color w:val="auto"/>
          <w:highlight w:val="none"/>
        </w:rPr>
        <w:t xml:space="preserve">二、招标文件</w:t>
      </w:r>
      <w:bookmarkEnd w:id="66"/>
      <w:r/>
      <w:bookmarkEnd w:id="67"/>
      <w:r/>
      <w:bookmarkEnd w:id="68"/>
      <w:r/>
      <w:bookmarkEnd w:id="69"/>
      <w:r/>
      <w:r/>
    </w:p>
    <w:p>
      <w:pPr>
        <w:pStyle w:val="755"/>
        <w:ind w:firstLine="420"/>
        <w:spacing w:before="0" w:after="0" w:line="240" w:lineRule="auto"/>
        <w:rPr>
          <w:rFonts w:hint="eastAsia"/>
          <w:b w:val="0"/>
          <w:bCs w:val="0"/>
          <w:color w:val="auto"/>
          <w:highlight w:val="none"/>
        </w:rPr>
        <w:outlineLvl w:val="2"/>
      </w:pPr>
      <w:r/>
      <w:bookmarkStart w:id="70" w:name="_Toc513029210"/>
      <w:r/>
      <w:bookmarkStart w:id="71" w:name="_Toc16938526"/>
      <w:r/>
      <w:bookmarkStart w:id="72" w:name="_Toc20823282"/>
      <w:r>
        <w:rPr>
          <w:rFonts w:hint="eastAsia"/>
          <w:b w:val="0"/>
          <w:bCs w:val="0"/>
          <w:color w:val="auto"/>
          <w:highlight w:val="none"/>
        </w:rPr>
        <w:t xml:space="preserve">6、招标文件构成</w:t>
      </w:r>
      <w:bookmarkEnd w:id="70"/>
      <w:r/>
      <w:bookmarkEnd w:id="71"/>
      <w:r/>
      <w:bookmarkEnd w:id="72"/>
      <w:r/>
      <w:r/>
    </w:p>
    <w:p>
      <w:pPr>
        <w:ind w:firstLine="480"/>
        <w:spacing w:line="500" w:lineRule="exact"/>
        <w:rPr>
          <w:rFonts w:hint="eastAsia" w:ascii="宋体" w:hAnsi="宋体"/>
          <w:color w:val="auto"/>
          <w:sz w:val="24"/>
          <w:highlight w:val="none"/>
        </w:rPr>
        <w:outlineLvl w:val="3"/>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请仔细检查招标文件是否齐全，如有缺漏请立即与采购中心联系解决。</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5"/>
        <w:ind w:firstLine="560"/>
        <w:spacing w:before="0" w:after="0" w:line="240" w:lineRule="auto"/>
        <w:rPr>
          <w:rFonts w:hint="eastAsia"/>
          <w:b w:val="0"/>
          <w:bCs w:val="0"/>
          <w:color w:val="auto"/>
          <w:highlight w:val="none"/>
        </w:rPr>
        <w:outlineLvl w:val="2"/>
      </w:pPr>
      <w:r/>
      <w:bookmarkStart w:id="73" w:name="_Toc20823283"/>
      <w:r/>
      <w:bookmarkStart w:id="74" w:name="_Toc513029211"/>
      <w:r/>
      <w:bookmarkStart w:id="75" w:name="_Toc16938527"/>
      <w:r/>
      <w:bookmarkStart w:id="76" w:name="_Toc462564070"/>
      <w:r>
        <w:rPr>
          <w:rFonts w:hint="eastAsia"/>
          <w:b w:val="0"/>
          <w:bCs w:val="0"/>
          <w:color w:val="auto"/>
          <w:highlight w:val="none"/>
        </w:rPr>
        <w:t xml:space="preserve">7、招标文件的澄清</w:t>
      </w:r>
      <w:bookmarkEnd w:id="73"/>
      <w:r/>
      <w:bookmarkEnd w:id="74"/>
      <w:r/>
      <w:bookmarkEnd w:id="75"/>
      <w:r/>
      <w:bookmarkEnd w:id="76"/>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按招标公告中的通讯地址，以书面形式通知采购中心。</w:t>
      </w:r>
      <w:r/>
    </w:p>
    <w:p>
      <w:pPr>
        <w:pStyle w:val="755"/>
        <w:ind w:firstLine="560"/>
        <w:spacing w:before="0" w:after="0" w:line="240" w:lineRule="auto"/>
        <w:rPr>
          <w:rFonts w:hint="eastAsia"/>
          <w:b w:val="0"/>
          <w:bCs w:val="0"/>
          <w:color w:val="auto"/>
          <w:highlight w:val="none"/>
        </w:rPr>
        <w:outlineLvl w:val="2"/>
      </w:pPr>
      <w:r/>
      <w:bookmarkStart w:id="77" w:name="_Toc16938528"/>
      <w:r/>
      <w:bookmarkStart w:id="78" w:name="_Toc513029212"/>
      <w:r/>
      <w:bookmarkStart w:id="79" w:name="_Toc462564071"/>
      <w:r/>
      <w:bookmarkStart w:id="80" w:name="_Toc20823284"/>
      <w:r>
        <w:rPr>
          <w:rFonts w:hint="eastAsia"/>
          <w:b w:val="0"/>
          <w:bCs w:val="0"/>
          <w:color w:val="auto"/>
          <w:highlight w:val="none"/>
        </w:rPr>
        <w:t xml:space="preserve">8、招标文件的修改</w:t>
      </w:r>
      <w:bookmarkEnd w:id="77"/>
      <w:r/>
      <w:bookmarkEnd w:id="78"/>
      <w:r/>
      <w:bookmarkEnd w:id="79"/>
      <w:r/>
      <w:bookmarkEnd w:id="80"/>
      <w:r/>
      <w:r/>
    </w:p>
    <w:p>
      <w:pPr>
        <w:ind w:firstLine="480"/>
        <w:spacing w:line="500" w:lineRule="exact"/>
        <w:rPr>
          <w:rFonts w:hint="eastAsia" w:ascii="宋体" w:hAnsi="宋体"/>
          <w:color w:val="auto"/>
          <w:sz w:val="24"/>
          <w:highlight w:val="none"/>
        </w:rPr>
        <w:outlineLvl w:val="3"/>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，采购中心可以对招标文件进行修改。</w:t>
      </w:r>
      <w:r/>
    </w:p>
    <w:p>
      <w:pPr>
        <w:ind w:firstLine="480"/>
        <w:spacing w:line="500" w:lineRule="exact"/>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 xml:space="preserve">采购中心</w:t>
      </w:r>
      <w:r>
        <w:rPr>
          <w:rFonts w:hint="eastAsia" w:ascii="宋体" w:hAnsi="宋体"/>
          <w:color w:val="auto"/>
          <w:sz w:val="24"/>
          <w:szCs w:val="24"/>
          <w:highlight w:val="none"/>
        </w:rPr>
        <w:t xml:space="preserve">有权按照法定的要求</w:t>
      </w:r>
      <w:r>
        <w:rPr>
          <w:rFonts w:hint="eastAsia" w:ascii="宋体" w:hAnsi="宋体"/>
          <w:color w:val="auto"/>
          <w:sz w:val="24"/>
          <w:highlight w:val="none"/>
        </w:rPr>
        <w:t xml:space="preserve">推迟投标截止日期和开标日期。</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highlight w:val="none"/>
        </w:rPr>
        <w:t xml:space="preserve">并对投标人具有约束力。</w:t>
      </w:r>
      <w:r/>
    </w:p>
    <w:p>
      <w:pPr>
        <w:pStyle w:val="754"/>
        <w:ind w:firstLine="482"/>
        <w:spacing w:before="145" w:after="145" w:line="360" w:lineRule="auto"/>
        <w:rPr>
          <w:rFonts w:hint="eastAsia"/>
          <w:color w:val="auto"/>
          <w:highlight w:val="none"/>
        </w:rPr>
        <w:outlineLvl w:val="1"/>
      </w:pPr>
      <w:r/>
      <w:bookmarkStart w:id="81" w:name="_Toc462564072"/>
      <w:r/>
      <w:bookmarkStart w:id="82" w:name="_Toc120614216"/>
      <w:r/>
      <w:bookmarkStart w:id="83" w:name="_Toc16938529"/>
      <w:r/>
      <w:bookmarkStart w:id="84" w:name="_Toc513029213"/>
      <w:r/>
      <w:bookmarkStart w:id="85" w:name="_Toc20823285"/>
      <w:r>
        <w:rPr>
          <w:rFonts w:hint="eastAsia"/>
          <w:color w:val="auto"/>
          <w:highlight w:val="none"/>
        </w:rPr>
        <w:t xml:space="preserve">三、投标文件的编制</w:t>
      </w:r>
      <w:bookmarkEnd w:id="81"/>
      <w:r/>
      <w:bookmarkEnd w:id="82"/>
      <w:r/>
      <w:bookmarkEnd w:id="83"/>
      <w:r/>
      <w:bookmarkEnd w:id="84"/>
      <w:r/>
      <w:bookmarkEnd w:id="85"/>
      <w:r/>
      <w:r/>
    </w:p>
    <w:p>
      <w:pPr>
        <w:pStyle w:val="755"/>
        <w:ind w:firstLine="560"/>
        <w:spacing w:before="0" w:after="0" w:line="240" w:lineRule="auto"/>
        <w:rPr>
          <w:rFonts w:hint="eastAsia"/>
          <w:bCs w:val="0"/>
          <w:color w:val="auto"/>
          <w:highlight w:val="none"/>
        </w:rPr>
        <w:outlineLvl w:val="2"/>
      </w:pPr>
      <w:r/>
      <w:bookmarkStart w:id="86" w:name="_Toc462564073"/>
      <w:r/>
      <w:bookmarkStart w:id="87" w:name="_Toc513029214"/>
      <w:r/>
      <w:bookmarkStart w:id="88" w:name="_Toc20823286"/>
      <w:r/>
      <w:bookmarkStart w:id="89" w:name="_Toc16938530"/>
      <w:r>
        <w:rPr>
          <w:rFonts w:hint="eastAsia"/>
          <w:b w:val="0"/>
          <w:bCs w:val="0"/>
          <w:color w:val="auto"/>
          <w:highlight w:val="none"/>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投标人提交的投标文件以及投标人与采购中心就有关投标的所有来往通知、函件和文件均应使用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755"/>
        <w:ind w:firstLine="420"/>
        <w:spacing w:before="0" w:after="0" w:line="240" w:lineRule="auto"/>
        <w:rPr>
          <w:rFonts w:hint="eastAsia"/>
          <w:b w:val="0"/>
          <w:bCs w:val="0"/>
          <w:color w:val="auto"/>
          <w:highlight w:val="none"/>
        </w:rPr>
        <w:outlineLvl w:val="2"/>
      </w:pPr>
      <w:r/>
      <w:bookmarkStart w:id="90" w:name="_Toc513029215"/>
      <w:r/>
      <w:bookmarkStart w:id="91" w:name="_Toc16938531"/>
      <w:r/>
      <w:bookmarkStart w:id="92" w:name="_Toc462564074"/>
      <w:r/>
      <w:bookmarkStart w:id="93" w:name="_Toc20823287"/>
      <w:r>
        <w:rPr>
          <w:rFonts w:hint="eastAsia"/>
          <w:b w:val="0"/>
          <w:bCs w:val="0"/>
          <w:color w:val="auto"/>
          <w:highlight w:val="none"/>
        </w:rPr>
        <w:t xml:space="preserve">10、投标文件构成</w:t>
      </w:r>
      <w:bookmarkEnd w:id="90"/>
      <w:r/>
      <w:bookmarkEnd w:id="91"/>
      <w:r/>
      <w:bookmarkEnd w:id="92"/>
      <w:r/>
      <w:bookmarkEnd w:id="93"/>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755"/>
        <w:ind w:firstLine="420"/>
        <w:spacing w:before="0" w:after="0" w:line="240" w:lineRule="auto"/>
        <w:rPr>
          <w:rFonts w:hint="eastAsia"/>
          <w:b w:val="0"/>
          <w:bCs w:val="0"/>
          <w:color w:val="auto"/>
          <w:highlight w:val="none"/>
        </w:rPr>
        <w:outlineLvl w:val="2"/>
      </w:pPr>
      <w:r/>
      <w:bookmarkStart w:id="94" w:name="_Hlt26670360"/>
      <w:r/>
      <w:bookmarkEnd w:id="94"/>
      <w:r/>
      <w:bookmarkStart w:id="95" w:name="_Hlt26668975"/>
      <w:r/>
      <w:bookmarkEnd w:id="95"/>
      <w:r/>
      <w:bookmarkStart w:id="96" w:name="_Hlt26954838"/>
      <w:r/>
      <w:bookmarkEnd w:id="96"/>
      <w:r/>
      <w:bookmarkStart w:id="97" w:name="_Toc513029216"/>
      <w:r/>
      <w:bookmarkStart w:id="98" w:name="_Toc14577357"/>
      <w:r/>
      <w:bookmarkStart w:id="99" w:name="_Toc513029219"/>
      <w:r/>
      <w:bookmarkStart w:id="100" w:name="_Toc49090507"/>
      <w:r/>
      <w:bookmarkStart w:id="101" w:name="_Toc49090509"/>
      <w:r/>
      <w:bookmarkStart w:id="102" w:name="_Toc14577354"/>
      <w:r>
        <w:rPr>
          <w:rFonts w:hint="eastAsia"/>
          <w:b w:val="0"/>
          <w:bCs w:val="0"/>
          <w:color w:val="auto"/>
          <w:highlight w:val="none"/>
        </w:rPr>
        <w:t xml:space="preserve">11、证明投标人及投标标的符合招标文件规定的文件</w:t>
      </w:r>
      <w:bookmarkEnd w:id="97"/>
      <w:r/>
      <w:bookmarkEnd w:id="98"/>
      <w:r/>
      <w:bookmarkEnd w:id="99"/>
      <w:r/>
      <w:bookmarkEnd w:id="100"/>
      <w:r/>
      <w:bookmarkEnd w:id="101"/>
      <w:r/>
      <w:bookmarkEnd w:id="102"/>
      <w:r/>
      <w:r/>
    </w:p>
    <w:p>
      <w:pPr>
        <w:spacing w:line="480" w:lineRule="exact"/>
        <w:rPr>
          <w:rFonts w:hint="eastAsia" w:ascii="宋体" w:hAnsi="宋体"/>
          <w:color w:val="auto"/>
          <w:sz w:val="24"/>
          <w:szCs w:val="24"/>
          <w:highlight w:val="none"/>
        </w:rPr>
      </w:pPr>
      <w:r/>
      <w:bookmarkStart w:id="103" w:name="_Toc14577355"/>
      <w:r/>
      <w:bookmarkStart w:id="104"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755"/>
        <w:ind w:firstLine="420"/>
        <w:spacing w:before="0" w:after="0" w:line="240" w:lineRule="auto"/>
        <w:rPr>
          <w:rFonts w:hint="eastAsia"/>
          <w:b w:val="0"/>
          <w:bCs w:val="0"/>
          <w:color w:val="auto"/>
          <w:highlight w:val="none"/>
        </w:rPr>
        <w:outlineLvl w:val="2"/>
      </w:pPr>
      <w:r>
        <w:rPr>
          <w:rFonts w:hint="eastAsia"/>
          <w:b w:val="0"/>
          <w:bCs w:val="0"/>
          <w:color w:val="auto"/>
          <w:highlight w:val="none"/>
        </w:rPr>
        <w:t xml:space="preserve">12、投标分项报价</w:t>
      </w:r>
      <w:bookmarkEnd w:id="103"/>
      <w:r/>
      <w:bookmarkStart w:id="105" w:name="_Hlt26670373"/>
      <w:r/>
      <w:bookmarkEnd w:id="105"/>
      <w:r>
        <w:rPr>
          <w:rFonts w:hint="eastAsia"/>
          <w:b w:val="0"/>
          <w:bCs w:val="0"/>
          <w:color w:val="auto"/>
          <w:highlight w:val="none"/>
        </w:rPr>
        <w:t xml:space="preserve">表</w:t>
      </w:r>
      <w:bookmarkEnd w:id="104"/>
      <w:r/>
      <w:r/>
    </w:p>
    <w:p>
      <w:pPr>
        <w:ind w:firstLine="480"/>
        <w:spacing w:line="500" w:lineRule="exact"/>
        <w:rPr>
          <w:rFonts w:hint="eastAsia" w:ascii="宋体" w:hAnsi="宋体"/>
          <w:bCs/>
          <w:color w:val="auto"/>
          <w:sz w:val="24"/>
          <w:highlight w:val="none"/>
        </w:rPr>
        <w:outlineLvl w:val="3"/>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106" w:name="_Hlt26954840"/>
      <w:r/>
      <w:bookmarkEnd w:id="106"/>
      <w:r>
        <w:rPr>
          <w:rFonts w:hint="eastAsia" w:ascii="宋体" w:hAnsi="宋体"/>
          <w:color w:val="auto"/>
          <w:sz w:val="24"/>
          <w:highlight w:val="none"/>
        </w:rPr>
        <w:t xml:space="preserve">标人应按照招标文件规定格式填报投标分项报价表</w:t>
      </w:r>
      <w:bookmarkStart w:id="107" w:name="_Hlt26670399"/>
      <w:r/>
      <w:bookmarkEnd w:id="107"/>
      <w:r>
        <w:rPr>
          <w:rFonts w:hint="eastAsia" w:ascii="宋体" w:hAnsi="宋体"/>
          <w:color w:val="auto"/>
          <w:sz w:val="24"/>
          <w:highlight w:val="none"/>
        </w:rPr>
        <w:t xml:space="preserve">。</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755"/>
        <w:ind w:firstLine="420"/>
        <w:spacing w:before="0" w:after="0" w:line="240" w:lineRule="auto"/>
        <w:rPr>
          <w:rFonts w:hint="eastAsia"/>
          <w:b w:val="0"/>
          <w:bCs w:val="0"/>
          <w:color w:val="auto"/>
          <w:highlight w:val="none"/>
        </w:rPr>
        <w:outlineLvl w:val="2"/>
      </w:pPr>
      <w:r/>
      <w:bookmarkStart w:id="108" w:name="_Hlt26954844"/>
      <w:r/>
      <w:bookmarkEnd w:id="108"/>
      <w:r/>
      <w:bookmarkStart w:id="109" w:name="_Hlt26954842"/>
      <w:r/>
      <w:bookmarkEnd w:id="109"/>
      <w:r/>
      <w:bookmarkStart w:id="110" w:name="_Hlt26954846"/>
      <w:r/>
      <w:bookmarkEnd w:id="110"/>
      <w:r/>
      <w:bookmarkStart w:id="111" w:name="_Hlt26954731"/>
      <w:r/>
      <w:bookmarkEnd w:id="111"/>
      <w:r/>
      <w:bookmarkStart w:id="112" w:name="_Hlt26670403"/>
      <w:r/>
      <w:bookmarkEnd w:id="112"/>
      <w:r/>
      <w:bookmarkStart w:id="113" w:name="_Hlt26668983"/>
      <w:r/>
      <w:bookmarkEnd w:id="113"/>
      <w:r/>
      <w:bookmarkStart w:id="114" w:name="_Hlt26670486"/>
      <w:r/>
      <w:bookmarkEnd w:id="114"/>
      <w:r/>
      <w:bookmarkStart w:id="115" w:name="_Hlt26670425"/>
      <w:r/>
      <w:bookmarkEnd w:id="115"/>
      <w:r/>
      <w:bookmarkStart w:id="116" w:name="_Hlt26954848"/>
      <w:r/>
      <w:bookmarkEnd w:id="116"/>
      <w:r/>
      <w:bookmarkStart w:id="117" w:name="_Hlt26670482"/>
      <w:r/>
      <w:bookmarkEnd w:id="117"/>
      <w:r>
        <w:rPr>
          <w:rFonts w:hint="eastAsia"/>
          <w:b w:val="0"/>
          <w:bCs w:val="0"/>
          <w:color w:val="auto"/>
          <w:highlight w:val="none"/>
        </w:rPr>
        <w:t xml:space="preserve">13、技术要求响应及偏离表、商务要求响应及偏离表</w:t>
      </w:r>
      <w:r/>
    </w:p>
    <w:p>
      <w:pPr>
        <w:ind w:firstLine="480"/>
        <w:spacing w:line="500" w:lineRule="exact"/>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755"/>
        <w:ind w:firstLine="420"/>
        <w:spacing w:before="0" w:after="0" w:line="240" w:lineRule="auto"/>
        <w:rPr>
          <w:rFonts w:hint="eastAsia"/>
          <w:b w:val="0"/>
          <w:bCs w:val="0"/>
          <w:color w:val="auto"/>
          <w:highlight w:val="none"/>
        </w:rPr>
        <w:outlineLvl w:val="2"/>
      </w:pPr>
      <w:r/>
      <w:bookmarkStart w:id="118" w:name="_Toc14577359"/>
      <w:r/>
      <w:bookmarkStart w:id="119" w:name="_Toc49090510"/>
      <w:r>
        <w:rPr>
          <w:rFonts w:hint="eastAsia"/>
          <w:b w:val="0"/>
          <w:bCs w:val="0"/>
          <w:color w:val="auto"/>
          <w:highlight w:val="none"/>
        </w:rPr>
        <w:t xml:space="preserve">14、投标函和开标一览表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w:t>
      </w:r>
      <w:r>
        <w:rPr>
          <w:rFonts w:hint="eastAsia" w:ascii="宋体" w:hAnsi="宋体"/>
          <w:color w:val="auto"/>
          <w:sz w:val="24"/>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highlight w:val="none"/>
        </w:rPr>
        <w:t xml:space="preserve">，但评标时按开标一览表中价格为准</w:t>
      </w:r>
      <w:r>
        <w:rPr>
          <w:rFonts w:hint="eastAsia" w:ascii="宋体" w:hAnsi="宋体"/>
          <w:b/>
          <w:bCs/>
          <w:color w:val="auto"/>
          <w:sz w:val="24"/>
          <w:highlight w:val="none"/>
        </w:rPr>
        <w:t xml:space="preserve">。</w:t>
      </w:r>
      <w:bookmarkEnd w:id="118"/>
      <w:r/>
      <w:bookmarkEnd w:id="119"/>
      <w:r/>
      <w:r/>
    </w:p>
    <w:p>
      <w:pPr>
        <w:pStyle w:val="755"/>
        <w:ind w:firstLine="420"/>
        <w:spacing w:before="0" w:after="0" w:line="240" w:lineRule="auto"/>
        <w:rPr>
          <w:rFonts w:hint="eastAsia"/>
          <w:b w:val="0"/>
          <w:bCs w:val="0"/>
          <w:color w:val="auto"/>
          <w:highlight w:val="none"/>
        </w:rPr>
        <w:outlineLvl w:val="2"/>
      </w:pPr>
      <w:r/>
      <w:bookmarkStart w:id="120" w:name="_Hlt26954734"/>
      <w:r/>
      <w:bookmarkEnd w:id="120"/>
      <w:r/>
      <w:bookmarkStart w:id="121" w:name="_Hlt26954850"/>
      <w:r/>
      <w:bookmarkEnd w:id="121"/>
      <w:r/>
      <w:bookmarkStart w:id="122" w:name="_Hlt26670489"/>
      <w:r/>
      <w:bookmarkEnd w:id="122"/>
      <w:r/>
      <w:bookmarkStart w:id="123" w:name="_Toc14577360"/>
      <w:r/>
      <w:bookmarkStart w:id="124" w:name="_Toc49090511"/>
      <w:r>
        <w:rPr>
          <w:rFonts w:hint="eastAsia"/>
          <w:b w:val="0"/>
          <w:bCs w:val="0"/>
          <w:color w:val="auto"/>
          <w:highlight w:val="none"/>
        </w:rPr>
        <w:t xml:space="preserve">15、投标有效期</w:t>
      </w:r>
      <w:bookmarkEnd w:id="123"/>
      <w:r/>
      <w:bookmarkEnd w:id="124"/>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投标有效期为采购中心规定的开标之日后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755"/>
        <w:ind w:firstLine="420"/>
        <w:spacing w:before="0" w:after="0" w:line="240" w:lineRule="auto"/>
        <w:rPr>
          <w:rFonts w:hint="eastAsia"/>
          <w:b w:val="0"/>
          <w:bCs w:val="0"/>
          <w:color w:val="auto"/>
          <w:highlight w:val="none"/>
        </w:rPr>
        <w:outlineLvl w:val="2"/>
      </w:pPr>
      <w:r>
        <w:rPr>
          <w:rFonts w:hint="eastAsia"/>
          <w:b w:val="0"/>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754"/>
        <w:ind w:firstLine="482"/>
        <w:spacing w:before="145" w:after="145" w:line="360" w:lineRule="auto"/>
        <w:rPr>
          <w:rFonts w:hint="eastAsia"/>
          <w:color w:val="auto"/>
          <w:highlight w:val="none"/>
        </w:rPr>
        <w:outlineLvl w:val="1"/>
      </w:pPr>
      <w:r/>
      <w:bookmarkStart w:id="125" w:name="_Hlt26954739"/>
      <w:r/>
      <w:bookmarkEnd w:id="125"/>
      <w:r/>
      <w:bookmarkStart w:id="126" w:name="_Hlt26954852"/>
      <w:r/>
      <w:bookmarkEnd w:id="126"/>
      <w:r/>
      <w:bookmarkStart w:id="127" w:name="_Toc513029224"/>
      <w:r/>
      <w:bookmarkStart w:id="128" w:name="_Toc16938540"/>
      <w:r/>
      <w:bookmarkStart w:id="129" w:name="_Toc20823296"/>
      <w:r/>
      <w:bookmarkStart w:id="130" w:name="_Toc120614217"/>
      <w:r>
        <w:rPr>
          <w:rFonts w:hint="eastAsia"/>
          <w:color w:val="auto"/>
          <w:highlight w:val="none"/>
        </w:rPr>
        <w:t xml:space="preserve">四、投标文件的递交</w:t>
      </w:r>
      <w:bookmarkEnd w:id="127"/>
      <w:r/>
      <w:bookmarkEnd w:id="128"/>
      <w:r/>
      <w:bookmarkEnd w:id="129"/>
      <w:r/>
      <w:bookmarkEnd w:id="130"/>
      <w:r/>
      <w:r/>
    </w:p>
    <w:p>
      <w:pPr>
        <w:pStyle w:val="755"/>
        <w:ind w:firstLine="560"/>
        <w:spacing w:before="0" w:after="0" w:line="240" w:lineRule="auto"/>
        <w:rPr>
          <w:rFonts w:hint="eastAsia" w:ascii="黑体"/>
          <w:b w:val="0"/>
          <w:bCs w:val="0"/>
          <w:color w:val="auto"/>
          <w:highlight w:val="none"/>
        </w:rPr>
        <w:outlineLvl w:val="2"/>
      </w:pPr>
      <w:r/>
      <w:bookmarkStart w:id="131" w:name="_Toc513029225"/>
      <w:r/>
      <w:bookmarkStart w:id="132" w:name="_Toc16938541"/>
      <w:r/>
      <w:bookmarkStart w:id="133" w:name="_Toc20823297"/>
      <w:r/>
      <w:bookmarkStart w:id="134" w:name="_Toc462564084"/>
      <w:r>
        <w:rPr>
          <w:rFonts w:hint="eastAsia"/>
          <w:b w:val="0"/>
          <w:bCs w:val="0"/>
          <w:color w:val="auto"/>
          <w:highlight w:val="none"/>
        </w:rPr>
        <w:t xml:space="preserve">17、</w:t>
      </w:r>
      <w:r>
        <w:rPr>
          <w:rFonts w:hint="eastAsia" w:ascii="黑体"/>
          <w:b w:val="0"/>
          <w:bCs w:val="0"/>
          <w:color w:val="auto"/>
          <w:highlight w:val="none"/>
        </w:rPr>
        <w:t xml:space="preserve">投标文件</w:t>
      </w:r>
      <w:bookmarkEnd w:id="131"/>
      <w:r/>
      <w:bookmarkEnd w:id="132"/>
      <w:r/>
      <w:bookmarkEnd w:id="133"/>
      <w:r/>
      <w:bookmarkEnd w:id="134"/>
      <w:r>
        <w:rPr>
          <w:rFonts w:hint="eastAsia" w:ascii="黑体"/>
          <w:b w:val="0"/>
          <w:bCs w:val="0"/>
          <w:color w:val="auto"/>
          <w:highlight w:val="none"/>
        </w:rPr>
        <w:t xml:space="preserve">的递交</w:t>
      </w:r>
      <w:r/>
    </w:p>
    <w:p>
      <w:pPr>
        <w:ind w:firstLine="480"/>
        <w:spacing w:line="500" w:lineRule="exact"/>
        <w:rPr>
          <w:rFonts w:hint="eastAsia" w:ascii="宋体" w:hAnsi="宋体"/>
          <w:bCs/>
          <w:color w:val="auto"/>
          <w:sz w:val="24"/>
          <w:highlight w:val="none"/>
        </w:rPr>
        <w:outlineLvl w:val="3"/>
      </w:pPr>
      <w:r>
        <w:rPr>
          <w:rFonts w:hint="eastAsia" w:ascii="宋体" w:hAnsi="宋体"/>
          <w:color w:val="auto"/>
          <w:sz w:val="24"/>
          <w:highlight w:val="none"/>
        </w:rPr>
        <w:t xml:space="preserve">17.1</w:t>
      </w:r>
      <w:r>
        <w:rPr>
          <w:rFonts w:hint="eastAsia" w:ascii="宋体" w:hAnsi="宋体"/>
          <w:bCs/>
          <w:color w:val="auto"/>
          <w:sz w:val="24"/>
          <w:highlight w:val="none"/>
        </w:rPr>
        <w:t xml:space="preserve"> 电子投标文件的递交</w:t>
      </w:r>
      <w:r/>
    </w:p>
    <w:p>
      <w:pPr>
        <w:pStyle w:val="1035"/>
        <w:ind w:left="525"/>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5" w:name="_Toc16938542"/>
      <w:r/>
      <w:bookmarkStart w:id="136" w:name="_Toc20823298"/>
      <w:r/>
      <w:bookmarkStart w:id="137" w:name="_Toc513029226"/>
      <w:r/>
      <w:r/>
    </w:p>
    <w:p>
      <w:pPr>
        <w:pStyle w:val="755"/>
        <w:ind w:firstLine="420"/>
        <w:rPr>
          <w:rFonts w:hint="eastAsia"/>
          <w:b w:val="0"/>
          <w:color w:val="auto"/>
          <w:highlight w:val="none"/>
        </w:rPr>
        <w:outlineLvl w:val="2"/>
      </w:pPr>
      <w:r>
        <w:rPr>
          <w:rFonts w:hint="eastAsia"/>
          <w:b w:val="0"/>
          <w:color w:val="auto"/>
          <w:highlight w:val="none"/>
        </w:rPr>
        <w:t xml:space="preserve">18、投标截止</w:t>
      </w:r>
      <w:bookmarkEnd w:id="135"/>
      <w:r/>
      <w:bookmarkEnd w:id="136"/>
      <w:r/>
      <w:bookmarkEnd w:id="137"/>
      <w:r>
        <w:rPr>
          <w:rFonts w:hint="eastAsia"/>
          <w:b w:val="0"/>
          <w:color w:val="auto"/>
          <w:highlight w:val="none"/>
        </w:rPr>
        <w:t xml:space="preserve">时间</w:t>
      </w:r>
      <w:r/>
    </w:p>
    <w:p>
      <w:pPr>
        <w:ind w:firstLine="480"/>
        <w:spacing w:line="500" w:lineRule="exact"/>
        <w:rPr>
          <w:rFonts w:hint="eastAsia" w:ascii="宋体" w:hAnsi="宋体"/>
          <w:bCs/>
          <w:i/>
          <w:color w:val="auto"/>
          <w:sz w:val="24"/>
          <w:highlight w:val="none"/>
          <w:u w:val="single"/>
        </w:rPr>
      </w:pPr>
      <w:r>
        <w:rPr>
          <w:rFonts w:hint="eastAsia" w:ascii="宋体" w:hAnsi="宋体"/>
          <w:i/>
          <w:color w:val="auto"/>
          <w:sz w:val="24"/>
          <w:highlight w:val="none"/>
          <w:u w:val="single"/>
        </w:rPr>
        <w:t xml:space="preserve">18.1</w:t>
      </w:r>
      <w:r>
        <w:rPr>
          <w:rFonts w:hint="eastAsia" w:ascii="宋体" w:hAnsi="宋体"/>
          <w:bCs/>
          <w:i/>
          <w:color w:val="auto"/>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755"/>
        <w:ind w:firstLine="420"/>
        <w:spacing w:before="0" w:after="0" w:line="240" w:lineRule="auto"/>
        <w:rPr>
          <w:rFonts w:hint="eastAsia"/>
          <w:b w:val="0"/>
          <w:bCs w:val="0"/>
          <w:color w:val="auto"/>
          <w:highlight w:val="none"/>
        </w:rPr>
        <w:outlineLvl w:val="2"/>
      </w:pPr>
      <w:r/>
      <w:bookmarkStart w:id="138" w:name="_Toc16938543"/>
      <w:r/>
      <w:bookmarkStart w:id="139" w:name="_Toc513029227"/>
      <w:r/>
      <w:bookmarkStart w:id="140" w:name="_Toc20823299"/>
      <w:r>
        <w:rPr>
          <w:rFonts w:hint="eastAsia"/>
          <w:b w:val="0"/>
          <w:bCs w:val="0"/>
          <w:color w:val="auto"/>
          <w:highlight w:val="none"/>
        </w:rPr>
        <w:t xml:space="preserve">19、投标文件</w:t>
      </w:r>
      <w:bookmarkEnd w:id="138"/>
      <w:r/>
      <w:bookmarkEnd w:id="139"/>
      <w:r/>
      <w:bookmarkEnd w:id="140"/>
      <w:r>
        <w:rPr>
          <w:rFonts w:hint="eastAsia"/>
          <w:b w:val="0"/>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采购中心拒绝接收在其规定的投标截止时间后上传的任何投标文件。</w:t>
      </w:r>
      <w:r/>
    </w:p>
    <w:p>
      <w:pPr>
        <w:pStyle w:val="755"/>
        <w:ind w:firstLine="420"/>
        <w:spacing w:before="0" w:after="0" w:line="240" w:lineRule="auto"/>
        <w:rPr>
          <w:rFonts w:hint="eastAsia"/>
          <w:b w:val="0"/>
          <w:bCs w:val="0"/>
          <w:color w:val="auto"/>
          <w:highlight w:val="none"/>
        </w:rPr>
        <w:outlineLvl w:val="2"/>
      </w:pPr>
      <w:r/>
      <w:bookmarkStart w:id="141" w:name="_Toc513029228"/>
      <w:r/>
      <w:bookmarkStart w:id="142" w:name="_Toc16938544"/>
      <w:r/>
      <w:bookmarkStart w:id="143" w:name="_Toc20823300"/>
      <w:r>
        <w:rPr>
          <w:rFonts w:hint="eastAsia"/>
          <w:b w:val="0"/>
          <w:bCs w:val="0"/>
          <w:color w:val="auto"/>
          <w:highlight w:val="none"/>
        </w:rPr>
        <w:t xml:space="preserve">20、投标文件的撤回和修改</w:t>
      </w:r>
      <w:bookmarkEnd w:id="141"/>
      <w:r/>
      <w:bookmarkEnd w:id="142"/>
      <w:r/>
      <w:bookmarkEnd w:id="143"/>
      <w:r/>
      <w:r/>
    </w:p>
    <w:p>
      <w:pPr>
        <w:ind w:firstLine="480"/>
        <w:spacing w:line="480" w:lineRule="exact"/>
        <w:rPr>
          <w:rFonts w:hint="eastAsia" w:ascii="宋体" w:hAnsi="宋体"/>
          <w:color w:val="auto"/>
          <w:sz w:val="24"/>
          <w:highlight w:val="none"/>
        </w:rPr>
        <w:outlineLvl w:val="3"/>
      </w:pPr>
      <w:r>
        <w:rPr>
          <w:rFonts w:hint="eastAsia" w:ascii="宋体" w:hAnsi="宋体"/>
          <w:color w:val="auto"/>
          <w:sz w:val="24"/>
          <w:highlight w:val="none"/>
        </w:rPr>
        <w:t xml:space="preserve">20.1 投标文件的撤回</w:t>
      </w:r>
      <w:r/>
    </w:p>
    <w:p>
      <w:pPr>
        <w:ind w:firstLine="480"/>
        <w:spacing w:line="480" w:lineRule="exact"/>
        <w:rPr>
          <w:rFonts w:hint="eastAsia" w:ascii="宋体" w:hAnsi="宋体"/>
          <w:color w:val="auto"/>
          <w:sz w:val="24"/>
          <w:highlight w:val="none"/>
        </w:rPr>
        <w:outlineLvl w:val="4"/>
      </w:pPr>
      <w:r>
        <w:rPr>
          <w:rFonts w:hint="eastAsia" w:ascii="宋体" w:hAnsi="宋体"/>
          <w:color w:val="auto"/>
          <w:sz w:val="24"/>
          <w:highlight w:val="none"/>
        </w:rPr>
        <w:t xml:space="preserve">21.1.1 电子投标文件的撤回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20.2 投标文件的修改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 在投标截止时间至招标文件中规定的投标有效期满之间的这段时间内，投标人不得撤回其投标。</w:t>
      </w:r>
      <w:r/>
    </w:p>
    <w:p>
      <w:pPr>
        <w:pStyle w:val="754"/>
        <w:ind w:firstLine="482"/>
        <w:spacing w:before="145" w:after="145" w:line="360" w:lineRule="auto"/>
        <w:rPr>
          <w:rFonts w:hint="eastAsia"/>
          <w:color w:val="auto"/>
          <w:highlight w:val="none"/>
        </w:rPr>
        <w:outlineLvl w:val="1"/>
      </w:pPr>
      <w:r/>
      <w:bookmarkStart w:id="144" w:name="_Toc16938545"/>
      <w:r/>
      <w:bookmarkStart w:id="145" w:name="_Toc513029229"/>
      <w:r/>
      <w:bookmarkStart w:id="146" w:name="_Toc120614218"/>
      <w:r/>
      <w:bookmarkStart w:id="147" w:name="_Toc20823301"/>
      <w:r>
        <w:rPr>
          <w:rFonts w:hint="eastAsia"/>
          <w:color w:val="auto"/>
          <w:highlight w:val="none"/>
        </w:rPr>
        <w:t xml:space="preserve">五、开标与评标</w:t>
      </w:r>
      <w:bookmarkEnd w:id="144"/>
      <w:r/>
      <w:bookmarkEnd w:id="145"/>
      <w:r/>
      <w:bookmarkEnd w:id="146"/>
      <w:r/>
      <w:bookmarkEnd w:id="147"/>
      <w:r/>
      <w:r/>
    </w:p>
    <w:p>
      <w:pPr>
        <w:pStyle w:val="755"/>
        <w:ind w:firstLine="420"/>
        <w:spacing w:before="0" w:after="0" w:line="240" w:lineRule="auto"/>
        <w:rPr>
          <w:rFonts w:hint="eastAsia"/>
          <w:b w:val="0"/>
          <w:bCs w:val="0"/>
          <w:color w:val="auto"/>
          <w:highlight w:val="none"/>
        </w:rPr>
        <w:outlineLvl w:val="2"/>
      </w:pPr>
      <w:r/>
      <w:bookmarkStart w:id="148" w:name="_Toc20823302"/>
      <w:r/>
      <w:bookmarkStart w:id="149" w:name="_Toc513029230"/>
      <w:r/>
      <w:bookmarkStart w:id="150" w:name="_Toc16938546"/>
      <w:r>
        <w:rPr>
          <w:rFonts w:hint="eastAsia"/>
          <w:b w:val="0"/>
          <w:bCs w:val="0"/>
          <w:color w:val="auto"/>
          <w:highlight w:val="none"/>
        </w:rPr>
        <w:t xml:space="preserve">21、开标</w:t>
      </w:r>
      <w:bookmarkEnd w:id="148"/>
      <w:r/>
      <w:bookmarkEnd w:id="149"/>
      <w:r/>
      <w:bookmarkEnd w:id="150"/>
      <w:r/>
      <w:r/>
    </w:p>
    <w:p>
      <w:pPr>
        <w:ind w:firstLine="360"/>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 采购中心将在招标公告中规定的时间和地点组织公开开标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开标仪式由采购中心组织。苏采云系统将自动对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755"/>
        <w:ind w:firstLine="420"/>
        <w:spacing w:before="0" w:after="0" w:line="240" w:lineRule="auto"/>
        <w:rPr>
          <w:rFonts w:hint="eastAsia"/>
          <w:b w:val="0"/>
          <w:bCs w:val="0"/>
          <w:color w:val="auto"/>
          <w:highlight w:val="none"/>
        </w:rPr>
        <w:outlineLvl w:val="2"/>
      </w:pPr>
      <w:r/>
      <w:bookmarkStart w:id="151" w:name="_Toc20823303"/>
      <w:r/>
      <w:bookmarkStart w:id="152" w:name="_Toc16938547"/>
      <w:r/>
      <w:bookmarkStart w:id="153" w:name="_Toc513029231"/>
      <w:r>
        <w:rPr>
          <w:rFonts w:hint="eastAsia"/>
          <w:b w:val="0"/>
          <w:bCs w:val="0"/>
          <w:color w:val="auto"/>
          <w:highlight w:val="none"/>
        </w:rPr>
        <w:t xml:space="preserve">22、评标委员会</w:t>
      </w:r>
      <w:r/>
    </w:p>
    <w:p>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开标后，采购中心将立即组织评标委员会（以下简称评委会）进行评标。</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评委会由采购人代表和有关技术、经济等方面的专家组成，且人员构成符合政府采购有关规定。</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pStyle w:val="755"/>
        <w:ind w:firstLine="420"/>
        <w:spacing w:before="0" w:after="0" w:line="240" w:lineRule="auto"/>
        <w:rPr>
          <w:rFonts w:hint="eastAsia" w:ascii="黑体"/>
          <w:b w:val="0"/>
          <w:bCs w:val="0"/>
          <w:color w:val="auto"/>
          <w:highlight w:val="none"/>
        </w:rPr>
        <w:outlineLvl w:val="2"/>
      </w:pPr>
      <w:r>
        <w:rPr>
          <w:rFonts w:hint="eastAsia" w:ascii="黑体"/>
          <w:b w:val="0"/>
          <w:bCs w:val="0"/>
          <w:color w:val="auto"/>
          <w:highlight w:val="none"/>
        </w:rPr>
        <w:t xml:space="preserve">23、评标过程的保密与公正</w:t>
      </w:r>
      <w:bookmarkEnd w:id="151"/>
      <w:r/>
      <w:bookmarkEnd w:id="152"/>
      <w:r/>
      <w:bookmarkEnd w:id="153"/>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采购中心和评标委员会不向未中标的投标人解释未中标原因，也不公布评标过程中的相关细节。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755"/>
        <w:ind w:firstLine="420"/>
        <w:spacing w:before="0" w:after="0" w:line="240" w:lineRule="auto"/>
        <w:rPr>
          <w:rFonts w:hint="eastAsia"/>
          <w:b w:val="0"/>
          <w:bCs w:val="0"/>
          <w:color w:val="auto"/>
          <w:highlight w:val="none"/>
        </w:rPr>
        <w:outlineLvl w:val="2"/>
      </w:pPr>
      <w:r/>
      <w:bookmarkStart w:id="154" w:name="_Toc20823304"/>
      <w:r/>
      <w:bookmarkStart w:id="155" w:name="_Toc16938548"/>
      <w:r/>
      <w:bookmarkStart w:id="156" w:name="_Toc513029232"/>
      <w:r>
        <w:rPr>
          <w:rFonts w:hint="eastAsia"/>
          <w:b w:val="0"/>
          <w:bCs w:val="0"/>
          <w:color w:val="auto"/>
          <w:highlight w:val="none"/>
        </w:rPr>
        <w:t xml:space="preserve">24、投标文件的澄清</w:t>
      </w:r>
      <w:bookmarkEnd w:id="154"/>
      <w:r/>
      <w:bookmarkEnd w:id="155"/>
      <w:r/>
      <w:bookmarkEnd w:id="156"/>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r/>
    </w:p>
    <w:p>
      <w:pPr>
        <w:pStyle w:val="755"/>
        <w:ind w:firstLine="420"/>
        <w:spacing w:before="0" w:after="0" w:line="240" w:lineRule="auto"/>
        <w:rPr>
          <w:rFonts w:hint="eastAsia"/>
          <w:b w:val="0"/>
          <w:bCs w:val="0"/>
          <w:color w:val="auto"/>
          <w:highlight w:val="none"/>
        </w:rPr>
        <w:outlineLvl w:val="2"/>
      </w:pPr>
      <w:r/>
      <w:bookmarkStart w:id="157" w:name="_Toc513029233"/>
      <w:r/>
      <w:bookmarkStart w:id="158" w:name="_Toc20823305"/>
      <w:r/>
      <w:bookmarkStart w:id="159" w:name="_Toc16938549"/>
      <w:r>
        <w:rPr>
          <w:rFonts w:hint="eastAsia"/>
          <w:b w:val="0"/>
          <w:bCs w:val="0"/>
          <w:color w:val="auto"/>
          <w:highlight w:val="none"/>
        </w:rPr>
        <w:t xml:space="preserve">25、对投标文件的初审</w:t>
      </w:r>
      <w:bookmarkEnd w:id="157"/>
      <w:r/>
      <w:bookmarkEnd w:id="158"/>
      <w:r/>
      <w:bookmarkEnd w:id="159"/>
      <w:r/>
      <w:r/>
    </w:p>
    <w:p>
      <w:pPr>
        <w:ind w:firstLine="480"/>
        <w:spacing w:line="460" w:lineRule="exact"/>
        <w:rPr>
          <w:rFonts w:hint="eastAsia" w:ascii="宋体" w:hAnsi="宋体"/>
          <w:bCs/>
          <w:color w:val="auto"/>
          <w:sz w:val="24"/>
          <w:highlight w:val="none"/>
        </w:rPr>
        <w:outlineLvl w:val="3"/>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 未通过资格审查或符合性审查的投标人，采购中心将在</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w:t>
      </w:r>
      <w:r>
        <w:rPr>
          <w:rFonts w:hint="eastAsia" w:ascii="宋体" w:hAnsi="宋体"/>
          <w:bCs/>
          <w:color w:val="auto"/>
          <w:sz w:val="24"/>
          <w:highlight w:val="none"/>
        </w:rPr>
        <w:t xml:space="preserve">采购</w:t>
      </w:r>
      <w:r>
        <w:rPr>
          <w:rFonts w:ascii="宋体" w:hAnsi="宋体"/>
          <w:bCs/>
          <w:color w:val="auto"/>
          <w:sz w:val="24"/>
          <w:highlight w:val="none"/>
        </w:rPr>
        <w:t xml:space="preserve">中心将不再告知未通过资格审查和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highlight w:val="none"/>
        </w:rPr>
        <w:outlineLvl w:val="4"/>
      </w:pPr>
      <w:r>
        <w:rPr>
          <w:rFonts w:hint="eastAsia" w:ascii="宋体" w:hAnsi="宋体"/>
          <w:bCs/>
          <w:color w:val="auto"/>
          <w:sz w:val="24"/>
          <w:highlight w:val="none"/>
        </w:rPr>
        <w:t xml:space="preserve">（2）大写金额和小写金额不一致的，以大写金额为准。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46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color w:val="auto"/>
          <w:sz w:val="24"/>
          <w:highlight w:val="none"/>
        </w:rPr>
        <w:t xml:space="preserve"> </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ind w:firstLine="420"/>
        <w:spacing w:line="460" w:lineRule="exact"/>
        <w:rPr>
          <w:rFonts w:hint="eastAsia" w:ascii="宋体" w:hAnsi="宋体"/>
          <w:color w:val="auto"/>
          <w:sz w:val="24"/>
          <w:highlight w:val="none"/>
        </w:rPr>
      </w:pPr>
      <w:r/>
      <w:bookmarkStart w:id="160" w:name="_Toc16938550"/>
      <w:r/>
      <w:bookmarkStart w:id="161" w:name="_Toc20823306"/>
      <w:r/>
      <w:bookmarkStart w:id="162" w:name="_Toc513029234"/>
      <w:r>
        <w:rPr>
          <w:rFonts w:hint="eastAsia" w:ascii="宋体" w:hAnsi="宋体"/>
          <w:color w:val="auto"/>
          <w:sz w:val="24"/>
          <w:highlight w:val="none"/>
        </w:rPr>
        <w:t xml:space="preserve">25.6投标人在开、评标全过程中应保持通讯畅通，及时登录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并安排专人与采购中心及评标委员会联系。</w:t>
      </w:r>
      <w:r/>
    </w:p>
    <w:p>
      <w:pPr>
        <w:pStyle w:val="755"/>
        <w:ind w:firstLine="420"/>
        <w:spacing w:before="0" w:after="0" w:line="240" w:lineRule="auto"/>
        <w:rPr>
          <w:rFonts w:hint="eastAsia"/>
          <w:b w:val="0"/>
          <w:bCs w:val="0"/>
          <w:color w:val="auto"/>
          <w:highlight w:val="none"/>
        </w:rPr>
        <w:outlineLvl w:val="2"/>
      </w:pPr>
      <w:r>
        <w:rPr>
          <w:rFonts w:hint="eastAsia"/>
          <w:b w:val="0"/>
          <w:bCs w:val="0"/>
          <w:color w:val="auto"/>
          <w:highlight w:val="none"/>
        </w:rPr>
        <w:t xml:space="preserve">26、</w:t>
      </w:r>
      <w:bookmarkEnd w:id="160"/>
      <w:r/>
      <w:bookmarkEnd w:id="161"/>
      <w:r/>
      <w:bookmarkEnd w:id="162"/>
      <w:r>
        <w:rPr>
          <w:rFonts w:hint="eastAsia"/>
          <w:b w:val="0"/>
          <w:bCs w:val="0"/>
          <w:color w:val="auto"/>
          <w:highlight w:val="none"/>
        </w:rPr>
        <w:t xml:space="preserve">无效投标条款和废标条款</w:t>
      </w:r>
      <w:r/>
    </w:p>
    <w:p>
      <w:pPr>
        <w:ind w:left="479"/>
        <w:spacing w:line="440" w:lineRule="exact"/>
        <w:rPr>
          <w:rFonts w:hint="eastAsia" w:ascii="宋体" w:hAnsi="宋体"/>
          <w:bCs/>
          <w:color w:val="auto"/>
          <w:sz w:val="24"/>
          <w:highlight w:val="none"/>
        </w:rPr>
        <w:outlineLvl w:val="3"/>
      </w:pPr>
      <w:r/>
      <w:bookmarkStart w:id="163" w:name="_Toc513029235"/>
      <w:r/>
      <w:bookmarkStart w:id="164" w:name="_Toc20823307"/>
      <w:r/>
      <w:bookmarkStart w:id="165" w:name="_Toc16938551"/>
      <w:r>
        <w:rPr>
          <w:rFonts w:hint="eastAsia" w:ascii="宋体" w:hAnsi="宋体"/>
          <w:bCs/>
          <w:color w:val="auto"/>
          <w:sz w:val="24"/>
          <w:highlight w:val="none"/>
        </w:rPr>
        <w:t xml:space="preserve">26.1无效投标条款</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hint="eastAsia" w:ascii="宋体" w:hAnsi="宋体"/>
          <w:bCs/>
          <w:color w:val="auto"/>
          <w:sz w:val="24"/>
          <w:highlight w:val="none"/>
        </w:rPr>
        <w:outlineLvl w:val="4"/>
      </w:pPr>
      <w:r>
        <w:rPr>
          <w:rFonts w:hint="eastAsia" w:ascii="宋体" w:hAnsi="宋体"/>
          <w:bCs/>
          <w:color w:val="auto"/>
          <w:sz w:val="24"/>
          <w:highlight w:val="none"/>
        </w:rPr>
        <w:t xml:space="preserve">26.1.2 投标人未按照招标文件要求上传电子投标文件的。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26.1.3同一投标人提交两个（含两个）以上不同的投标报价的。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26.1.4投标人不具备招标文件中规定资格要求的。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26.1.5投标人的报价超过了采购预算或最高限价的。</w:t>
      </w:r>
      <w:r/>
    </w:p>
    <w:p>
      <w:pPr>
        <w:ind w:firstLine="480"/>
        <w:spacing w:line="440" w:lineRule="exact"/>
        <w:rPr>
          <w:rFonts w:hint="default" w:ascii="宋体" w:hAnsi="宋体"/>
          <w:bCs/>
          <w:color w:val="auto"/>
          <w:sz w:val="24"/>
          <w:highlight w:val="none"/>
          <w:lang w:val="en-US" w:eastAsia="zh-CN"/>
        </w:rPr>
      </w:pPr>
      <w:r>
        <w:rPr>
          <w:rFonts w:hint="eastAsia" w:ascii="宋体" w:hAnsi="宋体"/>
          <w:bCs/>
          <w:color w:val="auto"/>
          <w:sz w:val="24"/>
          <w:highlight w:val="none"/>
        </w:rPr>
        <w:t xml:space="preserve">26.1.6</w:t>
      </w:r>
      <w:r>
        <w:rPr>
          <w:rFonts w:hint="eastAsia" w:ascii="宋体" w:hAnsi="宋体"/>
          <w:bCs/>
          <w:color w:val="auto"/>
          <w:sz w:val="24"/>
          <w:highlight w:val="none"/>
          <w:lang w:val="en-US" w:eastAsia="zh-CN"/>
        </w:rPr>
        <w:t xml:space="preserve">投标人的分项报价的总价格超过项目最高限价的。</w:t>
      </w:r>
      <w:r/>
    </w:p>
    <w:p>
      <w:pPr>
        <w:ind w:firstLine="48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未通过符合性审查的。</w:t>
      </w:r>
      <w:r/>
    </w:p>
    <w:p>
      <w:pPr>
        <w:ind w:firstLine="36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 26.1.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不符合招标文件中规定的实质性要求和条件的（</w:t>
      </w:r>
      <w:r>
        <w:rPr>
          <w:rFonts w:hint="eastAsia" w:ascii="宋体" w:hAnsi="宋体"/>
          <w:bCs/>
          <w:i/>
          <w:color w:val="auto"/>
          <w:sz w:val="24"/>
          <w:highlight w:val="none"/>
          <w:u w:val="single"/>
        </w:rPr>
        <w:t xml:space="preserve">本招标文件中斜体且有下划线部分为实质性要求和条件）。</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auto"/>
          <w:sz w:val="24"/>
          <w:highlight w:val="none"/>
        </w:rPr>
        <w:outlineLvl w:val="4"/>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 投标文件含有采购人不能接受的附加条件的。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 投标文件未按照招标文件要求加盖CA</w:t>
      </w:r>
      <w:r>
        <w:rPr>
          <w:rFonts w:ascii="宋体" w:hAnsi="宋体"/>
          <w:bCs/>
          <w:color w:val="auto"/>
          <w:sz w:val="24"/>
          <w:highlight w:val="none"/>
        </w:rPr>
        <w:t xml:space="preserve">电子公章的</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其他法律、法规及本招标文件规定的属无效投标的情形。</w:t>
      </w:r>
      <w:r/>
    </w:p>
    <w:p>
      <w:pPr>
        <w:ind w:left="479"/>
        <w:spacing w:line="440" w:lineRule="exact"/>
        <w:rPr>
          <w:rFonts w:hint="eastAsia" w:ascii="宋体" w:hAnsi="宋体"/>
          <w:bCs/>
          <w:color w:val="auto"/>
          <w:sz w:val="24"/>
          <w:highlight w:val="none"/>
        </w:rPr>
        <w:outlineLvl w:val="3"/>
      </w:pPr>
      <w:r>
        <w:rPr>
          <w:rFonts w:hint="eastAsia" w:ascii="宋体" w:hAnsi="宋体"/>
          <w:bCs/>
          <w:color w:val="auto"/>
          <w:sz w:val="24"/>
          <w:highlight w:val="none"/>
        </w:rPr>
        <w:t xml:space="preserve">26.2废标条款</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color w:val="auto"/>
          <w:sz w:val="24"/>
          <w:highlight w:val="none"/>
        </w:rPr>
        <w:outlineLvl w:val="4"/>
      </w:pPr>
      <w:r>
        <w:rPr>
          <w:rFonts w:hint="eastAsia" w:ascii="宋体" w:hAnsi="宋体"/>
          <w:bCs/>
          <w:color w:val="auto"/>
          <w:sz w:val="24"/>
          <w:highlight w:val="none"/>
        </w:rPr>
        <w:t xml:space="preserve">26.2.3因重大变故，采购任务取消的。</w:t>
      </w:r>
      <w:r/>
    </w:p>
    <w:p>
      <w:pPr>
        <w:ind w:left="479"/>
        <w:spacing w:line="44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440" w:lineRule="exact"/>
        <w:rPr>
          <w:rFonts w:hint="eastAsia" w:ascii="宋体" w:hAnsi="宋体"/>
          <w:bCs/>
          <w:color w:val="auto"/>
          <w:sz w:val="24"/>
          <w:highlight w:val="none"/>
        </w:rPr>
        <w:outlineLvl w:val="4"/>
      </w:pPr>
      <w:r>
        <w:rPr>
          <w:rFonts w:hint="eastAsia" w:ascii="宋体" w:hAnsi="宋体"/>
          <w:bCs/>
          <w:color w:val="auto"/>
          <w:sz w:val="24"/>
          <w:highlight w:val="none"/>
        </w:rPr>
        <w:t xml:space="preserve">26.2.5 因</w:t>
      </w:r>
      <w:r>
        <w:rPr>
          <w:rFonts w:hint="eastAsia" w:ascii="宋体" w:hAnsi="宋体"/>
          <w:color w:val="auto"/>
          <w:sz w:val="24"/>
          <w:szCs w:val="24"/>
          <w:highlight w:val="none"/>
        </w:rPr>
        <w:t xml:space="preserve">苏采云系统</w:t>
      </w:r>
      <w:r>
        <w:rPr>
          <w:rFonts w:ascii="宋体" w:hAnsi="宋体"/>
          <w:bCs/>
          <w:color w:val="auto"/>
          <w:sz w:val="24"/>
          <w:highlight w:val="none"/>
        </w:rPr>
        <w:t xml:space="preserve">系统故障原因造成开标不成功</w:t>
      </w:r>
      <w:r>
        <w:rPr>
          <w:rFonts w:hint="eastAsia" w:ascii="宋体" w:hAnsi="宋体"/>
          <w:bCs/>
          <w:color w:val="auto"/>
          <w:sz w:val="24"/>
          <w:highlight w:val="none"/>
        </w:rPr>
        <w:t xml:space="preserve">的</w:t>
      </w:r>
      <w:r>
        <w:rPr>
          <w:rFonts w:ascii="宋体" w:hAnsi="宋体"/>
          <w:bCs/>
          <w:color w:val="auto"/>
          <w:sz w:val="24"/>
          <w:highlight w:val="none"/>
        </w:rPr>
        <w:t xml:space="preserve">。</w:t>
      </w:r>
      <w:r/>
    </w:p>
    <w:p>
      <w:pPr>
        <w:ind w:left="479"/>
        <w:spacing w:line="440" w:lineRule="exact"/>
        <w:rPr>
          <w:rFonts w:hint="eastAsia" w:ascii="宋体" w:hAnsi="宋体"/>
          <w:bCs/>
          <w:color w:val="auto"/>
          <w:sz w:val="24"/>
          <w:highlight w:val="none"/>
        </w:rPr>
        <w:outlineLvl w:val="3"/>
      </w:pPr>
      <w:r>
        <w:rPr>
          <w:rFonts w:hint="eastAsia" w:ascii="宋体" w:hAnsi="宋体"/>
          <w:bCs/>
          <w:color w:val="auto"/>
          <w:sz w:val="24"/>
          <w:highlight w:val="none"/>
        </w:rPr>
        <w:t xml:space="preserve">26.3 投标截止时间结束后参加投标的供应商不足三家的处理：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754"/>
        <w:ind w:firstLine="482"/>
        <w:spacing w:before="145" w:after="145" w:line="360" w:lineRule="auto"/>
        <w:rPr>
          <w:rFonts w:hint="eastAsia"/>
          <w:color w:val="auto"/>
          <w:highlight w:val="none"/>
        </w:rPr>
        <w:outlineLvl w:val="1"/>
      </w:pPr>
      <w:r/>
      <w:bookmarkStart w:id="166" w:name="_Toc120614219"/>
      <w:r>
        <w:rPr>
          <w:rFonts w:hint="eastAsia"/>
          <w:color w:val="auto"/>
          <w:highlight w:val="none"/>
        </w:rPr>
        <w:t xml:space="preserve">六、</w:t>
      </w:r>
      <w:bookmarkEnd w:id="163"/>
      <w:r/>
      <w:bookmarkEnd w:id="164"/>
      <w:r/>
      <w:bookmarkEnd w:id="165"/>
      <w:r>
        <w:rPr>
          <w:rFonts w:hint="eastAsia"/>
          <w:color w:val="auto"/>
          <w:highlight w:val="none"/>
        </w:rPr>
        <w:t xml:space="preserve">定标</w:t>
      </w:r>
      <w:bookmarkEnd w:id="166"/>
      <w:r/>
      <w:r/>
    </w:p>
    <w:p>
      <w:pPr>
        <w:pStyle w:val="755"/>
        <w:ind w:firstLine="600"/>
        <w:spacing w:before="0" w:after="0" w:line="240" w:lineRule="auto"/>
        <w:rPr>
          <w:rFonts w:hint="eastAsia" w:ascii="黑体" w:hAnsi="宋体" w:cs="Times New Roman"/>
          <w:b w:val="0"/>
          <w:color w:val="auto"/>
          <w:sz w:val="30"/>
          <w:szCs w:val="30"/>
          <w:highlight w:val="none"/>
        </w:rPr>
        <w:outlineLvl w:val="2"/>
      </w:pPr>
      <w:r/>
      <w:bookmarkStart w:id="167" w:name="_Toc513029238"/>
      <w:r/>
      <w:bookmarkStart w:id="168" w:name="_Toc16938554"/>
      <w:r/>
      <w:bookmarkStart w:id="169" w:name="_Toc20823310"/>
      <w:r>
        <w:rPr>
          <w:rFonts w:hint="eastAsia" w:ascii="黑体" w:hAnsi="宋体" w:cs="Times New Roman"/>
          <w:b w:val="0"/>
          <w:color w:val="auto"/>
          <w:sz w:val="30"/>
          <w:szCs w:val="30"/>
          <w:highlight w:val="none"/>
        </w:rPr>
        <w:t xml:space="preserve">27、</w:t>
      </w:r>
      <w:bookmarkEnd w:id="167"/>
      <w:r>
        <w:rPr>
          <w:rFonts w:hint="eastAsia" w:ascii="黑体" w:hAnsi="宋体" w:cs="Times New Roman"/>
          <w:b w:val="0"/>
          <w:color w:val="auto"/>
          <w:sz w:val="30"/>
          <w:szCs w:val="30"/>
          <w:highlight w:val="none"/>
        </w:rPr>
        <w:t xml:space="preserve">确定</w:t>
      </w:r>
      <w:bookmarkEnd w:id="168"/>
      <w:r/>
      <w:bookmarkEnd w:id="169"/>
      <w:r>
        <w:rPr>
          <w:rFonts w:hint="eastAsia" w:ascii="黑体" w:hAnsi="宋体" w:cs="Times New Roman"/>
          <w:b w:val="0"/>
          <w:color w:val="auto"/>
          <w:sz w:val="30"/>
          <w:szCs w:val="30"/>
          <w:highlight w:val="none"/>
        </w:rPr>
        <w:t xml:space="preserve">中标单位</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采购人应根据评委会推荐的中标候选人确定中标人。</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 xml:space="preserve">采购中心将在“江苏政府采购网”发布中标公告，公告期限为1个工作日。</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27.4.2向采购人、采购中心行贿或者提供其他不正当利益的。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80" w:lineRule="exact"/>
        <w:rPr>
          <w:rFonts w:ascii="宋体" w:hAnsi="宋体"/>
          <w:color w:val="auto"/>
          <w:sz w:val="24"/>
          <w:szCs w:val="24"/>
          <w:highlight w:val="none"/>
        </w:rPr>
        <w:outlineLvl w:val="3"/>
      </w:pPr>
      <w:r/>
      <w:bookmarkStart w:id="170"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755"/>
        <w:ind w:firstLine="600"/>
        <w:spacing w:before="0" w:after="0" w:line="240" w:lineRule="auto"/>
        <w:rPr>
          <w:rFonts w:hint="eastAsia" w:ascii="黑体" w:hAnsi="宋体" w:cs="Times New Roman"/>
          <w:b w:val="0"/>
          <w:color w:val="auto"/>
          <w:sz w:val="30"/>
          <w:szCs w:val="30"/>
          <w:highlight w:val="none"/>
        </w:rPr>
        <w:outlineLvl w:val="2"/>
      </w:pPr>
      <w:r>
        <w:rPr>
          <w:rFonts w:hint="eastAsia" w:ascii="黑体" w:hAnsi="宋体" w:cs="Times New Roman"/>
          <w:b w:val="0"/>
          <w:color w:val="auto"/>
          <w:sz w:val="30"/>
          <w:szCs w:val="30"/>
          <w:highlight w:val="none"/>
        </w:rPr>
        <w:t xml:space="preserve">28、质疑处理</w:t>
      </w:r>
      <w:bookmarkEnd w:id="170"/>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color w:val="auto"/>
          <w:sz w:val="24"/>
          <w:szCs w:val="24"/>
          <w:highlight w:val="none"/>
        </w:rPr>
        <w:outlineLvl w:val="3"/>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480" w:lineRule="exact"/>
        <w:rPr>
          <w:rFonts w:hint="eastAsia" w:ascii="宋体" w:hAnsi="宋体"/>
          <w:color w:val="auto"/>
          <w:sz w:val="24"/>
          <w:szCs w:val="24"/>
          <w:highlight w:val="none"/>
        </w:rPr>
        <w:outlineLvl w:val="4"/>
      </w:pPr>
      <w:r>
        <w:rPr>
          <w:rFonts w:hint="eastAsia" w:ascii="宋体" w:hAnsi="宋体"/>
          <w:color w:val="auto"/>
          <w:sz w:val="24"/>
          <w:szCs w:val="24"/>
          <w:highlight w:val="none"/>
        </w:rPr>
        <w:t xml:space="preserve">28.5 以下情形的质疑不予受理</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55"/>
        <w:ind w:firstLine="600"/>
        <w:spacing w:before="0" w:after="0" w:line="240" w:lineRule="auto"/>
        <w:rPr>
          <w:rFonts w:hint="eastAsia" w:ascii="黑体" w:hAnsi="宋体" w:cs="Times New Roman"/>
          <w:b w:val="0"/>
          <w:color w:val="auto"/>
          <w:sz w:val="30"/>
          <w:szCs w:val="30"/>
          <w:highlight w:val="none"/>
        </w:rPr>
        <w:outlineLvl w:val="2"/>
      </w:pPr>
      <w:r>
        <w:rPr>
          <w:rFonts w:hint="eastAsia" w:ascii="黑体" w:hAnsi="宋体" w:cs="Times New Roman"/>
          <w:b w:val="0"/>
          <w:color w:val="auto"/>
          <w:sz w:val="30"/>
          <w:szCs w:val="30"/>
          <w:highlight w:val="none"/>
        </w:rPr>
        <w:t xml:space="preserve">29、中标通知书</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中标结果确定后，采购中心将向中标人发出中标通知书。</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54"/>
        <w:spacing w:before="145" w:after="145" w:line="360" w:lineRule="auto"/>
        <w:rPr>
          <w:rFonts w:hint="eastAsia"/>
          <w:color w:val="auto"/>
          <w:highlight w:val="none"/>
        </w:rPr>
        <w:outlineLvl w:val="1"/>
      </w:pPr>
      <w:r/>
      <w:bookmarkStart w:id="171" w:name="_Toc16938552"/>
      <w:r/>
      <w:bookmarkStart w:id="172" w:name="_Toc513029236"/>
      <w:r/>
      <w:bookmarkStart w:id="173" w:name="_Toc20823308"/>
      <w:r/>
      <w:bookmarkStart w:id="174" w:name="_Toc120614220"/>
      <w:r>
        <w:rPr>
          <w:rFonts w:hint="eastAsia"/>
          <w:color w:val="auto"/>
          <w:highlight w:val="none"/>
        </w:rPr>
        <w:t xml:space="preserve">七、授予合同</w:t>
      </w:r>
      <w:bookmarkEnd w:id="171"/>
      <w:r/>
      <w:bookmarkEnd w:id="172"/>
      <w:r/>
      <w:bookmarkEnd w:id="173"/>
      <w:r/>
      <w:bookmarkEnd w:id="174"/>
      <w:r/>
      <w:r/>
    </w:p>
    <w:p>
      <w:pPr>
        <w:pStyle w:val="755"/>
        <w:ind w:firstLine="600"/>
        <w:spacing w:before="0" w:after="0" w:line="240" w:lineRule="auto"/>
        <w:rPr>
          <w:rFonts w:hint="eastAsia" w:ascii="黑体" w:hAnsi="宋体" w:cs="Times New Roman"/>
          <w:b w:val="0"/>
          <w:color w:val="auto"/>
          <w:sz w:val="30"/>
          <w:szCs w:val="30"/>
          <w:highlight w:val="none"/>
        </w:rPr>
        <w:outlineLvl w:val="2"/>
      </w:pPr>
      <w:r/>
      <w:bookmarkStart w:id="175" w:name="_Toc16938553"/>
      <w:r/>
      <w:bookmarkStart w:id="176" w:name="_Toc513029237"/>
      <w:r/>
      <w:bookmarkStart w:id="177" w:name="_Toc20823309"/>
      <w:r>
        <w:rPr>
          <w:rFonts w:hint="eastAsia" w:ascii="黑体" w:hAnsi="宋体" w:cs="Times New Roman"/>
          <w:b w:val="0"/>
          <w:color w:val="auto"/>
          <w:sz w:val="30"/>
          <w:szCs w:val="30"/>
          <w:highlight w:val="none"/>
        </w:rPr>
        <w:t xml:space="preserve">30. 签订合同</w:t>
      </w:r>
      <w:r/>
    </w:p>
    <w:p>
      <w:pPr>
        <w:ind w:firstLine="60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rPr>
          <w:rFonts w:hint="eastAsia" w:ascii="宋体" w:hAnsi="宋体" w:eastAsia="宋体"/>
          <w:color w:val="auto"/>
          <w:sz w:val="24"/>
          <w:szCs w:val="24"/>
          <w:highlight w:val="none"/>
          <w:lang w:val="en-US" w:eastAsia="zh-CN"/>
        </w:rPr>
        <w:t xml:space="preserve">采购人有权根据国家</w:t>
      </w:r>
      <w:r>
        <w:rPr>
          <w:rFonts w:hint="eastAsia" w:ascii="宋体" w:hAnsi="宋体" w:eastAsia="宋体"/>
          <w:color w:val="auto"/>
          <w:sz w:val="24"/>
          <w:szCs w:val="24"/>
          <w:highlight w:val="none"/>
          <w:lang w:val="zh-CN"/>
        </w:rPr>
        <w:t xml:space="preserve">相关法律法规之规定，</w:t>
      </w:r>
      <w:r>
        <w:rPr>
          <w:rFonts w:hint="eastAsia" w:ascii="宋体" w:hAnsi="宋体" w:eastAsia="宋体"/>
          <w:color w:val="auto"/>
          <w:sz w:val="24"/>
          <w:szCs w:val="24"/>
          <w:highlight w:val="none"/>
          <w:lang w:val="en-US" w:eastAsia="zh-CN"/>
        </w:rPr>
        <w:t xml:space="preserve">采购人招标文件、中标供应商的投标文件和分项报价的实际市场行情</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en-US" w:eastAsia="zh-CN"/>
        </w:rPr>
        <w:t xml:space="preserve">对本项目政府采购合同的条款、内容、价格进行变更、修改、补充，政府采购合同解释权归采购人。</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55"/>
        <w:ind w:firstLine="600"/>
        <w:spacing w:before="0" w:after="0" w:line="240" w:lineRule="auto"/>
        <w:rPr>
          <w:rFonts w:hint="eastAsia" w:ascii="黑体" w:hAnsi="宋体" w:cs="Times New Roman"/>
          <w:b w:val="0"/>
          <w:color w:val="auto"/>
          <w:sz w:val="30"/>
          <w:szCs w:val="30"/>
          <w:highlight w:val="none"/>
        </w:rPr>
        <w:outlineLvl w:val="2"/>
      </w:pPr>
      <w:r>
        <w:rPr>
          <w:rFonts w:hint="eastAsia" w:ascii="黑体" w:hAnsi="宋体" w:cs="Times New Roman"/>
          <w:b w:val="0"/>
          <w:color w:val="auto"/>
          <w:sz w:val="30"/>
          <w:szCs w:val="30"/>
          <w:highlight w:val="none"/>
        </w:rPr>
        <w:t xml:space="preserve">31、服务（包含与服务相关的货物）的追加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5"/>
      <w:r/>
      <w:bookmarkEnd w:id="176"/>
      <w:r/>
      <w:bookmarkEnd w:id="177"/>
      <w:r/>
      <w:r/>
    </w:p>
    <w:p>
      <w:pPr>
        <w:pStyle w:val="755"/>
        <w:ind w:firstLine="600"/>
        <w:spacing w:before="0" w:after="0" w:line="240" w:lineRule="auto"/>
        <w:rPr>
          <w:rFonts w:ascii="黑体" w:hAnsi="宋体" w:cs="Times New Roman"/>
          <w:b w:val="0"/>
          <w:color w:val="auto"/>
          <w:sz w:val="30"/>
          <w:szCs w:val="30"/>
          <w:highlight w:val="none"/>
        </w:rPr>
        <w:outlineLvl w:val="2"/>
      </w:pPr>
      <w:r/>
      <w:bookmarkStart w:id="178" w:name="_Toc16938558"/>
      <w:r/>
      <w:bookmarkStart w:id="179" w:name="_Toc20823314"/>
      <w:r/>
      <w:bookmarkStart w:id="180" w:name="_Toc120614221"/>
      <w:r/>
      <w:bookmarkStart w:id="181" w:name="_Toc479757207"/>
      <w:r/>
      <w:bookmarkStart w:id="182" w:name="_Toc513029242"/>
      <w:r>
        <w:rPr>
          <w:rFonts w:hint="eastAsia" w:ascii="黑体" w:hAnsi="宋体" w:cs="Times New Roman"/>
          <w:b w:val="0"/>
          <w:color w:val="auto"/>
          <w:sz w:val="30"/>
          <w:szCs w:val="30"/>
          <w:highlight w:val="none"/>
        </w:rPr>
        <w:t xml:space="preserve">32、政府采购履约资金扶持政策</w:t>
      </w:r>
      <w:r/>
    </w:p>
    <w:p>
      <w:pPr>
        <w:pStyle w:val="764"/>
        <w:rPr>
          <w:rFonts w:hint="eastAsia"/>
          <w:color w:val="auto"/>
          <w:highlight w:val="none"/>
        </w:rPr>
      </w:pPr>
      <w:r>
        <w:rPr>
          <w:rFonts w:hint="eastAsia" w:ascii="宋体" w:hAnsi="宋体"/>
          <w:bCs/>
          <w:color w:val="auto"/>
          <w:sz w:val="24"/>
          <w:highlight w:val="none"/>
        </w:rPr>
        <w:t xml:space="preserve">中标人可凭政府采购合同办理融资贷款，详情请见江苏政府采购网“政采贷”专栏。</w:t>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pStyle w:val="752"/>
        <w:rPr>
          <w:rFonts w:hint="eastAsia" w:ascii="黑体" w:eastAsia="黑体"/>
          <w:bCs/>
          <w:color w:val="auto"/>
          <w:sz w:val="44"/>
          <w:highlight w:val="none"/>
        </w:rPr>
      </w:pPr>
      <w:r>
        <w:rPr>
          <w:rFonts w:hint="eastAsia" w:ascii="黑体" w:eastAsia="黑体"/>
          <w:bCs/>
          <w:color w:val="auto"/>
          <w:sz w:val="44"/>
          <w:highlight w:val="none"/>
        </w:rPr>
        <w:t xml:space="preserve">第三章  合同</w:t>
      </w:r>
      <w:bookmarkEnd w:id="178"/>
      <w:r/>
      <w:bookmarkEnd w:id="179"/>
      <w:r/>
      <w:bookmarkEnd w:id="180"/>
      <w:r/>
      <w:bookmarkEnd w:id="181"/>
      <w:r/>
      <w:bookmarkEnd w:id="182"/>
      <w:r>
        <w:rPr>
          <w:rFonts w:hint="eastAsia" w:ascii="黑体" w:eastAsia="黑体"/>
          <w:bCs/>
          <w:color w:val="auto"/>
          <w:sz w:val="44"/>
          <w:highlight w:val="none"/>
        </w:rPr>
        <w:t xml:space="preserve">文本</w:t>
      </w:r>
      <w:r/>
    </w:p>
    <w:p>
      <w:pPr>
        <w:ind w:firstLine="480"/>
        <w:pageBreakBefore w:val="0"/>
        <w:spacing w:line="240" w:lineRule="auto"/>
        <w:rPr>
          <w:rFonts w:hint="eastAsia" w:ascii="宋体" w:hAnsi="宋体"/>
          <w:bCs/>
          <w:color w:val="auto"/>
          <w:sz w:val="24"/>
          <w:szCs w:val="21"/>
          <w:highlight w:val="none"/>
        </w:rPr>
      </w:pPr>
      <w:r/>
      <w:bookmarkStart w:id="183" w:name="_Toc16938559"/>
      <w:r/>
      <w:bookmarkStart w:id="184" w:name="_Toc513029243"/>
      <w:r/>
      <w:bookmarkStart w:id="185" w:name="_Toc20823315"/>
      <w:r>
        <w:rPr>
          <w:rFonts w:hint="eastAsia" w:ascii="宋体" w:hAnsi="宋体"/>
          <w:bCs/>
          <w:color w:val="auto"/>
          <w:sz w:val="24"/>
          <w:szCs w:val="21"/>
          <w:highlight w:val="none"/>
        </w:rPr>
        <w:t xml:space="preserve">以下为成交后签定本项目合同的通用条款，成交供应商不得提出实质性的修改。</w:t>
      </w:r>
      <w:r/>
    </w:p>
    <w:p>
      <w:pPr>
        <w:jc w:val="center"/>
        <w:pageBreakBefore w:val="0"/>
        <w:spacing w:line="240" w:lineRule="auto"/>
        <w:rPr>
          <w:rFonts w:ascii="宋体" w:hAnsi="宋体"/>
          <w:b/>
          <w:bCs/>
          <w:color w:val="auto"/>
          <w:sz w:val="30"/>
          <w:szCs w:val="20"/>
          <w:highlight w:val="none"/>
        </w:rPr>
        <w:outlineLvl w:val="1"/>
      </w:pPr>
      <w:r/>
      <w:bookmarkStart w:id="186" w:name="_Hlt16619369"/>
      <w:r/>
      <w:bookmarkEnd w:id="186"/>
      <w:r>
        <w:rPr>
          <w:rFonts w:hint="eastAsia" w:ascii="宋体" w:hAnsi="宋体"/>
          <w:b/>
          <w:color w:val="auto"/>
          <w:sz w:val="30"/>
          <w:highlight w:val="none"/>
        </w:rPr>
        <w:t xml:space="preserve">江苏省政府采购合同</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项目名称：                                       项目编号：</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甲方：（买方）_________</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乙方：（卖方）_________</w:t>
      </w:r>
      <w:r/>
    </w:p>
    <w:p>
      <w:pPr>
        <w:pStyle w:val="778"/>
        <w:pageBreakBefore w:val="0"/>
        <w:spacing w:line="240" w:lineRule="auto"/>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甲、乙双方根据南通市通州区公共资源交易中心</w:t>
      </w:r>
      <w:r>
        <w:rPr>
          <w:rFonts w:hAnsi="宋体"/>
          <w:color w:val="auto"/>
          <w:sz w:val="24"/>
          <w:szCs w:val="24"/>
          <w:highlight w:val="none"/>
          <w:u w:val="single"/>
        </w:rPr>
        <w:t xml:space="preserve">         </w:t>
      </w:r>
      <w:r>
        <w:rPr>
          <w:rFonts w:hAnsi="宋体"/>
          <w:color w:val="auto"/>
          <w:sz w:val="24"/>
          <w:szCs w:val="24"/>
          <w:highlight w:val="none"/>
        </w:rPr>
        <w:t xml:space="preserve">项目竞争性磋商的结果，签署本合同。</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一、采购标的</w:t>
      </w:r>
      <w:r/>
    </w:p>
    <w:p>
      <w:pPr>
        <w:pStyle w:val="778"/>
        <w:ind w:firstLine="360"/>
        <w:pageBreakBefore w:val="0"/>
        <w:spacing w:line="240" w:lineRule="auto"/>
        <w:rPr>
          <w:rFonts w:hAnsi="宋体"/>
          <w:color w:val="auto"/>
          <w:sz w:val="24"/>
          <w:szCs w:val="24"/>
          <w:highlight w:val="none"/>
          <w:u w:val="single"/>
        </w:rPr>
      </w:pPr>
      <w:r>
        <w:rPr>
          <w:rFonts w:hAnsi="宋体"/>
          <w:color w:val="auto"/>
          <w:sz w:val="24"/>
          <w:szCs w:val="24"/>
          <w:highlight w:val="none"/>
        </w:rPr>
        <w:t xml:space="preserve">1.1 产品/服务内容：</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778"/>
        <w:ind w:firstLine="360"/>
        <w:pageBreakBefore w:val="0"/>
        <w:spacing w:line="240" w:lineRule="auto"/>
        <w:rPr>
          <w:rFonts w:hAnsi="宋体"/>
          <w:color w:val="auto"/>
          <w:sz w:val="24"/>
          <w:szCs w:val="24"/>
          <w:highlight w:val="none"/>
          <w:u w:val="single"/>
        </w:rPr>
      </w:pPr>
      <w:r>
        <w:rPr>
          <w:rFonts w:hAnsi="宋体"/>
          <w:color w:val="auto"/>
          <w:sz w:val="24"/>
          <w:szCs w:val="24"/>
          <w:highlight w:val="none"/>
        </w:rPr>
        <w:t xml:space="preserve">1.2 服务期限：</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778"/>
        <w:ind w:firstLine="360"/>
        <w:pageBreakBefore w:val="0"/>
        <w:spacing w:line="240" w:lineRule="auto"/>
        <w:rPr>
          <w:rFonts w:hAnsi="宋体"/>
          <w:color w:val="auto"/>
          <w:sz w:val="24"/>
          <w:szCs w:val="24"/>
          <w:highlight w:val="none"/>
          <w:u w:val="single"/>
        </w:rPr>
      </w:pPr>
      <w:r>
        <w:rPr>
          <w:rFonts w:hAnsi="宋体"/>
          <w:color w:val="auto"/>
          <w:sz w:val="24"/>
          <w:szCs w:val="24"/>
          <w:highlight w:val="none"/>
        </w:rPr>
        <w:t xml:space="preserve">1.3 补充条款：</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二、合同金额</w:t>
      </w:r>
      <w:r/>
    </w:p>
    <w:p>
      <w:pPr>
        <w:pStyle w:val="778"/>
        <w:ind w:left="407" w:hanging="48"/>
        <w:pageBreakBefore w:val="0"/>
        <w:spacing w:line="240" w:lineRule="auto"/>
        <w:rPr>
          <w:rFonts w:hAnsi="宋体"/>
          <w:color w:val="auto"/>
          <w:sz w:val="24"/>
          <w:szCs w:val="24"/>
          <w:highlight w:val="none"/>
        </w:rPr>
      </w:pPr>
      <w:r>
        <w:rPr>
          <w:rFonts w:hAnsi="宋体"/>
          <w:color w:val="auto"/>
          <w:sz w:val="24"/>
          <w:szCs w:val="24"/>
          <w:highlight w:val="none"/>
        </w:rPr>
        <w:t xml:space="preserve">2.1 本合同金额为人民币（大写）：_________________圆整（￥__________元）。</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三、技术资料</w:t>
      </w:r>
      <w:r/>
    </w:p>
    <w:p>
      <w:pPr>
        <w:pStyle w:val="778"/>
        <w:ind w:left="359"/>
        <w:pageBreakBefore w:val="0"/>
        <w:spacing w:line="240" w:lineRule="auto"/>
        <w:rPr>
          <w:rFonts w:hAnsi="宋体"/>
          <w:color w:val="auto"/>
          <w:sz w:val="24"/>
          <w:szCs w:val="24"/>
          <w:highlight w:val="none"/>
        </w:rPr>
        <w:outlineLvl w:val="2"/>
      </w:pPr>
      <w:r>
        <w:rPr>
          <w:rFonts w:hAnsi="宋体"/>
          <w:color w:val="auto"/>
          <w:sz w:val="24"/>
          <w:szCs w:val="24"/>
          <w:highlight w:val="none"/>
        </w:rPr>
        <w:t xml:space="preserve">3.1乙方应按磋商文件规定的时间向甲方提供有关技术资料。</w:t>
      </w:r>
      <w:r/>
    </w:p>
    <w:p>
      <w:pPr>
        <w:pStyle w:val="778"/>
        <w:ind w:left="407" w:hanging="48"/>
        <w:pageBreakBefore w:val="0"/>
        <w:spacing w:line="240" w:lineRule="auto"/>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计划、图纸、样品或资料提供给与履行本合同无关的任何其他人。即使向履行本合同有关的人员提供，也应注意保密并限于履行合同的必需范围。</w:t>
      </w:r>
      <w:r/>
    </w:p>
    <w:p>
      <w:pPr>
        <w:pStyle w:val="778"/>
        <w:ind w:left="410" w:hanging="51"/>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四、知识产权</w:t>
      </w:r>
      <w:r/>
    </w:p>
    <w:p>
      <w:pPr>
        <w:ind w:firstLine="360"/>
        <w:pageBreakBefore w:val="0"/>
        <w:spacing w:line="240" w:lineRule="auto"/>
        <w:rPr>
          <w:rFonts w:hint="eastAsia" w:ascii="宋体" w:hAnsi="宋体"/>
          <w:color w:val="auto"/>
          <w:sz w:val="24"/>
          <w:highlight w:val="none"/>
        </w:rPr>
      </w:pP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w:t>
      </w:r>
      <w:r>
        <w:rPr>
          <w:rFonts w:hAnsi="宋体"/>
          <w:color w:val="auto"/>
          <w:sz w:val="24"/>
          <w:highlight w:val="none"/>
        </w:rPr>
        <w:t xml:space="preserve">中产品和服务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pStyle w:val="778"/>
        <w:ind w:firstLine="354"/>
        <w:pageBreakBefore w:val="0"/>
        <w:spacing w:line="240" w:lineRule="auto"/>
        <w:rPr>
          <w:rFonts w:hAnsi="宋体"/>
          <w:color w:val="auto"/>
          <w:sz w:val="24"/>
          <w:szCs w:val="24"/>
          <w:highlight w:val="none"/>
          <w:u w:val="single"/>
        </w:rPr>
        <w:outlineLvl w:val="1"/>
      </w:pPr>
      <w:r>
        <w:rPr>
          <w:rFonts w:hAnsi="宋体"/>
          <w:b/>
          <w:color w:val="auto"/>
          <w:sz w:val="24"/>
          <w:szCs w:val="24"/>
          <w:highlight w:val="none"/>
        </w:rPr>
        <w:t xml:space="preserve">五、产权担保</w:t>
      </w:r>
      <w:r/>
    </w:p>
    <w:p>
      <w:pPr>
        <w:pStyle w:val="778"/>
        <w:ind w:left="407" w:hanging="48"/>
        <w:pageBreakBefore w:val="0"/>
        <w:spacing w:line="240" w:lineRule="auto"/>
        <w:rPr>
          <w:rFonts w:hAnsi="宋体"/>
          <w:color w:val="auto"/>
          <w:sz w:val="24"/>
          <w:szCs w:val="24"/>
          <w:highlight w:val="none"/>
          <w:u w:val="single"/>
        </w:rPr>
      </w:pPr>
      <w:r>
        <w:rPr>
          <w:rFonts w:hAnsi="宋体"/>
          <w:color w:val="auto"/>
          <w:sz w:val="24"/>
          <w:szCs w:val="24"/>
          <w:highlight w:val="none"/>
        </w:rPr>
        <w:t xml:space="preserve">乙方保证所交付标的的所有权完全属于乙方且无任何抵押、查封等产权瑕疵。</w:t>
      </w:r>
      <w:r/>
    </w:p>
    <w:p>
      <w:pPr>
        <w:pStyle w:val="778"/>
        <w:ind w:left="407" w:hanging="48"/>
        <w:pageBreakBefore w:val="0"/>
        <w:spacing w:line="240" w:lineRule="auto"/>
        <w:rPr>
          <w:rFonts w:hint="eastAsia" w:hAnsi="宋体" w:eastAsia="宋体"/>
          <w:b/>
          <w:color w:val="auto"/>
          <w:sz w:val="24"/>
          <w:szCs w:val="24"/>
          <w:highlight w:val="none"/>
          <w:lang w:eastAsia="zh-CN"/>
        </w:rPr>
        <w:outlineLvl w:val="1"/>
      </w:pPr>
      <w:r>
        <w:rPr>
          <w:rFonts w:hAnsi="宋体"/>
          <w:b/>
          <w:color w:val="auto"/>
          <w:sz w:val="24"/>
          <w:szCs w:val="24"/>
          <w:highlight w:val="none"/>
        </w:rPr>
        <w:t xml:space="preserve">六、履约保证金</w:t>
      </w:r>
      <w:r>
        <w:rPr>
          <w:rFonts w:hint="eastAsia" w:hAnsi="宋体"/>
          <w:b/>
          <w:color w:val="auto"/>
          <w:sz w:val="24"/>
          <w:szCs w:val="24"/>
          <w:highlight w:val="none"/>
          <w:lang w:eastAsia="zh-CN"/>
        </w:rPr>
        <w:t xml:space="preserve">：</w:t>
      </w:r>
      <w:r>
        <w:rPr>
          <w:rFonts w:hint="eastAsia" w:hAnsi="宋体"/>
          <w:color w:val="auto"/>
          <w:sz w:val="24"/>
          <w:szCs w:val="24"/>
          <w:highlight w:val="none"/>
          <w:lang w:eastAsia="zh-CN"/>
        </w:rPr>
        <w:t xml:space="preserve">本项目不收履约保证金</w:t>
      </w:r>
      <w:r/>
    </w:p>
    <w:p>
      <w:pPr>
        <w:pStyle w:val="778"/>
        <w:ind w:left="359"/>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七、转包或分包</w:t>
      </w:r>
      <w:r/>
    </w:p>
    <w:p>
      <w:pPr>
        <w:ind w:firstLine="360"/>
        <w:pageBreakBefore w:val="0"/>
        <w:spacing w:line="240" w:lineRule="auto"/>
        <w:rPr>
          <w:rFonts w:ascii="宋体" w:hAnsi="宋体" w:eastAsia="仿宋_GB2312"/>
          <w:color w:val="auto"/>
          <w:sz w:val="24"/>
          <w:highlight w:val="none"/>
        </w:rPr>
      </w:pPr>
      <w:r>
        <w:rPr>
          <w:rFonts w:ascii="宋体" w:hAnsi="宋体"/>
          <w:color w:val="auto"/>
          <w:sz w:val="24"/>
          <w:highlight w:val="none"/>
        </w:rPr>
        <w:t xml:space="preserve">7.1</w:t>
      </w:r>
      <w:r>
        <w:rPr>
          <w:rFonts w:hint="eastAsia" w:ascii="宋体" w:hAnsi="宋体"/>
          <w:color w:val="auto"/>
          <w:sz w:val="24"/>
          <w:highlight w:val="none"/>
        </w:rPr>
        <w:t xml:space="preserve">本合同范围内产品或服务，应由乙方直接供应，不得转让他人供应；</w:t>
      </w:r>
      <w:r/>
    </w:p>
    <w:p>
      <w:pPr>
        <w:ind w:firstLine="360"/>
        <w:pageBreakBefore w:val="0"/>
        <w:spacing w:line="240" w:lineRule="auto"/>
        <w:rPr>
          <w:rFonts w:ascii="宋体" w:hAnsi="宋体" w:eastAsia="仿宋_GB2312"/>
          <w:color w:val="auto"/>
          <w:sz w:val="24"/>
          <w:highlight w:val="none"/>
        </w:rPr>
        <w:outlineLvl w:val="2"/>
      </w:pPr>
      <w:r>
        <w:rPr>
          <w:rFonts w:ascii="宋体" w:hAnsi="宋体"/>
          <w:color w:val="auto"/>
          <w:sz w:val="24"/>
          <w:highlight w:val="none"/>
        </w:rPr>
        <w:t xml:space="preserve">7.2 </w:t>
      </w:r>
      <w:r>
        <w:rPr>
          <w:rFonts w:hint="eastAsia" w:ascii="宋体" w:hAnsi="宋体"/>
          <w:color w:val="auto"/>
          <w:sz w:val="24"/>
          <w:highlight w:val="none"/>
        </w:rPr>
        <w:t xml:space="preserve">除非得到甲方的书面同意，乙方不得部分分包给他人供应。</w:t>
      </w:r>
      <w:r/>
    </w:p>
    <w:p>
      <w:pPr>
        <w:ind w:firstLine="360"/>
        <w:pageBreakBefore w:val="0"/>
        <w:spacing w:line="240" w:lineRule="auto"/>
        <w:rPr>
          <w:rFonts w:ascii="宋体" w:hAnsi="宋体" w:eastAsia="仿宋_GB2312"/>
          <w:color w:val="auto"/>
          <w:sz w:val="24"/>
          <w:highlight w:val="none"/>
        </w:rPr>
      </w:pPr>
      <w:r>
        <w:rPr>
          <w:rFonts w:ascii="宋体" w:hAnsi="宋体"/>
          <w:color w:val="auto"/>
          <w:sz w:val="24"/>
          <w:highlight w:val="none"/>
        </w:rPr>
        <w:t xml:space="preserve">7.3</w:t>
      </w:r>
      <w:r>
        <w:rPr>
          <w:rFonts w:hint="eastAsia" w:ascii="宋体" w:hAnsi="宋体"/>
          <w:color w:val="auto"/>
          <w:sz w:val="24"/>
          <w:highlight w:val="none"/>
        </w:rPr>
        <w:t xml:space="preserve">如有转让和未经甲方同意的分包行为，甲方有权给予终止合同。 </w:t>
      </w:r>
      <w:r/>
    </w:p>
    <w:p>
      <w:pPr>
        <w:pStyle w:val="778"/>
        <w:ind w:firstLine="354"/>
        <w:pageBreakBefore w:val="0"/>
        <w:spacing w:line="240" w:lineRule="auto"/>
        <w:rPr>
          <w:rFonts w:hAnsi="宋体"/>
          <w:color w:val="auto"/>
          <w:sz w:val="24"/>
          <w:szCs w:val="24"/>
          <w:highlight w:val="none"/>
        </w:rPr>
        <w:outlineLvl w:val="1"/>
      </w:pPr>
      <w:r>
        <w:rPr>
          <w:rFonts w:hAnsi="宋体"/>
          <w:b/>
          <w:color w:val="auto"/>
          <w:sz w:val="24"/>
          <w:szCs w:val="24"/>
          <w:highlight w:val="none"/>
        </w:rPr>
        <w:t xml:space="preserve">八、质保期</w:t>
      </w:r>
      <w:r/>
    </w:p>
    <w:p>
      <w:pPr>
        <w:pStyle w:val="778"/>
        <w:ind w:firstLine="240"/>
        <w:pageBreakBefore w:val="0"/>
        <w:spacing w:line="240" w:lineRule="auto"/>
        <w:rPr>
          <w:rFonts w:hAnsi="宋体"/>
          <w:color w:val="auto"/>
          <w:sz w:val="24"/>
          <w:szCs w:val="24"/>
          <w:highlight w:val="none"/>
        </w:rPr>
      </w:pPr>
      <w:r>
        <w:rPr>
          <w:rFonts w:hAnsi="宋体"/>
          <w:color w:val="auto"/>
          <w:sz w:val="24"/>
          <w:szCs w:val="24"/>
          <w:highlight w:val="none"/>
        </w:rPr>
        <w:t xml:space="preserve"> 质保期</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Ansi="宋体"/>
          <w:color w:val="auto"/>
          <w:sz w:val="24"/>
          <w:szCs w:val="24"/>
          <w:highlight w:val="none"/>
          <w:u w:val="single"/>
        </w:rPr>
        <w:t xml:space="preserve">  </w:t>
      </w:r>
      <w:r>
        <w:rPr>
          <w:rFonts w:hAnsi="宋体"/>
          <w:color w:val="auto"/>
          <w:sz w:val="24"/>
          <w:szCs w:val="24"/>
          <w:highlight w:val="none"/>
        </w:rPr>
        <w:t xml:space="preserve">年。（自项目验收合格之日起计）</w:t>
      </w:r>
      <w:r/>
    </w:p>
    <w:p>
      <w:pPr>
        <w:pStyle w:val="778"/>
        <w:ind w:firstLine="354"/>
        <w:pageBreakBefore w:val="0"/>
        <w:spacing w:line="240" w:lineRule="auto"/>
        <w:rPr>
          <w:rFonts w:ascii="Times New Roman" w:hAnsi="Times New Roman"/>
          <w:b/>
          <w:color w:val="auto"/>
          <w:sz w:val="24"/>
          <w:szCs w:val="24"/>
          <w:highlight w:val="none"/>
        </w:rPr>
        <w:outlineLvl w:val="1"/>
      </w:pPr>
      <w:r>
        <w:rPr>
          <w:rFonts w:ascii="Times New Roman" w:hAnsi="宋体"/>
          <w:b/>
          <w:color w:val="auto"/>
          <w:sz w:val="24"/>
          <w:szCs w:val="24"/>
          <w:highlight w:val="none"/>
        </w:rPr>
        <w:t xml:space="preserve">九、交付期、交付方式及交付地点</w:t>
      </w:r>
      <w:r/>
    </w:p>
    <w:p>
      <w:pPr>
        <w:pStyle w:val="778"/>
        <w:ind w:firstLine="360"/>
        <w:pageBreakBefore w:val="0"/>
        <w:spacing w:line="240" w:lineRule="auto"/>
        <w:rPr>
          <w:rFonts w:hAnsi="宋体"/>
          <w:color w:val="auto"/>
          <w:sz w:val="24"/>
          <w:szCs w:val="24"/>
          <w:highlight w:val="none"/>
        </w:rPr>
      </w:pPr>
      <w:r>
        <w:rPr>
          <w:rFonts w:hAnsi="宋体"/>
          <w:bCs/>
          <w:color w:val="auto"/>
          <w:sz w:val="24"/>
          <w:szCs w:val="24"/>
          <w:highlight w:val="none"/>
        </w:rPr>
        <w:t xml:space="preserve">9.1交付期：</w:t>
      </w:r>
      <w:r>
        <w:rPr>
          <w:rFonts w:hAnsi="宋体"/>
          <w:color w:val="auto"/>
          <w:sz w:val="24"/>
          <w:szCs w:val="24"/>
          <w:highlight w:val="none"/>
        </w:rPr>
        <w:t xml:space="preserve">_________。  </w:t>
      </w:r>
      <w:r/>
    </w:p>
    <w:p>
      <w:pPr>
        <w:pStyle w:val="778"/>
        <w:ind w:firstLine="360"/>
        <w:pageBreakBefore w:val="0"/>
        <w:spacing w:line="240" w:lineRule="auto"/>
        <w:rPr>
          <w:rFonts w:hAnsi="宋体"/>
          <w:bCs/>
          <w:color w:val="auto"/>
          <w:sz w:val="24"/>
          <w:szCs w:val="24"/>
          <w:highlight w:val="none"/>
        </w:rPr>
      </w:pPr>
      <w:r>
        <w:rPr>
          <w:rFonts w:hAnsi="宋体"/>
          <w:bCs/>
          <w:color w:val="auto"/>
          <w:sz w:val="24"/>
          <w:szCs w:val="24"/>
          <w:highlight w:val="none"/>
        </w:rPr>
        <w:t xml:space="preserve">9.2交付方式：</w:t>
      </w:r>
      <w:r>
        <w:rPr>
          <w:rFonts w:hAnsi="宋体"/>
          <w:color w:val="auto"/>
          <w:sz w:val="24"/>
          <w:szCs w:val="24"/>
          <w:highlight w:val="none"/>
        </w:rPr>
        <w:t xml:space="preserve">_________。</w:t>
      </w:r>
      <w:r/>
    </w:p>
    <w:p>
      <w:pPr>
        <w:pStyle w:val="778"/>
        <w:ind w:firstLine="360"/>
        <w:pageBreakBefore w:val="0"/>
        <w:spacing w:line="240" w:lineRule="auto"/>
        <w:rPr>
          <w:rFonts w:hAnsi="宋体"/>
          <w:b/>
          <w:color w:val="auto"/>
          <w:sz w:val="24"/>
          <w:szCs w:val="24"/>
          <w:highlight w:val="none"/>
        </w:rPr>
      </w:pPr>
      <w:r>
        <w:rPr>
          <w:rFonts w:hAnsi="宋体"/>
          <w:bCs/>
          <w:color w:val="auto"/>
          <w:sz w:val="24"/>
          <w:szCs w:val="24"/>
          <w:highlight w:val="none"/>
        </w:rPr>
        <w:t xml:space="preserve">9.3交付地点：</w:t>
      </w:r>
      <w:r>
        <w:rPr>
          <w:rFonts w:hAnsi="宋体"/>
          <w:color w:val="auto"/>
          <w:sz w:val="24"/>
          <w:szCs w:val="24"/>
          <w:highlight w:val="none"/>
        </w:rPr>
        <w:t xml:space="preserve">_________。</w:t>
      </w:r>
      <w:r/>
    </w:p>
    <w:p>
      <w:pPr>
        <w:pStyle w:val="778"/>
        <w:ind w:firstLine="354"/>
        <w:pageBreakBefore w:val="0"/>
        <w:spacing w:line="240" w:lineRule="auto"/>
        <w:rPr>
          <w:rFonts w:ascii="Times New Roman" w:hAnsi="Times New Roman"/>
          <w:b/>
          <w:color w:val="auto"/>
          <w:sz w:val="24"/>
          <w:szCs w:val="24"/>
          <w:highlight w:val="none"/>
        </w:rPr>
        <w:outlineLvl w:val="1"/>
      </w:pPr>
      <w:r>
        <w:rPr>
          <w:rFonts w:ascii="Times New Roman" w:hAnsi="宋体"/>
          <w:b/>
          <w:color w:val="auto"/>
          <w:sz w:val="24"/>
          <w:szCs w:val="24"/>
          <w:highlight w:val="none"/>
        </w:rPr>
        <w:t xml:space="preserve">十、合同款支付</w:t>
      </w:r>
      <w:r/>
    </w:p>
    <w:p>
      <w:pPr>
        <w:pStyle w:val="778"/>
        <w:ind w:firstLine="240"/>
        <w:pageBreakBefore w:val="0"/>
        <w:spacing w:line="240" w:lineRule="auto"/>
        <w:rPr>
          <w:rFonts w:ascii="Times New Roman" w:hAnsi="宋体"/>
          <w:color w:val="auto"/>
          <w:sz w:val="24"/>
          <w:szCs w:val="24"/>
          <w:highlight w:val="none"/>
          <w:u w:val="single"/>
        </w:rPr>
      </w:pPr>
      <w:r>
        <w:rPr>
          <w:rFonts w:hAnsi="宋体"/>
          <w:bCs/>
          <w:color w:val="auto"/>
          <w:sz w:val="24"/>
          <w:szCs w:val="24"/>
          <w:highlight w:val="none"/>
        </w:rPr>
        <w:t xml:space="preserve"> 10.1</w:t>
      </w:r>
      <w:r>
        <w:rPr>
          <w:rFonts w:hint="eastAsia" w:ascii="Times New Roman" w:hAnsi="宋体"/>
          <w:bCs/>
          <w:color w:val="auto"/>
          <w:sz w:val="24"/>
          <w:szCs w:val="24"/>
          <w:highlight w:val="none"/>
          <w:lang w:eastAsia="zh-CN"/>
        </w:rPr>
        <w:t xml:space="preserve">支付条款如下：</w:t>
      </w:r>
      <w:r>
        <w:rPr>
          <w:rFonts w:hint="eastAsia" w:ascii="Times New Roman" w:hAnsi="宋体"/>
          <w:bCs/>
          <w:i w:val="0"/>
          <w:iCs w:val="0"/>
          <w:color w:val="auto"/>
          <w:sz w:val="24"/>
          <w:szCs w:val="24"/>
          <w:highlight w:val="none"/>
          <w:u w:val="none"/>
          <w:lang w:val="en-US" w:eastAsia="zh-CN"/>
        </w:rPr>
        <w:t xml:space="preserve">合同签署后，需支付合同总金额的30</w:t>
      </w:r>
      <w:r>
        <w:rPr>
          <w:rFonts w:hint="eastAsia" w:ascii="Times New Roman" w:hAnsi="宋体"/>
          <w:i w:val="0"/>
          <w:iCs w:val="0"/>
          <w:color w:val="auto"/>
          <w:sz w:val="24"/>
          <w:szCs w:val="24"/>
          <w:highlight w:val="none"/>
          <w:u w:val="none"/>
          <w:lang w:val="en-US" w:eastAsia="zh-CN"/>
        </w:rPr>
        <w:t xml:space="preserve">%；项目安装、调试完成并通过验收后，甲方向乙方支付合同总金额的60%；第一年期满支付合同总金额的5%，第二年期满后付清所有余款。</w:t>
      </w:r>
      <w:r/>
    </w:p>
    <w:p>
      <w:pPr>
        <w:pStyle w:val="778"/>
        <w:ind w:firstLine="240"/>
        <w:pageBreakBefore w:val="0"/>
        <w:spacing w:line="240" w:lineRule="auto"/>
        <w:rPr>
          <w:rFonts w:ascii="Times New Roman" w:hAnsi="Times New Roman"/>
          <w:bCs/>
          <w:color w:val="auto"/>
          <w:sz w:val="24"/>
          <w:szCs w:val="24"/>
          <w:highlight w:val="none"/>
        </w:rPr>
      </w:pPr>
      <w:r>
        <w:rPr>
          <w:rFonts w:hAnsi="宋体"/>
          <w:bCs/>
          <w:color w:val="auto"/>
          <w:sz w:val="24"/>
          <w:szCs w:val="24"/>
          <w:highlight w:val="none"/>
        </w:rPr>
        <w:t xml:space="preserve"> 10.2</w:t>
      </w:r>
      <w:r>
        <w:rPr>
          <w:rFonts w:ascii="Times New Roman" w:hAnsi="宋体"/>
          <w:color w:val="auto"/>
          <w:sz w:val="24"/>
          <w:szCs w:val="24"/>
          <w:highlight w:val="none"/>
        </w:rPr>
        <w:t xml:space="preserve">当采购数量与实际使用数量不一致时，乙方根据实际使用量提供</w:t>
      </w:r>
      <w:r>
        <w:rPr>
          <w:rFonts w:hAnsi="宋体"/>
          <w:color w:val="auto"/>
          <w:sz w:val="24"/>
          <w:szCs w:val="24"/>
          <w:highlight w:val="none"/>
        </w:rPr>
        <w:t xml:space="preserve">产品和服务</w:t>
      </w:r>
      <w:r>
        <w:rPr>
          <w:rFonts w:ascii="Times New Roman" w:hAnsi="宋体"/>
          <w:color w:val="auto"/>
          <w:sz w:val="24"/>
          <w:szCs w:val="24"/>
          <w:highlight w:val="none"/>
        </w:rPr>
        <w:t xml:space="preserve">，合同的最终结算金额按实际使用量乘以成交单价进行计算。</w:t>
      </w:r>
      <w:r/>
    </w:p>
    <w:p>
      <w:pPr>
        <w:ind w:firstLine="354"/>
        <w:pageBreakBefore w:val="0"/>
        <w:spacing w:line="240" w:lineRule="auto"/>
        <w:rPr>
          <w:b/>
          <w:color w:val="auto"/>
          <w:sz w:val="24"/>
          <w:highlight w:val="none"/>
        </w:rPr>
        <w:outlineLvl w:val="1"/>
      </w:pPr>
      <w:r>
        <w:rPr>
          <w:rFonts w:hAnsi="宋体"/>
          <w:b/>
          <w:color w:val="auto"/>
          <w:sz w:val="24"/>
          <w:highlight w:val="none"/>
        </w:rPr>
        <w:t xml:space="preserve">十一</w:t>
      </w:r>
      <w:r>
        <w:rPr>
          <w:rFonts w:hint="eastAsia"/>
          <w:b/>
          <w:color w:val="auto"/>
          <w:sz w:val="24"/>
          <w:highlight w:val="none"/>
        </w:rPr>
        <w:t xml:space="preserve">、</w:t>
      </w:r>
      <w:r>
        <w:rPr>
          <w:rFonts w:hAnsi="宋体"/>
          <w:b/>
          <w:color w:val="auto"/>
          <w:sz w:val="24"/>
          <w:highlight w:val="none"/>
        </w:rPr>
        <w:t xml:space="preserve">税费</w:t>
      </w:r>
      <w:r/>
    </w:p>
    <w:p>
      <w:pPr>
        <w:ind w:firstLine="360"/>
        <w:pageBreakBefore w:val="0"/>
        <w:spacing w:line="240" w:lineRule="auto"/>
        <w:rPr>
          <w:rFonts w:ascii="宋体" w:hAnsi="宋体" w:eastAsia="仿宋_GB2312"/>
          <w:color w:val="auto"/>
          <w:sz w:val="24"/>
          <w:highlight w:val="none"/>
        </w:rPr>
      </w:pPr>
      <w:r>
        <w:rPr>
          <w:rFonts w:hint="eastAsia" w:ascii="宋体" w:hAnsi="宋体"/>
          <w:color w:val="auto"/>
          <w:sz w:val="24"/>
          <w:highlight w:val="none"/>
        </w:rPr>
        <w:t xml:space="preserve">本合同执行中相关的一切税费均由乙方负担。</w:t>
      </w:r>
      <w:r/>
    </w:p>
    <w:p>
      <w:pPr>
        <w:pStyle w:val="778"/>
        <w:ind w:firstLine="354"/>
        <w:pageBreakBefore w:val="0"/>
        <w:spacing w:line="240" w:lineRule="auto"/>
        <w:rPr>
          <w:rFonts w:hAnsi="宋体"/>
          <w:color w:val="auto"/>
          <w:sz w:val="24"/>
          <w:szCs w:val="24"/>
          <w:highlight w:val="none"/>
        </w:rPr>
        <w:outlineLvl w:val="1"/>
      </w:pPr>
      <w:r>
        <w:rPr>
          <w:rFonts w:hAnsi="宋体"/>
          <w:b/>
          <w:color w:val="auto"/>
          <w:sz w:val="24"/>
          <w:szCs w:val="24"/>
          <w:highlight w:val="none"/>
        </w:rPr>
        <w:t xml:space="preserve">十二、质量保证及售后服务</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12.1乙方应按磋商文件规定和响应文件承诺的性能、技术要求、质量标准向甲方提供产品或服务。</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12.2乙方提供的产品或服务在质保期内因其本身出现质量问题，根据实际情况，经双方协商，可按以下办法处理：</w:t>
      </w:r>
      <w:r/>
    </w:p>
    <w:p>
      <w:pPr>
        <w:pStyle w:val="778"/>
        <w:ind w:firstLine="240"/>
        <w:pageBreakBefore w:val="0"/>
        <w:spacing w:line="240" w:lineRule="auto"/>
        <w:rPr>
          <w:rFonts w:hAnsi="宋体"/>
          <w:color w:val="auto"/>
          <w:sz w:val="24"/>
          <w:szCs w:val="24"/>
          <w:highlight w:val="none"/>
        </w:rPr>
        <w:outlineLvl w:val="2"/>
      </w:pPr>
      <w:r>
        <w:rPr>
          <w:rFonts w:hAnsi="宋体"/>
          <w:color w:val="auto"/>
          <w:sz w:val="24"/>
          <w:szCs w:val="24"/>
          <w:highlight w:val="none"/>
        </w:rPr>
        <w:t xml:space="preserve">（1）更换：由乙方承担所发生的全部费用。</w:t>
      </w:r>
      <w:r/>
    </w:p>
    <w:p>
      <w:pPr>
        <w:pStyle w:val="778"/>
        <w:ind w:firstLine="240"/>
        <w:pageBreakBefore w:val="0"/>
        <w:spacing w:line="240" w:lineRule="auto"/>
        <w:rPr>
          <w:rFonts w:hAnsi="宋体"/>
          <w:color w:val="auto"/>
          <w:sz w:val="24"/>
          <w:szCs w:val="24"/>
          <w:highlight w:val="none"/>
        </w:rPr>
      </w:pPr>
      <w:r>
        <w:rPr>
          <w:rFonts w:hAnsi="宋体"/>
          <w:color w:val="auto"/>
          <w:sz w:val="24"/>
          <w:szCs w:val="24"/>
          <w:highlight w:val="none"/>
        </w:rPr>
        <w:t xml:space="preserve">（2）合同终止处理：合同终止，并退还甲方支付的合同款，同时应承担由此产生的所有费用，甲方不承担发生任何费用。</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12.3如在使用过程中发生质量问题，乙方在接到甲方通知后在</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2</w:t>
      </w:r>
      <w:r>
        <w:rPr>
          <w:rFonts w:hAnsi="宋体"/>
          <w:color w:val="auto"/>
          <w:sz w:val="24"/>
          <w:szCs w:val="24"/>
          <w:highlight w:val="none"/>
          <w:u w:val="single"/>
        </w:rPr>
        <w:t xml:space="preserve"> </w:t>
      </w:r>
      <w:r>
        <w:rPr>
          <w:rFonts w:hAnsi="宋体"/>
          <w:color w:val="auto"/>
          <w:sz w:val="24"/>
          <w:szCs w:val="24"/>
          <w:highlight w:val="none"/>
        </w:rPr>
        <w:t xml:space="preserve">小时内到达甲方现场。</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12.4在质保期内，乙方应对产品或服务出现的质量及安全问题负责处理解决并承担一切费用。</w:t>
      </w:r>
      <w:r/>
    </w:p>
    <w:p>
      <w:pPr>
        <w:pStyle w:val="778"/>
        <w:ind w:left="479" w:hanging="120"/>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十三、验收</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13.1甲方对乙方提交的产品或服务依据磋商文件上的项目需求要求、乙方响应文件及国家有关质量标准进行验收。</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13.2乙方交货前应对产品或服务作出全面检查和对验收文件进行整理，并列出清单，作为甲方验收和使用的技术条件依据，检验的结果应随服务一起提交甲方。</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13.3甲方对乙方提供的产品或服务在使用前，乙方需负责培训甲方的使用操作人员，并协助甲方一起试用，直到符合技术要求，甲方才做最终验收。</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13.4对技术复杂的产品或服务，甲方可请国家认可的专业检测机构参与初步验收及最终验收，并由其出具质量检测报告。</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13.5验收时乙方必须在现场，验收完毕后作出验收结果报告；磋商文件规定以外的验收费用由甲乙双方协商解决。</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十四、合同内容的交付</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14.1乙方应保证合同标的安全运达甲方指定地点。</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14.2 使用说明书、质量检验证明书一并提交甲方。</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14.3 乙方在合同标的交付甲方48小时前通知甲方准备接收。</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14.4 合同标的在交付甲方前发生的风险均由乙方负责。</w:t>
      </w:r>
      <w:r/>
    </w:p>
    <w:p>
      <w:pPr>
        <w:pStyle w:val="778"/>
        <w:ind w:right="28"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14.5 合同标的在规定的交付期限内由乙方送达甲方指定的地点视为交付，乙方同时需通知甲方已送达。</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十五、违约责任</w:t>
      </w:r>
      <w:r/>
    </w:p>
    <w:p>
      <w:pPr>
        <w:pStyle w:val="778"/>
        <w:ind w:left="407" w:hanging="48"/>
        <w:pageBreakBefore w:val="0"/>
        <w:spacing w:line="240" w:lineRule="auto"/>
        <w:rPr>
          <w:rFonts w:hAnsi="宋体"/>
          <w:color w:val="auto"/>
          <w:sz w:val="24"/>
          <w:szCs w:val="24"/>
          <w:highlight w:val="none"/>
        </w:rPr>
      </w:pPr>
      <w:r>
        <w:rPr>
          <w:rFonts w:hAnsi="宋体"/>
          <w:color w:val="auto"/>
          <w:sz w:val="24"/>
          <w:szCs w:val="24"/>
          <w:highlight w:val="none"/>
        </w:rPr>
        <w:t xml:space="preserve">15.1 甲方无正当理由拒收的，甲方向乙方偿付拒收货款总值的</w:t>
      </w:r>
      <w:r>
        <w:rPr>
          <w:rFonts w:hAnsi="宋体"/>
          <w:color w:val="auto"/>
          <w:sz w:val="24"/>
          <w:szCs w:val="24"/>
          <w:highlight w:val="none"/>
          <w:u w:val="single"/>
        </w:rPr>
        <w:t xml:space="preserve">百分之五</w:t>
      </w:r>
      <w:r>
        <w:rPr>
          <w:rFonts w:hAnsi="宋体"/>
          <w:color w:val="auto"/>
          <w:sz w:val="24"/>
          <w:szCs w:val="24"/>
          <w:highlight w:val="none"/>
        </w:rPr>
        <w:t xml:space="preserve">违约金。</w:t>
      </w:r>
      <w:r/>
    </w:p>
    <w:p>
      <w:pPr>
        <w:pStyle w:val="778"/>
        <w:ind w:firstLine="36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15.2 甲方无故逾期验收和办理合同款支付手续的,甲方应按逾期付款总额每日万分之五向乙方支付违约金。</w:t>
      </w:r>
      <w:r/>
    </w:p>
    <w:p>
      <w:pPr>
        <w:pStyle w:val="778"/>
        <w:ind w:firstLine="36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15.3 乙方逾期交付合同标的的，乙方应按逾期交货总额每日</w:t>
      </w:r>
      <w:r>
        <w:rPr>
          <w:rFonts w:hAnsi="宋体"/>
          <w:color w:val="auto"/>
          <w:sz w:val="24"/>
          <w:szCs w:val="24"/>
          <w:highlight w:val="none"/>
          <w:u w:val="single"/>
        </w:rPr>
        <w:t xml:space="preserve">千分之六</w:t>
      </w:r>
      <w:r>
        <w:rPr>
          <w:rFonts w:hAnsi="宋体"/>
          <w:color w:val="auto"/>
          <w:sz w:val="24"/>
          <w:szCs w:val="24"/>
          <w:highlight w:val="none"/>
        </w:rPr>
        <w:t xml:space="preserve">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78"/>
        <w:ind w:firstLine="347"/>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十六、不可抗力事件处理</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16.1 在合同有效期内，任何一方因不可抗力事件导致不能履行合同，则合同履行期延长，其延长期与不可抗力影响期相同。</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16.2 不可抗力事件发生后，应立即通知对方，并寄送有关权威机构出具的证明。</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16.3 不可抗力事件延续120天以上，双方应通过友好协商，确定是否继续履行合同。</w:t>
      </w:r>
      <w:r/>
    </w:p>
    <w:p>
      <w:pPr>
        <w:pStyle w:val="778"/>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  十七、诉讼</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17.1 双方在执行合同中所发生的一切争议，应通过协商解决。如协商不成，可向合同签订地法院起诉，合同签订地在此约定为南京市。</w:t>
      </w:r>
      <w:r/>
    </w:p>
    <w:p>
      <w:pPr>
        <w:pStyle w:val="778"/>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  十八、合同生效及其它</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18.1 合同经双方法定代表人或授权委托代表人签字并加盖单位公章后生效。</w:t>
      </w:r>
      <w:r/>
    </w:p>
    <w:p>
      <w:pPr>
        <w:pStyle w:val="778"/>
        <w:ind w:firstLine="360"/>
        <w:pageBreakBefore w:val="0"/>
        <w:spacing w:line="240" w:lineRule="auto"/>
        <w:rPr>
          <w:rFonts w:hAnsi="宋体"/>
          <w:color w:val="auto"/>
          <w:sz w:val="24"/>
          <w:szCs w:val="24"/>
          <w:highlight w:val="none"/>
        </w:rPr>
        <w:outlineLvl w:val="2"/>
      </w:pPr>
      <w:r>
        <w:rPr>
          <w:rFonts w:hAnsi="宋体"/>
          <w:color w:val="auto"/>
          <w:sz w:val="24"/>
          <w:szCs w:val="24"/>
          <w:highlight w:val="none"/>
        </w:rPr>
        <w:t xml:space="preserve">18.2本合同未尽事宜，遵照《合同法》有关条文执行。</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18.3 本合同正本一式三份，具有同等法律效力，甲方、乙方、财政监管部门</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各执一份。</w:t>
      </w:r>
      <w:r/>
    </w:p>
    <w:p>
      <w:pPr>
        <w:pStyle w:val="778"/>
        <w:ind w:left="480" w:hanging="480"/>
        <w:pageBreakBefore w:val="0"/>
        <w:spacing w:line="240" w:lineRule="auto"/>
        <w:rPr>
          <w:rFonts w:hAnsi="宋体"/>
          <w:color w:val="auto"/>
          <w:sz w:val="24"/>
          <w:szCs w:val="24"/>
          <w:highlight w:val="none"/>
        </w:rPr>
      </w:pPr>
      <w:r>
        <w:rPr>
          <w:rFonts w:hAnsi="宋体"/>
          <w:color w:val="auto"/>
          <w:sz w:val="24"/>
          <w:szCs w:val="24"/>
          <w:highlight w:val="none"/>
        </w:rPr>
        <w:t xml:space="preserve">  甲方：                                   乙方： </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  地址：                                   地址： </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  法定代表人或授权代表：                   法定代表人或授权代表：</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  联系电话：                               联系电话：</w:t>
      </w:r>
      <w:r/>
    </w:p>
    <w:p>
      <w:pPr>
        <w:pStyle w:val="778"/>
        <w:ind w:firstLine="240"/>
        <w:pageBreakBefore w:val="0"/>
        <w:spacing w:line="240" w:lineRule="auto"/>
        <w:rPr>
          <w:rFonts w:hAnsi="宋体"/>
          <w:color w:val="auto"/>
          <w:sz w:val="24"/>
          <w:szCs w:val="24"/>
          <w:highlight w:val="none"/>
        </w:rPr>
      </w:pPr>
      <w:r>
        <w:rPr>
          <w:color w:val="auto"/>
          <w:sz w:val="24"/>
          <w:szCs w:val="24"/>
          <w:highlight w:val="none"/>
        </w:rPr>
        <w:t xml:space="preserve"> 签订日期：      年  月  日</w:t>
      </w:r>
      <w:r/>
    </w:p>
    <w:p>
      <w:pPr>
        <w:pStyle w:val="7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73"/>
        <w:rPr>
          <w:color w:val="auto"/>
          <w:highlight w:val="none"/>
        </w:rPr>
      </w:pPr>
      <w:r>
        <w:rPr>
          <w:color w:val="auto"/>
          <w:highlight w:val="none"/>
        </w:rPr>
      </w:r>
      <w:r/>
    </w:p>
    <w:p>
      <w:pPr>
        <w:rPr>
          <w:rFonts w:ascii="黑体" w:eastAsia="黑体"/>
          <w:bCs/>
          <w:color w:val="auto"/>
          <w:sz w:val="44"/>
          <w:highlight w:val="none"/>
        </w:rPr>
      </w:pPr>
      <w:r>
        <w:rPr>
          <w:rFonts w:hint="eastAsia" w:ascii="仿宋" w:hAnsi="仿宋" w:eastAsia="仿宋" w:cs="仿宋"/>
          <w:b/>
          <w:bCs/>
          <w:color w:val="auto"/>
          <w:sz w:val="28"/>
          <w:szCs w:val="28"/>
          <w:highlight w:val="none"/>
          <w:lang w:val="en-US" w:eastAsia="zh-CN"/>
        </w:rPr>
        <w:t xml:space="preserve">备注：</w:t>
      </w:r>
      <w:r>
        <w:rPr>
          <w:rFonts w:hint="eastAsia" w:ascii="仿宋" w:hAnsi="仿宋" w:eastAsia="仿宋" w:cs="仿宋"/>
          <w:color w:val="auto"/>
          <w:sz w:val="28"/>
          <w:szCs w:val="28"/>
          <w:highlight w:val="none"/>
          <w:lang w:val="en-US" w:eastAsia="zh-CN"/>
        </w:rPr>
        <w:t xml:space="preserve">采购人有权根据国家</w:t>
      </w:r>
      <w:r>
        <w:rPr>
          <w:rFonts w:hint="eastAsia" w:ascii="仿宋" w:hAnsi="仿宋" w:eastAsia="仿宋" w:cs="仿宋"/>
          <w:color w:val="auto"/>
          <w:sz w:val="28"/>
          <w:szCs w:val="28"/>
          <w:highlight w:val="none"/>
          <w:lang w:val="zh-CN"/>
        </w:rPr>
        <w:t xml:space="preserve">相关法律法规之规定，</w:t>
      </w:r>
      <w:r>
        <w:rPr>
          <w:rFonts w:hint="eastAsia" w:ascii="仿宋" w:hAnsi="仿宋" w:eastAsia="仿宋" w:cs="仿宋"/>
          <w:color w:val="auto"/>
          <w:sz w:val="28"/>
          <w:szCs w:val="28"/>
          <w:highlight w:val="none"/>
          <w:lang w:val="en-US" w:eastAsia="zh-CN"/>
        </w:rPr>
        <w:t xml:space="preserve">采购人招标文件、中标供应商的投标文件和分项报价的实际市场行情</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对本项目政府采购合同的条款、内容、价格进行变更、修改、补充，本项目的政府采购合同解释权归采购人。</w:t>
      </w:r>
      <w:bookmarkEnd w:id="183"/>
      <w:r/>
      <w:bookmarkEnd w:id="184"/>
      <w:r/>
      <w:bookmarkEnd w:id="185"/>
      <w:r/>
      <w:bookmarkStart w:id="187" w:name="_Hlt16619350"/>
      <w:r/>
      <w:bookmarkStart w:id="188" w:name="_Toc120614244"/>
      <w:r/>
      <w:bookmarkStart w:id="189" w:name="_Toc20823346"/>
      <w:r/>
      <w:bookmarkStart w:id="190" w:name="_Toc16938590"/>
      <w:r/>
      <w:bookmarkStart w:id="191" w:name="_Toc479757211"/>
      <w:r/>
      <w:bookmarkStart w:id="192" w:name="_Toc462564139"/>
      <w:r>
        <w:rPr>
          <w:rFonts w:ascii="黑体" w:eastAsia="黑体"/>
          <w:bCs/>
          <w:color w:val="auto"/>
          <w:sz w:val="44"/>
          <w:highlight w:val="none"/>
        </w:rPr>
        <w:br w:type="page" w:clear="all"/>
      </w:r>
      <w:bookmarkEnd w:id="187"/>
      <w:r/>
      <w:r/>
    </w:p>
    <w:p>
      <w:pPr>
        <w:numPr>
          <w:ilvl w:val="0"/>
          <w:numId w:val="0"/>
        </w:numPr>
        <w:jc w:val="center"/>
        <w:pageBreakBefore w:val="0"/>
        <w:spacing w:before="120" w:after="120" w:line="240" w:lineRule="auto"/>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lang w:val="en-US" w:eastAsia="zh-CN"/>
        </w:rPr>
        <w:t xml:space="preserve">第四章 </w:t>
      </w:r>
      <w:r>
        <w:rPr>
          <w:rFonts w:hint="eastAsia" w:ascii="黑体" w:hAnsi="Courier New" w:eastAsia="黑体" w:cs="Courier New"/>
          <w:bCs/>
          <w:color w:val="auto"/>
          <w:sz w:val="44"/>
          <w:szCs w:val="21"/>
          <w:highlight w:val="none"/>
        </w:rPr>
        <w:t xml:space="preserve">采购需求</w:t>
      </w:r>
      <w:r/>
    </w:p>
    <w:p>
      <w:pPr>
        <w:numPr>
          <w:ilvl w:val="0"/>
          <w:numId w:val="0"/>
        </w:numPr>
        <w:ind w:firstLine="562"/>
        <w:keepLines w:val="0"/>
        <w:keepNext w:val="0"/>
        <w:pageBreakBefore w:val="0"/>
        <w:spacing w:line="240" w:lineRule="auto"/>
        <w:widowControl w:val="off"/>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lang w:val="en-US" w:eastAsia="zh-CN"/>
        </w:rPr>
        <w:t xml:space="preserve">一、</w:t>
      </w:r>
      <w:r>
        <w:rPr>
          <w:rFonts w:hint="eastAsia" w:ascii="宋体" w:hAnsi="宋体" w:cs="宋体"/>
          <w:b/>
          <w:bCs/>
          <w:color w:val="auto"/>
          <w:sz w:val="28"/>
          <w:szCs w:val="28"/>
          <w:highlight w:val="none"/>
        </w:rPr>
        <w:t xml:space="preserve">项目说明：</w:t>
      </w:r>
      <w:r/>
    </w:p>
    <w:p>
      <w:pPr>
        <w:ind w:firstLine="56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南通市通州区中医院</w:t>
      </w:r>
      <w:r>
        <w:rPr>
          <w:rFonts w:hint="eastAsia" w:ascii="宋体" w:hAnsi="宋体" w:eastAsia="宋体" w:cs="宋体"/>
          <w:color w:val="auto"/>
          <w:sz w:val="24"/>
          <w:szCs w:val="24"/>
          <w:highlight w:val="none"/>
        </w:rPr>
        <w:t xml:space="preserve">现有主体业务系统是由RealOneHIS、RealOneEMR</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融合了PACS、LIS、PASS等第三方业务系统</w:t>
      </w:r>
      <w:r>
        <w:rPr>
          <w:rFonts w:hint="eastAsia" w:ascii="宋体" w:hAnsi="宋体" w:eastAsia="宋体" w:cs="宋体"/>
          <w:color w:val="auto"/>
          <w:sz w:val="24"/>
          <w:szCs w:val="24"/>
          <w:highlight w:val="none"/>
        </w:rPr>
        <w:t xml:space="preserve">组成的</w:t>
      </w:r>
      <w:r>
        <w:rPr>
          <w:rFonts w:hint="eastAsia" w:ascii="宋体" w:hAnsi="宋体" w:eastAsia="宋体" w:cs="宋体"/>
          <w:color w:val="auto"/>
          <w:sz w:val="24"/>
          <w:szCs w:val="24"/>
          <w:highlight w:val="none"/>
          <w:lang w:val="en-US" w:eastAsia="zh-CN"/>
        </w:rPr>
        <w:t xml:space="preserve">基于集成平台的新一代</w:t>
      </w:r>
      <w:r>
        <w:rPr>
          <w:rFonts w:hint="eastAsia" w:ascii="宋体" w:hAnsi="宋体" w:eastAsia="宋体" w:cs="宋体"/>
          <w:color w:val="auto"/>
          <w:sz w:val="24"/>
          <w:szCs w:val="24"/>
          <w:highlight w:val="none"/>
        </w:rPr>
        <w:t xml:space="preserve">一体化软件</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以</w:t>
      </w:r>
      <w:r>
        <w:rPr>
          <w:rFonts w:hint="eastAsia" w:ascii="宋体" w:hAnsi="宋体" w:eastAsia="宋体" w:cs="宋体"/>
          <w:color w:val="auto"/>
          <w:sz w:val="24"/>
          <w:szCs w:val="24"/>
          <w:highlight w:val="none"/>
          <w:lang w:val="en-US" w:eastAsia="zh-CN"/>
        </w:rPr>
        <w:t xml:space="preserve">电子医嘱为驱动，以电子病历为核心，以集成平台作为信息交换、信息利用和信息共享的桥梁，提供便捷的“一站式”操作界面，具有丰富的、标准化的和开放式的系统组件，能够满足医院个性化定制和二次开发的需求。</w:t>
      </w:r>
      <w:r/>
    </w:p>
    <w:p>
      <w:pPr>
        <w:ind w:firstLine="56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项目主要</w:t>
      </w:r>
      <w:r>
        <w:rPr>
          <w:rFonts w:hint="eastAsia" w:ascii="宋体" w:hAnsi="宋体" w:eastAsia="宋体" w:cs="宋体"/>
          <w:color w:val="auto"/>
          <w:sz w:val="24"/>
          <w:szCs w:val="24"/>
          <w:highlight w:val="none"/>
          <w:lang w:val="en-US" w:eastAsia="zh-CN"/>
        </w:rPr>
        <w:t xml:space="preserve">根据</w:t>
      </w:r>
      <w:bookmarkStart w:id="193" w:name="_Hlk175991209"/>
      <w:r>
        <w:rPr>
          <w:rFonts w:hint="eastAsia" w:ascii="宋体" w:hAnsi="宋体" w:eastAsia="宋体" w:cs="宋体"/>
          <w:color w:val="auto"/>
          <w:sz w:val="24"/>
          <w:szCs w:val="24"/>
          <w:highlight w:val="none"/>
          <w:lang w:eastAsia="zh-CN"/>
        </w:rPr>
        <w:t xml:space="preserve">根据《国家三级公立中医医院绩效监测操作手册（2025版）》的标准，对65个定量指标，5个定性指标的数据进行“取、治、管、用、报”的全流程管理。实现自动采集的定量数据自动采集、建模分析、可视化监管。不可以自动采集的定量或定性数据可以手工填报，并且将相关佐证和复查文档上传留存。实现指标数据的集成采集、指标计算口径的统一管理、上报数据规范管理，可以帮助医院用信息化工具管理相关的应评工作</w:t>
      </w:r>
      <w:bookmarkEnd w:id="193"/>
      <w:r>
        <w:rPr>
          <w:rFonts w:hint="eastAsia" w:ascii="宋体" w:hAnsi="宋体" w:eastAsia="宋体" w:cs="宋体"/>
          <w:color w:val="auto"/>
          <w:sz w:val="24"/>
          <w:szCs w:val="24"/>
          <w:highlight w:val="none"/>
          <w:lang w:eastAsia="zh-CN"/>
        </w:rPr>
        <w:t xml:space="preserve">。</w:t>
      </w:r>
      <w:r/>
    </w:p>
    <w:p>
      <w:pPr>
        <w:ind w:firstLine="56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本项目包括以下建设内容：</w:t>
      </w:r>
      <w:r/>
    </w:p>
    <w:tbl>
      <w:tblPr>
        <w:tblStyle w:val="76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03"/>
        <w:gridCol w:w="1227"/>
        <w:gridCol w:w="3170"/>
        <w:gridCol w:w="3863"/>
      </w:tblGrid>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功能模块</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功能简介</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669"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公立医院绩效考核指标体系</w:t>
            </w:r>
            <w:r/>
          </w:p>
        </w:tc>
        <w:tc>
          <w:tcPr>
            <w:tcBorders>
              <w:top w:val="single" w:color="000000" w:sz="4" w:space="0"/>
              <w:left w:val="non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公立医院绩效考核监管指标主题库</w:t>
            </w:r>
            <w:r/>
          </w:p>
        </w:tc>
        <w:tc>
          <w:tcPr>
            <w:tcBorders>
              <w:top w:val="single" w:color="000000" w:sz="4" w:space="0"/>
              <w:left w:val="non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根据公立医院绩效考核指标监管需求，从不同维度梳理业务数据进行汇聚、存储和建模，构建公立医院绩效考核监管指标主题库。</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公立医院绩效考核模拟评分</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根据国考评测建模规则，支持监测指标评分设置，对当前年度累计值用作模拟评分，如本年度无年度累计值，可查询往年指标值进行模拟评分，支持手动审核和修改填报后进行模拟评分。</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国考移动端指标看板</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端指标看板可以实时展示移动端核心指标数据。采用图表、图形和报表等方式，根据科室和用户权限归属自定义配置关注的重要指标，显示指标的当前值、月环比年环比、参考值、异常值等；发生异常情况时，可进行及时的消息预警。</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国考指标结构化分析报告</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国考指标的全局概览，自动生成全院国考的结果分析报告，对全院/科室指标的达标与未达标情况进行重点分析，实时监控院科两级的医疗质量、运营效率、持续发展、满意度等核心管理指标达标情况。支持按照全院、科室和个人自定义监管指标的结构化分析报告自动生成和导出。帮助医院管理者及时掌握医院对标国考的水平，提高医院的服务质量和效率。</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公立医院绩效考核指标监管体系</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构建三级公立医院绩效考核主题库，包含国考指标的数据建模和计算模型梳理，能够支持院科两级对国考各指标进行不同纬度的分析和监管。</w:t>
            </w:r>
            <w:r/>
          </w:p>
        </w:tc>
      </w:tr>
    </w:tbl>
    <w:p>
      <w:pPr>
        <w:pStyle w:val="1041"/>
        <w:jc w:val="left"/>
        <w:pageBreakBefore w:val="0"/>
        <w:spacing w:line="240" w:lineRule="auto"/>
        <w:rPr>
          <w:rFonts w:hint="eastAsia"/>
          <w:color w:val="auto"/>
          <w:highlight w:val="none"/>
          <w:lang w:val="en-US" w:eastAsia="zh-CN"/>
        </w:rPr>
      </w:pPr>
      <w:r>
        <w:rPr>
          <w:rFonts w:hint="eastAsia"/>
          <w:color w:val="auto"/>
          <w:highlight w:val="none"/>
          <w:lang w:val="en-US" w:eastAsia="zh-CN"/>
        </w:rPr>
      </w:r>
      <w:r/>
    </w:p>
    <w:p>
      <w:pPr>
        <w:numPr>
          <w:ilvl w:val="0"/>
          <w:numId w:val="6"/>
        </w:numPr>
        <w:ind w:firstLine="562"/>
        <w:pageBreakBefore w:val="0"/>
        <w:spacing w:line="240" w:lineRule="auto"/>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技术要求：</w:t>
      </w:r>
      <w:r/>
    </w:p>
    <w:p>
      <w:pPr>
        <w:numPr>
          <w:ilvl w:val="0"/>
          <w:numId w:val="7"/>
        </w:numPr>
        <w:ind w:firstLine="420"/>
        <w:jc w:val="both"/>
        <w:keepLines/>
        <w:keepNext/>
        <w:pageBreakBefore w:val="0"/>
        <w:spacing w:line="240" w:lineRule="auto"/>
        <w:widowControl w:val="off"/>
        <w:rPr>
          <w:rFonts w:ascii="仿宋" w:hAnsi="仿宋" w:eastAsia="仿宋" w:cs="仿宋"/>
          <w:b/>
          <w:color w:val="auto"/>
          <w:sz w:val="36"/>
          <w:szCs w:val="20"/>
          <w:highlight w:val="none"/>
          <w:lang w:val="en-US" w:eastAsia="zh-CN" w:bidi="ar-SA"/>
        </w:rPr>
        <w:outlineLvl w:val="0"/>
      </w:pPr>
      <w:r/>
      <w:bookmarkStart w:id="194" w:name="heading_0"/>
      <w:r>
        <w:rPr>
          <w:rFonts w:hint="eastAsia" w:ascii="仿宋" w:hAnsi="仿宋" w:eastAsia="仿宋" w:cs="仿宋"/>
          <w:b/>
          <w:color w:val="auto"/>
          <w:sz w:val="36"/>
          <w:szCs w:val="20"/>
          <w:highlight w:val="none"/>
          <w:lang w:val="en-US" w:eastAsia="zh-CN" w:bidi="ar-SA"/>
        </w:rPr>
        <w:t xml:space="preserve">采购清单</w:t>
      </w:r>
      <w:bookmarkEnd w:id="194"/>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3441"/>
        <w:gridCol w:w="4098"/>
      </w:tblGrid>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441"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类别</w:t>
            </w:r>
            <w:r/>
          </w:p>
        </w:tc>
        <w:tc>
          <w:tcPr>
            <w:tcW w:w="4098"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功能模块</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441" w:type="dxa"/>
            <w:vAlign w:val="center"/>
            <w:vMerge w:val="restart"/>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公立医院绩效考核指标体系</w:t>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公立医院绩效考核监管指标主题库</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3441" w:type="dxa"/>
            <w:vAlign w:val="top"/>
            <w:vMerge w:val="continue"/>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公立医院绩效考核模拟评分</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3441" w:type="dxa"/>
            <w:vAlign w:val="top"/>
            <w:vMerge w:val="continue"/>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国考移动端指标看板</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3441" w:type="dxa"/>
            <w:vAlign w:val="top"/>
            <w:vMerge w:val="continue"/>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国考指标结构化分析报告</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3441" w:type="dxa"/>
            <w:vAlign w:val="top"/>
            <w:vMerge w:val="continue"/>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公立医院绩效考核指标监管体系</w:t>
            </w:r>
            <w:r/>
          </w:p>
        </w:tc>
      </w:tr>
    </w:tbl>
    <w:p>
      <w:pPr>
        <w:numPr>
          <w:ilvl w:val="0"/>
          <w:numId w:val="7"/>
        </w:numPr>
        <w:ind w:firstLine="420"/>
        <w:jc w:val="both"/>
        <w:keepLines/>
        <w:keepNext/>
        <w:pageBreakBefore w:val="0"/>
        <w:spacing w:line="240" w:lineRule="auto"/>
        <w:widowControl w:val="off"/>
        <w:rPr>
          <w:rFonts w:ascii="Calibri" w:hAnsi="Calibri" w:eastAsia="仿宋" w:cs="Times New Roman"/>
          <w:b/>
          <w:color w:val="auto"/>
          <w:sz w:val="44"/>
          <w:szCs w:val="22"/>
          <w:highlight w:val="none"/>
          <w:lang w:val="en-US" w:eastAsia="zh-CN" w:bidi="ar-SA"/>
        </w:rPr>
        <w:outlineLvl w:val="0"/>
      </w:pPr>
      <w:r/>
      <w:bookmarkStart w:id="195" w:name="heading_1"/>
      <w:r>
        <w:rPr>
          <w:rFonts w:hint="eastAsia" w:ascii="Calibri" w:hAnsi="Calibri" w:eastAsia="仿宋" w:cs="Times New Roman"/>
          <w:b/>
          <w:color w:val="auto"/>
          <w:sz w:val="44"/>
          <w:szCs w:val="22"/>
          <w:highlight w:val="none"/>
          <w:lang w:val="en-US" w:eastAsia="zh-CN" w:bidi="ar-SA"/>
        </w:rPr>
        <w:t xml:space="preserve">技术参数要求</w:t>
      </w:r>
      <w:bookmarkEnd w:id="195"/>
      <w:r/>
      <w:r/>
    </w:p>
    <w:p>
      <w:pPr>
        <w:numPr>
          <w:ilvl w:val="1"/>
          <w:numId w:val="7"/>
        </w:numPr>
        <w:ind w:firstLine="420"/>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公立医院绩效考核监管指标主题库</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指标数据自动采集</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支持运行监控查看：支持查看成功装载记录数、失败装载记录数、错误发生数、进行中数等信息；</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支持指标取数口径的设置与修改；</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支持灵活地任务调度配置：支持设定调度时间；</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支持查看每一个指标的取数口径、状态、执行时间、执行时长等信息。</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指标数据手工补录</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支持在线导入Excel数据功能，可将存于Excel的数据直接导入到当前页面，并提交到库；</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支持Word、pdf、png、jpg等格式的材料上传；</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支持手工数据补录功能，对于无法自动采集和导入生成的数据提供填报界面。</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指标体系建设</w:t>
      </w:r>
      <w:r/>
    </w:p>
    <w:p>
      <w:pPr>
        <w:numPr>
          <w:ilvl w:val="0"/>
          <w:numId w:val="0"/>
        </w:numPr>
        <w:ind w:firstLine="480"/>
        <w:jc w:val="left"/>
        <w:pageBreakBefore w:val="0"/>
        <w:spacing w:before="120" w:after="12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对接医院业务系统，完成数据抓取、指标计算，配合数据核对工作。并根据《国家三级公立中医医院绩效监测操作手册（2025版）》完成整体国考指标内容建设，具体指标如下：</w:t>
      </w:r>
      <w:r/>
    </w:p>
    <w:tbl>
      <w:tblPr>
        <w:tblStyle w:val="76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61"/>
        <w:gridCol w:w="4850"/>
        <w:gridCol w:w="1183"/>
        <w:gridCol w:w="1502"/>
      </w:tblGrid>
      <w:tr>
        <w:trPr>
          <w:trHeight w:val="360"/>
        </w:trPr>
        <w:tc>
          <w:tcPr>
            <w:tcBorders>
              <w:top w:val="single" w:color="auto"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b/>
                <w:bCs/>
                <w:color w:val="auto"/>
                <w:sz w:val="24"/>
                <w:szCs w:val="24"/>
                <w:highlight w:val="none"/>
              </w:rPr>
            </w:pPr>
            <w:r>
              <w:rPr>
                <w:rFonts w:hint="eastAsia" w:cs="仿宋"/>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b/>
                <w:bCs/>
                <w:color w:val="auto"/>
                <w:sz w:val="24"/>
                <w:szCs w:val="24"/>
                <w:highlight w:val="none"/>
              </w:rPr>
            </w:pPr>
            <w:r>
              <w:rPr>
                <w:rFonts w:hint="eastAsia" w:cs="仿宋"/>
                <w:b/>
                <w:bCs/>
                <w:color w:val="auto"/>
                <w:sz w:val="24"/>
                <w:szCs w:val="24"/>
                <w:highlight w:val="none"/>
              </w:rPr>
              <w:t xml:space="preserve">相关指标</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b/>
                <w:bCs/>
                <w:color w:val="auto"/>
                <w:sz w:val="24"/>
                <w:szCs w:val="24"/>
                <w:highlight w:val="none"/>
              </w:rPr>
            </w:pPr>
            <w:r>
              <w:rPr>
                <w:rFonts w:hint="eastAsia" w:cs="仿宋"/>
                <w:b/>
                <w:bCs/>
                <w:color w:val="auto"/>
                <w:sz w:val="24"/>
                <w:szCs w:val="24"/>
                <w:highlight w:val="none"/>
              </w:rPr>
              <w:t xml:space="preserve">指标属性</w:t>
            </w:r>
            <w:r/>
          </w:p>
        </w:tc>
        <w:tc>
          <w:tcPr>
            <w:tcBorders>
              <w:top w:val="single" w:color="auto"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b/>
                <w:bCs/>
                <w:color w:val="auto"/>
                <w:sz w:val="24"/>
                <w:szCs w:val="24"/>
                <w:highlight w:val="none"/>
              </w:rPr>
            </w:pPr>
            <w:r>
              <w:rPr>
                <w:rFonts w:hint="eastAsia" w:cs="仿宋"/>
                <w:b/>
                <w:bCs/>
                <w:color w:val="auto"/>
                <w:sz w:val="24"/>
                <w:szCs w:val="24"/>
                <w:highlight w:val="none"/>
              </w:rPr>
              <w:t xml:space="preserve">指标导向</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门诊中药处方比例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门诊散装中药饮片和小包装中药饮片处方比例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门诊患者中药饮片使用率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出院患者中药饮片使用率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门诊患者使用中医非药物疗法比例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出院患者使用中医非药物疗法比例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以中医为主治疗的出院患者比例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日间手术占择期手术比例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住院手术患者围手术期中医治疗比例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下转患者人次数（门急诊、住院）</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手术患者并发症发生率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Ⅰ类切口手术部位感染率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理法方药使用一致的出院患者比例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大型医用设备检查阳性率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大型医用设备维修保养及质量控制管理</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通过国家室间质量评价的临床检验项目数</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优质护理服务病房覆盖率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点评处方占处方总数的比例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点评中药处方占中药处方总数的比例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抗菌药物使用强度（DDDs）</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门诊患者基本药物处方占比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住院患者基本药物使用率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基本药物采购品种数占比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国家组织药品集中采购中标药品使用比例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门诊患者平均预约诊疗率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门诊患者预约后平均等待时间</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电子病历应用功能水平分级</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每名执业医师日均门诊工作负担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每名执业医师日均住院工作负担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每百张病床药师人数</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门诊收入中来自医保基金的比例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住院收入中来自医保基金的比例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医疗服务收入（不含药品、耗材、检查检验收入）占医疗收入比例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重点监控化学药品和生物制品收入占比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中药收入占药品收入比例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中药饮片收入占药品收入比例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医疗机构中药制剂收入占药品收入比例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门诊中医医疗服务项目收入占门诊医疗收入比例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住院中医医疗服务项目收入占住院医疗收入比例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人员支出占业务支出比重</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万元收入能耗支出</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收支结余</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资产负债率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医疗收入增幅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门诊次均费用增幅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门诊次均药品费用增幅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住院次均费用增幅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住院次均药品费用增幅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全面预算管理</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逐步完善</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规范设立总会计师</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逐步完善</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卫生技术人员职称结构</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中医类别执业医师（含执业助理医师）占执业医师总数比例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在岗的麻醉、儿科、重症、病理医师占比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医护比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护理人员系统接受中医药知识和技能培训比例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医院接受其他医院（尤其是对口支援医院、医联体内医院）进修并返回原医院独立工作人数占比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医院住院医师首次参加医师资格考试通过率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医院承担培养医学人才的工作成效</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每百名卫生技术人员科研项目经费</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每百名卫生技术人员中医药科研项目经费</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每百名卫生技术人员重点学科、重点专科经费投入</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每百名卫生技术人员中医药科研成果转化金额</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公共信用综合评价等级</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门诊患者满意度</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住院患者满意度</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医务人员满意度</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增 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重点监控高值医用耗材收入占比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增 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低风险组病例死亡率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增 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出院患者微创手术占比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增 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出院患者三级/四级手术比例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bl>
    <w:p>
      <w:pPr>
        <w:pageBreakBefore w:val="0"/>
        <w:spacing w:line="240" w:lineRule="auto"/>
        <w:rPr>
          <w:rFonts w:ascii="Calibri" w:hAnsi="Calibri" w:eastAsia="仿宋" w:cs="Times New Roman"/>
          <w:color w:val="auto"/>
          <w:sz w:val="24"/>
          <w:highlight w:val="none"/>
        </w:rPr>
      </w:pPr>
      <w:r>
        <w:rPr>
          <w:rFonts w:ascii="Calibri" w:hAnsi="Calibri" w:eastAsia="仿宋" w:cs="Times New Roman"/>
          <w:color w:val="auto"/>
          <w:sz w:val="24"/>
          <w:highlight w:val="none"/>
        </w:rPr>
      </w:r>
      <w:r/>
    </w:p>
    <w:p>
      <w:pPr>
        <w:numPr>
          <w:ilvl w:val="0"/>
          <w:numId w:val="0"/>
        </w:numPr>
        <w:ind w:firstLine="643"/>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2.2公立医院绩效考核模拟评分</w:t>
      </w:r>
      <w:r/>
    </w:p>
    <w:p>
      <w:pPr>
        <w:ind w:firstLine="48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根据国考评测建模规则，支持监测指标评分设置，具体功能要求如下：</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评分总览：支持展示当前配置总分、评分配置数；</w:t>
      </w:r>
      <w:r/>
    </w:p>
    <w:p>
      <w:pPr>
        <w:numPr>
          <w:ilvl w:val="0"/>
          <w:numId w:val="0"/>
        </w:numPr>
        <w:ind w:firstLine="480"/>
        <w:jc w:val="left"/>
        <w:pageBreakBefore w:val="0"/>
        <w:spacing w:before="120" w:after="120" w:line="240" w:lineRule="auto"/>
        <w:rPr>
          <w:rFonts w:ascii="仿宋" w:hAnsi="仿宋" w:eastAsia="仿宋" w:cs="仿宋"/>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支持设置评分类型，如自动赋分、手动赋分、默认赋分等形式。</w:t>
      </w:r>
      <w:r/>
    </w:p>
    <w:p>
      <w:pPr>
        <w:numPr>
          <w:ilvl w:val="0"/>
          <w:numId w:val="0"/>
        </w:numPr>
        <w:ind w:firstLine="643"/>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2.3国考移动端指标看板</w:t>
      </w:r>
      <w:r/>
    </w:p>
    <w:p>
      <w:pPr>
        <w:ind w:firstLine="48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项目建设过程中，投标方需提供移动端指标监测工具，帮助查看指标的变动趋势和异常预警。具体功能要求如下：</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szCs w:val="24"/>
          <w:highlight w:val="none"/>
        </w:rPr>
        <w:t xml:space="preserve">移动端需支持查看全院指标数据，显示指标的当前值、目标值、同期值、同比、上期值、环比等；</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szCs w:val="24"/>
          <w:highlight w:val="none"/>
        </w:rPr>
        <w:t xml:space="preserve">需支持查看指标的趋势分析、科室分析、诊疗组分析和医生分析；</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rPr>
        <w:t xml:space="preserve">需支持查看自评报告，主要包含全院指标分析、全院科室分析、指标情况分析；</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发生异常情况时，支持进行及时</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消息预警。</w:t>
      </w:r>
      <w:r/>
    </w:p>
    <w:p>
      <w:pPr>
        <w:numPr>
          <w:ilvl w:val="0"/>
          <w:numId w:val="0"/>
        </w:numPr>
        <w:ind w:firstLine="643"/>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2.4国考指标结构化分析报告</w:t>
      </w:r>
      <w:r/>
    </w:p>
    <w:p>
      <w:pPr>
        <w:ind w:firstLine="48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需支持按照全院达标指标/不达标指标、科室绩效表现、单指标不同</w:t>
      </w:r>
      <w:r>
        <w:rPr>
          <w:rFonts w:hint="eastAsia" w:ascii="宋体" w:hAnsi="宋体" w:eastAsia="宋体" w:cs="宋体"/>
          <w:color w:val="auto"/>
          <w:sz w:val="24"/>
          <w:highlight w:val="none"/>
          <w:lang w:eastAsia="zh-CN"/>
        </w:rPr>
        <w:t xml:space="preserve">维度</w:t>
      </w:r>
      <w:r>
        <w:rPr>
          <w:rFonts w:hint="eastAsia" w:ascii="宋体" w:hAnsi="宋体" w:eastAsia="宋体" w:cs="宋体"/>
          <w:color w:val="auto"/>
          <w:sz w:val="24"/>
          <w:highlight w:val="none"/>
        </w:rPr>
        <w:t xml:space="preserve">进行分析和展现，采用图表、图形和报表等方式，让医院管理者可以更加清晰地了解医院的运营状况，快速发现和解决潜在问题；</w:t>
      </w:r>
      <w:r/>
    </w:p>
    <w:p>
      <w:pPr>
        <w:ind w:firstLine="48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须</w:t>
      </w:r>
      <w:r>
        <w:rPr>
          <w:rFonts w:hint="eastAsia" w:ascii="宋体" w:hAnsi="宋体" w:eastAsia="宋体" w:cs="宋体"/>
          <w:color w:val="auto"/>
          <w:sz w:val="24"/>
          <w:highlight w:val="none"/>
        </w:rPr>
        <w:t xml:space="preserve">具备分析报告生成功能，并支持导出；</w:t>
      </w:r>
      <w:r/>
    </w:p>
    <w:p>
      <w:pPr>
        <w:numPr>
          <w:ilvl w:val="0"/>
          <w:numId w:val="0"/>
        </w:numPr>
        <w:ind w:firstLine="643"/>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2.5公立医院绩效考核指标监管体系</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指标配置管理</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此次项目建设将所有相关的指标进行拆分，拆分到最细粒度的原子指标。将数据项作为指标管理平台的基础要素进行统一管理。投标产品功能要求如下：</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指标体系管理：支持指标体系导入导出；</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指标信息维护：需支持指标增、删、改；支持维护指标的名称、指标属性、指标导向、填报频率及责任部门；</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原子指标取数管理：支持对原子指标的取数口径、配置方式等进行管理；</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复合指标计算模型配置：支持配置复合指标计算公式，支持细项计算公式的自定义配置（加减乘除等运算公式）；</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指标预览</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总览界面：需支持展示指标的单位、属性、责任科室、指标构成、填报频率、指标导向、取数方式、汇总粒度、汇总范围等信息；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数据采集查看：需支持对指标数据采集进度及状态进行查看；</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指标预览：需支持查看指标的达标情况、当前值、取数口径等信息；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趋势分析：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需支持选择统计方式、日期、取数口径、对标值等信息来查看指标详情；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需支持查看/导出指标当前值、全院目标值、同期值、同比及原子指标的详情；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需支持复合指标、原子指标的趋势图展示；支持切换趋势图展现形式（柱状图/折线图）；支持下载趋势图。</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科室分析：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需支持选择统计方式、日期、取数口径、科室等信息来查看指标详情；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需支持按科室查看/导出指标的当前值、目标值及原子指标数值。</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诊疗组分析：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需支持选择统计方式、日期、取数口径、诊疗组等信息来查看指标详情；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需支持查看/导出指标的当前值、目标值及原子指标数值。</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医生分析：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需支持选择统计方式、日期、取数口径、科室、诊疗组等信息来查看指标详情；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需支持查看/导出医生分析，包含：医生工号、医生姓名、就诊科室、就诊诊疗组、指标值及原子指标数据。</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数据预览</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需支持按照汇总粒度展示指标ID、采集值、发生时间、是否达标、是否严重等信息。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目标与考核管理</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）▲需支持用户按照科室、诊疗组、个人进行目标值的设置；</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）需支持设置指标的目标值、全省平均数、全国平均数、全省中位数、全国中位数。</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数据上报管理</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指标填报：</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支持统计展示自动采集数、人工填报数、已提交数、待填报数、已通过数、已驳回数；</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支持按照状态、取数方式及填报科室等维度查看指标详情；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支持展示指标的指标名称、取数方式、当前值、目标值、填报科室、填报时间、赋分规则等信息；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支持批量填报及批量提交审核；</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支持按时间维度导出指标信息。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指标审核：</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支持统计展示待审核数、已通过数、已驳回数；</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支持两种审批方式：单个审批和所有指标一键审批。</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指标数据分析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需支持展示医院指标的自动采集率、填报情况及得分情况；</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需支持分别展示医疗质量、运营效率、持续发展、满意度指标大类的得分情况；同时支持展示预估分、指标达标数/未达标数分析展示、逐步提升指标分析展示、逐步降低指标分析展示、监测比较指标分析展示；</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需支持按月度/季度/半年/年份查看三级指标的当前值、目标值、得分情况及指标得分分析；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科室维度分析：需支持查看科室相关指标的当前值、同期值、同比、上期值、环比等信息；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诊疗组维度分析：需支持查看诊疗组相关指标的当前值、同期值、同比、上期值、环比等信息；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医生维度分析：需支持查看医生相关指标的当前值、同期值、同比、上期值、环比等信息；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指标导向分析：需支持按照监测达标、逐步提升、逐步降低、监测比较维度来进行指标分析展示。</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指标监管看板</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投标产品需支持大屏和自定义指标监管看板定制：</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）支持使用者根据需要自定义分析指标，支持新增/删除指标、支持切换指标视图展示（如：单指标分析、指标+同比环比分析、指标+同比环比+月趋势图、指标+同比环比+日数据柱状图）；</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）▲支持对设置好的监管看板进行预览查看；</w:t>
      </w:r>
      <w:r/>
    </w:p>
    <w:p>
      <w:pPr>
        <w:ind w:firstLine="480"/>
        <w:pageBreakBefore w:val="0"/>
        <w:spacing w:line="240" w:lineRule="auto"/>
        <w:rPr>
          <w:rFonts w:ascii="仿宋" w:hAnsi="仿宋" w:eastAsia="仿宋" w:cs="仿宋"/>
          <w:color w:val="auto"/>
          <w:sz w:val="24"/>
          <w:szCs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）点击具体指标，可以查看指标的计算公式、当前值、目标值、趋势分析、科室分析及医生分析。</w:t>
      </w:r>
      <w:r/>
    </w:p>
    <w:p>
      <w:pPr>
        <w:pStyle w:val="786"/>
        <w:pageBreakBefore w:val="0"/>
        <w:spacing w:line="240" w:lineRule="auto"/>
        <w:rPr>
          <w:rFonts w:hint="eastAsia"/>
          <w:color w:val="auto"/>
          <w:highlight w:val="none"/>
        </w:rPr>
      </w:pPr>
      <w:r>
        <w:rPr>
          <w:rFonts w:hint="eastAsia"/>
          <w:color w:val="auto"/>
          <w:highlight w:val="none"/>
        </w:rPr>
      </w:r>
      <w:r/>
    </w:p>
    <w:p>
      <w:pPr>
        <w:jc w:val="center"/>
        <w:keepNext/>
        <w:pageBreakBefore w:val="0"/>
        <w:spacing w:line="240" w:lineRule="auto"/>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br w:type="page" w:clear="all"/>
      </w: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r/>
    </w:p>
    <w:p>
      <w:pPr>
        <w:pageBreakBefore w:val="0"/>
        <w:spacing w:line="24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1010"/>
        <w:ind w:firstLine="439"/>
        <w:spacing w:before="0" w:after="0" w:line="460" w:lineRule="exact"/>
        <w:rPr>
          <w:rFonts w:hint="eastAsia" w:ascii="宋体" w:hAnsi="宋体" w:eastAsia="宋体"/>
          <w:color w:val="auto"/>
          <w:highlight w:val="none"/>
          <w:lang w:eastAsia="zh-CN"/>
        </w:rP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方为中标候选人。</w:t>
      </w:r>
      <w:r>
        <w:rPr>
          <w:rFonts w:hint="eastAsia" w:cs="Arial"/>
          <w:color w:val="auto"/>
          <w:highlight w:val="none"/>
        </w:rPr>
        <w:t xml:space="preserve">本项目选取</w:t>
      </w:r>
      <w:r>
        <w:rPr>
          <w:rFonts w:hint="eastAsia" w:cs="Arial"/>
          <w:color w:val="auto"/>
          <w:highlight w:val="none"/>
          <w:u w:val="none"/>
          <w:shd w:val="clear" w:color="auto" w:fill="auto"/>
          <w:lang w:val="en-US" w:eastAsia="zh-CN"/>
        </w:rPr>
        <w:t xml:space="preserve">3</w:t>
      </w:r>
      <w:r>
        <w:rPr>
          <w:rFonts w:hint="eastAsia" w:cs="Arial"/>
          <w:color w:val="auto"/>
          <w:highlight w:val="none"/>
        </w:rPr>
        <w:t xml:space="preserve">名中标候选人</w:t>
      </w:r>
      <w:r>
        <w:rPr>
          <w:rFonts w:hint="eastAsia" w:cs="Arial"/>
          <w:color w:val="auto"/>
          <w:highlight w:val="none"/>
          <w:lang w:eastAsia="zh-CN"/>
        </w:rPr>
        <w:t xml:space="preserve">。</w:t>
      </w:r>
      <w:r/>
    </w:p>
    <w:p>
      <w:pPr>
        <w:pStyle w:val="1010"/>
        <w:ind w:firstLine="441"/>
        <w:spacing w:before="0" w:after="0" w:line="460" w:lineRule="exact"/>
        <w:rPr>
          <w:rFonts w:ascii="宋体" w:hAnsi="宋体" w:cs="??"/>
          <w:b/>
          <w:bCs/>
          <w:color w:val="auto"/>
          <w:highlight w:val="none"/>
        </w:rPr>
      </w:pPr>
      <w:r>
        <w:rPr>
          <w:rFonts w:hint="eastAsia" w:ascii="宋体" w:hAnsi="宋体" w:cs="宋体"/>
          <w:b/>
          <w:bCs/>
          <w:color w:val="auto"/>
          <w:highlight w:val="none"/>
        </w:rPr>
        <w:t xml:space="preserve">政府采购政策功能落实：</w:t>
      </w:r>
      <w:r/>
    </w:p>
    <w:p>
      <w:pPr>
        <w:ind w:firstLine="480"/>
        <w:jc w:val="left"/>
        <w:spacing w:line="500" w:lineRule="exact"/>
        <w:rPr>
          <w:rFonts w:ascii="宋体" w:hAnsi="宋体" w:cs="??"/>
          <w:color w:val="auto"/>
          <w:sz w:val="24"/>
          <w:szCs w:val="24"/>
          <w:highlight w:val="none"/>
        </w:rPr>
      </w:pPr>
      <w:r>
        <w:rPr>
          <w:rFonts w:ascii="宋体" w:hAnsi="宋体" w:cs="??"/>
          <w:color w:val="auto"/>
          <w:sz w:val="24"/>
          <w:szCs w:val="24"/>
          <w:highlight w:val="none"/>
        </w:rPr>
        <w:t xml:space="preserve">1</w:t>
      </w:r>
      <w:r>
        <w:rPr>
          <w:rFonts w:hint="eastAsia" w:ascii="宋体" w:hAnsi="宋体" w:cs="宋体"/>
          <w:color w:val="auto"/>
          <w:sz w:val="24"/>
          <w:szCs w:val="24"/>
          <w:highlight w:val="none"/>
        </w:rPr>
        <w:t xml:space="preserve">、小微型企业价格扣除</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1</w:t>
      </w:r>
      <w:r>
        <w:rPr>
          <w:rFonts w:hint="eastAsia" w:ascii="宋体" w:hAnsi="宋体" w:cs="宋体"/>
          <w:color w:val="auto"/>
          <w:sz w:val="24"/>
          <w:szCs w:val="24"/>
          <w:highlight w:val="none"/>
        </w:rPr>
        <w:t xml:space="preserve">）本项目对小型和微型企业产品给予</w:t>
      </w:r>
      <w:r>
        <w:rPr>
          <w:rFonts w:ascii="宋体" w:hAnsi="宋体" w:cs="??"/>
          <w:color w:val="auto"/>
          <w:sz w:val="24"/>
          <w:szCs w:val="24"/>
          <w:highlight w:val="none"/>
          <w:u w:val="single"/>
        </w:rPr>
        <w:t xml:space="preserve">10%</w:t>
      </w:r>
      <w:r>
        <w:rPr>
          <w:rFonts w:hint="eastAsia" w:ascii="宋体" w:hAnsi="宋体" w:cs="宋体"/>
          <w:color w:val="auto"/>
          <w:sz w:val="24"/>
          <w:szCs w:val="24"/>
          <w:highlight w:val="none"/>
        </w:rPr>
        <w:t xml:space="preserve">的扣除价格，用扣除后的价格参与评审。</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2</w:t>
      </w:r>
      <w:r>
        <w:rPr>
          <w:rFonts w:hint="eastAsia" w:ascii="宋体" w:hAnsi="宋体" w:cs="宋体"/>
          <w:color w:val="auto"/>
          <w:sz w:val="24"/>
          <w:szCs w:val="24"/>
          <w:highlight w:val="none"/>
        </w:rPr>
        <w:t xml:space="preserve">）供应商需按照采购文件的要求提供相应的《小微企业声明函》。</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3</w:t>
      </w:r>
      <w:r>
        <w:rPr>
          <w:rFonts w:hint="eastAsia" w:ascii="宋体" w:hAnsi="宋体" w:cs="宋体"/>
          <w:color w:val="auto"/>
          <w:sz w:val="24"/>
          <w:szCs w:val="24"/>
          <w:highlight w:val="none"/>
        </w:rPr>
        <w:t xml:space="preserve">）企业标准请参照《关于印发中小企业划型标准规定的通知》（工信部联企业</w:t>
      </w:r>
      <w:r>
        <w:rPr>
          <w:rFonts w:ascii="宋体" w:hAnsi="宋体" w:cs="??"/>
          <w:color w:val="auto"/>
          <w:sz w:val="24"/>
          <w:szCs w:val="24"/>
          <w:highlight w:val="none"/>
        </w:rPr>
        <w:t xml:space="preserve">[2011]300</w:t>
      </w:r>
      <w:r>
        <w:rPr>
          <w:rFonts w:hint="eastAsia" w:ascii="宋体" w:hAnsi="宋体" w:cs="宋体"/>
          <w:color w:val="auto"/>
          <w:sz w:val="24"/>
          <w:szCs w:val="24"/>
          <w:highlight w:val="none"/>
        </w:rPr>
        <w:t xml:space="preserve">号）文件规定自行填写。</w:t>
      </w:r>
      <w:r/>
    </w:p>
    <w:p>
      <w:pPr>
        <w:ind w:firstLine="480"/>
        <w:jc w:val="left"/>
        <w:spacing w:line="500" w:lineRule="exact"/>
        <w:rPr>
          <w:rFonts w:ascii="宋体" w:hAnsi="宋体" w:cs="??"/>
          <w:color w:val="auto"/>
          <w:sz w:val="24"/>
          <w:szCs w:val="24"/>
          <w:highlight w:val="none"/>
        </w:rPr>
      </w:pPr>
      <w:r>
        <w:rPr>
          <w:rFonts w:ascii="宋体" w:hAnsi="宋体" w:cs="??"/>
          <w:color w:val="auto"/>
          <w:sz w:val="24"/>
          <w:szCs w:val="24"/>
          <w:highlight w:val="none"/>
        </w:rPr>
        <w:t xml:space="preserve">2</w:t>
      </w:r>
      <w:r>
        <w:rPr>
          <w:rFonts w:hint="eastAsia" w:ascii="宋体" w:hAnsi="宋体" w:cs="宋体"/>
          <w:color w:val="auto"/>
          <w:sz w:val="24"/>
          <w:szCs w:val="24"/>
          <w:highlight w:val="none"/>
        </w:rPr>
        <w:t xml:space="preserve">、残疾人福利单位价格扣除</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1</w:t>
      </w:r>
      <w:r>
        <w:rPr>
          <w:rFonts w:hint="eastAsia" w:ascii="宋体" w:hAnsi="宋体" w:cs="宋体"/>
          <w:color w:val="auto"/>
          <w:sz w:val="24"/>
          <w:szCs w:val="24"/>
          <w:highlight w:val="none"/>
        </w:rPr>
        <w:t xml:space="preserve">）本项目对残疾人福利性单位视同小型、微型企业，给予</w:t>
      </w:r>
      <w:r>
        <w:rPr>
          <w:rFonts w:ascii="宋体" w:hAnsi="宋体" w:cs="??"/>
          <w:color w:val="auto"/>
          <w:sz w:val="24"/>
          <w:szCs w:val="24"/>
          <w:highlight w:val="none"/>
          <w:u w:val="single"/>
        </w:rPr>
        <w:t xml:space="preserve">10%</w:t>
      </w:r>
      <w:r>
        <w:rPr>
          <w:rFonts w:hint="eastAsia" w:ascii="宋体" w:hAnsi="宋体" w:cs="宋体"/>
          <w:color w:val="auto"/>
          <w:sz w:val="24"/>
          <w:szCs w:val="24"/>
          <w:highlight w:val="none"/>
        </w:rPr>
        <w:t xml:space="preserve">的价格扣除，用扣除后的价格参与评审。</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2</w:t>
      </w:r>
      <w:r>
        <w:rPr>
          <w:rFonts w:hint="eastAsia" w:ascii="宋体" w:hAnsi="宋体" w:cs="宋体"/>
          <w:color w:val="auto"/>
          <w:sz w:val="24"/>
          <w:szCs w:val="24"/>
          <w:highlight w:val="none"/>
        </w:rPr>
        <w:t xml:space="preserve">）残疾人福利单位需按照采购文件的要求提供《残疾人福利性单位声明函》。</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3</w:t>
      </w:r>
      <w:r>
        <w:rPr>
          <w:rFonts w:hint="eastAsia" w:ascii="宋体" w:hAnsi="宋体" w:cs="宋体"/>
          <w:color w:val="auto"/>
          <w:sz w:val="24"/>
          <w:szCs w:val="24"/>
          <w:highlight w:val="none"/>
        </w:rPr>
        <w:t xml:space="preserve">）残疾人福利单位标准请参照《关于促进残疾人就业政府采购政策的通知》（财库〔</w:t>
      </w:r>
      <w:r>
        <w:rPr>
          <w:rFonts w:ascii="宋体" w:hAnsi="宋体" w:cs="??"/>
          <w:color w:val="auto"/>
          <w:sz w:val="24"/>
          <w:szCs w:val="24"/>
          <w:highlight w:val="none"/>
        </w:rPr>
        <w:t xml:space="preserve">2017</w:t>
      </w: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141</w:t>
      </w:r>
      <w:r>
        <w:rPr>
          <w:rFonts w:hint="eastAsia" w:ascii="宋体" w:hAnsi="宋体" w:cs="宋体"/>
          <w:color w:val="auto"/>
          <w:sz w:val="24"/>
          <w:szCs w:val="24"/>
          <w:highlight w:val="none"/>
        </w:rPr>
        <w:t xml:space="preserve">号）。</w:t>
      </w:r>
      <w:r/>
    </w:p>
    <w:p>
      <w:pPr>
        <w:ind w:firstLine="480"/>
        <w:jc w:val="left"/>
        <w:spacing w:line="500" w:lineRule="exact"/>
        <w:rPr>
          <w:rFonts w:ascii="宋体" w:hAnsi="宋体" w:cs="??"/>
          <w:color w:val="auto"/>
          <w:sz w:val="24"/>
          <w:szCs w:val="24"/>
          <w:highlight w:val="none"/>
        </w:rPr>
      </w:pPr>
      <w:r>
        <w:rPr>
          <w:rFonts w:ascii="宋体" w:hAnsi="宋体" w:cs="??"/>
          <w:color w:val="auto"/>
          <w:sz w:val="24"/>
          <w:szCs w:val="24"/>
          <w:highlight w:val="none"/>
        </w:rPr>
        <w:t xml:space="preserve">3</w:t>
      </w:r>
      <w:r>
        <w:rPr>
          <w:rFonts w:hint="eastAsia" w:ascii="宋体" w:hAnsi="宋体" w:cs="宋体"/>
          <w:color w:val="auto"/>
          <w:sz w:val="24"/>
          <w:szCs w:val="24"/>
          <w:highlight w:val="none"/>
        </w:rPr>
        <w:t xml:space="preserve">、监狱和戒毒企业价格扣除</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1</w:t>
      </w:r>
      <w:r>
        <w:rPr>
          <w:rFonts w:hint="eastAsia" w:ascii="宋体" w:hAnsi="宋体" w:cs="宋体"/>
          <w:color w:val="auto"/>
          <w:sz w:val="24"/>
          <w:szCs w:val="24"/>
          <w:highlight w:val="none"/>
        </w:rPr>
        <w:t xml:space="preserve">）本项目对监狱和戒毒企业（简称监狱企业）视同小型、微型企业，给予</w:t>
      </w:r>
      <w:r>
        <w:rPr>
          <w:rFonts w:ascii="宋体" w:hAnsi="宋体" w:cs="??"/>
          <w:color w:val="auto"/>
          <w:sz w:val="24"/>
          <w:szCs w:val="24"/>
          <w:highlight w:val="none"/>
          <w:u w:val="single"/>
        </w:rPr>
        <w:t xml:space="preserve">10%</w:t>
      </w:r>
      <w:r>
        <w:rPr>
          <w:rFonts w:hint="eastAsia" w:ascii="宋体" w:hAnsi="宋体" w:cs="宋体"/>
          <w:color w:val="auto"/>
          <w:sz w:val="24"/>
          <w:szCs w:val="24"/>
          <w:highlight w:val="none"/>
        </w:rPr>
        <w:t xml:space="preserve">的价格扣除，用扣除后的价格参与评审。</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2</w:t>
      </w:r>
      <w:r>
        <w:rPr>
          <w:rFonts w:hint="eastAsia" w:ascii="宋体" w:hAnsi="宋体" w:cs="宋体"/>
          <w:color w:val="auto"/>
          <w:sz w:val="24"/>
          <w:szCs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3</w:t>
      </w:r>
      <w:r>
        <w:rPr>
          <w:rFonts w:hint="eastAsia" w:ascii="宋体" w:hAnsi="宋体" w:cs="宋体"/>
          <w:color w:val="auto"/>
          <w:sz w:val="24"/>
          <w:szCs w:val="24"/>
          <w:highlight w:val="none"/>
        </w:rPr>
        <w:t xml:space="preserve">）监狱企业标准请参照《关于政府采购支持监狱企业发展有关问题的通知》（财库</w:t>
      </w:r>
      <w:r>
        <w:rPr>
          <w:rFonts w:ascii="宋体" w:hAnsi="宋体" w:cs="??"/>
          <w:color w:val="auto"/>
          <w:sz w:val="24"/>
          <w:szCs w:val="24"/>
          <w:highlight w:val="none"/>
        </w:rPr>
        <w:t xml:space="preserve">[2014]68</w:t>
      </w:r>
      <w:r>
        <w:rPr>
          <w:rFonts w:hint="eastAsia" w:ascii="宋体" w:hAnsi="宋体" w:cs="宋体"/>
          <w:color w:val="auto"/>
          <w:sz w:val="24"/>
          <w:szCs w:val="24"/>
          <w:highlight w:val="none"/>
        </w:rPr>
        <w:t xml:space="preserve">号）。</w:t>
      </w:r>
      <w:r/>
    </w:p>
    <w:p>
      <w:pPr>
        <w:ind w:firstLine="480"/>
        <w:jc w:val="left"/>
        <w:spacing w:line="500" w:lineRule="exact"/>
        <w:rPr>
          <w:rFonts w:ascii="宋体" w:hAnsi="宋体" w:cs="??"/>
          <w:color w:val="auto"/>
          <w:sz w:val="24"/>
          <w:szCs w:val="24"/>
          <w:highlight w:val="none"/>
        </w:rPr>
      </w:pPr>
      <w:r>
        <w:rPr>
          <w:rFonts w:ascii="宋体" w:hAnsi="宋体" w:cs="??"/>
          <w:color w:val="auto"/>
          <w:sz w:val="24"/>
          <w:szCs w:val="24"/>
          <w:highlight w:val="none"/>
        </w:rPr>
        <w:t xml:space="preserve">4</w:t>
      </w:r>
      <w:r>
        <w:rPr>
          <w:rFonts w:hint="eastAsia" w:ascii="宋体" w:hAnsi="宋体" w:cs="宋体"/>
          <w:color w:val="auto"/>
          <w:sz w:val="24"/>
          <w:szCs w:val="24"/>
          <w:highlight w:val="none"/>
        </w:rPr>
        <w:t xml:space="preserve">、残疾人福利单位、监狱企业属于小型、微型企业的，不重复享受政策。</w:t>
      </w:r>
      <w:r/>
    </w:p>
    <w:p>
      <w:pPr>
        <w:ind w:firstLine="480"/>
        <w:jc w:val="left"/>
        <w:spacing w:line="500" w:lineRule="exact"/>
        <w:rPr>
          <w:rFonts w:ascii="宋体" w:hAnsi="宋体"/>
          <w:color w:val="auto"/>
          <w:sz w:val="36"/>
          <w:szCs w:val="36"/>
          <w:highlight w:val="none"/>
        </w:rPr>
      </w:pPr>
      <w:r>
        <w:rPr>
          <w:rFonts w:ascii="宋体" w:hAnsi="宋体" w:cs="??"/>
          <w:color w:val="auto"/>
          <w:sz w:val="24"/>
          <w:szCs w:val="24"/>
          <w:highlight w:val="none"/>
        </w:rPr>
        <w:t xml:space="preserve">5</w:t>
      </w:r>
      <w:r>
        <w:rPr>
          <w:rFonts w:hint="eastAsia" w:ascii="宋体" w:hAnsi="宋体" w:cs="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cs="??"/>
          <w:color w:val="auto"/>
          <w:sz w:val="24"/>
          <w:szCs w:val="24"/>
          <w:highlight w:val="none"/>
        </w:rPr>
        <w:t xml:space="preserve">30%</w:t>
      </w:r>
      <w:r>
        <w:rPr>
          <w:rFonts w:hint="eastAsia" w:ascii="宋体" w:hAnsi="宋体" w:cs="宋体"/>
          <w:color w:val="auto"/>
          <w:sz w:val="24"/>
          <w:szCs w:val="24"/>
          <w:highlight w:val="none"/>
        </w:rPr>
        <w:t xml:space="preserve">以上的，给予联合体或者大中型企业</w:t>
      </w:r>
      <w:r>
        <w:rPr>
          <w:rFonts w:ascii="宋体" w:hAnsi="宋体" w:cs="??"/>
          <w:color w:val="auto"/>
          <w:sz w:val="24"/>
          <w:szCs w:val="24"/>
          <w:highlight w:val="none"/>
          <w:u w:val="single"/>
        </w:rPr>
        <w:t xml:space="preserve">4%</w:t>
      </w:r>
      <w:r>
        <w:rPr>
          <w:rFonts w:hint="eastAsia" w:ascii="宋体" w:hAnsi="宋体" w:cs="宋体"/>
          <w:color w:val="auto"/>
          <w:sz w:val="24"/>
          <w:szCs w:val="24"/>
          <w:highlight w:val="none"/>
        </w:rPr>
        <w:t xml:space="preserve">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s="宋体"/>
          <w:color w:val="auto"/>
          <w:sz w:val="24"/>
          <w:szCs w:val="24"/>
          <w:highlight w:val="none"/>
        </w:rPr>
      </w:pPr>
      <w:r>
        <w:rPr>
          <w:rFonts w:ascii="宋体" w:hAnsi="宋体" w:cs="??"/>
          <w:color w:val="auto"/>
          <w:sz w:val="24"/>
          <w:szCs w:val="24"/>
          <w:highlight w:val="none"/>
        </w:rPr>
        <w:t xml:space="preserve">6</w:t>
      </w:r>
      <w:r>
        <w:rPr>
          <w:rFonts w:hint="eastAsia" w:ascii="宋体" w:hAnsi="宋体" w:cs="宋体"/>
          <w:color w:val="auto"/>
          <w:sz w:val="24"/>
          <w:szCs w:val="24"/>
          <w:highlight w:val="none"/>
        </w:rPr>
        <w:t xml:space="preserve">、联合体各方均为小型、微型企业（残疾人福利单位、监狱企业）的，联合体享受</w:t>
      </w:r>
      <w:r>
        <w:rPr>
          <w:rFonts w:ascii="宋体" w:hAnsi="宋体" w:cs="??"/>
          <w:color w:val="auto"/>
          <w:sz w:val="24"/>
          <w:szCs w:val="24"/>
          <w:highlight w:val="none"/>
          <w:u w:val="single"/>
        </w:rPr>
        <w:t xml:space="preserve">10%</w:t>
      </w:r>
      <w:r>
        <w:rPr>
          <w:rFonts w:hint="eastAsia" w:ascii="宋体" w:hAnsi="宋体" w:cs="宋体"/>
          <w:color w:val="auto"/>
          <w:sz w:val="24"/>
          <w:szCs w:val="24"/>
          <w:highlight w:val="none"/>
        </w:rPr>
        <w:t xml:space="preserve">价格扣除，用扣除后的价格参与评审。</w:t>
      </w:r>
      <w:r/>
    </w:p>
    <w:p>
      <w:pPr>
        <w:ind w:firstLine="422"/>
        <w:spacing w:line="440" w:lineRule="exact"/>
        <w:widowControl/>
        <w:tabs>
          <w:tab w:val="left" w:pos="0" w:leader="none"/>
          <w:tab w:val="left" w:pos="993" w:leader="none"/>
          <w:tab w:val="left" w:pos="1134" w:leader="none"/>
        </w:tabs>
        <w:rPr>
          <w:rFonts w:hint="default" w:ascii="宋体" w:hAnsi="宋体" w:eastAsia="宋体" w:cs="宋体"/>
          <w:b/>
          <w:bCs/>
          <w:highlight w:val="none"/>
          <w:lang w:val="en-US" w:eastAsia="zh-CN"/>
        </w:rPr>
      </w:pPr>
      <w:r>
        <w:rPr>
          <w:rFonts w:hint="eastAsia" w:ascii="宋体" w:hAnsi="宋体" w:cs="宋体"/>
          <w:b/>
          <w:bCs/>
          <w:highlight w:val="none"/>
          <w:lang w:val="en-US" w:eastAsia="zh-CN"/>
        </w:rPr>
        <w:t xml:space="preserve">注：专门面向中小企业采购的项目不再执行以上1-6条优惠政策。</w:t>
      </w:r>
      <w:r/>
    </w:p>
    <w:p>
      <w:pPr>
        <w:ind w:firstLine="48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w:t>
      </w:r>
      <w:r>
        <w:rPr>
          <w:rFonts w:hint="eastAsia" w:ascii="宋体" w:hAnsi="宋体" w:cs="宋体"/>
          <w:color w:val="auto"/>
          <w:sz w:val="24"/>
          <w:szCs w:val="24"/>
          <w:highlight w:val="none"/>
        </w:rPr>
        <w:t xml:space="preserve">、采购本国产品的支持政策</w:t>
      </w:r>
      <w:r/>
    </w:p>
    <w:p>
      <w:pPr>
        <w:ind w:firstLine="60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7.1 </w:t>
      </w:r>
      <w:r>
        <w:rPr>
          <w:rFonts w:hint="eastAsia" w:ascii="宋体" w:hAnsi="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ascii="宋体" w:hAnsi="宋体" w:cs="??"/>
          <w:color w:val="auto"/>
          <w:sz w:val="24"/>
          <w:szCs w:val="24"/>
          <w:highlight w:val="none"/>
        </w:rPr>
        <w:t xml:space="preserve">20%</w:t>
      </w:r>
      <w:r>
        <w:rPr>
          <w:rFonts w:hint="eastAsia" w:ascii="宋体" w:hAnsi="宋体" w:cs="宋体"/>
          <w:color w:val="auto"/>
          <w:sz w:val="24"/>
          <w:szCs w:val="24"/>
          <w:highlight w:val="none"/>
        </w:rPr>
        <w:t xml:space="preserve">的价格扣除，用扣除后的价格参与评审。</w:t>
      </w:r>
      <w:r/>
    </w:p>
    <w:p>
      <w:pPr>
        <w:ind w:firstLine="60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7.2 </w:t>
      </w:r>
      <w:r>
        <w:rPr>
          <w:rFonts w:hint="eastAsia" w:ascii="宋体" w:hAnsi="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
          <w:color w:val="auto"/>
          <w:sz w:val="24"/>
          <w:szCs w:val="24"/>
          <w:highlight w:val="none"/>
        </w:rPr>
        <w:t xml:space="preserve">80%</w:t>
      </w:r>
      <w:r>
        <w:rPr>
          <w:rFonts w:hint="eastAsia" w:ascii="宋体" w:hAnsi="宋体" w:cs="宋体"/>
          <w:color w:val="auto"/>
          <w:sz w:val="24"/>
          <w:szCs w:val="24"/>
          <w:highlight w:val="none"/>
        </w:rPr>
        <w:t xml:space="preserve">以上时（供应商需在</w:t>
      </w:r>
      <w:r>
        <w:rPr>
          <w:rFonts w:ascii="宋体" w:hAnsi="宋体" w:cs="??"/>
          <w:color w:val="auto"/>
          <w:sz w:val="24"/>
          <w:szCs w:val="24"/>
          <w:highlight w:val="none"/>
        </w:rPr>
        <w:t xml:space="preserve">“</w:t>
      </w:r>
      <w:r>
        <w:rPr>
          <w:rFonts w:hint="eastAsia" w:ascii="宋体" w:hAnsi="宋体" w:cs="宋体"/>
          <w:color w:val="auto"/>
          <w:sz w:val="24"/>
          <w:szCs w:val="24"/>
          <w:highlight w:val="none"/>
        </w:rPr>
        <w:t xml:space="preserve">第六章</w:t>
      </w:r>
      <w:r>
        <w:rPr>
          <w:rFonts w:ascii="宋体" w:hAnsi="宋体" w:cs="??"/>
          <w:color w:val="auto"/>
          <w:sz w:val="24"/>
          <w:szCs w:val="24"/>
          <w:highlight w:val="none"/>
        </w:rPr>
        <w:t xml:space="preserve"> </w:t>
      </w:r>
      <w:r>
        <w:rPr>
          <w:rFonts w:hint="eastAsia" w:ascii="宋体" w:hAnsi="宋体" w:cs="宋体"/>
          <w:color w:val="auto"/>
          <w:sz w:val="24"/>
          <w:szCs w:val="24"/>
          <w:highlight w:val="none"/>
        </w:rPr>
        <w:t xml:space="preserve">投标文件格式</w:t>
      </w:r>
      <w:r>
        <w:rPr>
          <w:rFonts w:ascii="宋体" w:hAnsi="宋体" w:cs="??"/>
          <w:color w:val="auto"/>
          <w:sz w:val="24"/>
          <w:szCs w:val="24"/>
          <w:highlight w:val="none"/>
        </w:rPr>
        <w:t xml:space="preserve">”</w:t>
      </w:r>
      <w:r>
        <w:rPr>
          <w:rFonts w:hint="eastAsia" w:ascii="宋体" w:hAnsi="宋体" w:cs="宋体"/>
          <w:color w:val="auto"/>
          <w:sz w:val="24"/>
          <w:szCs w:val="24"/>
          <w:highlight w:val="none"/>
        </w:rPr>
        <w:t xml:space="preserve">的</w:t>
      </w:r>
      <w:r>
        <w:rPr>
          <w:rFonts w:ascii="宋体" w:hAnsi="宋体" w:cs="??"/>
          <w:color w:val="auto"/>
          <w:sz w:val="24"/>
          <w:szCs w:val="24"/>
          <w:highlight w:val="none"/>
        </w:rPr>
        <w:t xml:space="preserve">“</w:t>
      </w:r>
      <w:r>
        <w:rPr>
          <w:rFonts w:hint="eastAsia" w:ascii="宋体" w:hAnsi="宋体" w:cs="宋体"/>
          <w:color w:val="auto"/>
          <w:sz w:val="24"/>
          <w:szCs w:val="24"/>
          <w:highlight w:val="none"/>
        </w:rPr>
        <w:t xml:space="preserve">附件</w:t>
      </w:r>
      <w:r>
        <w:rPr>
          <w:rFonts w:ascii="宋体" w:hAnsi="宋体" w:cs="??"/>
          <w:color w:val="auto"/>
          <w:sz w:val="24"/>
          <w:szCs w:val="24"/>
          <w:highlight w:val="none"/>
        </w:rPr>
        <w:t xml:space="preserve">2 </w:t>
      </w:r>
      <w:r>
        <w:rPr>
          <w:rFonts w:hint="eastAsia" w:ascii="宋体" w:hAnsi="宋体" w:cs="宋体"/>
          <w:color w:val="auto"/>
          <w:sz w:val="24"/>
          <w:szCs w:val="24"/>
          <w:highlight w:val="none"/>
        </w:rPr>
        <w:t xml:space="preserve">投标分项报价表</w:t>
      </w:r>
      <w:r>
        <w:rPr>
          <w:rFonts w:ascii="宋体" w:hAnsi="宋体" w:cs="??"/>
          <w:color w:val="auto"/>
          <w:sz w:val="24"/>
          <w:szCs w:val="24"/>
          <w:highlight w:val="none"/>
        </w:rPr>
        <w:t xml:space="preserve">”</w:t>
      </w:r>
      <w:r>
        <w:rPr>
          <w:rFonts w:hint="eastAsia" w:ascii="宋体" w:hAnsi="宋体" w:cs="宋体"/>
          <w:color w:val="auto"/>
          <w:sz w:val="24"/>
          <w:szCs w:val="24"/>
          <w:highlight w:val="none"/>
        </w:rPr>
        <w:t xml:space="preserve">中填写比例数值），依法对该供应商提供的全部产品给予价格评审优惠，即对该供应商提供的全部产品的总报价给予</w:t>
      </w:r>
      <w:r>
        <w:rPr>
          <w:rFonts w:ascii="宋体" w:hAnsi="宋体" w:cs="??"/>
          <w:color w:val="auto"/>
          <w:sz w:val="24"/>
          <w:szCs w:val="24"/>
          <w:highlight w:val="none"/>
        </w:rPr>
        <w:t xml:space="preserve">20%</w:t>
      </w:r>
      <w:r>
        <w:rPr>
          <w:rFonts w:hint="eastAsia" w:ascii="宋体" w:hAnsi="宋体" w:cs="宋体"/>
          <w:color w:val="auto"/>
          <w:sz w:val="24"/>
          <w:szCs w:val="24"/>
          <w:highlight w:val="none"/>
        </w:rPr>
        <w:t xml:space="preserve">的价格扣除，用扣除后的价格参与评审。供应商未填写比例数值，或比例数值未达到</w:t>
      </w:r>
      <w:r>
        <w:rPr>
          <w:rFonts w:ascii="宋体" w:hAnsi="宋体" w:cs="??"/>
          <w:color w:val="auto"/>
          <w:sz w:val="24"/>
          <w:szCs w:val="24"/>
          <w:highlight w:val="none"/>
        </w:rPr>
        <w:t xml:space="preserve">80%</w:t>
      </w:r>
      <w:r>
        <w:rPr>
          <w:rFonts w:hint="eastAsia" w:ascii="宋体" w:hAnsi="宋体" w:cs="宋体"/>
          <w:color w:val="auto"/>
          <w:sz w:val="24"/>
          <w:szCs w:val="24"/>
          <w:highlight w:val="none"/>
        </w:rPr>
        <w:t xml:space="preserve">的，将不享受本国产品价格评审优惠。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7.3 </w:t>
      </w:r>
      <w:r>
        <w:rPr>
          <w:rFonts w:hint="eastAsia" w:ascii="宋体" w:hAnsi="宋体" w:cs="宋体"/>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7.4 </w:t>
      </w:r>
      <w:r>
        <w:rPr>
          <w:rFonts w:hint="eastAsia" w:ascii="宋体" w:hAnsi="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79"/>
        <w:spacing w:line="460" w:lineRule="exact"/>
        <w:rPr>
          <w:rFonts w:ascii="宋体" w:hAnsi="宋体" w:cs="??"/>
          <w:color w:val="auto"/>
          <w:sz w:val="24"/>
          <w:szCs w:val="24"/>
          <w:highlight w:val="none"/>
        </w:rPr>
      </w:pPr>
      <w:r>
        <w:rPr>
          <w:rFonts w:ascii="宋体" w:hAnsi="宋体" w:cs="??"/>
          <w:color w:val="auto"/>
          <w:sz w:val="24"/>
          <w:szCs w:val="24"/>
          <w:highlight w:val="none"/>
        </w:rPr>
        <w:t xml:space="preserve">7.5 </w:t>
      </w:r>
      <w:r>
        <w:rPr>
          <w:rFonts w:hint="eastAsia" w:ascii="宋体" w:hAnsi="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s="??"/>
          <w:color w:val="auto"/>
          <w:sz w:val="24"/>
          <w:szCs w:val="24"/>
          <w:highlight w:val="none"/>
        </w:rPr>
        <w:t xml:space="preserve">2025</w:t>
      </w: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34</w:t>
      </w:r>
      <w:r>
        <w:rPr>
          <w:rFonts w:hint="eastAsia" w:ascii="宋体" w:hAnsi="宋体" w:cs="宋体"/>
          <w:color w:val="auto"/>
          <w:sz w:val="24"/>
          <w:szCs w:val="24"/>
          <w:highlight w:val="none"/>
        </w:rPr>
        <w:t xml:space="preserve">号）和招标文件规定的，供应商提供的相关产品视为不符合本国产品标准。</w:t>
      </w:r>
      <w:r/>
    </w:p>
    <w:p>
      <w:pPr>
        <w:pStyle w:val="1010"/>
        <w:ind w:firstLine="482"/>
        <w:spacing w:before="0" w:after="0" w:line="460" w:lineRule="exact"/>
        <w:rPr>
          <w:rFonts w:ascii="宋体" w:hAnsi="宋体"/>
          <w:b/>
          <w:bCs/>
          <w:color w:val="auto"/>
          <w:highlight w:val="none"/>
        </w:rPr>
      </w:pPr>
      <w:r>
        <w:rPr>
          <w:rFonts w:hint="eastAsia" w:ascii="宋体" w:hAnsi="宋体" w:cs="宋体"/>
          <w:b/>
          <w:bCs/>
          <w:color w:val="auto"/>
          <w:highlight w:val="none"/>
        </w:rPr>
        <w:t xml:space="preserve">评标方法与评标标准</w:t>
      </w:r>
      <w:r/>
    </w:p>
    <w:p>
      <w:pPr>
        <w:ind w:firstLine="482"/>
        <w:keepLines/>
        <w:keepNext/>
        <w:spacing w:line="440" w:lineRule="exact"/>
        <w:rPr>
          <w:rFonts w:ascii="宋体" w:hAnsi="宋体"/>
          <w:b/>
          <w:bCs/>
          <w:color w:val="auto"/>
          <w:sz w:val="24"/>
          <w:szCs w:val="24"/>
          <w:highlight w:val="none"/>
        </w:rPr>
        <w:outlineLvl w:val="2"/>
      </w:pPr>
      <w:r>
        <w:rPr>
          <w:rFonts w:hint="eastAsia" w:ascii="宋体" w:hAnsi="宋体" w:cs="宋体"/>
          <w:b/>
          <w:bCs/>
          <w:color w:val="auto"/>
          <w:sz w:val="24"/>
          <w:szCs w:val="24"/>
          <w:highlight w:val="none"/>
        </w:rPr>
        <w:t xml:space="preserve">一、评标程序</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评标程序：资格条件评审→商务技术标评审→价格标评审→确定中标候选人。</w:t>
      </w:r>
      <w:r/>
    </w:p>
    <w:p>
      <w:pPr>
        <w:ind w:firstLine="482"/>
        <w:keepLines/>
        <w:keepNext/>
        <w:spacing w:line="440" w:lineRule="exact"/>
        <w:rPr>
          <w:rFonts w:ascii="宋体" w:hAnsi="宋体"/>
          <w:b/>
          <w:bCs/>
          <w:color w:val="auto"/>
          <w:sz w:val="24"/>
          <w:szCs w:val="24"/>
          <w:highlight w:val="none"/>
        </w:rPr>
        <w:outlineLvl w:val="2"/>
      </w:pPr>
      <w:r>
        <w:rPr>
          <w:rFonts w:hint="eastAsia" w:ascii="宋体" w:hAnsi="宋体" w:cs="宋体"/>
          <w:b/>
          <w:bCs/>
          <w:color w:val="auto"/>
          <w:sz w:val="24"/>
          <w:szCs w:val="24"/>
          <w:highlight w:val="none"/>
        </w:rPr>
        <w:t xml:space="preserve">二、投标方资格条件评审</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由本项目</w:t>
      </w:r>
      <w:r>
        <w:rPr>
          <w:rFonts w:hint="eastAsia" w:ascii="宋体" w:hAnsi="宋体" w:cs="宋体"/>
          <w:color w:val="auto"/>
          <w:sz w:val="24"/>
          <w:szCs w:val="24"/>
          <w:highlight w:val="none"/>
          <w:lang w:val="en-US" w:eastAsia="zh-CN"/>
        </w:rPr>
        <w:t xml:space="preserve">采购人代表</w:t>
      </w:r>
      <w:r>
        <w:rPr>
          <w:rFonts w:hint="eastAsia" w:ascii="宋体" w:hAnsi="宋体" w:cs="宋体"/>
          <w:color w:val="auto"/>
          <w:sz w:val="24"/>
          <w:szCs w:val="24"/>
          <w:highlight w:val="none"/>
        </w:rPr>
        <w:t xml:space="preserve">根据参加资格审查的投标方递交的资格审查证明材料，并按照本服务项目招标文件资格审查标准对投标方的资格进行评审。只有资格条件评审通过的投标方方可参加下阶段评审。</w:t>
      </w:r>
      <w:r/>
    </w:p>
    <w:p>
      <w:pPr>
        <w:ind w:firstLine="562"/>
        <w:jc w:val="left"/>
        <w:pageBreakBefore w:val="0"/>
        <w:spacing w:line="240" w:lineRule="auto"/>
        <w:rPr>
          <w:rFonts w:hint="eastAsia" w:ascii="宋体" w:hAnsi="宋体" w:eastAsia="宋体" w:cs="宋体"/>
          <w:color w:val="auto"/>
          <w:sz w:val="24"/>
          <w:szCs w:val="24"/>
          <w:highlight w:val="none"/>
          <w:lang w:val="zh-CN"/>
        </w:rPr>
        <w:outlineLvl w:val="0"/>
      </w:pPr>
      <w:r>
        <w:rPr>
          <w:rFonts w:hint="eastAsia" w:ascii="宋体" w:hAnsi="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zh-CN"/>
        </w:rPr>
        <w:t xml:space="preserve">商务技术</w:t>
      </w:r>
      <w:r>
        <w:rPr>
          <w:rFonts w:hint="eastAsia" w:ascii="宋体" w:hAnsi="宋体" w:eastAsia="宋体" w:cs="宋体"/>
          <w:b/>
          <w:color w:val="auto"/>
          <w:sz w:val="24"/>
          <w:szCs w:val="24"/>
          <w:highlight w:val="none"/>
          <w:lang w:val="en-US" w:eastAsia="zh-CN"/>
        </w:rPr>
        <w:t xml:space="preserve">部分</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p>
    <w:tbl>
      <w:tblPr>
        <w:tblStyle w:val="762"/>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967"/>
        <w:gridCol w:w="6920"/>
      </w:tblGrid>
      <w:tr>
        <w:trPr>
          <w:trHeight w:val="774"/>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评分因素</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3772" w:type="pct"/>
            <w:vAlign w:val="center"/>
            <w:textDirection w:val="lrTb"/>
            <w:noWrap w:val="false"/>
          </w:tcPr>
          <w:p>
            <w:pPr>
              <w:ind w:firstLine="48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trHeight w:val="90"/>
        </w:trPr>
        <w:tc>
          <w:tcPr>
            <w:gridSpan w:val="3"/>
            <w:tcW w:w="5000" w:type="pct"/>
            <w:vAlign w:val="center"/>
            <w:textDirection w:val="lrTb"/>
            <w:noWrap w:val="false"/>
          </w:tcPr>
          <w:p>
            <w:pPr>
              <w:ind w:firstLine="0"/>
              <w:pageBreakBefore w:val="0"/>
              <w:spacing w:line="24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lang w:eastAsia="zh-Hans"/>
              </w:rPr>
              <w:t xml:space="preserve">商务评分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lang w:eastAsia="zh-Hans"/>
              </w:rPr>
              <w:t xml:space="preserve">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企业资质</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3772" w:type="pct"/>
            <w:vAlign w:val="center"/>
            <w:textDirection w:val="lrTb"/>
            <w:noWrap w:val="false"/>
          </w:tcPr>
          <w:p>
            <w:pPr>
              <w:pStyle w:val="764"/>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需具有：</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ISO9001质量管理体系认证证书； </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ISO27001信息安全管理体系认证证书；</w:t>
            </w:r>
            <w:r/>
          </w:p>
          <w:p>
            <w:pPr>
              <w:ind w:firstLine="48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ISO20000信息技术服务管理体系认证证书</w:t>
            </w:r>
            <w:r>
              <w:rPr>
                <w:rFonts w:hint="eastAsia" w:ascii="宋体" w:hAnsi="宋体" w:eastAsia="宋体" w:cs="宋体"/>
                <w:color w:val="auto"/>
                <w:sz w:val="24"/>
                <w:szCs w:val="24"/>
                <w:highlight w:val="none"/>
                <w:lang w:eastAsia="zh-Hans"/>
              </w:rPr>
              <w:t xml:space="preserve">；</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以上内容每提供一项证书得1分，最高得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分；提供资质证书复印件并加盖投标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公章，不提供证明材料不得分（原件备查）。</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软件著作权</w:t>
            </w:r>
            <w:r/>
          </w:p>
          <w:p>
            <w:pPr>
              <w:pStyle w:val="775"/>
              <w:ind w:left="1440" w:firstLine="48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r>
            <w:r/>
          </w:p>
          <w:p>
            <w:pPr>
              <w:pStyle w:val="775"/>
              <w:ind w:left="144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7" w:type="pct"/>
            <w:vAlign w:val="center"/>
            <w:textDirection w:val="lrTb"/>
            <w:noWrap w:val="false"/>
          </w:tcPr>
          <w:p>
            <w:pPr>
              <w:ind w:firstLine="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Hans"/>
              </w:rPr>
              <w:t xml:space="preserve">分</w:t>
            </w:r>
            <w:r/>
          </w:p>
        </w:tc>
        <w:tc>
          <w:tcPr>
            <w:tcW w:w="3772"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投标人</w:t>
            </w:r>
            <w:r>
              <w:rPr>
                <w:rFonts w:hint="eastAsia" w:ascii="宋体" w:hAnsi="宋体" w:eastAsia="宋体" w:cs="宋体"/>
                <w:color w:val="auto"/>
                <w:sz w:val="24"/>
                <w:szCs w:val="24"/>
                <w:highlight w:val="none"/>
              </w:rPr>
              <w:t xml:space="preserve">需提供</w:t>
            </w:r>
            <w:r>
              <w:rPr>
                <w:rFonts w:hint="eastAsia" w:ascii="宋体" w:hAnsi="宋体" w:eastAsia="宋体" w:cs="宋体"/>
                <w:color w:val="auto"/>
                <w:sz w:val="24"/>
                <w:szCs w:val="24"/>
                <w:highlight w:val="none"/>
                <w:lang w:eastAsia="zh-Hans"/>
              </w:rPr>
              <w:t xml:space="preserve">包含</w:t>
            </w:r>
            <w:r>
              <w:rPr>
                <w:rFonts w:hint="eastAsia" w:ascii="宋体" w:hAnsi="宋体" w:eastAsia="宋体" w:cs="宋体"/>
                <w:color w:val="auto"/>
                <w:sz w:val="24"/>
                <w:szCs w:val="24"/>
                <w:highlight w:val="none"/>
              </w:rPr>
              <w:t xml:space="preserve">本次项目</w:t>
            </w:r>
            <w:r>
              <w:rPr>
                <w:rFonts w:hint="eastAsia" w:ascii="宋体" w:hAnsi="宋体" w:eastAsia="宋体" w:cs="宋体"/>
                <w:color w:val="auto"/>
                <w:sz w:val="24"/>
                <w:szCs w:val="24"/>
                <w:highlight w:val="none"/>
                <w:lang w:eastAsia="zh-Hans"/>
              </w:rPr>
              <w:t xml:space="preserve">服务</w:t>
            </w:r>
            <w:r>
              <w:rPr>
                <w:rFonts w:hint="eastAsia" w:ascii="宋体" w:hAnsi="宋体" w:eastAsia="宋体" w:cs="宋体"/>
                <w:color w:val="auto"/>
                <w:sz w:val="24"/>
                <w:szCs w:val="24"/>
                <w:highlight w:val="none"/>
              </w:rPr>
              <w:t xml:space="preserve">内容关键字的软件著作权证书（软件著作权需要在</w:t>
            </w:r>
            <w:r>
              <w:rPr>
                <w:rFonts w:hint="eastAsia" w:ascii="宋体" w:hAnsi="宋体" w:eastAsia="宋体" w:cs="宋体"/>
                <w:color w:val="auto"/>
                <w:sz w:val="24"/>
                <w:szCs w:val="24"/>
                <w:highlight w:val="none"/>
                <w:lang w:eastAsia="zh-Hans"/>
              </w:rPr>
              <w:t xml:space="preserve">项目挂网日期</w:t>
            </w:r>
            <w:r>
              <w:rPr>
                <w:rFonts w:hint="eastAsia" w:ascii="宋体" w:hAnsi="宋体" w:eastAsia="宋体" w:cs="宋体"/>
                <w:color w:val="auto"/>
                <w:sz w:val="24"/>
                <w:szCs w:val="24"/>
                <w:highlight w:val="none"/>
              </w:rPr>
              <w:t xml:space="preserve">前申请获得）：</w:t>
            </w:r>
            <w:r/>
          </w:p>
          <w:p>
            <w:pPr>
              <w:pStyle w:val="971"/>
              <w:ind w:firstLine="480"/>
              <w:pageBreakBefore w:val="0"/>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绩效考核与数据治理平台</w:t>
            </w:r>
            <w:r>
              <w:rPr>
                <w:rFonts w:hint="eastAsia" w:ascii="宋体" w:hAnsi="宋体" w:eastAsia="宋体" w:cs="宋体"/>
                <w:color w:val="auto"/>
                <w:sz w:val="24"/>
                <w:szCs w:val="24"/>
                <w:highlight w:val="none"/>
              </w:rPr>
              <w:t xml:space="preserve">”</w:t>
            </w:r>
            <w:r/>
          </w:p>
          <w:p>
            <w:pPr>
              <w:pStyle w:val="971"/>
              <w:ind w:firstLine="480"/>
              <w:pageBreakBefore w:val="0"/>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..“指标管理”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每提供一个软件著作权得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Hans"/>
              </w:rPr>
              <w:t xml:space="preserve">分，最高的</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Hans"/>
              </w:rPr>
              <w:t xml:space="preserve">分。</w:t>
            </w:r>
            <w:r/>
          </w:p>
          <w:p>
            <w:pPr>
              <w:ind w:firstLine="24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投标人需</w:t>
            </w:r>
            <w:r>
              <w:rPr>
                <w:rFonts w:hint="eastAsia" w:ascii="宋体" w:hAnsi="宋体" w:eastAsia="宋体" w:cs="宋体"/>
                <w:color w:val="auto"/>
                <w:sz w:val="24"/>
                <w:szCs w:val="24"/>
                <w:highlight w:val="none"/>
              </w:rPr>
              <w:t xml:space="preserve">提供证书复印件和中国版权保护中心官网查询截图并加盖</w:t>
            </w:r>
            <w:r>
              <w:rPr>
                <w:rFonts w:hint="eastAsia" w:ascii="宋体" w:hAnsi="宋体" w:eastAsia="宋体" w:cs="宋体"/>
                <w:color w:val="auto"/>
                <w:sz w:val="24"/>
                <w:szCs w:val="24"/>
                <w:highlight w:val="none"/>
                <w:lang w:eastAsia="zh-Hans"/>
              </w:rPr>
              <w:t xml:space="preserve">投标人</w:t>
            </w:r>
            <w:r>
              <w:rPr>
                <w:rFonts w:hint="eastAsia" w:ascii="宋体" w:hAnsi="宋体" w:eastAsia="宋体" w:cs="宋体"/>
                <w:color w:val="auto"/>
                <w:sz w:val="24"/>
                <w:szCs w:val="24"/>
                <w:highlight w:val="none"/>
              </w:rPr>
              <w:t xml:space="preserve">公章，不提供</w:t>
            </w:r>
            <w:r>
              <w:rPr>
                <w:rFonts w:hint="eastAsia" w:ascii="宋体" w:hAnsi="宋体" w:eastAsia="宋体" w:cs="宋体"/>
                <w:color w:val="auto"/>
                <w:sz w:val="24"/>
                <w:szCs w:val="24"/>
                <w:highlight w:val="none"/>
                <w:lang w:eastAsia="zh-Hans"/>
              </w:rPr>
              <w:t xml:space="preserve">证明材料</w:t>
            </w:r>
            <w:r>
              <w:rPr>
                <w:rFonts w:hint="eastAsia" w:ascii="宋体" w:hAnsi="宋体" w:eastAsia="宋体" w:cs="宋体"/>
                <w:color w:val="auto"/>
                <w:sz w:val="24"/>
                <w:szCs w:val="24"/>
                <w:highlight w:val="none"/>
              </w:rPr>
              <w:t xml:space="preserve">不得分。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项目组成员资质</w:t>
            </w:r>
            <w:r/>
          </w:p>
        </w:tc>
        <w:tc>
          <w:tcPr>
            <w:tcW w:w="527" w:type="pct"/>
            <w:vAlign w:val="center"/>
            <w:textDirection w:val="lrTb"/>
            <w:noWrap w:val="false"/>
          </w:tcPr>
          <w:p>
            <w:pPr>
              <w:ind w:firstLine="0"/>
              <w:pageBreakBefore w:val="0"/>
              <w:spacing w:line="240" w:lineRule="auto"/>
              <w:rPr>
                <w:rFonts w:hint="eastAsia"/>
                <w:color w:val="auto"/>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3772" w:type="pct"/>
            <w:vAlign w:val="center"/>
            <w:textDirection w:val="lrTb"/>
            <w:noWrap w:val="false"/>
          </w:tcPr>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投标方专业的实施团队，团队人员资质如下：</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具有系统集成项目管理师证书(工信部软考)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2.项目团队成员：</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具有数据库系统工程师证书(工信部软考)，得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提供以上证明材料，最高得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注：提供以上人员相关资质证书复印件以及在投标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名下近六个月内任意</w:t>
            </w:r>
            <w:r>
              <w:rPr>
                <w:rFonts w:hint="eastAsia" w:ascii="宋体" w:hAnsi="宋体" w:eastAsia="宋体" w:cs="宋体"/>
                <w:color w:val="auto"/>
                <w:sz w:val="24"/>
                <w:szCs w:val="24"/>
                <w:highlight w:val="none"/>
                <w:lang w:eastAsia="zh-Hans"/>
              </w:rPr>
              <w:t xml:space="preserve">一个月</w:t>
            </w:r>
            <w:r>
              <w:rPr>
                <w:rFonts w:hint="eastAsia" w:ascii="宋体" w:hAnsi="宋体" w:eastAsia="宋体" w:cs="宋体"/>
                <w:color w:val="auto"/>
                <w:sz w:val="24"/>
                <w:szCs w:val="24"/>
                <w:highlight w:val="none"/>
              </w:rPr>
              <w:t xml:space="preserve">的购买社保的证明文件扫描件附于投标文件中并加盖投标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公章；不提供相关材料不得分</w:t>
            </w:r>
            <w:r>
              <w:rPr>
                <w:rFonts w:hint="eastAsia" w:ascii="宋体" w:hAnsi="宋体" w:cs="宋体"/>
                <w:color w:val="auto"/>
                <w:sz w:val="24"/>
                <w:szCs w:val="24"/>
                <w:highlight w:val="none"/>
                <w:lang w:eastAsia="zh-CN"/>
              </w:rPr>
              <w:t xml:space="preserve">。</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业绩</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供应商提供2023年1月1日（以签订合同时间为准）以来类似案例证明，每份合同得1分，最多得6分。</w:t>
            </w:r>
            <w:r/>
          </w:p>
          <w:p>
            <w:pPr>
              <w:ind w:firstLine="480"/>
              <w:pageBreakBefore w:val="0"/>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响应文件中提供合同复印件加盖、公章，现场提供原件核查，否则不得分。</w:t>
            </w:r>
            <w:r/>
          </w:p>
        </w:tc>
      </w:tr>
      <w:tr>
        <w:trPr>
          <w:trHeight w:val="1130"/>
        </w:trPr>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ind w:firstLine="0"/>
              <w:pageBreakBefore w:val="0"/>
              <w:spacing w:line="240" w:lineRule="auto"/>
              <w:widowControl/>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检测检验报告</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3772" w:type="pct"/>
            <w:vAlign w:val="center"/>
            <w:textDirection w:val="lrTb"/>
            <w:noWrap w:val="false"/>
          </w:tcPr>
          <w:p>
            <w:pPr>
              <w:ind w:firstLine="48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为了确保产品安全性、可靠性和易用性，投标人能够提供投标产品相关的第三方测试报告并有测试结果得4分，未提供测试报告或没有测试结果不得分。</w:t>
            </w:r>
            <w:r/>
          </w:p>
        </w:tc>
      </w:tr>
      <w:tr>
        <w:trPr>
          <w:trHeight w:val="90"/>
        </w:trPr>
        <w:tc>
          <w:tcPr>
            <w:tcW w:w="700" w:type="pct"/>
            <w:vAlign w:val="center"/>
            <w:textDirection w:val="lrTb"/>
            <w:noWrap w:val="false"/>
          </w:tcPr>
          <w:p>
            <w:pPr>
              <w:ind w:firstLine="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国产化适配要求</w:t>
            </w:r>
            <w:r/>
          </w:p>
          <w:p>
            <w:pPr>
              <w:ind w:firstLine="0"/>
              <w:pageBreakBefore w:val="0"/>
              <w:spacing w:line="240" w:lineRule="auto"/>
              <w:widowControl/>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r>
            <w:r/>
          </w:p>
        </w:tc>
        <w:tc>
          <w:tcPr>
            <w:tcW w:w="527" w:type="pct"/>
            <w:vAlign w:val="center"/>
            <w:textDirection w:val="lrTb"/>
            <w:noWrap w:val="false"/>
          </w:tcPr>
          <w:p>
            <w:pPr>
              <w:ind w:firstLine="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3772" w:type="pct"/>
            <w:vAlign w:val="center"/>
            <w:textDirection w:val="lrTb"/>
            <w:noWrap w:val="false"/>
          </w:tcPr>
          <w:p>
            <w:pPr>
              <w:ind w:firstLine="48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本项目投标产品需具备国产化适配能力，投标人能够提供第三方测试</w:t>
            </w:r>
            <w:r>
              <w:rPr>
                <w:rFonts w:hint="eastAsia" w:ascii="宋体" w:hAnsi="宋体" w:cs="宋体"/>
                <w:color w:val="auto"/>
                <w:sz w:val="24"/>
                <w:szCs w:val="24"/>
                <w:highlight w:val="none"/>
                <w:lang w:val="en-US" w:eastAsia="zh-CN"/>
              </w:rPr>
              <w:t xml:space="preserve">机构颁发的</w:t>
            </w:r>
            <w:r>
              <w:rPr>
                <w:rFonts w:hint="eastAsia" w:ascii="宋体" w:hAnsi="宋体" w:eastAsia="宋体" w:cs="宋体"/>
                <w:color w:val="auto"/>
                <w:sz w:val="24"/>
                <w:szCs w:val="24"/>
                <w:highlight w:val="none"/>
              </w:rPr>
              <w:t xml:space="preserve">国产化数据库产品兼容证明材料得5分，不满足或不能提供加盖公章的证明材料不得分。</w:t>
            </w:r>
            <w:r/>
          </w:p>
        </w:tc>
      </w:tr>
      <w:tr>
        <w:trPr>
          <w:trHeight w:val="90"/>
        </w:trPr>
        <w:tc>
          <w:tcPr>
            <w:gridSpan w:val="3"/>
            <w:tcW w:w="5000" w:type="pct"/>
            <w:vAlign w:val="center"/>
            <w:textDirection w:val="lrTb"/>
            <w:noWrap w:val="false"/>
          </w:tcPr>
          <w:p>
            <w:pPr>
              <w:ind w:firstLine="0"/>
              <w:pageBreakBefore w:val="0"/>
              <w:spacing w:line="24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lang w:eastAsia="zh-Hans"/>
              </w:rPr>
              <w:t xml:space="preserve">技术评分（</w:t>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Hans"/>
              </w:rPr>
              <w:t xml:space="preserve">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软件</w:t>
            </w:r>
            <w:r>
              <w:rPr>
                <w:rFonts w:hint="eastAsia" w:ascii="宋体" w:hAnsi="宋体" w:eastAsia="宋体" w:cs="宋体"/>
                <w:color w:val="auto"/>
                <w:sz w:val="24"/>
                <w:szCs w:val="24"/>
                <w:highlight w:val="none"/>
              </w:rPr>
              <w:t xml:space="preserve">系统功能响应性</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分</w:t>
            </w:r>
            <w:r/>
          </w:p>
        </w:tc>
        <w:tc>
          <w:tcPr>
            <w:tcW w:w="3772" w:type="pct"/>
            <w:vAlign w:val="top"/>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投标方的系统功能满足招标文件要求的情况进行综合评定，</w:t>
            </w:r>
            <w:r>
              <w:rPr>
                <w:rFonts w:hint="eastAsia" w:ascii="宋体" w:hAnsi="宋体" w:eastAsia="宋体" w:cs="宋体"/>
                <w:color w:val="auto"/>
                <w:sz w:val="24"/>
                <w:szCs w:val="24"/>
                <w:highlight w:val="none"/>
                <w:lang w:val="en-US" w:eastAsia="zh-CN"/>
              </w:rPr>
              <w:t xml:space="preserve">本次项目共有21条参数，其中</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有5条，一般技术参数有16条。</w:t>
            </w:r>
            <w:r>
              <w:rPr>
                <w:rFonts w:hint="eastAsia" w:ascii="宋体" w:hAnsi="宋体" w:eastAsia="宋体" w:cs="宋体"/>
                <w:color w:val="auto"/>
                <w:sz w:val="24"/>
                <w:szCs w:val="24"/>
                <w:highlight w:val="none"/>
              </w:rPr>
              <w:t xml:space="preserve">全部满足招标文件要求的得2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技术要求中带“▲”号项为重要技术参数，需在投标文件中提供功能界面的截图作为佐证依据，未提供的视为负偏离，每负偏离一项扣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其余为一般技术参数，每负偏离一项扣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Hans"/>
              </w:rPr>
              <w:t xml:space="preserve">扣完为止</w:t>
            </w:r>
            <w:r>
              <w:rPr>
                <w:rFonts w:hint="eastAsia" w:ascii="宋体" w:hAnsi="宋体" w:eastAsia="宋体" w:cs="宋体"/>
                <w:color w:val="auto"/>
                <w:sz w:val="24"/>
                <w:szCs w:val="24"/>
                <w:highlight w:val="none"/>
              </w:rPr>
              <w:t xml:space="preserve">。</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项目技术方案</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5分</w:t>
            </w:r>
            <w:r/>
          </w:p>
        </w:tc>
        <w:tc>
          <w:tcPr>
            <w:tcW w:w="3772"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技术方案的总体设计思路具有科学性和前瞻性，系统架构设计科学合理，设计符合医院实际应用场景，能够解决实际问题，方案完整、详细、科学合理、切实可行得5分；内容基本完整、详细，表述基本清晰、合理，可行性稍差，得3分；</w:t>
            </w:r>
            <w:r>
              <w:rPr>
                <w:rFonts w:hint="eastAsia" w:ascii="宋体" w:hAnsi="宋体" w:eastAsia="宋体" w:cs="宋体"/>
                <w:color w:val="auto"/>
                <w:sz w:val="24"/>
                <w:szCs w:val="24"/>
                <w:highlight w:val="none"/>
              </w:rPr>
              <w:t xml:space="preserve">有项目技术方案，但方案内容笼统，没有针对本项目细化制定，得1分；</w:t>
            </w:r>
            <w:r>
              <w:rPr>
                <w:rFonts w:hint="eastAsia" w:ascii="宋体" w:hAnsi="宋体" w:eastAsia="宋体" w:cs="宋体"/>
                <w:color w:val="auto"/>
                <w:sz w:val="24"/>
                <w:szCs w:val="24"/>
                <w:highlight w:val="none"/>
                <w:lang w:eastAsia="zh-Hans"/>
              </w:rPr>
              <w:t xml:space="preserve">未提供不得分。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实施服务方</w:t>
            </w:r>
            <w:r>
              <w:rPr>
                <w:rFonts w:hint="eastAsia" w:ascii="宋体" w:hAnsi="宋体" w:eastAsia="宋体" w:cs="宋体"/>
                <w:color w:val="auto"/>
                <w:sz w:val="24"/>
                <w:szCs w:val="24"/>
                <w:highlight w:val="none"/>
              </w:rPr>
              <w:t xml:space="preserve">案</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根据投标人制定的项目实施</w:t>
            </w:r>
            <w:r>
              <w:rPr>
                <w:rFonts w:hint="eastAsia" w:ascii="宋体" w:hAnsi="宋体" w:eastAsia="宋体" w:cs="宋体"/>
                <w:color w:val="auto"/>
                <w:sz w:val="24"/>
                <w:szCs w:val="24"/>
                <w:highlight w:val="none"/>
                <w:lang w:eastAsia="zh-Hans"/>
              </w:rPr>
              <w:t xml:space="preserve">服务</w:t>
            </w:r>
            <w:r>
              <w:rPr>
                <w:rFonts w:hint="eastAsia" w:ascii="宋体" w:hAnsi="宋体" w:eastAsia="宋体" w:cs="宋体"/>
                <w:color w:val="auto"/>
                <w:sz w:val="24"/>
                <w:szCs w:val="24"/>
                <w:highlight w:val="none"/>
              </w:rPr>
              <w:t xml:space="preserve">方案，从项目管理方案、项目质量管控和进度保障措施等方面进行打分；完全满足招标文件对项目实施的要求，具有相应的实施方案，结构严谨，内容完整详实，表述清晰准确，能够针对项目采购内容细化制定实施进度，项目管理运行机制健全，得5分；能够满足招标文件对项目实施的要求，方案完整，项目管理机制完备，为项目实施制定的措施较齐全，虽表述略微偏差，但不影响实质性意思表达，得3分；有项目实施方案，但方案内容笼统，没有针对本项目细化制定，得1分。没有内容或不满足招标文件要求的不得分。 </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培训方案</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Hans"/>
              </w:rPr>
              <w:t xml:space="preserve">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制定的培训方案，从培训目的、培训方式、培训内容等方面进行打分；完全满足招标文件要求，有相应的培训方案，培训计划详细、培训内容完整、有相关的培训管理内容，得4分；有相关的培训方案，培训内容完整但没有进行详细的培训计划，得2分；仅有相关的培训方案，培训计划、培训内容等描述都缺乏，得1分；没有内容或不满足招标文件要求的不得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售后方案</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Hans"/>
              </w:rPr>
              <w:t xml:space="preserve">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售后服务方案全面合理，服务流程及内容具体，响应时间迅速，服务人员齐备，得4分。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售后服务方案较全面，具有基本服务流程及内容，响应时间较为迅速，服务人员匹配基本满足需求，得2分。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售后服务方案较片面，服务流程及内容空洞或欠缺，响应时间缓慢，服务人员匹配欠缺，得1分。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无售后服务方案不得分。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系统</w:t>
            </w:r>
            <w:r>
              <w:rPr>
                <w:rFonts w:hint="eastAsia" w:ascii="宋体" w:hAnsi="宋体" w:eastAsia="宋体" w:cs="宋体"/>
                <w:color w:val="auto"/>
                <w:sz w:val="24"/>
                <w:szCs w:val="24"/>
                <w:highlight w:val="none"/>
                <w:lang w:eastAsia="zh-Hans"/>
              </w:rPr>
              <w:t xml:space="preserve">演示</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根据录制演示视频进行评分，使用软件系统、DEMO或原型演示最高得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Hans"/>
              </w:rPr>
              <w:t xml:space="preserve">分，使用PPT演示相关功能操作</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eastAsia="zh-Hans"/>
              </w:rPr>
              <w:t xml:space="preserve">。视频时长不超过15分钟。</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1.指标目标配置：支持用户按照科室、诊疗组进行目标值的设置。支持设置指标的目标值、全省平均数、全国平均数、全省中位数、全国中位数。</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（评审专家对视频演示效果进行综合评判，演示功能流畅，完全符合演示要求得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Hans"/>
              </w:rPr>
              <w:t xml:space="preserve">分；一般流畅，基本符合演示要求得1分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Hans"/>
              </w:rPr>
              <w:t xml:space="preserve">其他不得分）</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2.指标预览：需支持复合指标、原子指标的趋势图展示；支持切换趋势图展现形式（柱状图/折线图）；支持下载趋势图。</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（评审专家对视频演示效果进行综合评判，演示功能流畅，完全符合演示要求得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Hans"/>
              </w:rPr>
              <w:t xml:space="preserve">分；一般流畅，基本符合演示要求得1分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Hans"/>
              </w:rPr>
              <w:t xml:space="preserve">其他不得分）</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3.指标监管看板：支持使用者根据需要自定义分析指标，支持新增/删除指标、支持切换指标视图展示（如：单指标分析、指标+同比环比分析、指标+同比环比+月趋势图、指标+同比环比+日数据柱状图）</w:t>
            </w:r>
            <w:r/>
          </w:p>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（评审专家对视频演示效果进行综合评判，演示功能流畅，完全符合演示要求得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Hans"/>
              </w:rPr>
              <w:t xml:space="preserve">分；一般流畅，基本符合演示要求得1分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Hans"/>
              </w:rPr>
              <w:t xml:space="preserve">其他不得分）</w:t>
            </w:r>
            <w:bookmarkEnd w:id="188"/>
            <w:r/>
            <w:bookmarkEnd w:id="189"/>
            <w:r/>
            <w:bookmarkEnd w:id="190"/>
            <w:r/>
            <w:r/>
          </w:p>
        </w:tc>
      </w:tr>
    </w:tbl>
    <w:p>
      <w:pPr>
        <w:jc w:val="left"/>
        <w:spacing w:line="360" w:lineRule="auto"/>
        <w:rPr>
          <w:rFonts w:hint="eastAsia" w:ascii="宋体" w:hAnsi="宋体"/>
          <w:color w:val="auto"/>
          <w:sz w:val="24"/>
          <w:szCs w:val="24"/>
          <w:highlight w:val="none"/>
        </w:rPr>
      </w:pPr>
      <w:r/>
      <w:bookmarkStart w:id="196" w:name="_Toc49090575"/>
      <w:r/>
      <w:bookmarkStart w:id="197" w:name="_Toc26554093"/>
      <w:r/>
      <w:bookmarkStart w:id="198" w:name="_Toc120614281"/>
      <w:r>
        <w:rPr>
          <w:rFonts w:hint="eastAsia" w:ascii="宋体" w:hAnsi="宋体"/>
          <w:color w:val="auto"/>
          <w:sz w:val="24"/>
          <w:szCs w:val="24"/>
          <w:highlight w:val="none"/>
        </w:rPr>
        <w:t xml:space="preserve">各投标人得分为评委会成员评分的算术平均分，分值保留小数点后两位。</w:t>
      </w:r>
      <w:r/>
    </w:p>
    <w:p>
      <w:pPr>
        <w:pStyle w:val="1010"/>
        <w:numPr>
          <w:ilvl w:val="0"/>
          <w:numId w:val="8"/>
        </w:numPr>
        <w:spacing w:before="0" w:after="0" w:line="480" w:lineRule="exact"/>
        <w:tabs>
          <w:tab w:val="left" w:pos="312" w:leader="none"/>
        </w:tabs>
        <w:rPr>
          <w:rFonts w:ascii="宋体" w:hAnsi="宋体"/>
          <w:b/>
          <w:bCs/>
          <w:color w:val="auto"/>
          <w:highlight w:val="none"/>
        </w:rPr>
      </w:pPr>
      <w:r>
        <w:rPr>
          <w:rFonts w:hint="eastAsia" w:ascii="宋体" w:hAnsi="宋体" w:cs="宋体"/>
          <w:b/>
          <w:bCs/>
          <w:color w:val="auto"/>
          <w:highlight w:val="none"/>
        </w:rPr>
        <w:t xml:space="preserve">价格分：</w:t>
      </w:r>
      <w:r>
        <w:rPr>
          <w:rFonts w:hint="eastAsia" w:ascii="宋体" w:hAnsi="宋体" w:cs="宋体"/>
          <w:b/>
          <w:bCs/>
          <w:color w:val="auto"/>
          <w:highlight w:val="none"/>
          <w:lang w:val="en-US" w:eastAsia="zh-CN"/>
        </w:rPr>
        <w:t xml:space="preserve">2</w:t>
      </w:r>
      <w:r>
        <w:rPr>
          <w:rFonts w:ascii="宋体" w:hAnsi="宋体" w:cs="??"/>
          <w:b/>
          <w:bCs/>
          <w:color w:val="auto"/>
          <w:highlight w:val="none"/>
        </w:rPr>
        <w:t xml:space="preserve">0</w:t>
      </w:r>
      <w:r>
        <w:rPr>
          <w:rFonts w:hint="eastAsia" w:ascii="宋体" w:hAnsi="宋体" w:cs="宋体"/>
          <w:b/>
          <w:bCs/>
          <w:color w:val="auto"/>
          <w:highlight w:val="none"/>
        </w:rPr>
        <w:t xml:space="preserve">分</w:t>
      </w:r>
      <w:r/>
    </w:p>
    <w:p>
      <w:pPr>
        <w:pStyle w:val="1010"/>
        <w:ind w:firstLine="439"/>
        <w:spacing w:before="0" w:after="0" w:line="480" w:lineRule="exact"/>
        <w:rPr>
          <w:rFonts w:ascii="宋体" w:hAnsi="宋体"/>
          <w:color w:val="auto"/>
          <w:highlight w:val="none"/>
        </w:rPr>
      </w:pPr>
      <w:r>
        <w:rPr>
          <w:rFonts w:hint="eastAsia" w:ascii="宋体" w:hAnsi="宋体" w:cs="宋体"/>
          <w:color w:val="auto"/>
          <w:highlight w:val="none"/>
        </w:rPr>
        <w:t xml:space="preserve">价格分统一采用低价优先法计算，即满足招标文件要求且投标价格最低的投标报价为评标基准价，其价格分为满分。其他投标方的价格分统一按照下列公式计算：</w:t>
      </w:r>
      <w:r/>
    </w:p>
    <w:p>
      <w:pPr>
        <w:pStyle w:val="1010"/>
        <w:ind w:firstLine="439"/>
        <w:spacing w:before="0" w:after="0" w:line="480" w:lineRule="exact"/>
        <w:rPr>
          <w:rFonts w:ascii="宋体" w:hAnsi="宋体"/>
          <w:color w:val="auto"/>
          <w:highlight w:val="none"/>
        </w:rPr>
      </w:pPr>
      <w:r>
        <w:rPr>
          <w:rFonts w:hint="eastAsia" w:ascii="宋体" w:hAnsi="宋体" w:cs="宋体"/>
          <w:color w:val="auto"/>
          <w:highlight w:val="none"/>
        </w:rPr>
        <w:t xml:space="preserve">投标报价得分</w:t>
      </w:r>
      <w:r>
        <w:rPr>
          <w:rFonts w:ascii="宋体" w:hAnsi="宋体" w:cs="??"/>
          <w:color w:val="auto"/>
          <w:highlight w:val="none"/>
        </w:rPr>
        <w:t xml:space="preserve">=</w:t>
      </w:r>
      <w:r>
        <w:rPr>
          <w:rFonts w:hint="eastAsia" w:ascii="宋体" w:hAnsi="宋体" w:cs="宋体"/>
          <w:color w:val="auto"/>
          <w:highlight w:val="none"/>
        </w:rPr>
        <w:t xml:space="preserve">（评标基准价</w:t>
      </w:r>
      <w:r>
        <w:rPr>
          <w:rFonts w:ascii="宋体" w:hAnsi="宋体" w:cs="??"/>
          <w:color w:val="auto"/>
          <w:highlight w:val="none"/>
        </w:rPr>
        <w:t xml:space="preserve">/</w:t>
      </w:r>
      <w:r>
        <w:rPr>
          <w:rFonts w:hint="eastAsia" w:ascii="宋体" w:hAnsi="宋体" w:cs="宋体"/>
          <w:color w:val="auto"/>
          <w:highlight w:val="none"/>
        </w:rPr>
        <w:t xml:space="preserve">投标报价）</w:t>
      </w:r>
      <w:r>
        <w:rPr>
          <w:rFonts w:ascii="宋体" w:hAnsi="宋体" w:cs="??"/>
          <w:color w:val="auto"/>
          <w:highlight w:val="none"/>
        </w:rPr>
        <w:t xml:space="preserve">×</w:t>
      </w:r>
      <w:r>
        <w:rPr>
          <w:rFonts w:hint="eastAsia" w:ascii="宋体" w:hAnsi="宋体" w:cs="宋体"/>
          <w:color w:val="auto"/>
          <w:highlight w:val="none"/>
        </w:rPr>
        <w:t xml:space="preserve">价格权值</w:t>
      </w:r>
      <w:r>
        <w:rPr>
          <w:rFonts w:ascii="宋体" w:hAnsi="宋体" w:cs="??"/>
          <w:color w:val="auto"/>
          <w:highlight w:val="none"/>
        </w:rPr>
        <w:t xml:space="preserve">×100</w:t>
      </w:r>
      <w:r/>
    </w:p>
    <w:p>
      <w:pPr>
        <w:pStyle w:val="1010"/>
        <w:ind w:firstLine="439"/>
        <w:spacing w:before="0" w:after="0" w:line="480" w:lineRule="exact"/>
        <w:rPr>
          <w:rFonts w:ascii="宋体" w:hAnsi="宋体" w:cs="??"/>
          <w:b/>
          <w:bCs/>
          <w:color w:val="auto"/>
          <w:highlight w:val="none"/>
        </w:rPr>
      </w:pPr>
      <w:r>
        <w:rPr>
          <w:rFonts w:hint="eastAsia" w:ascii="宋体" w:hAnsi="宋体" w:cs="宋体"/>
          <w:b/>
          <w:bCs/>
          <w:color w:val="auto"/>
          <w:sz w:val="24"/>
          <w:szCs w:val="24"/>
          <w:highlight w:val="none"/>
        </w:rPr>
        <w:t xml:space="preserve">注</w:t>
      </w:r>
      <w:r>
        <w:rPr>
          <w:rFonts w:ascii="宋体" w:hAnsi="宋体" w:cs="??"/>
          <w:b/>
          <w:bCs/>
          <w:color w:val="auto"/>
          <w:sz w:val="24"/>
          <w:szCs w:val="24"/>
          <w:highlight w:val="none"/>
        </w:rPr>
        <w:t xml:space="preserve">1</w:t>
      </w:r>
      <w:r>
        <w:rPr>
          <w:rFonts w:hint="eastAsia" w:ascii="宋体" w:hAnsi="宋体" w:cs="宋体"/>
          <w:b/>
          <w:bCs/>
          <w:color w:val="auto"/>
          <w:sz w:val="24"/>
          <w:szCs w:val="24"/>
          <w:highlight w:val="none"/>
        </w:rPr>
        <w:t xml:space="preserve">：</w:t>
      </w:r>
      <w:r>
        <w:rPr>
          <w:rFonts w:hint="eastAsia" w:ascii="宋体" w:hAnsi="宋体" w:cs="宋体"/>
          <w:b/>
          <w:bCs/>
          <w:color w:val="auto"/>
          <w:highlight w:val="none"/>
        </w:rPr>
        <w:t xml:space="preserve">政府采购异常低价审查</w:t>
      </w:r>
      <w:r/>
    </w:p>
    <w:p>
      <w:pPr>
        <w:pStyle w:val="1010"/>
        <w:ind w:firstLine="439"/>
        <w:spacing w:before="0" w:after="0" w:line="480" w:lineRule="exact"/>
        <w:rPr>
          <w:rFonts w:ascii="宋体" w:hAnsi="宋体" w:cs="??"/>
          <w:color w:val="auto"/>
          <w:highlight w:val="none"/>
        </w:rPr>
      </w:pPr>
      <w:r>
        <w:rPr>
          <w:rFonts w:hint="eastAsia" w:ascii="宋体" w:hAnsi="宋体" w:cs="宋体"/>
          <w:color w:val="auto"/>
          <w:highlight w:val="none"/>
        </w:rPr>
        <w:t xml:space="preserve">（一）评审中出现下列情形之一的，评审委员会应当启动异常低价投标（响应）审查程序：</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ascii="宋体" w:hAnsi="宋体" w:cs="??"/>
          <w:color w:val="auto"/>
          <w:highlight w:val="none"/>
        </w:rPr>
        <w:t xml:space="preserve">1.</w:t>
      </w:r>
      <w:r>
        <w:rPr>
          <w:rFonts w:hint="eastAsia" w:ascii="宋体" w:hAnsi="宋体" w:cs="宋体"/>
          <w:color w:val="auto"/>
          <w:highlight w:val="none"/>
        </w:rPr>
        <w:t xml:space="preserve">投标（响应）报价低于全部通过符合性审查供应商投标（响应）报价平均值</w:t>
      </w:r>
      <w:r>
        <w:rPr>
          <w:rFonts w:ascii="宋体" w:hAnsi="宋体" w:cs="??"/>
          <w:color w:val="auto"/>
          <w:highlight w:val="none"/>
        </w:rPr>
        <w:t xml:space="preserve">50%</w:t>
      </w:r>
      <w:r>
        <w:rPr>
          <w:rFonts w:hint="eastAsia" w:ascii="宋体" w:hAnsi="宋体" w:cs="宋体"/>
          <w:color w:val="auto"/>
          <w:highlight w:val="none"/>
        </w:rPr>
        <w:t xml:space="preserve">的，即投标（响应）报价</w:t>
      </w:r>
      <w:r>
        <w:rPr>
          <w:rFonts w:ascii="宋体" w:hAnsi="宋体" w:cs="??"/>
          <w:color w:val="auto"/>
          <w:highlight w:val="none"/>
        </w:rPr>
        <w:t xml:space="preserve">&lt;</w:t>
      </w:r>
      <w:r>
        <w:rPr>
          <w:rFonts w:hint="eastAsia" w:ascii="宋体" w:hAnsi="宋体" w:cs="宋体"/>
          <w:color w:val="auto"/>
          <w:highlight w:val="none"/>
        </w:rPr>
        <w:t xml:space="preserve">全部通过符合性审查供应商投标（响应）报价平均值</w:t>
      </w:r>
      <w:r>
        <w:rPr>
          <w:rFonts w:ascii="宋体" w:hAnsi="宋体" w:cs="??"/>
          <w:color w:val="auto"/>
          <w:highlight w:val="none"/>
        </w:rPr>
        <w:t xml:space="preserve">×50%</w:t>
      </w:r>
      <w:r>
        <w:rPr>
          <w:rFonts w:hint="eastAsia" w:ascii="宋体" w:hAnsi="宋体" w:cs="宋体"/>
          <w:color w:val="auto"/>
          <w:highlight w:val="none"/>
        </w:rPr>
        <w:t xml:space="preserve">；</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ascii="宋体" w:hAnsi="宋体" w:cs="??"/>
          <w:color w:val="auto"/>
          <w:highlight w:val="none"/>
        </w:rPr>
        <w:t xml:space="preserve">2.</w:t>
      </w:r>
      <w:r>
        <w:rPr>
          <w:rFonts w:hint="eastAsia" w:ascii="宋体" w:hAnsi="宋体" w:cs="宋体"/>
          <w:color w:val="auto"/>
          <w:highlight w:val="none"/>
        </w:rPr>
        <w:t xml:space="preserve">投标（响应）报价低于通过符合性审查的次低报价供应商投标（响应）报价</w:t>
      </w:r>
      <w:r>
        <w:rPr>
          <w:rFonts w:ascii="宋体" w:hAnsi="宋体" w:cs="??"/>
          <w:color w:val="auto"/>
          <w:highlight w:val="none"/>
        </w:rPr>
        <w:t xml:space="preserve">50%</w:t>
      </w:r>
      <w:r>
        <w:rPr>
          <w:rFonts w:hint="eastAsia" w:ascii="宋体" w:hAnsi="宋体" w:cs="宋体"/>
          <w:color w:val="auto"/>
          <w:highlight w:val="none"/>
        </w:rPr>
        <w:t xml:space="preserve">的，即投标（响应）报价</w:t>
      </w:r>
      <w:r>
        <w:rPr>
          <w:rFonts w:ascii="宋体" w:hAnsi="宋体" w:cs="??"/>
          <w:color w:val="auto"/>
          <w:highlight w:val="none"/>
        </w:rPr>
        <w:t xml:space="preserve">&lt;</w:t>
      </w:r>
      <w:r>
        <w:rPr>
          <w:rFonts w:hint="eastAsia" w:ascii="宋体" w:hAnsi="宋体" w:cs="宋体"/>
          <w:color w:val="auto"/>
          <w:highlight w:val="none"/>
        </w:rPr>
        <w:t xml:space="preserve">通过符合性审查的次低报价供应商投标（响应）报价</w:t>
      </w:r>
      <w:r>
        <w:rPr>
          <w:rFonts w:ascii="宋体" w:hAnsi="宋体" w:cs="??"/>
          <w:color w:val="auto"/>
          <w:highlight w:val="none"/>
        </w:rPr>
        <w:t xml:space="preserve">×50%</w:t>
      </w:r>
      <w:r>
        <w:rPr>
          <w:rFonts w:hint="eastAsia" w:ascii="宋体" w:hAnsi="宋体" w:cs="宋体"/>
          <w:color w:val="auto"/>
          <w:highlight w:val="none"/>
        </w:rPr>
        <w:t xml:space="preserve">；</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ascii="宋体" w:hAnsi="宋体" w:cs="??"/>
          <w:color w:val="auto"/>
          <w:highlight w:val="none"/>
        </w:rPr>
        <w:t xml:space="preserve">3.</w:t>
      </w:r>
      <w:r>
        <w:rPr>
          <w:rFonts w:hint="eastAsia" w:ascii="宋体" w:hAnsi="宋体" w:cs="宋体"/>
          <w:color w:val="auto"/>
          <w:highlight w:val="none"/>
        </w:rPr>
        <w:t xml:space="preserve">投标（响应）报价低于采购项目最高限价</w:t>
      </w:r>
      <w:r>
        <w:rPr>
          <w:rFonts w:ascii="宋体" w:hAnsi="宋体" w:cs="??"/>
          <w:color w:val="auto"/>
          <w:highlight w:val="none"/>
        </w:rPr>
        <w:t xml:space="preserve">45%</w:t>
      </w:r>
      <w:r>
        <w:rPr>
          <w:rFonts w:hint="eastAsia" w:ascii="宋体" w:hAnsi="宋体" w:cs="宋体"/>
          <w:color w:val="auto"/>
          <w:highlight w:val="none"/>
        </w:rPr>
        <w:t xml:space="preserve">的，即投标（响应）报价</w:t>
      </w:r>
      <w:r>
        <w:rPr>
          <w:rFonts w:ascii="宋体" w:hAnsi="宋体" w:cs="??"/>
          <w:color w:val="auto"/>
          <w:highlight w:val="none"/>
        </w:rPr>
        <w:t xml:space="preserve">&lt;</w:t>
      </w:r>
      <w:r>
        <w:rPr>
          <w:rFonts w:hint="eastAsia" w:ascii="宋体" w:hAnsi="宋体" w:cs="宋体"/>
          <w:color w:val="auto"/>
          <w:highlight w:val="none"/>
        </w:rPr>
        <w:t xml:space="preserve">采购项目最高限价</w:t>
      </w:r>
      <w:r>
        <w:rPr>
          <w:rFonts w:ascii="宋体" w:hAnsi="宋体" w:cs="??"/>
          <w:color w:val="auto"/>
          <w:highlight w:val="none"/>
        </w:rPr>
        <w:t xml:space="preserve">×45%</w:t>
      </w:r>
      <w:r>
        <w:rPr>
          <w:rFonts w:hint="eastAsia" w:ascii="宋体" w:hAnsi="宋体" w:cs="宋体"/>
          <w:color w:val="auto"/>
          <w:highlight w:val="none"/>
        </w:rPr>
        <w:t xml:space="preserve">；</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ascii="宋体" w:hAnsi="宋体" w:cs="??"/>
          <w:color w:val="auto"/>
          <w:highlight w:val="none"/>
        </w:rPr>
        <w:t xml:space="preserve">4.</w:t>
      </w:r>
      <w:r>
        <w:rPr>
          <w:rFonts w:hint="eastAsia" w:ascii="宋体" w:hAnsi="宋体" w:cs="宋体"/>
          <w:color w:val="auto"/>
          <w:highlight w:val="none"/>
        </w:rPr>
        <w:t xml:space="preserve">评审委员会基于专业判断，认为供应商报价过低，有可能影响产品质量或者不能诚信履约的其他情形。</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hint="eastAsia" w:ascii="宋体" w:hAnsi="宋体" w:cs="宋体"/>
          <w:color w:val="auto"/>
          <w:highlight w:val="none"/>
        </w:rPr>
        <w:t xml:space="preserve">（二）评审委员会启动异常低价投标（响应）审查后，属于前述第</w:t>
      </w:r>
      <w:r>
        <w:rPr>
          <w:rFonts w:ascii="宋体" w:hAnsi="宋体" w:cs="??"/>
          <w:color w:val="auto"/>
          <w:highlight w:val="none"/>
        </w:rPr>
        <w:t xml:space="preserve">1</w:t>
      </w:r>
      <w:r>
        <w:rPr>
          <w:rFonts w:hint="eastAsia" w:ascii="宋体" w:hAnsi="宋体" w:cs="宋体"/>
          <w:color w:val="auto"/>
          <w:highlight w:val="none"/>
        </w:rPr>
        <w:t xml:space="preserve">项至第</w:t>
      </w:r>
      <w:r>
        <w:rPr>
          <w:rFonts w:ascii="宋体" w:hAnsi="宋体" w:cs="??"/>
          <w:color w:val="auto"/>
          <w:highlight w:val="none"/>
        </w:rPr>
        <w:t xml:space="preserve">4</w:t>
      </w:r>
      <w:r>
        <w:rPr>
          <w:rFonts w:hint="eastAsia" w:ascii="宋体" w:hAnsi="宋体" w:cs="宋体"/>
          <w:color w:val="auto"/>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
          <w:color w:val="auto"/>
          <w:highlight w:val="none"/>
        </w:rPr>
        <w:t xml:space="preserve">30</w:t>
      </w:r>
      <w:r>
        <w:rPr>
          <w:rFonts w:hint="eastAsia" w:ascii="宋体" w:hAnsi="宋体" w:cs="宋体"/>
          <w:color w:val="auto"/>
          <w:highlight w:val="none"/>
        </w:rPr>
        <w:t xml:space="preserve">分钟。其中，属于第</w:t>
      </w:r>
      <w:r>
        <w:rPr>
          <w:rFonts w:ascii="宋体" w:hAnsi="宋体" w:cs="??"/>
          <w:color w:val="auto"/>
          <w:highlight w:val="none"/>
        </w:rPr>
        <w:t xml:space="preserve">3</w:t>
      </w:r>
      <w:r>
        <w:rPr>
          <w:rFonts w:hint="eastAsia" w:ascii="宋体" w:hAnsi="宋体" w:cs="宋体"/>
          <w:color w:val="auto"/>
          <w:highlight w:val="none"/>
        </w:rPr>
        <w:t xml:space="preserve">项情形，供应商已随投标（响应）文件一并提交相关书面说明及必要的证明材料的，在评审现场可不再重复提交。</w:t>
      </w:r>
      <w:r>
        <w:rPr>
          <w:rFonts w:ascii="宋体" w:hAnsi="宋体" w:cs="??"/>
          <w:color w:val="auto"/>
          <w:highlight w:val="none"/>
        </w:rPr>
        <w:t xml:space="preserve"> </w:t>
      </w:r>
      <w:r/>
    </w:p>
    <w:p>
      <w:pPr>
        <w:ind w:firstLine="480"/>
        <w:spacing w:line="480" w:lineRule="exact"/>
        <w:rPr>
          <w:rFonts w:ascii="宋体" w:hAnsi="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57"/>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cs="Arial"/>
          <w:color w:val="auto"/>
          <w:highlight w:val="none"/>
        </w:rPr>
      </w:pPr>
      <w:r>
        <w:rPr>
          <w:rFonts w:cs="Arial"/>
          <w:color w:val="auto"/>
          <w:highlight w:val="none"/>
        </w:rPr>
        <w:br w:type="page" w:clear="all"/>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2"/>
        <w:rPr>
          <w:rFonts w:hint="eastAsia" w:ascii="黑体" w:eastAsia="黑体"/>
          <w:bCs/>
          <w:color w:val="auto"/>
          <w:sz w:val="44"/>
          <w:highlight w:val="none"/>
        </w:rPr>
      </w:pPr>
      <w:r>
        <w:rPr>
          <w:rFonts w:hint="eastAsia" w:ascii="黑体" w:eastAsia="黑体"/>
          <w:bCs/>
          <w:color w:val="auto"/>
          <w:sz w:val="44"/>
          <w:highlight w:val="none"/>
        </w:rPr>
        <w:t xml:space="preserve">第六章  投标</w:t>
      </w:r>
      <w:bookmarkEnd w:id="196"/>
      <w:r/>
      <w:bookmarkEnd w:id="197"/>
      <w:r/>
      <w:bookmarkEnd w:id="198"/>
      <w:r>
        <w:rPr>
          <w:rFonts w:hint="eastAsia" w:ascii="黑体" w:eastAsia="黑体"/>
          <w:bCs/>
          <w:color w:val="auto"/>
          <w:sz w:val="44"/>
          <w:highlight w:val="none"/>
        </w:rPr>
        <w:t xml:space="preserve">文件格式 </w:t>
      </w:r>
      <w:r/>
    </w:p>
    <w:p>
      <w:pPr>
        <w:jc w:val="center"/>
        <w:rPr>
          <w:rFonts w:hint="eastAsia" w:ascii="宋体" w:hAnsi="宋体"/>
          <w:b/>
          <w:color w:val="auto"/>
          <w:sz w:val="72"/>
          <w:highlight w:val="none"/>
        </w:rPr>
      </w:pPr>
      <w:r/>
      <w:bookmarkStart w:id="199" w:name="_Hlt26671244"/>
      <w:r/>
      <w:bookmarkEnd w:id="199"/>
      <w:r/>
      <w:bookmarkStart w:id="200" w:name="_Hlt26955039"/>
      <w:r/>
      <w:bookmarkEnd w:id="200"/>
      <w:r/>
      <w:bookmarkStart w:id="201" w:name="_Toc49090576"/>
      <w:r/>
      <w:bookmarkStart w:id="202" w:name="_Toc120614282"/>
      <w:r/>
      <w:bookmarkStart w:id="203" w:name="_Toc26554094"/>
      <w:r/>
      <w:r/>
    </w:p>
    <w:p>
      <w:pPr>
        <w:jc w:val="center"/>
        <w:rPr>
          <w:rFonts w:hint="eastAsia" w:ascii="宋体" w:hAnsi="宋体"/>
          <w:b/>
          <w:color w:val="auto"/>
          <w:sz w:val="36"/>
          <w:highlight w:val="none"/>
        </w:rPr>
        <w:outlineLvl w:val="1"/>
      </w:pPr>
      <w:r>
        <w:rPr>
          <w:rFonts w:hint="eastAsia" w:ascii="宋体" w:hAnsi="宋体"/>
          <w:b/>
          <w:color w:val="auto"/>
          <w:sz w:val="36"/>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投标人名称 ：（加盖CA电子公章）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ind w:firstLine="1084"/>
        <w:rPr>
          <w:rFonts w:ascii="宋体" w:hAnsi="宋体"/>
          <w:b/>
          <w:bCs/>
          <w:color w:val="auto"/>
          <w:sz w:val="32"/>
          <w:szCs w:val="32"/>
          <w:highlight w:val="none"/>
        </w:rPr>
      </w:pPr>
      <w:r>
        <w:rPr>
          <w:rFonts w:ascii="宋体" w:hAnsi="宋体"/>
          <w:b/>
          <w:color w:val="auto"/>
          <w:sz w:val="36"/>
          <w:highlight w:val="none"/>
          <w:u w:val="single"/>
        </w:rPr>
        <w:br w:type="page" w:clear="all"/>
      </w:r>
      <w:r/>
    </w:p>
    <w:p>
      <w:pPr>
        <w:jc w:val="center"/>
        <w:rPr>
          <w:rFonts w:hint="eastAsia" w:ascii="宋体" w:hAnsi="宋体"/>
          <w:b/>
          <w:color w:val="auto"/>
          <w:sz w:val="36"/>
          <w:highlight w:val="none"/>
        </w:rPr>
        <w:outlineLvl w:val="1"/>
      </w:pPr>
      <w:r>
        <w:rPr>
          <w:rFonts w:hint="eastAsia" w:ascii="宋体" w:hAnsi="宋体"/>
          <w:b/>
          <w:color w:val="auto"/>
          <w:sz w:val="36"/>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一、法人或者其他组织的营业执照等证明文件，自然人的身份证明</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二、上一年度的财务状况报告（投标人成立不满一年无需提供）</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四、具备履行合同所必需的设备和专业技术能力的书面声明</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七、法人授权书</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八、投标函</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九、小微企业声明函</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十、残疾人福利性单位声明函</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十一、投标分项报价表</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十二、技术要求响应及偏离表</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十三、商务要求响应及偏离表</w:t>
      </w:r>
      <w:r/>
    </w:p>
    <w:p>
      <w:pPr>
        <w:ind w:firstLine="480"/>
        <w:spacing w:line="44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十四、</w:t>
      </w:r>
      <w:r>
        <w:rPr>
          <w:rFonts w:hint="eastAsia" w:ascii="宋体" w:hAnsi="宋体"/>
          <w:i/>
          <w:color w:val="auto"/>
          <w:sz w:val="24"/>
          <w:highlight w:val="none"/>
          <w:u w:val="single"/>
        </w:rPr>
        <w:t xml:space="preserve">开标一览表</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投标人成立不满一年不需提供</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三、依法缴纳税收和社会保障资金的相关材料</w:t>
      </w:r>
      <w:bookmarkEnd w:id="201"/>
      <w:r/>
      <w:bookmarkEnd w:id="202"/>
      <w:r/>
      <w:bookmarkEnd w:id="203"/>
      <w:r/>
      <w:r/>
    </w:p>
    <w:p>
      <w:pPr>
        <w:ind w:firstLine="480"/>
        <w:rPr>
          <w:rFonts w:hint="eastAsia" w:ascii="宋体" w:hAnsi="宋体"/>
          <w:bCs/>
          <w:color w:val="auto"/>
          <w:sz w:val="24"/>
          <w:highlight w:val="none"/>
        </w:rPr>
      </w:pPr>
      <w:r/>
      <w:bookmarkStart w:id="204" w:name="_Toc120614284"/>
      <w:r>
        <w:rPr>
          <w:rFonts w:hint="eastAsia" w:ascii="宋体" w:hAnsi="宋体"/>
          <w:bCs/>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764"/>
        <w:ind w:firstLine="0"/>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如果本项目申请人的特定资格要求中要求提供的，必须提供。</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七、法人授权书</w:t>
      </w:r>
      <w:r/>
    </w:p>
    <w:p>
      <w:pPr>
        <w:pStyle w:val="1008"/>
        <w:ind w:firstLine="480"/>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pStyle w:val="1008"/>
        <w:ind w:firstLine="480"/>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1008"/>
        <w:ind w:firstLine="0"/>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08"/>
        <w:ind w:firstLine="0"/>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08"/>
        <w:ind w:firstLine="1200"/>
        <w:rPr>
          <w:rFonts w:hint="eastAsia"/>
          <w:color w:val="auto"/>
          <w:sz w:val="24"/>
          <w:szCs w:val="24"/>
          <w:highlight w:val="none"/>
        </w:rPr>
        <w:outlineLvl w:val="2"/>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1008"/>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08"/>
        <w:ind w:firstLine="480"/>
        <w:rPr>
          <w:rFonts w:hint="eastAsia"/>
          <w:color w:val="auto"/>
          <w:sz w:val="24"/>
          <w:szCs w:val="24"/>
          <w:highlight w:val="none"/>
        </w:rPr>
      </w:pPr>
      <w:r>
        <w:rPr>
          <w:rFonts w:hint="eastAsia"/>
          <w:color w:val="auto"/>
          <w:sz w:val="24"/>
          <w:szCs w:val="24"/>
          <w:highlight w:val="none"/>
        </w:rPr>
        <w:t xml:space="preserve">      日期：</w:t>
      </w:r>
      <w:bookmarkStart w:id="205" w:name="_Hlt26955070"/>
      <w:r/>
      <w:bookmarkEnd w:id="205"/>
      <w:r/>
      <w:bookmarkStart w:id="206" w:name="_Hlt26671380"/>
      <w:r/>
      <w:bookmarkEnd w:id="206"/>
      <w:r/>
      <w:bookmarkStart w:id="207" w:name="_格式3__银行出具的资信证明"/>
      <w:r/>
      <w:bookmarkEnd w:id="207"/>
      <w:r>
        <w:rPr>
          <w:rFonts w:hint="eastAsia"/>
          <w:color w:val="auto"/>
          <w:sz w:val="24"/>
          <w:szCs w:val="24"/>
          <w:highlight w:val="none"/>
          <w:u w:val="single"/>
        </w:rPr>
        <w:t xml:space="preserve">                                         </w:t>
      </w:r>
      <w:r/>
    </w:p>
    <w:p>
      <w:pPr>
        <w:pStyle w:val="764"/>
        <w:rPr>
          <w:rFonts w:hint="eastAsia"/>
          <w:i/>
          <w:color w:val="auto"/>
          <w:sz w:val="24"/>
          <w:szCs w:val="24"/>
          <w:highlight w:val="none"/>
          <w:u w:val="single"/>
        </w:rPr>
      </w:pPr>
      <w:r>
        <w:rPr>
          <w:rFonts w:hint="eastAsia"/>
          <w:i/>
          <w:color w:val="auto"/>
          <w:sz w:val="24"/>
          <w:szCs w:val="24"/>
          <w:highlight w:val="none"/>
          <w:u w:val="single"/>
        </w:rPr>
      </w:r>
      <w:r/>
    </w:p>
    <w:p>
      <w:pPr>
        <w:pStyle w:val="764"/>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ind w:firstLine="360"/>
        <w:spacing w:line="460" w:lineRule="exact"/>
        <w:rPr>
          <w:rFonts w:hint="eastAsia" w:ascii="楷体" w:hAnsi="楷体" w:eastAsia="楷体"/>
          <w:bCs/>
          <w:color w:val="auto"/>
          <w:sz w:val="24"/>
          <w:szCs w:val="24"/>
          <w:highlight w:val="none"/>
        </w:rPr>
      </w:pPr>
      <w:r>
        <w:rPr>
          <w:rFonts w:hint="eastAsia" w:ascii="楷体" w:hAnsi="楷体" w:eastAsia="楷体"/>
          <w:color w:val="auto"/>
          <w:sz w:val="24"/>
          <w:szCs w:val="24"/>
          <w:highlight w:val="none"/>
        </w:rPr>
        <w:t xml:space="preserve">备注 我公司（单位）委托进行现场演示的人员为（本项目如果无现场演示要求，请项目经办人自行删除该备注）</w:t>
      </w:r>
      <w:r/>
    </w:p>
    <w:p>
      <w:pPr>
        <w:spacing w:line="460" w:lineRule="exact"/>
        <w:rPr>
          <w:rFonts w:ascii="楷体" w:hAnsi="楷体" w:eastAsia="楷体"/>
          <w:color w:val="auto"/>
          <w:sz w:val="24"/>
          <w:szCs w:val="24"/>
          <w:highlight w:val="none"/>
        </w:rPr>
      </w:pPr>
      <w:r>
        <w:rPr>
          <w:rFonts w:hint="eastAsia" w:ascii="楷体" w:hAnsi="楷体" w:eastAsia="楷体"/>
          <w:bCs/>
          <w:color w:val="auto"/>
          <w:sz w:val="24"/>
          <w:szCs w:val="24"/>
          <w:highlight w:val="none"/>
        </w:rPr>
        <w:t xml:space="preserve">     </w:t>
      </w:r>
      <w:r>
        <w:rPr>
          <w:rFonts w:hint="eastAsia" w:ascii="楷体" w:hAnsi="楷体" w:eastAsia="楷体"/>
          <w:color w:val="auto"/>
          <w:sz w:val="24"/>
          <w:szCs w:val="24"/>
          <w:highlight w:val="none"/>
        </w:rPr>
        <w:t xml:space="preserve">   </w:t>
      </w:r>
      <w:r>
        <w:rPr>
          <w:rFonts w:hint="eastAsia" w:ascii="楷体" w:hAnsi="楷体" w:eastAsia="楷体"/>
          <w:color w:val="auto"/>
          <w:sz w:val="24"/>
          <w:szCs w:val="24"/>
          <w:highlight w:val="none"/>
          <w:u w:val="single"/>
        </w:rPr>
        <w:t xml:space="preserve">（人员姓名）</w:t>
      </w:r>
      <w:r>
        <w:rPr>
          <w:rFonts w:hint="eastAsia" w:ascii="楷体" w:hAnsi="楷体" w:eastAsia="楷体"/>
          <w:color w:val="auto"/>
          <w:sz w:val="24"/>
          <w:szCs w:val="24"/>
          <w:highlight w:val="none"/>
        </w:rPr>
        <w:t xml:space="preserve">，身份证号</w:t>
      </w:r>
      <w:r>
        <w:rPr>
          <w:rFonts w:hint="eastAsia" w:ascii="楷体" w:hAnsi="楷体" w:eastAsia="楷体"/>
          <w:color w:val="auto"/>
          <w:sz w:val="24"/>
          <w:szCs w:val="24"/>
          <w:highlight w:val="none"/>
          <w:u w:val="single"/>
        </w:rPr>
        <w:t xml:space="preserve">          </w:t>
      </w:r>
      <w:r>
        <w:rPr>
          <w:rFonts w:hint="eastAsia" w:ascii="楷体" w:hAnsi="楷体" w:eastAsia="楷体"/>
          <w:color w:val="auto"/>
          <w:sz w:val="24"/>
          <w:szCs w:val="24"/>
          <w:highlight w:val="none"/>
        </w:rPr>
        <w:t xml:space="preserve">。</w:t>
      </w:r>
      <w:r/>
    </w:p>
    <w:p>
      <w:pPr>
        <w:spacing w:line="460" w:lineRule="exact"/>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        </w:t>
      </w:r>
      <w:r>
        <w:rPr>
          <w:rFonts w:ascii="楷体" w:hAnsi="楷体" w:eastAsia="楷体"/>
          <w:color w:val="auto"/>
          <w:sz w:val="24"/>
          <w:szCs w:val="24"/>
          <w:highlight w:val="none"/>
        </w:rPr>
        <w:t xml:space="preserve">……</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753"/>
        <w:ind w:firstLine="3390"/>
        <w:jc w:val="both"/>
        <w:rPr>
          <w:rFonts w:ascii="黑体" w:hAnsi="黑体" w:eastAsia="黑体" w:cs="Times New Roman"/>
          <w:bCs w:val="0"/>
          <w:i/>
          <w:color w:val="auto"/>
          <w:sz w:val="32"/>
          <w:szCs w:val="32"/>
          <w:highlight w:val="none"/>
          <w:u w:val="single"/>
        </w:rPr>
      </w:pPr>
      <w:r>
        <w:rPr>
          <w:rFonts w:ascii="宋体" w:hAnsi="宋体"/>
          <w:bCs w:val="0"/>
          <w:color w:val="auto"/>
          <w:sz w:val="24"/>
          <w:highlight w:val="none"/>
        </w:rPr>
        <w:br w:type="page" w:clear="all"/>
      </w:r>
      <w:r>
        <w:rPr>
          <w:rFonts w:hint="eastAsia" w:ascii="黑体" w:hAnsi="黑体" w:eastAsia="黑体"/>
          <w:bCs w:val="0"/>
          <w:i/>
          <w:color w:val="auto"/>
          <w:sz w:val="32"/>
          <w:szCs w:val="32"/>
          <w:highlight w:val="none"/>
          <w:u w:val="single"/>
        </w:rPr>
        <w:t xml:space="preserve">八、</w:t>
      </w:r>
      <w:r>
        <w:rPr>
          <w:rFonts w:hint="eastAsia" w:ascii="黑体" w:hAnsi="黑体" w:eastAsia="黑体" w:cs="Times New Roman"/>
          <w:bCs w:val="0"/>
          <w:i/>
          <w:color w:val="auto"/>
          <w:sz w:val="32"/>
          <w:szCs w:val="32"/>
          <w:highlight w:val="none"/>
          <w:u w:val="single"/>
        </w:rPr>
        <w:t xml:space="preserve">投标函</w:t>
      </w:r>
      <w:r/>
    </w:p>
    <w:p>
      <w:pPr>
        <w:pStyle w:val="1010"/>
        <w:ind w:firstLine="0"/>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南通市通州区公共资源交易中心</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320000-***</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10"/>
        <w:spacing w:before="0" w:after="0" w:line="420" w:lineRule="exact"/>
        <w:rPr>
          <w:rFonts w:hint="eastAsia" w:ascii="宋体" w:hAnsi="宋体"/>
          <w:color w:val="auto"/>
          <w:szCs w:val="21"/>
          <w:highlight w:val="none"/>
        </w:rPr>
        <w:outlineLvl w:val="2"/>
      </w:pPr>
      <w:r>
        <w:rPr>
          <w:rFonts w:hint="eastAsia" w:ascii="宋体" w:hAnsi="宋体"/>
          <w:color w:val="auto"/>
          <w:szCs w:val="21"/>
          <w:highlight w:val="none"/>
        </w:rPr>
        <w:t xml:space="preserve">2.我们完全理解贵方不一定将合同授予最低报价的投标人。</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10"/>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10"/>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1010"/>
        <w:spacing w:before="0" w:after="0" w:line="420" w:lineRule="exact"/>
        <w:rPr>
          <w:rFonts w:hint="eastAsia" w:ascii="宋体" w:hAnsi="宋体"/>
          <w:color w:val="auto"/>
          <w:szCs w:val="21"/>
          <w:highlight w:val="none"/>
        </w:rPr>
        <w:outlineLvl w:val="2"/>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1010"/>
        <w:ind w:left="420"/>
        <w:spacing w:before="0" w:after="0" w:line="420" w:lineRule="exact"/>
        <w:rPr>
          <w:rFonts w:hint="eastAsia" w:ascii="宋体" w:hAnsi="宋体"/>
          <w:color w:val="auto"/>
          <w:szCs w:val="21"/>
          <w:highlight w:val="none"/>
        </w:rPr>
        <w:outlineLvl w:val="1"/>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hint="eastAsia" w:ascii="黑体" w:hAnsi="黑体" w:eastAsia="黑体"/>
          <w:b/>
          <w:i/>
          <w:iCs/>
          <w:color w:val="auto"/>
          <w:sz w:val="32"/>
          <w:szCs w:val="32"/>
          <w:highlight w:val="none"/>
          <w:u w:val="single"/>
        </w:rPr>
        <w:outlineLvl w:val="1"/>
      </w:pPr>
      <w:r>
        <w:rPr>
          <w:rFonts w:hint="eastAsia" w:ascii="黑体" w:hAnsi="黑体" w:eastAsia="黑体"/>
          <w:b/>
          <w:i/>
          <w:iCs/>
          <w:color w:val="auto"/>
          <w:sz w:val="32"/>
          <w:szCs w:val="32"/>
          <w:highlight w:val="none"/>
          <w:u w:val="single"/>
        </w:rPr>
        <w:t xml:space="preserve">九、小微企业声明函（服务）（分包号：**）</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lang w:eastAsia="zh-CN"/>
        </w:rPr>
        <w:t xml:space="preserve">南通市通州区公共资源交易中心</w:t>
      </w:r>
      <w:r>
        <w:rPr>
          <w:rFonts w:hint="eastAsia" w:ascii="宋体" w:hAnsi="宋体"/>
          <w:color w:val="auto"/>
          <w:sz w:val="24"/>
          <w:szCs w:val="24"/>
          <w:highlight w:val="none"/>
        </w:rPr>
        <w:t xml:space="preserve">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备注2：供应商如不提供此声明函，价格将不做相应扣除。</w:t>
      </w:r>
      <w:r/>
    </w:p>
    <w:p>
      <w:pPr>
        <w:jc w:val="center"/>
        <w:spacing w:line="460" w:lineRule="exact"/>
        <w:rPr>
          <w:rFonts w:hint="eastAsia" w:ascii="黑体" w:hAnsi="黑体" w:eastAsia="黑体"/>
          <w:b/>
          <w:i/>
          <w:iCs/>
          <w:color w:val="auto"/>
          <w:sz w:val="32"/>
          <w:szCs w:val="32"/>
          <w:highlight w:val="none"/>
          <w:u w:val="single"/>
        </w:rPr>
        <w:outlineLvl w:val="1"/>
      </w:pPr>
      <w:r>
        <w:rPr>
          <w:rFonts w:ascii="黑体" w:hAnsi="黑体" w:eastAsia="黑体"/>
          <w:b/>
          <w:color w:val="auto"/>
          <w:sz w:val="32"/>
          <w:szCs w:val="32"/>
          <w:highlight w:val="none"/>
        </w:rPr>
        <w:br w:type="page" w:clear="all"/>
      </w:r>
      <w:r>
        <w:rPr>
          <w:rFonts w:hint="eastAsia" w:ascii="黑体" w:hAnsi="黑体" w:eastAsia="黑体"/>
          <w:b/>
          <w:i/>
          <w:iCs/>
          <w:color w:val="auto"/>
          <w:sz w:val="32"/>
          <w:szCs w:val="32"/>
          <w:highlight w:val="none"/>
          <w:u w:val="single"/>
        </w:rPr>
        <w:t xml:space="preserve">十、残疾人福利性单位声明函（分包号：**）</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十一、关于符合本国产品标准的声明函（采购包号：**）</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39" w:lineRule="atLeast"/>
        <w:pBdr>
          <w:top w:val="none" w:color="000000" w:sz="4" w:space="0"/>
          <w:left w:val="none" w:color="000000" w:sz="4" w:space="0"/>
          <w:bottom w:val="none" w:color="000000" w:sz="4" w:space="0"/>
          <w:right w:val="none" w:color="000000" w:sz="4" w:space="0"/>
        </w:pBdr>
      </w:pPr>
      <w:r/>
      <w:r>
        <w:rPr>
          <w:rFonts w:ascii="SimSun" w:hAnsi="SimSun" w:eastAsia="SimSun" w:cs="SimSun"/>
          <w:color w:val="ff0000"/>
          <w:sz w:val="24"/>
          <w:highlight w:val="white"/>
        </w:rPr>
        <w:t xml:space="preserve">1.</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vertAlign w:val="superscript"/>
        </w:rPr>
        <w:t xml:space="preserve">1</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vertAlign w:val="superscript"/>
        </w:rPr>
        <w:t xml:space="preserve">2</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 （产品名称1） </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vertAlign w:val="superscript"/>
        </w:rPr>
        <w:t xml:space="preserve">3</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vertAlign w:val="superscript"/>
        </w:rPr>
        <w:t xml:space="preserve">4</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vertAlign w:val="superscript"/>
        </w:rPr>
        <w:t xml:space="preserve">5</w:t>
      </w:r>
      <w:r>
        <w:rPr>
          <w:rFonts w:ascii="SimSun" w:hAnsi="SimSun" w:eastAsia="SimSun" w:cs="SimSun"/>
          <w:color w:val="ff0000"/>
          <w:sz w:val="24"/>
          <w:highlight w:val="white"/>
        </w:rPr>
        <w:t xml:space="preserve">在中国境内完成。</w:t>
      </w:r>
      <w:r/>
    </w:p>
    <w:p>
      <w:pPr>
        <w:ind w:left="0" w:right="0" w:firstLine="420"/>
        <w:spacing w:before="30" w:after="30" w:line="239"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
        <w:rPr>
          <w:rFonts w:ascii="SimSun" w:hAnsi="SimSun" w:eastAsia="SimSun" w:cs="SimSun"/>
          <w:color w:val="ff0000"/>
          <w:sz w:val="24"/>
          <w:highlight w:val="white"/>
        </w:rPr>
        <w:t xml:space="preserve">2.</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rPr>
        <w:t xml:space="preserve">在中国境内完成。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numPr>
          <w:ilvl w:val="0"/>
          <w:numId w:val="9"/>
        </w:numPr>
        <w:jc w:val="center"/>
        <w:rPr>
          <w:rFonts w:hint="eastAsia" w:ascii="黑体" w:hAnsi="黑体" w:eastAsia="黑体"/>
          <w:b/>
          <w:i/>
          <w:iCs/>
          <w:color w:val="auto"/>
          <w:sz w:val="32"/>
          <w:szCs w:val="32"/>
          <w:highlight w:val="none"/>
          <w:u w:val="single"/>
        </w:rPr>
        <w:outlineLvl w:val="1"/>
      </w:pPr>
      <w:r>
        <w:rPr>
          <w:rFonts w:hint="eastAsia" w:ascii="黑体" w:hAnsi="黑体" w:eastAsia="黑体"/>
          <w:b/>
          <w:i/>
          <w:iCs/>
          <w:color w:val="auto"/>
          <w:sz w:val="32"/>
          <w:szCs w:val="32"/>
          <w:highlight w:val="none"/>
          <w:u w:val="single"/>
        </w:rPr>
        <w:t xml:space="preserve">投标分项报价表（分包号：**）</w:t>
      </w:r>
      <w:r/>
    </w:p>
    <w:tbl>
      <w:tblPr>
        <w:tblStyle w:val="762"/>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738"/>
        <w:gridCol w:w="3443"/>
        <w:gridCol w:w="2"/>
        <w:gridCol w:w="1375"/>
        <w:gridCol w:w="5"/>
        <w:gridCol w:w="1146"/>
      </w:tblGrid>
      <w:tr>
        <w:trPr>
          <w:cantSplit/>
          <w:jc w:val="center"/>
          <w:trHeight w:val="624" w:hRule="exact"/>
        </w:trPr>
        <w:tc>
          <w:tcPr>
            <w:tcW w:w="971" w:type="dxa"/>
            <w:vAlign w:val="center"/>
            <w:textDirection w:val="lrTb"/>
            <w:noWrap w:val="false"/>
          </w:tcPr>
          <w:p>
            <w:pPr>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tcW w:w="2738" w:type="dxa"/>
            <w:vAlign w:val="center"/>
            <w:textDirection w:val="lrTb"/>
            <w:noWrap w:val="false"/>
          </w:tcPr>
          <w:p>
            <w:pPr>
              <w:jc w:val="center"/>
              <w:spacing w:line="500" w:lineRule="exact"/>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eastAsia="zh-CN"/>
              </w:rPr>
              <w:t xml:space="preserve">系统名称</w:t>
            </w:r>
            <w:r>
              <w:rPr>
                <w:rFonts w:hint="eastAsia" w:ascii="仿宋" w:hAnsi="仿宋" w:eastAsia="仿宋" w:cs="仿宋"/>
                <w:b/>
                <w:color w:val="auto"/>
                <w:szCs w:val="21"/>
                <w:highlight w:val="none"/>
                <w:lang w:val="en-US" w:eastAsia="zh-CN"/>
              </w:rPr>
              <w:t xml:space="preserve"> </w:t>
            </w:r>
            <w:r/>
          </w:p>
          <w:p>
            <w:pPr>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服务范围</w:t>
            </w:r>
            <w:r/>
          </w:p>
        </w:tc>
        <w:tc>
          <w:tcPr>
            <w:tcW w:w="3443" w:type="dxa"/>
            <w:vAlign w:val="center"/>
            <w:textDirection w:val="lrTb"/>
            <w:noWrap w:val="false"/>
          </w:tcPr>
          <w:p>
            <w:pPr>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eastAsia="zh-CN"/>
              </w:rPr>
              <w:t xml:space="preserve">系统功能</w:t>
            </w:r>
            <w:r/>
          </w:p>
        </w:tc>
        <w:tc>
          <w:tcPr>
            <w:gridSpan w:val="2"/>
            <w:tcW w:w="1377" w:type="dxa"/>
            <w:vAlign w:val="center"/>
            <w:textDirection w:val="lrTb"/>
            <w:noWrap w:val="false"/>
          </w:tcPr>
          <w:p>
            <w:pPr>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金额</w:t>
            </w:r>
            <w:r/>
          </w:p>
        </w:tc>
        <w:tc>
          <w:tcPr>
            <w:gridSpan w:val="2"/>
            <w:tcW w:w="1151" w:type="dxa"/>
            <w:vAlign w:val="center"/>
            <w:textDirection w:val="lrTb"/>
            <w:noWrap w:val="false"/>
          </w:tcPr>
          <w:p>
            <w:pPr>
              <w:ind w:firstLine="105"/>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备注</w:t>
            </w:r>
            <w:r/>
          </w:p>
        </w:tc>
      </w:tr>
      <w:tr>
        <w:trPr>
          <w:cantSplit/>
          <w:jc w:val="center"/>
          <w:trHeight w:val="479"/>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02"/>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13"/>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13"/>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13"/>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r>
      <w:tr>
        <w:trPr>
          <w:cantSplit/>
          <w:jc w:val="center"/>
          <w:trHeight w:val="419"/>
        </w:trPr>
        <w:tc>
          <w:tcPr>
            <w:gridSpan w:val="4"/>
            <w:tcW w:w="7154"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宋体" w:hAnsi="宋体"/>
                <w:color w:val="auto"/>
                <w:sz w:val="24"/>
                <w:szCs w:val="24"/>
                <w:highlight w:val="none"/>
              </w:rPr>
              <w:t xml:space="preserve">投标总报价（人民币：元）</w:t>
            </w:r>
            <w:r/>
          </w:p>
        </w:tc>
        <w:tc>
          <w:tcPr>
            <w:gridSpan w:val="2"/>
            <w:tcW w:w="1380"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46"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bCs w:val="0"/>
          <w:i/>
          <w:iCs/>
          <w:color w:val="auto"/>
          <w:sz w:val="32"/>
          <w:szCs w:val="32"/>
          <w:highlight w:val="none"/>
          <w:u w:val="single"/>
        </w:rPr>
        <w:outlineLvl w:val="1"/>
      </w:pPr>
      <w:r>
        <w:rPr>
          <w:rFonts w:hint="eastAsia" w:ascii="黑体" w:hAnsi="黑体" w:eastAsia="黑体"/>
          <w:b/>
          <w:bCs w:val="0"/>
          <w:i/>
          <w:iCs/>
          <w:color w:val="auto"/>
          <w:sz w:val="32"/>
          <w:szCs w:val="32"/>
          <w:highlight w:val="none"/>
          <w:u w:val="single"/>
        </w:rPr>
        <w:t xml:space="preserve">十三、技术要求响应及偏离表（分包号：**）</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bookmarkEnd w:id="204"/>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黑体" w:eastAsia="黑体"/>
          <w:b/>
          <w:color w:val="auto"/>
          <w:sz w:val="32"/>
          <w:szCs w:val="32"/>
          <w:highlight w:val="none"/>
        </w:rPr>
      </w:pPr>
      <w:r/>
      <w:bookmarkStart w:id="208" w:name="_Hlt26955054"/>
      <w:r/>
      <w:bookmarkEnd w:id="208"/>
      <w:r>
        <w:rPr>
          <w:rFonts w:hint="eastAsia" w:ascii="黑体" w:hAnsi="黑体" w:eastAsia="黑体"/>
          <w:b/>
          <w:color w:val="auto"/>
          <w:sz w:val="32"/>
          <w:szCs w:val="32"/>
          <w:highlight w:val="none"/>
        </w:rPr>
        <w:br w:type="page" w:clear="all"/>
      </w:r>
      <w:r/>
    </w:p>
    <w:p>
      <w:pPr>
        <w:jc w:val="center"/>
        <w:rPr>
          <w:rFonts w:hint="eastAsia" w:ascii="黑体" w:hAnsi="黑体" w:eastAsia="黑体"/>
          <w:b/>
          <w:i/>
          <w:iCs/>
          <w:color w:val="auto"/>
          <w:sz w:val="32"/>
          <w:szCs w:val="32"/>
          <w:highlight w:val="none"/>
          <w:u w:val="single"/>
        </w:rPr>
        <w:outlineLvl w:val="1"/>
      </w:pPr>
      <w:r>
        <w:rPr>
          <w:rFonts w:hint="eastAsia" w:ascii="黑体" w:hAnsi="黑体" w:eastAsia="黑体"/>
          <w:b/>
          <w:i/>
          <w:iCs/>
          <w:color w:val="auto"/>
          <w:sz w:val="32"/>
          <w:szCs w:val="32"/>
          <w:highlight w:val="none"/>
          <w:u w:val="single"/>
        </w:rPr>
        <w:t xml:space="preserve">十四、商务要求响应及偏离表（分包号：**）</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bookmarkStart w:id="209" w:name="_Hlt26671343"/>
            <w:r/>
            <w:bookmarkEnd w:id="209"/>
            <w:r/>
            <w:bookmarkStart w:id="210" w:name="_Hlt26955056"/>
            <w:r/>
            <w:bookmarkEnd w:id="210"/>
            <w:r/>
            <w:bookmarkStart w:id="211" w:name="_Hlt26580838"/>
            <w:r/>
            <w:bookmarkEnd w:id="211"/>
            <w:r/>
            <w:bookmarkStart w:id="212" w:name="_Hlt26955064"/>
            <w:r/>
            <w:bookmarkEnd w:id="212"/>
            <w:r/>
            <w:bookmarkStart w:id="213" w:name="_Hlt26609391"/>
            <w:r/>
            <w:bookmarkEnd w:id="213"/>
            <w:r/>
            <w:bookmarkStart w:id="214" w:name="_Hlt26782999"/>
            <w:r/>
            <w:bookmarkEnd w:id="214"/>
            <w:r/>
            <w:bookmarkStart w:id="215" w:name="_Hlt24879081"/>
            <w:r/>
            <w:bookmarkEnd w:id="215"/>
            <w:r/>
            <w:bookmarkStart w:id="216" w:name="_Hlt26671372"/>
            <w:r/>
            <w:bookmarkEnd w:id="216"/>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仿宋_GB2312" w:hAnsi="Arial"/>
          <w:color w:val="auto"/>
          <w:sz w:val="30"/>
          <w:highlight w:val="none"/>
        </w:rPr>
      </w:pPr>
      <w:r>
        <w:rPr>
          <w:rFonts w:hint="eastAsia" w:ascii="仿宋_GB2312" w:hAnsi="Arial"/>
          <w:color w:val="auto"/>
          <w:sz w:val="30"/>
          <w:highlight w:val="none"/>
        </w:rPr>
      </w:r>
      <w:bookmarkEnd w:id="191"/>
      <w:r/>
      <w:bookmarkEnd w:id="192"/>
      <w:r/>
      <w:r/>
    </w:p>
    <w:p>
      <w:pPr>
        <w:pStyle w:val="764"/>
        <w:ind w:firstLine="0"/>
        <w:rPr>
          <w:rFonts w:hint="eastAsia" w:ascii="宋体" w:hAnsi="宋体"/>
          <w:color w:val="auto"/>
          <w:sz w:val="24"/>
          <w:highlight w:val="none"/>
        </w:rPr>
      </w:pPr>
      <w:r/>
      <w:bookmarkStart w:id="217" w:name="_Hlt26671374"/>
      <w:r/>
      <w:bookmarkEnd w:id="217"/>
      <w:r/>
      <w:bookmarkStart w:id="218" w:name="_Hlt26609389"/>
      <w:r/>
      <w:bookmarkEnd w:id="218"/>
      <w:r/>
      <w:bookmarkStart w:id="219" w:name="_Toc462564146"/>
      <w:r/>
      <w:bookmarkEnd w:id="219"/>
      <w:r/>
      <w:bookmarkStart w:id="220" w:name="_Hlt26955066"/>
      <w:r/>
      <w:bookmarkEnd w:id="220"/>
      <w:r/>
      <w:r/>
    </w:p>
    <w:p>
      <w:pPr>
        <w:jc w:val="center"/>
        <w:rPr>
          <w:rFonts w:hint="eastAsia" w:ascii="黑体" w:hAnsi="黑体" w:eastAsia="黑体"/>
          <w:b/>
          <w:color w:val="auto"/>
          <w:sz w:val="32"/>
          <w:szCs w:val="32"/>
          <w:highlight w:val="none"/>
        </w:rPr>
      </w:pPr>
      <w:r/>
      <w:bookmarkStart w:id="221" w:name="_格式2__法定代表人授权书"/>
      <w:r/>
      <w:bookmarkEnd w:id="221"/>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br w:type="page" w:clear="all"/>
      </w:r>
      <w:r/>
    </w:p>
    <w:p>
      <w:pPr>
        <w:rPr>
          <w:rFonts w:hint="eastAsia" w:ascii="黑体" w:hAnsi="黑体" w:eastAsia="黑体"/>
          <w:b/>
          <w:i/>
          <w:color w:val="auto"/>
          <w:sz w:val="32"/>
          <w:szCs w:val="32"/>
          <w:highlight w:val="none"/>
          <w:u w:val="single"/>
        </w:rPr>
        <w:outlineLvl w:val="1"/>
      </w:pPr>
      <w:r>
        <w:rPr>
          <w:rFonts w:hint="eastAsia" w:ascii="黑体" w:hAnsi="黑体" w:eastAsia="黑体"/>
          <w:b/>
          <w:i/>
          <w:color w:val="auto"/>
          <w:sz w:val="32"/>
          <w:szCs w:val="32"/>
          <w:highlight w:val="none"/>
          <w:u w:val="single"/>
        </w:rPr>
        <w:t xml:space="preserve">十五、开标一览表（备注：确定后该备注删除。）</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分包号：</w:t>
      </w:r>
      <w:r/>
    </w:p>
    <w:tbl>
      <w:tblPr>
        <w:tblStyle w:val="7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010"/>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hint="eastAsia" w:ascii="黑体" w:hAnsi="黑体" w:eastAsia="黑体"/>
          <w:b/>
          <w:i/>
          <w:color w:val="auto"/>
          <w:sz w:val="32"/>
          <w:szCs w:val="32"/>
          <w:highlight w:val="none"/>
          <w:u w:val="single"/>
        </w:rPr>
        <w:outlineLvl w:val="2"/>
      </w:pPr>
      <w:r>
        <w:rPr>
          <w:rFonts w:hint="eastAsia" w:ascii="黑体" w:hAnsi="黑体" w:eastAsia="黑体"/>
          <w:b/>
          <w:i/>
          <w:color w:val="auto"/>
          <w:sz w:val="32"/>
          <w:szCs w:val="32"/>
          <w:highlight w:val="none"/>
          <w:u w:val="single"/>
        </w:rPr>
        <w:t xml:space="preserve">质疑函范本</w:t>
      </w:r>
      <w:r/>
    </w:p>
    <w:p>
      <w:pPr>
        <w:spacing w:before="290"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outlineLvl w:val="2"/>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outlineLvl w:val="2"/>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outlineLvl w:val="2"/>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64"/>
        <w:rPr>
          <w:rFonts w:hint="eastAsia"/>
          <w:color w:val="auto"/>
          <w:sz w:val="24"/>
          <w:szCs w:val="24"/>
          <w:highlight w:val="none"/>
        </w:rPr>
      </w:pPr>
      <w:r>
        <w:rPr>
          <w:rFonts w:hint="eastAsia"/>
          <w:color w:val="auto"/>
          <w:sz w:val="24"/>
          <w:szCs w:val="24"/>
          <w:highlight w:val="none"/>
        </w:rPr>
      </w:r>
      <w:r/>
    </w:p>
    <w:p>
      <w:pPr>
        <w:pStyle w:val="764"/>
        <w:rPr>
          <w:color w:val="auto"/>
          <w:sz w:val="24"/>
          <w:szCs w:val="24"/>
          <w:highlight w:val="none"/>
        </w:rPr>
      </w:pPr>
      <w:r>
        <w:rPr>
          <w:color w:val="auto"/>
          <w:sz w:val="24"/>
          <w:szCs w:val="24"/>
          <w:highlight w:val="none"/>
        </w:rPr>
      </w:r>
      <w:r/>
    </w:p>
    <w:p>
      <w:pPr>
        <w:rPr>
          <w:color w:val="auto"/>
          <w:highlight w:val="none"/>
        </w:rPr>
      </w:pPr>
      <w:r>
        <w:rPr>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楷体">
    <w:panose1 w:val="02010609060101010101"/>
  </w:font>
  <w:font w:name="Showcard Gothic">
    <w:panose1 w:val="04020904020102020604"/>
  </w:font>
  <w:font w:name="Wingdings">
    <w:panose1 w:val="05000000000000000000"/>
  </w:font>
  <w:font w:name="Symbol">
    <w:panose1 w:val="05050102010706020507"/>
  </w:font>
  <w:font w:name="新宋体">
    <w:panose1 w:val="02010609030101010101"/>
  </w:font>
  <w:font w:name="仿宋">
    <w:panose1 w:val="02010609060101010101"/>
  </w:font>
  <w:font w:name="等线">
    <w:panose1 w:val="02010600030101010101"/>
  </w:font>
  <w:font w:name="华文细黑">
    <w:panose1 w:val="02010600040101010101"/>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３５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p>
  <w:p>
    <w:pPr>
      <w:pStyle w:val="7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7"/>
      <w:isLgl w:val="false"/>
      <w:suff w:val="nothing"/>
      <w:lvlText w:val=""/>
      <w:lvlJc w:val="left"/>
      <w:pPr>
        <w:ind w:left="0" w:firstLine="0"/>
      </w:pPr>
      <w:rPr>
        <w:rFonts w:hint="eastAsia"/>
      </w:rPr>
    </w:lvl>
    <w:lvl w:ilvl="6">
      <w:start w:val="1"/>
      <w:numFmt w:val="none"/>
      <w:pStyle w:val="758"/>
      <w:isLgl w:val="false"/>
      <w:suff w:val="nothing"/>
      <w:lvlText w:val=""/>
      <w:lvlJc w:val="left"/>
      <w:pPr>
        <w:ind w:left="0" w:firstLine="0"/>
      </w:pPr>
      <w:rPr>
        <w:rFonts w:hint="eastAsia"/>
      </w:rPr>
    </w:lvl>
    <w:lvl w:ilvl="7">
      <w:start w:val="1"/>
      <w:numFmt w:val="none"/>
      <w:pStyle w:val="759"/>
      <w:isLgl w:val="false"/>
      <w:suff w:val="nothing"/>
      <w:lvlText w:val=""/>
      <w:lvlJc w:val="left"/>
      <w:pPr>
        <w:ind w:left="0" w:firstLine="0"/>
      </w:pPr>
      <w:rPr>
        <w:rFonts w:hint="eastAsia"/>
      </w:rPr>
    </w:lvl>
    <w:lvl w:ilvl="8">
      <w:start w:val="1"/>
      <w:numFmt w:val="none"/>
      <w:pStyle w:val="760"/>
      <w:isLgl w:val="false"/>
      <w:suff w:val="nothing"/>
      <w:lvlText w:val=""/>
      <w:lvlJc w:val="left"/>
      <w:pPr>
        <w:ind w:left="0" w:firstLine="0"/>
      </w:pPr>
      <w:rPr>
        <w:rFonts w:hint="eastAsia"/>
      </w:rPr>
    </w:lvl>
  </w:abstractNum>
  <w:abstractNum w:abstractNumId="4">
    <w:multiLevelType w:val="hybridMultilevel"/>
    <w:lvl w:ilvl="0">
      <w:start w:val="1"/>
      <w:numFmt w:val="decimal"/>
      <w:pStyle w:val="9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tab"/>
      <w:lvlText w:val="%1."/>
      <w:lvlJc w:val="left"/>
      <w:pPr>
        <w:ind w:left="473" w:hanging="360"/>
        <w:tabs>
          <w:tab w:val="left" w:pos="473" w:leader="none"/>
        </w:tabs>
      </w:pPr>
      <w:rPr>
        <w:rFonts w:cs="宋体"/>
      </w:rPr>
    </w:lvl>
    <w:lvl w:ilvl="1">
      <w:start w:val="1"/>
      <w:numFmt w:val="lowerLetter"/>
      <w:isLgl w:val="false"/>
      <w:suff w:val="tab"/>
      <w:lvlText w:val="%2)"/>
      <w:lvlJc w:val="left"/>
      <w:pPr>
        <w:ind w:left="953" w:hanging="420"/>
        <w:tabs>
          <w:tab w:val="left" w:pos="953" w:leader="none"/>
        </w:tabs>
      </w:pPr>
    </w:lvl>
    <w:lvl w:ilvl="2">
      <w:start w:val="1"/>
      <w:numFmt w:val="lowerRoman"/>
      <w:isLgl w:val="false"/>
      <w:suff w:val="tab"/>
      <w:lvlText w:val="%3."/>
      <w:lvlJc w:val="right"/>
      <w:pPr>
        <w:ind w:left="1373" w:hanging="420"/>
        <w:tabs>
          <w:tab w:val="left" w:pos="1373" w:leader="none"/>
        </w:tabs>
      </w:pPr>
    </w:lvl>
    <w:lvl w:ilvl="3">
      <w:start w:val="1"/>
      <w:numFmt w:val="decimal"/>
      <w:isLgl w:val="false"/>
      <w:suff w:val="tab"/>
      <w:lvlText w:val="%4."/>
      <w:lvlJc w:val="left"/>
      <w:pPr>
        <w:ind w:left="1793" w:hanging="420"/>
        <w:tabs>
          <w:tab w:val="left" w:pos="1793" w:leader="none"/>
        </w:tabs>
      </w:pPr>
    </w:lvl>
    <w:lvl w:ilvl="4">
      <w:start w:val="1"/>
      <w:numFmt w:val="lowerLetter"/>
      <w:isLgl w:val="false"/>
      <w:suff w:val="tab"/>
      <w:lvlText w:val="%5)"/>
      <w:lvlJc w:val="left"/>
      <w:pPr>
        <w:ind w:left="2213" w:hanging="420"/>
        <w:tabs>
          <w:tab w:val="left" w:pos="2213" w:leader="none"/>
        </w:tabs>
      </w:pPr>
    </w:lvl>
    <w:lvl w:ilvl="5">
      <w:start w:val="1"/>
      <w:numFmt w:val="lowerRoman"/>
      <w:isLgl w:val="false"/>
      <w:suff w:val="tab"/>
      <w:lvlText w:val="%6."/>
      <w:lvlJc w:val="right"/>
      <w:pPr>
        <w:ind w:left="2633" w:hanging="420"/>
        <w:tabs>
          <w:tab w:val="left" w:pos="2633" w:leader="none"/>
        </w:tabs>
      </w:pPr>
    </w:lvl>
    <w:lvl w:ilvl="6">
      <w:start w:val="1"/>
      <w:numFmt w:val="decimal"/>
      <w:isLgl w:val="false"/>
      <w:suff w:val="tab"/>
      <w:lvlText w:val="%7."/>
      <w:lvlJc w:val="left"/>
      <w:pPr>
        <w:ind w:left="3053" w:hanging="420"/>
        <w:tabs>
          <w:tab w:val="left" w:pos="3053" w:leader="none"/>
        </w:tabs>
      </w:pPr>
    </w:lvl>
    <w:lvl w:ilvl="7">
      <w:start w:val="1"/>
      <w:numFmt w:val="lowerLetter"/>
      <w:isLgl w:val="false"/>
      <w:suff w:val="tab"/>
      <w:lvlText w:val="%8)"/>
      <w:lvlJc w:val="left"/>
      <w:pPr>
        <w:ind w:left="3473" w:hanging="420"/>
        <w:tabs>
          <w:tab w:val="left" w:pos="3473" w:leader="none"/>
        </w:tabs>
      </w:pPr>
    </w:lvl>
    <w:lvl w:ilvl="8">
      <w:start w:val="1"/>
      <w:numFmt w:val="lowerRoman"/>
      <w:isLgl w:val="false"/>
      <w:suff w:val="tab"/>
      <w:lvlText w:val="%9."/>
      <w:lvlJc w:val="right"/>
      <w:pPr>
        <w:ind w:left="3893" w:hanging="420"/>
        <w:tabs>
          <w:tab w:val="left" w:pos="3893" w:leader="none"/>
        </w:tabs>
      </w:pPr>
    </w:lvl>
  </w:abstractNum>
  <w:abstractNum w:abstractNumId="6">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num w:numId="1">
    <w:abstractNumId w:val="3"/>
  </w:num>
  <w:num w:numId="2">
    <w:abstractNumId w:val="4"/>
  </w:num>
  <w:num w:numId="3">
    <w:abstractNumId w:val="0"/>
  </w:num>
  <w:num w:numId="4">
    <w:abstractNumId w:val="6"/>
  </w:num>
  <w:num w:numId="5">
    <w:abstractNumId w:val="7"/>
  </w:num>
  <w:num w:numId="6">
    <w:abstractNumId w:val="1"/>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link w:val="974"/>
    <w:uiPriority w:val="0"/>
    <w:qFormat/>
    <w:pPr>
      <w:jc w:val="center"/>
      <w:keepNext/>
      <w:outlineLvl w:val="0"/>
    </w:pPr>
    <w:rPr>
      <w:rFonts w:ascii="楷体_GB2312" w:eastAsia="楷体_GB2312"/>
      <w:sz w:val="28"/>
      <w:szCs w:val="28"/>
    </w:rPr>
  </w:style>
  <w:style w:type="paragraph" w:styleId="753">
    <w:name w:val="Heading 2"/>
    <w:basedOn w:val="751"/>
    <w:next w:val="751"/>
    <w:link w:val="9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4">
    <w:name w:val="Heading 3"/>
    <w:basedOn w:val="751"/>
    <w:next w:val="764"/>
    <w:link w:val="977"/>
    <w:uiPriority w:val="0"/>
    <w:qFormat/>
    <w:pPr>
      <w:keepLines/>
      <w:keepNext/>
      <w:spacing w:before="260" w:after="260" w:line="416" w:lineRule="auto"/>
      <w:outlineLvl w:val="2"/>
    </w:pPr>
    <w:rPr>
      <w:b/>
      <w:bCs/>
      <w:sz w:val="32"/>
      <w:szCs w:val="32"/>
    </w:rPr>
  </w:style>
  <w:style w:type="paragraph" w:styleId="755">
    <w:name w:val="Heading 4"/>
    <w:basedOn w:val="751"/>
    <w:next w:val="751"/>
    <w:link w:val="978"/>
    <w:uiPriority w:val="0"/>
    <w:qFormat/>
    <w:pPr>
      <w:keepLines/>
      <w:keepNext/>
      <w:spacing w:before="280" w:after="290" w:line="376" w:lineRule="auto"/>
      <w:outlineLvl w:val="3"/>
    </w:pPr>
    <w:rPr>
      <w:rFonts w:ascii="Arial" w:hAnsi="Arial" w:eastAsia="黑体" w:cs="Arial"/>
      <w:b/>
      <w:bCs/>
      <w:sz w:val="28"/>
      <w:szCs w:val="28"/>
    </w:rPr>
  </w:style>
  <w:style w:type="paragraph" w:styleId="756">
    <w:name w:val="Heading 5"/>
    <w:basedOn w:val="751"/>
    <w:next w:val="751"/>
    <w:link w:val="979"/>
    <w:uiPriority w:val="0"/>
    <w:qFormat/>
    <w:pPr>
      <w:keepNext/>
      <w:outlineLvl w:val="4"/>
    </w:pPr>
    <w:rPr>
      <w:rFonts w:ascii="宋体"/>
      <w:color w:val="000000"/>
      <w:sz w:val="28"/>
      <w:szCs w:val="28"/>
    </w:rPr>
  </w:style>
  <w:style w:type="paragraph" w:styleId="757">
    <w:name w:val="Heading 6"/>
    <w:basedOn w:val="751"/>
    <w:next w:val="751"/>
    <w:link w:val="98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8">
    <w:name w:val="Heading 7"/>
    <w:basedOn w:val="751"/>
    <w:next w:val="751"/>
    <w:link w:val="981"/>
    <w:uiPriority w:val="0"/>
    <w:qFormat/>
    <w:pPr>
      <w:numPr>
        <w:ilvl w:val="6"/>
        <w:numId w:val="1"/>
      </w:numPr>
      <w:keepLines/>
      <w:keepNext/>
      <w:spacing w:before="240" w:after="64" w:line="320" w:lineRule="auto"/>
      <w:outlineLvl w:val="6"/>
    </w:pPr>
    <w:rPr>
      <w:b/>
      <w:bCs/>
      <w:sz w:val="24"/>
      <w:szCs w:val="24"/>
    </w:rPr>
  </w:style>
  <w:style w:type="paragraph" w:styleId="759">
    <w:name w:val="Heading 8"/>
    <w:basedOn w:val="751"/>
    <w:next w:val="751"/>
    <w:link w:val="9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0">
    <w:name w:val="Heading 9"/>
    <w:basedOn w:val="751"/>
    <w:next w:val="751"/>
    <w:link w:val="983"/>
    <w:uiPriority w:val="0"/>
    <w:qFormat/>
    <w:pPr>
      <w:numPr>
        <w:ilvl w:val="8"/>
        <w:numId w:val="1"/>
      </w:numPr>
      <w:keepLines/>
      <w:keepNext/>
      <w:spacing w:before="240" w:after="64" w:line="320" w:lineRule="auto"/>
      <w:outlineLvl w:val="8"/>
    </w:pPr>
    <w:rPr>
      <w:rFonts w:ascii="Arial" w:hAnsi="Arial" w:eastAsia="黑体"/>
    </w:rPr>
  </w:style>
  <w:style w:type="character" w:styleId="761" w:default="1">
    <w:name w:val="Default Paragraph Font"/>
    <w:uiPriority w:val="1"/>
    <w:unhideWhenUsed/>
    <w:qFormat/>
  </w:style>
  <w:style w:type="table" w:styleId="762" w:default="1">
    <w:name w:val="Normal Table"/>
    <w:uiPriority w:val="99"/>
    <w:unhideWhenUsed/>
    <w:qFormat/>
    <w:tblPr>
      <w:tblCellMar>
        <w:left w:w="108" w:type="dxa"/>
        <w:top w:w="0" w:type="dxa"/>
        <w:right w:w="108" w:type="dxa"/>
        <w:bottom w:w="0" w:type="dxa"/>
      </w:tblCellMar>
    </w:tblPr>
  </w:style>
  <w:style w:type="paragraph" w:styleId="763">
    <w:name w:val="Block Text"/>
    <w:basedOn w:val="751"/>
    <w:uiPriority w:val="1397"/>
    <w:qFormat/>
    <w:pPr>
      <w:ind w:left="256" w:right="6" w:firstLine="624"/>
    </w:pPr>
    <w:rPr>
      <w:rFonts w:ascii="Times New Roman" w:hAnsi="Times New Roman" w:eastAsia="仿宋_GB2312" w:cs="Times New Roman"/>
      <w:sz w:val="28"/>
      <w:szCs w:val="20"/>
    </w:rPr>
  </w:style>
  <w:style w:type="paragraph" w:styleId="764">
    <w:name w:val="Normal Indent"/>
    <w:basedOn w:val="751"/>
    <w:link w:val="976"/>
    <w:uiPriority w:val="0"/>
    <w:qFormat/>
    <w:pPr>
      <w:ind w:firstLine="420"/>
    </w:pPr>
  </w:style>
  <w:style w:type="paragraph" w:styleId="765">
    <w:name w:val="List 3"/>
    <w:basedOn w:val="751"/>
    <w:uiPriority w:val="0"/>
    <w:qFormat/>
    <w:pPr>
      <w:ind w:left="100" w:hanging="200"/>
    </w:pPr>
  </w:style>
  <w:style w:type="paragraph" w:styleId="766">
    <w:name w:val="toc 7"/>
    <w:basedOn w:val="751"/>
    <w:next w:val="751"/>
    <w:uiPriority w:val="0"/>
    <w:semiHidden/>
    <w:qFormat/>
    <w:pPr>
      <w:ind w:left="1260"/>
      <w:jc w:val="left"/>
    </w:pPr>
  </w:style>
  <w:style w:type="paragraph" w:styleId="767">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Document Map"/>
    <w:basedOn w:val="751"/>
    <w:link w:val="984"/>
    <w:uiPriority w:val="0"/>
    <w:semiHidden/>
    <w:qFormat/>
    <w:pPr>
      <w:shd w:val="clear" w:color="auto" w:fill="000080"/>
    </w:pPr>
  </w:style>
  <w:style w:type="paragraph" w:styleId="769">
    <w:name w:val="annotation text"/>
    <w:basedOn w:val="751"/>
    <w:link w:val="985"/>
    <w:uiPriority w:val="0"/>
    <w:semiHidden/>
    <w:qFormat/>
    <w:pPr>
      <w:jc w:val="left"/>
    </w:pPr>
  </w:style>
  <w:style w:type="paragraph" w:styleId="770">
    <w:name w:val="Body Text 3"/>
    <w:basedOn w:val="751"/>
    <w:link w:val="986"/>
    <w:uiPriority w:val="0"/>
    <w:qFormat/>
    <w:rPr>
      <w:rFonts w:ascii="仿宋_GB2312" w:hAnsi="Arial" w:eastAsia="仿宋_GB2312"/>
      <w:sz w:val="32"/>
      <w:szCs w:val="32"/>
    </w:rPr>
  </w:style>
  <w:style w:type="paragraph" w:styleId="771">
    <w:name w:val="Body Text"/>
    <w:basedOn w:val="751"/>
    <w:link w:val="987"/>
    <w:uiPriority w:val="0"/>
    <w:qFormat/>
    <w:rPr>
      <w:rFonts w:ascii="楷体_GB2312" w:hAnsi="Arial" w:eastAsia="楷体_GB2312"/>
      <w:sz w:val="28"/>
      <w:szCs w:val="28"/>
    </w:rPr>
  </w:style>
  <w:style w:type="paragraph" w:styleId="772">
    <w:name w:val="Body Text Indent"/>
    <w:basedOn w:val="751"/>
    <w:next w:val="773"/>
    <w:link w:val="988"/>
    <w:uiPriority w:val="0"/>
    <w:qFormat/>
    <w:pPr>
      <w:ind w:firstLine="645"/>
    </w:pPr>
    <w:rPr>
      <w:rFonts w:ascii="楷体_GB2312" w:eastAsia="楷体_GB2312"/>
      <w:sz w:val="32"/>
      <w:szCs w:val="32"/>
    </w:rPr>
  </w:style>
  <w:style w:type="paragraph" w:styleId="773">
    <w:name w:val="envelope return"/>
    <w:basedOn w:val="751"/>
    <w:uiPriority w:val="0"/>
    <w:qFormat/>
    <w:rPr>
      <w:rFonts w:ascii="Arial" w:hAnsi="Arial"/>
    </w:rPr>
  </w:style>
  <w:style w:type="paragraph" w:styleId="774">
    <w:name w:val="List 2"/>
    <w:basedOn w:val="751"/>
    <w:uiPriority w:val="0"/>
    <w:qFormat/>
    <w:pPr>
      <w:ind w:left="100" w:hanging="200"/>
    </w:pPr>
  </w:style>
  <w:style w:type="paragraph" w:styleId="775">
    <w:name w:val="index 4"/>
    <w:basedOn w:val="751"/>
    <w:next w:val="751"/>
    <w:uiPriority w:val="0"/>
    <w:qFormat/>
    <w:pPr>
      <w:ind w:left="600"/>
    </w:pPr>
    <w:rPr>
      <w:rFonts w:ascii="Times New Roman" w:hAnsi="Times New Roman"/>
      <w:szCs w:val="24"/>
    </w:rPr>
  </w:style>
  <w:style w:type="paragraph" w:styleId="776">
    <w:name w:val="toc 5"/>
    <w:basedOn w:val="751"/>
    <w:next w:val="751"/>
    <w:uiPriority w:val="0"/>
    <w:semiHidden/>
    <w:qFormat/>
    <w:pPr>
      <w:ind w:left="840"/>
      <w:jc w:val="left"/>
    </w:pPr>
  </w:style>
  <w:style w:type="paragraph" w:styleId="777">
    <w:name w:val="toc 3"/>
    <w:basedOn w:val="751"/>
    <w:next w:val="751"/>
    <w:uiPriority w:val="0"/>
    <w:semiHidden/>
    <w:qFormat/>
    <w:pPr>
      <w:ind w:left="420"/>
      <w:jc w:val="left"/>
    </w:pPr>
    <w:rPr>
      <w:i/>
      <w:iCs/>
      <w:szCs w:val="24"/>
    </w:rPr>
  </w:style>
  <w:style w:type="paragraph" w:styleId="778">
    <w:name w:val="Plain Text"/>
    <w:basedOn w:val="751"/>
    <w:link w:val="989"/>
    <w:uiPriority w:val="0"/>
    <w:qFormat/>
    <w:rPr>
      <w:rFonts w:ascii="宋体" w:hAnsi="Courier New" w:cs="Courier New"/>
    </w:rPr>
  </w:style>
  <w:style w:type="paragraph" w:styleId="779">
    <w:name w:val="toc 8"/>
    <w:basedOn w:val="751"/>
    <w:next w:val="751"/>
    <w:uiPriority w:val="0"/>
    <w:semiHidden/>
    <w:qFormat/>
    <w:pPr>
      <w:ind w:left="1470"/>
      <w:jc w:val="left"/>
    </w:pPr>
  </w:style>
  <w:style w:type="paragraph" w:styleId="780">
    <w:name w:val="Date"/>
    <w:basedOn w:val="751"/>
    <w:next w:val="751"/>
    <w:link w:val="990"/>
    <w:uiPriority w:val="0"/>
    <w:qFormat/>
    <w:rPr>
      <w:sz w:val="24"/>
      <w:szCs w:val="24"/>
    </w:rPr>
  </w:style>
  <w:style w:type="paragraph" w:styleId="781">
    <w:name w:val="Body Text Indent 2"/>
    <w:basedOn w:val="751"/>
    <w:link w:val="991"/>
    <w:uiPriority w:val="0"/>
    <w:qFormat/>
    <w:pPr>
      <w:ind w:left="630" w:firstLine="645"/>
    </w:pPr>
    <w:rPr>
      <w:rFonts w:ascii="Arial" w:hAnsi="Arial" w:eastAsia="仿宋_GB2312" w:cs="Arial"/>
      <w:sz w:val="32"/>
      <w:szCs w:val="32"/>
    </w:rPr>
  </w:style>
  <w:style w:type="paragraph" w:styleId="782">
    <w:name w:val="endnote text"/>
    <w:basedOn w:val="751"/>
    <w:link w:val="956"/>
    <w:uiPriority w:val="99"/>
    <w:semiHidden/>
    <w:unhideWhenUsed/>
    <w:qFormat/>
    <w:pPr>
      <w:spacing w:after="0" w:line="240" w:lineRule="auto"/>
    </w:pPr>
    <w:rPr>
      <w:sz w:val="20"/>
    </w:rPr>
  </w:style>
  <w:style w:type="paragraph" w:styleId="783">
    <w:name w:val="Balloon Text"/>
    <w:basedOn w:val="751"/>
    <w:link w:val="992"/>
    <w:uiPriority w:val="0"/>
    <w:semiHidden/>
    <w:qFormat/>
    <w:rPr>
      <w:sz w:val="18"/>
      <w:szCs w:val="18"/>
    </w:rPr>
  </w:style>
  <w:style w:type="paragraph" w:styleId="784">
    <w:name w:val="Footer"/>
    <w:basedOn w:val="751"/>
    <w:link w:val="993"/>
    <w:uiPriority w:val="0"/>
    <w:qFormat/>
    <w:pPr>
      <w:jc w:val="left"/>
      <w:tabs>
        <w:tab w:val="center" w:pos="4153" w:leader="none"/>
        <w:tab w:val="right" w:pos="8306" w:leader="none"/>
      </w:tabs>
    </w:pPr>
    <w:rPr>
      <w:sz w:val="18"/>
      <w:szCs w:val="18"/>
    </w:rPr>
  </w:style>
  <w:style w:type="paragraph" w:styleId="785">
    <w:name w:val="Header"/>
    <w:basedOn w:val="751"/>
    <w:link w:val="994"/>
    <w:uiPriority w:val="0"/>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787">
    <w:name w:val="toc 4"/>
    <w:basedOn w:val="751"/>
    <w:next w:val="751"/>
    <w:uiPriority w:val="0"/>
    <w:semiHidden/>
    <w:qFormat/>
    <w:pPr>
      <w:ind w:left="630"/>
      <w:jc w:val="left"/>
    </w:pPr>
  </w:style>
  <w:style w:type="paragraph" w:styleId="788">
    <w:name w:val="Subtitle"/>
    <w:basedOn w:val="751"/>
    <w:next w:val="751"/>
    <w:link w:val="822"/>
    <w:uiPriority w:val="11"/>
    <w:qFormat/>
    <w:pPr>
      <w:spacing w:before="200" w:after="200"/>
    </w:pPr>
    <w:rPr>
      <w:sz w:val="24"/>
      <w:szCs w:val="24"/>
    </w:rPr>
  </w:style>
  <w:style w:type="paragraph" w:styleId="789">
    <w:name w:val="List"/>
    <w:basedOn w:val="751"/>
    <w:uiPriority w:val="0"/>
    <w:qFormat/>
    <w:pPr>
      <w:ind w:left="200" w:hanging="200"/>
    </w:pPr>
  </w:style>
  <w:style w:type="paragraph" w:styleId="790">
    <w:name w:val="footnote text"/>
    <w:basedOn w:val="751"/>
    <w:link w:val="955"/>
    <w:uiPriority w:val="99"/>
    <w:semiHidden/>
    <w:unhideWhenUsed/>
    <w:qFormat/>
    <w:pPr>
      <w:spacing w:after="40" w:line="240" w:lineRule="auto"/>
    </w:pPr>
    <w:rPr>
      <w:sz w:val="18"/>
    </w:rPr>
  </w:style>
  <w:style w:type="paragraph" w:styleId="791">
    <w:name w:val="toc 6"/>
    <w:basedOn w:val="751"/>
    <w:next w:val="751"/>
    <w:uiPriority w:val="0"/>
    <w:semiHidden/>
    <w:qFormat/>
    <w:pPr>
      <w:ind w:left="1050"/>
      <w:jc w:val="left"/>
    </w:pPr>
  </w:style>
  <w:style w:type="paragraph" w:styleId="792">
    <w:name w:val="Body Text Indent 3"/>
    <w:basedOn w:val="751"/>
    <w:link w:val="995"/>
    <w:uiPriority w:val="0"/>
    <w:qFormat/>
    <w:pPr>
      <w:ind w:left="645" w:firstLine="645"/>
    </w:pPr>
    <w:rPr>
      <w:rFonts w:ascii="Arial" w:hAnsi="Arial" w:eastAsia="仿宋_GB2312" w:cs="Arial"/>
      <w:color w:val="ffff00"/>
      <w:sz w:val="32"/>
      <w:szCs w:val="32"/>
    </w:rPr>
  </w:style>
  <w:style w:type="paragraph" w:styleId="793">
    <w:name w:val="table of figures"/>
    <w:basedOn w:val="751"/>
    <w:next w:val="751"/>
    <w:uiPriority w:val="0"/>
    <w:semiHidden/>
    <w:qFormat/>
    <w:pPr>
      <w:ind w:left="840" w:hanging="420"/>
    </w:pPr>
  </w:style>
  <w:style w:type="paragraph" w:styleId="794">
    <w:name w:val="toc 2"/>
    <w:basedOn w:val="751"/>
    <w:next w:val="751"/>
    <w:uiPriority w:val="0"/>
    <w:semiHidden/>
    <w:qFormat/>
    <w:pPr>
      <w:ind w:left="210"/>
      <w:jc w:val="left"/>
    </w:pPr>
    <w:rPr>
      <w:smallCaps/>
      <w:szCs w:val="24"/>
    </w:rPr>
  </w:style>
  <w:style w:type="paragraph" w:styleId="795">
    <w:name w:val="toc 9"/>
    <w:basedOn w:val="751"/>
    <w:next w:val="751"/>
    <w:uiPriority w:val="0"/>
    <w:semiHidden/>
    <w:qFormat/>
    <w:pPr>
      <w:ind w:left="1680"/>
      <w:jc w:val="left"/>
    </w:pPr>
  </w:style>
  <w:style w:type="paragraph" w:styleId="796">
    <w:name w:val="Body Text 2"/>
    <w:basedOn w:val="751"/>
    <w:link w:val="996"/>
    <w:uiPriority w:val="0"/>
    <w:qFormat/>
    <w:pPr>
      <w:jc w:val="center"/>
      <w:widowControl/>
    </w:pPr>
    <w:rPr>
      <w:rFonts w:ascii="楷体_GB2312" w:eastAsia="楷体_GB2312"/>
      <w:sz w:val="28"/>
      <w:szCs w:val="28"/>
    </w:rPr>
  </w:style>
  <w:style w:type="paragraph" w:styleId="797">
    <w:name w:val="Normal (Web)"/>
    <w:basedOn w:val="751"/>
    <w:uiPriority w:val="99"/>
    <w:qFormat/>
    <w:pPr>
      <w:jc w:val="left"/>
      <w:spacing w:before="100" w:beforeAutospacing="1" w:after="100" w:afterAutospacing="1"/>
      <w:widowControl/>
    </w:pPr>
    <w:rPr>
      <w:rFonts w:ascii="宋体" w:hAnsi="宋体" w:cs="宋体"/>
      <w:sz w:val="24"/>
      <w:szCs w:val="24"/>
    </w:rPr>
  </w:style>
  <w:style w:type="paragraph" w:styleId="798">
    <w:name w:val="index 1"/>
    <w:basedOn w:val="751"/>
    <w:next w:val="751"/>
    <w:uiPriority w:val="0"/>
    <w:semiHidden/>
    <w:qFormat/>
    <w:pPr>
      <w:spacing w:line="240" w:lineRule="atLeast"/>
    </w:pPr>
    <w:rPr>
      <w:b/>
      <w:bCs/>
    </w:rPr>
  </w:style>
  <w:style w:type="paragraph" w:styleId="799">
    <w:name w:val="Title"/>
    <w:basedOn w:val="751"/>
    <w:next w:val="751"/>
    <w:link w:val="821"/>
    <w:uiPriority w:val="10"/>
    <w:qFormat/>
    <w:pPr>
      <w:contextualSpacing/>
      <w:spacing w:before="300" w:after="200"/>
    </w:pPr>
    <w:rPr>
      <w:sz w:val="48"/>
      <w:szCs w:val="48"/>
    </w:rPr>
  </w:style>
  <w:style w:type="paragraph" w:styleId="800">
    <w:name w:val="annotation subject"/>
    <w:basedOn w:val="769"/>
    <w:next w:val="769"/>
    <w:link w:val="997"/>
    <w:uiPriority w:val="0"/>
    <w:semiHidden/>
    <w:qFormat/>
    <w:rPr>
      <w:b/>
      <w:bCs/>
    </w:rPr>
  </w:style>
  <w:style w:type="paragraph" w:styleId="801">
    <w:name w:val="Body Text First Indent"/>
    <w:basedOn w:val="751"/>
    <w:link w:val="998"/>
    <w:uiPriority w:val="0"/>
    <w:qFormat/>
    <w:pPr>
      <w:ind w:firstLine="200"/>
      <w:spacing w:line="360" w:lineRule="auto"/>
    </w:pPr>
    <w:rPr>
      <w:rFonts w:ascii="仿宋_GB2312" w:eastAsia="仿宋_GB2312"/>
      <w:sz w:val="30"/>
      <w:szCs w:val="30"/>
    </w:rPr>
  </w:style>
  <w:style w:type="paragraph" w:styleId="802">
    <w:name w:val="Body Text First Indent 2"/>
    <w:basedOn w:val="772"/>
    <w:link w:val="999"/>
    <w:uiPriority w:val="0"/>
    <w:qFormat/>
    <w:pPr>
      <w:ind w:firstLine="420"/>
      <w:spacing w:line="360" w:lineRule="auto"/>
    </w:pPr>
    <w:rPr>
      <w:rFonts w:ascii="宋体" w:hAnsi="宋体" w:eastAsia="宋体"/>
      <w:sz w:val="21"/>
      <w:szCs w:val="20"/>
    </w:rPr>
  </w:style>
  <w:style w:type="table" w:styleId="803">
    <w:name w:val="Table Grid"/>
    <w:basedOn w:val="76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uiPriority w:val="0"/>
    <w:qFormat/>
    <w:rPr>
      <w:b/>
      <w:bCs/>
    </w:rPr>
  </w:style>
  <w:style w:type="character" w:styleId="805">
    <w:name w:val="endnote reference"/>
    <w:basedOn w:val="761"/>
    <w:uiPriority w:val="99"/>
    <w:semiHidden/>
    <w:unhideWhenUsed/>
    <w:qFormat/>
    <w:rPr>
      <w:vertAlign w:val="superscript"/>
    </w:rPr>
  </w:style>
  <w:style w:type="character" w:styleId="806">
    <w:name w:val="page number"/>
    <w:uiPriority w:val="0"/>
    <w:qFormat/>
  </w:style>
  <w:style w:type="character" w:styleId="807">
    <w:name w:val="FollowedHyperlink"/>
    <w:uiPriority w:val="0"/>
    <w:qFormat/>
    <w:rPr>
      <w:color w:val="800080"/>
      <w:u w:val="single"/>
    </w:rPr>
  </w:style>
  <w:style w:type="character" w:styleId="808">
    <w:name w:val="Emphasis"/>
    <w:basedOn w:val="761"/>
    <w:uiPriority w:val="20"/>
    <w:qFormat/>
    <w:rPr>
      <w:i/>
    </w:rPr>
  </w:style>
  <w:style w:type="character" w:styleId="809">
    <w:name w:val="Hyperlink"/>
    <w:uiPriority w:val="0"/>
    <w:qFormat/>
    <w:rPr>
      <w:color w:val="0000ff"/>
      <w:u w:val="single"/>
    </w:rPr>
  </w:style>
  <w:style w:type="character" w:styleId="810">
    <w:name w:val="annotation reference"/>
    <w:uiPriority w:val="0"/>
    <w:semiHidden/>
    <w:qFormat/>
    <w:rPr>
      <w:sz w:val="21"/>
      <w:szCs w:val="21"/>
    </w:rPr>
  </w:style>
  <w:style w:type="character" w:styleId="811">
    <w:name w:val="footnote reference"/>
    <w:basedOn w:val="761"/>
    <w:uiPriority w:val="99"/>
    <w:unhideWhenUsed/>
    <w:qFormat/>
    <w:rPr>
      <w:vertAlign w:val="superscript"/>
    </w:rPr>
  </w:style>
  <w:style w:type="character" w:styleId="812" w:customStyle="1">
    <w:name w:val="Heading 1 Char"/>
    <w:basedOn w:val="761"/>
    <w:uiPriority w:val="9"/>
    <w:qFormat/>
    <w:rPr>
      <w:rFonts w:ascii="Arial" w:hAnsi="Arial" w:eastAsia="Arial" w:cs="Arial"/>
      <w:sz w:val="40"/>
      <w:szCs w:val="40"/>
    </w:rPr>
  </w:style>
  <w:style w:type="character" w:styleId="813" w:customStyle="1">
    <w:name w:val="Heading 2 Char"/>
    <w:basedOn w:val="761"/>
    <w:uiPriority w:val="9"/>
    <w:qFormat/>
    <w:rPr>
      <w:rFonts w:ascii="Arial" w:hAnsi="Arial" w:eastAsia="Arial" w:cs="Arial"/>
      <w:sz w:val="34"/>
    </w:rPr>
  </w:style>
  <w:style w:type="character" w:styleId="814" w:customStyle="1">
    <w:name w:val="Heading 3 Char"/>
    <w:basedOn w:val="761"/>
    <w:uiPriority w:val="9"/>
    <w:qFormat/>
    <w:rPr>
      <w:rFonts w:ascii="Arial" w:hAnsi="Arial" w:eastAsia="Arial" w:cs="Arial"/>
      <w:sz w:val="30"/>
      <w:szCs w:val="30"/>
    </w:rPr>
  </w:style>
  <w:style w:type="character" w:styleId="815" w:customStyle="1">
    <w:name w:val="Heading 4 Char"/>
    <w:basedOn w:val="761"/>
    <w:uiPriority w:val="9"/>
    <w:qFormat/>
    <w:rPr>
      <w:rFonts w:ascii="Arial" w:hAnsi="Arial" w:eastAsia="Arial" w:cs="Arial"/>
      <w:b/>
      <w:bCs/>
      <w:sz w:val="26"/>
      <w:szCs w:val="26"/>
    </w:rPr>
  </w:style>
  <w:style w:type="character" w:styleId="816" w:customStyle="1">
    <w:name w:val="Heading 5 Char"/>
    <w:basedOn w:val="761"/>
    <w:uiPriority w:val="9"/>
    <w:qFormat/>
    <w:rPr>
      <w:rFonts w:ascii="Arial" w:hAnsi="Arial" w:eastAsia="Arial" w:cs="Arial"/>
      <w:b/>
      <w:bCs/>
      <w:sz w:val="24"/>
      <w:szCs w:val="24"/>
    </w:rPr>
  </w:style>
  <w:style w:type="character" w:styleId="817" w:customStyle="1">
    <w:name w:val="Heading 6 Char"/>
    <w:basedOn w:val="761"/>
    <w:uiPriority w:val="9"/>
    <w:qFormat/>
    <w:rPr>
      <w:rFonts w:ascii="Arial" w:hAnsi="Arial" w:eastAsia="Arial" w:cs="Arial"/>
      <w:b/>
      <w:bCs/>
      <w:sz w:val="22"/>
      <w:szCs w:val="22"/>
    </w:rPr>
  </w:style>
  <w:style w:type="character" w:styleId="818" w:customStyle="1">
    <w:name w:val="Heading 7 Char"/>
    <w:basedOn w:val="761"/>
    <w:uiPriority w:val="9"/>
    <w:qFormat/>
    <w:rPr>
      <w:rFonts w:ascii="Arial" w:hAnsi="Arial" w:eastAsia="Arial" w:cs="Arial"/>
      <w:b/>
      <w:bCs/>
      <w:i/>
      <w:iCs/>
      <w:sz w:val="22"/>
      <w:szCs w:val="22"/>
    </w:rPr>
  </w:style>
  <w:style w:type="character" w:styleId="819" w:customStyle="1">
    <w:name w:val="Heading 8 Char"/>
    <w:basedOn w:val="761"/>
    <w:uiPriority w:val="9"/>
    <w:qFormat/>
    <w:rPr>
      <w:rFonts w:ascii="Arial" w:hAnsi="Arial" w:eastAsia="Arial" w:cs="Arial"/>
      <w:i/>
      <w:iCs/>
      <w:sz w:val="22"/>
      <w:szCs w:val="22"/>
    </w:rPr>
  </w:style>
  <w:style w:type="character" w:styleId="820" w:customStyle="1">
    <w:name w:val="Heading 9 Char"/>
    <w:basedOn w:val="761"/>
    <w:uiPriority w:val="9"/>
    <w:qFormat/>
    <w:rPr>
      <w:rFonts w:ascii="Arial" w:hAnsi="Arial" w:eastAsia="Arial" w:cs="Arial"/>
      <w:i/>
      <w:iCs/>
      <w:sz w:val="21"/>
      <w:szCs w:val="21"/>
    </w:rPr>
  </w:style>
  <w:style w:type="character" w:styleId="821" w:customStyle="1">
    <w:name w:val="Title Char"/>
    <w:basedOn w:val="761"/>
    <w:link w:val="799"/>
    <w:uiPriority w:val="10"/>
    <w:qFormat/>
    <w:rPr>
      <w:sz w:val="48"/>
      <w:szCs w:val="48"/>
    </w:rPr>
  </w:style>
  <w:style w:type="character" w:styleId="822" w:customStyle="1">
    <w:name w:val="Subtitle Char"/>
    <w:basedOn w:val="761"/>
    <w:link w:val="788"/>
    <w:uiPriority w:val="11"/>
    <w:qFormat/>
    <w:rPr>
      <w:sz w:val="24"/>
      <w:szCs w:val="24"/>
    </w:rPr>
  </w:style>
  <w:style w:type="paragraph" w:styleId="823">
    <w:name w:val="Quote"/>
    <w:basedOn w:val="751"/>
    <w:next w:val="751"/>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51"/>
    <w:next w:val="751"/>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61"/>
    <w:uiPriority w:val="99"/>
    <w:qFormat/>
  </w:style>
  <w:style w:type="character" w:styleId="828" w:customStyle="1">
    <w:name w:val="Footer Char"/>
    <w:basedOn w:val="761"/>
    <w:uiPriority w:val="99"/>
    <w:qFormat/>
  </w:style>
  <w:style w:type="character" w:styleId="829" w:customStyle="1">
    <w:name w:val="Caption Char"/>
    <w:uiPriority w:val="99"/>
    <w:qFormat/>
  </w:style>
  <w:style w:type="table" w:styleId="830" w:customStyle="1">
    <w:name w:val="Table Grid Light"/>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basedOn w:val="7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basedOn w:val="7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basedOn w:val="7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basedOn w:val="7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basedOn w:val="7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Footnote Text Char"/>
    <w:link w:val="790"/>
    <w:uiPriority w:val="99"/>
    <w:qFormat/>
    <w:rPr>
      <w:sz w:val="18"/>
    </w:rPr>
  </w:style>
  <w:style w:type="character" w:styleId="956" w:customStyle="1">
    <w:name w:val="Endnote Text Char"/>
    <w:link w:val="782"/>
    <w:uiPriority w:val="99"/>
    <w:qFormat/>
    <w:rPr>
      <w:sz w:val="20"/>
    </w:rPr>
  </w:style>
  <w:style w:type="paragraph" w:styleId="957" w:customStyle="1">
    <w:name w:val="TOC Heading"/>
    <w:uiPriority w:val="39"/>
    <w:unhideWhenUsed/>
    <w:qFormat/>
    <w:rPr>
      <w:rFonts w:hint="default" w:ascii="Times New Roman" w:hAnsi="Times New Roman" w:eastAsia="宋体" w:cs="Times New Roman"/>
    </w:rPr>
  </w:style>
  <w:style w:type="paragraph" w:styleId="958" w:customStyle="1">
    <w:name w:val="正文文本1"/>
    <w:basedOn w:val="959"/>
    <w:next w:val="751"/>
    <w:uiPriority w:val="0"/>
    <w:qFormat/>
    <w:rPr>
      <w:rFonts w:ascii="仿宋_GB2312" w:eastAsia="仿宋_GB2312"/>
      <w:sz w:val="24"/>
      <w:szCs w:val="20"/>
    </w:rPr>
  </w:style>
  <w:style w:type="paragraph" w:styleId="959" w:customStyle="1">
    <w:name w:val="正文13"/>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首行缩进1"/>
    <w:basedOn w:val="958"/>
    <w:next w:val="961"/>
    <w:uiPriority w:val="0"/>
    <w:qFormat/>
    <w:pPr>
      <w:ind w:firstLine="200"/>
      <w:spacing w:line="360" w:lineRule="auto"/>
    </w:pPr>
    <w:rPr>
      <w:rFonts w:ascii="仿宋_GB2312" w:eastAsia="仿宋_GB2312"/>
      <w:sz w:val="30"/>
      <w:szCs w:val="30"/>
    </w:rPr>
  </w:style>
  <w:style w:type="paragraph" w:styleId="961" w:customStyle="1">
    <w:name w:val="正文首行缩进 211"/>
    <w:basedOn w:val="962"/>
    <w:next w:val="963"/>
    <w:uiPriority w:val="0"/>
    <w:qFormat/>
    <w:pPr>
      <w:ind w:firstLine="420"/>
    </w:pPr>
    <w:rPr>
      <w:sz w:val="24"/>
    </w:rPr>
  </w:style>
  <w:style w:type="paragraph" w:styleId="962" w:customStyle="1">
    <w:name w:val="正文文本缩进11"/>
    <w:basedOn w:val="963"/>
    <w:next w:val="967"/>
    <w:uiPriority w:val="0"/>
    <w:qFormat/>
    <w:pPr>
      <w:ind w:firstLine="538"/>
    </w:pPr>
    <w:rPr>
      <w:sz w:val="28"/>
    </w:rPr>
  </w:style>
  <w:style w:type="paragraph" w:styleId="963" w:customStyle="1">
    <w:name w:val="正文112"/>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正文文本11"/>
    <w:basedOn w:val="963"/>
    <w:next w:val="965"/>
    <w:uiPriority w:val="0"/>
    <w:qFormat/>
    <w:pPr>
      <w:spacing w:after="120"/>
    </w:pPr>
  </w:style>
  <w:style w:type="paragraph" w:styleId="965" w:customStyle="1">
    <w:name w:val="正文11"/>
    <w:next w:val="966"/>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正文首行缩进11"/>
    <w:basedOn w:val="964"/>
    <w:next w:val="961"/>
    <w:uiPriority w:val="0"/>
    <w:qFormat/>
    <w:pPr>
      <w:ind w:firstLine="200"/>
      <w:spacing w:line="360" w:lineRule="auto"/>
      <w:tabs>
        <w:tab w:val="left" w:pos="420" w:leader="none"/>
      </w:tabs>
    </w:pPr>
    <w:rPr>
      <w:rFonts w:ascii="仿宋_GB2312" w:hAnsi="Calibri" w:eastAsia="仿宋_GB2312"/>
      <w:sz w:val="30"/>
      <w:szCs w:val="30"/>
    </w:rPr>
  </w:style>
  <w:style w:type="paragraph" w:styleId="967" w:customStyle="1">
    <w:name w:val="寄信人地址11"/>
    <w:basedOn w:val="751"/>
    <w:uiPriority w:val="0"/>
    <w:qFormat/>
    <w:rPr>
      <w:rFonts w:ascii="Arial" w:hAnsi="Arial"/>
    </w:rPr>
  </w:style>
  <w:style w:type="paragraph" w:styleId="968" w:customStyle="1">
    <w:name w:val="一级条标题"/>
    <w:basedOn w:val="969"/>
    <w:next w:val="9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9" w:customStyle="1">
    <w:name w:val="章标题"/>
    <w:next w:val="75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70" w:customStyle="1">
    <w:name w:val="段"/>
    <w:basedOn w:val="965"/>
    <w:next w:val="971"/>
    <w:uiPriority w:val="0"/>
    <w:qFormat/>
    <w:pPr>
      <w:ind w:firstLine="200"/>
      <w:widowControl/>
    </w:pPr>
    <w:rPr>
      <w:rFonts w:hint="eastAsia" w:ascii="宋体"/>
      <w:szCs w:val="20"/>
    </w:rPr>
  </w:style>
  <w:style w:type="paragraph" w:styleId="971" w:customStyle="1">
    <w:name w:val="正文1"/>
    <w:basedOn w:val="972"/>
    <w:next w:val="75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72" w:customStyle="1">
    <w:name w:val="正文111"/>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标题 21"/>
    <w:basedOn w:val="965"/>
    <w:next w:val="965"/>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974" w:customStyle="1">
    <w:name w:val="标题 1 Char"/>
    <w:link w:val="752"/>
    <w:uiPriority w:val="0"/>
    <w:qFormat/>
    <w:rPr>
      <w:rFonts w:ascii="楷体_GB2312" w:hAnsi="Times New Roman" w:eastAsia="楷体_GB2312" w:cs="Times New Roman"/>
      <w:sz w:val="28"/>
      <w:szCs w:val="28"/>
    </w:rPr>
  </w:style>
  <w:style w:type="character" w:styleId="975" w:customStyle="1">
    <w:name w:val="标题 2 Char"/>
    <w:link w:val="753"/>
    <w:uiPriority w:val="0"/>
    <w:qFormat/>
    <w:rPr>
      <w:rFonts w:ascii="Arial" w:hAnsi="Arial" w:eastAsia="幼圆" w:cs="Arial"/>
      <w:b/>
      <w:bCs/>
      <w:sz w:val="44"/>
      <w:szCs w:val="44"/>
    </w:rPr>
  </w:style>
  <w:style w:type="character" w:styleId="976" w:customStyle="1">
    <w:name w:val="正文缩进 Char"/>
    <w:link w:val="764"/>
    <w:uiPriority w:val="0"/>
    <w:qFormat/>
    <w:rPr>
      <w:rFonts w:ascii="Times New Roman" w:hAnsi="Times New Roman" w:eastAsia="宋体" w:cs="Times New Roman"/>
      <w:szCs w:val="21"/>
    </w:rPr>
  </w:style>
  <w:style w:type="character" w:styleId="977" w:customStyle="1">
    <w:name w:val="标题 3 Char"/>
    <w:link w:val="754"/>
    <w:uiPriority w:val="0"/>
    <w:qFormat/>
    <w:rPr>
      <w:rFonts w:ascii="Times New Roman" w:hAnsi="Times New Roman" w:eastAsia="宋体" w:cs="Times New Roman"/>
      <w:b/>
      <w:bCs/>
      <w:sz w:val="32"/>
      <w:szCs w:val="32"/>
    </w:rPr>
  </w:style>
  <w:style w:type="character" w:styleId="978" w:customStyle="1">
    <w:name w:val="标题 4 Char"/>
    <w:link w:val="755"/>
    <w:uiPriority w:val="0"/>
    <w:qFormat/>
    <w:rPr>
      <w:rFonts w:ascii="Arial" w:hAnsi="Arial" w:eastAsia="黑体" w:cs="Arial"/>
      <w:b/>
      <w:bCs/>
      <w:sz w:val="28"/>
      <w:szCs w:val="28"/>
    </w:rPr>
  </w:style>
  <w:style w:type="character" w:styleId="979" w:customStyle="1">
    <w:name w:val="标题 5 Char"/>
    <w:link w:val="756"/>
    <w:uiPriority w:val="0"/>
    <w:qFormat/>
    <w:rPr>
      <w:rFonts w:ascii="宋体" w:hAnsi="Times New Roman" w:eastAsia="宋体" w:cs="Times New Roman"/>
      <w:color w:val="000000"/>
      <w:sz w:val="28"/>
      <w:szCs w:val="28"/>
    </w:rPr>
  </w:style>
  <w:style w:type="character" w:styleId="980" w:customStyle="1">
    <w:name w:val="标题 6 Char"/>
    <w:link w:val="757"/>
    <w:uiPriority w:val="0"/>
    <w:qFormat/>
    <w:rPr>
      <w:rFonts w:ascii="Arial" w:hAnsi="Arial" w:eastAsia="黑体" w:cs="Times New Roman"/>
      <w:b/>
      <w:bCs/>
      <w:sz w:val="24"/>
      <w:szCs w:val="24"/>
    </w:rPr>
  </w:style>
  <w:style w:type="character" w:styleId="981" w:customStyle="1">
    <w:name w:val="标题 7 Char"/>
    <w:link w:val="758"/>
    <w:uiPriority w:val="0"/>
    <w:qFormat/>
    <w:rPr>
      <w:rFonts w:ascii="Times New Roman" w:hAnsi="Times New Roman" w:eastAsia="宋体" w:cs="Times New Roman"/>
      <w:b/>
      <w:bCs/>
      <w:sz w:val="24"/>
      <w:szCs w:val="24"/>
    </w:rPr>
  </w:style>
  <w:style w:type="character" w:styleId="982" w:customStyle="1">
    <w:name w:val="标题 8 Char"/>
    <w:link w:val="759"/>
    <w:uiPriority w:val="0"/>
    <w:qFormat/>
    <w:rPr>
      <w:rFonts w:ascii="Arial" w:hAnsi="Arial" w:eastAsia="黑体" w:cs="Times New Roman"/>
      <w:sz w:val="24"/>
      <w:szCs w:val="24"/>
    </w:rPr>
  </w:style>
  <w:style w:type="character" w:styleId="983" w:customStyle="1">
    <w:name w:val="标题 9 Char"/>
    <w:link w:val="760"/>
    <w:uiPriority w:val="0"/>
    <w:qFormat/>
    <w:rPr>
      <w:rFonts w:ascii="Arial" w:hAnsi="Arial" w:eastAsia="黑体" w:cs="Times New Roman"/>
      <w:szCs w:val="21"/>
    </w:rPr>
  </w:style>
  <w:style w:type="character" w:styleId="984" w:customStyle="1">
    <w:name w:val="文档结构图 Char"/>
    <w:link w:val="768"/>
    <w:uiPriority w:val="0"/>
    <w:semiHidden/>
    <w:qFormat/>
    <w:rPr>
      <w:rFonts w:ascii="Times New Roman" w:hAnsi="Times New Roman" w:eastAsia="宋体" w:cs="Times New Roman"/>
      <w:szCs w:val="21"/>
      <w:shd w:val="clear" w:color="auto" w:fill="000080"/>
    </w:rPr>
  </w:style>
  <w:style w:type="character" w:styleId="985" w:customStyle="1">
    <w:name w:val="批注文字 Char"/>
    <w:link w:val="769"/>
    <w:uiPriority w:val="0"/>
    <w:semiHidden/>
    <w:qFormat/>
    <w:rPr>
      <w:rFonts w:ascii="Times New Roman" w:hAnsi="Times New Roman" w:eastAsia="宋体" w:cs="Times New Roman"/>
      <w:szCs w:val="21"/>
    </w:rPr>
  </w:style>
  <w:style w:type="character" w:styleId="986" w:customStyle="1">
    <w:name w:val="正文文本 3 Char"/>
    <w:link w:val="770"/>
    <w:uiPriority w:val="0"/>
    <w:qFormat/>
    <w:rPr>
      <w:rFonts w:ascii="仿宋_GB2312" w:hAnsi="Arial" w:eastAsia="仿宋_GB2312" w:cs="Times New Roman"/>
      <w:sz w:val="32"/>
      <w:szCs w:val="32"/>
    </w:rPr>
  </w:style>
  <w:style w:type="character" w:styleId="987" w:customStyle="1">
    <w:name w:val="正文文本 Char"/>
    <w:link w:val="771"/>
    <w:uiPriority w:val="0"/>
    <w:qFormat/>
    <w:rPr>
      <w:rFonts w:ascii="楷体_GB2312" w:hAnsi="Arial" w:eastAsia="楷体_GB2312" w:cs="Times New Roman"/>
      <w:sz w:val="28"/>
      <w:szCs w:val="28"/>
    </w:rPr>
  </w:style>
  <w:style w:type="character" w:styleId="988" w:customStyle="1">
    <w:name w:val="正文文本缩进 Char"/>
    <w:link w:val="772"/>
    <w:uiPriority w:val="0"/>
    <w:qFormat/>
    <w:rPr>
      <w:rFonts w:ascii="楷体_GB2312" w:hAnsi="Times New Roman" w:eastAsia="楷体_GB2312" w:cs="Times New Roman"/>
      <w:sz w:val="32"/>
      <w:szCs w:val="32"/>
    </w:rPr>
  </w:style>
  <w:style w:type="character" w:styleId="989" w:customStyle="1">
    <w:name w:val="纯文本 Char"/>
    <w:link w:val="778"/>
    <w:uiPriority w:val="0"/>
    <w:qFormat/>
    <w:rPr>
      <w:rFonts w:ascii="宋体" w:hAnsi="Courier New" w:eastAsia="宋体" w:cs="Courier New"/>
      <w:szCs w:val="21"/>
    </w:rPr>
  </w:style>
  <w:style w:type="character" w:styleId="990" w:customStyle="1">
    <w:name w:val="日期 Char"/>
    <w:link w:val="780"/>
    <w:uiPriority w:val="0"/>
    <w:qFormat/>
    <w:rPr>
      <w:rFonts w:ascii="Times New Roman" w:hAnsi="Times New Roman" w:eastAsia="宋体" w:cs="Times New Roman"/>
      <w:sz w:val="24"/>
      <w:szCs w:val="24"/>
    </w:rPr>
  </w:style>
  <w:style w:type="character" w:styleId="991" w:customStyle="1">
    <w:name w:val="正文文本缩进 2 Char"/>
    <w:link w:val="781"/>
    <w:uiPriority w:val="0"/>
    <w:qFormat/>
    <w:rPr>
      <w:rFonts w:ascii="Arial" w:hAnsi="Arial" w:eastAsia="仿宋_GB2312" w:cs="Arial"/>
      <w:sz w:val="32"/>
      <w:szCs w:val="32"/>
    </w:rPr>
  </w:style>
  <w:style w:type="character" w:styleId="992" w:customStyle="1">
    <w:name w:val="批注框文本 Char"/>
    <w:link w:val="783"/>
    <w:uiPriority w:val="0"/>
    <w:semiHidden/>
    <w:qFormat/>
    <w:rPr>
      <w:rFonts w:ascii="Times New Roman" w:hAnsi="Times New Roman" w:eastAsia="宋体" w:cs="Times New Roman"/>
      <w:sz w:val="18"/>
      <w:szCs w:val="18"/>
    </w:rPr>
  </w:style>
  <w:style w:type="character" w:styleId="993" w:customStyle="1">
    <w:name w:val="页脚 Char"/>
    <w:link w:val="784"/>
    <w:uiPriority w:val="0"/>
    <w:qFormat/>
    <w:rPr>
      <w:rFonts w:ascii="Times New Roman" w:hAnsi="Times New Roman" w:eastAsia="宋体" w:cs="Times New Roman"/>
      <w:sz w:val="18"/>
      <w:szCs w:val="18"/>
    </w:rPr>
  </w:style>
  <w:style w:type="character" w:styleId="994" w:customStyle="1">
    <w:name w:val="页眉 Char"/>
    <w:link w:val="785"/>
    <w:uiPriority w:val="0"/>
    <w:qFormat/>
    <w:rPr>
      <w:rFonts w:ascii="Times New Roman" w:hAnsi="Times New Roman" w:eastAsia="宋体" w:cs="Times New Roman"/>
      <w:sz w:val="18"/>
      <w:szCs w:val="18"/>
    </w:rPr>
  </w:style>
  <w:style w:type="character" w:styleId="995" w:customStyle="1">
    <w:name w:val="正文文本缩进 3 Char"/>
    <w:link w:val="792"/>
    <w:uiPriority w:val="0"/>
    <w:qFormat/>
    <w:rPr>
      <w:rFonts w:ascii="Arial" w:hAnsi="Arial" w:eastAsia="仿宋_GB2312" w:cs="Arial"/>
      <w:color w:val="ffff00"/>
      <w:sz w:val="32"/>
      <w:szCs w:val="32"/>
    </w:rPr>
  </w:style>
  <w:style w:type="character" w:styleId="996" w:customStyle="1">
    <w:name w:val="正文文本 2 Char"/>
    <w:link w:val="796"/>
    <w:uiPriority w:val="0"/>
    <w:qFormat/>
    <w:rPr>
      <w:rFonts w:ascii="楷体_GB2312" w:hAnsi="Times New Roman" w:eastAsia="楷体_GB2312" w:cs="Times New Roman"/>
      <w:sz w:val="28"/>
      <w:szCs w:val="28"/>
    </w:rPr>
  </w:style>
  <w:style w:type="character" w:styleId="997" w:customStyle="1">
    <w:name w:val="批注主题 Char"/>
    <w:link w:val="800"/>
    <w:uiPriority w:val="0"/>
    <w:semiHidden/>
    <w:qFormat/>
    <w:rPr>
      <w:rFonts w:ascii="Times New Roman" w:hAnsi="Times New Roman" w:eastAsia="宋体" w:cs="Times New Roman"/>
      <w:b/>
      <w:bCs/>
      <w:szCs w:val="21"/>
    </w:rPr>
  </w:style>
  <w:style w:type="character" w:styleId="998" w:customStyle="1">
    <w:name w:val="正文首行缩进 Char"/>
    <w:link w:val="801"/>
    <w:uiPriority w:val="0"/>
    <w:qFormat/>
    <w:rPr>
      <w:rFonts w:ascii="仿宋_GB2312" w:hAnsi="Times New Roman" w:eastAsia="仿宋_GB2312" w:cs="Times New Roman"/>
      <w:sz w:val="30"/>
      <w:szCs w:val="30"/>
    </w:rPr>
  </w:style>
  <w:style w:type="character" w:styleId="999" w:customStyle="1">
    <w:name w:val="正文首行缩进 2 Char"/>
    <w:link w:val="802"/>
    <w:uiPriority w:val="0"/>
    <w:qFormat/>
    <w:rPr>
      <w:rFonts w:ascii="宋体" w:hAnsi="宋体" w:eastAsia="宋体" w:cs="Times New Roman"/>
      <w:sz w:val="32"/>
      <w:szCs w:val="20"/>
    </w:rPr>
  </w:style>
  <w:style w:type="character" w:styleId="1000" w:customStyle="1">
    <w:name w:val="font5 Char"/>
    <w:uiPriority w:val="0"/>
    <w:qFormat/>
    <w:rPr>
      <w:rFonts w:ascii="宋体" w:hAnsi="宋体" w:eastAsia="宋体"/>
      <w:sz w:val="28"/>
      <w:szCs w:val="28"/>
      <w:lang w:val="en-US" w:eastAsia="zh-CN" w:bidi="ar-SA"/>
    </w:rPr>
  </w:style>
  <w:style w:type="character" w:styleId="1001" w:customStyle="1">
    <w:name w:val="二级目录 Char"/>
    <w:link w:val="1002"/>
    <w:uiPriority w:val="0"/>
    <w:qFormat/>
    <w:rPr>
      <w:b/>
      <w:sz w:val="30"/>
      <w:szCs w:val="28"/>
    </w:rPr>
  </w:style>
  <w:style w:type="paragraph" w:styleId="1002" w:customStyle="1">
    <w:name w:val="二级目录"/>
    <w:next w:val="751"/>
    <w:link w:val="1001"/>
    <w:uiPriority w:val="0"/>
    <w:qFormat/>
    <w:pPr>
      <w:numPr>
        <w:ilvl w:val="0"/>
        <w:numId w:val="3"/>
      </w:numPr>
      <w:tabs>
        <w:tab w:val="left" w:pos="1145" w:leader="none"/>
      </w:tabs>
      <w:outlineLvl w:val="1"/>
    </w:pPr>
    <w:rPr>
      <w:rFonts w:hint="default" w:ascii="Calibri" w:hAnsi="Calibri" w:eastAsia="宋体" w:cs="Times New Roman"/>
      <w:b/>
      <w:sz w:val="30"/>
      <w:szCs w:val="28"/>
      <w:lang w:val="en-US" w:eastAsia="zh-CN" w:bidi="ar-SA"/>
    </w:rPr>
  </w:style>
  <w:style w:type="character" w:styleId="1003" w:customStyle="1">
    <w:name w:val="列出段落 Char"/>
    <w:link w:val="1004"/>
    <w:uiPriority w:val="0"/>
    <w:qFormat/>
    <w:rPr>
      <w:rFonts w:ascii="Calibri" w:hAnsi="Calibri"/>
      <w:sz w:val="24"/>
      <w:szCs w:val="24"/>
      <w:lang w:eastAsia="en-US" w:bidi="en-US"/>
    </w:rPr>
  </w:style>
  <w:style w:type="paragraph" w:styleId="1004" w:customStyle="1">
    <w:name w:val="列出段落1"/>
    <w:basedOn w:val="751"/>
    <w:link w:val="1003"/>
    <w:uiPriority w:val="0"/>
    <w:qFormat/>
    <w:pPr>
      <w:contextualSpacing/>
      <w:ind w:left="720"/>
      <w:jc w:val="left"/>
      <w:widowControl/>
    </w:pPr>
    <w:rPr>
      <w:rFonts w:ascii="Calibri" w:hAnsi="Calibri" w:eastAsia="宋体" w:cs="Times New Roman"/>
      <w:sz w:val="24"/>
      <w:szCs w:val="24"/>
      <w:lang w:eastAsia="en-US" w:bidi="en-US"/>
    </w:rPr>
  </w:style>
  <w:style w:type="paragraph" w:styleId="1005" w:customStyle="1">
    <w:name w:val="Body Text(ch)"/>
    <w:basedOn w:val="751"/>
    <w:next w:val="771"/>
    <w:uiPriority w:val="0"/>
    <w:qFormat/>
    <w:pPr>
      <w:spacing w:after="120"/>
    </w:pPr>
    <w:rPr>
      <w:rFonts w:ascii="宋体" w:hAnsi="Arial"/>
      <w:bCs/>
      <w:iCs/>
      <w:szCs w:val="24"/>
    </w:rPr>
  </w:style>
  <w:style w:type="paragraph" w:styleId="1006" w:customStyle="1">
    <w:name w:val="xl27"/>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7" w:customStyle="1">
    <w:name w:val="xl2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8" w:customStyle="1">
    <w:name w:val="Char"/>
    <w:basedOn w:val="751"/>
    <w:uiPriority w:val="0"/>
    <w:qFormat/>
    <w:pPr>
      <w:ind w:firstLine="200"/>
      <w:tabs>
        <w:tab w:val="left" w:pos="360" w:leader="none"/>
      </w:tabs>
    </w:pPr>
    <w:rPr>
      <w:sz w:val="28"/>
      <w:szCs w:val="30"/>
    </w:rPr>
  </w:style>
  <w:style w:type="paragraph" w:styleId="1009" w:customStyle="1">
    <w:name w:val=" Char"/>
    <w:basedOn w:val="768"/>
    <w:uiPriority w:val="0"/>
    <w:qFormat/>
    <w:rPr>
      <w:rFonts w:ascii="Tahoma" w:hAnsi="Tahoma"/>
      <w:sz w:val="24"/>
      <w:szCs w:val="24"/>
    </w:rPr>
  </w:style>
  <w:style w:type="paragraph" w:styleId="1010"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11" w:customStyle="1">
    <w:name w:val="table_lines"/>
    <w:basedOn w:val="751"/>
    <w:uiPriority w:val="0"/>
    <w:qFormat/>
    <w:pPr>
      <w:jc w:val="left"/>
      <w:widowControl/>
    </w:pPr>
    <w:rPr>
      <w:sz w:val="20"/>
      <w:szCs w:val="20"/>
      <w:lang w:val="de-DE" w:eastAsia="de-DE"/>
    </w:rPr>
  </w:style>
  <w:style w:type="paragraph" w:styleId="101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13"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14" w:customStyle="1">
    <w:name w:val=" Char Char Char Char"/>
    <w:basedOn w:val="768"/>
    <w:uiPriority w:val="0"/>
    <w:qFormat/>
    <w:pPr>
      <w:spacing w:line="360" w:lineRule="auto"/>
    </w:pPr>
    <w:rPr>
      <w:rFonts w:ascii="Tahoma" w:hAnsi="Tahoma"/>
      <w:sz w:val="24"/>
      <w:szCs w:val="24"/>
    </w:rPr>
  </w:style>
  <w:style w:type="paragraph" w:styleId="1015">
    <w:name w:val="List Paragraph"/>
    <w:basedOn w:val="751"/>
    <w:uiPriority w:val="0"/>
    <w:qFormat/>
    <w:pPr>
      <w:contextualSpacing/>
      <w:ind w:left="720"/>
      <w:jc w:val="left"/>
      <w:widowControl/>
    </w:pPr>
    <w:rPr>
      <w:rFonts w:ascii="Calibri" w:hAnsi="Calibri"/>
      <w:sz w:val="24"/>
      <w:szCs w:val="24"/>
      <w:lang w:eastAsia="en-US" w:bidi="en-US"/>
    </w:rPr>
  </w:style>
  <w:style w:type="paragraph" w:styleId="1016" w:customStyle="1">
    <w:name w:val="4"/>
    <w:basedOn w:val="751"/>
    <w:next w:val="792"/>
    <w:uiPriority w:val="0"/>
    <w:qFormat/>
    <w:pPr>
      <w:ind w:firstLine="420"/>
      <w:spacing w:line="360" w:lineRule="auto"/>
    </w:pPr>
    <w:rPr>
      <w:color w:val="ff0000"/>
      <w:sz w:val="24"/>
      <w:szCs w:val="24"/>
    </w:rPr>
  </w:style>
  <w:style w:type="paragraph" w:styleId="1017"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18" w:customStyle="1">
    <w:name w:val=" Char Char Char Char Char Char Char Char Char Char"/>
    <w:basedOn w:val="751"/>
    <w:uiPriority w:val="0"/>
    <w:qFormat/>
    <w:pPr>
      <w:spacing w:line="360" w:lineRule="auto"/>
    </w:pPr>
    <w:rPr>
      <w:sz w:val="24"/>
      <w:szCs w:val="20"/>
    </w:rPr>
  </w:style>
  <w:style w:type="paragraph" w:styleId="1019" w:customStyle="1">
    <w:name w:val="样式1"/>
    <w:basedOn w:val="751"/>
    <w:uiPriority w:val="0"/>
    <w:qFormat/>
    <w:pPr>
      <w:numPr>
        <w:ilvl w:val="0"/>
        <w:numId w:val="4"/>
      </w:numPr>
    </w:pPr>
    <w:rPr>
      <w:rFonts w:ascii="宋体" w:hAnsi="宋体"/>
    </w:rPr>
  </w:style>
  <w:style w:type="paragraph" w:styleId="1020"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21"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24" w:customStyle="1">
    <w:name w:val="xl24"/>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5" w:customStyle="1">
    <w:name w:val="xl29"/>
    <w:basedOn w:val="75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6"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27" w:customStyle="1">
    <w:name w:val="xl28"/>
    <w:basedOn w:val="7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8"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29"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30" w:customStyle="1">
    <w:name w:val="Char Char Char Char"/>
    <w:basedOn w:val="768"/>
    <w:uiPriority w:val="0"/>
    <w:qFormat/>
    <w:pPr>
      <w:spacing w:line="360" w:lineRule="auto"/>
    </w:pPr>
    <w:rPr>
      <w:rFonts w:ascii="Tahoma" w:hAnsi="Tahoma"/>
      <w:sz w:val="24"/>
      <w:szCs w:val="24"/>
    </w:rPr>
  </w:style>
  <w:style w:type="paragraph" w:styleId="1031" w:customStyle="1">
    <w:name w:val="table_1stline"/>
    <w:basedOn w:val="751"/>
    <w:uiPriority w:val="0"/>
    <w:qFormat/>
    <w:pPr>
      <w:jc w:val="left"/>
      <w:spacing w:before="120"/>
      <w:widowControl/>
    </w:pPr>
    <w:rPr>
      <w:bCs/>
      <w:sz w:val="20"/>
      <w:szCs w:val="20"/>
      <w:lang w:val="de-DE" w:eastAsia="de-DE"/>
    </w:rPr>
  </w:style>
  <w:style w:type="paragraph" w:styleId="1032"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customStyle="1">
    <w:name w:val="_Style 111"/>
    <w:uiPriority w:val="99"/>
    <w:semiHidden/>
    <w:qFormat/>
    <w:rPr>
      <w:rFonts w:hint="default" w:ascii="Times New Roman" w:hAnsi="Times New Roman" w:eastAsia="宋体" w:cs="Times New Roman"/>
      <w:sz w:val="21"/>
      <w:szCs w:val="21"/>
      <w:lang w:val="en-US" w:eastAsia="zh-CN" w:bidi="ar-SA"/>
    </w:rPr>
  </w:style>
  <w:style w:type="paragraph" w:styleId="103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6" w:customStyle="1">
    <w:name w:val="表格文本"/>
    <w:basedOn w:val="751"/>
    <w:uiPriority w:val="0"/>
    <w:qFormat/>
    <w:pPr>
      <w:jc w:val="left"/>
      <w:tabs>
        <w:tab w:val="decimal" w:pos="0" w:leader="none"/>
      </w:tabs>
    </w:pPr>
    <w:rPr>
      <w:rFonts w:ascii="Arial" w:hAnsi="Arial"/>
      <w:szCs w:val="21"/>
    </w:rPr>
  </w:style>
  <w:style w:type="paragraph" w:styleId="1037" w:customStyle="1">
    <w:name w:val="方案正文"/>
    <w:basedOn w:val="751"/>
    <w:uiPriority w:val="0"/>
    <w:qFormat/>
    <w:pPr>
      <w:ind w:firstLine="425"/>
      <w:jc w:val="left"/>
      <w:spacing w:before="120" w:after="60" w:line="360" w:lineRule="auto"/>
    </w:pPr>
    <w:rPr>
      <w:rFonts w:ascii="华文细黑" w:hAnsi="华文细黑" w:eastAsia="华文细黑"/>
      <w:sz w:val="24"/>
    </w:rPr>
  </w:style>
  <w:style w:type="paragraph" w:styleId="1038" w:customStyle="1">
    <w:name w:val="列表段落1"/>
    <w:basedOn w:val="751"/>
    <w:uiPriority w:val="0"/>
    <w:qFormat/>
    <w:pPr>
      <w:ind w:firstLine="420"/>
    </w:pPr>
    <w:rPr>
      <w:rFonts w:ascii="Calibri" w:hAnsi="Calibri"/>
      <w:szCs w:val="21"/>
    </w:rPr>
  </w:style>
  <w:style w:type="table" w:styleId="1039" w:customStyle="1">
    <w:name w:val="网格型3"/>
    <w:basedOn w:val="76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0" w:customStyle="1">
    <w:name w:val="正文缩进2格"/>
    <w:basedOn w:val="751"/>
    <w:uiPriority w:val="0"/>
    <w:qFormat/>
    <w:pPr>
      <w:ind w:firstLine="639"/>
      <w:spacing w:line="600" w:lineRule="exact"/>
    </w:pPr>
    <w:rPr>
      <w:rFonts w:ascii="仿宋_GB2312" w:hAnsi="宋体" w:eastAsia="仿宋_GB2312"/>
      <w:sz w:val="31"/>
      <w:szCs w:val="28"/>
    </w:rPr>
  </w:style>
  <w:style w:type="paragraph" w:styleId="1041" w:customStyle="1">
    <w:name w:val="Heading 4"/>
    <w:basedOn w:val="751"/>
    <w:next w:val="751"/>
    <w:uiPriority w:val="0"/>
    <w:qFormat/>
    <w:pPr>
      <w:jc w:val="center"/>
      <w:keepNext/>
      <w:outlineLvl w:val="3"/>
    </w:pPr>
    <w:rPr>
      <w:rFonts w:eastAsia="新宋体"/>
      <w:sz w:val="30"/>
      <w:szCs w:val="21"/>
    </w:rPr>
  </w:style>
  <w:style w:type="paragraph" w:styleId="1042" w:customStyle="1">
    <w:name w:val="无间隔1"/>
    <w:uiPriority w:val="1"/>
    <w:qFormat/>
    <w:pPr>
      <w:jc w:val="center"/>
      <w:widowControl w:val="off"/>
    </w:pPr>
    <w:rPr>
      <w:rFonts w:ascii="仿宋" w:hAnsi="仿宋" w:eastAsia="仿宋" w:cs="Times New Roman"/>
      <w:sz w:val="21"/>
      <w:szCs w:val="22"/>
      <w:lang w:val="en-US" w:eastAsia="zh-CN" w:bidi="ar-SA"/>
    </w:rPr>
  </w:style>
  <w:style w:type="paragraph" w:styleId="1043" w:customStyle="1">
    <w:name w:val="Heading 31"/>
    <w:basedOn w:val="751"/>
    <w:next w:val="764"/>
    <w:uiPriority w:val="99"/>
    <w:qFormat/>
    <w:pPr>
      <w:keepLines/>
      <w:keepNext/>
      <w:spacing w:before="260" w:after="260" w:line="416" w:lineRule="auto"/>
      <w:outlineLvl w:val="2"/>
    </w:pPr>
    <w:rPr>
      <w:b/>
      <w:bCs/>
      <w:sz w:val="32"/>
      <w:szCs w:val="32"/>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潘荣</cp:lastModifiedBy>
  <cp:revision>27</cp:revision>
  <dcterms:created xsi:type="dcterms:W3CDTF">2023-03-16T02:16:00Z</dcterms:created>
  <dcterms:modified xsi:type="dcterms:W3CDTF">2026-07-06T07:09:23Z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B0AA52EF453A457C95D63EF9BDE9A672</vt:lpwstr>
  </property>
  <property fmtid="{D5CDD505-2E9C-101B-9397-08002B2CF9AE}" pid="4" name="KSOTemplateDocerSaveRecord">
    <vt:lpwstr>eyJoZGlkIjoiNDA0M2I4YzdlYjEyYmQ5OGJjY2FjMjcxMDBkYWY0YTIiLCJ1c2VySWQiOiIyODYyMTMwNzUifQ==</vt:lpwstr>
  </property>
</Properties>
</file>