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仿宋" w:hAnsi="仿宋" w:eastAsia="仿宋" w:cs="仿宋"/>
          <w:color w:val="auto"/>
          <w:sz w:val="44"/>
          <w:szCs w:val="44"/>
          <w:highlight w:val="none"/>
          <w:lang w:eastAsia="zh-CN"/>
        </w:rPr>
      </w:pPr>
      <w:r>
        <w:rPr>
          <w:rFonts w:hint="eastAsia" w:ascii="仿宋" w:hAnsi="仿宋" w:eastAsia="仿宋" w:cs="仿宋"/>
          <w:color w:val="auto"/>
          <w:sz w:val="44"/>
          <w:szCs w:val="44"/>
          <w:highlight w:val="none"/>
          <w:lang w:eastAsia="zh-CN"/>
        </w:rPr>
      </w:r>
      <w:r/>
    </w:p>
    <w:p>
      <w:pPr>
        <w:jc w:val="center"/>
        <w:spacing w:line="360" w:lineRule="auto"/>
        <w:rPr>
          <w:rFonts w:hint="eastAsia" w:ascii="仿宋" w:hAnsi="仿宋" w:eastAsia="仿宋" w:cs="仿宋"/>
          <w:color w:val="auto"/>
          <w:sz w:val="44"/>
          <w:szCs w:val="44"/>
          <w:highlight w:val="none"/>
          <w:lang w:eastAsia="zh-CN"/>
        </w:rPr>
      </w:pPr>
      <w:r>
        <w:rPr>
          <w:rFonts w:hint="eastAsia" w:ascii="仿宋" w:hAnsi="仿宋" w:eastAsia="仿宋" w:cs="仿宋"/>
          <w:color w:val="auto"/>
          <w:sz w:val="44"/>
          <w:szCs w:val="44"/>
          <w:highlight w:val="none"/>
          <w:lang w:eastAsia="zh-CN"/>
        </w:rPr>
        <w:t xml:space="preserve">南通经济技术开发区开发建设规划</w:t>
      </w:r>
      <w:r/>
    </w:p>
    <w:p>
      <w:pPr>
        <w:jc w:val="center"/>
        <w:spacing w:line="360" w:lineRule="auto"/>
        <w:rPr>
          <w:rFonts w:hint="eastAsia" w:ascii="仿宋" w:hAnsi="仿宋" w:eastAsia="仿宋" w:cs="仿宋"/>
          <w:color w:val="auto"/>
          <w:sz w:val="44"/>
          <w:szCs w:val="44"/>
          <w:highlight w:val="none"/>
          <w:lang w:eastAsia="zh-CN"/>
        </w:rPr>
      </w:pPr>
      <w:r>
        <w:rPr>
          <w:rFonts w:hint="eastAsia" w:ascii="仿宋" w:hAnsi="仿宋" w:eastAsia="仿宋" w:cs="仿宋"/>
          <w:color w:val="auto"/>
          <w:sz w:val="44"/>
          <w:szCs w:val="44"/>
          <w:highlight w:val="none"/>
          <w:lang w:eastAsia="zh-CN"/>
        </w:rPr>
        <w:t xml:space="preserve">环境影响评价项目</w:t>
      </w:r>
      <w:r/>
    </w:p>
    <w:p>
      <w:pPr>
        <w:pStyle w:val="791"/>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360" w:lineRule="auto"/>
        <w:rPr>
          <w:rFonts w:hint="eastAsia" w:ascii="仿宋" w:hAnsi="仿宋" w:eastAsia="仿宋" w:cs="仿宋"/>
          <w:bCs/>
          <w:color w:val="auto"/>
          <w:sz w:val="52"/>
          <w:szCs w:val="52"/>
          <w:highlight w:val="none"/>
        </w:rPr>
      </w:pPr>
      <w:r>
        <w:rPr>
          <w:rFonts w:hint="eastAsia" w:ascii="仿宋" w:hAnsi="仿宋" w:eastAsia="仿宋" w:cs="仿宋"/>
          <w:bCs/>
          <w:color w:val="auto"/>
          <w:sz w:val="52"/>
          <w:szCs w:val="52"/>
          <w:highlight w:val="none"/>
        </w:rPr>
        <w:t xml:space="preserve">政府采购招标文件</w:t>
      </w:r>
      <w:r/>
    </w:p>
    <w:p>
      <w:pPr>
        <w:pStyle w:val="984"/>
        <w:spacing w:line="360" w:lineRule="auto"/>
        <w:rPr>
          <w:rFonts w:hint="eastAsia" w:ascii="仿宋" w:hAnsi="仿宋" w:eastAsia="仿宋" w:cs="仿宋"/>
          <w:b w:val="0"/>
          <w:bCs/>
          <w:color w:val="auto"/>
          <w:sz w:val="36"/>
          <w:szCs w:val="36"/>
          <w:highlight w:val="none"/>
        </w:rPr>
      </w:pPr>
      <w:r>
        <w:rPr>
          <w:rFonts w:hint="eastAsia" w:ascii="仿宋" w:hAnsi="仿宋" w:eastAsia="仿宋" w:cs="仿宋"/>
          <w:b w:val="0"/>
          <w:bCs/>
          <w:color w:val="auto"/>
          <w:sz w:val="36"/>
          <w:szCs w:val="36"/>
          <w:highlight w:val="none"/>
        </w:rPr>
      </w:r>
      <w:r/>
    </w:p>
    <w:p>
      <w:pPr>
        <w:pStyle w:val="984"/>
        <w:ind w:firstLine="1440"/>
        <w:jc w:val="both"/>
        <w:spacing w:line="360" w:lineRule="auto"/>
        <w:rPr>
          <w:rFonts w:hint="eastAsia" w:ascii="仿宋" w:hAnsi="仿宋" w:eastAsia="仿宋" w:cs="仿宋"/>
          <w:b w:val="0"/>
          <w:bCs/>
          <w:color w:val="auto"/>
          <w:sz w:val="36"/>
          <w:szCs w:val="36"/>
          <w:highlight w:val="none"/>
        </w:rPr>
      </w:pPr>
      <w:r>
        <w:rPr>
          <w:rFonts w:hint="eastAsia" w:ascii="仿宋" w:hAnsi="仿宋" w:eastAsia="仿宋" w:cs="仿宋"/>
          <w:b w:val="0"/>
          <w:bCs/>
          <w:color w:val="auto"/>
          <w:sz w:val="36"/>
          <w:szCs w:val="36"/>
          <w:highlight w:val="none"/>
        </w:rPr>
        <w:t xml:space="preserve">项目编号：JSZC-320690-SZXY-G2026-0026</w:t>
      </w:r>
      <w:r/>
    </w:p>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47.0pt;mso-position-horizontal:absolute;mso-position-vertical-relative:text;margin-top:25.2pt;mso-position-vertical:absolute;width:183.8pt;height:140.9pt;mso-wrap-distance-left:9.0pt;mso-wrap-distance-top:0.0pt;mso-wrap-distance-right:9.0pt;mso-wrap-distance-bottom:0.0pt;" filled="f" stroked="f">
            <v:path textboxrect="0,0,0,0"/>
            <w10:wrap type="topAndBottom"/>
            <v:imagedata r:id="rId14" o:title=""/>
          </v:shape>
          <o:OLEObject DrawAspect="Content" r:id="rId15" ObjectID="_1525042" ProgID="MS_ClipArt_Gallery" ShapeID="_x0000_i2" Type="Embed"/>
        </w:object>
      </w:r>
      <w:r/>
    </w:p>
    <w:p>
      <w:pPr>
        <w:jc w:val="both"/>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pacing w:val="-12"/>
          <w:sz w:val="28"/>
          <w:szCs w:val="28"/>
          <w:highlight w:val="none"/>
        </w:rPr>
      </w:pPr>
      <w:r>
        <w:rPr>
          <w:rFonts w:hint="eastAsia" w:ascii="仿宋" w:hAnsi="仿宋" w:eastAsia="仿宋" w:cs="仿宋"/>
          <w:bCs/>
          <w:color w:val="auto"/>
          <w:spacing w:val="-12"/>
          <w:sz w:val="28"/>
          <w:szCs w:val="28"/>
          <w:highlight w:val="none"/>
        </w:rPr>
      </w:r>
      <w:r/>
    </w:p>
    <w:p>
      <w:pPr>
        <w:ind w:firstLine="1932"/>
        <w:spacing w:line="360" w:lineRule="auto"/>
        <w:rPr>
          <w:rFonts w:hint="eastAsia" w:ascii="仿宋" w:hAnsi="仿宋" w:eastAsia="仿宋" w:cs="仿宋"/>
          <w:bCs/>
          <w:color w:val="auto"/>
          <w:spacing w:val="-12"/>
          <w:sz w:val="30"/>
          <w:szCs w:val="30"/>
          <w:highlight w:val="none"/>
          <w:lang w:eastAsia="zh-CN"/>
        </w:rPr>
      </w:pPr>
      <w:r>
        <w:rPr>
          <w:rFonts w:hint="eastAsia" w:ascii="仿宋" w:hAnsi="仿宋" w:eastAsia="仿宋" w:cs="仿宋"/>
          <w:bCs/>
          <w:color w:val="auto"/>
          <w:spacing w:val="-12"/>
          <w:sz w:val="30"/>
          <w:szCs w:val="30"/>
          <w:highlight w:val="none"/>
        </w:rPr>
        <w:t xml:space="preserve">采购人: </w:t>
      </w:r>
      <w:r>
        <w:rPr>
          <w:rFonts w:hint="eastAsia" w:ascii="仿宋" w:hAnsi="仿宋" w:eastAsia="仿宋" w:cs="仿宋"/>
          <w:bCs/>
          <w:color w:val="auto"/>
          <w:spacing w:val="-12"/>
          <w:sz w:val="30"/>
          <w:szCs w:val="30"/>
          <w:highlight w:val="none"/>
          <w:lang w:eastAsia="zh-CN"/>
        </w:rPr>
        <w:t xml:space="preserve">南通经济技术开发区生态环境局</w:t>
      </w:r>
      <w:r/>
    </w:p>
    <w:p>
      <w:pPr>
        <w:ind w:firstLine="1932"/>
        <w:spacing w:line="360" w:lineRule="auto"/>
        <w:rPr>
          <w:rFonts w:hint="eastAsia" w:ascii="仿宋" w:hAnsi="仿宋" w:eastAsia="仿宋" w:cs="仿宋"/>
          <w:bCs/>
          <w:color w:val="auto"/>
          <w:spacing w:val="-12"/>
          <w:sz w:val="30"/>
          <w:szCs w:val="30"/>
          <w:highlight w:val="none"/>
        </w:rPr>
      </w:pPr>
      <w:r>
        <w:rPr>
          <w:rFonts w:hint="eastAsia" w:ascii="仿宋" w:hAnsi="仿宋" w:eastAsia="仿宋" w:cs="仿宋"/>
          <w:bCs/>
          <w:color w:val="auto"/>
          <w:spacing w:val="-12"/>
          <w:sz w:val="30"/>
          <w:szCs w:val="30"/>
          <w:highlight w:val="none"/>
        </w:rPr>
        <w:t xml:space="preserve">招标代理机构:</w:t>
      </w:r>
      <w:r>
        <w:rPr>
          <w:rFonts w:hint="eastAsia" w:ascii="仿宋" w:hAnsi="仿宋" w:eastAsia="仿宋" w:cs="仿宋"/>
          <w:bCs/>
          <w:color w:val="auto"/>
          <w:spacing w:val="-12"/>
          <w:sz w:val="30"/>
          <w:szCs w:val="30"/>
          <w:highlight w:val="none"/>
          <w:lang w:eastAsia="zh-CN"/>
        </w:rPr>
        <w:t xml:space="preserve">苏州新一造价师价格事务所有限公司</w:t>
      </w:r>
      <w:r>
        <w:rPr>
          <w:rFonts w:hint="eastAsia" w:ascii="仿宋" w:hAnsi="仿宋" w:eastAsia="仿宋" w:cs="仿宋"/>
          <w:bCs/>
          <w:color w:val="auto"/>
          <w:spacing w:val="-12"/>
          <w:sz w:val="30"/>
          <w:szCs w:val="30"/>
          <w:highlight w:val="none"/>
        </w:rPr>
        <w:t xml:space="preserve">  </w:t>
      </w:r>
      <w:r/>
    </w:p>
    <w:p>
      <w:pPr>
        <w:ind w:firstLine="1932"/>
        <w:spacing w:line="360" w:lineRule="auto"/>
        <w:rPr>
          <w:rFonts w:hint="eastAsia" w:ascii="仿宋" w:hAnsi="仿宋" w:eastAsia="仿宋" w:cs="仿宋"/>
          <w:bCs/>
          <w:color w:val="auto"/>
          <w:sz w:val="30"/>
          <w:szCs w:val="30"/>
          <w:highlight w:val="none"/>
          <w:u w:val="single"/>
        </w:rPr>
      </w:pPr>
      <w:r>
        <w:rPr>
          <w:rFonts w:hint="eastAsia" w:ascii="仿宋" w:hAnsi="仿宋" w:eastAsia="仿宋" w:cs="仿宋"/>
          <w:bCs/>
          <w:color w:val="auto"/>
          <w:spacing w:val="-12"/>
          <w:sz w:val="30"/>
          <w:szCs w:val="30"/>
          <w:highlight w:val="none"/>
        </w:rPr>
        <w:t xml:space="preserve">日         期 : 2026年</w:t>
      </w:r>
      <w:r>
        <w:rPr>
          <w:rFonts w:hint="eastAsia" w:ascii="仿宋" w:hAnsi="仿宋" w:eastAsia="仿宋" w:cs="仿宋"/>
          <w:bCs/>
          <w:color w:val="auto"/>
          <w:spacing w:val="-12"/>
          <w:sz w:val="30"/>
          <w:szCs w:val="30"/>
          <w:highlight w:val="none"/>
          <w:lang w:val="en-US" w:eastAsia="zh-CN"/>
        </w:rPr>
        <w:t xml:space="preserve">7</w:t>
      </w:r>
      <w:r>
        <w:rPr>
          <w:rFonts w:hint="eastAsia" w:ascii="仿宋" w:hAnsi="仿宋" w:eastAsia="仿宋" w:cs="仿宋"/>
          <w:bCs/>
          <w:color w:val="auto"/>
          <w:spacing w:val="-12"/>
          <w:sz w:val="30"/>
          <w:szCs w:val="30"/>
          <w:highlight w:val="none"/>
        </w:rPr>
        <w:t xml:space="preserve">月</w:t>
      </w:r>
      <w:r>
        <w:rPr>
          <w:rFonts w:hint="eastAsia" w:ascii="仿宋" w:hAnsi="仿宋" w:eastAsia="仿宋" w:cs="仿宋"/>
          <w:bCs/>
          <w:color w:val="auto"/>
          <w:spacing w:val="-12"/>
          <w:sz w:val="30"/>
          <w:szCs w:val="30"/>
          <w:highlight w:val="none"/>
          <w:lang w:val="en-US" w:eastAsia="zh-CN"/>
        </w:rPr>
        <w:t xml:space="preserve">16</w:t>
      </w:r>
      <w:r>
        <w:rPr>
          <w:rFonts w:hint="eastAsia" w:ascii="仿宋" w:hAnsi="仿宋" w:eastAsia="仿宋" w:cs="仿宋"/>
          <w:bCs/>
          <w:color w:val="auto"/>
          <w:spacing w:val="-12"/>
          <w:sz w:val="30"/>
          <w:szCs w:val="30"/>
          <w:highlight w:val="none"/>
        </w:rPr>
        <w:t xml:space="preserve">日 </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rPr>
          <w:rFonts w:hint="eastAsia" w:ascii="仿宋" w:hAnsi="仿宋" w:eastAsia="仿宋" w:cs="仿宋"/>
          <w:bCs/>
          <w:color w:val="auto"/>
          <w:sz w:val="28"/>
          <w:szCs w:val="28"/>
          <w:highlight w:val="none"/>
          <w:lang w:val="en-US" w:eastAsia="zh-CN"/>
        </w:rPr>
        <w:t xml:space="preserve"> </w:t>
      </w:r>
      <w:r>
        <mc:AlternateContent>
          <mc:Choice Requires="wpg">
            <w:drawing>
              <wp:inline xmlns:wp="http://schemas.openxmlformats.org/drawingml/2006/wordprocessingDrawing" distT="0" distB="0" distL="0" distR="0">
                <wp:extent cx="6640195" cy="8204835"/>
                <wp:effectExtent l="0" t="0" r="9525" b="1016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6"/>
                        <a:stretch/>
                      </pic:blipFill>
                      <pic:spPr bwMode="auto">
                        <a:xfrm>
                          <a:off x="0" y="0"/>
                          <a:ext cx="6640195" cy="8204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22.9pt;height:646.0pt;mso-wrap-distance-left:0.0pt;mso-wrap-distance-top:0.0pt;mso-wrap-distance-right:0.0pt;mso-wrap-distance-bottom:0.0pt;" stroked="f">
                <v:path textboxrect="0,0,0,0"/>
                <v:imagedata r:id="rId16" o:title=""/>
              </v:shape>
            </w:pict>
          </mc:Fallback>
        </mc:AlternateContent>
      </w:r>
      <w:r/>
    </w:p>
    <w:p>
      <w:pPr>
        <w:rPr>
          <w:rFonts w:hint="eastAsia"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br w:type="page" w:clear="all"/>
      </w:r>
      <w:r/>
    </w:p>
    <w:p>
      <w:pPr>
        <w:jc w:val="center"/>
        <w:spacing w:line="360" w:lineRule="auto"/>
        <w:rPr>
          <w:rFonts w:hint="eastAsia"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r>
      <w:r/>
    </w:p>
    <w:p>
      <w:pPr>
        <w:jc w:val="center"/>
        <w:spacing w:line="360" w:lineRule="auto"/>
        <w:rPr>
          <w:rFonts w:hint="eastAsia"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t xml:space="preserve">目 录</w:t>
      </w:r>
      <w:r/>
    </w:p>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640"/>
        <w:spacing w:line="360" w:lineRule="auto"/>
        <w:tabs>
          <w:tab w:val="left" w:pos="7740" w:leader="none"/>
        </w:tabs>
        <w:rPr>
          <w:rFonts w:hint="eastAsia" w:ascii="仿宋" w:hAnsi="仿宋" w:eastAsia="仿宋" w:cs="仿宋"/>
          <w:bCs/>
          <w:color w:val="auto"/>
          <w:spacing w:val="2"/>
          <w:sz w:val="32"/>
          <w:szCs w:val="32"/>
          <w:highlight w:val="none"/>
        </w:rPr>
      </w:pPr>
      <w:r>
        <w:rPr>
          <w:rFonts w:hint="eastAsia" w:ascii="仿宋" w:hAnsi="仿宋" w:eastAsia="仿宋" w:cs="仿宋"/>
          <w:bCs/>
          <w:color w:val="auto"/>
          <w:sz w:val="32"/>
          <w:szCs w:val="32"/>
          <w:highlight w:val="none"/>
        </w:rPr>
        <w:t xml:space="preserve">第一部分  投标邀请</w:t>
      </w:r>
      <w:r/>
    </w:p>
    <w:p>
      <w:pPr>
        <w:ind w:firstLine="640"/>
        <w:spacing w:line="360" w:lineRule="auto"/>
        <w:tabs>
          <w:tab w:val="left" w:pos="7740" w:leader="none"/>
        </w:tabs>
        <w:rPr>
          <w:rFonts w:hint="eastAsia" w:ascii="仿宋" w:hAnsi="仿宋" w:eastAsia="仿宋" w:cs="仿宋"/>
          <w:bCs/>
          <w:color w:val="auto"/>
          <w:spacing w:val="2"/>
          <w:sz w:val="32"/>
          <w:szCs w:val="32"/>
          <w:highlight w:val="none"/>
        </w:rPr>
      </w:pPr>
      <w:r>
        <w:rPr>
          <w:rFonts w:hint="eastAsia" w:ascii="仿宋" w:hAnsi="仿宋" w:eastAsia="仿宋" w:cs="仿宋"/>
          <w:bCs/>
          <w:color w:val="auto"/>
          <w:sz w:val="32"/>
          <w:szCs w:val="32"/>
          <w:highlight w:val="none"/>
        </w:rPr>
        <w:t xml:space="preserve">第二部分  投标须知</w:t>
      </w:r>
      <w:r/>
    </w:p>
    <w:p>
      <w:pPr>
        <w:ind w:firstLine="640"/>
        <w:spacing w:line="360" w:lineRule="auto"/>
        <w:tabs>
          <w:tab w:val="left" w:pos="7740" w:leader="none"/>
        </w:tabs>
        <w:rPr>
          <w:rFonts w:hint="eastAsia" w:ascii="仿宋" w:hAnsi="仿宋" w:eastAsia="仿宋" w:cs="仿宋"/>
          <w:bCs/>
          <w:color w:val="auto"/>
          <w:spacing w:val="2"/>
          <w:sz w:val="32"/>
          <w:szCs w:val="32"/>
          <w:highlight w:val="none"/>
        </w:rPr>
      </w:pPr>
      <w:r>
        <w:rPr>
          <w:rFonts w:hint="eastAsia" w:ascii="仿宋" w:hAnsi="仿宋" w:eastAsia="仿宋" w:cs="仿宋"/>
          <w:bCs/>
          <w:color w:val="auto"/>
          <w:sz w:val="32"/>
          <w:szCs w:val="32"/>
          <w:highlight w:val="none"/>
        </w:rPr>
        <w:t xml:space="preserve">第三部分  项目需求</w:t>
      </w:r>
      <w:r/>
    </w:p>
    <w:p>
      <w:pPr>
        <w:ind w:firstLine="640"/>
        <w:spacing w:line="360" w:lineRule="auto"/>
        <w:tabs>
          <w:tab w:val="left" w:pos="7740" w:leader="none"/>
        </w:tabs>
        <w:rPr>
          <w:rFonts w:hint="eastAsia" w:ascii="仿宋" w:hAnsi="仿宋" w:eastAsia="仿宋" w:cs="仿宋"/>
          <w:bCs/>
          <w:color w:val="auto"/>
          <w:spacing w:val="2"/>
          <w:sz w:val="32"/>
          <w:szCs w:val="32"/>
          <w:highlight w:val="none"/>
        </w:rPr>
      </w:pPr>
      <w:r>
        <w:rPr>
          <w:rFonts w:hint="eastAsia" w:ascii="仿宋" w:hAnsi="仿宋" w:eastAsia="仿宋" w:cs="仿宋"/>
          <w:bCs/>
          <w:color w:val="auto"/>
          <w:sz w:val="32"/>
          <w:szCs w:val="32"/>
          <w:highlight w:val="none"/>
        </w:rPr>
        <w:t xml:space="preserve">第四部分  开标和评标</w:t>
      </w:r>
      <w:r/>
    </w:p>
    <w:p>
      <w:pPr>
        <w:ind w:firstLine="640"/>
        <w:spacing w:line="360" w:lineRule="auto"/>
        <w:tabs>
          <w:tab w:val="left" w:pos="7740" w:leader="none"/>
        </w:tabs>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第五部分  投标文件组成</w:t>
      </w:r>
      <w:r/>
    </w:p>
    <w:p>
      <w:pPr>
        <w:ind w:firstLine="640"/>
        <w:spacing w:line="360" w:lineRule="auto"/>
        <w:tabs>
          <w:tab w:val="left" w:pos="7740" w:leader="none"/>
        </w:tabs>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第六部分  政府采购合同</w:t>
      </w:r>
      <w:r/>
    </w:p>
    <w:p>
      <w:pPr>
        <w:ind w:firstLine="640"/>
        <w:spacing w:line="360" w:lineRule="auto"/>
        <w:tabs>
          <w:tab w:val="left" w:pos="7740" w:leader="none"/>
        </w:tabs>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r>
      <w:r/>
    </w:p>
    <w:p>
      <w:pPr>
        <w:spacing w:line="360" w:lineRule="auto"/>
        <w:tabs>
          <w:tab w:val="left" w:pos="7740" w:leader="none"/>
        </w:tabs>
        <w:rPr>
          <w:rFonts w:hint="eastAsia" w:ascii="仿宋" w:hAnsi="仿宋" w:eastAsia="仿宋" w:cs="仿宋"/>
          <w:bCs/>
          <w:color w:val="auto"/>
          <w:spacing w:val="2"/>
          <w:sz w:val="28"/>
          <w:szCs w:val="28"/>
          <w:highlight w:val="none"/>
        </w:rPr>
      </w:pPr>
      <w:r>
        <w:rPr>
          <w:rFonts w:hint="eastAsia" w:ascii="仿宋" w:hAnsi="仿宋" w:eastAsia="仿宋" w:cs="仿宋"/>
          <w:bCs/>
          <w:color w:val="auto"/>
          <w:spacing w:val="2"/>
          <w:sz w:val="28"/>
          <w:szCs w:val="28"/>
          <w:highlight w:val="none"/>
        </w:rPr>
      </w:r>
      <w:r/>
    </w:p>
    <w:p>
      <w:pPr>
        <w:spacing w:line="360" w:lineRule="auto"/>
        <w:tabs>
          <w:tab w:val="left" w:pos="7740" w:leader="none"/>
        </w:tabs>
        <w:rPr>
          <w:rFonts w:hint="eastAsia" w:ascii="仿宋" w:hAnsi="仿宋" w:eastAsia="仿宋" w:cs="仿宋"/>
          <w:bCs/>
          <w:color w:val="auto"/>
          <w:spacing w:val="2"/>
          <w:sz w:val="28"/>
          <w:szCs w:val="28"/>
          <w:highlight w:val="none"/>
        </w:rPr>
      </w:pPr>
      <w:r>
        <w:rPr>
          <w:rFonts w:hint="eastAsia" w:ascii="仿宋" w:hAnsi="仿宋" w:eastAsia="仿宋" w:cs="仿宋"/>
          <w:bCs/>
          <w:color w:val="auto"/>
          <w:spacing w:val="2"/>
          <w:sz w:val="28"/>
          <w:szCs w:val="28"/>
          <w:highlight w:val="none"/>
        </w:rPr>
      </w:r>
      <w:r/>
    </w:p>
    <w:p>
      <w:pPr>
        <w:spacing w:line="360" w:lineRule="auto"/>
        <w:tabs>
          <w:tab w:val="left" w:pos="774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r>
      <w:r/>
    </w:p>
    <w:p>
      <w:pPr>
        <w:ind w:firstLine="3960"/>
        <w:jc w:val="both"/>
        <w:spacing w:line="360" w:lineRule="auto"/>
        <w:rPr>
          <w:rFonts w:hint="eastAsia" w:ascii="仿宋" w:hAnsi="仿宋" w:eastAsia="仿宋" w:cs="仿宋"/>
          <w:bCs/>
          <w:color w:val="auto"/>
          <w:sz w:val="36"/>
          <w:szCs w:val="36"/>
          <w:highlight w:val="none"/>
        </w:rPr>
        <w:outlineLvl w:val="0"/>
      </w:pPr>
      <w:r>
        <w:rPr>
          <w:rFonts w:hint="eastAsia" w:ascii="仿宋" w:hAnsi="仿宋" w:eastAsia="仿宋" w:cs="仿宋"/>
          <w:bCs/>
          <w:color w:val="auto"/>
          <w:sz w:val="36"/>
          <w:szCs w:val="36"/>
          <w:highlight w:val="none"/>
        </w:rPr>
        <w:t xml:space="preserve">第一部分  </w:t>
      </w:r>
      <w:bookmarkStart w:id="0" w:name="OLE_LINK5"/>
      <w:r/>
      <w:bookmarkStart w:id="1" w:name="OLE_LINK7"/>
      <w:r>
        <w:rPr>
          <w:rFonts w:hint="eastAsia" w:ascii="仿宋" w:hAnsi="仿宋" w:eastAsia="仿宋" w:cs="仿宋"/>
          <w:bCs/>
          <w:color w:val="auto"/>
          <w:sz w:val="36"/>
          <w:szCs w:val="36"/>
          <w:highlight w:val="none"/>
        </w:rPr>
        <w:t xml:space="preserve">投标邀请</w:t>
      </w:r>
      <w:r/>
    </w:p>
    <w:p>
      <w:pPr>
        <w:ind w:firstLine="560"/>
        <w:jc w:val="left"/>
        <w:spacing w:line="360" w:lineRule="auto"/>
        <w:rPr>
          <w:rFonts w:hint="eastAsia" w:ascii="仿宋" w:hAnsi="仿宋" w:eastAsia="仿宋" w:cs="仿宋"/>
          <w:bCs/>
          <w:color w:val="auto"/>
          <w:sz w:val="28"/>
          <w:szCs w:val="28"/>
          <w:highlight w:val="none"/>
        </w:rPr>
      </w:pPr>
      <w:r/>
      <w:bookmarkStart w:id="2" w:name="OLE_LINK6"/>
      <w:r>
        <w:rPr>
          <w:rFonts w:hint="eastAsia" w:ascii="仿宋" w:hAnsi="仿宋" w:eastAsia="仿宋" w:cs="仿宋"/>
          <w:bCs/>
          <w:color w:val="auto"/>
          <w:sz w:val="28"/>
          <w:szCs w:val="28"/>
          <w:highlight w:val="none"/>
        </w:rPr>
        <w:t xml:space="preserve">受</w:t>
      </w:r>
      <w:r>
        <w:rPr>
          <w:rFonts w:hint="eastAsia" w:ascii="仿宋" w:hAnsi="仿宋" w:eastAsia="仿宋" w:cs="仿宋"/>
          <w:bCs/>
          <w:color w:val="auto"/>
          <w:sz w:val="28"/>
          <w:szCs w:val="28"/>
          <w:highlight w:val="none"/>
          <w:lang w:eastAsia="zh-CN"/>
        </w:rPr>
        <w:t xml:space="preserve">南通经济技术开发区生态环境局</w:t>
      </w:r>
      <w:r>
        <w:rPr>
          <w:rFonts w:hint="eastAsia" w:ascii="仿宋" w:hAnsi="仿宋" w:eastAsia="仿宋" w:cs="仿宋"/>
          <w:bCs/>
          <w:color w:val="auto"/>
          <w:sz w:val="28"/>
          <w:szCs w:val="28"/>
          <w:highlight w:val="none"/>
        </w:rPr>
        <w:t xml:space="preserve">的委托，</w:t>
      </w:r>
      <w:r>
        <w:rPr>
          <w:rFonts w:hint="eastAsia" w:ascii="仿宋" w:hAnsi="仿宋" w:eastAsia="仿宋" w:cs="仿宋"/>
          <w:bCs/>
          <w:color w:val="auto"/>
          <w:sz w:val="28"/>
          <w:szCs w:val="28"/>
          <w:highlight w:val="none"/>
          <w:lang w:eastAsia="zh-CN"/>
        </w:rPr>
        <w:t xml:space="preserve">苏州新一造价师价格事务所有限公司</w:t>
      </w:r>
      <w:r>
        <w:rPr>
          <w:rFonts w:hint="eastAsia" w:ascii="仿宋" w:hAnsi="仿宋" w:eastAsia="仿宋" w:cs="仿宋"/>
          <w:bCs/>
          <w:color w:val="auto"/>
          <w:sz w:val="28"/>
          <w:szCs w:val="28"/>
          <w:highlight w:val="none"/>
        </w:rPr>
        <w:t xml:space="preserve">就</w:t>
      </w:r>
      <w:r>
        <w:rPr>
          <w:rFonts w:hint="eastAsia" w:ascii="仿宋" w:hAnsi="仿宋" w:eastAsia="仿宋" w:cs="仿宋"/>
          <w:bCs/>
          <w:color w:val="auto"/>
          <w:sz w:val="28"/>
          <w:szCs w:val="28"/>
          <w:highlight w:val="none"/>
          <w:lang w:eastAsia="zh-CN"/>
        </w:rPr>
        <w:t xml:space="preserve">南通经济技术开发区开发建设规划环境影响评价项目</w:t>
      </w:r>
      <w:r>
        <w:rPr>
          <w:rFonts w:hint="eastAsia" w:ascii="仿宋" w:hAnsi="仿宋" w:eastAsia="仿宋" w:cs="仿宋"/>
          <w:bCs/>
          <w:color w:val="auto"/>
          <w:sz w:val="28"/>
          <w:szCs w:val="28"/>
          <w:highlight w:val="none"/>
        </w:rPr>
        <w:t xml:space="preserve">(项目编号:JSZC-320690-SZXY-G2026-0026)进行公开招标采购，欢迎符合条件的投标单位投标。</w:t>
      </w:r>
      <w:r/>
    </w:p>
    <w:p>
      <w:pPr>
        <w:ind w:firstLine="560"/>
        <w:spacing w:line="360" w:lineRule="auto"/>
        <w:rPr>
          <w:rFonts w:hint="eastAsia" w:ascii="仿宋" w:hAnsi="仿宋" w:eastAsia="仿宋" w:cs="仿宋"/>
          <w:bCs/>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color w:val="auto"/>
          <w:sz w:val="28"/>
          <w:szCs w:val="28"/>
          <w:highlight w:val="none"/>
        </w:rPr>
        <w:t xml:space="preserve">项目概况</w:t>
      </w:r>
      <w:r/>
    </w:p>
    <w:p>
      <w:pPr>
        <w:ind w:firstLine="560"/>
        <w:spacing w:line="360" w:lineRule="auto"/>
        <w:rPr>
          <w:rFonts w:hint="eastAsia" w:ascii="仿宋" w:hAnsi="仿宋" w:eastAsia="仿宋" w:cs="仿宋"/>
          <w:bCs/>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color w:val="auto"/>
          <w:sz w:val="28"/>
          <w:szCs w:val="28"/>
          <w:highlight w:val="none"/>
          <w:lang w:eastAsia="zh-CN"/>
        </w:rPr>
        <w:t xml:space="preserve">南通经济技术开发区开发建设规划环境影响评价项目</w:t>
      </w:r>
      <w:r>
        <w:rPr>
          <w:rFonts w:hint="eastAsia" w:ascii="仿宋" w:hAnsi="仿宋" w:eastAsia="仿宋" w:cs="仿宋"/>
          <w:bCs/>
          <w:color w:val="auto"/>
          <w:sz w:val="28"/>
          <w:szCs w:val="28"/>
          <w:highlight w:val="none"/>
        </w:rPr>
        <w:t xml:space="preserve">的潜在投标人应在江苏政府采购网获取招标文件，并于2026年</w:t>
      </w:r>
      <w:r>
        <w:rPr>
          <w:rFonts w:hint="eastAsia" w:ascii="仿宋" w:hAnsi="仿宋" w:eastAsia="仿宋" w:cs="仿宋"/>
          <w:bCs/>
          <w:color w:val="auto"/>
          <w:sz w:val="28"/>
          <w:szCs w:val="28"/>
          <w:highlight w:val="none"/>
          <w:lang w:val="en-US" w:eastAsia="zh-CN"/>
        </w:rPr>
        <w:t xml:space="preserve">8</w:t>
      </w:r>
      <w:r>
        <w:rPr>
          <w:rFonts w:hint="eastAsia" w:ascii="仿宋" w:hAnsi="仿宋" w:eastAsia="仿宋" w:cs="仿宋"/>
          <w:bCs/>
          <w:color w:val="auto"/>
          <w:sz w:val="28"/>
          <w:szCs w:val="28"/>
          <w:highlight w:val="none"/>
        </w:rPr>
        <w:t xml:space="preserve">月</w:t>
      </w:r>
      <w:r>
        <w:rPr>
          <w:rFonts w:hint="eastAsia" w:ascii="仿宋" w:hAnsi="仿宋" w:eastAsia="仿宋" w:cs="仿宋"/>
          <w:bCs/>
          <w:color w:val="auto"/>
          <w:sz w:val="28"/>
          <w:szCs w:val="28"/>
          <w:highlight w:val="none"/>
          <w:lang w:val="en-US" w:eastAsia="zh-CN"/>
        </w:rPr>
        <w:t xml:space="preserve">7</w:t>
      </w:r>
      <w:r>
        <w:rPr>
          <w:rFonts w:hint="eastAsia" w:ascii="仿宋" w:hAnsi="仿宋" w:eastAsia="仿宋" w:cs="仿宋"/>
          <w:bCs/>
          <w:color w:val="auto"/>
          <w:sz w:val="28"/>
          <w:szCs w:val="28"/>
          <w:highlight w:val="none"/>
        </w:rPr>
        <w:t xml:space="preserve">日 9点30分（北京时间）前递交投标文件。</w:t>
      </w:r>
      <w:r/>
    </w:p>
    <w:p>
      <w:pPr>
        <w:ind w:firstLine="56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一、项目基本情况</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1、项目编号：JSZC-320690-SZXY-G2026-0026</w:t>
      </w:r>
      <w:r/>
    </w:p>
    <w:p>
      <w:pPr>
        <w:ind w:firstLine="560"/>
        <w:spacing w:line="360" w:lineRule="auto"/>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2、项目名称：</w:t>
      </w:r>
      <w:r>
        <w:rPr>
          <w:rFonts w:hint="eastAsia" w:ascii="仿宋" w:hAnsi="仿宋" w:eastAsia="仿宋" w:cs="仿宋"/>
          <w:bCs/>
          <w:color w:val="auto"/>
          <w:sz w:val="28"/>
          <w:szCs w:val="28"/>
          <w:highlight w:val="none"/>
          <w:lang w:eastAsia="zh-CN"/>
        </w:rPr>
        <w:t xml:space="preserve">南通经济技术开发区开发建设规划环境影响评价项目</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3、采购方式：公开招标</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4、项目类型：服务</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5、所属行业：其他未列明行业</w:t>
      </w:r>
      <w:r/>
    </w:p>
    <w:p>
      <w:pPr>
        <w:ind w:firstLine="560"/>
        <w:spacing w:line="360" w:lineRule="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rPr>
        <w:t xml:space="preserve">6、预算金额：</w:t>
      </w:r>
      <w:r>
        <w:rPr>
          <w:rFonts w:hint="eastAsia" w:ascii="仿宋" w:hAnsi="仿宋" w:eastAsia="仿宋" w:cs="仿宋"/>
          <w:bCs/>
          <w:color w:val="auto"/>
          <w:sz w:val="28"/>
          <w:szCs w:val="28"/>
          <w:highlight w:val="none"/>
          <w:lang w:val="en-US" w:eastAsia="zh-CN"/>
        </w:rPr>
        <w:t xml:space="preserve">400.00万元【其中开发区（包含中创区）300.00万元,苏锡通园区100.00万元】。</w:t>
      </w:r>
      <w:r/>
    </w:p>
    <w:p>
      <w:pPr>
        <w:pStyle w:val="776"/>
        <w:ind w:firstLine="560"/>
        <w:spacing w:before="0"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7、最高限价：本项目采用优惠率报价。优惠率不得超过100%，投标</w:t>
      </w:r>
      <w:r>
        <w:rPr>
          <w:rFonts w:hint="eastAsia" w:ascii="仿宋" w:hAnsi="仿宋" w:eastAsia="仿宋" w:cs="仿宋"/>
          <w:bCs/>
          <w:color w:val="auto"/>
          <w:sz w:val="28"/>
          <w:szCs w:val="28"/>
          <w:highlight w:val="none"/>
          <w:lang w:val="en-US" w:eastAsia="zh-CN"/>
        </w:rPr>
        <w:t xml:space="preserve">优惠率</w:t>
      </w:r>
      <w:r>
        <w:rPr>
          <w:rFonts w:hint="eastAsia" w:ascii="仿宋" w:hAnsi="仿宋" w:eastAsia="仿宋" w:cs="仿宋"/>
          <w:bCs/>
          <w:color w:val="auto"/>
          <w:sz w:val="28"/>
          <w:szCs w:val="28"/>
          <w:highlight w:val="none"/>
        </w:rPr>
        <w:t xml:space="preserve">报价超过最高限价的为无效报价，按照无效投标处理。</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8、采购需求：</w:t>
      </w:r>
      <w:bookmarkStart w:id="3" w:name="OLE_LINK20"/>
      <w:r>
        <w:rPr>
          <w:rFonts w:hint="eastAsia" w:ascii="仿宋" w:hAnsi="仿宋" w:eastAsia="仿宋" w:cs="仿宋"/>
          <w:bCs/>
          <w:color w:val="auto"/>
          <w:sz w:val="28"/>
          <w:szCs w:val="28"/>
          <w:highlight w:val="none"/>
        </w:rPr>
        <w:t xml:space="preserve">详见项目需求</w:t>
      </w:r>
      <w:bookmarkEnd w:id="3"/>
      <w:r>
        <w:rPr>
          <w:rFonts w:hint="eastAsia" w:ascii="仿宋" w:hAnsi="仿宋" w:eastAsia="仿宋" w:cs="仿宋"/>
          <w:bCs/>
          <w:color w:val="auto"/>
          <w:sz w:val="28"/>
          <w:szCs w:val="28"/>
          <w:highlight w:val="none"/>
        </w:rPr>
        <w:t xml:space="preserve">。</w:t>
      </w:r>
      <w:r/>
    </w:p>
    <w:p>
      <w:pPr>
        <w:ind w:firstLine="560"/>
        <w:spacing w:line="360" w:lineRule="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rPr>
        <w:t xml:space="preserve">9、合同履行期限：</w:t>
      </w:r>
      <w:r>
        <w:rPr>
          <w:rFonts w:hint="eastAsia" w:ascii="仿宋" w:hAnsi="仿宋" w:eastAsia="仿宋" w:cs="仿宋"/>
          <w:bCs/>
          <w:color w:val="auto"/>
          <w:sz w:val="28"/>
          <w:szCs w:val="28"/>
          <w:highlight w:val="none"/>
          <w:lang w:eastAsia="zh-CN"/>
        </w:rPr>
        <w:t xml:space="preserve">自本合同签订之日起至取得生态环境部门审查意见。</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10、本项目是否接受联合体：不接受。</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11、本项目不接受分包。</w:t>
      </w:r>
      <w:r/>
    </w:p>
    <w:p>
      <w:pPr>
        <w:ind w:firstLine="56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二、申请人的资格要求</w:t>
      </w:r>
      <w:r/>
    </w:p>
    <w:p>
      <w:pPr>
        <w:ind w:firstLine="560"/>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1、满足《中华人民共和国政府采购法》第二十二条规定；</w:t>
      </w:r>
      <w:r/>
    </w:p>
    <w:p>
      <w:pPr>
        <w:ind w:firstLine="560"/>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2、落实政府采购政策需满足的资格要求：/</w:t>
      </w:r>
      <w:r/>
    </w:p>
    <w:p>
      <w:pPr>
        <w:ind w:firstLine="562"/>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仿宋" w:hAnsi="仿宋" w:eastAsia="仿宋" w:cs="仿宋"/>
          <w:bCs/>
          <w:color w:val="auto"/>
          <w:sz w:val="28"/>
          <w:szCs w:val="28"/>
          <w:highlight w:val="none"/>
        </w:rPr>
      </w:pPr>
      <w:r>
        <w:rPr>
          <w:rFonts w:hint="eastAsia" w:ascii="仿宋" w:hAnsi="仿宋" w:eastAsia="仿宋" w:cs="仿宋"/>
          <w:b/>
          <w:bCs w:val="0"/>
          <w:color w:val="auto"/>
          <w:sz w:val="28"/>
          <w:szCs w:val="28"/>
          <w:highlight w:val="none"/>
        </w:rPr>
        <w:t xml:space="preserve">备注：本项目不专门面向中小企业，享受价格扣除优惠政策。</w:t>
      </w:r>
      <w:r/>
    </w:p>
    <w:p>
      <w:pPr>
        <w:ind w:firstLine="560"/>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投标单位法定代表人参加的，必须提供法定代表人身份证明及法定代表人本人身份证扫描件格式按第五部分）；非法定代表人参加的，必须提供法定代表人签字或盖章的授权委托书及法定代表人、被授权人的两人身份证的扫描件（格式按第五部分）；</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4、在“信用中国”网站（https://www.creditchina.gov.cn）查询，无被列入</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"https://zxgk.court.gov.cn/shixin/"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失信被执行人</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"https://www.creditchina.gov.cn/zhuanxiangchaxun/zhongdashuishouweifaanjian/"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重大税收违法失信主体名单</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"https://www.creditchina.gov.cn/zhuanxiangchaxun/zhengfucaigouyanzhongweifashixinmingdan/"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政府采购严重违法失信行为记录名单</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"https://www.creditchina.gov.cn/xinxigongshi/shixinheimingdan/"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严重失信主体名单</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"https://www.creditchina.gov.cn/xinxigongshi/zhongdianguanzhushixinmingdan/"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经营（活动）异常名录</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及其他不符合《中华人民共和国政府采购法》第二十二条规定条件的信用记录。（投标文件中无需提供证明材料）。</w:t>
      </w:r>
      <w:r/>
    </w:p>
    <w:p>
      <w:pPr>
        <w:pStyle w:val="791"/>
        <w:ind w:firstLine="560"/>
        <w:spacing w:line="360" w:lineRule="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rPr>
        <w:t xml:space="preserve">5、本项目的特定资格要求：</w:t>
      </w:r>
      <w:r>
        <w:rPr>
          <w:rFonts w:hint="eastAsia" w:ascii="仿宋" w:hAnsi="仿宋" w:eastAsia="仿宋" w:cs="仿宋"/>
          <w:bCs/>
          <w:color w:val="auto"/>
          <w:sz w:val="28"/>
          <w:szCs w:val="28"/>
          <w:highlight w:val="none"/>
          <w:lang w:val="en-US" w:eastAsia="zh-CN"/>
        </w:rPr>
        <w:t xml:space="preserve">/。</w:t>
      </w:r>
      <w:r/>
    </w:p>
    <w:p>
      <w:pPr>
        <w:ind w:firstLine="562"/>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6、</w:t>
      </w:r>
      <w:r>
        <w:rPr>
          <w:rFonts w:hint="eastAsia" w:ascii="仿宋" w:hAnsi="仿宋" w:eastAsia="仿宋" w:cs="仿宋"/>
          <w:b/>
          <w:bCs/>
          <w:color w:val="auto"/>
          <w:sz w:val="28"/>
          <w:szCs w:val="28"/>
          <w:highlight w:val="none"/>
        </w:rPr>
        <w:t xml:space="preserve">拒绝以下投标单位参与投标</w:t>
      </w:r>
      <w:r/>
    </w:p>
    <w:p>
      <w:pPr>
        <w:ind w:firstLine="560"/>
        <w:jc w:val="left"/>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投标单位之间存在下列互为关联关系的情形之一的，不得同时参加本项目投标：</w:t>
      </w:r>
      <w:r/>
    </w:p>
    <w:p>
      <w:pPr>
        <w:ind w:firstLine="560"/>
        <w:jc w:val="left"/>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（1）法定代表人为同一个人的两个及两个以上法人，母公司、全资子公司及其控股公司，都不得在同一采购项目相同标段中同时投标，一经发现，将视同围标处理。</w:t>
      </w:r>
      <w:r/>
    </w:p>
    <w:p>
      <w:pPr>
        <w:ind w:firstLine="560"/>
        <w:jc w:val="left"/>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（2）单位负责人为同一人或者存在直接控股、管理关系的不同投标单位，不得参加同一合同项下的采购活动。</w:t>
      </w:r>
      <w:r/>
    </w:p>
    <w:p>
      <w:pPr>
        <w:ind w:firstLine="560"/>
        <w:jc w:val="left"/>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（3）为采购项目提供整体设计、规范编制或者项目管理、监理、检测等服务的投标单位，不得再参加该采购项目的其他采购活动。</w:t>
      </w:r>
      <w:r/>
    </w:p>
    <w:p>
      <w:pPr>
        <w:ind w:firstLine="560"/>
        <w:jc w:val="left"/>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投标单位投标时提供本单位、营业执照、公司股东股权资料，若经核实有同一人在两家及以上投标本项目的投标单位有股份或同为单位法定代表人（或负责人的），将作无效投标处理；未提供以上材料或提供不全的，经核实作无效投标处理。</w:t>
      </w:r>
      <w:r/>
    </w:p>
    <w:p>
      <w:pPr>
        <w:pStyle w:val="830"/>
        <w:ind w:firstLine="562"/>
        <w:spacing w:line="360" w:lineRule="auto"/>
        <w:rPr>
          <w:rFonts w:hint="eastAsia" w:ascii="仿宋" w:hAnsi="仿宋" w:eastAsia="仿宋" w:cs="仿宋"/>
          <w:bCs/>
          <w:color w:val="auto"/>
          <w:sz w:val="28"/>
          <w:szCs w:val="28"/>
          <w:highlight w:val="none"/>
        </w:rPr>
      </w:pPr>
      <w:r>
        <w:rPr>
          <w:rFonts w:hint="eastAsia" w:ascii="仿宋" w:hAnsi="仿宋" w:eastAsia="仿宋" w:cs="仿宋"/>
          <w:b/>
          <w:color w:val="auto"/>
          <w:sz w:val="28"/>
          <w:szCs w:val="28"/>
          <w:highlight w:val="none"/>
        </w:rPr>
        <w:t xml:space="preserve">以上未详尽部分见招标文件第五部分</w:t>
      </w:r>
      <w:r/>
    </w:p>
    <w:p>
      <w:pPr>
        <w:ind w:firstLine="56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三、获取采购文件</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1.时间：自招标文件公告发布之日起5个工作日</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2.地点：网上注册登记成功后系统内免费下载</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3.获取方式：本项目采用网上注册登记方式。</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3.1潜在投标单位访问电子招标响应交易平台的网络地址和方法：</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“苏采云”系统用户注册--获取“CA数字证书”--CA绑定与登录--网上报</w:t>
      </w:r>
      <w:r>
        <w:rPr>
          <w:rFonts w:hint="eastAsia" w:ascii="仿宋" w:hAnsi="仿宋" w:eastAsia="仿宋" w:cs="仿宋"/>
          <w:bCs/>
          <w:color w:val="auto"/>
          <w:sz w:val="28"/>
          <w:szCs w:val="28"/>
          <w:highlight w:val="none"/>
          <w:lang w:val="en-US" w:eastAsia="zh-CN"/>
        </w:rPr>
        <w:t xml:space="preserve">/</w:t>
      </w:r>
      <w:r>
        <w:rPr>
          <w:rFonts w:hint="eastAsia" w:ascii="仿宋" w:hAnsi="仿宋" w:eastAsia="仿宋" w:cs="仿宋"/>
          <w:bCs/>
          <w:color w:val="auto"/>
          <w:sz w:val="28"/>
          <w:szCs w:val="28"/>
          <w:highlight w:val="none"/>
        </w:rPr>
        <w:t xml:space="preserve">名--下载采购文件（后缀名为“.kedt”）--将后缀名为“.kedt”的采购文件</w:t>
      </w:r>
      <w:r>
        <w:rPr>
          <w:rFonts w:hint="eastAsia" w:ascii="仿宋" w:hAnsi="仿宋" w:eastAsia="仿宋" w:cs="仿宋"/>
          <w:bCs/>
          <w:color w:val="auto"/>
          <w:sz w:val="28"/>
          <w:szCs w:val="28"/>
          <w:highlight w:val="none"/>
          <w:lang w:val="en-US" w:eastAsia="zh-CN"/>
        </w:rPr>
        <w:t xml:space="preserve">/</w:t>
      </w:r>
      <w:r>
        <w:rPr>
          <w:rFonts w:hint="eastAsia" w:ascii="仿宋" w:hAnsi="仿宋" w:eastAsia="仿宋" w:cs="仿宋"/>
          <w:bCs/>
          <w:color w:val="auto"/>
          <w:sz w:val="28"/>
          <w:szCs w:val="28"/>
          <w:highlight w:val="none"/>
        </w:rPr>
        <w:t xml:space="preserve">导入政府采购客户端工具--制作响应文件--导出加密的响应文件（后缀名为</w:t>
      </w:r>
      <w:r>
        <w:rPr>
          <w:rFonts w:hint="eastAsia" w:ascii="仿宋" w:hAnsi="仿宋" w:eastAsia="仿宋" w:cs="仿宋"/>
          <w:bCs/>
          <w:color w:val="auto"/>
          <w:sz w:val="28"/>
          <w:szCs w:val="28"/>
          <w:highlight w:val="none"/>
          <w:lang w:val="en-US" w:eastAsia="zh-CN"/>
        </w:rPr>
        <w:t xml:space="preserve">/</w:t>
      </w:r>
      <w:r>
        <w:rPr>
          <w:rFonts w:hint="eastAsia" w:ascii="仿宋" w:hAnsi="仿宋" w:eastAsia="仿宋" w:cs="仿宋"/>
          <w:bCs/>
          <w:color w:val="auto"/>
          <w:sz w:val="28"/>
          <w:szCs w:val="28"/>
          <w:highlight w:val="none"/>
        </w:rPr>
        <w:t xml:space="preserve">zip）--通过“苏采云”系统上传响应文件。具体见江苏政府采购网—资料下载中《江苏省政府采购管理交易系统（苏采云）投标单位操作手册》。</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3.2潜在投标单位访问“苏采云”系统的网络地址和方法：“苏采云”系统的网址：http://jszfcg.jsczt.cn/。</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3.3“CA数字证书”的获取：</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单位需办理CA锁，“苏采云”系统目前仅支持政务CA、方正签章，省内各地区办理的用于“苏采云”平台的政务CA、方正签章全省通用。“CA数字证书”的办理方法详见江苏政府采购网—资料下载中《江苏省政府采购数字证书（投标单位）CA及电子签章办理指南》。</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3.4采购文件（后缀名为“.kedt”）、投标单位操作手册及政府采购客户端工具可通过“苏采云”系统--已报名项目--报名详情页面内相应链接进行下载。</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3.5招标代理机构（采购代理机构）将数据电文形式的采购文件加载至“苏采云”系统，供潜在投标单位下载或者查阅。</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3.6请潜在投标单位提前安装相应的控件（详见《江苏省政府采购管理交易系统（苏采云）投标单位操作手册》）并使用谷歌浏览器登录“苏采云”系统参与不见面开评标。</w:t>
      </w:r>
      <w:r/>
    </w:p>
    <w:p>
      <w:pPr>
        <w:ind w:firstLine="48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注：如潜在投标单位未按上述要求操作，将自行承担所产生的风险。</w:t>
      </w:r>
      <w:r/>
    </w:p>
    <w:p>
      <w:pPr>
        <w:ind w:firstLine="56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四、提交响应文件截止时间、投标时间和地点</w:t>
      </w:r>
      <w:r/>
    </w:p>
    <w:p>
      <w:pPr>
        <w:ind w:firstLine="560"/>
        <w:spacing w:line="360" w:lineRule="auto"/>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rPr>
        <w:t xml:space="preserve">1.2026年</w:t>
      </w:r>
      <w:r>
        <w:rPr>
          <w:rFonts w:hint="eastAsia" w:ascii="仿宋" w:hAnsi="仿宋" w:eastAsia="仿宋" w:cs="仿宋"/>
          <w:bCs/>
          <w:color w:val="auto"/>
          <w:sz w:val="28"/>
          <w:szCs w:val="28"/>
          <w:highlight w:val="none"/>
          <w:lang w:val="en-US" w:eastAsia="zh-CN"/>
        </w:rPr>
        <w:t xml:space="preserve">8</w:t>
      </w:r>
      <w:r>
        <w:rPr>
          <w:rFonts w:hint="eastAsia" w:ascii="仿宋" w:hAnsi="仿宋" w:eastAsia="仿宋" w:cs="仿宋"/>
          <w:bCs/>
          <w:color w:val="auto"/>
          <w:sz w:val="28"/>
          <w:szCs w:val="28"/>
          <w:highlight w:val="none"/>
        </w:rPr>
        <w:t xml:space="preserve">月</w:t>
      </w:r>
      <w:r>
        <w:rPr>
          <w:rFonts w:hint="eastAsia" w:ascii="仿宋" w:hAnsi="仿宋" w:eastAsia="仿宋" w:cs="仿宋"/>
          <w:bCs/>
          <w:color w:val="auto"/>
          <w:sz w:val="28"/>
          <w:szCs w:val="28"/>
          <w:highlight w:val="none"/>
          <w:lang w:val="en-US" w:eastAsia="zh-CN"/>
        </w:rPr>
        <w:t xml:space="preserve">7</w:t>
      </w:r>
      <w:r>
        <w:rPr>
          <w:rFonts w:hint="eastAsia" w:ascii="仿宋" w:hAnsi="仿宋" w:eastAsia="仿宋" w:cs="仿宋"/>
          <w:bCs/>
          <w:color w:val="auto"/>
          <w:sz w:val="28"/>
          <w:szCs w:val="28"/>
          <w:highlight w:val="none"/>
        </w:rPr>
        <w:t xml:space="preserve">日9点30分（北京时间）。逾时，交易系统将拒绝接受上传响应文件电子文档。</w:t>
      </w:r>
      <w:r>
        <w:rPr>
          <w:rFonts w:hint="eastAsia" w:ascii="仿宋" w:hAnsi="仿宋" w:eastAsia="仿宋" w:cs="仿宋"/>
          <w:bCs/>
          <w:color w:val="auto"/>
          <w:sz w:val="28"/>
          <w:szCs w:val="28"/>
          <w:highlight w:val="none"/>
          <w:lang w:val="en-US" w:eastAsia="zh-CN"/>
        </w:rPr>
        <w:t xml:space="preserve">  </w:t>
      </w:r>
      <w:bookmarkStart w:id="289" w:name="_GoBack"/>
      <w:r/>
      <w:bookmarkEnd w:id="289"/>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注：各投标单位请关注开标大厅交流区，在开标结束后，请勿离开开标大厅。</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2.线上开标地点：“苏采云”系统（网址：http://jszfcg.jsczt.cn/）“开标大厅”。</w:t>
      </w:r>
      <w:r/>
    </w:p>
    <w:p>
      <w:pPr>
        <w:ind w:firstLine="480"/>
        <w:spacing w:line="360" w:lineRule="auto"/>
        <w:rPr>
          <w:rFonts w:hint="eastAsia" w:ascii="仿宋" w:hAnsi="仿宋" w:eastAsia="仿宋" w:cs="仿宋"/>
          <w:bCs/>
          <w:i/>
          <w:color w:val="auto"/>
          <w:sz w:val="28"/>
          <w:szCs w:val="28"/>
          <w:highlight w:val="none"/>
        </w:rPr>
      </w:pPr>
      <w:r>
        <w:rPr>
          <w:rFonts w:hint="eastAsia" w:ascii="仿宋" w:hAnsi="仿宋" w:eastAsia="仿宋" w:cs="仿宋"/>
          <w:bCs/>
          <w:color w:val="auto"/>
          <w:sz w:val="28"/>
          <w:szCs w:val="28"/>
          <w:highlight w:val="none"/>
        </w:rPr>
        <w:t xml:space="preserve">3.响应文件的解密：开标当天各投标单位及时登录不见面开标大厅，响应文件递交截止时间后，采购人将在系统内公布投标投标单位名单，然后通过开标会议区发出响应文件解密的指令，投标投标单位在开标室按规定时间自行实施远程解密，投标投标单位解密限定在开标后30分钟之内完成。</w:t>
      </w:r>
      <w:r>
        <w:rPr>
          <w:rFonts w:hint="eastAsia" w:ascii="仿宋" w:hAnsi="仿宋" w:eastAsia="仿宋" w:cs="仿宋"/>
          <w:bCs/>
          <w:color w:val="auto"/>
          <w:sz w:val="28"/>
          <w:szCs w:val="28"/>
          <w:highlight w:val="none"/>
          <w:u w:val="single"/>
        </w:rPr>
        <w:t xml:space="preserve">因投标投标单位网络与电源不稳定、未按操作手册要求配置软硬件、解密锁发生故障或用错、故意不在要求时限内完成解密等自身原因，导致响应文件在规定时间内未能解密、解密失败或解密超时，视为投标投标单位撤销其响应文件，系统内响应文件将被退回</w:t>
      </w:r>
      <w:r>
        <w:rPr>
          <w:rFonts w:hint="eastAsia" w:ascii="仿宋" w:hAnsi="仿宋" w:eastAsia="仿宋" w:cs="仿宋"/>
          <w:bCs/>
          <w:color w:val="auto"/>
          <w:sz w:val="28"/>
          <w:szCs w:val="28"/>
          <w:highlight w:val="none"/>
        </w:rPr>
        <w:t xml:space="preserve">；因采购人原因或网上招投标平台发生故障，导致无法按时完成响应文件解密或开、评标工作无法进行的，可根据实际情况相应延迟解密时间或调整开、评标时间。</w:t>
      </w:r>
      <w:r/>
    </w:p>
    <w:p>
      <w:pPr>
        <w:ind w:firstLine="56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五、公告期限</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自本公告发布之日起5个工作日。</w:t>
      </w:r>
      <w:r/>
    </w:p>
    <w:p>
      <w:pPr>
        <w:ind w:firstLine="56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六、其他补充事宜</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1.投标保证金：免收。</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2.项目开标活动模式：不见面远程开标模式，投标人在各自地点通过不见面交易系统参加开标会。</w:t>
      </w:r>
      <w:r/>
    </w:p>
    <w:p>
      <w:pPr>
        <w:ind w:firstLine="560"/>
        <w:spacing w:line="360" w:lineRule="auto"/>
        <w:rPr>
          <w:rFonts w:hint="eastAsia" w:ascii="仿宋" w:hAnsi="仿宋" w:eastAsia="仿宋" w:cs="仿宋"/>
          <w:bCs/>
          <w:color w:val="auto"/>
          <w:sz w:val="28"/>
          <w:szCs w:val="28"/>
          <w:highlight w:val="none"/>
          <w:lang w:bidi="ar"/>
        </w:rPr>
      </w:pPr>
      <w:r>
        <w:rPr>
          <w:rFonts w:hint="eastAsia" w:ascii="仿宋" w:hAnsi="仿宋" w:eastAsia="仿宋" w:cs="仿宋"/>
          <w:bCs/>
          <w:color w:val="auto"/>
          <w:sz w:val="28"/>
          <w:szCs w:val="28"/>
          <w:highlight w:val="none"/>
        </w:rPr>
        <w:t xml:space="preserve">3.项目样品：无</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对项目需求部分（投标单位资格要求、项目需求）的询问、质疑请向采购人提出，由采购人负责答复；对项目招标文件其它部分的询问请向招标文件制作人或项目开标评标经办人提出；对在“电子交易平台”操作阶段的询问请向交易系统软件维护人员提出。</w:t>
      </w:r>
      <w:r/>
    </w:p>
    <w:p>
      <w:pPr>
        <w:ind w:firstLine="560"/>
        <w:spacing w:line="360" w:lineRule="auto"/>
        <w:rPr>
          <w:rFonts w:hint="eastAsia" w:ascii="仿宋" w:hAnsi="仿宋" w:eastAsia="仿宋" w:cs="仿宋"/>
          <w:bCs/>
          <w:color w:val="auto"/>
          <w:sz w:val="28"/>
          <w:szCs w:val="28"/>
          <w:highlight w:val="none"/>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Cs/>
          <w:color w:val="auto"/>
          <w:sz w:val="28"/>
          <w:szCs w:val="28"/>
          <w:highlight w:val="none"/>
        </w:rPr>
        <w:t xml:space="preserve">5.有关本次采购的事项若存在变动或修改，敬请及时关注“江苏政府采购网”发布的信息更正公告。</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投标单位应依照规定提交各类声明函、承诺函，不再同时提供原件备查或提供有关部门出具的相关证明文件。但中标投标单位应做好提交声明函、承诺函相应原件的核查准备；核查后发现虚假或违背承诺的，依照相关法律法规规定处理。</w:t>
      </w:r>
      <w:r/>
    </w:p>
    <w:p>
      <w:pPr>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投标单位认为招标文件使自己的权益受到损害的，可以自获取招标文件之日或者招标公告期限届满之日(公告期限届满后获取招标文件的，以公告期限届满之日为准)起7个工作日内，对招标文件需求的以书面形式向采购人提出质疑，对其他内容的以书面形式向采购人和代理机构提出质疑。质疑函范本详见本招标文件后附格式。</w:t>
      </w:r>
      <w:r/>
    </w:p>
    <w:p>
      <w:pPr>
        <w:ind w:firstLine="56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七、对本次招标提出询问，请按以下方式联系。</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1.采购人信息</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名    称：</w:t>
      </w:r>
      <w:r>
        <w:rPr>
          <w:rFonts w:hint="eastAsia" w:ascii="仿宋" w:hAnsi="仿宋" w:eastAsia="仿宋" w:cs="仿宋"/>
          <w:bCs/>
          <w:color w:val="auto"/>
          <w:sz w:val="28"/>
          <w:szCs w:val="28"/>
          <w:highlight w:val="none"/>
          <w:lang w:eastAsia="zh-CN"/>
        </w:rPr>
        <w:t xml:space="preserve">南通经济技术开发区生态环境局</w:t>
      </w:r>
      <w:r>
        <w:rPr>
          <w:rFonts w:hint="eastAsia" w:ascii="仿宋" w:hAnsi="仿宋" w:eastAsia="仿宋" w:cs="仿宋"/>
          <w:bCs/>
          <w:color w:val="auto"/>
          <w:sz w:val="28"/>
          <w:szCs w:val="28"/>
          <w:highlight w:val="none"/>
        </w:rPr>
        <w:t xml:space="preserve">   </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地    址：南通市经济技术开发区宏兴路9号 </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联 系 方 式：</w:t>
      </w:r>
      <w:r>
        <w:rPr>
          <w:rFonts w:hint="eastAsia" w:ascii="仿宋" w:hAnsi="仿宋" w:eastAsia="仿宋" w:cs="仿宋"/>
          <w:bCs/>
          <w:color w:val="auto"/>
          <w:sz w:val="28"/>
          <w:szCs w:val="28"/>
          <w:highlight w:val="none"/>
          <w:lang w:val="en-US" w:eastAsia="zh-CN"/>
        </w:rPr>
        <w:t xml:space="preserve">袁</w:t>
      </w:r>
      <w:r>
        <w:rPr>
          <w:rFonts w:hint="eastAsia" w:ascii="仿宋" w:hAnsi="仿宋" w:eastAsia="仿宋" w:cs="仿宋"/>
          <w:bCs/>
          <w:color w:val="auto"/>
          <w:sz w:val="28"/>
          <w:szCs w:val="28"/>
          <w:highlight w:val="none"/>
        </w:rPr>
        <w:t xml:space="preserve">先生 0513-89055091</w:t>
      </w:r>
      <w:r/>
    </w:p>
    <w:p>
      <w:pPr>
        <w:ind w:firstLine="560"/>
        <w:spacing w:line="360" w:lineRule="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eastAsia="zh-CN"/>
        </w:rPr>
        <w:t xml:space="preserve">2.采购代理机构信息</w:t>
      </w:r>
      <w:r/>
    </w:p>
    <w:p>
      <w:pPr>
        <w:ind w:firstLine="560"/>
        <w:spacing w:line="360" w:lineRule="auto"/>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名 称：苏州新一造价师价格事务所有限公司</w:t>
      </w:r>
      <w:r/>
    </w:p>
    <w:p>
      <w:pPr>
        <w:ind w:firstLine="560"/>
        <w:spacing w:line="360" w:lineRule="auto"/>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地 址：南通市经济技术开发区长通路9号（飞马国际中心A座1205室）</w:t>
      </w:r>
      <w:r/>
    </w:p>
    <w:p>
      <w:pPr>
        <w:ind w:firstLine="560"/>
        <w:spacing w:line="360" w:lineRule="auto"/>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eastAsia="zh-CN"/>
        </w:rPr>
        <w:t xml:space="preserve">联系方式：0513-69895668、</w:t>
      </w:r>
      <w:r>
        <w:rPr>
          <w:rFonts w:hint="eastAsia" w:ascii="仿宋" w:hAnsi="仿宋" w:eastAsia="仿宋" w:cs="仿宋"/>
          <w:bCs/>
          <w:color w:val="auto"/>
          <w:sz w:val="28"/>
          <w:szCs w:val="28"/>
          <w:highlight w:val="none"/>
          <w:lang w:val="en-US" w:eastAsia="zh-CN"/>
        </w:rPr>
        <w:t xml:space="preserve">15062762146</w:t>
      </w:r>
      <w:r/>
    </w:p>
    <w:p>
      <w:pPr>
        <w:ind w:firstLine="560"/>
        <w:spacing w:line="360" w:lineRule="auto"/>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3.项目联系方式</w:t>
      </w:r>
      <w:r/>
    </w:p>
    <w:p>
      <w:pPr>
        <w:ind w:firstLine="560"/>
        <w:spacing w:line="360" w:lineRule="auto"/>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采购文件制作人：代福勇</w:t>
      </w:r>
      <w:r/>
    </w:p>
    <w:p>
      <w:pPr>
        <w:ind w:firstLine="560"/>
        <w:spacing w:line="360" w:lineRule="auto"/>
        <w:rPr>
          <w:rFonts w:hint="eastAsia" w:ascii="仿宋" w:hAnsi="仿宋" w:eastAsia="仿宋" w:cs="仿宋"/>
          <w:bCs/>
          <w:color w:val="auto"/>
          <w:sz w:val="28"/>
          <w:szCs w:val="28"/>
          <w:highlight w:val="none"/>
          <w:lang w:val="en-US"/>
        </w:rPr>
      </w:pPr>
      <w:r>
        <w:rPr>
          <w:rFonts w:hint="eastAsia" w:ascii="仿宋" w:hAnsi="仿宋" w:eastAsia="仿宋" w:cs="仿宋"/>
          <w:bCs/>
          <w:color w:val="auto"/>
          <w:sz w:val="28"/>
          <w:szCs w:val="28"/>
          <w:highlight w:val="none"/>
          <w:lang w:eastAsia="zh-CN"/>
        </w:rPr>
        <w:t xml:space="preserve">4.软件技术支持：0519-86722801</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附件:1.招标文件</w:t>
      </w:r>
      <w:r/>
    </w:p>
    <w:p>
      <w:pPr>
        <w:ind w:firstLine="11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2、采购人信用承诺</w:t>
      </w:r>
      <w:r/>
    </w:p>
    <w:p>
      <w:pPr>
        <w:ind w:firstLine="11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3、“苏采云”系统投标单位操作手册</w:t>
      </w:r>
      <w:r/>
    </w:p>
    <w:p>
      <w:pPr>
        <w:ind w:firstLine="1120"/>
        <w:spacing w:line="360" w:lineRule="auto"/>
        <w:rPr>
          <w:rFonts w:hint="eastAsia" w:ascii="仿宋" w:hAnsi="仿宋" w:eastAsia="仿宋" w:cs="仿宋"/>
          <w:bCs/>
          <w:color w:val="auto"/>
          <w:sz w:val="36"/>
          <w:szCs w:val="36"/>
          <w:highlight w:val="none"/>
        </w:rPr>
      </w:pPr>
      <w:r>
        <w:rPr>
          <w:rFonts w:hint="eastAsia" w:ascii="仿宋" w:hAnsi="仿宋" w:eastAsia="仿宋" w:cs="仿宋"/>
          <w:bCs/>
          <w:color w:val="auto"/>
          <w:sz w:val="28"/>
          <w:szCs w:val="28"/>
          <w:highlight w:val="none"/>
        </w:rPr>
        <w:t xml:space="preserve">4、政采贷和履约保函（保险）告知函</w:t>
      </w:r>
      <w:r>
        <w:rPr>
          <w:rFonts w:hint="eastAsia" w:ascii="仿宋" w:hAnsi="仿宋" w:eastAsia="仿宋" w:cs="仿宋"/>
          <w:bCs/>
          <w:color w:val="auto"/>
          <w:sz w:val="28"/>
          <w:szCs w:val="28"/>
          <w:highlight w:val="none"/>
        </w:rPr>
        <w:br w:type="page" w:clear="all"/>
      </w:r>
      <w:r>
        <w:rPr>
          <w:rFonts w:hint="eastAsia" w:ascii="仿宋" w:hAnsi="仿宋" w:eastAsia="仿宋" w:cs="仿宋"/>
          <w:bCs/>
          <w:color w:val="auto"/>
          <w:sz w:val="28"/>
          <w:szCs w:val="28"/>
          <w:highlight w:val="none"/>
        </w:rPr>
        <w:t xml:space="preserve">                     </w:t>
      </w:r>
      <w:r>
        <w:rPr>
          <w:rFonts w:hint="eastAsia" w:ascii="仿宋" w:hAnsi="仿宋" w:eastAsia="仿宋" w:cs="仿宋"/>
          <w:bCs/>
          <w:color w:val="auto"/>
          <w:sz w:val="36"/>
          <w:szCs w:val="36"/>
          <w:highlight w:val="none"/>
        </w:rPr>
        <w:t xml:space="preserve">第二部分  投标须知</w:t>
      </w:r>
      <w:r/>
    </w:p>
    <w:p>
      <w:pPr>
        <w:pStyle w:val="981"/>
        <w:spacing w:before="0" w:after="0" w:line="360" w:lineRule="auto"/>
        <w:rPr>
          <w:rFonts w:hint="eastAsia" w:ascii="仿宋" w:hAnsi="仿宋" w:eastAsia="仿宋" w:cs="仿宋"/>
          <w:b w:val="0"/>
          <w:color w:val="auto"/>
          <w:sz w:val="28"/>
          <w:szCs w:val="28"/>
          <w:highlight w:val="none"/>
        </w:rPr>
      </w:pPr>
      <w:r/>
      <w:bookmarkStart w:id="4" w:name="_Toc20823275"/>
      <w:r/>
      <w:bookmarkStart w:id="5" w:name="_Toc120614214"/>
      <w:r/>
      <w:bookmarkStart w:id="6" w:name="_Toc513029203"/>
      <w:r/>
      <w:bookmarkStart w:id="7" w:name="_Toc16938519"/>
      <w:r>
        <w:rPr>
          <w:rFonts w:hint="eastAsia" w:ascii="仿宋" w:hAnsi="仿宋" w:eastAsia="仿宋" w:cs="仿宋"/>
          <w:b w:val="0"/>
          <w:color w:val="auto"/>
          <w:sz w:val="28"/>
          <w:szCs w:val="28"/>
          <w:highlight w:val="none"/>
        </w:rPr>
        <w:t xml:space="preserve">（一）总则</w:t>
      </w:r>
      <w:bookmarkEnd w:id="4"/>
      <w:r/>
      <w:bookmarkEnd w:id="5"/>
      <w:r/>
      <w:bookmarkEnd w:id="6"/>
      <w:r/>
      <w:bookmarkEnd w:id="7"/>
      <w:r/>
      <w:r/>
    </w:p>
    <w:p>
      <w:pPr>
        <w:pStyle w:val="982"/>
        <w:ind w:firstLine="560"/>
        <w:jc w:val="both"/>
        <w:spacing w:line="360" w:lineRule="auto"/>
        <w:rPr>
          <w:rFonts w:hint="eastAsia" w:ascii="仿宋" w:hAnsi="仿宋" w:eastAsia="仿宋" w:cs="仿宋"/>
          <w:bCs/>
          <w:color w:val="auto"/>
          <w:sz w:val="28"/>
          <w:szCs w:val="28"/>
          <w:highlight w:val="none"/>
        </w:rPr>
      </w:pPr>
      <w:r/>
      <w:bookmarkStart w:id="8" w:name="_Hlt16619475"/>
      <w:r/>
      <w:bookmarkEnd w:id="8"/>
      <w:r/>
      <w:bookmarkStart w:id="9" w:name="_Toc458694821"/>
      <w:r/>
      <w:bookmarkStart w:id="10" w:name="_Toc20823276"/>
      <w:r/>
      <w:bookmarkStart w:id="11" w:name="_Toc513029204"/>
      <w:r/>
      <w:bookmarkStart w:id="12" w:name="_Toc16938520"/>
      <w:r>
        <w:rPr>
          <w:rFonts w:hint="eastAsia" w:ascii="仿宋" w:hAnsi="仿宋" w:eastAsia="仿宋" w:cs="仿宋"/>
          <w:bCs/>
          <w:color w:val="auto"/>
          <w:sz w:val="28"/>
          <w:szCs w:val="28"/>
          <w:highlight w:val="none"/>
        </w:rPr>
        <w:t xml:space="preserve">1</w:t>
      </w:r>
      <w:bookmarkEnd w:id="9"/>
      <w:r>
        <w:rPr>
          <w:rFonts w:hint="eastAsia" w:ascii="仿宋" w:hAnsi="仿宋" w:eastAsia="仿宋" w:cs="仿宋"/>
          <w:bCs/>
          <w:color w:val="auto"/>
          <w:sz w:val="28"/>
          <w:szCs w:val="28"/>
          <w:highlight w:val="none"/>
        </w:rPr>
        <w:t xml:space="preserve">.招标方式</w:t>
      </w:r>
      <w:bookmarkEnd w:id="10"/>
      <w:r/>
      <w:bookmarkEnd w:id="11"/>
      <w:r/>
      <w:bookmarkEnd w:id="12"/>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1.1 本次招标采取公开招标方式，本招标文件仅适用于招标公告中所述项目。</w:t>
      </w:r>
      <w:r/>
    </w:p>
    <w:p>
      <w:pPr>
        <w:pStyle w:val="982"/>
        <w:ind w:firstLine="560"/>
        <w:jc w:val="both"/>
        <w:spacing w:line="360" w:lineRule="auto"/>
        <w:rPr>
          <w:rFonts w:hint="eastAsia" w:ascii="仿宋" w:hAnsi="仿宋" w:eastAsia="仿宋" w:cs="仿宋"/>
          <w:bCs/>
          <w:color w:val="auto"/>
          <w:sz w:val="28"/>
          <w:szCs w:val="28"/>
          <w:highlight w:val="none"/>
        </w:rPr>
      </w:pPr>
      <w:r/>
      <w:bookmarkStart w:id="13" w:name="_Toc20823277"/>
      <w:r/>
      <w:bookmarkStart w:id="14" w:name="_Toc513029205"/>
      <w:r/>
      <w:bookmarkStart w:id="15" w:name="_Toc16938521"/>
      <w:r>
        <w:rPr>
          <w:rFonts w:hint="eastAsia" w:ascii="仿宋" w:hAnsi="仿宋" w:eastAsia="仿宋" w:cs="仿宋"/>
          <w:bCs/>
          <w:color w:val="auto"/>
          <w:sz w:val="28"/>
          <w:szCs w:val="28"/>
          <w:highlight w:val="none"/>
        </w:rPr>
        <w:t xml:space="preserve">2.合格的投标人</w:t>
      </w:r>
      <w:bookmarkEnd w:id="13"/>
      <w:r/>
      <w:bookmarkEnd w:id="14"/>
      <w:r/>
      <w:bookmarkEnd w:id="15"/>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2.1满足招标公告中投标单位的资格要求的规定。</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2.2 满足本文件实质性条款的规定。</w:t>
      </w:r>
      <w:r/>
    </w:p>
    <w:p>
      <w:pPr>
        <w:pStyle w:val="982"/>
        <w:ind w:firstLine="560"/>
        <w:jc w:val="both"/>
        <w:spacing w:line="360" w:lineRule="auto"/>
        <w:rPr>
          <w:rFonts w:hint="eastAsia" w:ascii="仿宋" w:hAnsi="仿宋" w:eastAsia="仿宋" w:cs="仿宋"/>
          <w:bCs/>
          <w:color w:val="auto"/>
          <w:sz w:val="28"/>
          <w:szCs w:val="28"/>
          <w:highlight w:val="none"/>
        </w:rPr>
      </w:pPr>
      <w:r/>
      <w:bookmarkStart w:id="16" w:name="_Toc20823278"/>
      <w:r/>
      <w:bookmarkStart w:id="17" w:name="_Toc513029206"/>
      <w:r/>
      <w:bookmarkStart w:id="18" w:name="_Toc16938522"/>
      <w:r>
        <w:rPr>
          <w:rFonts w:hint="eastAsia" w:ascii="仿宋" w:hAnsi="仿宋" w:eastAsia="仿宋" w:cs="仿宋"/>
          <w:bCs/>
          <w:color w:val="auto"/>
          <w:sz w:val="28"/>
          <w:szCs w:val="28"/>
          <w:highlight w:val="none"/>
        </w:rPr>
        <w:t xml:space="preserve">3.适用法律</w:t>
      </w:r>
      <w:bookmarkEnd w:id="16"/>
      <w:r/>
      <w:bookmarkEnd w:id="17"/>
      <w:r/>
      <w:bookmarkEnd w:id="18"/>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3.1 本次招标及由此产生的合同受中华人民共和国有关的法律法规制约和保护。</w:t>
      </w:r>
      <w:r/>
    </w:p>
    <w:p>
      <w:pPr>
        <w:pStyle w:val="982"/>
        <w:ind w:firstLine="560"/>
        <w:jc w:val="both"/>
        <w:spacing w:line="360" w:lineRule="auto"/>
        <w:rPr>
          <w:rFonts w:hint="eastAsia" w:ascii="仿宋" w:hAnsi="仿宋" w:eastAsia="仿宋" w:cs="仿宋"/>
          <w:bCs/>
          <w:color w:val="auto"/>
          <w:sz w:val="28"/>
          <w:szCs w:val="28"/>
          <w:highlight w:val="none"/>
        </w:rPr>
      </w:pPr>
      <w:r/>
      <w:bookmarkStart w:id="19" w:name="_Toc20823279"/>
      <w:r/>
      <w:bookmarkStart w:id="20" w:name="_Toc513029207"/>
      <w:r/>
      <w:bookmarkStart w:id="21" w:name="_Toc462564067"/>
      <w:r/>
      <w:bookmarkStart w:id="22" w:name="_Toc16938523"/>
      <w:r>
        <w:rPr>
          <w:rFonts w:hint="eastAsia" w:ascii="仿宋" w:hAnsi="仿宋" w:eastAsia="仿宋" w:cs="仿宋"/>
          <w:bCs/>
          <w:color w:val="auto"/>
          <w:sz w:val="28"/>
          <w:szCs w:val="28"/>
          <w:highlight w:val="none"/>
        </w:rPr>
        <w:t xml:space="preserve">4.投标费用</w:t>
      </w:r>
      <w:bookmarkEnd w:id="19"/>
      <w:r/>
      <w:bookmarkEnd w:id="20"/>
      <w:r/>
      <w:bookmarkEnd w:id="21"/>
      <w:r/>
      <w:bookmarkEnd w:id="22"/>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4.1 投标单位应自行承担所有与参加招标有关的费用，无论招标过程中的做法和结果如何，采购人在任何情况下均无义务和责任承担这些费用。</w:t>
      </w:r>
      <w:r/>
    </w:p>
    <w:p>
      <w:pPr>
        <w:contextualSpacing/>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4.2</w:t>
      </w:r>
      <w:r>
        <w:rPr>
          <w:rFonts w:hint="eastAsia" w:ascii="仿宋" w:hAnsi="仿宋" w:eastAsia="仿宋" w:cs="仿宋"/>
          <w:bCs/>
          <w:color w:val="auto"/>
          <w:sz w:val="28"/>
          <w:szCs w:val="28"/>
          <w:highlight w:val="none"/>
          <w:lang w:val="en-US" w:eastAsia="zh-CN"/>
        </w:rPr>
        <w:t xml:space="preserve">本</w:t>
      </w:r>
      <w:r>
        <w:rPr>
          <w:rFonts w:hint="eastAsia" w:ascii="仿宋" w:hAnsi="仿宋" w:eastAsia="仿宋" w:cs="仿宋"/>
          <w:bCs/>
          <w:color w:val="auto"/>
          <w:sz w:val="28"/>
          <w:szCs w:val="28"/>
          <w:highlight w:val="none"/>
        </w:rPr>
        <w:t xml:space="preserve">项目采购代理服务费按照苏政采协[2024]20号文标准计收，此费用包含在投标报价中，不单独列项，投标单位报价时应综合考虑（不单列）。代理费由成交投标单位在定标后支付给代理机构，如因成交投标单位原因导致本项目流标或改变中标结果或其被取消中标资格的，代理费不予退还。</w:t>
      </w:r>
      <w:r/>
    </w:p>
    <w:p>
      <w:pPr>
        <w:pStyle w:val="982"/>
        <w:ind w:firstLine="560"/>
        <w:jc w:val="both"/>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5.招标文件的约束力</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 投标人一旦参加本项目采购活动，即被认为接受了本招标文件的规定和约束。</w:t>
      </w:r>
      <w:r/>
    </w:p>
    <w:p>
      <w:pPr>
        <w:pStyle w:val="982"/>
        <w:ind w:firstLine="560"/>
        <w:jc w:val="both"/>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6.招标文件的解释</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6.1招标文件需求部分（投标单位资格要求、项目需求）由采购人解释，其它部分由采购代理机构解释。</w:t>
      </w:r>
      <w:r/>
    </w:p>
    <w:p>
      <w:pPr>
        <w:pStyle w:val="981"/>
        <w:spacing w:before="0" w:after="0" w:line="360" w:lineRule="auto"/>
        <w:rPr>
          <w:rFonts w:hint="eastAsia" w:ascii="仿宋" w:hAnsi="仿宋" w:eastAsia="仿宋" w:cs="仿宋"/>
          <w:b w:val="0"/>
          <w:color w:val="auto"/>
          <w:sz w:val="28"/>
          <w:szCs w:val="28"/>
          <w:highlight w:val="none"/>
        </w:rPr>
      </w:pPr>
      <w:r/>
      <w:bookmarkStart w:id="23" w:name="_Toc20823281"/>
      <w:r/>
      <w:bookmarkStart w:id="24" w:name="_Toc120614215"/>
      <w:r/>
      <w:bookmarkStart w:id="25" w:name="_Toc16938525"/>
      <w:r/>
      <w:bookmarkStart w:id="26" w:name="_Toc513029209"/>
      <w:r>
        <w:rPr>
          <w:rFonts w:hint="eastAsia" w:ascii="仿宋" w:hAnsi="仿宋" w:eastAsia="仿宋" w:cs="仿宋"/>
          <w:b w:val="0"/>
          <w:color w:val="auto"/>
          <w:sz w:val="28"/>
          <w:szCs w:val="28"/>
          <w:highlight w:val="none"/>
        </w:rPr>
        <w:t xml:space="preserve">（二）招标文件</w:t>
      </w:r>
      <w:bookmarkEnd w:id="23"/>
      <w:r/>
      <w:bookmarkEnd w:id="24"/>
      <w:r/>
      <w:bookmarkEnd w:id="25"/>
      <w:r/>
      <w:bookmarkEnd w:id="26"/>
      <w:r/>
      <w:r/>
    </w:p>
    <w:p>
      <w:pPr>
        <w:pStyle w:val="982"/>
        <w:ind w:firstLine="560"/>
        <w:jc w:val="both"/>
        <w:spacing w:line="360" w:lineRule="auto"/>
        <w:rPr>
          <w:rFonts w:hint="eastAsia" w:ascii="仿宋" w:hAnsi="仿宋" w:eastAsia="仿宋" w:cs="仿宋"/>
          <w:bCs/>
          <w:color w:val="auto"/>
          <w:sz w:val="28"/>
          <w:szCs w:val="28"/>
          <w:highlight w:val="none"/>
        </w:rPr>
      </w:pPr>
      <w:r/>
      <w:bookmarkStart w:id="27" w:name="_Toc513029210"/>
      <w:r/>
      <w:bookmarkStart w:id="28" w:name="_Toc16938526"/>
      <w:r/>
      <w:bookmarkStart w:id="29" w:name="_Toc20823282"/>
      <w:r>
        <w:rPr>
          <w:rFonts w:hint="eastAsia" w:ascii="仿宋" w:hAnsi="仿宋" w:eastAsia="仿宋" w:cs="仿宋"/>
          <w:bCs/>
          <w:color w:val="auto"/>
          <w:sz w:val="28"/>
          <w:szCs w:val="28"/>
          <w:highlight w:val="none"/>
        </w:rPr>
        <w:t xml:space="preserve">1.招标文件构成</w:t>
      </w:r>
      <w:bookmarkEnd w:id="27"/>
      <w:r/>
      <w:bookmarkEnd w:id="28"/>
      <w:r/>
      <w:bookmarkEnd w:id="29"/>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1.1 招标文件由以下部分组成：</w:t>
      </w:r>
      <w:r/>
    </w:p>
    <w:p>
      <w:pPr>
        <w:ind w:firstLine="4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（1）投标邀请</w:t>
      </w:r>
      <w:r/>
    </w:p>
    <w:p>
      <w:pPr>
        <w:ind w:firstLine="4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（2）投标须知</w:t>
      </w:r>
      <w:r/>
    </w:p>
    <w:p>
      <w:pPr>
        <w:ind w:firstLine="4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（3）项目需求</w:t>
      </w:r>
      <w:r/>
    </w:p>
    <w:p>
      <w:pPr>
        <w:ind w:firstLine="4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（4）开标和评标</w:t>
      </w:r>
      <w:r/>
    </w:p>
    <w:p>
      <w:pPr>
        <w:ind w:firstLine="4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（5）投标文件组成</w:t>
      </w:r>
      <w:r/>
    </w:p>
    <w:p>
      <w:pPr>
        <w:ind w:firstLine="4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（6）附件（如有）</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请仔细检查招标文件是否齐全，如有缺漏请立即与采购人或采购代理机构联系解决。</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82"/>
        <w:ind w:firstLine="560"/>
        <w:jc w:val="both"/>
        <w:spacing w:line="360" w:lineRule="auto"/>
        <w:rPr>
          <w:rFonts w:hint="eastAsia" w:ascii="仿宋" w:hAnsi="仿宋" w:eastAsia="仿宋" w:cs="仿宋"/>
          <w:bCs/>
          <w:color w:val="auto"/>
          <w:sz w:val="28"/>
          <w:szCs w:val="28"/>
          <w:highlight w:val="none"/>
        </w:rPr>
      </w:pPr>
      <w:r/>
      <w:bookmarkStart w:id="30" w:name="_Toc513029211"/>
      <w:r/>
      <w:bookmarkStart w:id="31" w:name="_Toc20823283"/>
      <w:r/>
      <w:bookmarkStart w:id="32" w:name="_Toc462564070"/>
      <w:r/>
      <w:bookmarkStart w:id="33" w:name="_Toc16938527"/>
      <w:r>
        <w:rPr>
          <w:rFonts w:hint="eastAsia" w:ascii="仿宋" w:hAnsi="仿宋" w:eastAsia="仿宋" w:cs="仿宋"/>
          <w:bCs/>
          <w:color w:val="auto"/>
          <w:sz w:val="28"/>
          <w:szCs w:val="28"/>
          <w:highlight w:val="none"/>
        </w:rPr>
        <w:t xml:space="preserve">2.招标文件的澄清</w:t>
      </w:r>
      <w:bookmarkEnd w:id="30"/>
      <w:r/>
      <w:bookmarkEnd w:id="31"/>
      <w:r/>
      <w:bookmarkEnd w:id="32"/>
      <w:r/>
      <w:bookmarkEnd w:id="33"/>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2.1 任何要求对招标文件进行澄清的投标人，应在投标截止期十日前按招标公告中的通讯地址，以书面形式通知采购人。采购人有权对发出的招标文件进行必要的澄清或修改</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2.2采购人视情组织答疑会</w:t>
      </w:r>
      <w:r/>
    </w:p>
    <w:p>
      <w:pPr>
        <w:pStyle w:val="982"/>
        <w:ind w:firstLine="560"/>
        <w:jc w:val="both"/>
        <w:spacing w:line="360" w:lineRule="auto"/>
        <w:rPr>
          <w:rFonts w:hint="eastAsia" w:ascii="仿宋" w:hAnsi="仿宋" w:eastAsia="仿宋" w:cs="仿宋"/>
          <w:bCs/>
          <w:color w:val="auto"/>
          <w:sz w:val="28"/>
          <w:szCs w:val="28"/>
          <w:highlight w:val="none"/>
        </w:rPr>
      </w:pPr>
      <w:r/>
      <w:bookmarkStart w:id="34" w:name="_Toc513029212"/>
      <w:r/>
      <w:bookmarkStart w:id="35" w:name="_Toc20823284"/>
      <w:r/>
      <w:bookmarkStart w:id="36" w:name="_Toc16938528"/>
      <w:r/>
      <w:bookmarkStart w:id="37" w:name="_Toc462564071"/>
      <w:r>
        <w:rPr>
          <w:rFonts w:hint="eastAsia" w:ascii="仿宋" w:hAnsi="仿宋" w:eastAsia="仿宋" w:cs="仿宋"/>
          <w:bCs/>
          <w:color w:val="auto"/>
          <w:sz w:val="28"/>
          <w:szCs w:val="28"/>
          <w:highlight w:val="none"/>
        </w:rPr>
        <w:t xml:space="preserve">3.招标文件的修改</w:t>
      </w:r>
      <w:bookmarkEnd w:id="34"/>
      <w:r/>
      <w:bookmarkEnd w:id="35"/>
      <w:r/>
      <w:bookmarkEnd w:id="36"/>
      <w:r/>
      <w:bookmarkEnd w:id="37"/>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3.1 在投标截止时间前，采购人或采购代理机构可以对招标文件进行修改。</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3.2 采购人或采购代理机构有权按照法定的要求推迟投标截止日期和开标日期。</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 招标文件的修改将在江苏政府采购网公布，补充文件将作为招标文件的组成部分，并对投标人具有约束力。</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投标人。发布本项目的“更正（澄清）公告”后采购代理机构已尽通知义务。敬请各潜投标人关注本项目的“更正（澄清）公告”，并通过“苏采云”系统重新下载更正（澄清）后的采购文件（后缀名为“.kedt”），离线编制响应文件，否则，将自行承担相应的风险。</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5.投标人对采购人提供的采购文件所做出的推论、解释和结论，采购人概不负责。投标单位由于对采购文件的任何推论和误解以及采购人对有关问题的口头解释所造成的后果，均由各潜在投标人自负。</w:t>
      </w:r>
      <w:r/>
    </w:p>
    <w:p>
      <w:pPr>
        <w:pStyle w:val="981"/>
        <w:spacing w:before="0" w:after="0" w:line="360" w:lineRule="auto"/>
        <w:rPr>
          <w:rFonts w:hint="eastAsia" w:ascii="仿宋" w:hAnsi="仿宋" w:eastAsia="仿宋" w:cs="仿宋"/>
          <w:b w:val="0"/>
          <w:color w:val="auto"/>
          <w:sz w:val="28"/>
          <w:szCs w:val="28"/>
          <w:highlight w:val="none"/>
        </w:rPr>
      </w:pPr>
      <w:r/>
      <w:bookmarkStart w:id="38" w:name="_Toc513029213"/>
      <w:r/>
      <w:bookmarkStart w:id="39" w:name="_Toc16938529"/>
      <w:r/>
      <w:bookmarkStart w:id="40" w:name="_Toc20823285"/>
      <w:r/>
      <w:bookmarkStart w:id="41" w:name="_Toc462564072"/>
      <w:r/>
      <w:bookmarkStart w:id="42" w:name="_Toc120614216"/>
      <w:r>
        <w:rPr>
          <w:rFonts w:hint="eastAsia" w:ascii="仿宋" w:hAnsi="仿宋" w:eastAsia="仿宋" w:cs="仿宋"/>
          <w:b w:val="0"/>
          <w:color w:val="auto"/>
          <w:sz w:val="28"/>
          <w:szCs w:val="28"/>
          <w:highlight w:val="none"/>
        </w:rPr>
        <w:t xml:space="preserve">（三）投标文件的编制</w:t>
      </w:r>
      <w:bookmarkEnd w:id="38"/>
      <w:r/>
      <w:bookmarkEnd w:id="39"/>
      <w:r/>
      <w:bookmarkEnd w:id="40"/>
      <w:r/>
      <w:bookmarkEnd w:id="41"/>
      <w:r/>
      <w:bookmarkEnd w:id="42"/>
      <w:r/>
      <w:r/>
    </w:p>
    <w:p>
      <w:pPr>
        <w:pStyle w:val="982"/>
        <w:ind w:firstLine="560"/>
        <w:jc w:val="both"/>
        <w:spacing w:line="360" w:lineRule="auto"/>
        <w:rPr>
          <w:rFonts w:hint="eastAsia" w:ascii="仿宋" w:hAnsi="仿宋" w:eastAsia="仿宋" w:cs="仿宋"/>
          <w:bCs/>
          <w:color w:val="auto"/>
          <w:sz w:val="28"/>
          <w:szCs w:val="28"/>
          <w:highlight w:val="none"/>
        </w:rPr>
      </w:pPr>
      <w:r/>
      <w:bookmarkStart w:id="43" w:name="_Toc462564073"/>
      <w:r/>
      <w:bookmarkStart w:id="44" w:name="_Toc20823286"/>
      <w:r/>
      <w:bookmarkStart w:id="45" w:name="_Toc16938530"/>
      <w:r/>
      <w:bookmarkStart w:id="46" w:name="_Toc513029214"/>
      <w:r>
        <w:rPr>
          <w:rFonts w:hint="eastAsia" w:ascii="仿宋" w:hAnsi="仿宋" w:eastAsia="仿宋" w:cs="仿宋"/>
          <w:bCs/>
          <w:color w:val="auto"/>
          <w:sz w:val="28"/>
          <w:szCs w:val="28"/>
          <w:highlight w:val="none"/>
        </w:rPr>
        <w:t xml:space="preserve">1.投标文件的语言及度量衡单位</w:t>
      </w:r>
      <w:bookmarkEnd w:id="43"/>
      <w:r/>
      <w:bookmarkEnd w:id="44"/>
      <w:r/>
      <w:bookmarkEnd w:id="45"/>
      <w:r/>
      <w:bookmarkEnd w:id="46"/>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1.1 投标人提交的投标文件以及投标人与采购人或采购代理机构就有关投标的所有来往通知、函件和文件均应使用简体中文。</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1.2 除技术性能另有规定外，投标文件所使用的度量衡单位，均须采用国家法定计量单位。</w:t>
      </w:r>
      <w:r/>
    </w:p>
    <w:p>
      <w:pPr>
        <w:pStyle w:val="982"/>
        <w:ind w:firstLine="560"/>
        <w:jc w:val="both"/>
        <w:spacing w:line="360" w:lineRule="auto"/>
        <w:rPr>
          <w:rFonts w:hint="eastAsia" w:ascii="仿宋" w:hAnsi="仿宋" w:eastAsia="仿宋" w:cs="仿宋"/>
          <w:bCs/>
          <w:color w:val="auto"/>
          <w:sz w:val="28"/>
          <w:szCs w:val="28"/>
          <w:highlight w:val="none"/>
        </w:rPr>
      </w:pPr>
      <w:r/>
      <w:bookmarkStart w:id="47" w:name="_Toc20823287"/>
      <w:r/>
      <w:bookmarkStart w:id="48" w:name="_Toc462564074"/>
      <w:r/>
      <w:bookmarkStart w:id="49" w:name="_Toc513029215"/>
      <w:r/>
      <w:bookmarkStart w:id="50" w:name="_Toc16938531"/>
      <w:r>
        <w:rPr>
          <w:rFonts w:hint="eastAsia" w:ascii="仿宋" w:hAnsi="仿宋" w:eastAsia="仿宋" w:cs="仿宋"/>
          <w:bCs/>
          <w:color w:val="auto"/>
          <w:sz w:val="28"/>
          <w:szCs w:val="28"/>
          <w:highlight w:val="none"/>
        </w:rPr>
        <w:t xml:space="preserve">2.投标文件构成</w:t>
      </w:r>
      <w:bookmarkEnd w:id="47"/>
      <w:r/>
      <w:bookmarkEnd w:id="48"/>
      <w:r/>
      <w:bookmarkEnd w:id="49"/>
      <w:r/>
      <w:bookmarkEnd w:id="50"/>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2.1 投标人编写的投标文件应包括资格审查证明材料文件，符合性审查材料文件、商务、技术标文件，价格标文件。投标单位按“第五部分 投标文件组成”要求编写投标文件</w:t>
      </w:r>
      <w:r/>
    </w:p>
    <w:p>
      <w:pPr>
        <w:pStyle w:val="982"/>
        <w:ind w:firstLine="560"/>
        <w:jc w:val="both"/>
        <w:spacing w:line="360" w:lineRule="auto"/>
        <w:rPr>
          <w:rFonts w:hint="eastAsia" w:ascii="仿宋" w:hAnsi="仿宋" w:eastAsia="仿宋" w:cs="仿宋"/>
          <w:bCs/>
          <w:color w:val="auto"/>
          <w:sz w:val="28"/>
          <w:szCs w:val="28"/>
          <w:highlight w:val="none"/>
        </w:rPr>
      </w:pPr>
      <w:r/>
      <w:bookmarkStart w:id="51" w:name="_Hlt26670360"/>
      <w:r/>
      <w:bookmarkEnd w:id="51"/>
      <w:r/>
      <w:bookmarkStart w:id="52" w:name="_Hlt26954838"/>
      <w:r/>
      <w:bookmarkEnd w:id="52"/>
      <w:r/>
      <w:bookmarkStart w:id="53" w:name="_Hlt26668975"/>
      <w:r/>
      <w:bookmarkEnd w:id="53"/>
      <w:r/>
      <w:bookmarkStart w:id="54" w:name="_Toc14577360"/>
      <w:r/>
      <w:bookmarkStart w:id="55" w:name="_Toc49090511"/>
      <w:r>
        <w:rPr>
          <w:rFonts w:hint="eastAsia" w:ascii="仿宋" w:hAnsi="仿宋" w:eastAsia="仿宋" w:cs="仿宋"/>
          <w:bCs/>
          <w:color w:val="auto"/>
          <w:sz w:val="28"/>
          <w:szCs w:val="28"/>
          <w:highlight w:val="none"/>
        </w:rPr>
        <w:t xml:space="preserve">3.投标有效期</w:t>
      </w:r>
      <w:bookmarkEnd w:id="54"/>
      <w:r/>
      <w:bookmarkEnd w:id="55"/>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3.1投标有效期为招标文件规定的开标之日后</w:t>
      </w:r>
      <w:r>
        <w:rPr>
          <w:rFonts w:hint="eastAsia" w:ascii="仿宋" w:hAnsi="仿宋" w:eastAsia="仿宋" w:cs="仿宋"/>
          <w:bCs/>
          <w:color w:val="auto"/>
          <w:sz w:val="28"/>
          <w:szCs w:val="28"/>
          <w:highlight w:val="none"/>
          <w:u w:val="single"/>
        </w:rPr>
        <w:t xml:space="preserve">六十（60）天</w:t>
      </w:r>
      <w:r>
        <w:rPr>
          <w:rFonts w:hint="eastAsia" w:ascii="仿宋" w:hAnsi="仿宋" w:eastAsia="仿宋" w:cs="仿宋"/>
          <w:bCs/>
          <w:color w:val="auto"/>
          <w:sz w:val="28"/>
          <w:szCs w:val="28"/>
          <w:highlight w:val="none"/>
        </w:rPr>
        <w:t xml:space="preserve">。投标有效期比规定短的将被视为非响应性投标而予以拒绝。</w:t>
      </w:r>
      <w:r/>
    </w:p>
    <w:p>
      <w:pPr>
        <w:pStyle w:val="982"/>
        <w:ind w:firstLine="560"/>
        <w:jc w:val="both"/>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4.投标有效期的延长</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5.电子响应文件其他要求</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5.1电子招标投标交易平台（即“苏采云”系统）相关要求是本采购文件的组成部分。</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5.2投标人应对CA证书妥善保管，如被他人盗用投标，因此带来的结果均由投标单位自行承担。</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5.3投标人应当对采购文件提出的实质性要求和条件作出实质性响应，并在电子投标系统逐条应答。</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5.4投标人应对要求提供的资格证明文件（如资质证书、资格证书）、技术资料（如白皮书、彩页、手册、检测报告等）扫描上传至投标系统。 </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6.投标人应当在采购文件要求提交投标文件的截止时间前，将投标文件提交至“苏采云”系统，逾期提交的投标文件，“苏采云”系统将自动拒收。各投标人应在规定时间内凭CA证书进行网上解密。</w:t>
      </w:r>
      <w:r/>
    </w:p>
    <w:p>
      <w:pPr>
        <w:pStyle w:val="981"/>
        <w:spacing w:before="0" w:after="0" w:line="360" w:lineRule="auto"/>
        <w:rPr>
          <w:rFonts w:hint="eastAsia" w:ascii="仿宋" w:hAnsi="仿宋" w:eastAsia="仿宋" w:cs="仿宋"/>
          <w:b w:val="0"/>
          <w:color w:val="auto"/>
          <w:sz w:val="28"/>
          <w:szCs w:val="28"/>
          <w:highlight w:val="none"/>
        </w:rPr>
      </w:pPr>
      <w:r/>
      <w:bookmarkStart w:id="56" w:name="_Hlt26954739"/>
      <w:r/>
      <w:bookmarkEnd w:id="56"/>
      <w:r/>
      <w:bookmarkStart w:id="57" w:name="_Hlt26954852"/>
      <w:r/>
      <w:bookmarkEnd w:id="57"/>
      <w:r/>
      <w:bookmarkStart w:id="58" w:name="_Toc20823296"/>
      <w:r/>
      <w:bookmarkStart w:id="59" w:name="_Toc120614217"/>
      <w:r/>
      <w:bookmarkStart w:id="60" w:name="_Toc513029224"/>
      <w:r/>
      <w:bookmarkStart w:id="61" w:name="_Toc16938540"/>
      <w:r>
        <w:rPr>
          <w:rFonts w:hint="eastAsia" w:ascii="仿宋" w:hAnsi="仿宋" w:eastAsia="仿宋" w:cs="仿宋"/>
          <w:b w:val="0"/>
          <w:color w:val="auto"/>
          <w:sz w:val="28"/>
          <w:szCs w:val="28"/>
          <w:highlight w:val="none"/>
        </w:rPr>
        <w:t xml:space="preserve">（四）投标文件的递交</w:t>
      </w:r>
      <w:bookmarkEnd w:id="58"/>
      <w:r/>
      <w:bookmarkEnd w:id="59"/>
      <w:r/>
      <w:bookmarkEnd w:id="60"/>
      <w:r/>
      <w:bookmarkEnd w:id="61"/>
      <w:r/>
      <w:r/>
    </w:p>
    <w:p>
      <w:pPr>
        <w:pStyle w:val="982"/>
        <w:ind w:firstLine="560"/>
        <w:jc w:val="both"/>
        <w:spacing w:line="360" w:lineRule="auto"/>
        <w:rPr>
          <w:rFonts w:hint="eastAsia" w:ascii="仿宋" w:hAnsi="仿宋" w:eastAsia="仿宋" w:cs="仿宋"/>
          <w:bCs/>
          <w:color w:val="auto"/>
          <w:sz w:val="28"/>
          <w:szCs w:val="28"/>
          <w:highlight w:val="none"/>
        </w:rPr>
      </w:pPr>
      <w:r/>
      <w:bookmarkStart w:id="62" w:name="_Toc513029225"/>
      <w:r/>
      <w:bookmarkStart w:id="63" w:name="_Toc462564084"/>
      <w:r/>
      <w:bookmarkStart w:id="64" w:name="_Toc20823297"/>
      <w:r/>
      <w:bookmarkStart w:id="65" w:name="_Toc16938541"/>
      <w:r>
        <w:rPr>
          <w:rFonts w:hint="eastAsia" w:ascii="仿宋" w:hAnsi="仿宋" w:eastAsia="仿宋" w:cs="仿宋"/>
          <w:bCs/>
          <w:color w:val="auto"/>
          <w:sz w:val="28"/>
          <w:szCs w:val="28"/>
          <w:highlight w:val="none"/>
        </w:rPr>
        <w:t xml:space="preserve">1.投标文件</w:t>
      </w:r>
      <w:bookmarkEnd w:id="62"/>
      <w:r/>
      <w:bookmarkEnd w:id="63"/>
      <w:r/>
      <w:bookmarkEnd w:id="64"/>
      <w:r/>
      <w:bookmarkEnd w:id="65"/>
      <w:r>
        <w:rPr>
          <w:rFonts w:hint="eastAsia" w:ascii="仿宋" w:hAnsi="仿宋" w:eastAsia="仿宋" w:cs="仿宋"/>
          <w:bCs/>
          <w:color w:val="auto"/>
          <w:sz w:val="28"/>
          <w:szCs w:val="28"/>
          <w:highlight w:val="none"/>
        </w:rPr>
        <w:t xml:space="preserve">的递交</w:t>
      </w:r>
      <w:r/>
    </w:p>
    <w:p>
      <w:pPr>
        <w:ind w:firstLine="556"/>
        <w:spacing w:line="360" w:lineRule="auto"/>
        <w:rPr>
          <w:rFonts w:hint="eastAsia" w:ascii="仿宋" w:hAnsi="仿宋" w:eastAsia="仿宋" w:cs="仿宋"/>
          <w:bCs/>
          <w:color w:val="auto"/>
          <w:sz w:val="28"/>
          <w:szCs w:val="28"/>
          <w:highlight w:val="none"/>
        </w:rPr>
      </w:pPr>
      <w:r/>
      <w:bookmarkStart w:id="66" w:name="_Toc20823298"/>
      <w:r/>
      <w:bookmarkStart w:id="67" w:name="_Toc513029226"/>
      <w:r/>
      <w:bookmarkStart w:id="68" w:name="_Toc16938542"/>
      <w:r>
        <w:rPr>
          <w:rFonts w:hint="eastAsia" w:ascii="仿宋" w:hAnsi="仿宋" w:eastAsia="仿宋" w:cs="仿宋"/>
          <w:bCs/>
          <w:color w:val="auto"/>
          <w:sz w:val="28"/>
          <w:szCs w:val="28"/>
          <w:highlight w:val="none"/>
        </w:rPr>
        <w:t xml:space="preserve">1.1线上提交与接收地点：投标单位应当通过“苏采云”系统提交数据电文形式的响应文件（即电子投标），“苏采云”系统自动接收。</w:t>
      </w:r>
      <w:r/>
    </w:p>
    <w:p>
      <w:pPr>
        <w:ind w:firstLine="556"/>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2.投标截止日期</w:t>
      </w:r>
      <w:bookmarkEnd w:id="66"/>
      <w:r/>
      <w:bookmarkEnd w:id="67"/>
      <w:r/>
      <w:bookmarkEnd w:id="68"/>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2.1 投标人上传电子投标文件的时间不得迟于招标公告中规定的投标截止时间。</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2.2 采购人或采购代理机构可以按照规定，通过修改招标文件酌情延长投标截止日期，在此情况下，投标人的所有权利和义务以及投标人受制的截止日期均应以延长后新的截止日期为准。</w:t>
      </w:r>
      <w:bookmarkStart w:id="69" w:name="_Toc513029227"/>
      <w:r/>
      <w:bookmarkStart w:id="70" w:name="_Toc16938543"/>
      <w:r/>
      <w:bookmarkStart w:id="71" w:name="_Toc20823299"/>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3.投标文件的密封（加密）要求：</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3.1投标人应当按照采购文件和“苏采云”系统的要求编制并加密响应文件。本项目投标人须通过“苏采云”系统提供的政府采购客户端工具（使用“CA数字证书”）对其数据电文形式的投标文件加密。</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3.2投标人须通过“苏采云”系统提供的政府采购客户端工具（使用“CA数字证书”）加盖电子签章。</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说明：投标人应在用CA数字证书以及自备的能够登录“苏采云”系统的笔记本电脑，在达到开标时间后，使用CA数字证书解密各自投标文件。</w:t>
      </w:r>
      <w:r/>
    </w:p>
    <w:p>
      <w:pPr>
        <w:pStyle w:val="982"/>
        <w:ind w:firstLine="560"/>
        <w:jc w:val="both"/>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3.3投标人未按规定加密的投标文件，“苏采云”系统应当拒收并提示。</w:t>
      </w:r>
      <w:r/>
    </w:p>
    <w:p>
      <w:pPr>
        <w:pStyle w:val="982"/>
        <w:ind w:firstLine="560"/>
        <w:jc w:val="both"/>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4.投标文件</w:t>
      </w:r>
      <w:bookmarkEnd w:id="69"/>
      <w:r/>
      <w:bookmarkEnd w:id="70"/>
      <w:r/>
      <w:bookmarkEnd w:id="71"/>
      <w:r>
        <w:rPr>
          <w:rFonts w:hint="eastAsia" w:ascii="仿宋" w:hAnsi="仿宋" w:eastAsia="仿宋" w:cs="仿宋"/>
          <w:bCs/>
          <w:color w:val="auto"/>
          <w:sz w:val="28"/>
          <w:szCs w:val="28"/>
          <w:highlight w:val="none"/>
        </w:rPr>
        <w:t xml:space="preserve">的拒收</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4.1 采购人或采购代理机构拒绝接收在其规定的投标截止时间后上传的任何投标文件。</w:t>
      </w:r>
      <w:r/>
    </w:p>
    <w:p>
      <w:pPr>
        <w:pStyle w:val="982"/>
        <w:ind w:firstLine="560"/>
        <w:jc w:val="both"/>
        <w:spacing w:line="360" w:lineRule="auto"/>
        <w:rPr>
          <w:rFonts w:hint="eastAsia" w:ascii="仿宋" w:hAnsi="仿宋" w:eastAsia="仿宋" w:cs="仿宋"/>
          <w:bCs/>
          <w:color w:val="auto"/>
          <w:sz w:val="28"/>
          <w:szCs w:val="28"/>
          <w:highlight w:val="none"/>
        </w:rPr>
      </w:pPr>
      <w:r/>
      <w:bookmarkStart w:id="72" w:name="_Toc513029228"/>
      <w:r/>
      <w:bookmarkStart w:id="73" w:name="_Toc20823300"/>
      <w:r/>
      <w:bookmarkStart w:id="74" w:name="_Toc16938544"/>
      <w:r>
        <w:rPr>
          <w:rFonts w:hint="eastAsia" w:ascii="仿宋" w:hAnsi="仿宋" w:eastAsia="仿宋" w:cs="仿宋"/>
          <w:bCs/>
          <w:color w:val="auto"/>
          <w:sz w:val="28"/>
          <w:szCs w:val="28"/>
          <w:highlight w:val="none"/>
        </w:rPr>
        <w:t xml:space="preserve">5.投标文件的撤回和修改</w:t>
      </w:r>
      <w:bookmarkEnd w:id="72"/>
      <w:r/>
      <w:bookmarkEnd w:id="73"/>
      <w:r/>
      <w:bookmarkEnd w:id="74"/>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 投标文件的撤回</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5.1.1 电子投标文件的撤回</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投标人可在投标截止时间前，撤回其电子投标文件，具体操作方法见《江苏省政府采购（投标单位）CA数字证书及电子签章办理指南》。</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5.1.2 投标人撤回电子投标文件，则认为其不再参与本项目投标活动。</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5.2 投标文件的修改</w:t>
      </w:r>
      <w:r/>
    </w:p>
    <w:p>
      <w:pPr>
        <w:ind w:firstLine="555"/>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投标人可在投标截止时间前，对其电子投标文件进行修改》。</w:t>
      </w:r>
      <w:r/>
    </w:p>
    <w:p>
      <w:pPr>
        <w:ind w:firstLine="555"/>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5.3 在投标截止时间之后，投标人不得对其电子投标文件作任何修改。</w:t>
      </w:r>
      <w:r/>
    </w:p>
    <w:p>
      <w:pPr>
        <w:ind w:firstLine="555"/>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5.4 在投标截止时间至招标文件中规定的投标有效期满之间的这段时间内，投标人不得撤回其投标。</w:t>
      </w:r>
      <w:r/>
    </w:p>
    <w:p>
      <w:pPr>
        <w:pStyle w:val="981"/>
        <w:spacing w:before="0" w:after="0" w:line="360" w:lineRule="auto"/>
        <w:rPr>
          <w:rFonts w:hint="eastAsia" w:ascii="仿宋" w:hAnsi="仿宋" w:eastAsia="仿宋" w:cs="仿宋"/>
          <w:b w:val="0"/>
          <w:color w:val="auto"/>
          <w:sz w:val="28"/>
          <w:szCs w:val="28"/>
          <w:highlight w:val="none"/>
        </w:rPr>
      </w:pPr>
      <w:r/>
      <w:bookmarkStart w:id="75" w:name="_Toc513029229"/>
      <w:r/>
      <w:bookmarkStart w:id="76" w:name="_Toc20823301"/>
      <w:r/>
      <w:bookmarkStart w:id="77" w:name="_Toc16938545"/>
      <w:r/>
      <w:bookmarkStart w:id="78" w:name="_Toc120614218"/>
      <w:r>
        <w:rPr>
          <w:rFonts w:hint="eastAsia" w:ascii="仿宋" w:hAnsi="仿宋" w:eastAsia="仿宋" w:cs="仿宋"/>
          <w:b w:val="0"/>
          <w:color w:val="auto"/>
          <w:sz w:val="28"/>
          <w:szCs w:val="28"/>
          <w:highlight w:val="none"/>
        </w:rPr>
        <w:t xml:space="preserve">（五）开标与评标</w:t>
      </w:r>
      <w:bookmarkEnd w:id="75"/>
      <w:r/>
      <w:bookmarkEnd w:id="76"/>
      <w:r/>
      <w:bookmarkEnd w:id="77"/>
      <w:r/>
      <w:bookmarkEnd w:id="78"/>
      <w:r/>
      <w:r/>
    </w:p>
    <w:p>
      <w:pPr>
        <w:pStyle w:val="982"/>
        <w:ind w:firstLine="560"/>
        <w:jc w:val="both"/>
        <w:spacing w:line="360" w:lineRule="auto"/>
        <w:rPr>
          <w:rFonts w:hint="eastAsia" w:ascii="仿宋" w:hAnsi="仿宋" w:eastAsia="仿宋" w:cs="仿宋"/>
          <w:bCs/>
          <w:color w:val="auto"/>
          <w:sz w:val="28"/>
          <w:szCs w:val="28"/>
          <w:highlight w:val="none"/>
        </w:rPr>
      </w:pPr>
      <w:r/>
      <w:bookmarkStart w:id="79" w:name="_Toc16938546"/>
      <w:r/>
      <w:bookmarkStart w:id="80" w:name="_Toc20823302"/>
      <w:r/>
      <w:bookmarkStart w:id="81" w:name="_Toc513029230"/>
      <w:r>
        <w:rPr>
          <w:rFonts w:hint="eastAsia" w:ascii="仿宋" w:hAnsi="仿宋" w:eastAsia="仿宋" w:cs="仿宋"/>
          <w:bCs/>
          <w:color w:val="auto"/>
          <w:sz w:val="28"/>
          <w:szCs w:val="28"/>
          <w:highlight w:val="none"/>
        </w:rPr>
        <w:t xml:space="preserve">1.开标</w:t>
      </w:r>
      <w:bookmarkEnd w:id="79"/>
      <w:r/>
      <w:bookmarkEnd w:id="80"/>
      <w:r/>
      <w:bookmarkEnd w:id="81"/>
      <w:r/>
      <w:r/>
    </w:p>
    <w:p>
      <w:pPr>
        <w:ind w:firstLine="556"/>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1.1 采购人或采购代理机构将在招标公告中规定的时间和地点组织公开开标。</w:t>
      </w:r>
      <w:r/>
    </w:p>
    <w:p>
      <w:pPr>
        <w:ind w:firstLine="556"/>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开标当天投标人及时登录不见面开标大厅，投标文件递交截止时间后，采购</w:t>
      </w:r>
      <w:r>
        <w:rPr>
          <w:rFonts w:hint="eastAsia" w:ascii="仿宋" w:hAnsi="仿宋" w:eastAsia="仿宋" w:cs="仿宋"/>
          <w:bCs/>
          <w:color w:val="auto"/>
          <w:sz w:val="28"/>
          <w:szCs w:val="28"/>
          <w:highlight w:val="none"/>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56"/>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1.2开标仪式由招标代理机构组织，在不见面交易系统中进行开标，并公布各投标人的《开标一览表》。</w:t>
      </w:r>
      <w:r/>
    </w:p>
    <w:p>
      <w:pPr>
        <w:pStyle w:val="982"/>
        <w:ind w:firstLine="560"/>
        <w:jc w:val="both"/>
        <w:spacing w:line="360" w:lineRule="auto"/>
        <w:rPr>
          <w:rFonts w:hint="eastAsia" w:ascii="仿宋" w:hAnsi="仿宋" w:eastAsia="仿宋" w:cs="仿宋"/>
          <w:bCs/>
          <w:color w:val="auto"/>
          <w:sz w:val="28"/>
          <w:szCs w:val="28"/>
          <w:highlight w:val="none"/>
        </w:rPr>
      </w:pPr>
      <w:r/>
      <w:bookmarkStart w:id="82" w:name="_Toc16938547"/>
      <w:r/>
      <w:bookmarkStart w:id="83" w:name="_Toc20823303"/>
      <w:r/>
      <w:bookmarkStart w:id="84" w:name="_Toc513029231"/>
      <w:r>
        <w:rPr>
          <w:rFonts w:hint="eastAsia" w:ascii="仿宋" w:hAnsi="仿宋" w:eastAsia="仿宋" w:cs="仿宋"/>
          <w:bCs/>
          <w:color w:val="auto"/>
          <w:sz w:val="28"/>
          <w:szCs w:val="28"/>
          <w:highlight w:val="none"/>
        </w:rPr>
        <w:t xml:space="preserve">2.评标委员会</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2.1 开标后，采购人或采购代理机构将立即组织评标委员会（以下简称评委会）进行评标。</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2.2 评委会由有关技术、经济等方面的专家组成，且人员构成符合政府采购有关规定。</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2.3评委会独立工作，负责评审所有投标文件并确定中标侯选人。</w:t>
      </w:r>
      <w:r/>
    </w:p>
    <w:p>
      <w:pPr>
        <w:pStyle w:val="982"/>
        <w:ind w:firstLine="560"/>
        <w:jc w:val="both"/>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3.评标过程的保密与公正</w:t>
      </w:r>
      <w:bookmarkEnd w:id="82"/>
      <w:r/>
      <w:bookmarkEnd w:id="83"/>
      <w:r/>
      <w:bookmarkEnd w:id="84"/>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3.1公开开标后，直至向中标的投标人授予合同时止，凡是与审查、澄清、评价和比较投标的有关资料以及授标建议等，采购人、评委、采购代理机构均不得向投标人或与评标无关的其他人员透露。</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3.2在评标过程中，投标人不得以任何行为影响评标过程，否则其投标文件将被作为无效投标文件。</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3.3在评标期间，采购代理机构将设专门人员与投标人联系。</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3.4采购人或采购代理机构和评标委员会不向未中标的投标人解释未中标原因，也不公布评标过程中的相关细节。</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3.5采用综合评分法的项目，公布评标结果时一并公布所有投标人的评审得分及排序情况。</w:t>
      </w:r>
      <w:r/>
    </w:p>
    <w:p>
      <w:pPr>
        <w:pStyle w:val="982"/>
        <w:ind w:firstLine="560"/>
        <w:jc w:val="both"/>
        <w:spacing w:line="360" w:lineRule="auto"/>
        <w:rPr>
          <w:rFonts w:hint="eastAsia" w:ascii="仿宋" w:hAnsi="仿宋" w:eastAsia="仿宋" w:cs="仿宋"/>
          <w:bCs/>
          <w:color w:val="auto"/>
          <w:sz w:val="28"/>
          <w:szCs w:val="28"/>
          <w:highlight w:val="none"/>
        </w:rPr>
      </w:pPr>
      <w:r/>
      <w:bookmarkStart w:id="85" w:name="_Toc513029232"/>
      <w:r/>
      <w:bookmarkStart w:id="86" w:name="_Toc16938548"/>
      <w:r/>
      <w:bookmarkStart w:id="87" w:name="_Toc20823304"/>
      <w:r>
        <w:rPr>
          <w:rFonts w:hint="eastAsia" w:ascii="仿宋" w:hAnsi="仿宋" w:eastAsia="仿宋" w:cs="仿宋"/>
          <w:bCs/>
          <w:color w:val="auto"/>
          <w:sz w:val="28"/>
          <w:szCs w:val="28"/>
          <w:highlight w:val="none"/>
        </w:rPr>
        <w:t xml:space="preserve">4.投标的澄清</w:t>
      </w:r>
      <w:bookmarkEnd w:id="85"/>
      <w:r/>
      <w:bookmarkEnd w:id="86"/>
      <w:r/>
      <w:bookmarkEnd w:id="87"/>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4.1评标期间，为有助于对投标文件的审查、评价和比较，评委会有权以电子函件形式要求投标人对其投标文件进行澄清，但并非对每个投标人都作澄清要求。</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4.2接到评委会澄清要求的投标人应派人按评委会规定的时间和格式在“不见面交易系统”中做出澄清，澄清的内容作为投标文件的补充部分，但投标的价格和实质性的内容不得做任何更改。</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4.3 接到评委会澄清要求的投标人如未按规定做出澄清，其风险由投标人自行承担。</w:t>
      </w:r>
      <w:r/>
    </w:p>
    <w:p>
      <w:pPr>
        <w:pStyle w:val="982"/>
        <w:ind w:firstLine="560"/>
        <w:jc w:val="both"/>
        <w:spacing w:line="360" w:lineRule="auto"/>
        <w:rPr>
          <w:rFonts w:hint="eastAsia" w:ascii="仿宋" w:hAnsi="仿宋" w:eastAsia="仿宋" w:cs="仿宋"/>
          <w:bCs/>
          <w:color w:val="auto"/>
          <w:sz w:val="28"/>
          <w:szCs w:val="28"/>
          <w:highlight w:val="none"/>
        </w:rPr>
      </w:pPr>
      <w:r/>
      <w:bookmarkStart w:id="88" w:name="_Toc20823305"/>
      <w:r/>
      <w:bookmarkStart w:id="89" w:name="_Toc16938549"/>
      <w:r/>
      <w:bookmarkStart w:id="90" w:name="_Toc513029233"/>
      <w:r>
        <w:rPr>
          <w:rFonts w:hint="eastAsia" w:ascii="仿宋" w:hAnsi="仿宋" w:eastAsia="仿宋" w:cs="仿宋"/>
          <w:bCs/>
          <w:color w:val="auto"/>
          <w:sz w:val="28"/>
          <w:szCs w:val="28"/>
          <w:highlight w:val="none"/>
        </w:rPr>
        <w:t xml:space="preserve">5.对投标文件的初审</w:t>
      </w:r>
      <w:bookmarkEnd w:id="88"/>
      <w:r/>
      <w:bookmarkEnd w:id="89"/>
      <w:r/>
      <w:bookmarkEnd w:id="90"/>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5.1投标文件初审分为资格审查和符合性审查。</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5.1.1 资格审查：依据法律法规和招标文件的规定，由采购人对投标文件中的资格证明文件进行审查。资格审查的结论，采购人以书面形式向评委会进行反馈。</w:t>
      </w:r>
      <w:r/>
    </w:p>
    <w:p>
      <w:pPr>
        <w:ind w:firstLine="56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采购人在进行资格性审查的同时，评标委员会从“信用中国”网站查询投标单位的信用记录，以确定投标单位是否具备资格。</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接受联合体的项目，两个以上的自然人、法人或者其他组织组成一个联合体，以一个投标单位的身份共同参加政府采购活动的,联合体成员中任何一方存在不良信用记录的，视同联合体存在不良应用记录。</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5.1.2 符合性审查：依据招标文件的规定，由评委会从投标文件的有效性、完整性和对招标文件的响应程度进行审查，以确定是否对招标文件的实质性要求作出响应。</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5.1.3 未通过资格审查或符合性审查的投标人，采购人或采购代理机构告知未通过资格审查或符合性审查的原因，评审结束后，采购人或采购代理机构将不再告知未通过资格审查或符合性审查的原因。</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5.3如果投标文件实质上没有响应招标文件的要求，评委会将予以拒绝，投标人不得通过修改或撤销不合要求的偏离或保留而使其投标成为实质性响应的投标。</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5.4评委会将对确定为实质性响应的投标进行进一步审核，看其是否有计算上或累加上的算术错误，修正错误的原则如下：</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（1）投标文件中开标一览表内容与投标文件中相应内容不一致的，以开标一览表为准。</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（2）大写金额和小写金额不一致的，以大写金额为准。</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（3）单价金额小数点或者百分比有明显错位的，以开标一览表的总价为准，并修改单价。</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（4）总价金额与按单价汇总金额不一致的，以单价金额计算结果为准。</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同时出现两种以上错误的，按照前款规定的顺序修正。</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5.5评委会将按上述修正错误的方法调整投标文件中的投标报价，并告知投标人，调整后的价格应对投标人具有约束力。如果投标人不接受修正后的价格，则其投标将被拒绝。</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5.6评委会将允许修正投标文件中不构成重大偏离的、微小的、非正规的、不一致的或不规则的地方，但这些修改不能影响任何投标人相应的名次排列。</w:t>
      </w:r>
      <w:r/>
    </w:p>
    <w:p>
      <w:pPr>
        <w:ind w:firstLine="560"/>
        <w:spacing w:line="360" w:lineRule="auto"/>
        <w:rPr>
          <w:rFonts w:hint="eastAsia" w:ascii="仿宋" w:hAnsi="仿宋" w:eastAsia="仿宋" w:cs="仿宋"/>
          <w:bCs/>
          <w:color w:val="auto"/>
          <w:sz w:val="28"/>
          <w:szCs w:val="28"/>
          <w:highlight w:val="none"/>
        </w:rPr>
      </w:pPr>
      <w:r/>
      <w:bookmarkStart w:id="91" w:name="_Toc20823306"/>
      <w:r/>
      <w:bookmarkStart w:id="92" w:name="_Toc16938550"/>
      <w:r/>
      <w:bookmarkStart w:id="93" w:name="_Toc513029234"/>
      <w:r>
        <w:rPr>
          <w:rFonts w:hint="eastAsia" w:ascii="仿宋" w:hAnsi="仿宋" w:eastAsia="仿宋" w:cs="仿宋"/>
          <w:bCs/>
          <w:color w:val="auto"/>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非单一产品采购项目，招标文件中将载明其中的核心产品。多家投标人提供的核心产品品牌相同的，按前两款规定处理。</w:t>
      </w:r>
      <w:r/>
    </w:p>
    <w:p>
      <w:pPr>
        <w:ind w:firstLine="4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5.8 投标人在开、评标全过程中应保持通讯畅通，并安排专人与采购人或采购代理机构及评标委员会联系。</w:t>
      </w:r>
      <w:bookmarkEnd w:id="91"/>
      <w:r/>
      <w:bookmarkEnd w:id="92"/>
      <w:r/>
      <w:bookmarkEnd w:id="93"/>
      <w:r/>
      <w:r/>
    </w:p>
    <w:p>
      <w:pPr>
        <w:pStyle w:val="982"/>
        <w:ind w:firstLine="560"/>
        <w:jc w:val="both"/>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6.无效投标条款和废标条款</w:t>
      </w:r>
      <w:r/>
    </w:p>
    <w:p>
      <w:pPr>
        <w:ind w:firstLine="560"/>
        <w:spacing w:line="360" w:lineRule="auto"/>
        <w:rPr>
          <w:rFonts w:hint="eastAsia" w:ascii="仿宋" w:hAnsi="仿宋" w:eastAsia="仿宋" w:cs="仿宋"/>
          <w:bCs/>
          <w:color w:val="auto"/>
          <w:sz w:val="28"/>
          <w:szCs w:val="28"/>
          <w:highlight w:val="none"/>
        </w:rPr>
      </w:pPr>
      <w:r/>
      <w:bookmarkStart w:id="94" w:name="_Toc16938551"/>
      <w:r/>
      <w:bookmarkStart w:id="95" w:name="_Toc513029235"/>
      <w:r/>
      <w:bookmarkStart w:id="96" w:name="_Toc20823307"/>
      <w:r>
        <w:rPr>
          <w:rFonts w:hint="eastAsia" w:ascii="仿宋" w:hAnsi="仿宋" w:eastAsia="仿宋" w:cs="仿宋"/>
          <w:bCs/>
          <w:color w:val="auto"/>
          <w:sz w:val="28"/>
          <w:szCs w:val="28"/>
          <w:highlight w:val="none"/>
        </w:rPr>
        <w:t xml:space="preserve">6.1无效投标条款</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6.1.1 投标人在规定的时间内未成功解密电子投标文件的。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6.1.2 投标人未按照招标文件要求上传电子投标文件的。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6.1.3同一投标人提交两个（含两个）以上不同的投标报价的。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6.1.4投标人不具备招标文件中规定资格要求的。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6.1.5投标人的报价超过了采购预算或最高限价的。</w:t>
      </w:r>
      <w:r/>
    </w:p>
    <w:p>
      <w:pPr>
        <w:ind w:firstLine="560"/>
        <w:spacing w:line="360" w:lineRule="auto"/>
        <w:rPr>
          <w:rFonts w:hint="eastAsia" w:ascii="仿宋" w:hAnsi="仿宋" w:eastAsia="仿宋" w:cs="仿宋"/>
          <w:bCs/>
          <w:i/>
          <w:color w:val="auto"/>
          <w:sz w:val="28"/>
          <w:szCs w:val="28"/>
          <w:highlight w:val="none"/>
          <w:u w:val="single"/>
        </w:rPr>
      </w:pPr>
      <w:r>
        <w:rPr>
          <w:rFonts w:hint="eastAsia" w:ascii="仿宋" w:hAnsi="仿宋" w:eastAsia="仿宋" w:cs="仿宋"/>
          <w:bCs/>
          <w:color w:val="auto"/>
          <w:sz w:val="28"/>
          <w:szCs w:val="28"/>
          <w:highlight w:val="none"/>
        </w:rPr>
        <w:t xml:space="preserve">6.1.6未通过符合性检查的。</w:t>
      </w:r>
      <w:r/>
    </w:p>
    <w:p>
      <w:pPr>
        <w:ind w:firstLine="420"/>
        <w:spacing w:line="360" w:lineRule="auto"/>
        <w:rPr>
          <w:rFonts w:hint="eastAsia" w:ascii="仿宋" w:hAnsi="仿宋" w:eastAsia="仿宋" w:cs="仿宋"/>
          <w:bCs/>
          <w:i/>
          <w:color w:val="auto"/>
          <w:sz w:val="28"/>
          <w:szCs w:val="28"/>
          <w:highlight w:val="none"/>
          <w:u w:val="single"/>
        </w:rPr>
      </w:pPr>
      <w:r>
        <w:rPr>
          <w:rFonts w:hint="eastAsia" w:ascii="仿宋" w:hAnsi="仿宋" w:eastAsia="仿宋" w:cs="仿宋"/>
          <w:bCs/>
          <w:color w:val="auto"/>
          <w:sz w:val="28"/>
          <w:szCs w:val="28"/>
          <w:highlight w:val="none"/>
        </w:rPr>
        <w:t xml:space="preserve"> 6.1.7不符合招标文件中规定的其他实质性要求和条件的。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6.1.8 在“信用中国”网站（https://www.creditchina.gov.cn）查询，被列入</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"https://zxgk.court.gov.cn/shixin/"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失信被执行人</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"https://www.creditchina.gov.cn/zhuanxiangchaxun/zhongdashuishouweifaanjian/"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重大税收违法失信主体名单</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"https://www.creditchina.gov.cn/zhuanxiangchaxun/zhengfucaigouyanzhongweifashixinmingdan/"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政府采购严重违法失信行为记录名单</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"https://www.creditchina.gov.cn/xinxigongshi/shixinheimingdan/"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严重失信主体名单</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"https://www.creditchina.gov.cn/xinxigongshi/zhongdianguanzhushixinmingdan/"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rPr>
        <w:t xml:space="preserve">经营（活动）异常名录</w:t>
      </w:r>
      <w:r>
        <w:rPr>
          <w:rFonts w:hint="eastAsia" w:ascii="仿宋" w:hAnsi="仿宋" w:eastAsia="仿宋" w:cs="仿宋"/>
          <w:bCs/>
          <w:color w:val="auto"/>
          <w:sz w:val="28"/>
          <w:szCs w:val="28"/>
          <w:highlight w:val="none"/>
        </w:rPr>
        <w:fldChar w:fldCharType="end"/>
      </w:r>
      <w:r>
        <w:rPr>
          <w:rFonts w:hint="eastAsia" w:ascii="仿宋" w:hAnsi="仿宋" w:eastAsia="仿宋" w:cs="仿宋"/>
          <w:bCs/>
          <w:color w:val="auto"/>
          <w:sz w:val="28"/>
          <w:szCs w:val="28"/>
          <w:highlight w:val="none"/>
        </w:rPr>
        <w:t xml:space="preserve">及其他不符合《中华人民共和国政府采购法》第二十二条规定条件的信用记录。（投标文件中无需提供证明材料）。</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6.1.9 投标文件含有采购人不能接受的附加条件的。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6.1.10投标文件未按照招标文件要求加盖电子签章。</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6.1.11不同的投标人投标文件制作机器码、文件创建标识码一致的。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6.1.12投标人的商务、技术部分得分相差悬殊，评标委员会认为得分畸低者没有实质性响应的。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6.1.13其他法律、法规及本招标文件规定的属无效投标的情形。</w:t>
      </w:r>
      <w:r/>
    </w:p>
    <w:p>
      <w:pPr>
        <w:pStyle w:val="813"/>
        <w:ind w:firstLine="560"/>
        <w:spacing w:before="0" w:beforeAutospacing="0" w:after="0" w:afterAutospacing="0" w:line="360" w:lineRule="auto"/>
        <w:rPr>
          <w:rFonts w:hint="eastAsia" w:ascii="仿宋" w:hAnsi="仿宋" w:eastAsia="仿宋" w:cs="仿宋"/>
          <w:b/>
          <w:bCs/>
          <w:color w:val="auto"/>
          <w:sz w:val="28"/>
          <w:szCs w:val="28"/>
          <w:highlight w:val="none"/>
        </w:rPr>
      </w:pPr>
      <w:r>
        <w:rPr>
          <w:rFonts w:hint="eastAsia" w:ascii="仿宋" w:hAnsi="仿宋" w:eastAsia="仿宋" w:cs="仿宋"/>
          <w:bCs/>
          <w:color w:val="auto"/>
          <w:sz w:val="28"/>
          <w:szCs w:val="28"/>
          <w:highlight w:val="none"/>
        </w:rPr>
        <w:t xml:space="preserve">6.1.14</w:t>
      </w:r>
      <w:r>
        <w:rPr>
          <w:rFonts w:hint="eastAsia" w:ascii="仿宋" w:hAnsi="仿宋" w:eastAsia="仿宋" w:cs="仿宋"/>
          <w:b/>
          <w:bCs/>
          <w:color w:val="auto"/>
          <w:sz w:val="28"/>
          <w:szCs w:val="28"/>
          <w:highlight w:val="none"/>
        </w:rPr>
        <w:t xml:space="preserve">评标小组认为投标单位的报价出现（财库〔2026〕2号文）规定的异常低价情 形之一的，将通过“不见面交易系统 ”启动异常低价投标（响应）审查程序，应当要求相关投标单位在评审现场合理的时间内对投标（响应）价格作出解释，提供项目具体成本测算等与报价合理性相关的书面说明及必要的证明材料，包括但不限于原材料成本、人工成本、制造费用等，给予相关投标单位的合理时间一般不少于30分钟。其中，属于第3项情形，投标单位已随投标（响应）文件一并提交相关书面说明及必要的证明材料的，在评审现场可不再重复提交。</w:t>
      </w:r>
      <w:r/>
    </w:p>
    <w:p>
      <w:pPr>
        <w:pStyle w:val="813"/>
        <w:ind w:firstLine="646"/>
        <w:jc w:val="both"/>
        <w:spacing w:before="0" w:beforeAutospacing="0" w:after="0" w:afterAutospacing="0" w:line="360" w:lineRule="auto"/>
        <w:rPr>
          <w:rFonts w:hint="eastAsia" w:ascii="仿宋" w:hAnsi="仿宋" w:eastAsia="仿宋" w:cs="仿宋"/>
          <w:color w:val="auto"/>
          <w:highlight w:val="none"/>
        </w:rPr>
      </w:pPr>
      <w:r>
        <w:rPr>
          <w:rFonts w:hint="eastAsia" w:ascii="仿宋" w:hAnsi="仿宋" w:eastAsia="仿宋" w:cs="仿宋"/>
          <w:b/>
          <w:bCs/>
          <w:color w:val="auto"/>
          <w:sz w:val="28"/>
          <w:szCs w:val="28"/>
          <w:highlight w:val="none"/>
        </w:rPr>
        <w:t xml:space="preserve">评标小组依据专业经验，参考同类项目中标（成交）价格、类似产品市场价格水平、行业人工费用标准、国家有关部门指导行业协会发布的行业平均成本等情况，对报价合理性进行判断。投标（响应）投标单位不能提供书面说明、证明材料，或者提供的书面说明、证明材料不能证明其报价合理性的，评标小组应当将其作为无效投标（响应）处理。</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6.2废标条款：</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6.2.1符合专业条件的投标单位或者对招标文件作实质响应的投标单位不足三家的。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6.2.2出现影响采购公正的违法、违规行为的。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6.2.3因重大变故，采购任务取消的。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6.2.4评标委员会认定招标文件存在歧义、重大缺陷导致评审工作无法进行。</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6.2.5 因系统故障原因造成开标不成功的。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6.3 投标截止时间结束后参加投标的投标单位不足三家的处理：</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6.3.1如出现投标截止时间结束后参加投标的投标单位或者在评标期间对招标文件做出实质响应的投标单位不足三家情况，按政府采购相关规定执行。</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7.投标文件线上格式要求</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7.1投标人应当通过“苏采云”系统提交数据电文形式的投标文件（即电子投标）。</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7.2通过“苏采云”系统提交政府采购客户端工具导出加密的投标文件（后缀名为zip）。投标文件不得超过150M！</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7.3本项目采用线上投标，即投标人的投标文件从政府采购客户端工具制作通过“苏采云”系统提交，未提供线上投标文件的，投标无效。</w:t>
      </w:r>
      <w:bookmarkEnd w:id="94"/>
      <w:r/>
      <w:bookmarkEnd w:id="95"/>
      <w:r/>
      <w:bookmarkEnd w:id="96"/>
      <w:r/>
      <w:r/>
    </w:p>
    <w:p>
      <w:pPr>
        <w:pStyle w:val="981"/>
        <w:spacing w:before="0" w:after="0" w:line="360" w:lineRule="auto"/>
        <w:rPr>
          <w:rFonts w:hint="eastAsia" w:ascii="仿宋" w:hAnsi="仿宋" w:eastAsia="仿宋" w:cs="仿宋"/>
          <w:b w:val="0"/>
          <w:color w:val="auto"/>
          <w:sz w:val="28"/>
          <w:szCs w:val="28"/>
          <w:highlight w:val="none"/>
        </w:rPr>
      </w:pPr>
      <w:r/>
      <w:bookmarkStart w:id="97" w:name="_Toc120614219"/>
      <w:r>
        <w:rPr>
          <w:rFonts w:hint="eastAsia" w:ascii="仿宋" w:hAnsi="仿宋" w:eastAsia="仿宋" w:cs="仿宋"/>
          <w:b w:val="0"/>
          <w:color w:val="auto"/>
          <w:sz w:val="28"/>
          <w:szCs w:val="28"/>
          <w:highlight w:val="none"/>
        </w:rPr>
        <w:t xml:space="preserve">（六）定标</w:t>
      </w:r>
      <w:bookmarkEnd w:id="97"/>
      <w:r/>
      <w:r/>
    </w:p>
    <w:p>
      <w:pPr>
        <w:pStyle w:val="982"/>
        <w:ind w:firstLine="560"/>
        <w:jc w:val="both"/>
        <w:spacing w:line="360" w:lineRule="auto"/>
        <w:rPr>
          <w:rFonts w:hint="eastAsia" w:ascii="仿宋" w:hAnsi="仿宋" w:eastAsia="仿宋" w:cs="仿宋"/>
          <w:bCs/>
          <w:color w:val="auto"/>
          <w:sz w:val="28"/>
          <w:szCs w:val="28"/>
          <w:highlight w:val="none"/>
        </w:rPr>
      </w:pPr>
      <w:r/>
      <w:bookmarkStart w:id="98" w:name="_Toc20823310"/>
      <w:r/>
      <w:bookmarkStart w:id="99" w:name="_Toc16938554"/>
      <w:r>
        <w:rPr>
          <w:rFonts w:hint="eastAsia" w:ascii="仿宋" w:hAnsi="仿宋" w:eastAsia="仿宋" w:cs="仿宋"/>
          <w:bCs/>
          <w:color w:val="auto"/>
          <w:sz w:val="28"/>
          <w:szCs w:val="28"/>
          <w:highlight w:val="none"/>
        </w:rPr>
        <w:t xml:space="preserve">1.确定</w:t>
      </w:r>
      <w:bookmarkEnd w:id="98"/>
      <w:r/>
      <w:bookmarkEnd w:id="99"/>
      <w:r>
        <w:rPr>
          <w:rFonts w:hint="eastAsia" w:ascii="仿宋" w:hAnsi="仿宋" w:eastAsia="仿宋" w:cs="仿宋"/>
          <w:bCs/>
          <w:color w:val="auto"/>
          <w:sz w:val="28"/>
          <w:szCs w:val="28"/>
          <w:highlight w:val="none"/>
        </w:rPr>
        <w:t xml:space="preserve">中标单位</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1.1中标候选人的选取原则和数量见招标文件第四部分规定。 </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1.2采购人应根据评标委员会推荐的中标候选投标单位确定中标单位。</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1.3 采购人或采购代理机构将在“江苏政府采购网”发布中标公告，公告期限为1个工作日。</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1.4若有充分证据证明，中标人出现下列情况之一的，一经查实，将被取消中标资格：</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1.4.1提供虚假材料谋取中标的。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1.4.2向采购人或采购代理机构行贿或者评审专家提供其他不正当利益的。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1.4.3恶意竞争，投标总报价明显低于其自身合理成本且又无法提供证明的。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1.4.4属于本文件规定的无效条件，但在评标过程中又未被评委会发现的。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1.4.5与采购人或者其他投标单位恶意串通的。</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1.4.6采取不正当手段诋毁、排挤其他投标单位的。</w:t>
      </w:r>
      <w:r/>
    </w:p>
    <w:p>
      <w:pPr>
        <w:ind w:firstLine="560"/>
        <w:spacing w:line="360" w:lineRule="auto"/>
        <w:rPr>
          <w:rFonts w:hint="eastAsia" w:ascii="仿宋" w:hAnsi="仿宋" w:eastAsia="仿宋" w:cs="仿宋"/>
          <w:bCs/>
          <w:color w:val="auto"/>
          <w:sz w:val="28"/>
          <w:szCs w:val="28"/>
          <w:highlight w:val="none"/>
        </w:rPr>
      </w:pPr>
      <w:r/>
      <w:bookmarkStart w:id="100" w:name="_Toc200451960"/>
      <w:r>
        <w:rPr>
          <w:rFonts w:hint="eastAsia" w:ascii="仿宋" w:hAnsi="仿宋" w:eastAsia="仿宋" w:cs="仿宋"/>
          <w:bCs/>
          <w:color w:val="auto"/>
          <w:sz w:val="28"/>
          <w:szCs w:val="28"/>
          <w:highlight w:val="none"/>
        </w:rPr>
        <w:t xml:space="preserve">1.5有下列情形之一的，视为投标人串通投标，投标无效：</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1.5.1不同投标人的投标文件由同一单位或者个人编制；</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1.5.2不同投标人委托同一单位或者个人办理投标事宜；</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1.5.3不同投标人的投标文件载明的项目管理成员或者联系人员为同一人；</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1.5.4不同投标人的投标文件异常一致或者投标报价呈规律性差异；</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1.5.5不同投标人的投标文件相互混装；</w:t>
      </w:r>
      <w:r/>
    </w:p>
    <w:p>
      <w:pPr>
        <w:pStyle w:val="982"/>
        <w:ind w:firstLine="560"/>
        <w:jc w:val="both"/>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2.质疑处理</w:t>
      </w:r>
      <w:bookmarkEnd w:id="100"/>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2.1 提出质疑的投标单位应当是参与所质疑项目采购活动的投标单位。潜在投标单位依法获取其可质疑的采购文件的，可以对采购文件提出质疑。</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2.2投标单位认为采购文件、采购过程和采购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仿宋"/>
          <w:color w:val="auto"/>
          <w:sz w:val="28"/>
          <w:szCs w:val="28"/>
          <w:highlight w:val="none"/>
        </w:rPr>
        <w:t xml:space="preserve">（</w:t>
      </w:r>
      <w:r>
        <w:rPr>
          <w:rFonts w:hint="eastAsia" w:ascii="仿宋" w:hAnsi="仿宋" w:eastAsia="仿宋" w:cs="仿宋"/>
          <w:b/>
          <w:bCs/>
          <w:color w:val="auto"/>
          <w:sz w:val="28"/>
          <w:szCs w:val="28"/>
          <w:highlight w:val="none"/>
          <w:u w:val="single"/>
        </w:rPr>
        <w:t xml:space="preserve">本项目招标公告期限届满后获取招标文件的，以公告期限届满之日为准）</w:t>
      </w:r>
      <w:r/>
    </w:p>
    <w:p>
      <w:pPr>
        <w:ind w:firstLine="560"/>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2.2.1对可以质疑的采购文件提出质疑的，为收到采购文件之日或者采购文件公告期限届满之日；</w:t>
      </w:r>
      <w:r/>
    </w:p>
    <w:p>
      <w:pPr>
        <w:ind w:firstLine="560"/>
        <w:jc w:val="left"/>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注明：本项目5个工作日后仍可下载招标文件，但不作为投标投标单位权益受到损害的证明材料和依据。</w:t>
      </w:r>
      <w:r/>
    </w:p>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2.2.2对采购过程提出质疑的，为各采购程序环节结束之日；</w:t>
      </w:r>
      <w:r/>
    </w:p>
    <w:p>
      <w:pPr>
        <w:ind w:firstLine="560"/>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2.2.3对中标或者成交结果提出质疑的，为中标或者成交结果公告期限届满之日。</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投标单位应当在法定质疑期内一次性提出针对同一采购程序环节的质疑。</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2.3质疑函必须按照本招标文件中《质疑函范本》要求的格式和内容进行填写。投标单位如组成联合体参加投标，则《质疑函范本》中要求签字、盖章、加盖公章之处，联合体各方均须按要求签字、盖章、加盖公章。</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2.4质疑答复依据《政府采购质疑和投诉办法》（财政部令第94号）。</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采购人质疑接收人及联系方式，见招标文件第一部分。</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2.5以下情形的质疑不予受理</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2.5.1内容不符合《政府采购质疑和投诉办法》第十二条规定的质疑。</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2.5.2超出政府采购法定期限的质疑。</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2.5.3未参加投标活动的投标单位或在投标活动中自身权益未受到损害的投标单位所提出的质疑。</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2.5.4投标单位组成联合体参加投标，联合体中任何一方或多方未按要求签字、盖章、加盖公章的质疑。</w:t>
      </w:r>
      <w:r/>
    </w:p>
    <w:p>
      <w:pPr>
        <w:ind w:firstLine="546"/>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投标单位提出书面质疑必须有理、有据，不得捏造事实、提供虚假材料进行恶意质疑。否则，一经查实，采购人或采购代理机构有权依据政府采购的有关规定，报请政府采购监管部门对该投标单位进行相应的行政处罚和记录该投标单位的失信信息。</w:t>
      </w:r>
      <w:r/>
    </w:p>
    <w:p>
      <w:pPr>
        <w:pStyle w:val="982"/>
        <w:ind w:firstLine="560"/>
        <w:jc w:val="both"/>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3.中标通知书</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3.l 中标结果确定后，采购人或采购代理机构将向中标投标单位发出中标通知书。</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3.2中标通知书将是合同的一个组成部分。对采购人和中标投标单位均具有法律效力。中标通知书发出后，采购人改变中标结果的，或者中标投标单位放弃中标项目的，应当依法承担法律责任。</w:t>
      </w:r>
      <w:r/>
    </w:p>
    <w:p>
      <w:pPr>
        <w:pStyle w:val="981"/>
        <w:spacing w:before="0" w:after="0" w:line="360" w:lineRule="auto"/>
        <w:rPr>
          <w:rFonts w:hint="eastAsia" w:ascii="仿宋" w:hAnsi="仿宋" w:eastAsia="仿宋" w:cs="仿宋"/>
          <w:b w:val="0"/>
          <w:color w:val="auto"/>
          <w:sz w:val="28"/>
          <w:szCs w:val="28"/>
          <w:highlight w:val="none"/>
        </w:rPr>
      </w:pPr>
      <w:r/>
      <w:bookmarkStart w:id="101" w:name="_Toc513029236"/>
      <w:r/>
      <w:bookmarkStart w:id="102" w:name="_Toc20823308"/>
      <w:r/>
      <w:bookmarkStart w:id="103" w:name="_Toc16938552"/>
      <w:r/>
      <w:bookmarkStart w:id="104" w:name="_Toc120614220"/>
      <w:r>
        <w:rPr>
          <w:rFonts w:hint="eastAsia" w:ascii="仿宋" w:hAnsi="仿宋" w:eastAsia="仿宋" w:cs="仿宋"/>
          <w:b w:val="0"/>
          <w:color w:val="auto"/>
          <w:sz w:val="28"/>
          <w:szCs w:val="28"/>
          <w:highlight w:val="none"/>
        </w:rPr>
        <w:t xml:space="preserve">（七）授予合同</w:t>
      </w:r>
      <w:bookmarkEnd w:id="101"/>
      <w:r/>
      <w:bookmarkEnd w:id="102"/>
      <w:r/>
      <w:bookmarkEnd w:id="103"/>
      <w:r/>
      <w:bookmarkEnd w:id="104"/>
      <w:r/>
      <w:r/>
    </w:p>
    <w:p>
      <w:pPr>
        <w:pStyle w:val="982"/>
        <w:ind w:firstLine="560"/>
        <w:jc w:val="both"/>
        <w:spacing w:line="360" w:lineRule="auto"/>
        <w:rPr>
          <w:rFonts w:hint="eastAsia" w:ascii="仿宋" w:hAnsi="仿宋" w:eastAsia="仿宋" w:cs="仿宋"/>
          <w:bCs/>
          <w:color w:val="auto"/>
          <w:sz w:val="28"/>
          <w:szCs w:val="28"/>
          <w:highlight w:val="none"/>
        </w:rPr>
      </w:pPr>
      <w:r/>
      <w:bookmarkStart w:id="105" w:name="_Toc16938553"/>
      <w:r/>
      <w:bookmarkStart w:id="106" w:name="_Toc513029237"/>
      <w:r/>
      <w:bookmarkStart w:id="107" w:name="_Toc20823309"/>
      <w:r>
        <w:rPr>
          <w:rFonts w:hint="eastAsia" w:ascii="仿宋" w:hAnsi="仿宋" w:eastAsia="仿宋" w:cs="仿宋"/>
          <w:bCs/>
          <w:color w:val="auto"/>
          <w:sz w:val="28"/>
          <w:szCs w:val="28"/>
          <w:highlight w:val="none"/>
        </w:rPr>
        <w:t xml:space="preserve">1.签订合同</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1.l中标人应当在中标通知书发出之日起三十日内，按照招标文件确定的事项与采购人签订政府采购合同。</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1.2招标文件、中标人的投标文件及招标过程中有关澄清、承诺文件均应作为合同附件。</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中标单位就采购项目和分包项目向采购人负责，分包投标单位就分包项目承担责任。转包或分包造成采购人损失的，中标人应承担相应赔偿责任。</w:t>
      </w:r>
      <w:r/>
    </w:p>
    <w:p>
      <w:pPr>
        <w:pStyle w:val="982"/>
        <w:ind w:firstLine="560"/>
        <w:jc w:val="both"/>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2.货物和服务的追加、减少和添购。</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5"/>
      <w:r/>
      <w:bookmarkEnd w:id="106"/>
      <w:r/>
      <w:bookmarkEnd w:id="107"/>
      <w:r/>
      <w:r/>
    </w:p>
    <w:p>
      <w:pPr>
        <w:pStyle w:val="982"/>
        <w:ind w:firstLine="562"/>
        <w:jc w:val="both"/>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3.政府采购履约保证资金、合同信用融资扶持政策</w:t>
      </w:r>
      <w:r/>
    </w:p>
    <w:p>
      <w:pPr>
        <w:ind w:firstLine="56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3.1中标投标单位如需获得履约保证金支持，可在江苏政府采购网直接线上办理线上履约保证保险申请，详情请见江苏政府采购网首页 “易企服”综合服务平台-金融产品全周期-履约保证保险专栏。</w:t>
      </w:r>
      <w:r/>
    </w:p>
    <w:p>
      <w:pPr>
        <w:pStyle w:val="982"/>
        <w:ind w:firstLine="551"/>
        <w:jc w:val="both"/>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3.2根据《</w:t>
      </w:r>
      <w:r>
        <w:rPr>
          <w:rFonts w:hint="eastAsia" w:ascii="仿宋" w:hAnsi="仿宋" w:eastAsia="仿宋" w:cs="仿宋"/>
          <w:bCs/>
          <w:color w:val="auto"/>
          <w:sz w:val="28"/>
          <w:szCs w:val="28"/>
          <w:highlight w:val="none"/>
        </w:rPr>
        <w:t xml:space="preserve">关于转发江苏省财政厅、中国人民银行南京分行&lt;关于深入推进政府采购线上合同信用融资工作的通知&gt;的通知》（通财购〔2021〕41号），对政府采购中标投标单位提出“政采贷”融资申请的，采购人应当依法按时在“苏采云”系统中录入并公开政府采购合同信息，勾选“融资贷款”选项，并在合同签订、验收付款、账号维护等环节提供必要便利，持续降低参与政府采购的中小企业融资成本。中标投标单位如需获得合同信用融资支持，可凭政府采购合同办理“政采贷”融资贷款，详情请见江苏政府采购网 “易企服”综合服务平台-金融产品全周期-贷款产品专栏。</w:t>
      </w:r>
      <w:r/>
    </w:p>
    <w:p>
      <w:pPr>
        <w:ind w:firstLine="42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根据《关于深入开展南通市政府采购线上合同信用融资业务的通知》（通财购〔2022〕68号），中标（成交）投标单位可通过中征应收账款融资服务平台（简称“中征平台”）办理“政采贷”融资贷款，具体业务操作流程如下： </w:t>
      </w:r>
      <w:r/>
    </w:p>
    <w:p>
      <w:pPr>
        <w:ind w:firstLine="42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3.3.1确定融资意向。中标(成交) 投标单位取得中标 (成交 ) 通知书后，联系意向金融机构，商治融资事项，确定融资意向。</w:t>
      </w:r>
      <w:r/>
    </w:p>
    <w:p>
      <w:pPr>
        <w:ind w:firstLine="42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3.3.2签订采购合同。中标(成交 ) 投标单位与采购人签订政府采购合同时，应将自身融资需求告知采购人或其委托的采购代理机构，提醒 (或协助 ) 其当天在“苏采云”上传合同的同时将“投标单位是否融资”选为“是”</w:t>
      </w:r>
      <w:r/>
    </w:p>
    <w:p>
      <w:pPr>
        <w:ind w:firstLine="42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3.3.3提交融资申请。中标(成交) 投标单位登录“中征平台”进行用户注册，查看“政采贷”融资产品，向确定合作的金融机构提交融资申请。</w:t>
      </w:r>
      <w:r/>
    </w:p>
    <w:p>
      <w:pPr>
        <w:ind w:firstLine="42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3.3.4确认回款账户。金融机构填写需要锁定的回款账户信息后中标(成交)投标单位应登录“中征平台”确认账户信息，以实现回款账户的锁定。</w:t>
      </w:r>
      <w:r/>
    </w:p>
    <w:p>
      <w:pPr>
        <w:jc w:val="center"/>
        <w:spacing w:line="360" w:lineRule="auto"/>
        <w:rPr>
          <w:rFonts w:hint="eastAsia" w:ascii="仿宋" w:hAnsi="仿宋" w:eastAsia="仿宋" w:cs="仿宋"/>
          <w:color w:val="auto"/>
          <w:highlight w:val="none"/>
        </w:rPr>
        <w:outlineLvl w:val="0"/>
      </w:pPr>
      <w:r>
        <w:rPr>
          <w:rFonts w:hint="eastAsia" w:ascii="仿宋" w:hAnsi="仿宋" w:eastAsia="仿宋" w:cs="仿宋"/>
          <w:bCs/>
          <w:color w:val="auto"/>
          <w:sz w:val="28"/>
          <w:szCs w:val="28"/>
          <w:highlight w:val="none"/>
        </w:rPr>
        <w:br w:type="page" w:clear="all"/>
      </w:r>
      <w:r>
        <w:rPr>
          <w:rFonts w:hint="eastAsia" w:ascii="仿宋" w:hAnsi="仿宋" w:eastAsia="仿宋" w:cs="仿宋"/>
          <w:b/>
          <w:color w:val="auto"/>
          <w:sz w:val="36"/>
          <w:szCs w:val="36"/>
          <w:highlight w:val="none"/>
        </w:rPr>
        <w:t xml:space="preserve">第三部分 项目需求</w:t>
      </w:r>
      <w:r/>
    </w:p>
    <w:p>
      <w:pPr>
        <w:ind w:firstLine="56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281"/>
        <w:jc w:val="left"/>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一、采购标的需实现的功能或者目标, 以及为落实政府采购政策需满足的要求：</w:t>
      </w:r>
      <w:r/>
    </w:p>
    <w:p>
      <w:pPr>
        <w:ind w:firstLine="599"/>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根据《中华人民共和国环境影响评价法》、《规划环境影响评价条例》（国务院令第559号）、《关于进一步加强规划环境影响评价工作的意见》（环环评[2020]65号）相关要求，国家级、省级开发区须依法开展规划环境影响评价（以下简称“规划环评”）并编制环境影响报告书；规划发生重大调整、修订的，应按规定重新或补充开展规划环评</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本</w:t>
      </w:r>
      <w:r>
        <w:rPr>
          <w:rFonts w:hint="eastAsia" w:ascii="仿宋" w:hAnsi="仿宋" w:eastAsia="仿宋" w:cs="仿宋"/>
          <w:color w:val="auto"/>
          <w:sz w:val="28"/>
          <w:szCs w:val="28"/>
          <w:highlight w:val="none"/>
          <w:lang w:val="en-US" w:eastAsia="zh-CN"/>
        </w:rPr>
        <w:t xml:space="preserve">轮规划环评范围开发区（含</w:t>
      </w:r>
      <w:r>
        <w:rPr>
          <w:rFonts w:hint="eastAsia" w:ascii="仿宋" w:hAnsi="仿宋" w:eastAsia="仿宋" w:cs="仿宋"/>
          <w:color w:val="auto"/>
          <w:sz w:val="28"/>
          <w:szCs w:val="28"/>
          <w:highlight w:val="none"/>
        </w:rPr>
        <w:t xml:space="preserve">新时代未来产业园、中创区</w:t>
      </w:r>
      <w:r>
        <w:rPr>
          <w:rFonts w:hint="eastAsia" w:ascii="仿宋" w:hAnsi="仿宋" w:eastAsia="仿宋" w:cs="仿宋"/>
          <w:color w:val="auto"/>
          <w:sz w:val="28"/>
          <w:szCs w:val="28"/>
          <w:highlight w:val="none"/>
          <w:lang w:val="en-US" w:eastAsia="zh-CN"/>
        </w:rPr>
        <w:t xml:space="preserve">）规划面积约</w:t>
      </w:r>
      <w:r>
        <w:rPr>
          <w:rFonts w:hint="eastAsia" w:ascii="仿宋" w:hAnsi="仿宋" w:eastAsia="仿宋" w:cs="仿宋"/>
          <w:color w:val="auto"/>
          <w:sz w:val="28"/>
          <w:szCs w:val="28"/>
          <w:highlight w:val="none"/>
        </w:rPr>
        <w:t xml:space="preserve">152.6平方公里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苏锡通园区面积约</w:t>
      </w:r>
      <w:r>
        <w:rPr>
          <w:rFonts w:hint="eastAsia" w:ascii="仿宋" w:hAnsi="仿宋" w:eastAsia="仿宋" w:cs="仿宋"/>
          <w:color w:val="auto"/>
          <w:sz w:val="28"/>
          <w:szCs w:val="28"/>
          <w:highlight w:val="none"/>
          <w:u w:val="single"/>
          <w:lang w:val="en-US" w:eastAsia="zh-CN"/>
        </w:rPr>
        <w:t xml:space="preserve">100</w:t>
      </w:r>
      <w:r>
        <w:rPr>
          <w:rFonts w:hint="eastAsia" w:ascii="仿宋" w:hAnsi="仿宋" w:eastAsia="仿宋" w:cs="仿宋"/>
          <w:color w:val="auto"/>
          <w:sz w:val="28"/>
          <w:szCs w:val="28"/>
          <w:highlight w:val="none"/>
        </w:rPr>
        <w:t xml:space="preserve">平方公里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拟通过公开招标方式，确定本次</w:t>
      </w:r>
      <w:r>
        <w:rPr>
          <w:rFonts w:hint="eastAsia" w:ascii="仿宋" w:hAnsi="仿宋" w:eastAsia="仿宋" w:cs="仿宋"/>
          <w:color w:val="auto"/>
          <w:sz w:val="28"/>
          <w:szCs w:val="28"/>
          <w:highlight w:val="none"/>
          <w:lang w:eastAsia="zh-CN"/>
        </w:rPr>
        <w:t xml:space="preserve">南通经济技术开发区开发建设规划环境影响评价采购项目</w:t>
      </w:r>
      <w:r>
        <w:rPr>
          <w:rFonts w:hint="eastAsia" w:ascii="仿宋" w:hAnsi="仿宋" w:eastAsia="仿宋" w:cs="仿宋"/>
          <w:color w:val="auto"/>
          <w:sz w:val="28"/>
          <w:szCs w:val="28"/>
          <w:highlight w:val="none"/>
          <w:lang w:val="en-US" w:eastAsia="zh-CN"/>
        </w:rPr>
        <w:t xml:space="preserve">服务单位。</w:t>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二、采购标的需执行的国家相关标准、行业标准、地方标准或者其他标准、规范：</w:t>
      </w:r>
      <w:r/>
    </w:p>
    <w:p>
      <w:pPr>
        <w:ind w:firstLine="599"/>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各环节均须遵循国家相关法律法规、江苏省地方及相关行业的规范标准、采购文件的技术规范的有关要求执行，如果在合同履行过程中有新的国家或行业（部）规范和标准出台的，则投标单位应确保其合同标的物达到并符合新的国家或行业（部）规范和标准，因此而增加的费用及风险由投标单位自行承担。</w:t>
      </w:r>
      <w:r/>
    </w:p>
    <w:p>
      <w:pPr>
        <w:spacing w:line="360" w:lineRule="auto"/>
        <w:rPr>
          <w:rFonts w:hint="eastAsia" w:ascii="仿宋" w:hAnsi="仿宋" w:eastAsia="仿宋" w:cs="仿宋"/>
          <w:color w:val="auto"/>
          <w:highlight w:val="none"/>
        </w:rPr>
      </w:pPr>
      <w:r>
        <w:rPr>
          <w:rFonts w:hint="eastAsia" w:ascii="仿宋" w:hAnsi="仿宋" w:eastAsia="仿宋" w:cs="仿宋"/>
          <w:b/>
          <w:bCs/>
          <w:color w:val="auto"/>
          <w:sz w:val="28"/>
          <w:szCs w:val="28"/>
          <w:highlight w:val="none"/>
        </w:rPr>
        <w:t xml:space="preserve">三、采购标的需满足的质量、安全、技术规格、物理特性等要求。</w:t>
      </w:r>
      <w:r/>
    </w:p>
    <w:p>
      <w:pPr>
        <w:ind w:firstLine="599"/>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项目概况：</w:t>
      </w:r>
      <w:r>
        <w:rPr>
          <w:rFonts w:hint="eastAsia" w:ascii="仿宋" w:hAnsi="仿宋" w:eastAsia="仿宋" w:cs="仿宋"/>
          <w:color w:val="auto"/>
          <w:sz w:val="28"/>
          <w:szCs w:val="28"/>
          <w:highlight w:val="none"/>
        </w:rPr>
        <w:t xml:space="preserve">南通经济技术开发区于1984年经国务院批准设立，面积4.62平方公里。2002年，国务院批准设立南通出口加工区，面积2.98平方公里。2004年经国土资源部等四部委审核，开发区核准面积24.29平方公里。2013年国务院批准在开发区内设立南通综合保税区，面积5.29平方公里。20</w:t>
      </w:r>
      <w:r>
        <w:rPr>
          <w:rFonts w:hint="eastAsia" w:ascii="仿宋" w:hAnsi="仿宋" w:eastAsia="仿宋" w:cs="仿宋"/>
          <w:color w:val="auto"/>
          <w:sz w:val="28"/>
          <w:szCs w:val="28"/>
          <w:highlight w:val="none"/>
          <w:lang w:val="en-US" w:eastAsia="zh-CN"/>
        </w:rPr>
        <w:t xml:space="preserve">23</w:t>
      </w:r>
      <w:r>
        <w:rPr>
          <w:rFonts w:hint="eastAsia" w:ascii="仿宋" w:hAnsi="仿宋" w:eastAsia="仿宋" w:cs="仿宋"/>
          <w:color w:val="auto"/>
          <w:sz w:val="28"/>
          <w:szCs w:val="28"/>
          <w:highlight w:val="none"/>
        </w:rPr>
        <w:t xml:space="preserve">年针对《南通经济技术开发区开发建设规划（2022-2035年）》组织开展了规划环境影响评价，评价的规范范围</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北至源兴路、东至沈海高速及东方大道、西至裤子港河、南至长江，另含东北部产业拓展区及综保区B区，规划总用地面积共约98.52平方公里。南通市正在推进南通经济技术开发区、苏锡通科技产业园区、中创区一体化融合发展，深化改革创新，加快扩能提质，聚力推动开发园区高质量发展</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为切实推进三区融合发展工作，本</w:t>
      </w:r>
      <w:r>
        <w:rPr>
          <w:rFonts w:hint="eastAsia" w:ascii="仿宋" w:hAnsi="仿宋" w:eastAsia="仿宋" w:cs="仿宋"/>
          <w:color w:val="auto"/>
          <w:sz w:val="28"/>
          <w:szCs w:val="28"/>
          <w:highlight w:val="none"/>
          <w:lang w:val="en-US" w:eastAsia="zh-CN"/>
        </w:rPr>
        <w:t xml:space="preserve">轮规划环评范围开发区（含</w:t>
      </w:r>
      <w:r>
        <w:rPr>
          <w:rFonts w:hint="eastAsia" w:ascii="仿宋" w:hAnsi="仿宋" w:eastAsia="仿宋" w:cs="仿宋"/>
          <w:color w:val="auto"/>
          <w:sz w:val="28"/>
          <w:szCs w:val="28"/>
          <w:highlight w:val="none"/>
        </w:rPr>
        <w:t xml:space="preserve">新时代未来产业园、中创区</w:t>
      </w:r>
      <w:r>
        <w:rPr>
          <w:rFonts w:hint="eastAsia" w:ascii="仿宋" w:hAnsi="仿宋" w:eastAsia="仿宋" w:cs="仿宋"/>
          <w:color w:val="auto"/>
          <w:sz w:val="28"/>
          <w:szCs w:val="28"/>
          <w:highlight w:val="none"/>
          <w:lang w:val="en-US" w:eastAsia="zh-CN"/>
        </w:rPr>
        <w:t xml:space="preserve">）规划面积约</w:t>
      </w:r>
      <w:r>
        <w:rPr>
          <w:rFonts w:hint="eastAsia" w:ascii="仿宋" w:hAnsi="仿宋" w:eastAsia="仿宋" w:cs="仿宋"/>
          <w:color w:val="auto"/>
          <w:sz w:val="28"/>
          <w:szCs w:val="28"/>
          <w:highlight w:val="none"/>
        </w:rPr>
        <w:t xml:space="preserve">152.6平方公里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苏锡通园区面积约</w:t>
      </w:r>
      <w:r>
        <w:rPr>
          <w:rFonts w:hint="eastAsia" w:ascii="仿宋" w:hAnsi="仿宋" w:eastAsia="仿宋" w:cs="仿宋"/>
          <w:color w:val="auto"/>
          <w:sz w:val="28"/>
          <w:szCs w:val="28"/>
          <w:highlight w:val="none"/>
          <w:u w:val="single"/>
          <w:lang w:val="en-US" w:eastAsia="zh-CN"/>
        </w:rPr>
        <w:t xml:space="preserve">100</w:t>
      </w:r>
      <w:r>
        <w:rPr>
          <w:rFonts w:hint="eastAsia" w:ascii="仿宋" w:hAnsi="仿宋" w:eastAsia="仿宋" w:cs="仿宋"/>
          <w:color w:val="auto"/>
          <w:sz w:val="28"/>
          <w:szCs w:val="28"/>
          <w:highlight w:val="none"/>
        </w:rPr>
        <w:t xml:space="preserve">平方公里，开展新一轮规划环评。</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服务内容：按照技术导则，开展区域现状监测和评估，确定环境影响评价指标体系，分析、预测和评价拟定规划实施的资源、生态、环境影响，论证规划方案的生态环境合理性和环境效益，提出规划优化调整建议；明确不良生态环境影响的减缓措施，提出生态环境保护建议和管控要求；加强产业园区规划环评、跟踪评价，持续深化环评分类管理园区试点成果，准确判断产业园区发展中面临的生态环境问题，客观分析产业园区发展对周边区域及流域带来的环境影响，加快推进产业园区优化布局、产业结构升级调整，严格园区环境准入，不断改善区域流域环境质量”的要求</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以及</w:t>
      </w:r>
      <w:r>
        <w:rPr>
          <w:rFonts w:hint="eastAsia" w:ascii="仿宋" w:hAnsi="仿宋" w:eastAsia="仿宋" w:cs="仿宋"/>
          <w:color w:val="auto"/>
          <w:sz w:val="28"/>
          <w:szCs w:val="28"/>
          <w:highlight w:val="none"/>
        </w:rPr>
        <w:t xml:space="preserve">强化</w:t>
      </w:r>
      <w:r>
        <w:rPr>
          <w:rFonts w:hint="eastAsia" w:ascii="仿宋" w:hAnsi="仿宋" w:eastAsia="仿宋" w:cs="仿宋"/>
          <w:color w:val="auto"/>
          <w:sz w:val="28"/>
          <w:szCs w:val="28"/>
          <w:highlight w:val="none"/>
          <w:lang w:val="en-US" w:eastAsia="zh-CN"/>
        </w:rPr>
        <w:t xml:space="preserve">优化环评试点成果，与规划环评工作能无缝衔接</w:t>
      </w:r>
      <w:r>
        <w:rPr>
          <w:rFonts w:hint="eastAsia" w:ascii="仿宋" w:hAnsi="仿宋" w:eastAsia="仿宋" w:cs="仿宋"/>
          <w:color w:val="auto"/>
          <w:sz w:val="28"/>
          <w:szCs w:val="28"/>
          <w:highlight w:val="none"/>
        </w:rPr>
        <w:t xml:space="preserve">。编制南通经济技术开发区规划环境影响评价报告，根据各级专家评审意见修改，形成报告书送审，通过生态环境部审查。负责报告书送审过程中需要的各类评审会务、专家咨询等各项保障工作。</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成果提交</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采购人</w:t>
      </w:r>
      <w:r>
        <w:rPr>
          <w:rFonts w:hint="eastAsia" w:ascii="仿宋" w:hAnsi="仿宋" w:eastAsia="仿宋" w:cs="仿宋"/>
          <w:color w:val="auto"/>
          <w:sz w:val="28"/>
          <w:szCs w:val="28"/>
          <w:highlight w:val="none"/>
        </w:rPr>
        <w:t xml:space="preserve">提供规划</w:t>
      </w:r>
      <w:r>
        <w:rPr>
          <w:rFonts w:hint="eastAsia" w:ascii="仿宋" w:hAnsi="仿宋" w:eastAsia="仿宋" w:cs="仿宋"/>
          <w:color w:val="auto"/>
          <w:sz w:val="28"/>
          <w:szCs w:val="28"/>
          <w:highlight w:val="none"/>
          <w:lang w:val="en-US" w:eastAsia="zh-CN"/>
        </w:rPr>
        <w:t xml:space="preserve">环评</w:t>
      </w:r>
      <w:r>
        <w:rPr>
          <w:rFonts w:hint="eastAsia" w:ascii="仿宋" w:hAnsi="仿宋" w:eastAsia="仿宋" w:cs="仿宋"/>
          <w:color w:val="auto"/>
          <w:sz w:val="28"/>
          <w:szCs w:val="28"/>
          <w:highlight w:val="none"/>
        </w:rPr>
        <w:t xml:space="preserve">文本，</w:t>
      </w:r>
      <w:r>
        <w:rPr>
          <w:rFonts w:hint="eastAsia" w:ascii="仿宋" w:hAnsi="仿宋" w:eastAsia="仿宋" w:cs="仿宋"/>
          <w:color w:val="auto"/>
          <w:sz w:val="28"/>
          <w:szCs w:val="28"/>
          <w:highlight w:val="none"/>
          <w:lang w:val="en-US" w:eastAsia="zh-CN"/>
        </w:rPr>
        <w:t xml:space="preserve">投标单位</w:t>
      </w:r>
      <w:r>
        <w:rPr>
          <w:rFonts w:hint="eastAsia" w:ascii="仿宋" w:hAnsi="仿宋" w:eastAsia="仿宋" w:cs="仿宋"/>
          <w:color w:val="auto"/>
          <w:sz w:val="28"/>
          <w:szCs w:val="28"/>
          <w:highlight w:val="none"/>
        </w:rPr>
        <w:t xml:space="preserve">按照国家有关标准、导则进行评价工作。以规划环境影响评价报告书的形式提交成果；同时，</w:t>
      </w:r>
      <w:r>
        <w:rPr>
          <w:rFonts w:hint="eastAsia" w:ascii="仿宋" w:hAnsi="仿宋" w:eastAsia="仿宋" w:cs="仿宋"/>
          <w:color w:val="auto"/>
          <w:sz w:val="28"/>
          <w:szCs w:val="28"/>
          <w:highlight w:val="none"/>
          <w:lang w:val="en-US" w:eastAsia="zh-CN"/>
        </w:rPr>
        <w:t xml:space="preserve">投标单位</w:t>
      </w:r>
      <w:r>
        <w:rPr>
          <w:rFonts w:hint="eastAsia" w:ascii="仿宋" w:hAnsi="仿宋" w:eastAsia="仿宋" w:cs="仿宋"/>
          <w:color w:val="auto"/>
          <w:sz w:val="28"/>
          <w:szCs w:val="28"/>
          <w:highlight w:val="none"/>
        </w:rPr>
        <w:t xml:space="preserve">负责进行规划环境影响评价报告书的评审和报批过程中的沟通、协调、保障等工作；在规划环评前置相关资料齐全后6个月内形成规划环评送审稿。</w:t>
      </w:r>
      <w:r/>
    </w:p>
    <w:p>
      <w:pPr>
        <w:ind w:firstLine="480"/>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注明：（1）苏锡通园区省级开发区部分（9.5平方公里）的规划环评，目前正在审查阶段，若取得审查意见后，可不包含在本次规划环评服务范围内，最终以采购人核实确认的为准。</w:t>
      </w:r>
      <w:r/>
    </w:p>
    <w:p>
      <w:pPr>
        <w:ind w:firstLine="480"/>
        <w:spacing w:line="360" w:lineRule="auto"/>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（2）若</w:t>
      </w:r>
      <w:r>
        <w:rPr>
          <w:rFonts w:hint="eastAsia" w:ascii="仿宋" w:hAnsi="仿宋" w:eastAsia="仿宋" w:cs="仿宋"/>
          <w:color w:val="auto"/>
          <w:sz w:val="28"/>
          <w:szCs w:val="28"/>
          <w:highlight w:val="none"/>
          <w:lang w:val="en-US" w:eastAsia="zh-CN"/>
        </w:rPr>
        <w:t xml:space="preserve">开发区（含</w:t>
      </w:r>
      <w:r>
        <w:rPr>
          <w:rFonts w:hint="eastAsia" w:ascii="仿宋" w:hAnsi="仿宋" w:eastAsia="仿宋" w:cs="仿宋"/>
          <w:color w:val="auto"/>
          <w:sz w:val="28"/>
          <w:szCs w:val="28"/>
          <w:highlight w:val="none"/>
        </w:rPr>
        <w:t xml:space="preserve">新时代未来产业园、中创区</w:t>
      </w:r>
      <w:r>
        <w:rPr>
          <w:rFonts w:hint="eastAsia" w:ascii="仿宋" w:hAnsi="仿宋" w:eastAsia="仿宋" w:cs="仿宋"/>
          <w:color w:val="auto"/>
          <w:sz w:val="28"/>
          <w:szCs w:val="28"/>
          <w:highlight w:val="none"/>
          <w:lang w:val="en-US" w:eastAsia="zh-CN"/>
        </w:rPr>
        <w:t xml:space="preserve">）规划面积约</w:t>
      </w:r>
      <w:r>
        <w:rPr>
          <w:rFonts w:hint="eastAsia" w:ascii="仿宋" w:hAnsi="仿宋" w:eastAsia="仿宋" w:cs="仿宋"/>
          <w:color w:val="auto"/>
          <w:sz w:val="28"/>
          <w:szCs w:val="28"/>
          <w:highlight w:val="none"/>
        </w:rPr>
        <w:t xml:space="preserve">152.6平方公里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苏锡通园区面积约</w:t>
      </w:r>
      <w:r>
        <w:rPr>
          <w:rFonts w:hint="eastAsia" w:ascii="仿宋" w:hAnsi="仿宋" w:eastAsia="仿宋" w:cs="仿宋"/>
          <w:color w:val="auto"/>
          <w:sz w:val="28"/>
          <w:szCs w:val="28"/>
          <w:highlight w:val="none"/>
          <w:u w:val="single"/>
          <w:lang w:val="en-US" w:eastAsia="zh-CN"/>
        </w:rPr>
        <w:t xml:space="preserve">100</w:t>
      </w:r>
      <w:r>
        <w:rPr>
          <w:rFonts w:hint="eastAsia" w:ascii="仿宋" w:hAnsi="仿宋" w:eastAsia="仿宋" w:cs="仿宋"/>
          <w:color w:val="auto"/>
          <w:sz w:val="28"/>
          <w:szCs w:val="28"/>
          <w:highlight w:val="none"/>
        </w:rPr>
        <w:t xml:space="preserve">平方公里</w:t>
      </w:r>
      <w:r>
        <w:rPr>
          <w:rFonts w:hint="eastAsia" w:ascii="仿宋" w:hAnsi="仿宋" w:eastAsia="仿宋" w:cs="仿宋"/>
          <w:b/>
          <w:bCs/>
          <w:color w:val="auto"/>
          <w:sz w:val="28"/>
          <w:szCs w:val="28"/>
          <w:highlight w:val="none"/>
          <w:lang w:val="en-US" w:eastAsia="zh-CN"/>
        </w:rPr>
        <w:t xml:space="preserve">均进行规划环评服务的，生态环境部若仅接受国家级开发区报批的，投标单位应按生态环境部的要求出具国家级开发区的规划环境影响评价报告书并取得生态环境部审查意见。其余区域（包含苏锡通园区（省级园区除外）和中创区）应按采购人要求出具相应的</w:t>
      </w:r>
      <w:r>
        <w:rPr>
          <w:rFonts w:hint="eastAsia" w:ascii="仿宋" w:hAnsi="仿宋" w:eastAsia="仿宋" w:cs="仿宋"/>
          <w:b/>
          <w:bCs/>
          <w:color w:val="auto"/>
          <w:sz w:val="28"/>
          <w:szCs w:val="28"/>
          <w:highlight w:val="none"/>
        </w:rPr>
        <w:t xml:space="preserve">规划环境影响评价报告书</w:t>
      </w:r>
      <w:r>
        <w:rPr>
          <w:rFonts w:hint="eastAsia" w:ascii="仿宋" w:hAnsi="仿宋" w:eastAsia="仿宋" w:cs="仿宋"/>
          <w:b/>
          <w:bCs/>
          <w:color w:val="auto"/>
          <w:sz w:val="28"/>
          <w:szCs w:val="28"/>
          <w:highlight w:val="none"/>
          <w:lang w:val="en-US" w:eastAsia="zh-CN"/>
        </w:rPr>
        <w:t xml:space="preserve">并按采购人要求取得相应</w:t>
      </w:r>
      <w:r>
        <w:rPr>
          <w:rFonts w:hint="eastAsia" w:ascii="仿宋" w:hAnsi="仿宋" w:eastAsia="仿宋" w:cs="仿宋"/>
          <w:b/>
          <w:bCs/>
          <w:color w:val="auto"/>
          <w:sz w:val="28"/>
          <w:szCs w:val="28"/>
          <w:highlight w:val="none"/>
          <w:lang w:eastAsia="zh-CN"/>
        </w:rPr>
        <w:t xml:space="preserve">生态环境部门审查意见。</w:t>
      </w:r>
      <w:r/>
    </w:p>
    <w:p>
      <w:pPr>
        <w:jc w:val="left"/>
        <w:spacing w:line="360" w:lineRule="auto"/>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四、采购标的数量、采购项目交付或者实施的时间和地点。</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1、服务时间：</w:t>
      </w:r>
      <w:r>
        <w:rPr>
          <w:rFonts w:hint="eastAsia" w:ascii="仿宋" w:hAnsi="仿宋" w:eastAsia="仿宋" w:cs="仿宋"/>
          <w:bCs/>
          <w:color w:val="auto"/>
          <w:sz w:val="28"/>
          <w:szCs w:val="28"/>
          <w:highlight w:val="none"/>
          <w:lang w:eastAsia="zh-CN"/>
        </w:rPr>
        <w:t xml:space="preserve">自本合同签订之日起至取得生态环境部门审查意见。</w:t>
      </w:r>
      <w:r/>
    </w:p>
    <w:p>
      <w:pPr>
        <w:ind w:firstLine="560"/>
        <w:jc w:val="left"/>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2、服务地点：采购人指定的</w:t>
      </w:r>
      <w:r>
        <w:rPr>
          <w:rFonts w:hint="eastAsia" w:ascii="仿宋" w:hAnsi="仿宋" w:eastAsia="仿宋" w:cs="仿宋"/>
          <w:color w:val="auto"/>
          <w:sz w:val="28"/>
          <w:szCs w:val="28"/>
          <w:highlight w:val="none"/>
          <w:lang w:val="en-US" w:eastAsia="zh-CN"/>
        </w:rPr>
        <w:t xml:space="preserve">区域</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五、采购标的需满足的服务标准、期限、效率等要求。</w:t>
      </w:r>
      <w:r/>
    </w:p>
    <w:p>
      <w:pPr>
        <w:pStyle w:val="816"/>
        <w:rPr>
          <w:rFonts w:hint="eastAsia" w:ascii="仿宋" w:hAnsi="仿宋" w:eastAsia="仿宋" w:cs="仿宋"/>
          <w:b w:val="0"/>
          <w:color w:val="auto"/>
          <w:sz w:val="28"/>
          <w:szCs w:val="28"/>
          <w:highlight w:val="none"/>
          <w:lang w:val="en-US" w:eastAsia="zh-CN" w:bidi="ar-SA"/>
        </w:rPr>
      </w:pPr>
      <w:r>
        <w:rPr>
          <w:rFonts w:hint="eastAsia" w:ascii="仿宋" w:hAnsi="仿宋" w:eastAsia="仿宋" w:cs="仿宋"/>
          <w:b w:val="0"/>
          <w:color w:val="auto"/>
          <w:sz w:val="28"/>
          <w:szCs w:val="28"/>
          <w:highlight w:val="none"/>
          <w:lang w:val="en-US" w:eastAsia="zh-CN" w:bidi="ar-SA"/>
        </w:rPr>
        <w:t xml:space="preserve">国家、省、市对于规划环评成果的规范性文件要求和技术标准。</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六、验收标准</w:t>
      </w:r>
      <w:r/>
    </w:p>
    <w:p>
      <w:pPr>
        <w:ind w:firstLine="56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取得生态环境部</w:t>
      </w:r>
      <w:r>
        <w:rPr>
          <w:rFonts w:hint="eastAsia" w:ascii="仿宋" w:hAnsi="仿宋" w:eastAsia="仿宋" w:cs="仿宋"/>
          <w:color w:val="auto"/>
          <w:sz w:val="28"/>
          <w:szCs w:val="28"/>
          <w:highlight w:val="none"/>
          <w:lang w:val="en-US" w:eastAsia="zh-CN"/>
        </w:rPr>
        <w:t xml:space="preserve">门</w:t>
      </w:r>
      <w:r>
        <w:rPr>
          <w:rFonts w:hint="eastAsia" w:ascii="仿宋" w:hAnsi="仿宋" w:eastAsia="仿宋" w:cs="仿宋"/>
          <w:color w:val="auto"/>
          <w:sz w:val="28"/>
          <w:szCs w:val="28"/>
          <w:highlight w:val="none"/>
        </w:rPr>
        <w:t xml:space="preserve">审查意见。</w:t>
      </w:r>
      <w:r/>
    </w:p>
    <w:p>
      <w:pPr>
        <w:ind w:firstLine="560"/>
        <w:jc w:val="left"/>
        <w:spacing w:line="360" w:lineRule="auto"/>
        <w:tabs>
          <w:tab w:val="left" w:pos="1756"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、对于采购人提供的技术资料以及属于采购人的</w:t>
      </w:r>
      <w:r>
        <w:rPr>
          <w:rFonts w:hint="eastAsia" w:ascii="仿宋" w:hAnsi="仿宋" w:eastAsia="仿宋" w:cs="仿宋"/>
          <w:color w:val="auto"/>
          <w:sz w:val="28"/>
          <w:szCs w:val="28"/>
          <w:highlight w:val="none"/>
          <w:lang w:val="en-US" w:eastAsia="zh-CN"/>
        </w:rPr>
        <w:t xml:space="preserve">本项目的一切</w:t>
      </w:r>
      <w:r>
        <w:rPr>
          <w:rFonts w:hint="eastAsia" w:ascii="仿宋" w:hAnsi="仿宋" w:eastAsia="仿宋" w:cs="仿宋"/>
          <w:color w:val="auto"/>
          <w:sz w:val="28"/>
          <w:szCs w:val="28"/>
          <w:highlight w:val="none"/>
        </w:rPr>
        <w:t xml:space="preserve">成果，成交投标单位有义务保密，不得向第三方转让，否则，采购人有权对因此造成的损失追加责任。</w:t>
      </w:r>
      <w:r/>
    </w:p>
    <w:p>
      <w:pPr>
        <w:pStyle w:val="791"/>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、若成交投标单位提供的成果，质量不合格，应负责无偿给予重测或采用补救措施，以达到质量要求 。因成果质量不符合合同规定的要求（而由非采购人提供的资料原因</w:t>
      </w:r>
      <w:r>
        <w:rPr>
          <w:rFonts w:hint="eastAsia" w:ascii="仿宋" w:hAnsi="仿宋" w:eastAsia="仿宋" w:cs="仿宋"/>
          <w:color w:val="auto"/>
          <w:sz w:val="28"/>
          <w:szCs w:val="28"/>
          <w:highlight w:val="none"/>
          <w:lang w:val="en-US" w:eastAsia="zh-CN"/>
        </w:rPr>
        <w:t xml:space="preserve">等</w:t>
      </w:r>
      <w:r>
        <w:rPr>
          <w:rFonts w:hint="eastAsia" w:ascii="仿宋" w:hAnsi="仿宋" w:eastAsia="仿宋" w:cs="仿宋"/>
          <w:color w:val="auto"/>
          <w:sz w:val="28"/>
          <w:szCs w:val="28"/>
          <w:highlight w:val="none"/>
        </w:rPr>
        <w:t xml:space="preserve">所致）造成后果时，成交投标单位应对此造成的直接损失负赔偿责任，并承担相应的法律责任（由于采购人提供的资料</w:t>
      </w:r>
      <w:r>
        <w:rPr>
          <w:rFonts w:hint="eastAsia" w:ascii="仿宋" w:hAnsi="仿宋" w:eastAsia="仿宋" w:cs="仿宋"/>
          <w:color w:val="auto"/>
          <w:sz w:val="28"/>
          <w:szCs w:val="28"/>
          <w:highlight w:val="none"/>
          <w:lang w:val="en-US" w:eastAsia="zh-CN"/>
        </w:rPr>
        <w:t xml:space="preserve">等</w:t>
      </w:r>
      <w:r>
        <w:rPr>
          <w:rFonts w:hint="eastAsia" w:ascii="仿宋" w:hAnsi="仿宋" w:eastAsia="仿宋" w:cs="仿宋"/>
          <w:color w:val="auto"/>
          <w:sz w:val="28"/>
          <w:szCs w:val="28"/>
          <w:highlight w:val="none"/>
        </w:rPr>
        <w:t xml:space="preserve">原因产生的责任由采购人负责）。</w:t>
      </w:r>
      <w:r/>
    </w:p>
    <w:p>
      <w:pPr>
        <w:pStyle w:val="791"/>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、因成交投标单位工作失误，造成不良影响的， 采购人有权单方面解除合同。</w:t>
      </w:r>
      <w:r/>
    </w:p>
    <w:p>
      <w:pPr>
        <w:pStyle w:val="791"/>
        <w:ind w:firstLine="56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、成交投标单位不得将采购人委托的</w:t>
      </w:r>
      <w:r>
        <w:rPr>
          <w:rFonts w:hint="eastAsia" w:ascii="仿宋" w:hAnsi="仿宋" w:eastAsia="仿宋" w:cs="仿宋"/>
          <w:color w:val="auto"/>
          <w:sz w:val="28"/>
          <w:szCs w:val="28"/>
          <w:highlight w:val="none"/>
          <w:lang w:val="en-US" w:eastAsia="zh-CN"/>
        </w:rPr>
        <w:t xml:space="preserve">本项目</w:t>
      </w:r>
      <w:r>
        <w:rPr>
          <w:rFonts w:hint="eastAsia" w:ascii="仿宋" w:hAnsi="仿宋" w:eastAsia="仿宋" w:cs="仿宋"/>
          <w:color w:val="auto"/>
          <w:sz w:val="28"/>
          <w:szCs w:val="28"/>
          <w:highlight w:val="none"/>
        </w:rPr>
        <w:t xml:space="preserve">业务转包给第三方，一经发现，本合同立即终止，并且成交投标单位必须承担相应的责任。</w:t>
      </w:r>
      <w:r/>
    </w:p>
    <w:p>
      <w:pPr>
        <w:spacing w:line="360" w:lineRule="auto"/>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rPr>
        <w:t xml:space="preserve">七、</w:t>
      </w:r>
      <w:r>
        <w:rPr>
          <w:rFonts w:hint="eastAsia" w:ascii="仿宋" w:hAnsi="仿宋" w:eastAsia="仿宋" w:cs="仿宋"/>
          <w:b/>
          <w:bCs/>
          <w:color w:val="auto"/>
          <w:sz w:val="28"/>
          <w:szCs w:val="28"/>
          <w:highlight w:val="none"/>
          <w:lang w:val="en-US" w:eastAsia="zh-CN" w:bidi="ar-SA"/>
        </w:rPr>
        <w:t xml:space="preserve">采购标的其他技术、服务等要求。</w:t>
      </w:r>
      <w:r/>
    </w:p>
    <w:p>
      <w:pPr>
        <w:ind w:firstLine="560"/>
        <w:spacing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1、服务要求 </w:t>
      </w:r>
      <w:r/>
    </w:p>
    <w:p>
      <w:pPr>
        <w:ind w:firstLine="560"/>
        <w:jc w:val="left"/>
        <w:spacing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本项目发生以下情况一切安全责任均由成交供应商负责，采购人不承担任何责任：成交供应商人员在岗履行工作职责期间，发生自身的人身伤害、伤亡；成交供应商违反国家相关法规，与聘用人员发生纠纷，均由成交供应商负责调解与处理；成交供应商在所有服务中违反国家相关法规或行业规范，因过失造成他人人身伤亡等，均由成交供应商负责处理并承担经济和道义上的责任，采购人不承担任何责任。</w:t>
      </w:r>
      <w:r/>
    </w:p>
    <w:p>
      <w:pPr>
        <w:pStyle w:val="813"/>
        <w:ind w:firstLine="560"/>
        <w:pageBreakBefore w:val="0"/>
        <w:spacing w:before="0" w:beforeAutospacing="0" w:after="0" w:afterAutospacing="0" w:line="44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本项目各阶段具体服务点及服务内容及要求，请各响应供应商自行查勘现场并结合磋商文件内容后进行合理报价，若成交后成交供应商以各种理由在招标文件规定的时间内不予签订合同及实施的，采购人将上报有关监管部门后将其列入信用黑名单，视情节轻重该单位将1-3年之内不能参加南通市政府采购相关活动。</w:t>
      </w:r>
      <w:r/>
    </w:p>
    <w:p>
      <w:pPr>
        <w:ind w:firstLine="560"/>
        <w:pageBreakBefore w:val="0"/>
        <w:spacing w:line="44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（3）成交供应商在合同期内出现重大失误，采购人有权终止合同，并从服务费中扣除成交供应商造成的损失。重大失误由采购人进行认定，成交供应商无条件服从。</w:t>
      </w:r>
      <w:r/>
    </w:p>
    <w:p>
      <w:pPr>
        <w:ind w:firstLine="560"/>
        <w:pageBreakBefore w:val="0"/>
        <w:spacing w:line="44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（4）响应供应商及团队人员应当对项目实施过程中获知的资料文件、 数据信息和项目过程中形成的阶段性数据、文件、成果等严格保密。 投标人应妥善保管采购人提供的资料、数据等，并在项目实施完毕后立即归还或按要求销毁，不得擅自复制或留存。</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w:t>
      </w:r>
      <w:r>
        <w:rPr>
          <w:rFonts w:hint="eastAsia" w:ascii="仿宋" w:hAnsi="仿宋" w:eastAsia="仿宋" w:cs="仿宋"/>
          <w:b/>
          <w:bCs/>
          <w:color w:val="auto"/>
          <w:sz w:val="28"/>
          <w:szCs w:val="28"/>
          <w:highlight w:val="none"/>
        </w:rPr>
        <w:t xml:space="preserve">2、人员要求</w:t>
      </w:r>
      <w:r/>
    </w:p>
    <w:p>
      <w:pPr>
        <w:ind w:firstLine="560"/>
        <w:pageBreakBefore w:val="0"/>
        <w:spacing w:line="440" w:lineRule="exact"/>
        <w:widowControl w:val="off"/>
        <w:rPr>
          <w:rFonts w:hint="eastAsia" w:ascii="仿宋" w:hAnsi="仿宋" w:eastAsia="仿宋" w:cs="仿宋"/>
          <w:color w:val="auto"/>
          <w:sz w:val="28"/>
          <w:szCs w:val="28"/>
          <w:highlight w:val="none"/>
        </w:rPr>
      </w:pPr>
      <w:r>
        <w:rPr>
          <w:rFonts w:hint="eastAsia" w:ascii="仿宋" w:hAnsi="仿宋" w:eastAsia="仿宋" w:cs="仿宋"/>
          <w:b w:val="0"/>
          <w:color w:val="auto"/>
          <w:sz w:val="28"/>
          <w:szCs w:val="28"/>
          <w:highlight w:val="none"/>
          <w:lang w:val="en-US" w:eastAsia="zh-CN" w:bidi="ar-SA"/>
        </w:rPr>
        <w:t xml:space="preserve">投标单位需根据本项目需求组织服务团队，含项目负责人、技术负责人员、其他技术服务人员（含整理资料、复核数据、文档校对等）。</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投标单位须提供拟派本项目负责人1人，具有环境类相关专业</w:t>
      </w:r>
      <w:r>
        <w:rPr>
          <w:rFonts w:hint="eastAsia" w:ascii="仿宋" w:hAnsi="仿宋" w:eastAsia="仿宋" w:cs="仿宋"/>
          <w:color w:val="auto"/>
          <w:sz w:val="28"/>
          <w:szCs w:val="28"/>
          <w:highlight w:val="none"/>
          <w:lang w:val="en-US" w:eastAsia="zh-CN"/>
        </w:rPr>
        <w:t xml:space="preserve">中</w:t>
      </w:r>
      <w:r>
        <w:rPr>
          <w:rFonts w:hint="eastAsia" w:ascii="仿宋" w:hAnsi="仿宋" w:eastAsia="仿宋" w:cs="仿宋"/>
          <w:color w:val="auto"/>
          <w:sz w:val="28"/>
          <w:szCs w:val="28"/>
          <w:highlight w:val="none"/>
        </w:rPr>
        <w:t xml:space="preserve">级及以上职称证书， 同时提供社会保障部门出具的最近三个月（2026年</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月-2026年</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月）中任意一个月在本单位缴纳社会养老保险的缴费清单，可提供官网打印的具有二维码或验证码的缴费清单扫描件。   </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其他成员不少于3人（不包含项目负责人），具有环境类相关专业初级工程师及以上职称证书，</w:t>
      </w:r>
      <w:r>
        <w:rPr>
          <w:rFonts w:hint="eastAsia" w:ascii="仿宋" w:hAnsi="仿宋" w:eastAsia="仿宋" w:cs="仿宋"/>
          <w:color w:val="auto"/>
          <w:sz w:val="28"/>
          <w:szCs w:val="28"/>
          <w:highlight w:val="none"/>
          <w:lang w:val="zh-CN"/>
        </w:rPr>
        <w:t xml:space="preserve">同时提供社会保障部门出具的最近三个月（202</w:t>
      </w:r>
      <w:r>
        <w:rPr>
          <w:rFonts w:hint="eastAsia" w:ascii="仿宋" w:hAnsi="仿宋" w:eastAsia="仿宋" w:cs="仿宋"/>
          <w:color w:val="auto"/>
          <w:sz w:val="28"/>
          <w:szCs w:val="28"/>
          <w:highlight w:val="none"/>
        </w:rPr>
        <w:t xml:space="preserve">6</w:t>
      </w:r>
      <w:r>
        <w:rPr>
          <w:rFonts w:hint="eastAsia" w:ascii="仿宋" w:hAnsi="仿宋" w:eastAsia="仿宋" w:cs="仿宋"/>
          <w:color w:val="auto"/>
          <w:sz w:val="28"/>
          <w:szCs w:val="28"/>
          <w:highlight w:val="none"/>
          <w:lang w:val="zh-CN"/>
        </w:rPr>
        <w:t xml:space="preserve">年</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val="zh-CN"/>
        </w:rPr>
        <w:t xml:space="preserve">月-2026年</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val="zh-CN"/>
        </w:rPr>
        <w:t xml:space="preserve">月）中任意一个月在本单位缴纳社会养老保险的缴费清单，可提供官网打印的具有二维码或验证码的缴费清单扫描件</w:t>
      </w:r>
      <w:r>
        <w:rPr>
          <w:rFonts w:hint="eastAsia" w:ascii="仿宋" w:hAnsi="仿宋" w:eastAsia="仿宋" w:cs="仿宋"/>
          <w:color w:val="auto"/>
          <w:sz w:val="28"/>
          <w:szCs w:val="28"/>
          <w:highlight w:val="none"/>
        </w:rPr>
        <w:t xml:space="preserve">。</w:t>
      </w:r>
      <w:r/>
    </w:p>
    <w:p>
      <w:pPr>
        <w:ind w:firstLine="480"/>
        <w:spacing w:line="360" w:lineRule="auto"/>
        <w:rPr>
          <w:rFonts w:hint="eastAsia"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lang w:val="zh-CN"/>
        </w:rPr>
        <w:t xml:space="preserve">注：提供项目组人员名单以及上述需要提供职称证书人员的证明材料</w:t>
      </w:r>
      <w:r>
        <w:rPr>
          <w:rFonts w:hint="eastAsia" w:ascii="仿宋" w:hAnsi="仿宋" w:eastAsia="仿宋" w:cs="仿宋"/>
          <w:b/>
          <w:bCs/>
          <w:color w:val="auto"/>
          <w:sz w:val="28"/>
          <w:szCs w:val="28"/>
          <w:highlight w:val="none"/>
        </w:rPr>
        <w:t xml:space="preserve">及</w:t>
      </w:r>
      <w:r>
        <w:rPr>
          <w:rFonts w:hint="eastAsia" w:ascii="仿宋" w:hAnsi="仿宋" w:eastAsia="仿宋" w:cs="仿宋"/>
          <w:b/>
          <w:bCs/>
          <w:color w:val="auto"/>
          <w:sz w:val="28"/>
          <w:szCs w:val="28"/>
          <w:highlight w:val="none"/>
          <w:lang w:val="zh-CN"/>
        </w:rPr>
        <w:t xml:space="preserve">社会养老保险的缴费清单，投标时上传至符合性材料中，未提供或提供不全者</w:t>
      </w:r>
      <w:r>
        <w:rPr>
          <w:rFonts w:hint="eastAsia" w:ascii="仿宋" w:hAnsi="仿宋" w:eastAsia="仿宋" w:cs="仿宋"/>
          <w:b/>
          <w:bCs/>
          <w:color w:val="auto"/>
          <w:sz w:val="28"/>
          <w:szCs w:val="28"/>
          <w:highlight w:val="none"/>
        </w:rPr>
        <w:t xml:space="preserve">或不符合要求的</w:t>
      </w:r>
      <w:r>
        <w:rPr>
          <w:rFonts w:hint="eastAsia" w:ascii="仿宋" w:hAnsi="仿宋" w:eastAsia="仿宋" w:cs="仿宋"/>
          <w:b/>
          <w:bCs/>
          <w:color w:val="auto"/>
          <w:sz w:val="28"/>
          <w:szCs w:val="28"/>
          <w:highlight w:val="none"/>
          <w:lang w:val="zh-CN"/>
        </w:rPr>
        <w:t xml:space="preserve">按无效投标处理。</w:t>
      </w:r>
      <w:r/>
    </w:p>
    <w:p>
      <w:pPr>
        <w:jc w:val="left"/>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八、付款方式</w:t>
      </w:r>
      <w:r/>
    </w:p>
    <w:p>
      <w:pPr>
        <w:ind w:firstLine="480"/>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zh-CN"/>
        </w:rPr>
        <w:t xml:space="preserve">合同签订后支付</w:t>
      </w:r>
      <w:r>
        <w:rPr>
          <w:rFonts w:hint="eastAsia" w:ascii="仿宋" w:hAnsi="仿宋" w:eastAsia="仿宋" w:cs="仿宋"/>
          <w:b/>
          <w:bCs/>
          <w:color w:val="auto"/>
          <w:sz w:val="28"/>
          <w:szCs w:val="28"/>
          <w:highlight w:val="none"/>
          <w:lang w:val="en-US" w:eastAsia="zh-CN"/>
        </w:rPr>
        <w:t xml:space="preserve">合同总金额的1</w:t>
      </w:r>
      <w:r>
        <w:rPr>
          <w:rFonts w:hint="eastAsia" w:ascii="仿宋" w:hAnsi="仿宋" w:eastAsia="仿宋" w:cs="仿宋"/>
          <w:b/>
          <w:bCs/>
          <w:color w:val="auto"/>
          <w:sz w:val="28"/>
          <w:szCs w:val="28"/>
          <w:highlight w:val="none"/>
          <w:lang w:val="zh-CN"/>
        </w:rPr>
        <w:t xml:space="preserve">0%，规划环境影响评价报告书送审后，召开专家审查会前支付</w:t>
      </w:r>
      <w:r>
        <w:rPr>
          <w:rFonts w:hint="eastAsia" w:ascii="仿宋" w:hAnsi="仿宋" w:eastAsia="仿宋" w:cs="仿宋"/>
          <w:b/>
          <w:bCs/>
          <w:color w:val="auto"/>
          <w:sz w:val="28"/>
          <w:szCs w:val="28"/>
          <w:highlight w:val="none"/>
          <w:lang w:val="en-US" w:eastAsia="zh-CN"/>
        </w:rPr>
        <w:t xml:space="preserve">合同总金额的2</w:t>
      </w:r>
      <w:r>
        <w:rPr>
          <w:rFonts w:hint="eastAsia" w:ascii="仿宋" w:hAnsi="仿宋" w:eastAsia="仿宋" w:cs="仿宋"/>
          <w:b/>
          <w:bCs/>
          <w:color w:val="auto"/>
          <w:sz w:val="28"/>
          <w:szCs w:val="28"/>
          <w:highlight w:val="none"/>
          <w:lang w:val="zh-CN"/>
        </w:rPr>
        <w:t xml:space="preserve">0%，</w:t>
      </w:r>
      <w:r>
        <w:rPr>
          <w:rFonts w:hint="eastAsia" w:ascii="仿宋" w:hAnsi="仿宋" w:eastAsia="仿宋" w:cs="仿宋"/>
          <w:b/>
          <w:bCs/>
          <w:color w:val="auto"/>
          <w:sz w:val="28"/>
          <w:szCs w:val="28"/>
          <w:highlight w:val="none"/>
          <w:lang w:val="en-US" w:eastAsia="zh-CN"/>
        </w:rPr>
        <w:t xml:space="preserve">所有的</w:t>
      </w:r>
      <w:r>
        <w:rPr>
          <w:rFonts w:hint="eastAsia" w:ascii="仿宋" w:hAnsi="仿宋" w:eastAsia="仿宋" w:cs="仿宋"/>
          <w:b/>
          <w:bCs/>
          <w:color w:val="auto"/>
          <w:sz w:val="28"/>
          <w:szCs w:val="28"/>
          <w:highlight w:val="none"/>
          <w:lang w:val="zh-CN"/>
        </w:rPr>
        <w:t xml:space="preserve">规划环境影响评价报告书通过专家审查会，取得生态环境部</w:t>
      </w:r>
      <w:r>
        <w:rPr>
          <w:rFonts w:hint="eastAsia" w:ascii="仿宋" w:hAnsi="仿宋" w:eastAsia="仿宋" w:cs="仿宋"/>
          <w:b/>
          <w:bCs/>
          <w:color w:val="auto"/>
          <w:sz w:val="28"/>
          <w:szCs w:val="28"/>
          <w:highlight w:val="none"/>
          <w:lang w:val="en-US" w:eastAsia="zh-CN"/>
        </w:rPr>
        <w:t xml:space="preserve">门</w:t>
      </w:r>
      <w:r>
        <w:rPr>
          <w:rFonts w:hint="eastAsia" w:ascii="仿宋" w:hAnsi="仿宋" w:eastAsia="仿宋" w:cs="仿宋"/>
          <w:b/>
          <w:bCs/>
          <w:color w:val="auto"/>
          <w:sz w:val="28"/>
          <w:szCs w:val="28"/>
          <w:highlight w:val="none"/>
          <w:lang w:val="zh-CN"/>
        </w:rPr>
        <w:t xml:space="preserve">审查意见</w:t>
      </w:r>
      <w:r>
        <w:rPr>
          <w:rFonts w:hint="eastAsia" w:ascii="仿宋" w:hAnsi="仿宋" w:eastAsia="仿宋" w:cs="仿宋"/>
          <w:b/>
          <w:bCs/>
          <w:color w:val="auto"/>
          <w:sz w:val="28"/>
          <w:szCs w:val="28"/>
          <w:highlight w:val="none"/>
          <w:lang w:val="en-US" w:eastAsia="zh-CN"/>
        </w:rPr>
        <w:t xml:space="preserve">后</w:t>
      </w:r>
      <w:r>
        <w:rPr>
          <w:rFonts w:hint="eastAsia" w:ascii="仿宋" w:hAnsi="仿宋" w:eastAsia="仿宋" w:cs="仿宋"/>
          <w:b/>
          <w:bCs/>
          <w:color w:val="auto"/>
          <w:sz w:val="28"/>
          <w:szCs w:val="28"/>
          <w:highlight w:val="none"/>
          <w:lang w:val="zh-CN"/>
        </w:rPr>
        <w:t xml:space="preserve">支付</w:t>
      </w:r>
      <w:r>
        <w:rPr>
          <w:rFonts w:hint="eastAsia" w:ascii="仿宋" w:hAnsi="仿宋" w:eastAsia="仿宋" w:cs="仿宋"/>
          <w:b/>
          <w:bCs/>
          <w:color w:val="auto"/>
          <w:sz w:val="28"/>
          <w:szCs w:val="28"/>
          <w:highlight w:val="none"/>
          <w:lang w:val="en-US" w:eastAsia="zh-CN"/>
        </w:rPr>
        <w:t xml:space="preserve">总金额的7</w:t>
      </w:r>
      <w:r>
        <w:rPr>
          <w:rFonts w:hint="eastAsia" w:ascii="仿宋" w:hAnsi="仿宋" w:eastAsia="仿宋" w:cs="仿宋"/>
          <w:b/>
          <w:bCs/>
          <w:color w:val="auto"/>
          <w:sz w:val="28"/>
          <w:szCs w:val="28"/>
          <w:highlight w:val="none"/>
          <w:lang w:val="zh-CN"/>
        </w:rPr>
        <w:t xml:space="preserve">0%。</w:t>
      </w:r>
      <w:r>
        <w:rPr>
          <w:rFonts w:hint="eastAsia" w:ascii="仿宋" w:hAnsi="仿宋" w:eastAsia="仿宋" w:cs="仿宋"/>
          <w:b/>
          <w:bCs/>
          <w:color w:val="auto"/>
          <w:sz w:val="28"/>
          <w:szCs w:val="28"/>
          <w:highlight w:val="none"/>
          <w:lang w:val="en-US" w:eastAsia="zh-CN"/>
        </w:rPr>
        <w:t xml:space="preserve"> </w:t>
      </w:r>
      <w:r/>
    </w:p>
    <w:p>
      <w:pPr>
        <w:ind w:firstLine="480"/>
        <w:spacing w:line="360" w:lineRule="auto"/>
        <w:rPr>
          <w:rFonts w:hint="eastAsia"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lang w:val="en-US" w:eastAsia="zh-CN"/>
        </w:rPr>
        <w:t xml:space="preserve">本项目的结算标准：区域预算金额*（1-中标优惠率%）。</w:t>
      </w:r>
      <w:r/>
    </w:p>
    <w:p>
      <w:pPr>
        <w:ind w:firstLine="56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付款前，</w:t>
      </w:r>
      <w:r>
        <w:rPr>
          <w:rFonts w:hint="eastAsia" w:ascii="仿宋" w:hAnsi="仿宋" w:eastAsia="仿宋" w:cs="仿宋"/>
          <w:color w:val="auto"/>
          <w:sz w:val="28"/>
          <w:szCs w:val="28"/>
          <w:highlight w:val="none"/>
        </w:rPr>
        <w:t xml:space="preserve">中标单位须</w:t>
      </w:r>
      <w:r>
        <w:rPr>
          <w:rFonts w:hint="eastAsia" w:ascii="仿宋" w:hAnsi="仿宋" w:eastAsia="仿宋" w:cs="仿宋"/>
          <w:color w:val="auto"/>
          <w:sz w:val="28"/>
          <w:szCs w:val="28"/>
          <w:highlight w:val="none"/>
          <w:lang w:val="zh-CN"/>
        </w:rPr>
        <w:t xml:space="preserve">提供与待付款金额一致的增值税发票</w:t>
      </w:r>
      <w:r>
        <w:rPr>
          <w:rFonts w:hint="eastAsia" w:ascii="仿宋" w:hAnsi="仿宋" w:eastAsia="仿宋" w:cs="仿宋"/>
          <w:color w:val="auto"/>
          <w:sz w:val="28"/>
          <w:szCs w:val="28"/>
          <w:highlight w:val="none"/>
        </w:rPr>
        <w:t xml:space="preserve">及相应的收款账户信息</w:t>
      </w:r>
      <w:r>
        <w:rPr>
          <w:rFonts w:hint="eastAsia" w:ascii="仿宋" w:hAnsi="仿宋" w:eastAsia="仿宋" w:cs="仿宋"/>
          <w:color w:val="auto"/>
          <w:sz w:val="28"/>
          <w:szCs w:val="28"/>
          <w:highlight w:val="none"/>
          <w:lang w:val="zh-CN"/>
        </w:rPr>
        <w:t xml:space="preserve">，如因</w:t>
      </w:r>
      <w:r>
        <w:rPr>
          <w:rFonts w:hint="eastAsia" w:ascii="仿宋" w:hAnsi="仿宋" w:eastAsia="仿宋" w:cs="仿宋"/>
          <w:color w:val="auto"/>
          <w:sz w:val="28"/>
          <w:szCs w:val="28"/>
          <w:highlight w:val="none"/>
        </w:rPr>
        <w:t xml:space="preserve">中标单位</w:t>
      </w:r>
      <w:r>
        <w:rPr>
          <w:rFonts w:hint="eastAsia" w:ascii="仿宋" w:hAnsi="仿宋" w:eastAsia="仿宋" w:cs="仿宋"/>
          <w:color w:val="auto"/>
          <w:sz w:val="28"/>
          <w:szCs w:val="28"/>
          <w:highlight w:val="none"/>
          <w:lang w:val="zh-CN"/>
        </w:rPr>
        <w:t xml:space="preserve">未及时提供发票或提供的信息有误或提供虚假发票，</w:t>
      </w:r>
      <w:r>
        <w:rPr>
          <w:rFonts w:hint="eastAsia" w:ascii="仿宋" w:hAnsi="仿宋" w:eastAsia="仿宋" w:cs="仿宋"/>
          <w:color w:val="auto"/>
          <w:sz w:val="28"/>
          <w:szCs w:val="28"/>
          <w:highlight w:val="none"/>
        </w:rPr>
        <w:t xml:space="preserve">采购人</w:t>
      </w:r>
      <w:r>
        <w:rPr>
          <w:rFonts w:hint="eastAsia" w:ascii="仿宋" w:hAnsi="仿宋" w:eastAsia="仿宋" w:cs="仿宋"/>
          <w:color w:val="auto"/>
          <w:sz w:val="28"/>
          <w:szCs w:val="28"/>
          <w:highlight w:val="none"/>
          <w:lang w:val="zh-CN"/>
        </w:rPr>
        <w:t xml:space="preserve">有权对发票金额等值货款拒绝支付且不承担任何责任。</w:t>
      </w:r>
      <w:r/>
    </w:p>
    <w:p>
      <w:pPr>
        <w:ind w:firstLine="562"/>
        <w:jc w:val="left"/>
        <w:spacing w:line="360" w:lineRule="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注明：对报价触发异常低价投标（响应）审查程序后仍中标（成交）的投标单位，采购人要重点关注其履约承诺、实际履约情况等。对可以分期实施的采购项目，实行分期考核、分期验收、分期支付，及时掌握投标单位履约进展。如投标单位中标（成交）后无正当理由拒不签订本项目采购合同的，依法予以处理；如投标单位不履行合同或者未按合同约定履行合同导致验收不合格的，采购人应当依法追究其违约责任。</w:t>
      </w:r>
      <w:r/>
    </w:p>
    <w:p>
      <w:pPr>
        <w:jc w:val="left"/>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九、履约保证金：</w:t>
      </w:r>
      <w:r/>
    </w:p>
    <w:p>
      <w:pPr>
        <w:ind w:firstLine="56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本项目不收取履约保证金</w:t>
      </w:r>
      <w:r/>
    </w:p>
    <w:p>
      <w:pPr>
        <w:numPr>
          <w:ilvl w:val="0"/>
          <w:numId w:val="2"/>
        </w:numPr>
        <w:jc w:val="left"/>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投标报价</w:t>
      </w:r>
      <w:r/>
    </w:p>
    <w:p>
      <w:pPr>
        <w:numPr>
          <w:ilvl w:val="0"/>
          <w:numId w:val="0"/>
        </w:numPr>
        <w:ind w:firstLine="562"/>
        <w:jc w:val="left"/>
        <w:spacing w:line="360" w:lineRule="auto"/>
        <w:rPr>
          <w:rFonts w:hint="default"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eastAsia="zh-CN"/>
        </w:rPr>
        <w:t xml:space="preserve">1、本项目最高限价</w:t>
      </w:r>
      <w:r/>
    </w:p>
    <w:tbl>
      <w:tblPr>
        <w:tblStyle w:val="785"/>
        <w:tblW w:w="962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6"/>
        <w:gridCol w:w="2616"/>
        <w:gridCol w:w="1436"/>
        <w:gridCol w:w="1548"/>
        <w:gridCol w:w="1288"/>
        <w:gridCol w:w="2039"/>
      </w:tblGrid>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ind w:left="0" w:right="0" w:firstLine="0"/>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ind w:left="0" w:right="0" w:firstLine="0"/>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区域名称</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239" w:right="0" w:firstLine="0"/>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各区域预算（元）</w:t>
            </w:r>
            <w:r/>
          </w:p>
        </w:tc>
        <w:tc>
          <w:tcPr>
            <w:shd w:val="clear" w:color="auto" w:fill="auto"/>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ind w:left="239" w:right="0" w:firstLine="0"/>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预算总价（元）</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ind w:left="0" w:right="0" w:firstLine="0"/>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最高限价优惠率（%）</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备   注</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ind w:left="0" w:right="0" w:firstLine="0"/>
              <w:jc w:val="righ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ind w:left="0" w:right="0" w:firstLine="0"/>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苏锡通园区</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righ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1000000.00 </w:t>
            </w:r>
            <w:r/>
          </w:p>
        </w:tc>
        <w:tc>
          <w:tcPr>
            <w:shd w:val="clear" w:color="auto" w:fill="auto"/>
            <w:tcBorders>
              <w:top w:val="single" w:color="000000" w:sz="4" w:space="0"/>
              <w:left w:val="single" w:color="000000" w:sz="4" w:space="0"/>
              <w:bottom w:val="single" w:color="000000" w:sz="4" w:space="0"/>
              <w:right w:val="single" w:color="000000" w:sz="4" w:space="0"/>
            </w:tcBorders>
            <w:tcW w:w="1548" w:type="dxa"/>
            <w:vAlign w:val="center"/>
            <w:vMerge w:val="restart"/>
            <w:textDirection w:val="lrTb"/>
            <w:noWrap/>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4000000.00</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restart"/>
            <w:textDirection w:val="lrTb"/>
            <w:noWrap/>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right w:val="single" w:color="000000" w:sz="4" w:space="0"/>
            </w:tcBorders>
            <w:tcW w:w="2039" w:type="dxa"/>
            <w:vAlign w:val="center"/>
            <w:vMerge w:val="restart"/>
            <w:textDirection w:val="lrTb"/>
            <w:noWrap/>
          </w:tcPr>
          <w:p>
            <w:pPr>
              <w:ind w:left="0" w:right="0" w:firstLine="0"/>
              <w:rPr>
                <w:rFonts w:hint="eastAsia" w:ascii="仿宋" w:hAnsi="仿宋" w:eastAsia="仿宋" w:cs="仿宋"/>
                <w:i w:val="0"/>
                <w:iCs w:val="0"/>
                <w:color w:val="auto"/>
                <w:sz w:val="24"/>
                <w:szCs w:val="24"/>
                <w:highlight w:val="none"/>
                <w:u w:val="none"/>
              </w:rPr>
            </w:pPr>
            <w:r>
              <w:rPr>
                <w:rFonts w:hint="eastAsia" w:ascii="仿宋" w:hAnsi="仿宋" w:eastAsia="仿宋" w:cs="仿宋"/>
                <w:color w:val="auto"/>
                <w:spacing w:val="2"/>
                <w:sz w:val="24"/>
                <w:highlight w:val="none"/>
                <w:lang w:val="en-US" w:eastAsia="zh-CN"/>
              </w:rPr>
              <w:t xml:space="preserve">投标报价</w:t>
            </w:r>
            <w:r>
              <w:rPr>
                <w:rFonts w:hint="eastAsia" w:ascii="仿宋" w:hAnsi="仿宋" w:eastAsia="仿宋" w:cs="仿宋"/>
                <w:color w:val="auto"/>
                <w:spacing w:val="2"/>
                <w:sz w:val="24"/>
                <w:highlight w:val="none"/>
              </w:rPr>
              <w:t xml:space="preserve">优惠率不得超过100%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ind w:left="0" w:right="0" w:firstLine="0"/>
              <w:jc w:val="righ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ind w:left="0" w:right="0" w:firstLine="0"/>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开发区（包含中创区）</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righ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3000000.00 </w:t>
            </w:r>
            <w:r/>
          </w:p>
        </w:tc>
        <w:tc>
          <w:tcPr>
            <w:shd w:val="clear" w:color="auto" w:fill="auto"/>
            <w:tcBorders>
              <w:top w:val="single" w:color="000000" w:sz="4" w:space="0"/>
              <w:left w:val="single" w:color="000000" w:sz="4" w:space="0"/>
              <w:bottom w:val="single" w:color="000000" w:sz="4" w:space="0"/>
              <w:right w:val="single" w:color="000000" w:sz="4" w:space="0"/>
            </w:tcBorders>
            <w:tcW w:w="1548" w:type="dxa"/>
            <w:vAlign w:val="center"/>
            <w:vMerge w:val="continue"/>
            <w:textDirection w:val="lrTb"/>
            <w:noWrap/>
          </w:tcPr>
          <w:p>
            <w:pPr>
              <w:ind w:left="0" w:right="0" w:firstLine="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tcPr>
          <w:p>
            <w:pPr>
              <w:ind w:left="0" w:right="0" w:firstLine="0"/>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left w:val="single" w:color="000000" w:sz="4" w:space="0"/>
              <w:bottom w:val="single" w:color="000000" w:sz="4" w:space="0"/>
              <w:right w:val="single" w:color="000000" w:sz="4" w:space="0"/>
            </w:tcBorders>
            <w:tcW w:w="2039" w:type="dxa"/>
            <w:vAlign w:val="center"/>
            <w:vMerge w:val="continue"/>
            <w:textDirection w:val="lrTb"/>
            <w:noWrap/>
          </w:tcPr>
          <w:p>
            <w:pPr>
              <w:ind w:left="0" w:right="0" w:firstLine="0"/>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bl>
    <w:p>
      <w:pPr>
        <w:ind w:firstLine="560"/>
        <w:jc w:val="left"/>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1、投标单位的报价（人民币）按</w:t>
      </w:r>
      <w:r>
        <w:rPr>
          <w:rFonts w:hint="eastAsia" w:ascii="仿宋" w:hAnsi="仿宋" w:eastAsia="仿宋" w:cs="仿宋"/>
          <w:color w:val="auto"/>
          <w:sz w:val="28"/>
          <w:szCs w:val="28"/>
          <w:highlight w:val="none"/>
          <w:lang w:val="en-US" w:eastAsia="zh-CN"/>
        </w:rPr>
        <w:t xml:space="preserve">优惠率报价</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投标优惠率</w:t>
      </w:r>
      <w:r>
        <w:rPr>
          <w:rFonts w:hint="eastAsia" w:ascii="仿宋" w:hAnsi="仿宋" w:eastAsia="仿宋" w:cs="仿宋"/>
          <w:color w:val="auto"/>
          <w:sz w:val="28"/>
          <w:szCs w:val="28"/>
          <w:highlight w:val="none"/>
        </w:rPr>
        <w:t xml:space="preserve">报价应包括招标文件所确定的招标范围内的全部内容，其中应包括但不限于自接受项目委托至提交成果，并取得上级生态环境部门审查意见的全部费用，包括现场核查、收集资料费、核查费、人员费（含周末及节假日加班费）、交通费、办公设备费、监测费、专家费、会务费、食宿费、风险费、保险费、税金、利润等政策性文件规定及合同包含的所有风险、责任等各项应有费用，即招标物服务周期结束前的所有费用且包含响应招标文件采购要求的所有费用</w:t>
      </w:r>
      <w:r>
        <w:rPr>
          <w:rFonts w:hint="eastAsia" w:ascii="仿宋" w:hAnsi="仿宋" w:eastAsia="仿宋" w:cs="仿宋"/>
          <w:color w:val="auto"/>
          <w:sz w:val="28"/>
          <w:szCs w:val="28"/>
          <w:highlight w:val="none"/>
          <w:lang w:eastAsia="zh-CN"/>
        </w:rPr>
        <w:t xml:space="preserve">。</w:t>
      </w:r>
      <w:r/>
    </w:p>
    <w:p>
      <w:pPr>
        <w:ind w:firstLine="560"/>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bCs/>
          <w:color w:val="auto"/>
          <w:sz w:val="28"/>
          <w:szCs w:val="28"/>
          <w:highlight w:val="none"/>
        </w:rPr>
        <w:t xml:space="preserve">本项目采用优惠率报价。优惠率不得超过100%，投标</w:t>
      </w:r>
      <w:r>
        <w:rPr>
          <w:rFonts w:hint="eastAsia" w:ascii="仿宋" w:hAnsi="仿宋" w:eastAsia="仿宋" w:cs="仿宋"/>
          <w:bCs/>
          <w:color w:val="auto"/>
          <w:sz w:val="28"/>
          <w:szCs w:val="28"/>
          <w:highlight w:val="none"/>
          <w:lang w:val="en-US" w:eastAsia="zh-CN"/>
        </w:rPr>
        <w:t xml:space="preserve">优惠率</w:t>
      </w:r>
      <w:r>
        <w:rPr>
          <w:rFonts w:hint="eastAsia" w:ascii="仿宋" w:hAnsi="仿宋" w:eastAsia="仿宋" w:cs="仿宋"/>
          <w:bCs/>
          <w:color w:val="auto"/>
          <w:sz w:val="28"/>
          <w:szCs w:val="28"/>
          <w:highlight w:val="none"/>
        </w:rPr>
        <w:t xml:space="preserve">报价超过最高限价的为无效报价，按照无效投标处理。</w:t>
      </w:r>
      <w:r/>
    </w:p>
    <w:p>
      <w:pPr>
        <w:ind w:firstLine="562"/>
        <w:jc w:val="left"/>
        <w:spacing w:line="360" w:lineRule="auto"/>
        <w:rPr>
          <w:rFonts w:hint="eastAsia" w:ascii="仿宋" w:hAnsi="仿宋" w:eastAsia="仿宋" w:cs="仿宋"/>
          <w:bCs/>
          <w:color w:val="auto"/>
          <w:sz w:val="36"/>
          <w:szCs w:val="36"/>
          <w:highlight w:val="none"/>
          <w:u w:val="single"/>
        </w:rPr>
      </w:pPr>
      <w:r>
        <w:rPr>
          <w:rFonts w:hint="eastAsia" w:ascii="仿宋" w:hAnsi="仿宋" w:eastAsia="仿宋" w:cs="仿宋"/>
          <w:b/>
          <w:bCs/>
          <w:color w:val="auto"/>
          <w:sz w:val="28"/>
          <w:szCs w:val="28"/>
          <w:highlight w:val="none"/>
          <w:u w:val="single"/>
        </w:rPr>
        <w:t xml:space="preserve">注明：本项目需求中涉及到加</w:t>
      </w:r>
      <w:r>
        <w:rPr>
          <w:rFonts w:hint="eastAsia" w:ascii="仿宋" w:hAnsi="仿宋" w:eastAsia="仿宋" w:cs="仿宋"/>
          <w:b/>
          <w:bCs/>
          <w:color w:val="auto"/>
          <w:sz w:val="28"/>
          <w:szCs w:val="28"/>
          <w:highlight w:val="none"/>
          <w:u w:val="single"/>
          <w:lang w:val="zh-CN"/>
        </w:rPr>
        <w:t xml:space="preserve">★</w:t>
      </w:r>
      <w:r>
        <w:rPr>
          <w:rFonts w:hint="eastAsia" w:ascii="仿宋" w:hAnsi="仿宋" w:eastAsia="仿宋" w:cs="仿宋"/>
          <w:b/>
          <w:bCs/>
          <w:color w:val="auto"/>
          <w:sz w:val="28"/>
          <w:szCs w:val="28"/>
          <w:highlight w:val="none"/>
          <w:u w:val="single"/>
        </w:rPr>
        <w:t xml:space="preserve">条款的所有内容响应投标单位未能在符合性条款中提交符合以上要求的人员相关证书和相关承诺书等佐证材料的，经评标委员会核实将被判为不满足招标文件实质性要求，作为无效投标处理。</w:t>
      </w:r>
      <w:bookmarkEnd w:id="0"/>
      <w:r/>
      <w:bookmarkEnd w:id="1"/>
      <w:r/>
      <w:bookmarkEnd w:id="2"/>
      <w:r/>
      <w:r/>
    </w:p>
    <w:p>
      <w:pPr>
        <w:jc w:val="center"/>
        <w:spacing w:line="360" w:lineRule="auto"/>
        <w:rPr>
          <w:rFonts w:hint="eastAsia" w:ascii="仿宋" w:hAnsi="仿宋" w:eastAsia="仿宋" w:cs="仿宋"/>
          <w:bCs/>
          <w:color w:val="auto"/>
          <w:sz w:val="36"/>
          <w:szCs w:val="36"/>
          <w:highlight w:val="none"/>
        </w:rPr>
        <w:outlineLvl w:val="0"/>
      </w:pPr>
      <w:r>
        <w:rPr>
          <w:rFonts w:hint="eastAsia" w:ascii="仿宋" w:hAnsi="仿宋" w:eastAsia="仿宋" w:cs="仿宋"/>
          <w:bCs/>
          <w:color w:val="auto"/>
          <w:sz w:val="36"/>
          <w:szCs w:val="36"/>
          <w:highlight w:val="none"/>
        </w:rPr>
      </w:r>
      <w:r/>
    </w:p>
    <w:p>
      <w:pPr>
        <w:jc w:val="center"/>
        <w:spacing w:line="360" w:lineRule="auto"/>
        <w:rPr>
          <w:rFonts w:hint="eastAsia" w:ascii="仿宋" w:hAnsi="仿宋" w:eastAsia="仿宋" w:cs="仿宋"/>
          <w:bCs/>
          <w:color w:val="auto"/>
          <w:sz w:val="36"/>
          <w:szCs w:val="36"/>
          <w:highlight w:val="none"/>
        </w:rPr>
        <w:outlineLvl w:val="0"/>
      </w:pPr>
      <w:r>
        <w:rPr>
          <w:rFonts w:hint="eastAsia" w:ascii="仿宋" w:hAnsi="仿宋" w:eastAsia="仿宋" w:cs="仿宋"/>
          <w:bCs/>
          <w:color w:val="auto"/>
          <w:sz w:val="36"/>
          <w:szCs w:val="36"/>
          <w:highlight w:val="none"/>
        </w:rPr>
      </w:r>
      <w:r/>
    </w:p>
    <w:p>
      <w:pPr>
        <w:jc w:val="center"/>
        <w:spacing w:line="360" w:lineRule="auto"/>
        <w:rPr>
          <w:rFonts w:hint="eastAsia" w:ascii="仿宋" w:hAnsi="仿宋" w:eastAsia="仿宋" w:cs="仿宋"/>
          <w:bCs/>
          <w:color w:val="auto"/>
          <w:sz w:val="36"/>
          <w:szCs w:val="36"/>
          <w:highlight w:val="none"/>
        </w:rPr>
        <w:outlineLvl w:val="0"/>
      </w:pPr>
      <w:r>
        <w:rPr>
          <w:rFonts w:hint="eastAsia" w:ascii="仿宋" w:hAnsi="仿宋" w:eastAsia="仿宋" w:cs="仿宋"/>
          <w:bCs/>
          <w:color w:val="auto"/>
          <w:sz w:val="36"/>
          <w:szCs w:val="36"/>
          <w:highlight w:val="none"/>
        </w:rPr>
      </w:r>
      <w:r/>
    </w:p>
    <w:p>
      <w:pPr>
        <w:jc w:val="center"/>
        <w:spacing w:line="360" w:lineRule="auto"/>
        <w:rPr>
          <w:rFonts w:hint="eastAsia" w:ascii="仿宋" w:hAnsi="仿宋" w:eastAsia="仿宋" w:cs="仿宋"/>
          <w:bCs/>
          <w:color w:val="auto"/>
          <w:sz w:val="36"/>
          <w:szCs w:val="36"/>
          <w:highlight w:val="none"/>
        </w:rPr>
        <w:outlineLvl w:val="0"/>
      </w:pPr>
      <w:r>
        <w:rPr>
          <w:rFonts w:hint="eastAsia" w:ascii="仿宋" w:hAnsi="仿宋" w:eastAsia="仿宋" w:cs="仿宋"/>
          <w:bCs/>
          <w:color w:val="auto"/>
          <w:sz w:val="36"/>
          <w:szCs w:val="36"/>
          <w:highlight w:val="none"/>
        </w:rPr>
      </w:r>
      <w:r/>
    </w:p>
    <w:p>
      <w:pPr>
        <w:jc w:val="center"/>
        <w:spacing w:line="360" w:lineRule="auto"/>
        <w:rPr>
          <w:rFonts w:hint="eastAsia" w:ascii="仿宋" w:hAnsi="仿宋" w:eastAsia="仿宋" w:cs="仿宋"/>
          <w:bCs/>
          <w:color w:val="auto"/>
          <w:sz w:val="36"/>
          <w:szCs w:val="36"/>
          <w:highlight w:val="none"/>
        </w:rPr>
        <w:outlineLvl w:val="0"/>
      </w:pPr>
      <w:r>
        <w:rPr>
          <w:rFonts w:hint="eastAsia" w:ascii="仿宋" w:hAnsi="仿宋" w:eastAsia="仿宋" w:cs="仿宋"/>
          <w:bCs/>
          <w:color w:val="auto"/>
          <w:sz w:val="36"/>
          <w:szCs w:val="36"/>
          <w:highlight w:val="none"/>
        </w:rPr>
      </w:r>
      <w:r/>
    </w:p>
    <w:p>
      <w:pPr>
        <w:rPr>
          <w:rFonts w:hint="eastAsia"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br w:type="page" w:clear="all"/>
      </w:r>
      <w:r/>
    </w:p>
    <w:p>
      <w:pPr>
        <w:jc w:val="center"/>
        <w:spacing w:line="360" w:lineRule="auto"/>
        <w:rPr>
          <w:rFonts w:hint="eastAsia" w:ascii="仿宋" w:hAnsi="仿宋" w:eastAsia="仿宋" w:cs="仿宋"/>
          <w:b/>
          <w:bCs w:val="0"/>
          <w:color w:val="auto"/>
          <w:sz w:val="36"/>
          <w:szCs w:val="36"/>
          <w:highlight w:val="none"/>
        </w:rPr>
        <w:outlineLvl w:val="0"/>
      </w:pPr>
      <w:r>
        <w:rPr>
          <w:rFonts w:hint="eastAsia" w:ascii="仿宋" w:hAnsi="仿宋" w:eastAsia="仿宋" w:cs="仿宋"/>
          <w:b/>
          <w:bCs w:val="0"/>
          <w:color w:val="auto"/>
          <w:sz w:val="36"/>
          <w:szCs w:val="36"/>
          <w:highlight w:val="none"/>
        </w:rPr>
        <w:t xml:space="preserve">第四部分  开标和评标</w:t>
      </w:r>
      <w:r/>
    </w:p>
    <w:p>
      <w:pPr>
        <w:pStyle w:val="1051"/>
        <w:ind w:left="0" w:right="0" w:firstLine="562"/>
        <w:jc w:val="left"/>
        <w:spacing w:before="0" w:after="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一、开标</w:t>
      </w:r>
      <w:r/>
    </w:p>
    <w:p>
      <w:pPr>
        <w:ind w:firstLine="537"/>
        <w:spacing w:line="360" w:lineRule="auto"/>
        <w:tabs>
          <w:tab w:val="left" w:pos="3585"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不见面远程开标模式：投标单位在各自地点通过“苏采云”不见面交易系统参加开标会。</w:t>
      </w:r>
      <w:r/>
    </w:p>
    <w:p>
      <w:pPr>
        <w:pStyle w:val="1051"/>
        <w:ind w:left="0" w:right="0" w:firstLine="562"/>
        <w:jc w:val="left"/>
        <w:spacing w:before="0" w:after="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二、评标流程和评标标准</w:t>
      </w:r>
      <w:r/>
    </w:p>
    <w:p>
      <w:pPr>
        <w:ind w:firstLine="555"/>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采用综合评分法。分资格审查、符合性审查、商务技术标、价格标四部分评审，总分值为100分，加分和减分因素除外。</w:t>
      </w:r>
      <w:r/>
    </w:p>
    <w:p>
      <w:pPr>
        <w:ind w:firstLine="555"/>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首先由采购人对投标单位资格进行审查，然后评标委员会对符合资格的投标单位的投标文件进行符合性审查，最后评标委员会对符合性审查合格的投标文件商务、技术部分进行评估，综合比较与评价。待商务技术标评审结束后，进行价格标的评审。投标单位商务、技术部分和价格部分的合计分值，为该投标单位的评标总得分。</w:t>
      </w:r>
      <w:r/>
    </w:p>
    <w:p>
      <w:pPr>
        <w:ind w:firstLine="555"/>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评标结果按评审后总得分由高到低顺序排列，确定中标候选人名单并按顺序确定中标人。得分相同的，按投标报价由低到高顺序排列，得分且投标报价相同的并列。</w:t>
      </w:r>
      <w:r/>
    </w:p>
    <w:p>
      <w:pPr>
        <w:pStyle w:val="813"/>
        <w:ind w:firstLine="562"/>
        <w:jc w:val="both"/>
        <w:spacing w:before="0" w:beforeAutospacing="0" w:after="0" w:afterAutospacing="0" w:line="360" w:lineRule="auto"/>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u w:val="single"/>
        </w:rPr>
        <w:t xml:space="preserve">（一）本项目如出现以下情形的，评标小组将启动政府采购启动异常低价投标（响应）审查程序：</w:t>
      </w:r>
      <w:r/>
    </w:p>
    <w:p>
      <w:pPr>
        <w:pStyle w:val="813"/>
        <w:ind w:firstLine="646"/>
        <w:jc w:val="both"/>
        <w:spacing w:before="0" w:beforeAutospacing="0" w:after="0" w:afterAutospacing="0" w:line="360" w:lineRule="auto"/>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u w:val="single"/>
        </w:rPr>
        <w:t xml:space="preserve">1.投标（响应）报价低于全部通过符合性审查投标单位投标（响应）报价平均值50%的，即投标（响应）报价&lt;全部通过符合性审查投标单位投标（响应）报价平均值×50%；</w:t>
      </w:r>
      <w:r/>
    </w:p>
    <w:p>
      <w:pPr>
        <w:pStyle w:val="813"/>
        <w:ind w:firstLine="646"/>
        <w:jc w:val="both"/>
        <w:spacing w:before="0" w:beforeAutospacing="0" w:after="0" w:afterAutospacing="0" w:line="360" w:lineRule="auto"/>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u w:val="single"/>
        </w:rPr>
        <w:t xml:space="preserve">2.投标（响应）报价低于通过符合性审查的次低报价投标单位投标（响应）报价50%的，即投标（响应）报价&lt;通过符合性审查的次低报价投标单位投标（响应）报价×50%；</w:t>
      </w:r>
      <w:r/>
    </w:p>
    <w:p>
      <w:pPr>
        <w:pStyle w:val="813"/>
        <w:ind w:firstLine="646"/>
        <w:jc w:val="both"/>
        <w:spacing w:before="0" w:beforeAutospacing="0" w:after="0" w:afterAutospacing="0" w:line="360" w:lineRule="auto"/>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u w:val="single"/>
        </w:rPr>
        <w:t xml:space="preserve">3.投标（响应）报价低于采购项目最高限价45%的，即投标（响应）报价&lt;采购项目最高限价×45%；</w:t>
      </w:r>
      <w:r/>
    </w:p>
    <w:p>
      <w:pPr>
        <w:pStyle w:val="813"/>
        <w:ind w:firstLine="646"/>
        <w:jc w:val="both"/>
        <w:spacing w:before="0" w:beforeAutospacing="0" w:after="0" w:afterAutospacing="0" w:line="360" w:lineRule="auto"/>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u w:val="single"/>
        </w:rPr>
        <w:t xml:space="preserve">4.评审委员会基于专业判断，认为投标单位报价过低，有可能影响产品质量或者不能诚信履约的其他情形。</w:t>
      </w:r>
      <w:r/>
    </w:p>
    <w:p>
      <w:pPr>
        <w:pStyle w:val="813"/>
        <w:ind w:firstLine="646"/>
        <w:jc w:val="both"/>
        <w:spacing w:before="0" w:beforeAutospacing="0" w:after="0" w:afterAutospacing="0" w:line="360" w:lineRule="auto"/>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u w:val="single"/>
        </w:rPr>
        <w:t xml:space="preserve">（二）评审委员会启动异常低价投标（响应）审查后，属于前述第1项至第4项情形的，应当要求相关投标单位在评审现场合理的时间内对投标（响应）价格作出解释，提供项目具体成本测算等与报价合理性相关的书面说明及必要的证明材料，包括但不限于原材料成本、人工成本、制造费用等，给予相关投标单位的合理时间一般不少于30分钟。其中，属于第3项情形，投标单位已随投标（响应）文件一并提交相关书面说明及必要的证明材料的，在评审现场可不再重复提交。</w:t>
      </w:r>
      <w:r/>
    </w:p>
    <w:p>
      <w:pPr>
        <w:pStyle w:val="813"/>
        <w:ind w:firstLine="646"/>
        <w:jc w:val="both"/>
        <w:spacing w:before="0" w:beforeAutospacing="0" w:after="0" w:afterAutospacing="0" w:line="360" w:lineRule="auto"/>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u w:val="single"/>
        </w:rPr>
        <w:t xml:space="preserve">评审委员会依据专业经验，参考同类项目中标（成交）价格、类似产品市场价格水平、行业人工费用标准、国家有关部门指导行业协会发布的行业平均成本等情况，对报价合理性进行判断。投标（响应）投标单位不能提供书面说明、证明材料，或者提供的书面说明、证明材料不能证明其报价合理性的，评审委员会应当将其作为无效投标（响应）处理。</w:t>
      </w:r>
      <w:r/>
    </w:p>
    <w:p>
      <w:pPr>
        <w:pStyle w:val="813"/>
        <w:ind w:firstLine="646"/>
        <w:jc w:val="both"/>
        <w:spacing w:before="0" w:beforeAutospacing="0" w:after="0" w:afterAutospacing="0"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13"/>
        <w:ind w:firstLine="646"/>
        <w:jc w:val="both"/>
        <w:spacing w:before="0" w:beforeAutospacing="0" w:after="0" w:afterAutospacing="0"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异常低价投标（响应）审查的启动原因、审查意见和审查结果应当在评审报告中记录，并随投标单位提供的相关书面说明及证明材料，以及评审委员会有关互联网浏览、查询历史一并归档。</w:t>
      </w:r>
      <w:r/>
    </w:p>
    <w:p>
      <w:pPr>
        <w:pStyle w:val="813"/>
        <w:ind w:firstLine="646"/>
        <w:jc w:val="both"/>
        <w:spacing w:before="0" w:beforeAutospacing="0" w:after="0" w:afterAutospacing="0" w:line="360" w:lineRule="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555"/>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三、评委在认真审阅投标文件的基础上，根据各投标文件的响应程度独立评判，不得统一打分。</w:t>
      </w:r>
      <w:r/>
    </w:p>
    <w:p>
      <w:pPr>
        <w:ind w:firstLine="413"/>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（一）采购人（代表）对投标单位资格进行审查。</w:t>
      </w:r>
      <w:r/>
    </w:p>
    <w:p>
      <w:pPr>
        <w:pStyle w:val="1055"/>
        <w:ind w:firstLine="577"/>
        <w:spacing w:line="360" w:lineRule="auto"/>
        <w:rPr>
          <w:rFonts w:hint="eastAsia" w:ascii="仿宋" w:hAnsi="仿宋" w:eastAsia="仿宋" w:cs="仿宋"/>
          <w:bCs/>
          <w:color w:val="auto"/>
          <w:sz w:val="28"/>
          <w:highlight w:val="none"/>
        </w:rPr>
      </w:pPr>
      <w:r>
        <w:rPr>
          <w:rFonts w:hint="eastAsia" w:ascii="仿宋" w:hAnsi="仿宋" w:eastAsia="仿宋" w:cs="仿宋"/>
          <w:bCs/>
          <w:color w:val="auto"/>
          <w:sz w:val="28"/>
          <w:highlight w:val="none"/>
        </w:rPr>
        <w:t xml:space="preserve">投标单位资格不合格的，其投标文件判定为无效投标文件。</w:t>
      </w:r>
      <w:r/>
    </w:p>
    <w:p>
      <w:pPr>
        <w:ind w:firstLine="413"/>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（二）评标委员会对符合资格投标单位的投标文件进行符合性审查。</w:t>
      </w:r>
      <w:r/>
    </w:p>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符合性审查要求</w:t>
      </w:r>
      <w:r/>
    </w:p>
    <w:tbl>
      <w:tblPr>
        <w:tblStyle w:val="785"/>
        <w:tblW w:w="75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4"/>
      </w:tblGrid>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没有《招标文件》不允许的附加条件。</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zh-CN"/>
              </w:rPr>
              <w:t xml:space="preserve">按《招标文件》要求</w:t>
            </w:r>
            <w:r>
              <w:rPr>
                <w:rFonts w:hint="eastAsia" w:ascii="仿宋" w:hAnsi="仿宋" w:eastAsia="仿宋" w:cs="仿宋"/>
                <w:bCs/>
                <w:color w:val="auto"/>
                <w:sz w:val="28"/>
                <w:szCs w:val="28"/>
                <w:highlight w:val="none"/>
              </w:rPr>
              <w:t xml:space="preserve">提供承诺书</w:t>
            </w:r>
            <w:r>
              <w:rPr>
                <w:rFonts w:hint="eastAsia" w:ascii="仿宋" w:hAnsi="仿宋" w:eastAsia="仿宋" w:cs="仿宋"/>
                <w:bCs/>
                <w:color w:val="auto"/>
                <w:sz w:val="28"/>
                <w:szCs w:val="28"/>
                <w:highlight w:val="none"/>
                <w:lang w:val="zh-CN"/>
              </w:rPr>
              <w:t xml:space="preserve">。</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
                <w:color w:val="auto"/>
                <w:sz w:val="28"/>
                <w:szCs w:val="28"/>
                <w:highlight w:val="none"/>
                <w:lang w:val="zh-CN"/>
              </w:rPr>
              <w:t xml:space="preserve">满足《</w:t>
            </w:r>
            <w:r>
              <w:rPr>
                <w:rFonts w:hint="eastAsia" w:ascii="仿宋" w:hAnsi="仿宋" w:eastAsia="仿宋" w:cs="仿宋"/>
                <w:b/>
                <w:color w:val="auto"/>
                <w:sz w:val="28"/>
                <w:szCs w:val="28"/>
                <w:highlight w:val="none"/>
              </w:rPr>
              <w:t xml:space="preserve">招标</w:t>
            </w:r>
            <w:r>
              <w:rPr>
                <w:rFonts w:hint="eastAsia" w:ascii="仿宋" w:hAnsi="仿宋" w:eastAsia="仿宋" w:cs="仿宋"/>
                <w:b/>
                <w:color w:val="auto"/>
                <w:sz w:val="28"/>
                <w:szCs w:val="28"/>
                <w:highlight w:val="none"/>
                <w:lang w:val="zh-CN"/>
              </w:rPr>
              <w:t xml:space="preserve">文件》以“★”标明的全部实质性条款要求。</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没有无效投标条款。</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没有串通投标情形。</w:t>
            </w:r>
            <w:r/>
          </w:p>
        </w:tc>
      </w:tr>
    </w:tbl>
    <w:p>
      <w:pPr>
        <w:pStyle w:val="1055"/>
        <w:ind w:firstLine="577"/>
        <w:spacing w:line="360" w:lineRule="auto"/>
        <w:rPr>
          <w:rFonts w:hint="eastAsia" w:ascii="仿宋" w:hAnsi="仿宋" w:eastAsia="仿宋" w:cs="仿宋"/>
          <w:b/>
          <w:color w:val="auto"/>
          <w:sz w:val="28"/>
          <w:highlight w:val="none"/>
          <w:u w:val="single"/>
        </w:rPr>
      </w:pPr>
      <w:r>
        <w:rPr>
          <w:rFonts w:hint="eastAsia" w:ascii="仿宋" w:hAnsi="仿宋" w:eastAsia="仿宋" w:cs="仿宋"/>
          <w:b/>
          <w:color w:val="auto"/>
          <w:sz w:val="28"/>
          <w:highlight w:val="none"/>
          <w:u w:val="single"/>
          <w:lang w:val="zh-CN"/>
        </w:rPr>
        <w:t xml:space="preserve">本</w:t>
      </w:r>
      <w:r>
        <w:rPr>
          <w:rFonts w:hint="eastAsia" w:ascii="仿宋" w:hAnsi="仿宋" w:eastAsia="仿宋" w:cs="仿宋"/>
          <w:b/>
          <w:color w:val="auto"/>
          <w:sz w:val="28"/>
          <w:highlight w:val="none"/>
          <w:u w:val="single"/>
        </w:rPr>
        <w:t xml:space="preserve">招标</w:t>
      </w:r>
      <w:r>
        <w:rPr>
          <w:rFonts w:hint="eastAsia" w:ascii="仿宋" w:hAnsi="仿宋" w:eastAsia="仿宋" w:cs="仿宋"/>
          <w:b/>
          <w:color w:val="auto"/>
          <w:sz w:val="28"/>
          <w:highlight w:val="none"/>
          <w:u w:val="single"/>
          <w:lang w:val="zh-CN"/>
        </w:rPr>
        <w:t xml:space="preserve">文件有“★”标明的条款，请各投标单位仔细研读且作为符合性审查要求，未通过符合性审查的响应文件，经</w:t>
      </w:r>
      <w:r>
        <w:rPr>
          <w:rFonts w:hint="eastAsia" w:ascii="仿宋" w:hAnsi="仿宋" w:eastAsia="仿宋" w:cs="仿宋"/>
          <w:b/>
          <w:color w:val="auto"/>
          <w:sz w:val="28"/>
          <w:highlight w:val="none"/>
          <w:u w:val="single"/>
        </w:rPr>
        <w:t xml:space="preserve">评标</w:t>
      </w:r>
      <w:r>
        <w:rPr>
          <w:rFonts w:hint="eastAsia" w:ascii="仿宋" w:hAnsi="仿宋" w:eastAsia="仿宋" w:cs="仿宋"/>
          <w:b/>
          <w:color w:val="auto"/>
          <w:sz w:val="28"/>
          <w:highlight w:val="none"/>
          <w:u w:val="single"/>
          <w:lang w:val="zh-CN"/>
        </w:rPr>
        <w:t xml:space="preserve">小组核实将被判为不满足</w:t>
      </w:r>
      <w:r>
        <w:rPr>
          <w:rFonts w:hint="eastAsia" w:ascii="仿宋" w:hAnsi="仿宋" w:eastAsia="仿宋" w:cs="仿宋"/>
          <w:b/>
          <w:color w:val="auto"/>
          <w:sz w:val="28"/>
          <w:highlight w:val="none"/>
          <w:u w:val="single"/>
        </w:rPr>
        <w:t xml:space="preserve">招标</w:t>
      </w:r>
      <w:r>
        <w:rPr>
          <w:rFonts w:hint="eastAsia" w:ascii="仿宋" w:hAnsi="仿宋" w:eastAsia="仿宋" w:cs="仿宋"/>
          <w:b/>
          <w:color w:val="auto"/>
          <w:sz w:val="28"/>
          <w:highlight w:val="none"/>
          <w:u w:val="single"/>
          <w:lang w:val="zh-CN"/>
        </w:rPr>
        <w:t xml:space="preserve">文件实质性要求，</w:t>
      </w:r>
      <w:r>
        <w:rPr>
          <w:rFonts w:hint="eastAsia" w:ascii="仿宋" w:hAnsi="仿宋" w:eastAsia="仿宋" w:cs="仿宋"/>
          <w:b/>
          <w:color w:val="auto"/>
          <w:sz w:val="28"/>
          <w:highlight w:val="none"/>
          <w:u w:val="single"/>
        </w:rPr>
        <w:t xml:space="preserve">作无效投标处理。符合性审查资料请放置在符合性资料中，若因投标单位提供的资料混乱、不清晰导致符合性审查未能通过的，由投标单位自行承担后果。</w:t>
      </w:r>
      <w:r/>
    </w:p>
    <w:p>
      <w:pPr>
        <w:pStyle w:val="1083"/>
        <w:ind w:firstLine="280"/>
        <w:spacing w:before="0" w:beforeAutospacing="0" w:after="0" w:afterAutospacing="0" w:line="360" w:lineRule="auto"/>
        <w:rPr>
          <w:rFonts w:hint="eastAsia" w:ascii="仿宋" w:hAnsi="仿宋" w:eastAsia="仿宋" w:cs="仿宋"/>
          <w:bCs/>
          <w:color w:val="auto"/>
          <w:sz w:val="28"/>
          <w:szCs w:val="28"/>
          <w:highlight w:val="none"/>
          <w:lang w:eastAsia="en-US"/>
        </w:rPr>
      </w:pPr>
      <w:r>
        <w:rPr>
          <w:rFonts w:hint="eastAsia" w:ascii="仿宋" w:hAnsi="仿宋" w:eastAsia="仿宋" w:cs="仿宋"/>
          <w:bCs/>
          <w:color w:val="auto"/>
          <w:sz w:val="28"/>
          <w:szCs w:val="28"/>
          <w:highlight w:val="none"/>
        </w:rPr>
        <w:t xml:space="preserve">四</w:t>
      </w:r>
      <w:r>
        <w:rPr>
          <w:rFonts w:hint="eastAsia" w:ascii="仿宋" w:hAnsi="仿宋" w:eastAsia="仿宋" w:cs="仿宋"/>
          <w:bCs/>
          <w:color w:val="auto"/>
          <w:sz w:val="28"/>
          <w:szCs w:val="28"/>
          <w:highlight w:val="none"/>
          <w:lang w:eastAsia="en-US"/>
        </w:rPr>
        <w:t xml:space="preserve">、综合评分评审标准</w:t>
      </w:r>
      <w:r/>
    </w:p>
    <w:tbl>
      <w:tblPr>
        <w:tblStyle w:val="785"/>
        <w:tblW w:w="94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1378"/>
        <w:gridCol w:w="1284"/>
        <w:gridCol w:w="5643"/>
      </w:tblGrid>
      <w:tr>
        <w:trPr>
          <w:jc w:val="center"/>
          <w:trHeight w:val="626"/>
        </w:trPr>
        <w:tc>
          <w:tcPr>
            <w:gridSpan w:val="3"/>
            <w:tcW w:w="3816" w:type="dxa"/>
            <w:vAlign w:val="center"/>
            <w:textDirection w:val="lrTb"/>
            <w:noWrap w:val="false"/>
          </w:tcPr>
          <w:p>
            <w:pPr>
              <w:ind w:left="695"/>
              <w:jc w:val="cente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分值构成（100分）</w:t>
            </w:r>
            <w:r/>
          </w:p>
        </w:tc>
        <w:tc>
          <w:tcPr>
            <w:tcBorders>
              <w:left w:val="none" w:color="000000" w:sz="4" w:space="0"/>
            </w:tcBorders>
            <w:tcW w:w="5643" w:type="dxa"/>
            <w:vAlign w:val="center"/>
            <w:textDirection w:val="lrTb"/>
            <w:noWrap w:val="false"/>
          </w:tcPr>
          <w:p>
            <w:pPr>
              <w:ind w:left="695"/>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商务技术标</w:t>
            </w:r>
            <w:r>
              <w:rPr>
                <w:rFonts w:hint="eastAsia" w:ascii="仿宋" w:hAnsi="仿宋" w:eastAsia="仿宋" w:cs="仿宋"/>
                <w:color w:val="auto"/>
                <w:sz w:val="24"/>
                <w:szCs w:val="24"/>
                <w:highlight w:val="none"/>
                <w:lang w:val="en-US" w:eastAsia="zh-CN"/>
              </w:rPr>
              <w:t xml:space="preserve">80</w:t>
            </w:r>
            <w:r>
              <w:rPr>
                <w:rFonts w:hint="eastAsia" w:ascii="仿宋" w:hAnsi="仿宋" w:eastAsia="仿宋" w:cs="仿宋"/>
                <w:color w:val="auto"/>
                <w:sz w:val="24"/>
                <w:szCs w:val="24"/>
                <w:highlight w:val="none"/>
              </w:rPr>
              <w:t xml:space="preserve">分，报价标</w:t>
            </w: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rPr>
              <w:t xml:space="preserve">分</w:t>
            </w:r>
            <w:r/>
          </w:p>
        </w:tc>
      </w:tr>
      <w:tr>
        <w:trPr>
          <w:jc w:val="center"/>
          <w:trHeight w:val="647"/>
        </w:trPr>
        <w:tc>
          <w:tcPr>
            <w:tcW w:w="1154" w:type="dxa"/>
            <w:vAlign w:val="center"/>
            <w:textDirection w:val="lrTb"/>
            <w:noWrap w:val="false"/>
          </w:tcPr>
          <w:p>
            <w:pPr>
              <w:spacing w:line="3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序号</w:t>
            </w:r>
            <w:r/>
          </w:p>
        </w:tc>
        <w:tc>
          <w:tcPr>
            <w:tcBorders>
              <w:left w:val="none" w:color="000000" w:sz="4" w:space="0"/>
            </w:tcBorders>
            <w:tcW w:w="1378" w:type="dxa"/>
            <w:vAlign w:val="center"/>
            <w:textDirection w:val="lrTb"/>
            <w:noWrap w:val="false"/>
          </w:tcPr>
          <w:p>
            <w:pPr>
              <w:spacing w:line="3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评分因素</w:t>
            </w:r>
            <w:r/>
          </w:p>
        </w:tc>
        <w:tc>
          <w:tcPr>
            <w:gridSpan w:val="2"/>
            <w:tcBorders>
              <w:left w:val="none" w:color="000000" w:sz="4" w:space="0"/>
            </w:tcBorders>
            <w:tcW w:w="6927" w:type="dxa"/>
            <w:vAlign w:val="center"/>
            <w:textDirection w:val="lrTb"/>
            <w:noWrap w:val="false"/>
          </w:tcPr>
          <w:p>
            <w:pPr>
              <w:ind w:left="695" w:firstLine="1200"/>
              <w:spacing w:line="3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评分标准</w:t>
            </w:r>
            <w:r/>
          </w:p>
        </w:tc>
      </w:tr>
      <w:tr>
        <w:trPr>
          <w:jc w:val="center"/>
          <w:trHeight w:val="989"/>
        </w:trPr>
        <w:tc>
          <w:tcPr>
            <w:tcW w:w="1154" w:type="dxa"/>
            <w:vAlign w:val="center"/>
            <w:textDirection w:val="lrTb"/>
            <w:noWrap w:val="false"/>
          </w:tcPr>
          <w:p>
            <w:pPr>
              <w:ind w:firstLine="240"/>
              <w:jc w:val="center"/>
              <w:spacing w:line="3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p>
        </w:tc>
        <w:tc>
          <w:tcPr>
            <w:tcBorders>
              <w:left w:val="none" w:color="000000" w:sz="4" w:space="0"/>
            </w:tcBorders>
            <w:tcW w:w="1378" w:type="dxa"/>
            <w:vAlign w:val="center"/>
            <w:textDirection w:val="lrTb"/>
            <w:noWrap w:val="false"/>
          </w:tcPr>
          <w:p>
            <w:pPr>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投标单位</w:t>
            </w:r>
            <w:r/>
          </w:p>
          <w:p>
            <w:pP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类似</w:t>
            </w:r>
            <w:r>
              <w:rPr>
                <w:rFonts w:hint="eastAsia" w:ascii="仿宋" w:hAnsi="仿宋" w:eastAsia="仿宋" w:cs="仿宋"/>
                <w:color w:val="auto"/>
                <w:sz w:val="24"/>
                <w:szCs w:val="24"/>
                <w:highlight w:val="none"/>
                <w:lang w:val="en-US" w:eastAsia="zh-CN"/>
              </w:rPr>
              <w:t xml:space="preserve">本项目</w:t>
            </w:r>
            <w:r>
              <w:rPr>
                <w:rFonts w:hint="eastAsia" w:ascii="仿宋" w:hAnsi="仿宋" w:eastAsia="仿宋" w:cs="仿宋"/>
                <w:color w:val="auto"/>
                <w:sz w:val="24"/>
                <w:szCs w:val="24"/>
                <w:highlight w:val="none"/>
              </w:rPr>
              <w:t xml:space="preserve">业绩（</w:t>
            </w:r>
            <w:r>
              <w:rPr>
                <w:rFonts w:hint="eastAsia" w:ascii="仿宋" w:hAnsi="仿宋" w:eastAsia="仿宋" w:cs="仿宋"/>
                <w:color w:val="auto"/>
                <w:sz w:val="24"/>
                <w:szCs w:val="24"/>
                <w:highlight w:val="none"/>
                <w:lang w:val="en-US" w:eastAsia="zh-CN"/>
              </w:rPr>
              <w:t xml:space="preserve">22</w:t>
            </w:r>
            <w:r>
              <w:rPr>
                <w:rFonts w:hint="eastAsia" w:ascii="仿宋" w:hAnsi="仿宋" w:eastAsia="仿宋" w:cs="仿宋"/>
                <w:color w:val="auto"/>
                <w:sz w:val="24"/>
                <w:szCs w:val="24"/>
                <w:highlight w:val="none"/>
              </w:rPr>
              <w:t xml:space="preserve">分）</w:t>
            </w:r>
            <w:r/>
          </w:p>
        </w:tc>
        <w:tc>
          <w:tcPr>
            <w:gridSpan w:val="2"/>
            <w:shd w:val="clear" w:color="auto" w:fill="auto"/>
            <w:tcBorders>
              <w:left w:val="none" w:color="000000" w:sz="4" w:space="0"/>
            </w:tcBorders>
            <w:tcW w:w="6927" w:type="dxa"/>
            <w:textDirection w:val="lrTb"/>
            <w:noWrap w:val="false"/>
          </w:tcPr>
          <w:p>
            <w:pPr>
              <w:spacing w:line="360" w:lineRule="exact"/>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bCs/>
                <w:color w:val="auto"/>
                <w:sz w:val="24"/>
                <w:szCs w:val="24"/>
                <w:highlight w:val="none"/>
              </w:rPr>
              <w:t xml:space="preserve">、投标单位承担过国家级开发区规划环评的，每个得2分，本项最高得</w:t>
            </w:r>
            <w:r>
              <w:rPr>
                <w:rFonts w:hint="eastAsia" w:ascii="仿宋" w:hAnsi="仿宋" w:eastAsia="仿宋" w:cs="仿宋"/>
                <w:bCs/>
                <w:color w:val="auto"/>
                <w:sz w:val="24"/>
                <w:szCs w:val="24"/>
                <w:highlight w:val="none"/>
                <w:lang w:val="en-US" w:eastAsia="zh-CN"/>
              </w:rPr>
              <w:t xml:space="preserve">10</w:t>
            </w:r>
            <w:r>
              <w:rPr>
                <w:rFonts w:hint="eastAsia" w:ascii="仿宋" w:hAnsi="仿宋" w:eastAsia="仿宋" w:cs="仿宋"/>
                <w:bCs/>
                <w:color w:val="auto"/>
                <w:sz w:val="24"/>
                <w:szCs w:val="24"/>
                <w:highlight w:val="none"/>
              </w:rPr>
              <w:t xml:space="preserve">分； （需提供相关合同或中标通知书扫描件加盖投标单位公章</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国家级开发区以《中国开发区审核公告目录》（2018 年版）为准，投标单位提供附件中国开发区审核公告目录扫描件加盖投标单位公章，并注明对应开发区名称的序号及代码便于评委核查）</w:t>
            </w:r>
            <w:r>
              <w:rPr>
                <w:rFonts w:hint="eastAsia" w:ascii="仿宋" w:hAnsi="仿宋" w:eastAsia="仿宋" w:cs="仿宋"/>
                <w:bCs/>
                <w:color w:val="auto"/>
                <w:sz w:val="24"/>
                <w:szCs w:val="24"/>
                <w:highlight w:val="none"/>
                <w:lang w:eastAsia="zh-CN"/>
              </w:rPr>
              <w:t xml:space="preserve">。</w:t>
            </w:r>
            <w:r/>
          </w:p>
          <w:p>
            <w:pPr>
              <w:spacing w:line="360" w:lineRule="exact"/>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2、投标单位承接的项目取得过生态环境部（或原环境保护部）规划环评审查意见或跟踪评价审查意见的，每个得 2 分，最高得 </w:t>
            </w:r>
            <w:r>
              <w:rPr>
                <w:rFonts w:hint="eastAsia" w:ascii="仿宋" w:hAnsi="仿宋" w:eastAsia="仿宋" w:cs="仿宋"/>
                <w:bCs/>
                <w:color w:val="auto"/>
                <w:sz w:val="24"/>
                <w:szCs w:val="24"/>
                <w:highlight w:val="none"/>
                <w:lang w:val="en-US" w:eastAsia="zh-CN"/>
              </w:rPr>
              <w:t xml:space="preserve">10</w:t>
            </w:r>
            <w:r>
              <w:rPr>
                <w:rFonts w:hint="eastAsia" w:ascii="仿宋" w:hAnsi="仿宋" w:eastAsia="仿宋" w:cs="仿宋"/>
                <w:bCs/>
                <w:color w:val="auto"/>
                <w:sz w:val="24"/>
                <w:szCs w:val="24"/>
                <w:highlight w:val="none"/>
              </w:rPr>
              <w:t xml:space="preserve">分。（需提供相关合同或中标通知书扫描件加盖投标单位公章，以及生态环境部（或原环境保护部）审查意见扫描件加盖投标单位公章）</w:t>
            </w:r>
            <w:r>
              <w:rPr>
                <w:rFonts w:hint="eastAsia" w:ascii="仿宋" w:hAnsi="仿宋" w:eastAsia="仿宋" w:cs="仿宋"/>
                <w:bCs/>
                <w:color w:val="auto"/>
                <w:sz w:val="24"/>
                <w:szCs w:val="24"/>
                <w:highlight w:val="none"/>
                <w:lang w:eastAsia="zh-CN"/>
              </w:rPr>
              <w:t xml:space="preserve">。</w:t>
            </w:r>
            <w:r/>
          </w:p>
          <w:p>
            <w:pPr>
              <w:ind w:right="0"/>
              <w:spacing w:before="0" w:after="0" w:line="85" w:lineRule="atLeast"/>
              <w:rPr>
                <w:rFonts w:hint="eastAsia" w:ascii="仿宋" w:hAnsi="仿宋" w:eastAsia="仿宋" w:cs="仿宋"/>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投标单位承担过生态环境部关于产业园区环境影响评价改革试点技术支撑的，</w:t>
            </w:r>
            <w:r>
              <w:rPr>
                <w:rFonts w:hint="eastAsia" w:ascii="仿宋" w:hAnsi="仿宋" w:eastAsia="仿宋" w:cs="仿宋"/>
                <w:bCs/>
                <w:color w:val="auto"/>
                <w:sz w:val="24"/>
                <w:szCs w:val="24"/>
                <w:highlight w:val="none"/>
              </w:rPr>
              <w:t xml:space="preserve">每个得 </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 分，最高得 </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分</w:t>
            </w:r>
            <w:r>
              <w:rPr>
                <w:rFonts w:hint="eastAsia" w:ascii="仿宋" w:hAnsi="仿宋" w:eastAsia="仿宋" w:cs="仿宋"/>
                <w:bCs/>
                <w:color w:val="auto"/>
                <w:sz w:val="24"/>
                <w:szCs w:val="24"/>
                <w:highlight w:val="none"/>
                <w:lang w:val="en-US" w:eastAsia="zh-CN"/>
              </w:rPr>
              <w:t xml:space="preserve">。</w:t>
            </w:r>
            <w:r/>
          </w:p>
          <w:p>
            <w:pPr>
              <w:ind w:right="0"/>
              <w:spacing w:before="0" w:after="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lang w:val="en-US" w:eastAsia="zh-CN"/>
              </w:rPr>
              <w:t xml:space="preserve">（需提供相关合同、生态环境管理部门公示文件（或复函）等相关证明文件</w:t>
            </w:r>
            <w:r>
              <w:rPr>
                <w:rFonts w:hint="eastAsia" w:ascii="仿宋" w:hAnsi="仿宋" w:eastAsia="仿宋" w:cs="仿宋"/>
                <w:bCs/>
                <w:color w:val="auto"/>
                <w:sz w:val="24"/>
                <w:szCs w:val="24"/>
                <w:highlight w:val="none"/>
              </w:rPr>
              <w:t xml:space="preserve">描件加盖投标单位公章）</w:t>
            </w:r>
            <w:r>
              <w:rPr>
                <w:rFonts w:hint="eastAsia" w:ascii="仿宋" w:hAnsi="仿宋" w:eastAsia="仿宋" w:cs="仿宋"/>
                <w:bCs/>
                <w:color w:val="auto"/>
                <w:sz w:val="24"/>
                <w:szCs w:val="24"/>
                <w:highlight w:val="none"/>
                <w:lang w:val="en-US" w:eastAsia="zh-CN"/>
              </w:rPr>
              <w:t xml:space="preserve">。</w:t>
            </w:r>
            <w:r/>
          </w:p>
        </w:tc>
      </w:tr>
      <w:tr>
        <w:trPr>
          <w:jc w:val="center"/>
          <w:trHeight w:val="647"/>
        </w:trPr>
        <w:tc>
          <w:tcPr>
            <w:tcW w:w="1154" w:type="dxa"/>
            <w:vAlign w:val="center"/>
            <w:textDirection w:val="lrTb"/>
            <w:noWrap w:val="false"/>
          </w:tcPr>
          <w:p>
            <w:pPr>
              <w:ind w:firstLine="240"/>
              <w:jc w:val="center"/>
              <w:spacing w:line="3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p>
        </w:tc>
        <w:tc>
          <w:tcPr>
            <w:tcBorders>
              <w:left w:val="none" w:color="000000" w:sz="4" w:space="0"/>
            </w:tcBorders>
            <w:tcW w:w="1378" w:type="dxa"/>
            <w:vAlign w:val="center"/>
            <w:textDirection w:val="lrTb"/>
            <w:noWrap w:val="false"/>
          </w:tcPr>
          <w:p>
            <w:pPr>
              <w:spacing w:line="3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技术力量（</w:t>
            </w:r>
            <w:r>
              <w:rPr>
                <w:rFonts w:hint="eastAsia" w:ascii="仿宋" w:hAnsi="仿宋" w:eastAsia="仿宋" w:cs="仿宋"/>
                <w:bCs/>
                <w:color w:val="auto"/>
                <w:sz w:val="24"/>
                <w:szCs w:val="24"/>
                <w:highlight w:val="none"/>
                <w:lang w:val="en-US" w:eastAsia="zh-CN"/>
              </w:rPr>
              <w:t xml:space="preserve">13</w:t>
            </w:r>
            <w:r>
              <w:rPr>
                <w:rFonts w:hint="eastAsia" w:ascii="仿宋" w:hAnsi="仿宋" w:eastAsia="仿宋" w:cs="仿宋"/>
                <w:bCs/>
                <w:color w:val="auto"/>
                <w:sz w:val="24"/>
                <w:szCs w:val="24"/>
                <w:highlight w:val="none"/>
              </w:rPr>
              <w:t xml:space="preserve">分）</w:t>
            </w:r>
            <w:r/>
          </w:p>
          <w:p>
            <w:pPr>
              <w:spacing w:line="3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shd w:val="clear" w:color="auto" w:fill="auto"/>
            <w:tcBorders>
              <w:left w:val="none" w:color="000000" w:sz="4" w:space="0"/>
            </w:tcBorders>
            <w:tcW w:w="6927" w:type="dxa"/>
            <w:textDirection w:val="lrTb"/>
            <w:noWrap w:val="false"/>
          </w:tcPr>
          <w:p>
            <w:pPr>
              <w:pStyle w:val="1119"/>
              <w:ind w:left="0" w:right="96"/>
              <w:spacing w:before="6"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1、项目负责人在满足项目需求中基本要求的基础上：</w:t>
            </w:r>
            <w:r/>
          </w:p>
          <w:p>
            <w:pPr>
              <w:pStyle w:val="1119"/>
              <w:ind w:left="0" w:right="96"/>
              <w:spacing w:before="6"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项目负责人具有生态环境类高级工程师及以上职称的，得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分；具有注册环评工程师或环保工程师的，得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分；编著出版过环境影响评价相关专著的得2分；具有国家级优秀环境影响评价工程师称号的得3分；本项最高得</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w:t>
            </w:r>
            <w:r/>
          </w:p>
          <w:p>
            <w:pPr>
              <w:pStyle w:val="1119"/>
              <w:ind w:left="0" w:right="96"/>
              <w:spacing w:before="6" w:line="3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注明：</w:t>
            </w:r>
            <w:r>
              <w:rPr>
                <w:rFonts w:hint="eastAsia" w:ascii="仿宋" w:hAnsi="仿宋" w:eastAsia="仿宋" w:cs="仿宋"/>
                <w:b/>
                <w:bCs/>
                <w:color w:val="auto"/>
                <w:sz w:val="24"/>
                <w:szCs w:val="24"/>
                <w:highlight w:val="none"/>
              </w:rPr>
              <w:t xml:space="preserve">须</w:t>
            </w:r>
            <w:r>
              <w:rPr>
                <w:rFonts w:hint="eastAsia" w:ascii="仿宋" w:hAnsi="仿宋" w:eastAsia="仿宋" w:cs="仿宋"/>
                <w:b/>
                <w:bCs/>
                <w:color w:val="auto"/>
                <w:sz w:val="24"/>
                <w:szCs w:val="24"/>
                <w:highlight w:val="none"/>
                <w:lang w:val="en-US" w:eastAsia="zh-CN"/>
              </w:rPr>
              <w:t xml:space="preserve">提供拟派项目负责人以上</w:t>
            </w:r>
            <w:r>
              <w:rPr>
                <w:rFonts w:hint="eastAsia" w:ascii="仿宋" w:hAnsi="仿宋" w:eastAsia="仿宋" w:cs="仿宋"/>
                <w:b/>
                <w:bCs/>
                <w:color w:val="auto"/>
                <w:sz w:val="24"/>
                <w:szCs w:val="24"/>
                <w:highlight w:val="none"/>
              </w:rPr>
              <w:t xml:space="preserve">相关</w:t>
            </w:r>
            <w:r>
              <w:rPr>
                <w:rFonts w:hint="eastAsia" w:ascii="仿宋" w:hAnsi="仿宋" w:eastAsia="仿宋" w:cs="仿宋"/>
                <w:b/>
                <w:bCs/>
                <w:color w:val="auto"/>
                <w:sz w:val="24"/>
                <w:szCs w:val="24"/>
                <w:highlight w:val="none"/>
                <w:lang w:val="en-US" w:eastAsia="zh-CN"/>
              </w:rPr>
              <w:t xml:space="preserve">佐证材料</w:t>
            </w:r>
            <w:r>
              <w:rPr>
                <w:rFonts w:hint="eastAsia" w:ascii="仿宋" w:hAnsi="仿宋" w:eastAsia="仿宋" w:cs="仿宋"/>
                <w:b/>
                <w:bCs/>
                <w:color w:val="auto"/>
                <w:sz w:val="24"/>
                <w:szCs w:val="24"/>
                <w:highlight w:val="none"/>
              </w:rPr>
              <w:t xml:space="preserve">原件扫描件，同时</w:t>
            </w:r>
            <w:r>
              <w:rPr>
                <w:rFonts w:hint="eastAsia" w:ascii="仿宋" w:hAnsi="仿宋" w:eastAsia="仿宋" w:cs="仿宋"/>
                <w:b/>
                <w:bCs/>
                <w:color w:val="auto"/>
                <w:sz w:val="24"/>
                <w:szCs w:val="24"/>
                <w:highlight w:val="none"/>
                <w:lang w:val="zh-CN"/>
              </w:rPr>
              <w:t xml:space="preserve">提供社会保障部门出具的最近三个月（2</w:t>
            </w:r>
            <w:r>
              <w:rPr>
                <w:rFonts w:hint="eastAsia" w:ascii="仿宋" w:hAnsi="仿宋" w:eastAsia="仿宋" w:cs="仿宋"/>
                <w:b/>
                <w:bCs/>
                <w:color w:val="auto"/>
                <w:sz w:val="24"/>
                <w:szCs w:val="24"/>
                <w:highlight w:val="none"/>
              </w:rPr>
              <w:t xml:space="preserve">026</w:t>
            </w:r>
            <w:r>
              <w:rPr>
                <w:rFonts w:hint="eastAsia" w:ascii="仿宋" w:hAnsi="仿宋" w:eastAsia="仿宋" w:cs="仿宋"/>
                <w:b/>
                <w:bCs/>
                <w:color w:val="auto"/>
                <w:sz w:val="24"/>
                <w:szCs w:val="24"/>
                <w:highlight w:val="none"/>
                <w:lang w:val="zh-CN"/>
              </w:rPr>
              <w:t xml:space="preserve">年</w:t>
            </w: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lang w:val="zh-CN"/>
              </w:rPr>
              <w:t xml:space="preserve">月-2026年</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lang w:val="zh-CN"/>
              </w:rPr>
              <w:t xml:space="preserve">月）中任意一个月在本单位缴纳社会养老保险的缴费清单，可提供官网打印的具有二维码或验证码的缴费清单扫描件</w:t>
            </w:r>
            <w:r>
              <w:rPr>
                <w:rFonts w:hint="eastAsia" w:ascii="仿宋" w:hAnsi="仿宋" w:eastAsia="仿宋" w:cs="仿宋"/>
                <w:b/>
                <w:bCs/>
                <w:color w:val="auto"/>
                <w:sz w:val="24"/>
                <w:szCs w:val="24"/>
                <w:highlight w:val="none"/>
              </w:rPr>
              <w:t xml:space="preserve">。</w:t>
            </w:r>
            <w:r/>
          </w:p>
          <w:p>
            <w:pPr>
              <w:pStyle w:val="1119"/>
              <w:ind w:left="0" w:right="96"/>
              <w:spacing w:before="6"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2.投标单位拟派本项目的项目组成员（除项目负责人）在满足项目需求基本要求的基础上：项目组成员具备环评工程师职业资格的数量，30名及以上得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分，20-29名得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分，10-19名得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分，5-9名得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分，5名以下得0分。（环 评 工 程 师 数 量 以 全 国 环 境 影 响 评 价 信 用 平 台（http://114.251.10.92:8080/XYPT/）查询为准），提供</w:t>
            </w:r>
            <w:r>
              <w:rPr>
                <w:rFonts w:hint="eastAsia" w:ascii="仿宋" w:hAnsi="仿宋" w:eastAsia="仿宋" w:cs="仿宋"/>
                <w:color w:val="auto"/>
                <w:sz w:val="24"/>
                <w:szCs w:val="24"/>
                <w:highlight w:val="none"/>
                <w:lang w:val="en-US" w:eastAsia="zh-CN"/>
              </w:rPr>
              <w:t xml:space="preserve">以上</w:t>
            </w:r>
            <w:r>
              <w:rPr>
                <w:rFonts w:hint="eastAsia" w:ascii="仿宋" w:hAnsi="仿宋" w:eastAsia="仿宋" w:cs="仿宋"/>
                <w:color w:val="auto"/>
                <w:sz w:val="24"/>
                <w:szCs w:val="24"/>
                <w:highlight w:val="none"/>
              </w:rPr>
              <w:t xml:space="preserve">相关网站截图扫描件加盖投标人公章。</w:t>
            </w:r>
            <w:r/>
          </w:p>
        </w:tc>
      </w:tr>
      <w:tr>
        <w:trPr>
          <w:jc w:val="center"/>
          <w:trHeight w:val="330"/>
        </w:trPr>
        <w:tc>
          <w:tcPr>
            <w:tcW w:w="1154" w:type="dxa"/>
            <w:vAlign w:val="center"/>
            <w:textDirection w:val="lrTb"/>
            <w:noWrap w:val="false"/>
          </w:tcPr>
          <w:p>
            <w:pPr>
              <w:ind w:firstLine="480"/>
              <w:spacing w:line="3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p>
        </w:tc>
        <w:tc>
          <w:tcPr>
            <w:shd w:val="clear" w:color="auto" w:fill="auto"/>
            <w:tcBorders>
              <w:left w:val="none" w:color="000000" w:sz="4" w:space="0"/>
            </w:tcBorders>
            <w:tcW w:w="1378" w:type="dxa"/>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投标单位实力</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分）</w:t>
            </w:r>
            <w:r/>
          </w:p>
        </w:tc>
        <w:tc>
          <w:tcPr>
            <w:gridSpan w:val="2"/>
            <w:shd w:val="clear" w:color="auto" w:fill="auto"/>
            <w:tcBorders>
              <w:left w:val="none" w:color="000000" w:sz="4" w:space="0"/>
            </w:tcBorders>
            <w:tcW w:w="6927" w:type="dxa"/>
            <w:vAlign w:val="center"/>
            <w:textDirection w:val="lrTb"/>
            <w:noWrap w:val="false"/>
          </w:tcPr>
          <w:p>
            <w:pPr>
              <w:spacing w:line="3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bidi="ar-SA"/>
              </w:rPr>
              <w:t xml:space="preserve">投标单位拟派本项目人员具有环保领域省、部级奖项的每有一人得2分，本项最高得4分；（提供证书扫描件加盖投标人公章，同时</w:t>
            </w:r>
            <w:r>
              <w:rPr>
                <w:rFonts w:hint="eastAsia" w:ascii="仿宋" w:hAnsi="仿宋" w:eastAsia="仿宋" w:cs="仿宋"/>
                <w:b/>
                <w:bCs/>
                <w:color w:val="auto"/>
                <w:sz w:val="24"/>
                <w:szCs w:val="24"/>
                <w:highlight w:val="none"/>
                <w:lang w:val="zh-CN"/>
              </w:rPr>
              <w:t xml:space="preserve">提供社会保障部门出具的最近三个月（2</w:t>
            </w:r>
            <w:r>
              <w:rPr>
                <w:rFonts w:hint="eastAsia" w:ascii="仿宋" w:hAnsi="仿宋" w:eastAsia="仿宋" w:cs="仿宋"/>
                <w:b/>
                <w:bCs/>
                <w:color w:val="auto"/>
                <w:sz w:val="24"/>
                <w:szCs w:val="24"/>
                <w:highlight w:val="none"/>
              </w:rPr>
              <w:t xml:space="preserve">026</w:t>
            </w:r>
            <w:r>
              <w:rPr>
                <w:rFonts w:hint="eastAsia" w:ascii="仿宋" w:hAnsi="仿宋" w:eastAsia="仿宋" w:cs="仿宋"/>
                <w:b/>
                <w:bCs/>
                <w:color w:val="auto"/>
                <w:sz w:val="24"/>
                <w:szCs w:val="24"/>
                <w:highlight w:val="none"/>
                <w:lang w:val="zh-CN"/>
              </w:rPr>
              <w:t xml:space="preserve">年</w:t>
            </w: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lang w:val="zh-CN"/>
              </w:rPr>
              <w:t xml:space="preserve">月-2026年</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lang w:val="zh-CN"/>
              </w:rPr>
              <w:t xml:space="preserve">月）中任意一个月在本单位缴纳社会养老保险的缴费清单，可提供官网打印的具有二维码或验证码的缴费清单扫描件</w:t>
            </w:r>
            <w:r>
              <w:rPr>
                <w:rFonts w:hint="eastAsia" w:ascii="仿宋" w:hAnsi="仿宋" w:eastAsia="仿宋" w:cs="仿宋"/>
                <w:color w:val="auto"/>
                <w:sz w:val="24"/>
                <w:szCs w:val="24"/>
                <w:highlight w:val="none"/>
                <w:lang w:val="en-US" w:eastAsia="zh-CN" w:bidi="ar-SA"/>
              </w:rPr>
              <w:t xml:space="preserve">）；</w:t>
            </w:r>
            <w:r/>
          </w:p>
          <w:p>
            <w:pPr>
              <w:spacing w:line="3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2.投标单位承担的环评项目获得省级及以上优秀环境影响报告书的，得2分；（证明材料需同时提供相关委托合同、获奖证书扫描件加盖投标人公章）；</w:t>
            </w:r>
            <w:r/>
          </w:p>
          <w:p>
            <w:pPr>
              <w:jc w:val="left"/>
              <w:spacing w:line="320" w:lineRule="exact"/>
              <w:widowControl/>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3.投标单位拟派本项目相关人员作为特邀专家参加过生态环境部（原环境保护部）规划环评审查会议的，每一人每一次得 2 分，最高得4分；生态环境部委托省级生态环境厅审查国家级规划环评期间，投标单位拟派本项目相关人员作为特邀专家参加过省级生态环境厅组织的国家级园区规划环评审查会议的，每一人每一次得1 分，最高2分。</w:t>
            </w:r>
            <w:r/>
          </w:p>
          <w:p>
            <w:pPr>
              <w:jc w:val="left"/>
              <w:spacing w:line="3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注明：（1）作为生态环境部特邀专家的，以生态环境部（或原环境保护部）规划环评审查会会议通知或生态环境部审查意见后所附名单为准，提供扫描件加盖投标单位公章。</w:t>
            </w:r>
            <w:r/>
          </w:p>
          <w:p>
            <w:pPr>
              <w:numPr>
                <w:ilvl w:val="0"/>
                <w:numId w:val="3"/>
              </w:numPr>
              <w:jc w:val="left"/>
              <w:spacing w:line="3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作为省级生态环境厅特邀专家的，以省级生态环境厅规划环评审查会会议通知（能体现为国家级园区规划环评审查会议的）或审查意见后所附名单（能体现为国家级园区规划环评审查会议的）为准，提供扫描件加盖投标单位公章。（</w:t>
            </w:r>
            <w:r>
              <w:rPr>
                <w:rFonts w:hint="eastAsia" w:ascii="仿宋" w:hAnsi="仿宋" w:eastAsia="仿宋" w:cs="仿宋"/>
                <w:b/>
                <w:bCs/>
                <w:color w:val="auto"/>
                <w:sz w:val="24"/>
                <w:szCs w:val="24"/>
                <w:highlight w:val="none"/>
                <w:lang w:val="en-US" w:eastAsia="zh-CN" w:bidi="ar-SA"/>
              </w:rPr>
              <w:t xml:space="preserve">佐证材料若不能体现为国家级园区规划环评审查会议的，不予得分。</w:t>
            </w:r>
            <w:r>
              <w:rPr>
                <w:rFonts w:hint="eastAsia" w:ascii="仿宋" w:hAnsi="仿宋" w:eastAsia="仿宋" w:cs="仿宋"/>
                <w:color w:val="auto"/>
                <w:sz w:val="24"/>
                <w:szCs w:val="24"/>
                <w:highlight w:val="none"/>
                <w:lang w:val="en-US" w:eastAsia="zh-CN" w:bidi="ar-SA"/>
              </w:rPr>
              <w:t xml:space="preserve">）</w:t>
            </w:r>
            <w:r/>
          </w:p>
          <w:p>
            <w:pPr>
              <w:numPr>
                <w:ilvl w:val="0"/>
                <w:numId w:val="3"/>
              </w:numPr>
              <w:jc w:val="left"/>
              <w:spacing w:line="32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bidi="ar-SA"/>
              </w:rPr>
              <w:t xml:space="preserve">本条款拟派本项目所有人员实力证明除了提供以上要求的佐证材料外，均须同时</w:t>
            </w:r>
            <w:r>
              <w:rPr>
                <w:rFonts w:hint="eastAsia" w:ascii="仿宋" w:hAnsi="仿宋" w:eastAsia="仿宋" w:cs="仿宋"/>
                <w:b/>
                <w:bCs/>
                <w:color w:val="auto"/>
                <w:sz w:val="24"/>
                <w:szCs w:val="24"/>
                <w:highlight w:val="none"/>
                <w:lang w:val="zh-CN"/>
              </w:rPr>
              <w:t xml:space="preserve">提供社会保障部门出具的最近三个月（2</w:t>
            </w:r>
            <w:r>
              <w:rPr>
                <w:rFonts w:hint="eastAsia" w:ascii="仿宋" w:hAnsi="仿宋" w:eastAsia="仿宋" w:cs="仿宋"/>
                <w:b/>
                <w:bCs/>
                <w:color w:val="auto"/>
                <w:sz w:val="24"/>
                <w:szCs w:val="24"/>
                <w:highlight w:val="none"/>
              </w:rPr>
              <w:t xml:space="preserve">026</w:t>
            </w:r>
            <w:r>
              <w:rPr>
                <w:rFonts w:hint="eastAsia" w:ascii="仿宋" w:hAnsi="仿宋" w:eastAsia="仿宋" w:cs="仿宋"/>
                <w:b/>
                <w:bCs/>
                <w:color w:val="auto"/>
                <w:sz w:val="24"/>
                <w:szCs w:val="24"/>
                <w:highlight w:val="none"/>
                <w:lang w:val="zh-CN"/>
              </w:rPr>
              <w:t xml:space="preserve">年</w:t>
            </w: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lang w:val="zh-CN"/>
              </w:rPr>
              <w:t xml:space="preserve">月-2026年</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lang w:val="zh-CN"/>
              </w:rPr>
              <w:t xml:space="preserve">月）中任意一个月在本单位缴纳社会养老保险的缴费清单，可提供官网打印的具有二维码或验证码的缴费清单扫描件</w:t>
            </w:r>
            <w:r>
              <w:rPr>
                <w:rFonts w:hint="eastAsia" w:ascii="仿宋" w:hAnsi="仿宋" w:eastAsia="仿宋" w:cs="仿宋"/>
                <w:color w:val="auto"/>
                <w:sz w:val="24"/>
                <w:szCs w:val="24"/>
                <w:highlight w:val="none"/>
                <w:lang w:val="en-US" w:eastAsia="zh-CN" w:bidi="ar-SA"/>
              </w:rPr>
              <w:t xml:space="preserve">） 。  </w:t>
            </w:r>
            <w:r/>
          </w:p>
        </w:tc>
      </w:tr>
      <w:tr>
        <w:trPr>
          <w:jc w:val="center"/>
          <w:trHeight w:val="330"/>
        </w:trPr>
        <w:tc>
          <w:tcPr>
            <w:tcW w:w="1154" w:type="dxa"/>
            <w:vAlign w:val="center"/>
            <w:textDirection w:val="lrTb"/>
            <w:noWrap w:val="false"/>
          </w:tcPr>
          <w:p>
            <w:pPr>
              <w:ind w:firstLine="480"/>
              <w:spacing w:line="36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4</w:t>
            </w:r>
            <w:r/>
          </w:p>
        </w:tc>
        <w:tc>
          <w:tcPr>
            <w:shd w:val="clear" w:color="auto" w:fill="auto"/>
            <w:tcBorders>
              <w:left w:val="none" w:color="000000" w:sz="4" w:space="0"/>
            </w:tcBorders>
            <w:tcW w:w="1378" w:type="dxa"/>
            <w:vAlign w:val="center"/>
            <w:textDirection w:val="lrTb"/>
            <w:noWrap w:val="false"/>
          </w:tcPr>
          <w:p>
            <w:pPr>
              <w:jc w:val="both"/>
              <w:keepLines w:val="0"/>
              <w:keepNext w:val="0"/>
              <w:pageBreakBefore w:val="0"/>
              <w:spacing w:line="360" w:lineRule="exact"/>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rPr>
              <w:t xml:space="preserve">本项目</w:t>
            </w:r>
            <w:r>
              <w:rPr>
                <w:rFonts w:hint="eastAsia" w:ascii="仿宋" w:hAnsi="仿宋" w:eastAsia="仿宋" w:cs="仿宋"/>
                <w:color w:val="auto"/>
                <w:sz w:val="24"/>
                <w:szCs w:val="24"/>
                <w:highlight w:val="none"/>
                <w:lang w:eastAsia="zh-Hans"/>
              </w:rPr>
              <w:t xml:space="preserve">概况与分析</w:t>
            </w:r>
            <w:r>
              <w:rPr>
                <w:rFonts w:hint="eastAsia" w:ascii="仿宋" w:hAnsi="仿宋" w:eastAsia="仿宋" w:cs="仿宋"/>
                <w:bCs/>
                <w:color w:val="auto"/>
                <w:sz w:val="24"/>
                <w:szCs w:val="24"/>
                <w:highlight w:val="none"/>
                <w:lang w:val="en-US" w:eastAsia="zh-CN"/>
              </w:rPr>
              <w:t xml:space="preserve">（3分）</w:t>
            </w:r>
            <w:r/>
          </w:p>
        </w:tc>
        <w:tc>
          <w:tcPr>
            <w:gridSpan w:val="2"/>
            <w:shd w:val="clear" w:color="auto" w:fill="auto"/>
            <w:tcBorders>
              <w:left w:val="none" w:color="000000" w:sz="4" w:space="0"/>
            </w:tcBorders>
            <w:tcW w:w="6927" w:type="dxa"/>
            <w:vAlign w:val="center"/>
            <w:textDirection w:val="lrTb"/>
            <w:noWrap w:val="false"/>
          </w:tcPr>
          <w:p>
            <w:pPr>
              <w:numPr>
                <w:ilvl w:val="0"/>
                <w:numId w:val="0"/>
              </w:numPr>
              <w:keepLines w:val="0"/>
              <w:keepNext w:val="0"/>
              <w:pageBreakBefore w:val="0"/>
              <w:spacing w:line="360" w:lineRule="exact"/>
              <w:rPr>
                <w:rFonts w:hint="eastAsia" w:ascii="仿宋" w:hAnsi="仿宋" w:eastAsia="仿宋" w:cs="仿宋"/>
                <w:color w:val="auto"/>
                <w:sz w:val="24"/>
                <w:szCs w:val="24"/>
                <w:highlight w:val="none"/>
                <w:lang w:eastAsia="zh-Hans"/>
              </w:rPr>
            </w:pPr>
            <w:r>
              <w:rPr>
                <w:rFonts w:hint="eastAsia" w:ascii="仿宋" w:hAnsi="仿宋" w:eastAsia="仿宋" w:cs="仿宋"/>
                <w:color w:val="auto"/>
                <w:sz w:val="24"/>
                <w:szCs w:val="24"/>
                <w:highlight w:val="none"/>
                <w:lang w:val="en-US" w:eastAsia="zh-CN"/>
              </w:rPr>
              <w:t xml:space="preserve">本</w:t>
            </w:r>
            <w:r>
              <w:rPr>
                <w:rFonts w:hint="eastAsia" w:ascii="仿宋" w:hAnsi="仿宋" w:eastAsia="仿宋" w:cs="仿宋"/>
                <w:color w:val="auto"/>
                <w:sz w:val="24"/>
                <w:szCs w:val="24"/>
                <w:highlight w:val="none"/>
                <w:lang w:eastAsia="zh-Hans"/>
              </w:rPr>
              <w:t xml:space="preserve">项目概况与分析：①项目背景形势分析；②项目情况的分析理解；方案符合</w:t>
            </w:r>
            <w:r>
              <w:rPr>
                <w:rFonts w:hint="eastAsia" w:ascii="仿宋" w:hAnsi="仿宋" w:eastAsia="仿宋" w:cs="仿宋"/>
                <w:color w:val="auto"/>
                <w:sz w:val="24"/>
                <w:szCs w:val="24"/>
                <w:highlight w:val="none"/>
                <w:lang w:val="en-US" w:eastAsia="zh-CN"/>
              </w:rPr>
              <w:t xml:space="preserve">本招标</w:t>
            </w:r>
            <w:r>
              <w:rPr>
                <w:rFonts w:hint="eastAsia" w:ascii="仿宋" w:hAnsi="仿宋" w:eastAsia="仿宋" w:cs="仿宋"/>
                <w:color w:val="auto"/>
                <w:sz w:val="24"/>
                <w:szCs w:val="24"/>
                <w:highlight w:val="none"/>
                <w:lang w:eastAsia="zh-Hans"/>
              </w:rPr>
              <w:t xml:space="preserve">文件要求的得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Hans"/>
              </w:rPr>
              <w:t xml:space="preserve">分，</w:t>
            </w:r>
            <w:r>
              <w:rPr>
                <w:rFonts w:hint="eastAsia" w:ascii="仿宋" w:hAnsi="仿宋" w:eastAsia="仿宋" w:cs="仿宋"/>
                <w:color w:val="auto"/>
                <w:sz w:val="24"/>
                <w:szCs w:val="24"/>
                <w:highlight w:val="none"/>
                <w:lang w:val="en-US" w:eastAsia="zh-CN"/>
              </w:rPr>
              <w:t xml:space="preserve">以上二项内容每有一项内容</w:t>
            </w:r>
            <w:r>
              <w:rPr>
                <w:rFonts w:hint="eastAsia" w:ascii="仿宋" w:hAnsi="仿宋" w:eastAsia="仿宋" w:cs="仿宋"/>
                <w:color w:val="auto"/>
                <w:sz w:val="24"/>
                <w:szCs w:val="24"/>
                <w:highlight w:val="none"/>
                <w:lang w:eastAsia="zh-Hans"/>
              </w:rPr>
              <w:t xml:space="preserve">缺项或漏项扣</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lang w:eastAsia="zh-Hans"/>
              </w:rPr>
              <w:t xml:space="preserve">分，每有一项内容有缺陷扣</w:t>
            </w:r>
            <w:r>
              <w:rPr>
                <w:rFonts w:hint="eastAsia" w:ascii="仿宋" w:hAnsi="仿宋" w:eastAsia="仿宋" w:cs="仿宋"/>
                <w:color w:val="auto"/>
                <w:sz w:val="24"/>
                <w:szCs w:val="24"/>
                <w:highlight w:val="none"/>
                <w:lang w:val="en-US" w:eastAsia="zh-CN"/>
              </w:rPr>
              <w:t xml:space="preserve">0.8</w:t>
            </w:r>
            <w:r>
              <w:rPr>
                <w:rFonts w:hint="eastAsia" w:ascii="仿宋" w:hAnsi="仿宋" w:eastAsia="仿宋" w:cs="仿宋"/>
                <w:color w:val="auto"/>
                <w:sz w:val="24"/>
                <w:szCs w:val="24"/>
                <w:highlight w:val="none"/>
                <w:lang w:eastAsia="zh-Hans"/>
              </w:rPr>
              <w:t xml:space="preserve">分，扣完为止。</w:t>
            </w:r>
            <w:r/>
          </w:p>
          <w:p>
            <w:pPr>
              <w:numPr>
                <w:ilvl w:val="0"/>
                <w:numId w:val="0"/>
              </w:numPr>
              <w:ind w:left="0" w:firstLine="0"/>
              <w:keepLines w:val="0"/>
              <w:keepNext w:val="0"/>
              <w:pageBreakBefore w:val="0"/>
              <w:spacing w:line="3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 xml:space="preserve">注明</w:t>
            </w:r>
            <w:r>
              <w:rPr>
                <w:rFonts w:hint="eastAsia" w:ascii="仿宋" w:hAnsi="仿宋" w:eastAsia="仿宋" w:cs="仿宋"/>
                <w:b/>
                <w:bCs/>
                <w:color w:val="auto"/>
                <w:sz w:val="24"/>
                <w:szCs w:val="24"/>
                <w:highlight w:val="none"/>
                <w:lang w:eastAsia="zh-Hans"/>
              </w:rPr>
              <w:t xml:space="preserve">:</w:t>
            </w:r>
            <w:r>
              <w:rPr>
                <w:rFonts w:hint="eastAsia" w:ascii="仿宋" w:hAnsi="仿宋" w:eastAsia="仿宋" w:cs="仿宋"/>
                <w:b/>
                <w:bCs/>
                <w:color w:val="auto"/>
                <w:sz w:val="24"/>
                <w:szCs w:val="24"/>
                <w:highlight w:val="none"/>
                <w:lang w:val="en-US" w:eastAsia="zh-CN"/>
              </w:rPr>
              <w:t xml:space="preserve">以上条款的</w:t>
            </w:r>
            <w:r>
              <w:rPr>
                <w:rFonts w:hint="eastAsia" w:ascii="仿宋" w:hAnsi="仿宋" w:eastAsia="仿宋" w:cs="仿宋"/>
                <w:b/>
                <w:bCs/>
                <w:color w:val="auto"/>
                <w:sz w:val="24"/>
                <w:szCs w:val="24"/>
                <w:highlight w:val="none"/>
                <w:lang w:eastAsia="zh-Hans"/>
              </w:rPr>
              <w:t xml:space="preserve">内容缺陷是指非专门针对本项目或不适用项目特性的情形、内容不完整或缺少关键节点、套用其他项目方案、内容前后矛盾、涉及的规范及标准错误、不利于项目实施、不可能实现的情形等任意一种情形。</w:t>
            </w:r>
            <w:r/>
          </w:p>
        </w:tc>
      </w:tr>
      <w:tr>
        <w:trPr>
          <w:jc w:val="center"/>
          <w:trHeight w:val="330"/>
        </w:trPr>
        <w:tc>
          <w:tcPr>
            <w:tcW w:w="1154" w:type="dxa"/>
            <w:vAlign w:val="center"/>
            <w:textDirection w:val="lrTb"/>
            <w:noWrap w:val="false"/>
          </w:tcPr>
          <w:p>
            <w:pPr>
              <w:ind w:firstLine="480"/>
              <w:spacing w:line="36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5</w:t>
            </w:r>
            <w:r/>
          </w:p>
        </w:tc>
        <w:tc>
          <w:tcPr>
            <w:shd w:val="clear" w:color="auto" w:fill="auto"/>
            <w:tcBorders>
              <w:left w:val="none" w:color="000000" w:sz="4" w:space="0"/>
            </w:tcBorders>
            <w:tcW w:w="1378" w:type="dxa"/>
            <w:vAlign w:val="center"/>
            <w:textDirection w:val="lrTb"/>
            <w:noWrap w:val="false"/>
          </w:tcPr>
          <w:p>
            <w:pPr>
              <w:jc w:val="both"/>
              <w:keepLines w:val="0"/>
              <w:keepNext w:val="0"/>
              <w:pageBreakBefore w:val="0"/>
              <w:spacing w:line="360" w:lineRule="exact"/>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rPr>
              <w:t xml:space="preserve">本</w:t>
            </w:r>
            <w:r>
              <w:rPr>
                <w:rFonts w:hint="eastAsia" w:ascii="仿宋" w:hAnsi="仿宋" w:eastAsia="仿宋" w:cs="仿宋"/>
                <w:bCs/>
                <w:color w:val="auto"/>
                <w:sz w:val="24"/>
                <w:szCs w:val="24"/>
                <w:highlight w:val="none"/>
                <w:lang w:val="zh-CN" w:eastAsia="zh-CN"/>
              </w:rPr>
              <w:t xml:space="preserve">项目重难点的认识及对策措施</w:t>
            </w:r>
            <w:r>
              <w:rPr>
                <w:rFonts w:hint="eastAsia" w:ascii="仿宋" w:hAnsi="仿宋" w:eastAsia="仿宋" w:cs="仿宋"/>
                <w:bCs/>
                <w:color w:val="auto"/>
                <w:sz w:val="24"/>
                <w:szCs w:val="24"/>
                <w:highlight w:val="none"/>
                <w:lang w:val="en-US" w:eastAsia="zh-CN"/>
              </w:rPr>
              <w:t xml:space="preserve">（6分）</w:t>
            </w:r>
            <w:r/>
          </w:p>
        </w:tc>
        <w:tc>
          <w:tcPr>
            <w:gridSpan w:val="2"/>
            <w:shd w:val="clear" w:color="auto" w:fill="auto"/>
            <w:tcBorders>
              <w:left w:val="none" w:color="000000" w:sz="4" w:space="0"/>
            </w:tcBorders>
            <w:tcW w:w="6927" w:type="dxa"/>
            <w:vAlign w:val="center"/>
            <w:textDirection w:val="lrTb"/>
            <w:noWrap w:val="false"/>
          </w:tcPr>
          <w:p>
            <w:pPr>
              <w:numPr>
                <w:ilvl w:val="0"/>
                <w:numId w:val="0"/>
              </w:numPr>
              <w:keepLines w:val="0"/>
              <w:keepNext w:val="0"/>
              <w:pageBreakBefore w:val="0"/>
              <w:spacing w:line="360" w:lineRule="exact"/>
              <w:rPr>
                <w:rFonts w:hint="eastAsia" w:ascii="仿宋" w:hAnsi="仿宋" w:eastAsia="仿宋" w:cs="仿宋"/>
                <w:color w:val="auto"/>
                <w:sz w:val="24"/>
                <w:szCs w:val="24"/>
                <w:highlight w:val="none"/>
                <w:lang w:eastAsia="zh-Hans"/>
              </w:rPr>
            </w:pPr>
            <w:r>
              <w:rPr>
                <w:rFonts w:hint="eastAsia" w:ascii="仿宋" w:hAnsi="仿宋" w:eastAsia="仿宋" w:cs="仿宋"/>
                <w:bCs/>
                <w:color w:val="auto"/>
                <w:sz w:val="24"/>
                <w:szCs w:val="24"/>
                <w:highlight w:val="none"/>
                <w:lang w:val="en-US" w:eastAsia="zh-CN"/>
              </w:rPr>
              <w:t xml:space="preserve">本</w:t>
            </w:r>
            <w:r>
              <w:rPr>
                <w:rFonts w:hint="eastAsia" w:ascii="仿宋" w:hAnsi="仿宋" w:eastAsia="仿宋" w:cs="仿宋"/>
                <w:bCs/>
                <w:color w:val="auto"/>
                <w:sz w:val="24"/>
                <w:szCs w:val="24"/>
                <w:highlight w:val="none"/>
                <w:lang w:val="zh-CN" w:eastAsia="zh-CN"/>
              </w:rPr>
              <w:t xml:space="preserve">项目重难点的认识及对策措施</w:t>
            </w:r>
            <w:r>
              <w:rPr>
                <w:rFonts w:hint="eastAsia" w:ascii="仿宋" w:hAnsi="仿宋" w:eastAsia="仿宋" w:cs="仿宋"/>
                <w:bCs/>
                <w:color w:val="auto"/>
                <w:sz w:val="24"/>
                <w:szCs w:val="24"/>
                <w:highlight w:val="none"/>
                <w:lang w:val="zh-CN" w:eastAsia="zh-Hans"/>
              </w:rPr>
              <w:t xml:space="preserve">：</w:t>
            </w:r>
            <w:r>
              <w:rPr>
                <w:rFonts w:hint="eastAsia" w:ascii="仿宋" w:hAnsi="仿宋" w:eastAsia="仿宋" w:cs="仿宋"/>
                <w:bCs/>
                <w:color w:val="auto"/>
                <w:sz w:val="24"/>
                <w:szCs w:val="24"/>
                <w:highlight w:val="none"/>
                <w:lang w:val="zh-CN" w:eastAsia="zh-CN"/>
              </w:rPr>
              <w:t xml:space="preserve">根据投标人对本项目的重难点分析认识、提出的对策措施等情况进行评定。包括但不限于</w:t>
            </w:r>
            <w:r>
              <w:rPr>
                <w:rFonts w:hint="eastAsia" w:ascii="仿宋" w:hAnsi="仿宋" w:eastAsia="仿宋" w:cs="仿宋"/>
                <w:bCs/>
                <w:color w:val="auto"/>
                <w:sz w:val="24"/>
                <w:szCs w:val="24"/>
                <w:highlight w:val="none"/>
                <w:lang w:val="zh-CN" w:eastAsia="zh-Hans"/>
              </w:rPr>
              <w:t xml:space="preserve">①</w:t>
            </w:r>
            <w:r>
              <w:rPr>
                <w:rFonts w:hint="eastAsia" w:ascii="仿宋" w:hAnsi="仿宋" w:eastAsia="仿宋" w:cs="仿宋"/>
                <w:bCs/>
                <w:color w:val="auto"/>
                <w:sz w:val="24"/>
                <w:szCs w:val="24"/>
                <w:highlight w:val="none"/>
                <w:lang w:val="zh-CN" w:eastAsia="zh-CN"/>
              </w:rPr>
              <w:t xml:space="preserve">规划环评落实情况分析；</w:t>
            </w:r>
            <w:r>
              <w:rPr>
                <w:rFonts w:hint="eastAsia" w:ascii="仿宋" w:hAnsi="仿宋" w:eastAsia="仿宋" w:cs="仿宋"/>
                <w:bCs/>
                <w:color w:val="auto"/>
                <w:sz w:val="24"/>
                <w:szCs w:val="24"/>
                <w:highlight w:val="none"/>
                <w:lang w:val="zh-CN" w:eastAsia="zh-Hans"/>
              </w:rPr>
              <w:t xml:space="preserve">②</w:t>
            </w:r>
            <w:r>
              <w:rPr>
                <w:rFonts w:hint="eastAsia" w:ascii="仿宋" w:hAnsi="仿宋" w:eastAsia="仿宋" w:cs="仿宋"/>
                <w:bCs/>
                <w:color w:val="auto"/>
                <w:sz w:val="24"/>
                <w:szCs w:val="24"/>
                <w:highlight w:val="none"/>
                <w:lang w:val="zh-CN" w:eastAsia="zh-CN"/>
              </w:rPr>
              <w:t xml:space="preserve">“未来产业园东拓规划</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Cs/>
                <w:color w:val="auto"/>
                <w:sz w:val="24"/>
                <w:szCs w:val="24"/>
                <w:highlight w:val="none"/>
                <w:lang w:val="zh-CN" w:eastAsia="zh-Hans"/>
              </w:rPr>
              <w:t xml:space="preserve">③</w:t>
            </w:r>
            <w:r>
              <w:rPr>
                <w:rFonts w:hint="eastAsia" w:ascii="仿宋" w:hAnsi="仿宋" w:eastAsia="仿宋" w:cs="仿宋"/>
                <w:bCs/>
                <w:color w:val="auto"/>
                <w:sz w:val="24"/>
                <w:szCs w:val="24"/>
                <w:highlight w:val="none"/>
                <w:lang w:val="en-US" w:eastAsia="zh-CN"/>
              </w:rPr>
              <w:t xml:space="preserve">中创区、</w:t>
            </w:r>
            <w:r>
              <w:rPr>
                <w:rFonts w:hint="eastAsia" w:ascii="仿宋" w:hAnsi="仿宋" w:eastAsia="仿宋" w:cs="仿宋"/>
                <w:bCs/>
                <w:color w:val="auto"/>
                <w:sz w:val="24"/>
                <w:szCs w:val="24"/>
                <w:highlight w:val="none"/>
                <w:lang w:val="zh-CN" w:eastAsia="zh-CN"/>
              </w:rPr>
              <w:t xml:space="preserve">苏锡通</w:t>
            </w:r>
            <w:r>
              <w:rPr>
                <w:rFonts w:hint="eastAsia" w:ascii="仿宋" w:hAnsi="仿宋" w:eastAsia="仿宋" w:cs="仿宋"/>
                <w:bCs/>
                <w:color w:val="auto"/>
                <w:sz w:val="24"/>
                <w:szCs w:val="24"/>
                <w:highlight w:val="none"/>
                <w:lang w:val="en-US" w:eastAsia="zh-CN"/>
              </w:rPr>
              <w:t xml:space="preserve">科技</w:t>
            </w:r>
            <w:r>
              <w:rPr>
                <w:rFonts w:hint="eastAsia" w:ascii="仿宋" w:hAnsi="仿宋" w:eastAsia="仿宋" w:cs="仿宋"/>
                <w:bCs/>
                <w:color w:val="auto"/>
                <w:sz w:val="24"/>
                <w:szCs w:val="24"/>
                <w:highlight w:val="none"/>
                <w:lang w:val="zh-CN" w:eastAsia="zh-CN"/>
              </w:rPr>
              <w:t xml:space="preserve">产业园规划融合等；</w:t>
            </w:r>
            <w:r>
              <w:rPr>
                <w:rFonts w:hint="eastAsia" w:ascii="仿宋" w:hAnsi="仿宋" w:eastAsia="仿宋" w:cs="仿宋"/>
                <w:bCs/>
                <w:color w:val="auto"/>
                <w:sz w:val="24"/>
                <w:szCs w:val="24"/>
                <w:highlight w:val="none"/>
                <w:lang w:val="zh-CN" w:eastAsia="zh-Hans"/>
              </w:rPr>
              <w:t xml:space="preserve">方</w:t>
            </w:r>
            <w:r>
              <w:rPr>
                <w:rFonts w:hint="eastAsia" w:ascii="仿宋" w:hAnsi="仿宋" w:eastAsia="仿宋" w:cs="仿宋"/>
                <w:color w:val="auto"/>
                <w:sz w:val="24"/>
                <w:szCs w:val="24"/>
                <w:highlight w:val="none"/>
                <w:lang w:eastAsia="zh-Hans"/>
              </w:rPr>
              <w:t xml:space="preserve">案符合</w:t>
            </w:r>
            <w:r>
              <w:rPr>
                <w:rFonts w:hint="eastAsia" w:ascii="仿宋" w:hAnsi="仿宋" w:eastAsia="仿宋" w:cs="仿宋"/>
                <w:color w:val="auto"/>
                <w:sz w:val="24"/>
                <w:szCs w:val="24"/>
                <w:highlight w:val="none"/>
                <w:lang w:val="en-US" w:eastAsia="zh-CN"/>
              </w:rPr>
              <w:t xml:space="preserve">本招标</w:t>
            </w:r>
            <w:r>
              <w:rPr>
                <w:rFonts w:hint="eastAsia" w:ascii="仿宋" w:hAnsi="仿宋" w:eastAsia="仿宋" w:cs="仿宋"/>
                <w:color w:val="auto"/>
                <w:sz w:val="24"/>
                <w:szCs w:val="24"/>
                <w:highlight w:val="none"/>
                <w:lang w:eastAsia="zh-Hans"/>
              </w:rPr>
              <w:t xml:space="preserve">文件要求的得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Hans"/>
              </w:rPr>
              <w:t xml:space="preserve">分，</w:t>
            </w:r>
            <w:r>
              <w:rPr>
                <w:rFonts w:hint="eastAsia" w:ascii="仿宋" w:hAnsi="仿宋" w:eastAsia="仿宋" w:cs="仿宋"/>
                <w:color w:val="auto"/>
                <w:sz w:val="24"/>
                <w:szCs w:val="24"/>
                <w:highlight w:val="none"/>
                <w:lang w:val="en-US" w:eastAsia="zh-CN"/>
              </w:rPr>
              <w:t xml:space="preserve">以上三项内容每有一项内容</w:t>
            </w:r>
            <w:r>
              <w:rPr>
                <w:rFonts w:hint="eastAsia" w:ascii="仿宋" w:hAnsi="仿宋" w:eastAsia="仿宋" w:cs="仿宋"/>
                <w:color w:val="auto"/>
                <w:sz w:val="24"/>
                <w:szCs w:val="24"/>
                <w:highlight w:val="none"/>
                <w:lang w:eastAsia="zh-Hans"/>
              </w:rPr>
              <w:t xml:space="preserve">缺项或漏项扣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Hans"/>
              </w:rPr>
              <w:t xml:space="preserve">分，每有一项内容有缺陷扣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Hans"/>
              </w:rPr>
              <w:t xml:space="preserve">分，扣完为止。</w:t>
            </w:r>
            <w:r/>
          </w:p>
          <w:p>
            <w:pPr>
              <w:numPr>
                <w:ilvl w:val="0"/>
                <w:numId w:val="0"/>
              </w:numPr>
              <w:ind w:left="0" w:firstLine="0"/>
              <w:keepLines w:val="0"/>
              <w:keepNext w:val="0"/>
              <w:pageBreakBefore w:val="0"/>
              <w:spacing w:line="3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 xml:space="preserve">注明</w:t>
            </w:r>
            <w:r>
              <w:rPr>
                <w:rFonts w:hint="eastAsia" w:ascii="仿宋" w:hAnsi="仿宋" w:eastAsia="仿宋" w:cs="仿宋"/>
                <w:b/>
                <w:bCs/>
                <w:color w:val="auto"/>
                <w:sz w:val="24"/>
                <w:szCs w:val="24"/>
                <w:highlight w:val="none"/>
                <w:lang w:eastAsia="zh-Hans"/>
              </w:rPr>
              <w:t xml:space="preserve">:</w:t>
            </w:r>
            <w:r>
              <w:rPr>
                <w:rFonts w:hint="eastAsia" w:ascii="仿宋" w:hAnsi="仿宋" w:eastAsia="仿宋" w:cs="仿宋"/>
                <w:b/>
                <w:bCs/>
                <w:color w:val="auto"/>
                <w:sz w:val="24"/>
                <w:szCs w:val="24"/>
                <w:highlight w:val="none"/>
                <w:lang w:val="en-US" w:eastAsia="zh-CN"/>
              </w:rPr>
              <w:t xml:space="preserve">以上条款的</w:t>
            </w:r>
            <w:r>
              <w:rPr>
                <w:rFonts w:hint="eastAsia" w:ascii="仿宋" w:hAnsi="仿宋" w:eastAsia="仿宋" w:cs="仿宋"/>
                <w:b/>
                <w:bCs/>
                <w:color w:val="auto"/>
                <w:sz w:val="24"/>
                <w:szCs w:val="24"/>
                <w:highlight w:val="none"/>
                <w:lang w:eastAsia="zh-Hans"/>
              </w:rPr>
              <w:t xml:space="preserve">内容缺陷是指非专门针对本项目或不适用项目特性的情形、内容不完整或缺少关键节点、套用其他项目方案、内容前后矛盾、涉及的规范及标准错误、不利于项目实施、不可能实现的情形等任意一种情形。</w:t>
            </w:r>
            <w:r/>
          </w:p>
        </w:tc>
      </w:tr>
      <w:tr>
        <w:trPr>
          <w:jc w:val="center"/>
          <w:trHeight w:val="330"/>
        </w:trPr>
        <w:tc>
          <w:tcPr>
            <w:tcW w:w="1154" w:type="dxa"/>
            <w:vAlign w:val="center"/>
            <w:textDirection w:val="lrTb"/>
            <w:noWrap w:val="false"/>
          </w:tcPr>
          <w:p>
            <w:pPr>
              <w:ind w:firstLine="480"/>
              <w:spacing w:line="36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6</w:t>
            </w:r>
            <w:r/>
          </w:p>
        </w:tc>
        <w:tc>
          <w:tcPr>
            <w:shd w:val="clear" w:color="auto" w:fill="auto"/>
            <w:tcBorders>
              <w:left w:val="none" w:color="000000" w:sz="4" w:space="0"/>
            </w:tcBorders>
            <w:tcW w:w="1378" w:type="dxa"/>
            <w:vAlign w:val="center"/>
            <w:textDirection w:val="lrTb"/>
            <w:noWrap w:val="false"/>
          </w:tcPr>
          <w:p>
            <w:pPr>
              <w:jc w:val="both"/>
              <w:keepLines w:val="0"/>
              <w:keepNext w:val="0"/>
              <w:pageBreakBefore w:val="0"/>
              <w:spacing w:line="36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本项目技术</w:t>
            </w:r>
            <w:r>
              <w:rPr>
                <w:rFonts w:hint="eastAsia" w:ascii="仿宋" w:hAnsi="仿宋" w:eastAsia="仿宋" w:cs="仿宋"/>
                <w:color w:val="auto"/>
                <w:sz w:val="24"/>
                <w:szCs w:val="24"/>
                <w:highlight w:val="none"/>
                <w:lang w:eastAsia="zh-Hans"/>
              </w:rPr>
              <w:t xml:space="preserve">方案</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分）</w:t>
            </w:r>
            <w:r/>
          </w:p>
        </w:tc>
        <w:tc>
          <w:tcPr>
            <w:gridSpan w:val="2"/>
            <w:shd w:val="clear" w:color="auto" w:fill="auto"/>
            <w:tcBorders>
              <w:left w:val="none" w:color="000000" w:sz="4" w:space="0"/>
            </w:tcBorders>
            <w:tcW w:w="6927" w:type="dxa"/>
            <w:vAlign w:val="center"/>
            <w:textDirection w:val="lrTb"/>
            <w:noWrap w:val="false"/>
          </w:tcPr>
          <w:p>
            <w:pPr>
              <w:keepLines w:val="0"/>
              <w:keepNext w:val="0"/>
              <w:pageBreakBefore w:val="0"/>
              <w:spacing w:line="360" w:lineRule="exact"/>
              <w:rPr>
                <w:rFonts w:hint="eastAsia" w:ascii="仿宋" w:hAnsi="仿宋" w:eastAsia="仿宋" w:cs="仿宋"/>
                <w:color w:val="auto"/>
                <w:sz w:val="24"/>
                <w:szCs w:val="24"/>
                <w:highlight w:val="none"/>
                <w:lang w:eastAsia="zh-Hans"/>
              </w:rPr>
            </w:pPr>
            <w:r>
              <w:rPr>
                <w:rFonts w:hint="eastAsia" w:ascii="仿宋" w:hAnsi="仿宋" w:eastAsia="仿宋" w:cs="仿宋"/>
                <w:color w:val="auto"/>
                <w:sz w:val="24"/>
                <w:szCs w:val="24"/>
                <w:highlight w:val="none"/>
                <w:lang w:val="en-US" w:eastAsia="zh-CN"/>
              </w:rPr>
              <w:t xml:space="preserve">本项目技术</w:t>
            </w:r>
            <w:r>
              <w:rPr>
                <w:rFonts w:hint="eastAsia" w:ascii="仿宋" w:hAnsi="仿宋" w:eastAsia="仿宋" w:cs="仿宋"/>
                <w:color w:val="auto"/>
                <w:sz w:val="24"/>
                <w:szCs w:val="24"/>
                <w:highlight w:val="none"/>
                <w:lang w:eastAsia="zh-Hans"/>
              </w:rPr>
              <w:t xml:space="preserve">方案内容包含但不限于：①环境影响分析、预测与评估技术路线；②不良环境影响减缓对策措施；③环境影响评价结论；④质量保障。</w:t>
            </w:r>
            <w:r>
              <w:rPr>
                <w:rFonts w:hint="eastAsia" w:ascii="仿宋" w:hAnsi="仿宋" w:eastAsia="仿宋" w:cs="仿宋"/>
                <w:color w:val="auto"/>
                <w:sz w:val="24"/>
                <w:szCs w:val="24"/>
                <w:highlight w:val="none"/>
                <w:lang w:val="en-US" w:eastAsia="zh-CN"/>
              </w:rPr>
              <w:t xml:space="preserve">以上</w:t>
            </w:r>
            <w:r>
              <w:rPr>
                <w:rFonts w:hint="eastAsia" w:ascii="仿宋" w:hAnsi="仿宋" w:eastAsia="仿宋" w:cs="仿宋"/>
                <w:color w:val="auto"/>
                <w:sz w:val="24"/>
                <w:szCs w:val="24"/>
                <w:highlight w:val="none"/>
                <w:lang w:eastAsia="zh-Hans"/>
              </w:rPr>
              <w:t xml:space="preserve">方案符合</w:t>
            </w:r>
            <w:r>
              <w:rPr>
                <w:rFonts w:hint="eastAsia" w:ascii="仿宋" w:hAnsi="仿宋" w:eastAsia="仿宋" w:cs="仿宋"/>
                <w:color w:val="auto"/>
                <w:sz w:val="24"/>
                <w:szCs w:val="24"/>
                <w:highlight w:val="none"/>
                <w:lang w:val="en-US" w:eastAsia="zh-CN"/>
              </w:rPr>
              <w:t xml:space="preserve">本招标</w:t>
            </w:r>
            <w:r>
              <w:rPr>
                <w:rFonts w:hint="eastAsia" w:ascii="仿宋" w:hAnsi="仿宋" w:eastAsia="仿宋" w:cs="仿宋"/>
                <w:color w:val="auto"/>
                <w:sz w:val="24"/>
                <w:szCs w:val="24"/>
                <w:highlight w:val="none"/>
                <w:lang w:eastAsia="zh-Hans"/>
              </w:rPr>
              <w:t xml:space="preserve">文件要求</w:t>
            </w:r>
            <w:r>
              <w:rPr>
                <w:rFonts w:hint="eastAsia" w:ascii="仿宋" w:hAnsi="仿宋" w:eastAsia="仿宋" w:cs="仿宋"/>
                <w:color w:val="auto"/>
                <w:sz w:val="24"/>
                <w:szCs w:val="24"/>
                <w:highlight w:val="none"/>
                <w:lang w:val="en-US" w:eastAsia="zh-CN"/>
              </w:rPr>
              <w:t xml:space="preserve">且具有可实施性</w:t>
            </w:r>
            <w:r>
              <w:rPr>
                <w:rFonts w:hint="eastAsia" w:ascii="仿宋" w:hAnsi="仿宋" w:eastAsia="仿宋" w:cs="仿宋"/>
                <w:color w:val="auto"/>
                <w:sz w:val="24"/>
                <w:szCs w:val="24"/>
                <w:highlight w:val="none"/>
                <w:lang w:eastAsia="zh-Hans"/>
              </w:rPr>
              <w:t xml:space="preserve">的得</w:t>
            </w: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lang w:eastAsia="zh-Hans"/>
              </w:rPr>
              <w:t xml:space="preserve">分，</w:t>
            </w:r>
            <w:r>
              <w:rPr>
                <w:rFonts w:hint="eastAsia" w:ascii="仿宋" w:hAnsi="仿宋" w:eastAsia="仿宋" w:cs="仿宋"/>
                <w:color w:val="auto"/>
                <w:sz w:val="24"/>
                <w:szCs w:val="24"/>
                <w:highlight w:val="none"/>
                <w:lang w:val="en-US" w:eastAsia="zh-CN"/>
              </w:rPr>
              <w:t xml:space="preserve">以上四项内容每有一项内容</w:t>
            </w:r>
            <w:r>
              <w:rPr>
                <w:rFonts w:hint="eastAsia" w:ascii="仿宋" w:hAnsi="仿宋" w:eastAsia="仿宋" w:cs="仿宋"/>
                <w:color w:val="auto"/>
                <w:sz w:val="24"/>
                <w:szCs w:val="24"/>
                <w:highlight w:val="none"/>
                <w:lang w:eastAsia="zh-Hans"/>
              </w:rPr>
              <w:t xml:space="preserve">缺项或漏项扣</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Hans"/>
              </w:rPr>
              <w:t xml:space="preserve">分，每有一项内容有缺陷扣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Hans"/>
              </w:rPr>
              <w:t xml:space="preserve">分，扣完为止。</w:t>
            </w:r>
            <w:r/>
          </w:p>
          <w:p>
            <w:pPr>
              <w:keepLines w:val="0"/>
              <w:keepNext w:val="0"/>
              <w:pageBreakBefore w:val="0"/>
              <w:spacing w:line="3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 xml:space="preserve">注明</w:t>
            </w:r>
            <w:r>
              <w:rPr>
                <w:rFonts w:hint="eastAsia" w:ascii="仿宋" w:hAnsi="仿宋" w:eastAsia="仿宋" w:cs="仿宋"/>
                <w:b/>
                <w:bCs/>
                <w:color w:val="auto"/>
                <w:sz w:val="24"/>
                <w:szCs w:val="24"/>
                <w:highlight w:val="none"/>
                <w:lang w:eastAsia="zh-Hans"/>
              </w:rPr>
              <w:t xml:space="preserve">:</w:t>
            </w:r>
            <w:r>
              <w:rPr>
                <w:rFonts w:hint="eastAsia" w:ascii="仿宋" w:hAnsi="仿宋" w:eastAsia="仿宋" w:cs="仿宋"/>
                <w:b/>
                <w:bCs/>
                <w:color w:val="auto"/>
                <w:sz w:val="24"/>
                <w:szCs w:val="24"/>
                <w:highlight w:val="none"/>
                <w:lang w:val="en-US" w:eastAsia="zh-CN"/>
              </w:rPr>
              <w:t xml:space="preserve">以上条款的</w:t>
            </w:r>
            <w:r>
              <w:rPr>
                <w:rFonts w:hint="eastAsia" w:ascii="仿宋" w:hAnsi="仿宋" w:eastAsia="仿宋" w:cs="仿宋"/>
                <w:b/>
                <w:bCs/>
                <w:color w:val="auto"/>
                <w:sz w:val="24"/>
                <w:szCs w:val="24"/>
                <w:highlight w:val="none"/>
                <w:lang w:eastAsia="zh-Hans"/>
              </w:rPr>
              <w:t xml:space="preserve">内容缺陷是指非专门针对本项目或不适用项目特性的情形、内容不完整或缺少关键节点、套用其他项目方案、内容前后矛盾、涉及的规范及标准错误、不利于项目实施、不可能实现的情形等任意一种情形。</w:t>
            </w:r>
            <w:r/>
          </w:p>
        </w:tc>
      </w:tr>
      <w:tr>
        <w:trPr>
          <w:jc w:val="center"/>
          <w:trHeight w:val="330"/>
        </w:trPr>
        <w:tc>
          <w:tcPr>
            <w:tcW w:w="1154" w:type="dxa"/>
            <w:vAlign w:val="center"/>
            <w:textDirection w:val="lrTb"/>
            <w:noWrap w:val="false"/>
          </w:tcPr>
          <w:p>
            <w:pPr>
              <w:ind w:firstLine="480"/>
              <w:spacing w:line="36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7</w:t>
            </w:r>
            <w:r/>
          </w:p>
        </w:tc>
        <w:tc>
          <w:tcPr>
            <w:shd w:val="clear" w:color="auto" w:fill="auto"/>
            <w:tcBorders>
              <w:left w:val="none" w:color="000000" w:sz="4" w:space="0"/>
            </w:tcBorders>
            <w:tcW w:w="1378" w:type="dxa"/>
            <w:vAlign w:val="center"/>
            <w:textDirection w:val="lrTb"/>
            <w:noWrap w:val="false"/>
          </w:tcPr>
          <w:p>
            <w:pPr>
              <w:contextualSpacing/>
              <w:keepLines w:val="0"/>
              <w:keepNext w:val="0"/>
              <w:pageBreakBefore w:val="0"/>
              <w:spacing w:line="3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本项目的各阶段的</w:t>
            </w:r>
            <w:r>
              <w:rPr>
                <w:rFonts w:hint="eastAsia" w:ascii="仿宋" w:hAnsi="仿宋" w:eastAsia="仿宋" w:cs="仿宋"/>
                <w:color w:val="auto"/>
                <w:sz w:val="24"/>
                <w:szCs w:val="24"/>
                <w:highlight w:val="none"/>
                <w:lang w:eastAsia="zh-Hans"/>
              </w:rPr>
              <w:t xml:space="preserve">工作计划安排</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w:t>
            </w:r>
            <w:r/>
          </w:p>
        </w:tc>
        <w:tc>
          <w:tcPr>
            <w:gridSpan w:val="2"/>
            <w:shd w:val="clear" w:color="auto" w:fill="auto"/>
            <w:tcBorders>
              <w:left w:val="none" w:color="000000" w:sz="4" w:space="0"/>
            </w:tcBorders>
            <w:tcW w:w="6927" w:type="dxa"/>
            <w:vAlign w:val="center"/>
            <w:textDirection w:val="lrTb"/>
            <w:noWrap w:val="false"/>
          </w:tcPr>
          <w:p>
            <w:pPr>
              <w:keepLines w:val="0"/>
              <w:keepNext w:val="0"/>
              <w:pageBreakBefore w:val="0"/>
              <w:spacing w:line="360" w:lineRule="exact"/>
              <w:rPr>
                <w:rFonts w:hint="eastAsia" w:ascii="仿宋" w:hAnsi="仿宋" w:eastAsia="仿宋" w:cs="仿宋"/>
                <w:color w:val="auto"/>
                <w:sz w:val="24"/>
                <w:szCs w:val="24"/>
                <w:highlight w:val="none"/>
                <w:lang w:eastAsia="zh-Hans"/>
              </w:rPr>
            </w:pPr>
            <w:r>
              <w:rPr>
                <w:rFonts w:hint="eastAsia" w:ascii="仿宋" w:hAnsi="仿宋" w:eastAsia="仿宋" w:cs="仿宋"/>
                <w:color w:val="auto"/>
                <w:sz w:val="24"/>
                <w:szCs w:val="24"/>
                <w:highlight w:val="none"/>
                <w:lang w:val="en-US" w:eastAsia="zh-CN"/>
              </w:rPr>
              <w:t xml:space="preserve">本项目各阶段的</w:t>
            </w:r>
            <w:r>
              <w:rPr>
                <w:rFonts w:hint="eastAsia" w:ascii="仿宋" w:hAnsi="仿宋" w:eastAsia="仿宋" w:cs="仿宋"/>
                <w:color w:val="auto"/>
                <w:sz w:val="24"/>
                <w:szCs w:val="24"/>
                <w:highlight w:val="none"/>
                <w:lang w:eastAsia="zh-Hans"/>
              </w:rPr>
              <w:t xml:space="preserve">工作计划安排，内容包含但不限于：①</w:t>
            </w:r>
            <w:r>
              <w:rPr>
                <w:rFonts w:hint="eastAsia" w:ascii="仿宋" w:hAnsi="仿宋" w:eastAsia="仿宋" w:cs="仿宋"/>
                <w:color w:val="auto"/>
                <w:sz w:val="24"/>
                <w:szCs w:val="24"/>
                <w:highlight w:val="none"/>
                <w:lang w:val="en-US" w:eastAsia="zh-CN"/>
              </w:rPr>
              <w:t xml:space="preserve">各阶段</w:t>
            </w:r>
            <w:r>
              <w:rPr>
                <w:rFonts w:hint="eastAsia" w:ascii="仿宋" w:hAnsi="仿宋" w:eastAsia="仿宋" w:cs="仿宋"/>
                <w:color w:val="auto"/>
                <w:sz w:val="24"/>
                <w:szCs w:val="24"/>
                <w:highlight w:val="none"/>
                <w:lang w:eastAsia="zh-Hans"/>
              </w:rPr>
              <w:t xml:space="preserve">工作进度计划；②组织措施；③管理措施。方案符合采购文件要求的得</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lang w:eastAsia="zh-Hans"/>
              </w:rPr>
              <w:t xml:space="preserve">分，每有一项缺项或漏项扣</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Hans"/>
              </w:rPr>
              <w:t xml:space="preserve">分，每有一项内容有缺陷扣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Hans"/>
              </w:rPr>
              <w:t xml:space="preserve">分，扣完为止。</w:t>
            </w:r>
            <w:r/>
          </w:p>
          <w:p>
            <w:pPr>
              <w:keepLines w:val="0"/>
              <w:keepNext w:val="0"/>
              <w:pageBreakBefore w:val="0"/>
              <w:spacing w:line="3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 xml:space="preserve">注明</w:t>
            </w:r>
            <w:r>
              <w:rPr>
                <w:rFonts w:hint="eastAsia" w:ascii="仿宋" w:hAnsi="仿宋" w:eastAsia="仿宋" w:cs="仿宋"/>
                <w:b/>
                <w:bCs/>
                <w:color w:val="auto"/>
                <w:sz w:val="24"/>
                <w:szCs w:val="24"/>
                <w:highlight w:val="none"/>
                <w:lang w:eastAsia="zh-Hans"/>
              </w:rPr>
              <w:t xml:space="preserve">:</w:t>
            </w:r>
            <w:r>
              <w:rPr>
                <w:rFonts w:hint="eastAsia" w:ascii="仿宋" w:hAnsi="仿宋" w:eastAsia="仿宋" w:cs="仿宋"/>
                <w:b/>
                <w:bCs/>
                <w:color w:val="auto"/>
                <w:sz w:val="24"/>
                <w:szCs w:val="24"/>
                <w:highlight w:val="none"/>
                <w:lang w:val="en-US" w:eastAsia="zh-CN"/>
              </w:rPr>
              <w:t xml:space="preserve">以上条款的</w:t>
            </w:r>
            <w:r>
              <w:rPr>
                <w:rFonts w:hint="eastAsia" w:ascii="仿宋" w:hAnsi="仿宋" w:eastAsia="仿宋" w:cs="仿宋"/>
                <w:b/>
                <w:bCs/>
                <w:color w:val="auto"/>
                <w:sz w:val="24"/>
                <w:szCs w:val="24"/>
                <w:highlight w:val="none"/>
                <w:lang w:eastAsia="zh-Hans"/>
              </w:rPr>
              <w:t xml:space="preserve">内容缺陷是指非专门针对本项目或不适用项目特性的情形、内容不完整或缺少关键节点、套用其他项目方案、内容前后矛盾、涉及的规范及标准错误、不利于项目实施、不可能实现的情形等任意一种情形。</w:t>
            </w:r>
            <w:r/>
          </w:p>
        </w:tc>
      </w:tr>
      <w:tr>
        <w:trPr>
          <w:jc w:val="center"/>
          <w:trHeight w:val="561"/>
        </w:trPr>
        <w:tc>
          <w:tcPr>
            <w:tcBorders>
              <w:top w:val="none" w:color="000000" w:sz="4" w:space="0"/>
            </w:tcBorders>
            <w:tcW w:w="1154" w:type="dxa"/>
            <w:vAlign w:val="center"/>
            <w:textDirection w:val="lrTb"/>
            <w:noWrap w:val="false"/>
          </w:tcPr>
          <w:p>
            <w:pPr>
              <w:ind w:firstLine="480"/>
              <w:spacing w:line="3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8</w:t>
            </w:r>
            <w:r/>
          </w:p>
        </w:tc>
        <w:tc>
          <w:tcPr>
            <w:shd w:val="clear" w:color="auto" w:fill="auto"/>
            <w:tcBorders>
              <w:left w:val="none" w:color="000000" w:sz="4" w:space="0"/>
            </w:tcBorders>
            <w:tcW w:w="1378" w:type="dxa"/>
            <w:vAlign w:val="center"/>
            <w:textDirection w:val="lrTb"/>
            <w:noWrap w:val="false"/>
          </w:tcPr>
          <w:p>
            <w:pPr>
              <w:contextualSpacing/>
              <w:keepLines w:val="0"/>
              <w:keepNext w:val="0"/>
              <w:pageBreakBefore w:val="0"/>
              <w:spacing w:line="3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本项目的后续服务（1.5分）</w:t>
            </w:r>
            <w:r/>
          </w:p>
        </w:tc>
        <w:tc>
          <w:tcPr>
            <w:gridSpan w:val="2"/>
            <w:shd w:val="clear" w:color="auto" w:fill="auto"/>
            <w:tcBorders>
              <w:left w:val="none" w:color="000000" w:sz="4" w:space="0"/>
            </w:tcBorders>
            <w:tcW w:w="6927" w:type="dxa"/>
            <w:vAlign w:val="center"/>
            <w:textDirection w:val="lrTb"/>
            <w:noWrap w:val="false"/>
          </w:tcPr>
          <w:p>
            <w:pPr>
              <w:numPr>
                <w:ilvl w:val="0"/>
                <w:numId w:val="0"/>
              </w:numPr>
              <w:jc w:val="left"/>
              <w:keepLines w:val="0"/>
              <w:keepNext w:val="0"/>
              <w:pageBreakBefore w:val="0"/>
              <w:spacing w:line="360" w:lineRule="exact"/>
              <w:rPr>
                <w:rFonts w:hint="eastAsia" w:ascii="仿宋" w:hAnsi="仿宋" w:eastAsia="仿宋" w:cs="仿宋"/>
                <w:color w:val="auto"/>
                <w:sz w:val="24"/>
                <w:szCs w:val="24"/>
                <w:highlight w:val="none"/>
                <w:lang w:eastAsia="zh-Hans"/>
              </w:rPr>
            </w:pPr>
            <w:r>
              <w:rPr>
                <w:rFonts w:hint="eastAsia" w:ascii="仿宋" w:hAnsi="仿宋" w:eastAsia="仿宋" w:cs="仿宋"/>
                <w:color w:val="auto"/>
                <w:sz w:val="24"/>
                <w:szCs w:val="24"/>
                <w:highlight w:val="none"/>
                <w:lang w:val="en-US" w:eastAsia="zh-CN"/>
              </w:rPr>
              <w:t xml:space="preserve">后续</w:t>
            </w:r>
            <w:r>
              <w:rPr>
                <w:rFonts w:hint="eastAsia" w:ascii="仿宋" w:hAnsi="仿宋" w:eastAsia="仿宋" w:cs="仿宋"/>
                <w:color w:val="auto"/>
                <w:sz w:val="24"/>
                <w:szCs w:val="24"/>
                <w:highlight w:val="none"/>
                <w:lang w:eastAsia="zh-Hans"/>
              </w:rPr>
              <w:t xml:space="preserve">服务方案进行综合评审，内容包含但不限于：①后续服务质量保障措施；②后续服务人员配备</w:t>
            </w:r>
            <w:r>
              <w:rPr>
                <w:rFonts w:hint="eastAsia" w:ascii="仿宋" w:hAnsi="仿宋" w:eastAsia="仿宋" w:cs="仿宋"/>
                <w:color w:val="auto"/>
                <w:sz w:val="24"/>
                <w:szCs w:val="24"/>
                <w:highlight w:val="none"/>
              </w:rPr>
              <w:t xml:space="preserve">及响应时间</w:t>
            </w:r>
            <w:r>
              <w:rPr>
                <w:rFonts w:hint="eastAsia" w:ascii="仿宋" w:hAnsi="仿宋" w:eastAsia="仿宋" w:cs="仿宋"/>
                <w:color w:val="auto"/>
                <w:sz w:val="24"/>
                <w:szCs w:val="24"/>
                <w:highlight w:val="none"/>
                <w:lang w:eastAsia="zh-Hans"/>
              </w:rPr>
              <w:t xml:space="preserve">；③</w:t>
            </w:r>
            <w:r>
              <w:rPr>
                <w:rFonts w:hint="eastAsia" w:ascii="仿宋" w:hAnsi="仿宋" w:eastAsia="仿宋" w:cs="仿宋"/>
                <w:color w:val="auto"/>
                <w:sz w:val="24"/>
                <w:szCs w:val="24"/>
                <w:highlight w:val="none"/>
                <w:lang w:val="en-US" w:eastAsia="zh-CN"/>
              </w:rPr>
              <w:t xml:space="preserve">后续</w:t>
            </w:r>
            <w:r>
              <w:rPr>
                <w:rFonts w:hint="eastAsia" w:ascii="仿宋" w:hAnsi="仿宋" w:eastAsia="仿宋" w:cs="仿宋"/>
                <w:color w:val="auto"/>
                <w:sz w:val="24"/>
                <w:szCs w:val="24"/>
                <w:highlight w:val="none"/>
                <w:lang w:eastAsia="zh-Hans"/>
              </w:rPr>
              <w:t xml:space="preserve">工作协调及安排。方案符合采购文件要求的得</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lang w:eastAsia="zh-Hans"/>
              </w:rPr>
              <w:t xml:space="preserve">分，</w:t>
            </w:r>
            <w:r>
              <w:rPr>
                <w:rFonts w:hint="eastAsia" w:ascii="仿宋" w:hAnsi="仿宋" w:eastAsia="仿宋" w:cs="仿宋"/>
                <w:color w:val="auto"/>
                <w:sz w:val="24"/>
                <w:szCs w:val="24"/>
                <w:highlight w:val="none"/>
                <w:lang w:val="en-US" w:eastAsia="zh-CN"/>
              </w:rPr>
              <w:t xml:space="preserve">以上共三项</w:t>
            </w:r>
            <w:r>
              <w:rPr>
                <w:rFonts w:hint="eastAsia" w:ascii="仿宋" w:hAnsi="仿宋" w:eastAsia="仿宋" w:cs="仿宋"/>
                <w:color w:val="auto"/>
                <w:sz w:val="24"/>
                <w:szCs w:val="24"/>
                <w:highlight w:val="none"/>
                <w:lang w:eastAsia="zh-Hans"/>
              </w:rPr>
              <w:t xml:space="preserve">每有一项缺项或漏项扣</w:t>
            </w:r>
            <w:r>
              <w:rPr>
                <w:rFonts w:hint="eastAsia" w:ascii="仿宋" w:hAnsi="仿宋" w:eastAsia="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lang w:eastAsia="zh-Hans"/>
              </w:rPr>
              <w:t xml:space="preserve">分，每有一项内容有缺陷扣</w:t>
            </w:r>
            <w:r>
              <w:rPr>
                <w:rFonts w:hint="eastAsia" w:ascii="仿宋" w:hAnsi="仿宋" w:eastAsia="仿宋" w:cs="仿宋"/>
                <w:color w:val="auto"/>
                <w:sz w:val="24"/>
                <w:szCs w:val="24"/>
                <w:highlight w:val="none"/>
                <w:lang w:val="en-US" w:eastAsia="zh-CN"/>
              </w:rPr>
              <w:t xml:space="preserve">0.2</w:t>
            </w:r>
            <w:r>
              <w:rPr>
                <w:rFonts w:hint="eastAsia" w:ascii="仿宋" w:hAnsi="仿宋" w:eastAsia="仿宋" w:cs="仿宋"/>
                <w:color w:val="auto"/>
                <w:sz w:val="24"/>
                <w:szCs w:val="24"/>
                <w:highlight w:val="none"/>
                <w:lang w:eastAsia="zh-Hans"/>
              </w:rPr>
              <w:t xml:space="preserve">分，扣完为止。 </w:t>
            </w:r>
            <w:r/>
          </w:p>
          <w:p>
            <w:pPr>
              <w:pStyle w:val="828"/>
              <w:ind w:left="0" w:firstLine="0"/>
              <w:keepLines w:val="0"/>
              <w:keepNext w:val="0"/>
              <w:pageBreakBefore w:val="0"/>
              <w:spacing w:line="3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eastAsia="zh-Hans"/>
              </w:rPr>
              <w:t xml:space="preserve">注:</w:t>
            </w:r>
            <w:r>
              <w:rPr>
                <w:rFonts w:hint="eastAsia" w:ascii="仿宋" w:hAnsi="仿宋" w:eastAsia="仿宋" w:cs="仿宋"/>
                <w:b/>
                <w:bCs/>
                <w:color w:val="auto"/>
                <w:sz w:val="24"/>
                <w:szCs w:val="24"/>
                <w:highlight w:val="none"/>
                <w:lang w:val="en-US" w:eastAsia="zh-CN"/>
              </w:rPr>
              <w:t xml:space="preserve">以上</w:t>
            </w:r>
            <w:r>
              <w:rPr>
                <w:rFonts w:hint="eastAsia" w:ascii="仿宋" w:hAnsi="仿宋" w:eastAsia="仿宋" w:cs="仿宋"/>
                <w:b/>
                <w:bCs/>
                <w:color w:val="auto"/>
                <w:sz w:val="24"/>
                <w:szCs w:val="24"/>
                <w:highlight w:val="none"/>
                <w:lang w:eastAsia="zh-Hans"/>
              </w:rPr>
              <w:t xml:space="preserve">内容缺陷是指非专门针对本项目或不适用项目特性的情形、内容不完整或缺少关键节点、套用其他项目方案、内容前后矛盾、涉及的规范及标准错误、不利于项目实施、不可能实现的情形等任意一种情形。</w:t>
            </w:r>
            <w:r/>
          </w:p>
        </w:tc>
      </w:tr>
      <w:tr>
        <w:trPr>
          <w:jc w:val="center"/>
          <w:trHeight w:val="613"/>
        </w:trPr>
        <w:tc>
          <w:tcPr>
            <w:tcW w:w="1154" w:type="dxa"/>
            <w:vAlign w:val="center"/>
            <w:textDirection w:val="lrTb"/>
            <w:noWrap w:val="false"/>
          </w:tcPr>
          <w:p>
            <w:pPr>
              <w:ind w:firstLine="480"/>
              <w:spacing w:line="36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9</w:t>
            </w:r>
            <w:r/>
          </w:p>
        </w:tc>
        <w:tc>
          <w:tcPr>
            <w:shd w:val="clear" w:color="auto" w:fill="auto"/>
            <w:tcBorders>
              <w:left w:val="none" w:color="000000" w:sz="4" w:space="0"/>
            </w:tcBorders>
            <w:tcW w:w="1378" w:type="dxa"/>
            <w:vAlign w:val="center"/>
            <w:textDirection w:val="lrTb"/>
            <w:noWrap w:val="false"/>
          </w:tcPr>
          <w:p>
            <w:pPr>
              <w:jc w:val="left"/>
              <w:spacing w:line="36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本项目安全责任制度和保密措施方案（</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lang w:val="zh-CN"/>
              </w:rPr>
              <w:t xml:space="preserve">分）</w:t>
            </w:r>
            <w:r/>
          </w:p>
        </w:tc>
        <w:tc>
          <w:tcPr>
            <w:gridSpan w:val="2"/>
            <w:shd w:val="clear" w:color="auto" w:fill="auto"/>
            <w:tcBorders>
              <w:left w:val="none" w:color="000000" w:sz="4" w:space="0"/>
            </w:tcBorders>
            <w:tcW w:w="6927" w:type="dxa"/>
            <w:textDirection w:val="lrTb"/>
            <w:noWrap w:val="false"/>
          </w:tcPr>
          <w:p>
            <w:pPr>
              <w:jc w:val="left"/>
              <w:spacing w:line="36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从投标单位提供的安全责任制度和数据资料保密制度方面进行评定，</w:t>
            </w:r>
            <w:r/>
          </w:p>
          <w:p>
            <w:pPr>
              <w:jc w:val="left"/>
              <w:spacing w:line="36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安全责任制度及数据资料保密制度明确、完善性强的得</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lang w:val="zh-CN"/>
              </w:rPr>
              <w:t xml:space="preserve">分；安全责任制度及数据资料保密制度明确、完善性较强的得</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lang w:val="zh-CN"/>
              </w:rPr>
              <w:t xml:space="preserve">分；安全责任制度及数据资料保密制度明确、完善性一般的得</w:t>
            </w:r>
            <w:r>
              <w:rPr>
                <w:rFonts w:hint="eastAsia" w:ascii="仿宋" w:hAnsi="仿宋" w:eastAsia="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lang w:val="zh-CN"/>
              </w:rPr>
              <w:t xml:space="preserve">分；未提供或与本项目需求无关的不得分。</w:t>
            </w:r>
            <w:r/>
          </w:p>
        </w:tc>
      </w:tr>
      <w:tr>
        <w:trPr>
          <w:jc w:val="center"/>
          <w:trHeight w:val="377"/>
        </w:trPr>
        <w:tc>
          <w:tcPr>
            <w:gridSpan w:val="4"/>
            <w:tcW w:w="9459" w:type="dxa"/>
            <w:vAlign w:val="center"/>
            <w:textDirection w:val="lrTb"/>
            <w:noWrap w:val="false"/>
          </w:tcPr>
          <w:p>
            <w:pPr>
              <w:pStyle w:val="790"/>
              <w:numPr>
                <w:ilvl w:val="255"/>
                <w:numId w:val="0"/>
              </w:numPr>
              <w:spacing w:line="3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注：①上述商务技术标的投标单位响应所有佐证材料需提供原件扫描件并加盖单位公章，无原件扫描件或未响应上述要求未提供完整或不清晰的均不予得分；②</w:t>
            </w:r>
            <w:r>
              <w:rPr>
                <w:rFonts w:hint="eastAsia" w:ascii="仿宋" w:hAnsi="仿宋" w:eastAsia="仿宋" w:cs="仿宋"/>
                <w:b/>
                <w:bCs/>
                <w:color w:val="auto"/>
                <w:sz w:val="24"/>
                <w:szCs w:val="24"/>
                <w:highlight w:val="none"/>
                <w:lang w:val="en-US" w:eastAsia="zh-CN"/>
              </w:rPr>
              <w:t xml:space="preserve">以上商务技术标投标单位投标时提供的所有佐证材料，若中标后，在成交结果公告发布之日起3个工作日内提供以上所有佐证材料原件供采购人核实，若未在规定时间内提供或核查后发现虚假或不符合的或提供材料不齐全的，采购人将取消其中标权利，同时依照相关法律法规规定处理。</w:t>
            </w:r>
            <w:r/>
          </w:p>
        </w:tc>
      </w:tr>
      <w:tr>
        <w:trPr>
          <w:jc w:val="center"/>
          <w:trHeight w:val="377"/>
        </w:trPr>
        <w:tc>
          <w:tcPr>
            <w:shd w:val="clear" w:color="auto" w:fill="auto"/>
            <w:tcW w:w="1154" w:type="dxa"/>
            <w:vAlign w:val="center"/>
            <w:textDirection w:val="lrTb"/>
            <w:noWrap w:val="false"/>
          </w:tcPr>
          <w:p>
            <w:pPr>
              <w:spacing w:line="3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报价标</w:t>
            </w:r>
            <w:r/>
          </w:p>
          <w:p>
            <w:pPr>
              <w:spacing w:line="3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20</w:t>
            </w:r>
            <w:r>
              <w:rPr>
                <w:rFonts w:hint="eastAsia" w:ascii="仿宋" w:hAnsi="仿宋" w:eastAsia="仿宋" w:cs="仿宋"/>
                <w:bCs/>
                <w:color w:val="auto"/>
                <w:sz w:val="24"/>
                <w:szCs w:val="24"/>
                <w:highlight w:val="none"/>
              </w:rPr>
              <w:t xml:space="preserve">分</w:t>
            </w:r>
            <w:r/>
          </w:p>
        </w:tc>
        <w:tc>
          <w:tcPr>
            <w:shd w:val="clear" w:color="auto" w:fill="auto"/>
            <w:tcBorders>
              <w:left w:val="none" w:color="000000" w:sz="4" w:space="0"/>
            </w:tcBorders>
            <w:tcW w:w="1378" w:type="dxa"/>
            <w:vAlign w:val="center"/>
            <w:textDirection w:val="lrTb"/>
            <w:noWrap w:val="false"/>
          </w:tcPr>
          <w:p>
            <w:pPr>
              <w:jc w:val="center"/>
              <w:spacing w:line="3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投标</w:t>
            </w:r>
            <w:r>
              <w:rPr>
                <w:rFonts w:hint="eastAsia" w:ascii="仿宋" w:hAnsi="仿宋" w:eastAsia="仿宋" w:cs="仿宋"/>
                <w:bCs/>
                <w:color w:val="auto"/>
                <w:sz w:val="24"/>
                <w:szCs w:val="24"/>
                <w:highlight w:val="none"/>
              </w:rPr>
              <w:t xml:space="preserve">基准价</w:t>
            </w:r>
            <w:r/>
          </w:p>
        </w:tc>
        <w:tc>
          <w:tcPr>
            <w:gridSpan w:val="2"/>
            <w:shd w:val="clear" w:color="auto" w:fill="auto"/>
            <w:tcBorders>
              <w:left w:val="none" w:color="000000" w:sz="4" w:space="0"/>
            </w:tcBorders>
            <w:tcW w:w="6927" w:type="dxa"/>
            <w:vAlign w:val="center"/>
            <w:textDirection w:val="lrTb"/>
            <w:noWrap w:val="false"/>
          </w:tcPr>
          <w:p>
            <w:pPr>
              <w:ind w:firstLine="480"/>
              <w:spacing w:line="360" w:lineRule="exact"/>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满足</w:t>
            </w:r>
            <w:r>
              <w:rPr>
                <w:rFonts w:hint="eastAsia" w:ascii="仿宋" w:hAnsi="仿宋" w:eastAsia="仿宋" w:cs="仿宋"/>
                <w:bCs/>
                <w:color w:val="auto"/>
                <w:sz w:val="24"/>
                <w:szCs w:val="24"/>
                <w:highlight w:val="none"/>
                <w:lang w:val="en-US" w:eastAsia="zh-CN"/>
              </w:rPr>
              <w:t xml:space="preserve">招标</w:t>
            </w:r>
            <w:r>
              <w:rPr>
                <w:rFonts w:hint="eastAsia" w:ascii="仿宋" w:hAnsi="仿宋" w:eastAsia="仿宋" w:cs="仿宋"/>
                <w:bCs/>
                <w:color w:val="auto"/>
                <w:sz w:val="24"/>
                <w:szCs w:val="24"/>
                <w:highlight w:val="none"/>
              </w:rPr>
              <w:t xml:space="preserve">文件要求且响应价格最低的响应报价为评标基准价，其价格分为满分（</w:t>
            </w:r>
            <w:r>
              <w:rPr>
                <w:rFonts w:hint="eastAsia" w:ascii="仿宋" w:hAnsi="仿宋" w:eastAsia="仿宋" w:cs="仿宋"/>
                <w:bCs/>
                <w:color w:val="auto"/>
                <w:sz w:val="24"/>
                <w:szCs w:val="24"/>
                <w:highlight w:val="none"/>
                <w:lang w:val="en-US" w:eastAsia="zh-CN"/>
              </w:rPr>
              <w:t xml:space="preserve">20</w:t>
            </w:r>
            <w:r>
              <w:rPr>
                <w:rFonts w:hint="eastAsia" w:ascii="仿宋" w:hAnsi="仿宋" w:eastAsia="仿宋" w:cs="仿宋"/>
                <w:bCs/>
                <w:color w:val="auto"/>
                <w:sz w:val="24"/>
                <w:szCs w:val="24"/>
                <w:highlight w:val="none"/>
              </w:rPr>
              <w:t xml:space="preserve">分），其他投标单位的价格分统一按照下列公式计算：</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投标报价小数点后保留后两位</w:t>
            </w:r>
            <w:r>
              <w:rPr>
                <w:rFonts w:hint="eastAsia" w:ascii="仿宋" w:hAnsi="仿宋" w:eastAsia="仿宋" w:cs="仿宋"/>
                <w:bCs/>
                <w:color w:val="auto"/>
                <w:sz w:val="24"/>
                <w:szCs w:val="24"/>
                <w:highlight w:val="none"/>
                <w:lang w:eastAsia="zh-CN"/>
              </w:rPr>
              <w:t xml:space="preserve">）</w:t>
            </w:r>
            <w:r/>
          </w:p>
          <w:p>
            <w:pPr>
              <w:spacing w:line="360" w:lineRule="exact"/>
              <w:rPr>
                <w:rFonts w:hint="eastAsia"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本项目评标基准价为：1-最</w:t>
            </w:r>
            <w:r>
              <w:rPr>
                <w:rFonts w:hint="eastAsia" w:ascii="仿宋" w:hAnsi="仿宋" w:eastAsia="仿宋" w:cs="仿宋"/>
                <w:bCs/>
                <w:color w:val="auto"/>
                <w:sz w:val="24"/>
                <w:szCs w:val="24"/>
                <w:highlight w:val="none"/>
                <w:lang w:val="en-US" w:eastAsia="zh-CN"/>
              </w:rPr>
              <w:t xml:space="preserve">高</w:t>
            </w:r>
            <w:r>
              <w:rPr>
                <w:rFonts w:hint="eastAsia" w:ascii="仿宋" w:hAnsi="仿宋" w:eastAsia="仿宋" w:cs="仿宋"/>
                <w:bCs/>
                <w:color w:val="auto"/>
                <w:sz w:val="24"/>
                <w:szCs w:val="24"/>
                <w:highlight w:val="none"/>
                <w:lang w:val="en-US"/>
              </w:rPr>
              <w:t xml:space="preserve">优惠率</w:t>
            </w:r>
            <w:r/>
          </w:p>
          <w:p>
            <w:pPr>
              <w:spacing w:line="360" w:lineRule="exact"/>
              <w:rPr>
                <w:rFonts w:hint="eastAsia"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本项目其他供应商的投标报价为：1-其优惠率报价 </w:t>
            </w:r>
            <w:r/>
          </w:p>
          <w:p>
            <w:pPr>
              <w:spacing w:line="3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投标</w:t>
            </w:r>
            <w:r>
              <w:rPr>
                <w:rFonts w:hint="eastAsia" w:ascii="仿宋" w:hAnsi="仿宋" w:eastAsia="仿宋" w:cs="仿宋"/>
                <w:bCs/>
                <w:color w:val="auto"/>
                <w:sz w:val="24"/>
                <w:szCs w:val="24"/>
                <w:highlight w:val="none"/>
              </w:rPr>
              <w:t xml:space="preserve">报价得分=</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响应评标基准价</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1-最高优惠率报价</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／响应报价</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rPr>
              <w:t xml:space="preserve">1-其优惠率报价</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0%*100</w:t>
            </w:r>
            <w:r/>
          </w:p>
          <w:p>
            <w:pPr>
              <w:spacing w:line="360" w:lineRule="exact"/>
              <w:rPr>
                <w:rFonts w:hint="eastAsia"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eastAsia="zh-CN"/>
              </w:rPr>
              <w:t xml:space="preserve">例如：（1）</w:t>
            </w:r>
            <w:r>
              <w:rPr>
                <w:rFonts w:hint="eastAsia" w:ascii="仿宋" w:hAnsi="仿宋" w:eastAsia="仿宋" w:cs="仿宋"/>
                <w:bCs/>
                <w:color w:val="auto"/>
                <w:sz w:val="24"/>
                <w:szCs w:val="24"/>
                <w:highlight w:val="none"/>
              </w:rPr>
              <w:t xml:space="preserve">供应商A、B、C的优惠率</w:t>
            </w:r>
            <w:r>
              <w:rPr>
                <w:rFonts w:hint="eastAsia" w:ascii="仿宋" w:hAnsi="仿宋" w:eastAsia="仿宋" w:cs="仿宋"/>
                <w:bCs/>
                <w:color w:val="auto"/>
                <w:sz w:val="24"/>
                <w:szCs w:val="24"/>
                <w:highlight w:val="none"/>
                <w:lang w:val="en-US" w:eastAsia="zh-CN"/>
              </w:rPr>
              <w:t xml:space="preserve">报价</w:t>
            </w:r>
            <w:r>
              <w:rPr>
                <w:rFonts w:hint="eastAsia" w:ascii="仿宋" w:hAnsi="仿宋" w:eastAsia="仿宋" w:cs="仿宋"/>
                <w:bCs/>
                <w:color w:val="auto"/>
                <w:sz w:val="24"/>
                <w:szCs w:val="24"/>
                <w:highlight w:val="none"/>
              </w:rPr>
              <w:t xml:space="preserve">分别为</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0</w:t>
            </w:r>
            <w:r>
              <w:rPr>
                <w:rFonts w:hint="eastAsia" w:ascii="仿宋" w:hAnsi="仿宋" w:eastAsia="仿宋" w:cs="仿宋"/>
                <w:bCs/>
                <w:color w:val="auto"/>
                <w:sz w:val="24"/>
                <w:szCs w:val="24"/>
                <w:highlight w:val="none"/>
                <w:lang w:val="en-US" w:eastAsia="zh-CN"/>
              </w:rPr>
              <w:t xml:space="preserve">.00</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30.00</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60.00</w:t>
            </w:r>
            <w:r>
              <w:rPr>
                <w:rFonts w:hint="eastAsia" w:ascii="仿宋" w:hAnsi="仿宋" w:eastAsia="仿宋" w:cs="仿宋"/>
                <w:bCs/>
                <w:color w:val="auto"/>
                <w:sz w:val="24"/>
                <w:szCs w:val="24"/>
                <w:highlight w:val="none"/>
              </w:rPr>
              <w:t xml:space="preserve">%，供应商C所报</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0</w:t>
            </w:r>
            <w:r>
              <w:rPr>
                <w:rFonts w:hint="eastAsia" w:ascii="仿宋" w:hAnsi="仿宋" w:eastAsia="仿宋" w:cs="仿宋"/>
                <w:bCs/>
                <w:color w:val="auto"/>
                <w:sz w:val="24"/>
                <w:szCs w:val="24"/>
                <w:highlight w:val="none"/>
                <w:lang w:val="en-US" w:eastAsia="zh-CN"/>
              </w:rPr>
              <w:t xml:space="preserve">.00</w:t>
            </w:r>
            <w:r>
              <w:rPr>
                <w:rFonts w:hint="eastAsia" w:ascii="仿宋" w:hAnsi="仿宋" w:eastAsia="仿宋" w:cs="仿宋"/>
                <w:bCs/>
                <w:color w:val="auto"/>
                <w:sz w:val="24"/>
                <w:szCs w:val="24"/>
                <w:highlight w:val="none"/>
              </w:rPr>
              <w:t xml:space="preserve">%的（1-</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0</w:t>
            </w:r>
            <w:r>
              <w:rPr>
                <w:rFonts w:hint="eastAsia" w:ascii="仿宋" w:hAnsi="仿宋" w:eastAsia="仿宋" w:cs="仿宋"/>
                <w:bCs/>
                <w:color w:val="auto"/>
                <w:sz w:val="24"/>
                <w:szCs w:val="24"/>
                <w:highlight w:val="none"/>
                <w:lang w:val="en-US" w:eastAsia="zh-CN"/>
              </w:rPr>
              <w:t xml:space="preserve">.00</w:t>
            </w:r>
            <w:r>
              <w:rPr>
                <w:rFonts w:hint="eastAsia" w:ascii="仿宋" w:hAnsi="仿宋" w:eastAsia="仿宋" w:cs="仿宋"/>
                <w:bCs/>
                <w:color w:val="auto"/>
                <w:sz w:val="24"/>
                <w:szCs w:val="24"/>
                <w:highlight w:val="none"/>
              </w:rPr>
              <w:t xml:space="preserve">%）为评标基准价，供应商C的报价得分为</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0</w:t>
            </w:r>
            <w:r>
              <w:rPr>
                <w:rFonts w:hint="eastAsia" w:ascii="仿宋" w:hAnsi="仿宋" w:eastAsia="仿宋" w:cs="仿宋"/>
                <w:bCs/>
                <w:color w:val="auto"/>
                <w:sz w:val="24"/>
                <w:szCs w:val="24"/>
                <w:highlight w:val="none"/>
                <w:lang w:val="en-US" w:eastAsia="zh-CN"/>
              </w:rPr>
              <w:t xml:space="preserve">.00</w:t>
            </w:r>
            <w:r>
              <w:rPr>
                <w:rFonts w:hint="eastAsia" w:ascii="仿宋" w:hAnsi="仿宋" w:eastAsia="仿宋" w:cs="仿宋"/>
                <w:bCs/>
                <w:color w:val="auto"/>
                <w:sz w:val="24"/>
                <w:szCs w:val="24"/>
                <w:highlight w:val="none"/>
              </w:rPr>
              <w:t xml:space="preserve">分，供应商B的报价得分为</w:t>
            </w:r>
            <w:r>
              <w:rPr>
                <w:rFonts w:hint="eastAsia" w:ascii="仿宋" w:hAnsi="仿宋" w:eastAsia="仿宋" w:cs="仿宋"/>
                <w:bCs/>
                <w:color w:val="auto"/>
                <w:sz w:val="24"/>
                <w:szCs w:val="24"/>
                <w:highlight w:val="none"/>
                <w:lang w:val="en-US" w:eastAsia="zh-CN"/>
              </w:rPr>
              <w:t xml:space="preserve">11.43</w:t>
            </w:r>
            <w:r>
              <w:rPr>
                <w:rFonts w:hint="eastAsia" w:ascii="仿宋" w:hAnsi="仿宋" w:eastAsia="仿宋" w:cs="仿宋"/>
                <w:bCs/>
                <w:color w:val="auto"/>
                <w:sz w:val="24"/>
                <w:szCs w:val="24"/>
                <w:highlight w:val="none"/>
              </w:rPr>
              <w:t xml:space="preserve">分；供应商A的报价得分为</w:t>
            </w:r>
            <w:r>
              <w:rPr>
                <w:rFonts w:hint="eastAsia" w:ascii="仿宋" w:hAnsi="仿宋" w:eastAsia="仿宋" w:cs="仿宋"/>
                <w:bCs/>
                <w:color w:val="auto"/>
                <w:sz w:val="24"/>
                <w:szCs w:val="24"/>
                <w:highlight w:val="none"/>
                <w:lang w:val="en-US" w:eastAsia="zh-CN"/>
              </w:rPr>
              <w:t xml:space="preserve">10.00</w:t>
            </w:r>
            <w:r>
              <w:rPr>
                <w:rFonts w:hint="eastAsia" w:ascii="仿宋" w:hAnsi="仿宋" w:eastAsia="仿宋" w:cs="仿宋"/>
                <w:bCs/>
                <w:color w:val="auto"/>
                <w:sz w:val="24"/>
                <w:szCs w:val="24"/>
                <w:highlight w:val="none"/>
              </w:rPr>
              <w:t xml:space="preserve">分。</w:t>
            </w:r>
            <w:r/>
          </w:p>
          <w:p>
            <w:pPr>
              <w:spacing w:line="360" w:lineRule="exact"/>
              <w:rPr>
                <w:rFonts w:hint="eastAsia" w:ascii="仿宋" w:hAnsi="仿宋" w:eastAsia="仿宋" w:cs="仿宋"/>
                <w:bCs/>
                <w:color w:val="auto"/>
                <w:sz w:val="24"/>
                <w:szCs w:val="24"/>
                <w:highlight w:val="none"/>
              </w:rPr>
            </w:pPr>
            <w:r>
              <w:rPr>
                <w:rFonts w:hint="eastAsia" w:ascii="仿宋" w:hAnsi="仿宋" w:eastAsia="仿宋" w:cs="仿宋"/>
                <w:b/>
                <w:bCs w:val="0"/>
                <w:color w:val="auto"/>
                <w:sz w:val="24"/>
                <w:szCs w:val="24"/>
                <w:highlight w:val="none"/>
                <w:lang w:val="en-US" w:eastAsia="zh-CN"/>
              </w:rPr>
              <w:t xml:space="preserve">（2）例如：投标单位报价优惠率30% ，该投标单位优惠率报价为无效报价（经评标小组核实后作无效响应处理）。</w:t>
            </w:r>
            <w:r/>
          </w:p>
        </w:tc>
      </w:tr>
    </w:tbl>
    <w:p>
      <w:pPr>
        <w:pStyle w:val="1051"/>
        <w:ind w:left="0" w:right="0" w:firstLine="562"/>
        <w:jc w:val="both"/>
        <w:spacing w:before="0" w:after="0"/>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 xml:space="preserve">五、政府采购政策功能落实</w:t>
      </w:r>
      <w:r/>
    </w:p>
    <w:p>
      <w:pPr>
        <w:pStyle w:val="817"/>
        <w:ind w:firstLine="826"/>
        <w:keepLines w:val="0"/>
        <w:keepNext w:val="0"/>
        <w:pageBreakBefore w:val="0"/>
        <w:spacing w:line="44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本项目采购标的对应的中小企业划分标准所属行业为</w:t>
      </w:r>
      <w:r>
        <w:rPr>
          <w:rFonts w:hint="eastAsia" w:ascii="仿宋" w:hAnsi="仿宋" w:eastAsia="仿宋" w:cs="仿宋"/>
          <w:b/>
          <w:bCs w:val="0"/>
          <w:color w:val="auto"/>
          <w:sz w:val="28"/>
          <w:szCs w:val="28"/>
          <w:highlight w:val="none"/>
          <w:u w:val="single"/>
          <w:lang w:val="en-US" w:eastAsia="zh-CN" w:bidi="ar-SA"/>
        </w:rPr>
        <w:t xml:space="preserve">其他未列明行业</w:t>
      </w:r>
      <w:r>
        <w:rPr>
          <w:rFonts w:hint="eastAsia" w:ascii="仿宋" w:hAnsi="仿宋" w:eastAsia="仿宋" w:cs="仿宋"/>
          <w:bCs/>
          <w:color w:val="auto"/>
          <w:sz w:val="28"/>
          <w:szCs w:val="28"/>
          <w:highlight w:val="none"/>
          <w:lang w:val="en-US" w:eastAsia="zh-CN" w:bidi="ar-SA"/>
        </w:rPr>
        <w:t xml:space="preserve">。从业人员300人以下的为中小微型企业。其中，从业人员100人及以上的为中型企业；从业人员10人及以上的为小型企业；从业人员10人以下的为微型企业。</w:t>
      </w:r>
      <w:r/>
    </w:p>
    <w:p>
      <w:pPr>
        <w:ind w:left="695" w:firstLine="560"/>
        <w:spacing w:line="5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1、小微型企业价格扣除</w:t>
      </w:r>
      <w:r/>
    </w:p>
    <w:p>
      <w:pPr>
        <w:ind w:left="695" w:firstLine="560"/>
        <w:spacing w:line="5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（1）本项目对小型和微型企业产品给予10%的扣除价格，用扣除后的价格参与评审。</w:t>
      </w:r>
      <w:r/>
    </w:p>
    <w:p>
      <w:pPr>
        <w:ind w:left="695" w:firstLine="560"/>
        <w:spacing w:line="5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（2）供应商需按照《政府采购促进中小企业发展管理办法》（财库﹝2020﹞46 号）的规定提供相应的《中小企业声明函》。</w:t>
      </w:r>
      <w:r/>
    </w:p>
    <w:p>
      <w:pPr>
        <w:ind w:left="695" w:firstLine="560"/>
        <w:spacing w:line="5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（3）企业标准请参照《关于印发中小企业划型标准规定的通知》（工信部联企业[2011]300号）文件规定自行填写。</w:t>
      </w:r>
      <w:r/>
    </w:p>
    <w:p>
      <w:pPr>
        <w:ind w:left="695" w:firstLine="560"/>
        <w:spacing w:line="5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2、残疾人福利单位价格扣除</w:t>
      </w:r>
      <w:r/>
    </w:p>
    <w:p>
      <w:pPr>
        <w:ind w:left="695" w:firstLine="560"/>
        <w:spacing w:line="5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（1）本项目对残疾人福利性单位，给予10%的价格扣除，用扣除后的价格参与评审。</w:t>
      </w:r>
      <w:r/>
    </w:p>
    <w:p>
      <w:pPr>
        <w:ind w:left="695" w:firstLine="560"/>
        <w:spacing w:line="5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（2）残疾人福利单位需按照采购文件的要求提供《残疾人福利性单位声明函》。</w:t>
      </w:r>
      <w:r/>
    </w:p>
    <w:p>
      <w:pPr>
        <w:ind w:left="695" w:firstLine="560"/>
        <w:spacing w:line="5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（3）残疾人福利单位标准请参照《关于促进残疾人就业政府采购政策的通知》（财库〔2017〕141号）。</w:t>
      </w:r>
      <w:r/>
    </w:p>
    <w:p>
      <w:pPr>
        <w:ind w:left="695" w:firstLine="560"/>
        <w:spacing w:line="5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3、监狱和戒毒企业价格扣除</w:t>
      </w:r>
      <w:r/>
    </w:p>
    <w:p>
      <w:pPr>
        <w:ind w:left="695" w:firstLine="560"/>
        <w:spacing w:line="5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（1）本项目对监狱和戒毒企业（简称监狱企业）给予10%的价格扣除，用扣除后的价格参与评审。</w:t>
      </w:r>
      <w:r/>
    </w:p>
    <w:p>
      <w:pPr>
        <w:ind w:left="695" w:firstLine="560"/>
        <w:spacing w:line="5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695" w:firstLine="560"/>
        <w:spacing w:line="5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（3）监狱企业标准请参照《关于政府采购支持监狱企业发展有关问题的通知》（财库[2014]68号）。</w:t>
      </w:r>
      <w:r/>
    </w:p>
    <w:p>
      <w:pPr>
        <w:ind w:left="695" w:firstLine="560"/>
        <w:spacing w:line="5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4、残疾人福利单位、监狱企业属于小型、微型企业的，不重复享受政策。</w:t>
      </w:r>
      <w:r/>
    </w:p>
    <w:p>
      <w:pPr>
        <w:ind w:left="695" w:firstLine="560"/>
        <w:spacing w:line="5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4%的扣除，用扣除后的价格参与评审。</w:t>
      </w:r>
      <w:r/>
    </w:p>
    <w:p>
      <w:pPr>
        <w:ind w:left="695" w:firstLine="560"/>
        <w:spacing w:line="5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6、联合体各方均为小型、微型企业（残疾人福利单位、监狱企业）的，联合体享受上述同类价格扣除，用扣除后的价格参与评审。</w:t>
      </w:r>
      <w:r/>
    </w:p>
    <w:p>
      <w:pPr>
        <w:ind w:left="695" w:firstLine="560"/>
        <w:spacing w:line="5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7、</w:t>
      </w:r>
      <w:r>
        <w:rPr>
          <w:rFonts w:hint="eastAsia" w:ascii="仿宋" w:hAnsi="仿宋" w:eastAsia="仿宋" w:cs="仿宋"/>
          <w:b/>
          <w:bCs w:val="0"/>
          <w:color w:val="auto"/>
          <w:sz w:val="28"/>
          <w:szCs w:val="28"/>
          <w:highlight w:val="none"/>
          <w:u w:val="single"/>
          <w:lang w:val="en-US" w:eastAsia="zh-CN" w:bidi="ar-SA"/>
        </w:rPr>
        <w:t xml:space="preserve">本项目不专门面向中小企业采购的项目或者采购包，执行价格评审优惠的扶持政策。</w:t>
      </w:r>
      <w:r/>
    </w:p>
    <w:p>
      <w:pPr>
        <w:ind w:left="695" w:firstLine="560"/>
        <w:spacing w:line="500" w:lineRule="exact"/>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8、根据《江苏省政府采购信用管理暂行办法》的规定，供应商信用评价结果为三星的扣2分，评价结果为二星的扣3分，评价结果为一星的扣4分。</w:t>
      </w:r>
      <w:r/>
    </w:p>
    <w:p>
      <w:pPr>
        <w:ind w:firstLine="57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六、中标人的确定</w:t>
      </w:r>
      <w:r/>
    </w:p>
    <w:p>
      <w:pPr>
        <w:ind w:firstLine="57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评委会汇总各评委评分后，按照得分从高到低的顺序推荐三名中标候选人，并编写评标报告。</w:t>
      </w:r>
      <w:r/>
    </w:p>
    <w:p>
      <w:pPr>
        <w:ind w:firstLine="57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采购人委托评标委员会直接确定排名第一的中标候选人为中标人。</w:t>
      </w:r>
      <w:r/>
    </w:p>
    <w:p>
      <w:pPr>
        <w:ind w:firstLine="557"/>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七、采购人代表宣布评标结果。</w:t>
      </w:r>
      <w:r/>
    </w:p>
    <w:p>
      <w:pPr>
        <w:ind w:firstLine="56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八、公告中标结果</w:t>
      </w:r>
      <w:r/>
    </w:p>
    <w:p>
      <w:pPr>
        <w:ind w:firstLine="57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自确定中标人之日起2个工作日内，在江苏政府采购网公告中标结果，公告期限为1个工作日。</w:t>
      </w:r>
      <w:r/>
    </w:p>
    <w:p>
      <w:pPr>
        <w:ind w:firstLine="56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九、发放中标通知书</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公告中标结果的同时，采购人或采购代理机构向中标投标单位发放中标通知书。</w:t>
      </w:r>
      <w:r/>
    </w:p>
    <w:p>
      <w:pPr>
        <w:ind w:firstLine="57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中标通知书发出后，采购人不得违法改变中标结果，中标投标单位无正当理由不得放弃中标。</w:t>
      </w:r>
      <w:r/>
    </w:p>
    <w:p>
      <w:pPr>
        <w:ind w:firstLine="554"/>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中标单位在中标公示期后、领取中标通知书前必须按要求提供纸质响应文件（资格审查材料、技术标、报价标）叁份及电子格式投标文件（光盘贰份），以供存档。纸质响应文件应使用CA系统打印，且必须保证与评标时的电子标书完全一致，否则不予签订合同。</w:t>
      </w:r>
      <w:r/>
    </w:p>
    <w:p>
      <w:pPr>
        <w:pStyle w:val="798"/>
        <w:ind w:firstLine="560"/>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（十）其他</w:t>
      </w:r>
      <w:r/>
    </w:p>
    <w:p>
      <w:pPr>
        <w:pStyle w:val="798"/>
        <w:ind w:firstLine="560"/>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当排名第一的中标候选人无正当理由放弃中标，被查实存在影响中标结果的违法行为等情形，采购人有权按照政府采购相关法律法规的规定对其采取惩戒措施，包含但不限于列入采购失信人黑名单等措施。</w:t>
      </w:r>
      <w:r/>
    </w:p>
    <w:p>
      <w:pPr>
        <w:pStyle w:val="798"/>
        <w:ind w:firstLine="560"/>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当排名第一的中标候选人放弃中标、因不可抗力不能履行合同，或者被查实存在影响中标结果的违法行为等情形，不符合中标条件的，采购人可以按照评标委员会提出的中标候选人名单排序（按照综合得分由高到低顺序）依次确定其他中标候选人为成交投标单位，也可以重新招标。</w:t>
      </w:r>
      <w:r/>
    </w:p>
    <w:p>
      <w:pPr>
        <w:ind w:firstLine="554"/>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360" w:lineRule="auto"/>
        <w:rPr>
          <w:rFonts w:hint="eastAsia" w:ascii="仿宋" w:hAnsi="仿宋" w:eastAsia="仿宋" w:cs="仿宋"/>
          <w:bCs/>
          <w:color w:val="auto"/>
          <w:sz w:val="36"/>
          <w:szCs w:val="36"/>
          <w:highlight w:val="none"/>
        </w:rPr>
        <w:outlineLvl w:val="0"/>
      </w:pPr>
      <w:r>
        <w:rPr>
          <w:rFonts w:hint="eastAsia" w:ascii="仿宋" w:hAnsi="仿宋" w:eastAsia="仿宋" w:cs="仿宋"/>
          <w:bCs/>
          <w:color w:val="auto"/>
          <w:sz w:val="28"/>
          <w:szCs w:val="28"/>
          <w:highlight w:val="none"/>
        </w:rPr>
        <w:br w:type="page" w:clear="all"/>
      </w:r>
      <w:r>
        <w:rPr>
          <w:rFonts w:hint="eastAsia" w:ascii="仿宋" w:hAnsi="仿宋" w:eastAsia="仿宋" w:cs="仿宋"/>
          <w:bCs/>
          <w:color w:val="auto"/>
          <w:sz w:val="36"/>
          <w:szCs w:val="36"/>
          <w:highlight w:val="none"/>
        </w:rPr>
        <w:t xml:space="preserve">第五部分  投标文件组成</w:t>
      </w:r>
      <w:r/>
    </w:p>
    <w:p>
      <w:pPr>
        <w:ind w:firstLine="555"/>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投标文件由资格审查证明材料、符合性审查材料、商务技术标、价格标、四部分组成。</w:t>
      </w:r>
      <w:r>
        <w:rPr>
          <w:rFonts w:hint="eastAsia" w:ascii="仿宋" w:hAnsi="仿宋" w:eastAsia="仿宋" w:cs="仿宋"/>
          <w:bCs/>
          <w:color w:val="auto"/>
          <w:sz w:val="28"/>
          <w:szCs w:val="28"/>
          <w:highlight w:val="none"/>
          <w:lang w:val="zh-CN"/>
        </w:rPr>
        <w:t xml:space="preserve">请投标单位根据本招标文件的要求在以上</w:t>
      </w:r>
      <w:r>
        <w:rPr>
          <w:rFonts w:hint="eastAsia" w:ascii="仿宋" w:hAnsi="仿宋" w:eastAsia="仿宋" w:cs="仿宋"/>
          <w:bCs/>
          <w:color w:val="auto"/>
          <w:sz w:val="28"/>
          <w:szCs w:val="28"/>
          <w:highlight w:val="none"/>
        </w:rPr>
        <w:t xml:space="preserve">四部分中</w:t>
      </w:r>
      <w:r>
        <w:rPr>
          <w:rFonts w:hint="eastAsia" w:ascii="仿宋" w:hAnsi="仿宋" w:eastAsia="仿宋" w:cs="仿宋"/>
          <w:bCs/>
          <w:color w:val="auto"/>
          <w:sz w:val="28"/>
          <w:szCs w:val="28"/>
          <w:highlight w:val="none"/>
          <w:lang w:val="zh-CN"/>
        </w:rPr>
        <w:t xml:space="preserve">分别上传响应的投标材料。</w:t>
      </w:r>
      <w:r/>
    </w:p>
    <w:p>
      <w:pPr>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一、资格审查证明材料</w:t>
      </w:r>
      <w:r/>
    </w:p>
    <w:p>
      <w:pPr>
        <w:ind w:firstLine="56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1.投标人符合《政府采购法》第二十二条规定条件的承诺函（格式见附件）；</w:t>
      </w:r>
      <w:r/>
    </w:p>
    <w:p>
      <w:pPr>
        <w:ind w:firstLine="56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2.法定代表人身份证明书</w:t>
      </w:r>
      <w:r>
        <w:rPr>
          <w:rFonts w:hint="eastAsia" w:ascii="仿宋" w:hAnsi="仿宋" w:eastAsia="仿宋" w:cs="仿宋"/>
          <w:bCs/>
          <w:color w:val="auto"/>
          <w:sz w:val="28"/>
          <w:szCs w:val="28"/>
          <w:highlight w:val="none"/>
        </w:rPr>
        <w:t xml:space="preserve">及法定代表人身份证扫描件</w:t>
      </w:r>
      <w:r>
        <w:rPr>
          <w:rFonts w:hint="eastAsia" w:ascii="仿宋" w:hAnsi="仿宋" w:eastAsia="仿宋" w:cs="仿宋"/>
          <w:bCs/>
          <w:color w:val="auto"/>
          <w:sz w:val="28"/>
          <w:szCs w:val="28"/>
          <w:highlight w:val="none"/>
          <w:lang w:val="zh-CN"/>
        </w:rPr>
        <w:t xml:space="preserve">（格式见附件）；</w:t>
      </w:r>
      <w:r/>
    </w:p>
    <w:p>
      <w:pPr>
        <w:ind w:firstLine="56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3.法定代表人授权委托书原件，</w:t>
      </w:r>
      <w:r>
        <w:rPr>
          <w:rFonts w:hint="eastAsia" w:ascii="仿宋" w:hAnsi="仿宋" w:eastAsia="仿宋" w:cs="仿宋"/>
          <w:bCs/>
          <w:color w:val="auto"/>
          <w:sz w:val="28"/>
          <w:szCs w:val="28"/>
          <w:highlight w:val="none"/>
        </w:rPr>
        <w:t xml:space="preserve">投标</w:t>
      </w:r>
      <w:r>
        <w:rPr>
          <w:rFonts w:hint="eastAsia" w:ascii="仿宋" w:hAnsi="仿宋" w:eastAsia="仿宋" w:cs="仿宋"/>
          <w:bCs/>
          <w:color w:val="auto"/>
          <w:sz w:val="28"/>
          <w:szCs w:val="28"/>
          <w:highlight w:val="none"/>
          <w:lang w:val="zh-CN"/>
        </w:rPr>
        <w:t xml:space="preserve">代表本人身份证扫描件（格式见附件）；</w:t>
      </w:r>
      <w:r/>
    </w:p>
    <w:p>
      <w:pPr>
        <w:ind w:firstLine="56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rPr>
        <w:t xml:space="preserve">4</w:t>
      </w:r>
      <w:r>
        <w:rPr>
          <w:rFonts w:hint="eastAsia" w:ascii="仿宋" w:hAnsi="仿宋" w:eastAsia="仿宋" w:cs="仿宋"/>
          <w:bCs/>
          <w:color w:val="auto"/>
          <w:sz w:val="28"/>
          <w:szCs w:val="28"/>
          <w:highlight w:val="none"/>
          <w:lang w:val="zh-CN"/>
        </w:rPr>
        <w:t xml:space="preserve">.投标投标单位</w:t>
      </w:r>
      <w:r>
        <w:rPr>
          <w:rFonts w:hint="eastAsia" w:ascii="仿宋" w:hAnsi="仿宋" w:eastAsia="仿宋" w:cs="仿宋"/>
          <w:bCs/>
          <w:color w:val="auto"/>
          <w:sz w:val="28"/>
          <w:szCs w:val="28"/>
          <w:highlight w:val="none"/>
        </w:rPr>
        <w:t xml:space="preserve">未</w:t>
      </w:r>
      <w:r>
        <w:rPr>
          <w:rFonts w:hint="eastAsia" w:ascii="仿宋" w:hAnsi="仿宋" w:eastAsia="仿宋" w:cs="仿宋"/>
          <w:bCs/>
          <w:color w:val="auto"/>
          <w:sz w:val="28"/>
          <w:szCs w:val="28"/>
          <w:highlight w:val="none"/>
          <w:lang w:val="zh-CN"/>
        </w:rPr>
        <w:t xml:space="preserve">被“信用中国”网站列入失信被执行人或重大税收违法案件当事人名单或政府采购严重失信行为记录名单，或查询“信用中国”网站后发现投标投标单位</w:t>
      </w:r>
      <w:r>
        <w:rPr>
          <w:rFonts w:hint="eastAsia" w:ascii="仿宋" w:hAnsi="仿宋" w:eastAsia="仿宋" w:cs="仿宋"/>
          <w:bCs/>
          <w:color w:val="auto"/>
          <w:sz w:val="28"/>
          <w:szCs w:val="28"/>
          <w:highlight w:val="none"/>
        </w:rPr>
        <w:t xml:space="preserve">不</w:t>
      </w:r>
      <w:r>
        <w:rPr>
          <w:rFonts w:hint="eastAsia" w:ascii="仿宋" w:hAnsi="仿宋" w:eastAsia="仿宋" w:cs="仿宋"/>
          <w:bCs/>
          <w:color w:val="auto"/>
          <w:sz w:val="28"/>
          <w:szCs w:val="28"/>
          <w:highlight w:val="none"/>
          <w:lang w:val="zh-CN"/>
        </w:rPr>
        <w:t xml:space="preserve">存在其他不符合资格条件规定的信用记录的（</w:t>
      </w:r>
      <w:r>
        <w:rPr>
          <w:rFonts w:hint="eastAsia" w:ascii="仿宋" w:hAnsi="仿宋" w:eastAsia="仿宋" w:cs="仿宋"/>
          <w:bCs/>
          <w:color w:val="auto"/>
          <w:sz w:val="28"/>
          <w:szCs w:val="28"/>
          <w:highlight w:val="none"/>
          <w:lang w:val="en-US" w:eastAsia="zh-CN"/>
        </w:rPr>
        <w:t xml:space="preserve">投标单位不需提供</w:t>
      </w:r>
      <w:r>
        <w:rPr>
          <w:rFonts w:hint="eastAsia" w:ascii="仿宋" w:hAnsi="仿宋" w:eastAsia="仿宋" w:cs="仿宋"/>
          <w:bCs/>
          <w:color w:val="auto"/>
          <w:sz w:val="28"/>
          <w:szCs w:val="28"/>
          <w:highlight w:val="none"/>
          <w:lang w:val="zh-CN"/>
        </w:rPr>
        <w:t xml:space="preserve">）。</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bCs/>
          <w:color w:val="auto"/>
          <w:sz w:val="28"/>
          <w:szCs w:val="28"/>
          <w:highlight w:val="none"/>
        </w:rPr>
        <w:t xml:space="preserve">.投标单位信用承诺书（格式见</w:t>
      </w:r>
      <w:r>
        <w:rPr>
          <w:rFonts w:hint="eastAsia" w:ascii="仿宋" w:hAnsi="仿宋" w:eastAsia="仿宋" w:cs="仿宋"/>
          <w:bCs/>
          <w:color w:val="auto"/>
          <w:sz w:val="28"/>
          <w:szCs w:val="28"/>
          <w:highlight w:val="none"/>
          <w:lang w:val="zh-CN"/>
        </w:rPr>
        <w:t xml:space="preserve">附件</w:t>
      </w:r>
      <w:r>
        <w:rPr>
          <w:rFonts w:hint="eastAsia" w:ascii="仿宋" w:hAnsi="仿宋" w:eastAsia="仿宋" w:cs="仿宋"/>
          <w:bCs/>
          <w:color w:val="auto"/>
          <w:sz w:val="28"/>
          <w:szCs w:val="28"/>
          <w:highlight w:val="none"/>
        </w:rPr>
        <w:t xml:space="preserve">）</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投标单位未同时在其他投标单位为股东或法定代表人（或负责人）的佐证材料：投标单位投标时提供本单位、营业执照、公司股东股权资料，若经核实有同一人在两家及以上投标本项目的投标单位有股份或同为单位法定代表人（或负责人的），将作无效响应处理；未提供以上材料或提供不全的，经核实作无效响应处理。</w:t>
      </w:r>
      <w:r/>
    </w:p>
    <w:p>
      <w:pPr>
        <w:ind w:firstLine="56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en-US" w:eastAsia="zh-CN"/>
        </w:rPr>
        <w:t xml:space="preserve">7</w:t>
      </w:r>
      <w:r>
        <w:rPr>
          <w:rFonts w:hint="eastAsia" w:ascii="仿宋" w:hAnsi="仿宋" w:eastAsia="仿宋" w:cs="仿宋"/>
          <w:bCs/>
          <w:color w:val="auto"/>
          <w:sz w:val="28"/>
          <w:szCs w:val="28"/>
          <w:highlight w:val="none"/>
          <w:lang w:val="zh-CN"/>
        </w:rPr>
        <w:t xml:space="preserve">.招标公告资格要求提供相应的佐证材料；</w:t>
      </w:r>
      <w:r/>
    </w:p>
    <w:p>
      <w:pPr>
        <w:ind w:firstLine="56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en-US" w:eastAsia="zh-CN"/>
        </w:rPr>
        <w:t xml:space="preserve">8</w:t>
      </w:r>
      <w:r>
        <w:rPr>
          <w:rFonts w:hint="eastAsia" w:ascii="仿宋" w:hAnsi="仿宋" w:eastAsia="仿宋" w:cs="仿宋"/>
          <w:bCs/>
          <w:color w:val="auto"/>
          <w:sz w:val="28"/>
          <w:szCs w:val="28"/>
          <w:highlight w:val="none"/>
          <w:lang w:val="zh-CN"/>
        </w:rPr>
        <w:t xml:space="preserve">.其它需要提交的资格审查证明材料。</w:t>
      </w:r>
      <w:r/>
    </w:p>
    <w:p>
      <w:pPr>
        <w:ind w:firstLine="562"/>
        <w:spacing w:line="360" w:lineRule="auto"/>
        <w:rPr>
          <w:rFonts w:hint="eastAsia" w:ascii="仿宋" w:hAnsi="仿宋" w:eastAsia="仿宋" w:cs="仿宋"/>
          <w:b/>
          <w:bCs w:val="0"/>
          <w:color w:val="auto"/>
          <w:sz w:val="28"/>
          <w:szCs w:val="28"/>
          <w:highlight w:val="none"/>
          <w:lang w:val="zh-CN"/>
        </w:rPr>
      </w:pPr>
      <w:r>
        <w:rPr>
          <w:rFonts w:hint="eastAsia" w:ascii="仿宋" w:hAnsi="仿宋" w:eastAsia="仿宋" w:cs="仿宋"/>
          <w:b/>
          <w:bCs w:val="0"/>
          <w:color w:val="auto"/>
          <w:sz w:val="28"/>
          <w:szCs w:val="28"/>
          <w:highlight w:val="none"/>
          <w:lang w:val="zh-CN"/>
        </w:rPr>
        <w:t xml:space="preserve">（</w:t>
      </w:r>
      <w:r>
        <w:rPr>
          <w:rFonts w:hint="eastAsia" w:ascii="仿宋" w:hAnsi="仿宋" w:eastAsia="仿宋" w:cs="仿宋"/>
          <w:b/>
          <w:bCs w:val="0"/>
          <w:color w:val="auto"/>
          <w:sz w:val="28"/>
          <w:szCs w:val="28"/>
          <w:highlight w:val="none"/>
        </w:rPr>
        <w:t xml:space="preserve">如采购</w:t>
      </w:r>
      <w:r>
        <w:rPr>
          <w:rFonts w:hint="eastAsia" w:ascii="仿宋" w:hAnsi="仿宋" w:eastAsia="仿宋" w:cs="仿宋"/>
          <w:b/>
          <w:bCs w:val="0"/>
          <w:color w:val="auto"/>
          <w:sz w:val="28"/>
          <w:szCs w:val="28"/>
          <w:highlight w:val="none"/>
          <w:lang w:val="zh-CN"/>
        </w:rPr>
        <w:t xml:space="preserve">文件要求提供的资格审查证明材料中没有对应的接口上传的资料，可以在本部分的其他材料的接口中上传）</w:t>
      </w:r>
      <w:r/>
    </w:p>
    <w:p>
      <w:pPr>
        <w:numPr>
          <w:ilvl w:val="0"/>
          <w:numId w:val="4"/>
        </w:numPr>
        <w:ind w:left="4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zh-CN"/>
        </w:rPr>
        <w:t xml:space="preserve">符合性审查</w:t>
      </w:r>
      <w:r/>
    </w:p>
    <w:p>
      <w:pPr>
        <w:ind w:firstLine="562"/>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
          <w:color w:val="auto"/>
          <w:sz w:val="28"/>
          <w:szCs w:val="28"/>
          <w:highlight w:val="none"/>
          <w:lang w:val="zh-CN"/>
        </w:rPr>
        <w:t xml:space="preserve">★</w:t>
      </w:r>
      <w:r>
        <w:rPr>
          <w:rFonts w:hint="eastAsia" w:ascii="仿宋" w:hAnsi="仿宋" w:eastAsia="仿宋" w:cs="仿宋"/>
          <w:bCs/>
          <w:color w:val="auto"/>
          <w:sz w:val="28"/>
          <w:szCs w:val="28"/>
          <w:highlight w:val="none"/>
        </w:rPr>
        <w:t xml:space="preserve">1、</w:t>
      </w:r>
      <w:r>
        <w:rPr>
          <w:rFonts w:hint="eastAsia" w:ascii="仿宋" w:hAnsi="仿宋" w:eastAsia="仿宋" w:cs="仿宋"/>
          <w:bCs/>
          <w:color w:val="auto"/>
          <w:sz w:val="28"/>
          <w:szCs w:val="28"/>
          <w:highlight w:val="none"/>
          <w:lang w:val="zh-CN"/>
        </w:rPr>
        <w:t xml:space="preserve">商务部分正负偏离表；（格式见附件）</w:t>
      </w:r>
      <w:r/>
    </w:p>
    <w:p>
      <w:pPr>
        <w:ind w:firstLine="56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w:t>
      </w:r>
      <w:r>
        <w:rPr>
          <w:rFonts w:hint="eastAsia" w:ascii="仿宋" w:hAnsi="仿宋" w:eastAsia="仿宋" w:cs="仿宋"/>
          <w:bCs/>
          <w:color w:val="auto"/>
          <w:sz w:val="28"/>
          <w:szCs w:val="28"/>
          <w:highlight w:val="none"/>
        </w:rPr>
        <w:t xml:space="preserve">2</w:t>
      </w:r>
      <w:r>
        <w:rPr>
          <w:rFonts w:hint="eastAsia" w:ascii="仿宋" w:hAnsi="仿宋" w:eastAsia="仿宋" w:cs="仿宋"/>
          <w:bCs/>
          <w:color w:val="auto"/>
          <w:sz w:val="28"/>
          <w:szCs w:val="28"/>
          <w:highlight w:val="none"/>
          <w:lang w:val="zh-CN"/>
        </w:rPr>
        <w:t xml:space="preserve">、技术部分正负偏离表；（格式见附件）</w:t>
      </w:r>
      <w:r/>
    </w:p>
    <w:p>
      <w:pPr>
        <w:pStyle w:val="791"/>
        <w:ind w:firstLine="560"/>
        <w:spacing w:line="360" w:lineRule="auto"/>
        <w:rPr>
          <w:rFonts w:hint="eastAsia" w:ascii="仿宋" w:hAnsi="仿宋" w:eastAsia="仿宋" w:cs="仿宋"/>
          <w:color w:val="auto"/>
          <w:highlight w:val="none"/>
          <w:lang w:val="zh-CN"/>
        </w:rPr>
      </w:pPr>
      <w:r>
        <w:rPr>
          <w:rFonts w:hint="eastAsia" w:ascii="仿宋" w:hAnsi="仿宋" w:eastAsia="仿宋" w:cs="仿宋"/>
          <w:bCs/>
          <w:color w:val="auto"/>
          <w:sz w:val="28"/>
          <w:szCs w:val="28"/>
          <w:highlight w:val="none"/>
          <w:lang w:val="zh-CN"/>
        </w:rPr>
        <w:t xml:space="preserve">★</w:t>
      </w:r>
      <w:r>
        <w:rPr>
          <w:rFonts w:hint="eastAsia" w:ascii="仿宋" w:hAnsi="仿宋" w:eastAsia="仿宋" w:cs="仿宋"/>
          <w:bCs/>
          <w:color w:val="auto"/>
          <w:sz w:val="28"/>
          <w:szCs w:val="28"/>
          <w:highlight w:val="none"/>
        </w:rPr>
        <w:t xml:space="preserve">3、相关承诺书</w:t>
      </w:r>
      <w:r>
        <w:rPr>
          <w:rFonts w:hint="eastAsia" w:ascii="仿宋" w:hAnsi="仿宋" w:eastAsia="仿宋" w:cs="仿宋"/>
          <w:b/>
          <w:bCs/>
          <w:color w:val="auto"/>
          <w:sz w:val="28"/>
          <w:szCs w:val="28"/>
          <w:highlight w:val="none"/>
        </w:rPr>
        <w:t xml:space="preserve">：</w:t>
      </w:r>
      <w:r>
        <w:rPr>
          <w:rFonts w:hint="eastAsia" w:ascii="仿宋" w:hAnsi="仿宋" w:eastAsia="仿宋" w:cs="仿宋"/>
          <w:bCs/>
          <w:color w:val="auto"/>
          <w:sz w:val="28"/>
          <w:szCs w:val="28"/>
          <w:highlight w:val="none"/>
        </w:rPr>
        <w:t xml:space="preserve">本项目需求中涉及到加</w:t>
      </w:r>
      <w:r>
        <w:rPr>
          <w:rFonts w:hint="eastAsia" w:ascii="仿宋" w:hAnsi="仿宋" w:eastAsia="仿宋" w:cs="仿宋"/>
          <w:bCs/>
          <w:color w:val="auto"/>
          <w:sz w:val="28"/>
          <w:szCs w:val="28"/>
          <w:highlight w:val="none"/>
          <w:lang w:val="zh-CN"/>
        </w:rPr>
        <w:t xml:space="preserve">★</w:t>
      </w:r>
      <w:r>
        <w:rPr>
          <w:rFonts w:hint="eastAsia" w:ascii="仿宋" w:hAnsi="仿宋" w:eastAsia="仿宋" w:cs="仿宋"/>
          <w:bCs/>
          <w:color w:val="auto"/>
          <w:sz w:val="28"/>
          <w:szCs w:val="28"/>
          <w:highlight w:val="none"/>
        </w:rPr>
        <w:t xml:space="preserve">条款的所有内容，投标单位未能在符合性条款中提交相关佐证材料或相关承诺书的</w:t>
      </w:r>
      <w:r>
        <w:rPr>
          <w:rFonts w:hint="eastAsia" w:ascii="仿宋" w:hAnsi="仿宋" w:eastAsia="仿宋" w:cs="仿宋"/>
          <w:bCs/>
          <w:color w:val="auto"/>
          <w:sz w:val="28"/>
          <w:szCs w:val="28"/>
          <w:highlight w:val="none"/>
          <w:lang w:val="zh-CN"/>
        </w:rPr>
        <w:t xml:space="preserve">（</w:t>
      </w:r>
      <w:r>
        <w:rPr>
          <w:rFonts w:hint="eastAsia" w:ascii="仿宋" w:hAnsi="仿宋" w:eastAsia="仿宋" w:cs="仿宋"/>
          <w:bCs/>
          <w:color w:val="auto"/>
          <w:sz w:val="28"/>
          <w:szCs w:val="28"/>
          <w:highlight w:val="none"/>
        </w:rPr>
        <w:t xml:space="preserve">承诺书格式自拟</w:t>
      </w:r>
      <w:r>
        <w:rPr>
          <w:rFonts w:hint="eastAsia" w:ascii="仿宋" w:hAnsi="仿宋" w:eastAsia="仿宋" w:cs="仿宋"/>
          <w:bCs/>
          <w:color w:val="auto"/>
          <w:sz w:val="28"/>
          <w:szCs w:val="28"/>
          <w:highlight w:val="none"/>
          <w:lang w:val="zh-CN"/>
        </w:rPr>
        <w:t xml:space="preserve">）</w:t>
      </w:r>
      <w:r>
        <w:rPr>
          <w:rFonts w:hint="eastAsia" w:ascii="仿宋" w:hAnsi="仿宋" w:eastAsia="仿宋" w:cs="仿宋"/>
          <w:bCs/>
          <w:color w:val="auto"/>
          <w:sz w:val="28"/>
          <w:szCs w:val="28"/>
          <w:highlight w:val="none"/>
        </w:rPr>
        <w:t xml:space="preserve">，经评标小组核实将被判为不满足招标文件实质性要求，作为无效投标处理。</w:t>
      </w:r>
      <w:r/>
    </w:p>
    <w:p>
      <w:pPr>
        <w:ind w:firstLine="281"/>
        <w:spacing w:line="360" w:lineRule="auto"/>
        <w:rPr>
          <w:rFonts w:hint="eastAsia" w:ascii="仿宋" w:hAnsi="仿宋" w:eastAsia="仿宋" w:cs="仿宋"/>
          <w:color w:val="auto"/>
          <w:highlight w:val="none"/>
        </w:rPr>
      </w:pPr>
      <w:r>
        <w:rPr>
          <w:rFonts w:hint="eastAsia" w:ascii="仿宋" w:hAnsi="仿宋" w:eastAsia="仿宋" w:cs="仿宋"/>
          <w:b/>
          <w:color w:val="auto"/>
          <w:sz w:val="24"/>
          <w:highlight w:val="none"/>
          <w:u w:val="single"/>
        </w:rPr>
        <w:t xml:space="preserve">注明：（上述1-3条款材料为符合性检查项，未提供或不符合要求均按无效处理）</w:t>
      </w:r>
      <w:r/>
    </w:p>
    <w:p>
      <w:pPr>
        <w:pStyle w:val="795"/>
        <w:ind w:left="0" w:firstLine="562"/>
        <w:spacing w:line="360" w:lineRule="auto"/>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 xml:space="preserve">上述材料为符合性检查项，未提供或不符合要求均按无效标处理。</w:t>
      </w:r>
      <w:r/>
    </w:p>
    <w:p>
      <w:pPr>
        <w:numPr>
          <w:ilvl w:val="0"/>
          <w:numId w:val="0"/>
        </w:numPr>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en-US" w:eastAsia="zh-CN"/>
        </w:rPr>
        <w:t xml:space="preserve">三、</w:t>
      </w:r>
      <w:r>
        <w:rPr>
          <w:rFonts w:hint="eastAsia" w:ascii="仿宋" w:hAnsi="仿宋" w:eastAsia="仿宋" w:cs="仿宋"/>
          <w:bCs/>
          <w:color w:val="auto"/>
          <w:sz w:val="28"/>
          <w:szCs w:val="28"/>
          <w:highlight w:val="none"/>
          <w:lang w:val="zh-CN"/>
        </w:rPr>
        <w:t xml:space="preserve">商务技术标包（应包括但不限于以下内容。不得出现报价，否则作废）</w:t>
      </w:r>
      <w:r/>
    </w:p>
    <w:p>
      <w:pPr>
        <w:numPr>
          <w:ilvl w:val="0"/>
          <w:numId w:val="0"/>
        </w:numPr>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1.商务技术评分标准中须提供的相关得分佐证材料；</w:t>
      </w:r>
      <w:r/>
    </w:p>
    <w:p>
      <w:pPr>
        <w:numPr>
          <w:ilvl w:val="0"/>
          <w:numId w:val="0"/>
        </w:numPr>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2.供应商认为需要提交的其他商务技术材料。</w:t>
      </w:r>
      <w:r/>
    </w:p>
    <w:p>
      <w:pPr>
        <w:numPr>
          <w:ilvl w:val="0"/>
          <w:numId w:val="0"/>
        </w:numPr>
        <w:spacing w:line="360" w:lineRule="auto"/>
        <w:rPr>
          <w:rFonts w:hint="eastAsia" w:ascii="仿宋" w:hAnsi="仿宋" w:eastAsia="仿宋" w:cs="仿宋"/>
          <w:b/>
          <w:bCs w:val="0"/>
          <w:color w:val="auto"/>
          <w:sz w:val="28"/>
          <w:szCs w:val="28"/>
          <w:highlight w:val="none"/>
          <w:lang w:val="zh-CN"/>
        </w:rPr>
      </w:pPr>
      <w:r>
        <w:rPr>
          <w:rFonts w:hint="eastAsia" w:ascii="仿宋" w:hAnsi="仿宋" w:eastAsia="仿宋" w:cs="仿宋"/>
          <w:b/>
          <w:bCs w:val="0"/>
          <w:color w:val="auto"/>
          <w:sz w:val="28"/>
          <w:szCs w:val="28"/>
          <w:highlight w:val="none"/>
          <w:lang w:val="zh-CN"/>
        </w:rPr>
        <w:t xml:space="preserve">（如采购文件要求提供的商务技术标材料中没有对应的接口上传的资料，可以在本部分的其他材料的接口中上传）</w:t>
      </w:r>
      <w:r/>
    </w:p>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en-US" w:eastAsia="zh-CN"/>
        </w:rPr>
        <w:t xml:space="preserve">四</w:t>
      </w:r>
      <w:r>
        <w:rPr>
          <w:rFonts w:hint="eastAsia" w:ascii="仿宋" w:hAnsi="仿宋" w:eastAsia="仿宋" w:cs="仿宋"/>
          <w:bCs/>
          <w:color w:val="auto"/>
          <w:sz w:val="28"/>
          <w:szCs w:val="28"/>
          <w:highlight w:val="none"/>
          <w:lang w:val="zh-CN"/>
        </w:rPr>
        <w:t xml:space="preserve">、价格标</w:t>
      </w:r>
      <w:r/>
    </w:p>
    <w:p>
      <w:pPr>
        <w:ind w:firstLine="560"/>
        <w:spacing w:line="360" w:lineRule="auto"/>
        <w:rPr>
          <w:rFonts w:hint="eastAsia" w:ascii="仿宋" w:hAnsi="仿宋" w:eastAsia="仿宋" w:cs="仿宋"/>
          <w:color w:val="auto"/>
          <w:highlight w:val="none"/>
        </w:rPr>
      </w:pPr>
      <w:r>
        <w:rPr>
          <w:rFonts w:hint="eastAsia" w:ascii="仿宋" w:hAnsi="仿宋" w:eastAsia="仿宋" w:cs="仿宋"/>
          <w:bCs/>
          <w:color w:val="auto"/>
          <w:sz w:val="28"/>
          <w:szCs w:val="28"/>
          <w:highlight w:val="none"/>
          <w:lang w:val="zh-CN"/>
        </w:rPr>
        <w:t xml:space="preserve">1.开标一览表（格式见附件）；</w:t>
      </w:r>
      <w:r/>
    </w:p>
    <w:p>
      <w:pPr>
        <w:pStyle w:val="829"/>
        <w:ind w:left="0" w:firstLine="560"/>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2.</w:t>
      </w:r>
      <w:r>
        <w:rPr>
          <w:rFonts w:hint="eastAsia" w:ascii="仿宋" w:hAnsi="仿宋" w:eastAsia="仿宋" w:cs="仿宋"/>
          <w:bCs/>
          <w:color w:val="auto"/>
          <w:sz w:val="28"/>
          <w:szCs w:val="28"/>
          <w:highlight w:val="none"/>
          <w:lang w:val="zh-CN" w:eastAsia="zh-CN" w:bidi="ar-SA"/>
        </w:rPr>
        <w:t xml:space="preserve">提供中小企业声明函（格式见</w:t>
      </w:r>
      <w:r>
        <w:rPr>
          <w:rFonts w:hint="eastAsia" w:ascii="仿宋" w:hAnsi="仿宋" w:eastAsia="仿宋" w:cs="仿宋"/>
          <w:bCs/>
          <w:color w:val="auto"/>
          <w:sz w:val="28"/>
          <w:szCs w:val="28"/>
          <w:highlight w:val="none"/>
          <w:lang w:val="en-US" w:eastAsia="zh-CN" w:bidi="ar-SA"/>
        </w:rPr>
        <w:t xml:space="preserve">后</w:t>
      </w:r>
      <w:r>
        <w:rPr>
          <w:rFonts w:hint="eastAsia" w:ascii="仿宋" w:hAnsi="仿宋" w:eastAsia="仿宋" w:cs="仿宋"/>
          <w:bCs/>
          <w:color w:val="auto"/>
          <w:sz w:val="28"/>
          <w:szCs w:val="28"/>
          <w:highlight w:val="none"/>
          <w:lang w:val="zh-CN" w:eastAsia="zh-CN" w:bidi="ar-SA"/>
        </w:rPr>
        <w:t xml:space="preserve">附件）或残疾人福利性单位声明函（格式见</w:t>
      </w:r>
      <w:r>
        <w:rPr>
          <w:rFonts w:hint="eastAsia" w:ascii="仿宋" w:hAnsi="仿宋" w:eastAsia="仿宋" w:cs="仿宋"/>
          <w:bCs/>
          <w:color w:val="auto"/>
          <w:sz w:val="28"/>
          <w:szCs w:val="28"/>
          <w:highlight w:val="none"/>
          <w:lang w:val="en-US" w:eastAsia="zh-CN" w:bidi="ar-SA"/>
        </w:rPr>
        <w:t xml:space="preserve">后</w:t>
      </w:r>
      <w:r>
        <w:rPr>
          <w:rFonts w:hint="eastAsia" w:ascii="仿宋" w:hAnsi="仿宋" w:eastAsia="仿宋" w:cs="仿宋"/>
          <w:bCs/>
          <w:color w:val="auto"/>
          <w:sz w:val="28"/>
          <w:szCs w:val="28"/>
          <w:highlight w:val="none"/>
          <w:lang w:val="zh-CN" w:eastAsia="zh-CN" w:bidi="ar-SA"/>
        </w:rPr>
        <w:t xml:space="preserve">附件）或监狱或戒毒企业证明材料（格式见</w:t>
      </w:r>
      <w:r>
        <w:rPr>
          <w:rFonts w:hint="eastAsia" w:ascii="仿宋" w:hAnsi="仿宋" w:eastAsia="仿宋" w:cs="仿宋"/>
          <w:bCs/>
          <w:color w:val="auto"/>
          <w:sz w:val="28"/>
          <w:szCs w:val="28"/>
          <w:highlight w:val="none"/>
          <w:lang w:val="en-US" w:eastAsia="zh-CN" w:bidi="ar-SA"/>
        </w:rPr>
        <w:t xml:space="preserve">后</w:t>
      </w:r>
      <w:r>
        <w:rPr>
          <w:rFonts w:hint="eastAsia" w:ascii="仿宋" w:hAnsi="仿宋" w:eastAsia="仿宋" w:cs="仿宋"/>
          <w:bCs/>
          <w:color w:val="auto"/>
          <w:sz w:val="28"/>
          <w:szCs w:val="28"/>
          <w:highlight w:val="none"/>
          <w:lang w:val="zh-CN" w:eastAsia="zh-CN" w:bidi="ar-SA"/>
        </w:rPr>
        <w:t xml:space="preserve">附件）</w:t>
      </w:r>
      <w:r>
        <w:rPr>
          <w:rFonts w:hint="eastAsia" w:ascii="仿宋" w:hAnsi="仿宋" w:eastAsia="仿宋" w:cs="仿宋"/>
          <w:bCs/>
          <w:color w:val="auto"/>
          <w:sz w:val="28"/>
          <w:szCs w:val="28"/>
          <w:highlight w:val="none"/>
          <w:lang w:val="en-US" w:eastAsia="zh-CN" w:bidi="ar-SA"/>
        </w:rPr>
        <w:t xml:space="preserve">。</w:t>
      </w:r>
      <w:r/>
    </w:p>
    <w:p>
      <w:pPr>
        <w:spacing w:line="460" w:lineRule="exact"/>
        <w:rPr>
          <w:rFonts w:hint="eastAsia" w:ascii="仿宋" w:hAnsi="仿宋" w:eastAsia="仿宋" w:cs="仿宋"/>
          <w:b/>
          <w:bCs w:val="0"/>
          <w:color w:val="auto"/>
          <w:sz w:val="28"/>
          <w:szCs w:val="28"/>
          <w:highlight w:val="none"/>
          <w:lang w:val="en-US" w:eastAsia="zh-CN" w:bidi="ar-SA"/>
        </w:rPr>
      </w:pPr>
      <w:r>
        <w:rPr>
          <w:rFonts w:hint="eastAsia" w:ascii="仿宋" w:hAnsi="仿宋" w:eastAsia="仿宋" w:cs="仿宋"/>
          <w:b/>
          <w:bCs w:val="0"/>
          <w:color w:val="auto"/>
          <w:sz w:val="28"/>
          <w:szCs w:val="28"/>
          <w:highlight w:val="none"/>
          <w:lang w:val="en-US" w:eastAsia="zh-CN" w:bidi="ar-SA"/>
        </w:rPr>
        <w:t xml:space="preserve">注明：以上第2条款符合相关要求的提供，不符合的不须提供。</w:t>
      </w:r>
      <w:r/>
    </w:p>
    <w:p>
      <w:pPr>
        <w:rPr>
          <w:rFonts w:hint="eastAsia" w:ascii="仿宋" w:hAnsi="仿宋" w:eastAsia="仿宋" w:cs="仿宋"/>
          <w:b/>
          <w:bCs w:val="0"/>
          <w:color w:val="auto"/>
          <w:sz w:val="28"/>
          <w:szCs w:val="28"/>
          <w:highlight w:val="none"/>
          <w:lang w:val="zh-CN" w:eastAsia="zh-CN" w:bidi="ar-SA"/>
        </w:rPr>
      </w:pPr>
      <w:r>
        <w:rPr>
          <w:rFonts w:hint="eastAsia" w:ascii="仿宋" w:hAnsi="仿宋" w:eastAsia="仿宋" w:cs="仿宋"/>
          <w:b/>
          <w:bCs w:val="0"/>
          <w:color w:val="auto"/>
          <w:sz w:val="28"/>
          <w:szCs w:val="28"/>
          <w:highlight w:val="none"/>
          <w:lang w:val="zh-CN" w:eastAsia="zh-CN" w:bidi="ar-SA"/>
        </w:rPr>
        <w:t xml:space="preserve">（如招标文件要求提供的价格标资料中没有对应的接口上传的资料可以在本部分的其他材料的接口中上传）</w:t>
      </w:r>
      <w:r/>
    </w:p>
    <w:p>
      <w:pPr>
        <w:contextualSpacing/>
        <w:spacing w:line="360" w:lineRule="auto"/>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br w:type="page" w:clear="all"/>
      </w:r>
      <w:r/>
    </w:p>
    <w:p>
      <w:pP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附件</w:t>
      </w:r>
      <w:r/>
    </w:p>
    <w:p>
      <w:pPr>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投标人符合《中华人民共和国政府采购法》第二十二条规定条件的声明函</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p>
    <w:p>
      <w:pPr>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我单位参加</w:t>
      </w:r>
      <w:r>
        <w:rPr>
          <w:rFonts w:hint="eastAsia" w:ascii="仿宋" w:hAnsi="仿宋" w:eastAsia="仿宋" w:cs="仿宋"/>
          <w:bCs/>
          <w:color w:val="auto"/>
          <w:sz w:val="28"/>
          <w:szCs w:val="28"/>
          <w:highlight w:val="none"/>
          <w:u w:val="single"/>
        </w:rPr>
        <w:t xml:space="preserve">________________ _</w:t>
      </w:r>
      <w:r>
        <w:rPr>
          <w:rFonts w:hint="eastAsia" w:ascii="仿宋" w:hAnsi="仿宋" w:eastAsia="仿宋" w:cs="仿宋"/>
          <w:bCs/>
          <w:color w:val="auto"/>
          <w:sz w:val="28"/>
          <w:szCs w:val="28"/>
          <w:highlight w:val="none"/>
        </w:rPr>
        <w:t xml:space="preserve">（项目名称），</w:t>
      </w:r>
      <w:r>
        <w:rPr>
          <w:rFonts w:hint="eastAsia" w:ascii="仿宋" w:hAnsi="仿宋" w:eastAsia="仿宋" w:cs="仿宋"/>
          <w:bCs/>
          <w:color w:val="auto"/>
          <w:sz w:val="28"/>
          <w:szCs w:val="28"/>
          <w:highlight w:val="none"/>
          <w:u w:val="single"/>
        </w:rPr>
        <w:t xml:space="preserve">_______ __________</w:t>
      </w:r>
      <w:r>
        <w:rPr>
          <w:rFonts w:hint="eastAsia" w:ascii="仿宋" w:hAnsi="仿宋" w:eastAsia="仿宋" w:cs="仿宋"/>
          <w:bCs/>
          <w:color w:val="auto"/>
          <w:sz w:val="28"/>
          <w:szCs w:val="28"/>
          <w:highlight w:val="none"/>
        </w:rPr>
        <w:t xml:space="preserve">（项目编号）投标活动。针对《中华人民共和国政府采购法》第二十二条规定做出如下声明：</w:t>
      </w:r>
      <w:r/>
    </w:p>
    <w:p>
      <w:pPr>
        <w:ind w:firstLine="48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1.我单位具有独立承担民事责任的能力；</w:t>
      </w:r>
      <w:r/>
    </w:p>
    <w:p>
      <w:pPr>
        <w:ind w:firstLine="48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2.我单位具有良好的商业信誉和健全的财务会计制度；</w:t>
      </w:r>
      <w:r/>
    </w:p>
    <w:p>
      <w:pPr>
        <w:ind w:firstLine="48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3.我单位具有履行合同所必需的设备和专业技术能力；</w:t>
      </w:r>
      <w:r/>
    </w:p>
    <w:p>
      <w:pPr>
        <w:ind w:firstLine="48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4.我单位有依法缴纳税收和社会保障资金的良好记录；</w:t>
      </w:r>
      <w:r/>
    </w:p>
    <w:p>
      <w:pPr>
        <w:ind w:firstLine="48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我单位参加政府采购活动前三年内，在经营活动中没有重大违法记录；（1.投标单位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6.我单位满足法律、行政法规规定的其他条件。</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承诺人名称（公章）：</w:t>
      </w:r>
      <w:r/>
    </w:p>
    <w:p>
      <w:pPr>
        <w:jc w:val="righ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p>
    <w:p>
      <w:pPr>
        <w:jc w:val="righ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日期：</w:t>
      </w:r>
      <w:r>
        <w:rPr>
          <w:rFonts w:hint="eastAsia" w:ascii="仿宋" w:hAnsi="仿宋" w:eastAsia="仿宋" w:cs="仿宋"/>
          <w:bCs/>
          <w:color w:val="auto"/>
          <w:sz w:val="28"/>
          <w:szCs w:val="28"/>
          <w:highlight w:val="none"/>
          <w:u w:val="single"/>
        </w:rPr>
        <w:t xml:space="preserve">______</w:t>
      </w:r>
      <w:r>
        <w:rPr>
          <w:rFonts w:hint="eastAsia" w:ascii="仿宋" w:hAnsi="仿宋" w:eastAsia="仿宋" w:cs="仿宋"/>
          <w:bCs/>
          <w:color w:val="auto"/>
          <w:sz w:val="28"/>
          <w:szCs w:val="28"/>
          <w:highlight w:val="none"/>
        </w:rPr>
        <w:t xml:space="preserve">年</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月</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日</w:t>
      </w:r>
      <w:r/>
    </w:p>
    <w:p>
      <w:pPr>
        <w:contextualSpacing/>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法定代表人身份证明</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先生/女士： 现任我单位</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职务，为法定代表人，特此证明。</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身份证号码：</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                                               </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联系方式：</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   </w:t>
      </w:r>
      <w:r/>
    </w:p>
    <w:p>
      <w:pPr>
        <w:pStyle w:val="1094"/>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注：提供法定代表人的身份证扫描件盖公章。</w:t>
      </w:r>
      <w:r/>
    </w:p>
    <w:p>
      <w:pPr>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p>
    <w:p>
      <w:pPr>
        <w:contextualSpacing/>
        <w:ind w:firstLine="54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ind w:firstLine="54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contextualSpacing/>
        <w:ind w:firstLine="540"/>
        <w:spacing w:line="36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r>
      <w:r/>
    </w:p>
    <w:p>
      <w:pPr>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791"/>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clear="all"/>
      </w:r>
      <w:r/>
    </w:p>
    <w:p>
      <w:pPr>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法定代表人授权委托书</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本人 </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（姓名）系</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（授权单位名称）的法定代表人，现委托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（姓名）（身份证号</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）为我方代理人，以我方名义全权处理与本次采购项目（编号：</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）有关的一切事务，其法律后果由我方承担。</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本授权书于</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年</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月</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日起生效。代理人无转委托权。</w:t>
      </w:r>
      <w:r/>
    </w:p>
    <w:p>
      <w:pPr>
        <w:ind w:firstLine="4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代理人(被授权人): </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。联系方式：</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      </w:t>
      </w:r>
      <w:r/>
    </w:p>
    <w:p>
      <w:pPr>
        <w:ind w:firstLine="4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授权单位名称（盖章）：</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w:t>
      </w:r>
      <w:r/>
    </w:p>
    <w:p>
      <w:pPr>
        <w:ind w:firstLine="4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授权单位法定代表人（签字或盖章）：</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w:t>
      </w:r>
      <w:r/>
    </w:p>
    <w:p>
      <w:pPr>
        <w:jc w:val="righ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righ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年</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月</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日</w:t>
      </w:r>
      <w:r/>
    </w:p>
    <w:p>
      <w:pPr>
        <w:contextualSpacing/>
        <w:ind w:firstLine="54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ind w:firstLine="54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注：提供投标代表本人身份证扫描件盖公章。</w:t>
      </w:r>
      <w:r/>
    </w:p>
    <w:p>
      <w:pPr>
        <w:contextualSpacing/>
        <w:ind w:firstLine="54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ind w:firstLine="54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ind w:firstLine="54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jc w:val="center"/>
        <w:spacing w:line="360" w:lineRule="auto"/>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pStyle w:val="829"/>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pStyle w:val="829"/>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pStyle w:val="829"/>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pStyle w:val="829"/>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pStyle w:val="792"/>
        <w:spacing w:line="360" w:lineRule="auto"/>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pStyle w:val="793"/>
        <w:spacing w:line="360" w:lineRule="auto"/>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pStyle w:val="793"/>
        <w:spacing w:line="360" w:lineRule="auto"/>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p>
    <w:p>
      <w:pPr>
        <w:jc w:val="center"/>
        <w:spacing w:before="240" w:line="360" w:lineRule="auto"/>
        <w:rPr>
          <w:rFonts w:hint="eastAsia" w:ascii="仿宋" w:hAnsi="仿宋" w:eastAsia="仿宋" w:cs="仿宋"/>
          <w:b/>
          <w:color w:val="auto"/>
          <w:sz w:val="30"/>
          <w:szCs w:val="30"/>
          <w:highlight w:val="none"/>
          <w:lang w:bidi="ar"/>
        </w:rPr>
      </w:pPr>
      <w:r>
        <w:rPr>
          <w:rFonts w:hint="eastAsia" w:ascii="仿宋" w:hAnsi="仿宋" w:eastAsia="仿宋" w:cs="仿宋"/>
          <w:b/>
          <w:color w:val="auto"/>
          <w:sz w:val="30"/>
          <w:szCs w:val="30"/>
          <w:highlight w:val="none"/>
          <w:lang w:bidi="ar"/>
        </w:rPr>
        <w:t xml:space="preserve">投标单位信用承诺书</w:t>
      </w:r>
      <w:r/>
    </w:p>
    <w:p>
      <w:pPr>
        <w:ind w:firstLine="482"/>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为营造公开、公平、公正的公共资源交易环境，树立诚信守法的投标人形象，本人代表本单位作出以下承诺：</w:t>
      </w:r>
      <w:r/>
    </w:p>
    <w:p>
      <w:pPr>
        <w:ind w:firstLine="482"/>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482"/>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二、严格依照国家和省、市、县关于政府采购等方面的法律、法规、规章、规范性文件，参加公共资源交易招标投标活动；积极履行社会责任，促进廉政建设；</w:t>
      </w:r>
      <w:r/>
    </w:p>
    <w:p>
      <w:pPr>
        <w:ind w:firstLine="482"/>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三、严格遵守即时信息公示规定，及时更新公共资源交易中心主体信息库中信息；</w:t>
      </w:r>
      <w:r/>
    </w:p>
    <w:p>
      <w:pPr>
        <w:ind w:firstLine="482"/>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四、自我约束、自我管理，守合同、重信用，不参与围标串标、弄虚作假、骗取中标、干扰评标、违约毁约、恶意投诉等行为，主动维护公共资源交易招标投标的良好秩序；</w:t>
      </w:r>
      <w:r/>
    </w:p>
    <w:p>
      <w:pPr>
        <w:ind w:firstLine="482"/>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2"/>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六、自觉接受政府部门、行业组织、社会公众、新闻舆论等监督；</w:t>
      </w:r>
      <w:r/>
    </w:p>
    <w:p>
      <w:pPr>
        <w:ind w:firstLine="482"/>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七、上述承诺已向本单位员工作了宣传教育；</w:t>
      </w:r>
      <w:r/>
    </w:p>
    <w:p>
      <w:pPr>
        <w:ind w:firstLine="482"/>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如有违反上述承诺的不良行为，本单位同意将其予以上网公示。</w:t>
      </w:r>
      <w:r/>
    </w:p>
    <w:p>
      <w:pPr>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ind w:firstLine="4555"/>
        <w:jc w:val="left"/>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投标投标单位全称(盖公章)：</w:t>
      </w:r>
      <w:r/>
    </w:p>
    <w:p>
      <w:pPr>
        <w:ind w:firstLine="4555"/>
        <w:jc w:val="left"/>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法定代表人（签字或盖章）：</w:t>
      </w:r>
      <w:r/>
    </w:p>
    <w:p>
      <w:pPr>
        <w:ind w:firstLine="4555"/>
        <w:jc w:val="left"/>
        <w:spacing w:line="360" w:lineRule="auto"/>
        <w:rPr>
          <w:rFonts w:hint="eastAsia" w:ascii="仿宋" w:hAnsi="仿宋" w:eastAsia="仿宋" w:cs="仿宋"/>
          <w:b/>
          <w:color w:val="auto"/>
          <w:sz w:val="28"/>
          <w:szCs w:val="28"/>
          <w:highlight w:val="none"/>
          <w:lang w:val="zh-CN"/>
        </w:rPr>
      </w:pPr>
      <w:r>
        <w:rPr>
          <w:rFonts w:hint="eastAsia" w:ascii="仿宋" w:hAnsi="仿宋" w:eastAsia="仿宋" w:cs="仿宋"/>
          <w:color w:val="auto"/>
          <w:sz w:val="28"/>
          <w:szCs w:val="28"/>
          <w:highlight w:val="none"/>
          <w:lang w:val="zh-CN"/>
        </w:rPr>
        <w:t xml:space="preserve">时间：  年  月   日</w:t>
      </w:r>
      <w:r/>
    </w:p>
    <w:p>
      <w:pPr>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br w:type="page" w:clear="all"/>
      </w:r>
      <w:r/>
    </w:p>
    <w:p>
      <w:pPr>
        <w:contextualSpacing/>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
          <w:color w:val="auto"/>
          <w:sz w:val="28"/>
          <w:szCs w:val="28"/>
          <w:highlight w:val="none"/>
          <w:lang w:val="zh-CN"/>
        </w:rPr>
        <w:t xml:space="preserve">★</w:t>
      </w:r>
      <w:r>
        <w:rPr>
          <w:rFonts w:hint="eastAsia" w:ascii="仿宋" w:hAnsi="仿宋" w:eastAsia="仿宋" w:cs="仿宋"/>
          <w:bCs/>
          <w:color w:val="auto"/>
          <w:sz w:val="28"/>
          <w:szCs w:val="28"/>
          <w:highlight w:val="none"/>
        </w:rPr>
        <w:t xml:space="preserve">商务部分正负偏离表</w:t>
      </w:r>
      <w:r/>
    </w:p>
    <w:p>
      <w:pPr>
        <w:ind w:firstLine="560"/>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（由投标人据实填写，表格不够自行添加）</w:t>
      </w:r>
      <w:r/>
    </w:p>
    <w:tbl>
      <w:tblPr>
        <w:tblStyle w:val="785"/>
        <w:tblW w:w="5000" w:type="pct"/>
        <w:tblInd w:w="-3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052"/>
        <w:gridCol w:w="2660"/>
        <w:gridCol w:w="2323"/>
        <w:gridCol w:w="2997"/>
        <w:gridCol w:w="1651"/>
      </w:tblGrid>
      <w:tr>
        <w:trPr>
          <w:trHeight w:val="994"/>
        </w:trPr>
        <w:tc>
          <w:tcPr>
            <w:tcW w:w="460"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序号</w:t>
            </w:r>
            <w:r/>
          </w:p>
        </w:tc>
        <w:tc>
          <w:tcPr>
            <w:tcW w:w="1254"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货物或服务名称</w:t>
            </w:r>
            <w:r/>
          </w:p>
        </w:tc>
        <w:tc>
          <w:tcPr>
            <w:tcW w:w="1095"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招标文件要求的商务条款</w:t>
            </w:r>
            <w:r/>
          </w:p>
        </w:tc>
        <w:tc>
          <w:tcPr>
            <w:tcW w:w="1413"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投标文件响应情况</w:t>
            </w:r>
            <w:r/>
          </w:p>
        </w:tc>
        <w:tc>
          <w:tcPr>
            <w:tcW w:w="778" w:type="dxa"/>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偏离说明</w:t>
            </w:r>
            <w:r/>
          </w:p>
        </w:tc>
      </w:tr>
      <w:tr>
        <w:trPr>
          <w:trHeight w:val="414"/>
        </w:trPr>
        <w:tc>
          <w:tcPr>
            <w:tcW w:w="460" w:type="dxa"/>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p>
        </w:tc>
        <w:tc>
          <w:tcPr>
            <w:tcW w:w="1254"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095"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413"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78" w:type="dxa"/>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r>
        <w:trPr>
          <w:trHeight w:val="548"/>
        </w:trPr>
        <w:tc>
          <w:tcPr>
            <w:tcW w:w="460" w:type="dxa"/>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w:t>
            </w:r>
            <w:r/>
          </w:p>
        </w:tc>
        <w:tc>
          <w:tcPr>
            <w:tcW w:w="1254"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095"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413"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78" w:type="dxa"/>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r>
        <w:trPr>
          <w:trHeight w:val="400"/>
        </w:trPr>
        <w:tc>
          <w:tcPr>
            <w:tcW w:w="460" w:type="dxa"/>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w:t>
            </w:r>
            <w:r/>
          </w:p>
        </w:tc>
        <w:tc>
          <w:tcPr>
            <w:tcW w:w="1254"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095"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413"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78" w:type="dxa"/>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r>
        <w:trPr>
          <w:trHeight w:val="419"/>
        </w:trPr>
        <w:tc>
          <w:tcPr>
            <w:tcW w:w="460" w:type="dxa"/>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w:t>
            </w:r>
            <w:r/>
          </w:p>
        </w:tc>
        <w:tc>
          <w:tcPr>
            <w:tcW w:w="1254"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095"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413"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78" w:type="dxa"/>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bl>
    <w:p>
      <w:pPr>
        <w:contextualSpacing/>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w:t>
      </w:r>
      <w:r/>
    </w:p>
    <w:p>
      <w:pPr>
        <w:contextualSpacing/>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1.投标人提交的投标文件中与招标文件第三部分“项目需求”中的商务部分的要求，应逐条填列在偏离表中。</w:t>
      </w:r>
      <w:r/>
    </w:p>
    <w:p>
      <w:pPr>
        <w:contextualSpacing/>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2.“偏离说明”一栏选择“正偏离”、“无偏离”、“负偏离”进行填写。正偏离、无偏离的确认和负偏离的是否响应招标文件，由评委认定。</w:t>
      </w:r>
      <w:r/>
    </w:p>
    <w:p>
      <w:pPr>
        <w:contextualSpacing/>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3.投标人如果虚假响应，将被暂停参加采购人组织的政府采购活动。</w:t>
      </w:r>
      <w:r/>
    </w:p>
    <w:p>
      <w:pPr>
        <w:contextualSpacing/>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4.投标单位若提供其他增值服务，可以在表中自行据实填写。</w:t>
      </w:r>
      <w:r/>
    </w:p>
    <w:p>
      <w:pPr>
        <w:contextualSpacing/>
        <w:ind w:firstLine="54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ind w:firstLine="54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93"/>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93"/>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93"/>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93"/>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93"/>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93"/>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93"/>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93"/>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br w:type="page" w:clear="all"/>
      </w:r>
      <w:r/>
    </w:p>
    <w:p>
      <w:pPr>
        <w:contextualSpacing/>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
          <w:color w:val="auto"/>
          <w:sz w:val="28"/>
          <w:szCs w:val="28"/>
          <w:highlight w:val="none"/>
          <w:lang w:val="zh-CN"/>
        </w:rPr>
        <w:t xml:space="preserve">★</w:t>
      </w:r>
      <w:r>
        <w:rPr>
          <w:rFonts w:hint="eastAsia" w:ascii="仿宋" w:hAnsi="仿宋" w:eastAsia="仿宋" w:cs="仿宋"/>
          <w:bCs/>
          <w:color w:val="auto"/>
          <w:sz w:val="28"/>
          <w:szCs w:val="28"/>
          <w:highlight w:val="none"/>
        </w:rPr>
        <w:t xml:space="preserve">技术部分正负偏离表</w:t>
      </w:r>
      <w:r/>
    </w:p>
    <w:p>
      <w:pPr>
        <w:ind w:firstLine="560"/>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（由投标人据实填写，表格不够自行添加）</w:t>
      </w:r>
      <w:r/>
    </w:p>
    <w:tbl>
      <w:tblPr>
        <w:tblStyle w:val="785"/>
        <w:tblW w:w="5000" w:type="pct"/>
        <w:tblInd w:w="-3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052"/>
        <w:gridCol w:w="2660"/>
        <w:gridCol w:w="2323"/>
        <w:gridCol w:w="2997"/>
        <w:gridCol w:w="1651"/>
      </w:tblGrid>
      <w:tr>
        <w:trPr>
          <w:trHeight w:val="994"/>
        </w:trPr>
        <w:tc>
          <w:tcPr>
            <w:tcW w:w="460"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序号</w:t>
            </w:r>
            <w:r/>
          </w:p>
        </w:tc>
        <w:tc>
          <w:tcPr>
            <w:tcW w:w="1254"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货物或服务名称</w:t>
            </w:r>
            <w:r/>
          </w:p>
        </w:tc>
        <w:tc>
          <w:tcPr>
            <w:tcW w:w="1095"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招标文件要求的技术要求</w:t>
            </w:r>
            <w:r/>
          </w:p>
        </w:tc>
        <w:tc>
          <w:tcPr>
            <w:tcW w:w="1413"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投标文件响应情况</w:t>
            </w:r>
            <w:r/>
          </w:p>
        </w:tc>
        <w:tc>
          <w:tcPr>
            <w:tcW w:w="778" w:type="dxa"/>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偏离说明</w:t>
            </w:r>
            <w:r/>
          </w:p>
        </w:tc>
      </w:tr>
      <w:tr>
        <w:trPr>
          <w:trHeight w:val="414"/>
        </w:trPr>
        <w:tc>
          <w:tcPr>
            <w:tcW w:w="460" w:type="dxa"/>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p>
        </w:tc>
        <w:tc>
          <w:tcPr>
            <w:tcW w:w="1254"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095"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413"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78" w:type="dxa"/>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r>
        <w:trPr>
          <w:trHeight w:val="548"/>
        </w:trPr>
        <w:tc>
          <w:tcPr>
            <w:tcW w:w="460" w:type="dxa"/>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w:t>
            </w:r>
            <w:r/>
          </w:p>
        </w:tc>
        <w:tc>
          <w:tcPr>
            <w:tcW w:w="1254"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095"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413"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78" w:type="dxa"/>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r>
        <w:trPr>
          <w:trHeight w:val="400"/>
        </w:trPr>
        <w:tc>
          <w:tcPr>
            <w:tcW w:w="460" w:type="dxa"/>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w:t>
            </w:r>
            <w:r/>
          </w:p>
        </w:tc>
        <w:tc>
          <w:tcPr>
            <w:tcW w:w="1254"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095"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413"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78" w:type="dxa"/>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r>
        <w:trPr>
          <w:trHeight w:val="419"/>
        </w:trPr>
        <w:tc>
          <w:tcPr>
            <w:tcW w:w="460" w:type="dxa"/>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w:t>
            </w:r>
            <w:r/>
          </w:p>
        </w:tc>
        <w:tc>
          <w:tcPr>
            <w:tcW w:w="1254"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095"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413" w:type="dxa"/>
            <w:vAlign w:val="center"/>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78" w:type="dxa"/>
            <w:textDirection w:val="lrTb"/>
            <w:noWrap w:val="false"/>
          </w:tcPr>
          <w:p>
            <w:pPr>
              <w:jc w:val="lef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bl>
    <w:p>
      <w:pPr>
        <w:contextualSpacing/>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w:t>
      </w:r>
      <w:r/>
    </w:p>
    <w:p>
      <w:pPr>
        <w:contextualSpacing/>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1.投标人提交的投标文件中与招标文件第三部分“项目需求”中的技术部分的要求，应逐条填列在偏离表中。</w:t>
      </w:r>
      <w:r/>
    </w:p>
    <w:p>
      <w:pPr>
        <w:contextualSpacing/>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 “偏离说明”一栏选择“正偏离”、“无偏离”、“负偏离”进行填写。正偏离、无偏离的确认和负偏离的是否响应招标文件，由评委认定。</w:t>
      </w:r>
      <w:r/>
    </w:p>
    <w:p>
      <w:pPr>
        <w:contextualSpacing/>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3.投标人如果虚假响应，将被暂停参加采购人组织的政府采购活动。</w:t>
      </w:r>
      <w:r/>
    </w:p>
    <w:p>
      <w:pPr>
        <w:contextualSpacing/>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4.投标单位若提供其他增值服务，可以在表中自行据实填写。</w:t>
      </w:r>
      <w:r/>
    </w:p>
    <w:p>
      <w:pPr>
        <w:contextualSpacing/>
        <w:ind w:firstLine="54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ind w:firstLine="54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contextualSpacing/>
        <w:ind w:firstLine="54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rPr>
          <w:rStyle w:val="1034"/>
          <w:rFonts w:hint="eastAsia" w:ascii="仿宋" w:hAnsi="仿宋" w:eastAsia="仿宋" w:cs="仿宋"/>
          <w:b w:val="0"/>
          <w:color w:val="auto"/>
          <w:sz w:val="28"/>
          <w:szCs w:val="28"/>
          <w:highlight w:val="none"/>
        </w:rPr>
      </w:pPr>
      <w:r>
        <w:rPr>
          <w:rStyle w:val="1034"/>
          <w:rFonts w:hint="eastAsia" w:ascii="仿宋" w:hAnsi="仿宋" w:eastAsia="仿宋" w:cs="仿宋"/>
          <w:b w:val="0"/>
          <w:color w:val="auto"/>
          <w:sz w:val="28"/>
          <w:szCs w:val="28"/>
          <w:highlight w:val="none"/>
        </w:rPr>
        <w:br w:type="page" w:clear="all"/>
      </w:r>
      <w:r/>
    </w:p>
    <w:p>
      <w:pPr>
        <w:jc w:val="center"/>
        <w:spacing w:line="360" w:lineRule="auto"/>
        <w:rPr>
          <w:rFonts w:hint="eastAsia" w:ascii="仿宋" w:hAnsi="仿宋" w:eastAsia="仿宋" w:cs="仿宋"/>
          <w:color w:val="auto"/>
          <w:sz w:val="28"/>
          <w:szCs w:val="28"/>
          <w:highlight w:val="none"/>
        </w:rPr>
      </w:pPr>
      <w:r>
        <w:rPr>
          <w:rStyle w:val="1034"/>
          <w:rFonts w:hint="eastAsia" w:ascii="仿宋" w:hAnsi="仿宋" w:eastAsia="仿宋" w:cs="仿宋"/>
          <w:b w:val="0"/>
          <w:color w:val="auto"/>
          <w:sz w:val="28"/>
          <w:szCs w:val="28"/>
          <w:highlight w:val="none"/>
        </w:rPr>
        <w:t xml:space="preserve">开标一览表</w:t>
      </w:r>
      <w:r/>
    </w:p>
    <w:p>
      <w:pPr>
        <w:pStyle w:val="103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项目编号： </w:t>
      </w:r>
      <w:r/>
    </w:p>
    <w:p>
      <w:pPr>
        <w:pStyle w:val="103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投标人名称：                                           </w:t>
      </w:r>
      <w:r/>
    </w:p>
    <w:p>
      <w:pPr>
        <w:pStyle w:val="1030"/>
        <w:spacing w:line="360" w:lineRule="auto"/>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货币单位：</w:t>
      </w:r>
      <w:r>
        <w:rPr>
          <w:rFonts w:hint="eastAsia" w:ascii="仿宋" w:hAnsi="仿宋" w:eastAsia="仿宋" w:cs="仿宋"/>
          <w:bCs/>
          <w:color w:val="auto"/>
          <w:sz w:val="28"/>
          <w:szCs w:val="28"/>
          <w:highlight w:val="none"/>
          <w:lang w:val="en-US" w:eastAsia="zh-CN"/>
        </w:rPr>
        <w:t xml:space="preserve">%</w:t>
      </w:r>
      <w:r/>
    </w:p>
    <w:tbl>
      <w:tblPr>
        <w:tblStyle w:val="785"/>
        <w:tblW w:w="0" w:type="auto"/>
        <w:tblCellSpacing w:w="15" w:type="dxa"/>
        <w:tblInd w:w="-19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98"/>
      </w:tblGrid>
      <w:tr>
        <w:trPr>
          <w:tblCellSpacing w:w="15" w:type="dxa"/>
        </w:trPr>
        <w:tc>
          <w:tcPr>
            <w:tcW w:w="2892" w:type="dxa"/>
            <w:vAlign w:val="center"/>
            <w:textDirection w:val="lrTb"/>
            <w:noWrap w:val="false"/>
          </w:tcPr>
          <w:p>
            <w:pPr>
              <w:pStyle w:val="103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项目名称</w:t>
            </w:r>
            <w:r/>
          </w:p>
        </w:tc>
        <w:tc>
          <w:tcPr>
            <w:tcW w:w="2700" w:type="dxa"/>
            <w:vAlign w:val="center"/>
            <w:textDirection w:val="lrTb"/>
            <w:noWrap w:val="false"/>
          </w:tcPr>
          <w:p>
            <w:pPr>
              <w:pStyle w:val="103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项目内容</w:t>
            </w:r>
            <w:r/>
          </w:p>
        </w:tc>
        <w:tc>
          <w:tcPr>
            <w:tcW w:w="3453" w:type="dxa"/>
            <w:vAlign w:val="center"/>
            <w:textDirection w:val="lrTb"/>
            <w:noWrap w:val="false"/>
          </w:tcPr>
          <w:p>
            <w:pPr>
              <w:pStyle w:val="1030"/>
              <w:spacing w:line="360" w:lineRule="auto"/>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（小写）</w:t>
            </w:r>
            <w:r>
              <w:rPr>
                <w:rFonts w:hint="eastAsia" w:ascii="仿宋" w:hAnsi="仿宋" w:eastAsia="仿宋" w:cs="仿宋"/>
                <w:bCs/>
                <w:color w:val="auto"/>
                <w:sz w:val="28"/>
                <w:szCs w:val="28"/>
                <w:highlight w:val="none"/>
                <w:lang w:val="en-US" w:eastAsia="zh-CN"/>
              </w:rPr>
              <w:t xml:space="preserve">优惠率</w:t>
            </w:r>
            <w:r/>
          </w:p>
        </w:tc>
      </w:tr>
      <w:tr>
        <w:trPr>
          <w:tblCellSpacing w:w="15" w:type="dxa"/>
        </w:trPr>
        <w:tc>
          <w:tcPr>
            <w:tcW w:w="2892" w:type="dxa"/>
            <w:vAlign w:val="center"/>
            <w:textDirection w:val="lrTb"/>
            <w:noWrap w:val="false"/>
          </w:tcPr>
          <w:p>
            <w:pPr>
              <w:pStyle w:val="103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项目名称 </w:t>
            </w:r>
            <w:r/>
          </w:p>
        </w:tc>
        <w:tc>
          <w:tcPr>
            <w:tcW w:w="2700" w:type="dxa"/>
            <w:vAlign w:val="center"/>
            <w:textDirection w:val="lrTb"/>
            <w:noWrap w:val="false"/>
          </w:tcPr>
          <w:p>
            <w:pPr>
              <w:pStyle w:val="103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详见投标文件</w:t>
            </w:r>
            <w:r/>
          </w:p>
        </w:tc>
        <w:tc>
          <w:tcPr>
            <w:tcW w:w="3453" w:type="dxa"/>
            <w:vAlign w:val="center"/>
            <w:textDirection w:val="lrTb"/>
            <w:noWrap w:val="false"/>
          </w:tcPr>
          <w:p>
            <w:pPr>
              <w:pStyle w:val="1030"/>
              <w:ind w:firstLine="1400"/>
              <w:spacing w:line="360" w:lineRule="auto"/>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w:t>
            </w:r>
            <w:r/>
          </w:p>
        </w:tc>
      </w:tr>
      <w:tr>
        <w:trPr>
          <w:tblCellSpacing w:w="15" w:type="dxa"/>
        </w:trPr>
        <w:tc>
          <w:tcPr>
            <w:tcW w:w="2892" w:type="dxa"/>
            <w:vAlign w:val="center"/>
            <w:textDirection w:val="lrTb"/>
            <w:noWrap w:val="false"/>
          </w:tcPr>
          <w:p>
            <w:pPr>
              <w:pStyle w:val="103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投标优惠率</w:t>
            </w:r>
            <w:r>
              <w:rPr>
                <w:rFonts w:hint="eastAsia" w:ascii="仿宋" w:hAnsi="仿宋" w:eastAsia="仿宋" w:cs="仿宋"/>
                <w:bCs/>
                <w:color w:val="auto"/>
                <w:sz w:val="28"/>
                <w:szCs w:val="28"/>
                <w:highlight w:val="none"/>
              </w:rPr>
              <w:t xml:space="preserve">：</w:t>
            </w:r>
            <w:r/>
          </w:p>
        </w:tc>
        <w:tc>
          <w:tcPr>
            <w:gridSpan w:val="2"/>
            <w:tcW w:w="6183" w:type="dxa"/>
            <w:vAlign w:val="center"/>
            <w:textDirection w:val="lrTb"/>
            <w:noWrap w:val="false"/>
          </w:tcPr>
          <w:p>
            <w:pPr>
              <w:pStyle w:val="103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大写 </w:t>
            </w:r>
            <w:r/>
          </w:p>
        </w:tc>
      </w:tr>
    </w:tbl>
    <w:p>
      <w:pPr>
        <w:pStyle w:val="103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盖章（公章）：</w:t>
      </w:r>
      <w:r/>
    </w:p>
    <w:p>
      <w:pPr>
        <w:pStyle w:val="1030"/>
        <w:ind w:firstLine="241"/>
        <w:spacing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b/>
          <w:color w:val="auto"/>
          <w:highlight w:val="none"/>
        </w:rPr>
        <w:t xml:space="preserve">注</w:t>
      </w:r>
      <w:r>
        <w:rPr>
          <w:rFonts w:hint="eastAsia" w:ascii="仿宋" w:hAnsi="仿宋" w:eastAsia="仿宋" w:cs="仿宋"/>
          <w:b/>
          <w:color w:val="auto"/>
          <w:highlight w:val="none"/>
          <w:lang w:val="en-US" w:eastAsia="zh-CN"/>
        </w:rPr>
        <w:t xml:space="preserve">1、</w:t>
      </w:r>
      <w:r>
        <w:rPr>
          <w:rFonts w:hint="eastAsia" w:ascii="仿宋" w:hAnsi="仿宋" w:eastAsia="仿宋" w:cs="仿宋"/>
          <w:color w:val="auto"/>
          <w:sz w:val="28"/>
          <w:szCs w:val="28"/>
          <w:highlight w:val="none"/>
          <w:lang w:val="en-US" w:eastAsia="zh-CN" w:bidi="ar-SA"/>
        </w:rPr>
        <w:t xml:space="preserve">本项目投标报价（优惠率%）小数点精确到后两位。</w:t>
      </w:r>
      <w:r/>
    </w:p>
    <w:p>
      <w:pPr>
        <w:pStyle w:val="1030"/>
        <w:numPr>
          <w:ilvl w:val="0"/>
          <w:numId w:val="0"/>
        </w:numPr>
        <w:ind w:left="420"/>
        <w:keepLines w:val="0"/>
        <w:keepNext w:val="0"/>
        <w:pageBreakBefore w:val="0"/>
        <w:spacing w:line="36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2、本项目评标基准价为：1-最高优惠率，</w:t>
      </w:r>
      <w:r/>
    </w:p>
    <w:p>
      <w:pPr>
        <w:pStyle w:val="1030"/>
        <w:numPr>
          <w:ilvl w:val="0"/>
          <w:numId w:val="0"/>
        </w:numPr>
        <w:ind w:left="420" w:firstLine="280"/>
        <w:keepLines w:val="0"/>
        <w:keepNext w:val="0"/>
        <w:pageBreakBefore w:val="0"/>
        <w:spacing w:line="36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本项目其他供应商的投标报价为：1-其优惠率报价 </w:t>
      </w:r>
      <w:r/>
    </w:p>
    <w:p>
      <w:pPr>
        <w:ind w:firstLine="560"/>
        <w:keepLines w:val="0"/>
        <w:keepNext w:val="0"/>
        <w:pageBreakBefore w:val="0"/>
        <w:spacing w:line="36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投标报价得分=【响应评标基准价（1-最高优惠率报价）／响应报价（1-其优惠率报价）】×20%*100</w:t>
      </w:r>
      <w:r/>
    </w:p>
    <w:p>
      <w:pPr>
        <w:keepLines w:val="0"/>
        <w:keepNext w:val="0"/>
        <w:pageBreakBefore w:val="0"/>
        <w:spacing w:line="36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例如：（1）供应商A、B、C的优惠率报价分别为20.00%、30.00%、60.00%，供应商C所报60.00%的（1-60.00%）为评标基准价，供应商C的报价得分为20.00分，供应商B的报价得分为11.43分；供应商A的报价得分为10.00分。（2）例如：投标单位报价优惠率30% ，该投标单位优惠率报价为无效报价（经评标小组核实后作无效响应处理）。</w:t>
      </w:r>
      <w:r/>
    </w:p>
    <w:p>
      <w:pPr>
        <w:numPr>
          <w:ilvl w:val="0"/>
          <w:numId w:val="0"/>
        </w:numPr>
        <w:ind w:firstLine="560"/>
        <w:jc w:val="left"/>
        <w:keepLines w:val="0"/>
        <w:keepNext w:val="0"/>
        <w:pageBreakBefore w:val="0"/>
        <w:spacing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3、本项目</w:t>
      </w:r>
      <w:r>
        <w:rPr>
          <w:rFonts w:hint="eastAsia" w:ascii="仿宋" w:hAnsi="仿宋" w:eastAsia="仿宋" w:cs="仿宋"/>
          <w:color w:val="auto"/>
          <w:sz w:val="28"/>
          <w:szCs w:val="28"/>
          <w:highlight w:val="none"/>
        </w:rPr>
        <w:t xml:space="preserve">投标单位的报价按</w:t>
      </w:r>
      <w:r>
        <w:rPr>
          <w:rFonts w:hint="eastAsia" w:ascii="仿宋" w:hAnsi="仿宋" w:eastAsia="仿宋" w:cs="仿宋"/>
          <w:color w:val="auto"/>
          <w:sz w:val="28"/>
          <w:szCs w:val="28"/>
          <w:highlight w:val="none"/>
          <w:lang w:val="en-US" w:eastAsia="zh-CN"/>
        </w:rPr>
        <w:t xml:space="preserve">优惠率进行报价</w:t>
      </w:r>
      <w:r>
        <w:rPr>
          <w:rFonts w:hint="eastAsia" w:ascii="仿宋" w:hAnsi="仿宋" w:eastAsia="仿宋" w:cs="仿宋"/>
          <w:color w:val="auto"/>
          <w:sz w:val="28"/>
          <w:szCs w:val="28"/>
          <w:highlight w:val="none"/>
        </w:rPr>
        <w:t xml:space="preserve">，报价</w:t>
      </w:r>
      <w:r>
        <w:rPr>
          <w:rFonts w:hint="eastAsia" w:ascii="仿宋" w:hAnsi="仿宋" w:eastAsia="仿宋" w:cs="仿宋"/>
          <w:color w:val="auto"/>
          <w:sz w:val="28"/>
          <w:szCs w:val="28"/>
          <w:highlight w:val="none"/>
          <w:lang w:val="en-US" w:eastAsia="zh-CN"/>
        </w:rPr>
        <w:t xml:space="preserve">优惠率</w:t>
      </w:r>
      <w:r>
        <w:rPr>
          <w:rFonts w:hint="eastAsia" w:ascii="仿宋" w:hAnsi="仿宋" w:eastAsia="仿宋" w:cs="仿宋"/>
          <w:color w:val="auto"/>
          <w:sz w:val="28"/>
          <w:szCs w:val="28"/>
          <w:highlight w:val="none"/>
        </w:rPr>
        <w:t xml:space="preserve">应包括招标文件所确定的招标范围内的全部内容，其中应包括但不限于自接受项目委托至提交成果，并取得上级生态环境部门审查意见的全部费用，包括现场核查、收集资料费、核查费、人员费（含周末及节假日加班费）、交通费、办公设备费、监测费、专家费、会务费、食宿费、风险费、保险费、税金、利润等政策性文件规定及合同包含的所有风险、责任等各项应有费用，即招标物服务周期结束前的所有费用且包含响应招标文件采购要求的所有费用</w:t>
      </w:r>
      <w:r>
        <w:rPr>
          <w:rFonts w:hint="eastAsia" w:ascii="仿宋" w:hAnsi="仿宋" w:eastAsia="仿宋" w:cs="仿宋"/>
          <w:color w:val="auto"/>
          <w:sz w:val="28"/>
          <w:szCs w:val="28"/>
          <w:highlight w:val="none"/>
          <w:lang w:eastAsia="zh-CN"/>
        </w:rPr>
        <w:t xml:space="preserve">。</w:t>
      </w:r>
      <w:r/>
    </w:p>
    <w:p>
      <w:pPr>
        <w:numPr>
          <w:ilvl w:val="0"/>
          <w:numId w:val="0"/>
        </w:numPr>
        <w:ind w:left="420"/>
        <w:jc w:val="left"/>
        <w:keepLines w:val="0"/>
        <w:keepNext w:val="0"/>
        <w:pageBreakBefore w:val="0"/>
        <w:spacing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4、本项目的结算标准：区域预算金额*（1-中标优惠率%）。</w:t>
      </w:r>
      <w:r/>
    </w:p>
    <w:p>
      <w:pPr>
        <w:numPr>
          <w:ilvl w:val="0"/>
          <w:numId w:val="0"/>
        </w:numPr>
        <w:ind w:left="420"/>
        <w:jc w:val="left"/>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ind w:left="695" w:firstLine="640"/>
        <w:jc w:val="center"/>
        <w:spacing w:line="400" w:lineRule="exact"/>
        <w:rPr>
          <w:rFonts w:hint="eastAsia" w:ascii="仿宋" w:hAnsi="仿宋" w:eastAsia="仿宋" w:cs="仿宋"/>
          <w:color w:val="auto"/>
          <w:sz w:val="32"/>
          <w:szCs w:val="32"/>
          <w:highlight w:val="none"/>
        </w:rPr>
      </w:pPr>
      <w:r/>
      <w:bookmarkStart w:id="108" w:name="OLE_LINK15"/>
      <w:r/>
      <w:bookmarkStart w:id="109" w:name="OLE_LINK16"/>
      <w:r/>
      <w:r/>
    </w:p>
    <w:p>
      <w:pPr>
        <w:ind w:left="695" w:firstLine="640"/>
        <w:jc w:val="center"/>
        <w:spacing w:line="40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left="695" w:firstLine="643"/>
        <w:jc w:val="center"/>
        <w:spacing w:line="4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中小企业声明函</w:t>
      </w:r>
      <w:r/>
    </w:p>
    <w:p>
      <w:pPr>
        <w:ind w:left="695"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本公司（联合体）郑重声明，根据《政府采购促进中小企业发展管理办法》（财库﹝2020﹞46 号）的规定，本公司</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参加</w:t>
      </w:r>
      <w:r>
        <w:rPr>
          <w:rFonts w:hint="eastAsia" w:ascii="仿宋" w:hAnsi="仿宋" w:eastAsia="仿宋" w:cs="仿宋"/>
          <w:color w:val="auto"/>
          <w:sz w:val="24"/>
          <w:highlight w:val="none"/>
          <w:u w:val="single"/>
          <w:lang w:eastAsia="zh-CN"/>
        </w:rPr>
        <w:t xml:space="preserve">南通经济技术开发区生态环境局</w:t>
      </w:r>
      <w:r>
        <w:rPr>
          <w:rFonts w:hint="eastAsia" w:ascii="仿宋" w:hAnsi="仿宋" w:eastAsia="仿宋" w:cs="仿宋"/>
          <w:color w:val="auto"/>
          <w:sz w:val="24"/>
          <w:szCs w:val="24"/>
          <w:highlight w:val="none"/>
          <w:u w:val="single"/>
        </w:rPr>
        <w:t xml:space="preserve">（单位名称）</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lang w:eastAsia="zh-CN"/>
        </w:rPr>
        <w:t xml:space="preserve">南通经济技术开发区开发建设规划环境影响评价采购项目</w:t>
      </w:r>
      <w:r>
        <w:rPr>
          <w:rFonts w:hint="eastAsia" w:ascii="仿宋" w:hAnsi="仿宋" w:eastAsia="仿宋" w:cs="仿宋"/>
          <w:color w:val="auto"/>
          <w:sz w:val="24"/>
          <w:szCs w:val="24"/>
          <w:highlight w:val="none"/>
          <w:u w:val="single"/>
        </w:rPr>
        <w:t xml:space="preserve">（项目名称）</w:t>
      </w:r>
      <w:r>
        <w:rPr>
          <w:rFonts w:hint="eastAsia" w:ascii="仿宋" w:hAnsi="仿宋" w:eastAsia="仿宋" w:cs="仿宋"/>
          <w:color w:val="auto"/>
          <w:sz w:val="24"/>
          <w:szCs w:val="24"/>
          <w:highlight w:val="none"/>
        </w:rPr>
        <w:t xml:space="preserve">采购活动，服务全部由符合政策要求的中小企业承接。</w:t>
      </w:r>
      <w:bookmarkEnd w:id="108"/>
      <w:r>
        <w:rPr>
          <w:rFonts w:hint="eastAsia" w:ascii="仿宋" w:hAnsi="仿宋" w:eastAsia="仿宋" w:cs="仿宋"/>
          <w:color w:val="auto"/>
          <w:sz w:val="24"/>
          <w:szCs w:val="24"/>
          <w:highlight w:val="none"/>
        </w:rPr>
        <w:t xml:space="preserve">根据《工业和信息化部、国家统计局、国家发展和改革委员会、财政部关于印发中小企业划型标准规定的通知》(工信部联企业[2011]300号)的规定，相关企业（含联合体中的</w:t>
      </w:r>
      <w:r>
        <w:rPr>
          <w:rFonts w:hint="eastAsia" w:ascii="仿宋" w:hAnsi="仿宋" w:eastAsia="仿宋" w:cs="仿宋"/>
          <w:color w:val="auto"/>
          <w:sz w:val="24"/>
          <w:szCs w:val="24"/>
          <w:highlight w:val="none"/>
          <w:lang w:val="en-US" w:eastAsia="zh-CN"/>
        </w:rPr>
        <w:t xml:space="preserve">中</w:t>
      </w:r>
      <w:r>
        <w:rPr>
          <w:rFonts w:hint="eastAsia" w:ascii="仿宋" w:hAnsi="仿宋" w:eastAsia="仿宋" w:cs="仿宋"/>
          <w:color w:val="auto"/>
          <w:sz w:val="24"/>
          <w:szCs w:val="24"/>
          <w:highlight w:val="none"/>
        </w:rPr>
        <w:t xml:space="preserve">小微企业、签订分包意向协议的</w:t>
      </w:r>
      <w:r>
        <w:rPr>
          <w:rFonts w:hint="eastAsia" w:ascii="仿宋" w:hAnsi="仿宋" w:eastAsia="仿宋" w:cs="仿宋"/>
          <w:color w:val="auto"/>
          <w:sz w:val="24"/>
          <w:szCs w:val="24"/>
          <w:highlight w:val="none"/>
          <w:lang w:val="en-US" w:eastAsia="zh-CN"/>
        </w:rPr>
        <w:t xml:space="preserve">中</w:t>
      </w:r>
      <w:r>
        <w:rPr>
          <w:rFonts w:hint="eastAsia" w:ascii="仿宋" w:hAnsi="仿宋" w:eastAsia="仿宋" w:cs="仿宋"/>
          <w:color w:val="auto"/>
          <w:sz w:val="24"/>
          <w:szCs w:val="24"/>
          <w:highlight w:val="none"/>
        </w:rPr>
        <w:t xml:space="preserve">小微企业）的具体情况如下：</w:t>
      </w:r>
      <w:r/>
    </w:p>
    <w:p>
      <w:pPr>
        <w:ind w:left="695" w:firstLine="480"/>
        <w:spacing w:line="400" w:lineRule="exact"/>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其他未列明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4"/>
          <w:highlight w:val="none"/>
          <w:vertAlign w:val="superscript"/>
        </w:rPr>
        <w:t xml:space="preserve">1</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中型企业</w:t>
      </w:r>
      <w:r>
        <w:rPr>
          <w:rFonts w:hint="eastAsia" w:ascii="仿宋" w:hAnsi="仿宋" w:eastAsia="仿宋" w:cs="仿宋"/>
          <w:color w:val="auto"/>
          <w:sz w:val="24"/>
          <w:szCs w:val="24"/>
          <w:highlight w:val="none"/>
          <w:u w:val="single"/>
        </w:rPr>
        <w:t xml:space="preserve"> □小型企业 □微型企业）；</w:t>
      </w:r>
      <w:r/>
    </w:p>
    <w:p>
      <w:pPr>
        <w:ind w:left="695" w:firstLine="480"/>
        <w:spacing w:line="400" w:lineRule="exact"/>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b/>
          <w:bCs/>
          <w:color w:val="auto"/>
          <w:sz w:val="24"/>
          <w:szCs w:val="24"/>
          <w:highlight w:val="none"/>
          <w:u w:val="single"/>
        </w:rPr>
        <w:t xml:space="preserve">其他未列明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4"/>
          <w:highlight w:val="none"/>
          <w:vertAlign w:val="superscript"/>
        </w:rPr>
        <w:t xml:space="preserve">1</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中型企业</w:t>
      </w:r>
      <w:r>
        <w:rPr>
          <w:rFonts w:hint="eastAsia" w:ascii="仿宋" w:hAnsi="仿宋" w:eastAsia="仿宋" w:cs="仿宋"/>
          <w:color w:val="auto"/>
          <w:sz w:val="24"/>
          <w:szCs w:val="24"/>
          <w:highlight w:val="none"/>
          <w:u w:val="single"/>
        </w:rPr>
        <w:t xml:space="preserve"> □小型企业 □微型企业）；</w:t>
      </w:r>
      <w:r/>
    </w:p>
    <w:p>
      <w:pPr>
        <w:ind w:left="695"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ind w:left="695"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left="695"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ind w:left="695"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695"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695"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企业名称（加盖CA电子公章）：</w:t>
      </w:r>
      <w:r/>
    </w:p>
    <w:p>
      <w:pPr>
        <w:ind w:left="695"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w:t>
      </w:r>
      <w:r/>
    </w:p>
    <w:p>
      <w:pPr>
        <w:ind w:left="695" w:firstLine="482"/>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left="695" w:firstLine="482"/>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left="695" w:firstLine="482"/>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备注：</w:t>
      </w:r>
      <w:r/>
    </w:p>
    <w:p>
      <w:pPr>
        <w:ind w:left="695" w:firstLine="482"/>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1.从业人员、营业收入、资产总额填报上一年度数据，无上一年度数据的新成立企业可不填报。</w:t>
      </w:r>
      <w:r/>
    </w:p>
    <w:p>
      <w:pPr>
        <w:ind w:left="695" w:firstLine="482"/>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695" w:firstLine="482"/>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3.供应商自行勾选承接企业的企业规模类型。</w:t>
      </w:r>
      <w:r/>
    </w:p>
    <w:p>
      <w:pPr>
        <w:ind w:left="695" w:firstLine="482"/>
        <w:spacing w:line="400" w:lineRule="exact"/>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24"/>
          <w:szCs w:val="24"/>
          <w:highlight w:val="none"/>
        </w:rPr>
        <w:br w:type="page" w:clear="all"/>
      </w:r>
      <w:r/>
    </w:p>
    <w:p>
      <w:pPr>
        <w:ind w:left="695" w:firstLine="482"/>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24"/>
          <w:szCs w:val="24"/>
          <w:highlight w:val="none"/>
        </w:rPr>
        <w:t xml:space="preserve">残疾人福利性单位声明函</w:t>
      </w:r>
      <w:r/>
    </w:p>
    <w:p>
      <w:pPr>
        <w:ind w:left="695" w:firstLine="480"/>
        <w:spacing w:line="588"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w:t>
      </w:r>
      <w:r>
        <w:rPr>
          <w:rFonts w:hint="eastAsia" w:ascii="仿宋" w:hAnsi="仿宋" w:eastAsia="仿宋" w:cs="仿宋"/>
          <w:color w:val="auto"/>
          <w:sz w:val="24"/>
          <w:highlight w:val="none"/>
          <w:u w:val="single"/>
          <w:lang w:eastAsia="zh-CN"/>
        </w:rPr>
        <w:t xml:space="preserve">南通经济技术开发区生态环境局</w:t>
      </w:r>
      <w:r>
        <w:rPr>
          <w:rFonts w:hint="eastAsia" w:ascii="仿宋" w:hAnsi="仿宋" w:eastAsia="仿宋" w:cs="仿宋"/>
          <w:color w:val="auto"/>
          <w:sz w:val="24"/>
          <w:highlight w:val="none"/>
          <w:u w:val="single"/>
        </w:rPr>
        <w:t xml:space="preserve">_</w:t>
      </w:r>
      <w:r>
        <w:rPr>
          <w:rFonts w:hint="eastAsia" w:ascii="仿宋" w:hAnsi="仿宋" w:eastAsia="仿宋" w:cs="仿宋"/>
          <w:color w:val="auto"/>
          <w:sz w:val="24"/>
          <w:highlight w:val="none"/>
        </w:rPr>
        <w:t xml:space="preserve">_单位的采购文件编号为______的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szCs w:val="24"/>
          <w:highlight w:val="none"/>
          <w:u w:val="single"/>
          <w:lang w:eastAsia="zh-CN"/>
        </w:rPr>
        <w:t xml:space="preserve">南通经济技术开发区开发建设规划环境影响评价采购项目</w:t>
      </w:r>
      <w:r>
        <w:rPr>
          <w:rFonts w:hint="eastAsia" w:ascii="仿宋" w:hAnsi="仿宋" w:eastAsia="仿宋" w:cs="仿宋"/>
          <w:color w:val="auto"/>
          <w:sz w:val="24"/>
          <w:highlight w:val="none"/>
        </w:rPr>
        <w:t xml:space="preserve">采购活动由本单位提供服务。</w:t>
      </w:r>
      <w:r/>
    </w:p>
    <w:p>
      <w:pPr>
        <w:ind w:left="695" w:firstLine="480"/>
        <w:spacing w:line="588"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本单位对上述声明的真实性负责。如有虚假，将依法承担相应责任。</w:t>
      </w:r>
      <w:r/>
    </w:p>
    <w:p>
      <w:pPr>
        <w:ind w:left="695"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695"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695" w:firstLine="482"/>
        <w:spacing w:line="48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备注：</w:t>
      </w:r>
      <w:r/>
    </w:p>
    <w:p>
      <w:pPr>
        <w:ind w:left="695" w:firstLine="482"/>
        <w:spacing w:line="0" w:lineRule="atLeas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1.专门面向中小微型企业采购的项目，供应商为残疾人福利性单位并提供服务的必须提供此声明函，否则将不能通过资格审查。</w:t>
      </w:r>
      <w:r/>
    </w:p>
    <w:p>
      <w:pPr>
        <w:ind w:left="695" w:firstLine="482"/>
        <w:spacing w:line="0" w:lineRule="atLeas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2.非专门面向中小微型企业采购的项目，供应商如不提供此声明函，价格将不做相应扣除。</w:t>
      </w:r>
      <w:r/>
    </w:p>
    <w:p>
      <w:pPr>
        <w:ind w:left="695" w:firstLine="482"/>
        <w:spacing w:line="0" w:lineRule="atLeas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3.中标/</w:t>
      </w:r>
      <w:r>
        <w:rPr>
          <w:rFonts w:hint="eastAsia" w:ascii="仿宋" w:hAnsi="仿宋" w:eastAsia="仿宋" w:cs="仿宋"/>
          <w:b/>
          <w:bCs/>
          <w:color w:val="auto"/>
          <w:sz w:val="24"/>
          <w:highlight w:val="none"/>
          <w:lang w:eastAsia="zh-CN"/>
        </w:rPr>
        <w:t xml:space="preserve">中标</w:t>
      </w:r>
      <w:r>
        <w:rPr>
          <w:rFonts w:hint="eastAsia" w:ascii="仿宋" w:hAnsi="仿宋" w:eastAsia="仿宋" w:cs="仿宋"/>
          <w:b/>
          <w:bCs/>
          <w:color w:val="auto"/>
          <w:sz w:val="24"/>
          <w:highlight w:val="none"/>
        </w:rPr>
        <w:t xml:space="preserve">供应商为残疾人福利性单位的，此声明函将随中标/</w:t>
      </w:r>
      <w:r>
        <w:rPr>
          <w:rFonts w:hint="eastAsia" w:ascii="仿宋" w:hAnsi="仿宋" w:eastAsia="仿宋" w:cs="仿宋"/>
          <w:b/>
          <w:bCs/>
          <w:color w:val="auto"/>
          <w:sz w:val="24"/>
          <w:highlight w:val="none"/>
          <w:lang w:eastAsia="zh-CN"/>
        </w:rPr>
        <w:t xml:space="preserve">中标</w:t>
      </w:r>
      <w:r>
        <w:rPr>
          <w:rFonts w:hint="eastAsia" w:ascii="仿宋" w:hAnsi="仿宋" w:eastAsia="仿宋" w:cs="仿宋"/>
          <w:b/>
          <w:bCs/>
          <w:color w:val="auto"/>
          <w:sz w:val="24"/>
          <w:highlight w:val="none"/>
        </w:rPr>
        <w:t xml:space="preserve">结果同时公告，接受社会监督</w:t>
      </w:r>
      <w:r>
        <w:rPr>
          <w:rFonts w:hint="eastAsia" w:ascii="仿宋" w:hAnsi="仿宋" w:eastAsia="仿宋" w:cs="仿宋"/>
          <w:b/>
          <w:bCs/>
          <w:color w:val="auto"/>
          <w:sz w:val="24"/>
          <w:szCs w:val="24"/>
          <w:highlight w:val="none"/>
        </w:rPr>
        <w:t xml:space="preserve">。</w:t>
      </w:r>
      <w:r/>
    </w:p>
    <w:p>
      <w:pPr>
        <w:ind w:left="695" w:right="1560" w:firstLine="480"/>
        <w:jc w:val="center"/>
        <w:spacing w:line="588"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695" w:right="1560" w:firstLine="480"/>
        <w:jc w:val="center"/>
        <w:spacing w:line="588"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695" w:right="1560" w:firstLine="480"/>
        <w:jc w:val="center"/>
        <w:spacing w:line="588"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供应商全称（加盖CA电子公章）：</w:t>
      </w:r>
      <w:r/>
    </w:p>
    <w:p>
      <w:pPr>
        <w:ind w:left="695" w:right="1560" w:firstLine="480"/>
        <w:jc w:val="center"/>
        <w:spacing w:line="588"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  期：</w:t>
      </w:r>
      <w:r/>
    </w:p>
    <w:p>
      <w:pPr>
        <w:ind w:left="695" w:firstLine="640"/>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br w:type="page" w:clear="all"/>
      </w:r>
      <w:r/>
    </w:p>
    <w:p>
      <w:pPr>
        <w:ind w:left="695" w:firstLine="643"/>
        <w:jc w:val="center"/>
        <w:spacing w:line="420" w:lineRule="exact"/>
        <w:rPr>
          <w:rFonts w:hint="eastAsia" w:ascii="仿宋" w:hAnsi="仿宋" w:eastAsia="仿宋" w:cs="仿宋"/>
          <w:b/>
          <w:bCs/>
          <w:color w:val="auto"/>
          <w:sz w:val="32"/>
          <w:szCs w:val="32"/>
          <w:highlight w:val="none"/>
        </w:rPr>
        <w:outlineLvl w:val="3"/>
      </w:pPr>
      <w:r>
        <w:rPr>
          <w:rFonts w:hint="eastAsia" w:ascii="仿宋" w:hAnsi="仿宋" w:eastAsia="仿宋" w:cs="仿宋"/>
          <w:b/>
          <w:bCs/>
          <w:color w:val="auto"/>
          <w:sz w:val="32"/>
          <w:szCs w:val="32"/>
          <w:highlight w:val="none"/>
        </w:rPr>
        <w:t xml:space="preserve">监狱和戒毒企业证明材料</w:t>
      </w:r>
      <w:r/>
    </w:p>
    <w:p>
      <w:pPr>
        <w:ind w:left="695" w:firstLine="562"/>
        <w:jc w:val="center"/>
        <w:spacing w:line="4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（格式自拟）</w:t>
      </w:r>
      <w:r/>
    </w:p>
    <w:p>
      <w:pPr>
        <w:ind w:left="695"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bookmarkEnd w:id="109"/>
      <w:r/>
      <w:r/>
    </w:p>
    <w:p>
      <w:pPr>
        <w:ind w:left="695"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695"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695"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695" w:firstLine="482"/>
        <w:spacing w:line="4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备注：</w:t>
      </w:r>
      <w:r/>
    </w:p>
    <w:p>
      <w:pPr>
        <w:ind w:left="695" w:firstLine="482"/>
        <w:spacing w:line="4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1.专门面向中小微型企业采购的项目，供应商为监狱和戒毒企业并提供服务的必须提供此声明函，否则将不能通过资格审查。</w:t>
      </w:r>
      <w:r/>
    </w:p>
    <w:p>
      <w:pPr>
        <w:ind w:left="695" w:firstLine="482"/>
        <w:spacing w:line="4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2.非专门面向中小微型企业采购的项目，供应商如不提供此声明函，价格将不做相应扣除。</w:t>
      </w:r>
      <w:r/>
    </w:p>
    <w:p>
      <w:pPr>
        <w:ind w:left="695" w:firstLine="482"/>
        <w:spacing w:line="4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3.中标/</w:t>
      </w:r>
      <w:r>
        <w:rPr>
          <w:rFonts w:hint="eastAsia" w:ascii="仿宋" w:hAnsi="仿宋" w:eastAsia="仿宋" w:cs="仿宋"/>
          <w:b/>
          <w:bCs/>
          <w:color w:val="auto"/>
          <w:sz w:val="24"/>
          <w:szCs w:val="24"/>
          <w:highlight w:val="none"/>
          <w:lang w:eastAsia="zh-CN"/>
        </w:rPr>
        <w:t xml:space="preserve">中标</w:t>
      </w:r>
      <w:r>
        <w:rPr>
          <w:rFonts w:hint="eastAsia" w:ascii="仿宋" w:hAnsi="仿宋" w:eastAsia="仿宋" w:cs="仿宋"/>
          <w:b/>
          <w:bCs/>
          <w:color w:val="auto"/>
          <w:sz w:val="24"/>
          <w:szCs w:val="24"/>
          <w:highlight w:val="none"/>
        </w:rPr>
        <w:t xml:space="preserve">供应商为监狱和戒毒企业单位的，此声明函将随中标/</w:t>
      </w:r>
      <w:r>
        <w:rPr>
          <w:rFonts w:hint="eastAsia" w:ascii="仿宋" w:hAnsi="仿宋" w:eastAsia="仿宋" w:cs="仿宋"/>
          <w:b/>
          <w:bCs/>
          <w:color w:val="auto"/>
          <w:sz w:val="24"/>
          <w:szCs w:val="24"/>
          <w:highlight w:val="none"/>
          <w:lang w:eastAsia="zh-CN"/>
        </w:rPr>
        <w:t xml:space="preserve">中标</w:t>
      </w:r>
      <w:r>
        <w:rPr>
          <w:rFonts w:hint="eastAsia" w:ascii="仿宋" w:hAnsi="仿宋" w:eastAsia="仿宋" w:cs="仿宋"/>
          <w:b/>
          <w:bCs/>
          <w:color w:val="auto"/>
          <w:sz w:val="24"/>
          <w:szCs w:val="24"/>
          <w:highlight w:val="none"/>
        </w:rPr>
        <w:t xml:space="preserve">结果同时公告，接受社会监督。</w:t>
      </w:r>
      <w:r/>
    </w:p>
    <w:p>
      <w:pPr>
        <w:ind w:left="695" w:right="1560" w:firstLine="480"/>
        <w:jc w:val="center"/>
        <w:spacing w:line="588"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供应商全称（加盖CA电子公章）：</w:t>
      </w:r>
      <w:r/>
    </w:p>
    <w:p>
      <w:pPr>
        <w:ind w:left="695" w:right="1560" w:firstLine="480"/>
        <w:jc w:val="center"/>
        <w:spacing w:line="588"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  期：</w:t>
      </w:r>
      <w:r/>
    </w:p>
    <w:p>
      <w:pPr>
        <w:ind w:left="695" w:firstLine="640"/>
        <w:rPr>
          <w:rFonts w:hint="eastAsia" w:ascii="仿宋" w:hAnsi="仿宋" w:eastAsia="仿宋" w:cs="仿宋"/>
          <w:color w:val="auto"/>
          <w:sz w:val="24"/>
          <w:szCs w:val="24"/>
          <w:highlight w:val="none"/>
        </w:rPr>
      </w:pPr>
      <w:r>
        <w:rPr>
          <w:rFonts w:hint="eastAsia" w:ascii="仿宋" w:hAnsi="仿宋" w:eastAsia="仿宋" w:cs="仿宋"/>
          <w:color w:val="auto"/>
          <w:sz w:val="32"/>
          <w:szCs w:val="32"/>
          <w:highlight w:val="none"/>
        </w:rPr>
        <w:br w:type="page" w:clear="all"/>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质疑函范本</w:t>
      </w:r>
      <w:r/>
    </w:p>
    <w:p>
      <w:pPr>
        <w:spacing w:before="312"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一、质疑投标单位基本信息</w:t>
      </w:r>
      <w:r/>
    </w:p>
    <w:p>
      <w:pPr>
        <w:spacing w:line="360" w:lineRule="auto"/>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质疑投标单位：</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地址：邮编：</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联系人：联系电话：</w:t>
      </w:r>
      <w:r/>
    </w:p>
    <w:p>
      <w:pPr>
        <w:spacing w:line="360" w:lineRule="auto"/>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授权代表：</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联系电话：</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地址：邮编：</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二、质疑项目基本情况</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质疑项目的名称：</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质疑项目的编号：包号：</w:t>
      </w:r>
      <w:r/>
    </w:p>
    <w:p>
      <w:pPr>
        <w:spacing w:line="360" w:lineRule="auto"/>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采购人名称：</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采购文件获取日期：</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三、质疑事项具体内容</w:t>
      </w:r>
      <w:r/>
    </w:p>
    <w:p>
      <w:pPr>
        <w:spacing w:line="360" w:lineRule="auto"/>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质疑事项1：</w:t>
      </w:r>
      <w:r/>
    </w:p>
    <w:p>
      <w:pPr>
        <w:spacing w:line="360" w:lineRule="auto"/>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事实依据：</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法律依据：</w:t>
      </w:r>
      <w:r/>
    </w:p>
    <w:p>
      <w:pPr>
        <w:spacing w:line="360" w:lineRule="auto"/>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u w:val="single"/>
        </w:rPr>
      </w:r>
      <w:r/>
    </w:p>
    <w:p>
      <w:pPr>
        <w:spacing w:line="360" w:lineRule="auto"/>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质疑事项2</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四、与质疑事项相关的质疑请求</w:t>
      </w:r>
      <w:r/>
    </w:p>
    <w:p>
      <w:pPr>
        <w:spacing w:line="360" w:lineRule="auto"/>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请求：</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签字(签章)：                   公章：                      </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日期：    </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质疑函制作说明：</w:t>
      </w:r>
      <w:r/>
    </w:p>
    <w:p>
      <w:pPr>
        <w:ind w:firstLine="640"/>
        <w:jc w:val="left"/>
        <w:spacing w:line="360" w:lineRule="auto"/>
        <w:widowControl/>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1.投标单位提出质疑时，应提交质疑函和必要的证明材料。</w:t>
      </w:r>
      <w:r/>
    </w:p>
    <w:p>
      <w:pPr>
        <w:ind w:firstLine="640"/>
        <w:jc w:val="left"/>
        <w:spacing w:line="360" w:lineRule="auto"/>
        <w:widowControl/>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质疑投标单位若委托代理人进行质疑的，质疑函应按要求列明“授权代表”的有关内容，并在附件中提交由质疑投标单位签署的授权委托书。授权委托书应载明代理人的姓名或者名称、代理事项、具体权限、期限和相关事项。</w:t>
      </w:r>
      <w:r/>
    </w:p>
    <w:p>
      <w:pPr>
        <w:ind w:firstLine="640"/>
        <w:jc w:val="left"/>
        <w:spacing w:line="360" w:lineRule="auto"/>
        <w:widowControl/>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3.质疑投标单位若对项目的某一分包进行质疑，质疑函中应列明具体分包号。</w:t>
      </w:r>
      <w:r/>
    </w:p>
    <w:p>
      <w:pPr>
        <w:ind w:firstLine="640"/>
        <w:jc w:val="left"/>
        <w:spacing w:line="360" w:lineRule="auto"/>
        <w:widowControl/>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4.质疑函的质疑事项应具体、明确，并有必要的事实依据和法律依据。</w:t>
      </w:r>
      <w:r/>
    </w:p>
    <w:p>
      <w:pPr>
        <w:ind w:firstLine="640"/>
        <w:jc w:val="left"/>
        <w:spacing w:line="360" w:lineRule="auto"/>
        <w:widowControl/>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5.质疑函的质疑请求应与质疑事项相关。</w:t>
      </w:r>
      <w:r/>
    </w:p>
    <w:p>
      <w:pPr>
        <w:ind w:firstLine="640"/>
        <w:jc w:val="left"/>
        <w:spacing w:line="360" w:lineRule="auto"/>
        <w:widowControl/>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6.质疑投标单位为自然人的，质疑函应由本人签字；质疑投标单位为法人或者其他组织的，质疑函应由法定代表人、主要负责人，或者其授权代表签字或者盖章，并加盖公章。</w:t>
      </w:r>
      <w:r/>
    </w:p>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p>
    <w:p>
      <w:pPr>
        <w:spacing w:line="360" w:lineRule="auto"/>
        <w:rPr>
          <w:rFonts w:hint="eastAsia" w:ascii="仿宋" w:hAnsi="仿宋" w:eastAsia="仿宋" w:cs="仿宋"/>
          <w:color w:val="auto"/>
          <w:highlight w:val="none"/>
        </w:rPr>
      </w:pPr>
      <w:r>
        <w:rPr>
          <w:rFonts w:hint="eastAsia" w:ascii="仿宋" w:hAnsi="仿宋" w:eastAsia="仿宋" w:cs="仿宋"/>
          <w:bCs/>
          <w:color w:val="auto"/>
          <w:sz w:val="28"/>
          <w:szCs w:val="28"/>
          <w:highlight w:val="none"/>
        </w:rPr>
        <w:br w:type="page" w:clear="all"/>
      </w:r>
      <w:r/>
    </w:p>
    <w:p>
      <w:pPr>
        <w:ind w:right="105"/>
        <w:jc w:val="center"/>
        <w:spacing w:before="240" w:line="360" w:lineRule="auto"/>
        <w:rPr>
          <w:rFonts w:hint="eastAsia" w:ascii="仿宋" w:hAnsi="仿宋" w:eastAsia="仿宋" w:cs="仿宋"/>
          <w:bCs/>
          <w:color w:val="auto"/>
          <w:sz w:val="72"/>
          <w:szCs w:val="72"/>
          <w:highlight w:val="none"/>
        </w:rPr>
      </w:pPr>
      <w:r>
        <w:rPr>
          <w:rFonts w:hint="eastAsia" w:ascii="仿宋" w:hAnsi="仿宋" w:eastAsia="仿宋" w:cs="仿宋"/>
          <w:bCs/>
          <w:color w:val="auto"/>
          <w:sz w:val="72"/>
          <w:szCs w:val="72"/>
          <w:highlight w:val="none"/>
        </w:rPr>
      </w:r>
      <w:r/>
    </w:p>
    <w:p>
      <w:pPr>
        <w:ind w:left="695" w:firstLine="643"/>
        <w:spacing w:line="480" w:lineRule="auto"/>
        <w:rPr>
          <w:rFonts w:hint="eastAsia" w:ascii="仿宋" w:hAnsi="仿宋" w:eastAsia="仿宋" w:cs="仿宋"/>
          <w:b/>
          <w:color w:val="auto"/>
          <w:sz w:val="32"/>
          <w:szCs w:val="32"/>
          <w:highlight w:val="none"/>
        </w:rPr>
        <w:outlineLvl w:val="0"/>
      </w:pPr>
      <w:r>
        <w:rPr>
          <w:rFonts w:hint="eastAsia" w:ascii="仿宋" w:hAnsi="仿宋" w:eastAsia="仿宋" w:cs="仿宋"/>
          <w:b/>
          <w:bCs/>
          <w:color w:val="auto"/>
          <w:sz w:val="32"/>
          <w:szCs w:val="32"/>
          <w:highlight w:val="none"/>
        </w:rPr>
        <w:t xml:space="preserve"> </w:t>
      </w:r>
      <w:r>
        <w:rPr>
          <w:rFonts w:hint="eastAsia" w:ascii="仿宋" w:hAnsi="仿宋" w:eastAsia="仿宋" w:cs="仿宋"/>
          <w:b/>
          <w:color w:val="auto"/>
          <w:sz w:val="32"/>
          <w:szCs w:val="32"/>
          <w:highlight w:val="none"/>
        </w:rPr>
        <w:t xml:space="preserve">政府采购合同</w:t>
      </w:r>
      <w:r/>
    </w:p>
    <w:p>
      <w:pPr>
        <w:ind w:left="695" w:firstLine="48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合同编号：</w:t>
      </w:r>
      <w:r>
        <w:rPr>
          <w:rFonts w:hint="eastAsia" w:ascii="仿宋" w:hAnsi="仿宋" w:eastAsia="仿宋" w:cs="仿宋"/>
          <w:color w:val="auto"/>
          <w:sz w:val="24"/>
          <w:highlight w:val="none"/>
          <w:u w:val="single"/>
        </w:rPr>
        <w:t xml:space="preserve">           </w:t>
      </w:r>
      <w:r/>
    </w:p>
    <w:p>
      <w:pPr>
        <w:ind w:left="695" w:firstLine="883"/>
        <w:jc w:val="center"/>
        <w:spacing w:line="480" w:lineRule="auto"/>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t xml:space="preserve">政府采购合同参考范本</w:t>
      </w:r>
      <w:r/>
    </w:p>
    <w:p>
      <w:pPr>
        <w:ind w:left="695" w:firstLine="482"/>
        <w:jc w:val="center"/>
        <w:spacing w:line="48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（服务类）</w:t>
      </w:r>
      <w:r/>
    </w:p>
    <w:p>
      <w:pPr>
        <w:pStyle w:val="985"/>
        <w:ind w:left="695" w:firstLine="402"/>
        <w:jc w:val="center"/>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t xml:space="preserve">第一部分</w:t>
      </w:r>
      <w:r>
        <w:rPr>
          <w:rFonts w:hint="eastAsia" w:ascii="仿宋" w:hAnsi="仿宋" w:eastAsia="仿宋" w:cs="仿宋"/>
          <w:b/>
          <w:color w:val="auto"/>
          <w:szCs w:val="24"/>
          <w:highlight w:val="none"/>
          <w:lang w:val="en-US" w:eastAsia="zh-CN"/>
        </w:rPr>
        <w:t xml:space="preserve">    </w:t>
      </w:r>
      <w:r>
        <w:rPr>
          <w:rFonts w:hint="eastAsia" w:ascii="仿宋" w:hAnsi="仿宋" w:eastAsia="仿宋" w:cs="仿宋"/>
          <w:b/>
          <w:color w:val="auto"/>
          <w:szCs w:val="24"/>
          <w:highlight w:val="none"/>
        </w:rPr>
        <w:t xml:space="preserve"> 合同书</w:t>
      </w:r>
      <w:r/>
    </w:p>
    <w:p>
      <w:pPr>
        <w:ind w:left="695" w:firstLine="480"/>
        <w:spacing w:before="120" w:line="22"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695" w:firstLine="480"/>
        <w:spacing w:before="120" w:line="22"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695" w:firstLine="480"/>
        <w:spacing w:before="120" w:line="22"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695" w:firstLine="480"/>
        <w:spacing w:before="120" w:line="22"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lang w:eastAsia="zh-CN"/>
        </w:rPr>
        <w:t xml:space="preserve">南通经济技术开发区开发建设规划环境影响评价项目</w:t>
      </w:r>
      <w:r>
        <w:rPr>
          <w:rFonts w:hint="eastAsia" w:ascii="仿宋" w:hAnsi="仿宋" w:eastAsia="仿宋" w:cs="仿宋"/>
          <w:color w:val="auto"/>
          <w:sz w:val="24"/>
          <w:highlight w:val="none"/>
        </w:rPr>
        <w:t xml:space="preserve">                                   </w:t>
      </w:r>
      <w:r/>
    </w:p>
    <w:p>
      <w:pPr>
        <w:ind w:left="695" w:firstLine="480"/>
        <w:spacing w:before="120" w:line="22"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695" w:firstLine="480"/>
        <w:spacing w:before="120" w:line="22"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695" w:firstLine="480"/>
        <w:spacing w:before="120" w:line="22"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695" w:firstLine="480"/>
        <w:spacing w:before="120" w:line="22"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695" w:firstLine="480"/>
        <w:spacing w:before="120" w:line="22" w:lineRule="atLeas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甲方：  </w:t>
      </w:r>
      <w:r>
        <w:rPr>
          <w:rFonts w:hint="eastAsia" w:ascii="仿宋" w:hAnsi="仿宋" w:eastAsia="仿宋" w:cs="仿宋"/>
          <w:color w:val="auto"/>
          <w:sz w:val="24"/>
          <w:highlight w:val="none"/>
          <w:lang w:eastAsia="zh-CN"/>
        </w:rPr>
        <w:t xml:space="preserve">南通经济技术开发区生态环境局</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r/>
    </w:p>
    <w:p>
      <w:pPr>
        <w:ind w:left="695" w:firstLine="480"/>
        <w:spacing w:before="120" w:line="22" w:lineRule="atLeas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乙方：</w:t>
      </w:r>
      <w:r>
        <w:rPr>
          <w:rFonts w:hint="eastAsia" w:ascii="仿宋" w:hAnsi="仿宋" w:eastAsia="仿宋" w:cs="仿宋"/>
          <w:color w:val="auto"/>
          <w:sz w:val="24"/>
          <w:highlight w:val="none"/>
          <w:u w:val="single"/>
        </w:rPr>
        <w:t xml:space="preserve">                                       </w:t>
      </w:r>
      <w:r/>
    </w:p>
    <w:p>
      <w:pPr>
        <w:ind w:left="695" w:firstLine="480"/>
        <w:spacing w:before="120" w:line="22" w:lineRule="atLeas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签订地：</w:t>
      </w:r>
      <w:r>
        <w:rPr>
          <w:rFonts w:hint="eastAsia" w:ascii="仿宋" w:hAnsi="仿宋" w:eastAsia="仿宋" w:cs="仿宋"/>
          <w:color w:val="auto"/>
          <w:sz w:val="24"/>
          <w:highlight w:val="none"/>
          <w:u w:val="single"/>
        </w:rPr>
        <w:t xml:space="preserve">                                     </w:t>
      </w:r>
      <w:r/>
    </w:p>
    <w:p>
      <w:pPr>
        <w:ind w:left="695" w:firstLine="480"/>
        <w:spacing w:before="120" w:line="22" w:lineRule="atLeas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签订日期：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w:t>
      </w:r>
      <w:r/>
    </w:p>
    <w:p>
      <w:pPr>
        <w:ind w:left="695" w:firstLine="0"/>
        <w:jc w:val="center"/>
        <w:spacing w:line="600" w:lineRule="exact"/>
        <w:rPr>
          <w:rFonts w:hint="eastAsia" w:ascii="仿宋" w:hAnsi="仿宋" w:eastAsia="仿宋" w:cs="仿宋"/>
          <w:color w:val="auto"/>
          <w:sz w:val="24"/>
          <w:highlight w:val="none"/>
        </w:rPr>
        <w:sectPr>
          <w:headerReference w:type="default" r:id="rId9"/>
          <w:footerReference w:type="default" r:id="rId11"/>
          <w:footnotePr/>
          <w:endnotePr/>
          <w:type w:val="nextPage"/>
          <w:pgSz w:w="11907" w:h="16840" w:orient="portrait"/>
          <w:pgMar w:top="720" w:right="720" w:bottom="720" w:left="720" w:header="851" w:footer="851" w:gutter="0"/>
          <w:cols w:num="1" w:sep="0" w:space="720" w:equalWidth="1"/>
          <w:docGrid w:linePitch="360"/>
        </w:sectPr>
      </w:pPr>
      <w:r>
        <w:rPr>
          <w:rFonts w:hint="eastAsia" w:ascii="仿宋" w:hAnsi="仿宋" w:eastAsia="仿宋" w:cs="仿宋"/>
          <w:color w:val="auto"/>
          <w:sz w:val="24"/>
          <w:highlight w:val="none"/>
        </w:rPr>
      </w:r>
      <w:r/>
    </w:p>
    <w:p>
      <w:pPr>
        <w:ind w:left="695" w:firstLine="96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年</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月</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日</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（采购人名称）   </w:t>
      </w:r>
      <w:r>
        <w:rPr>
          <w:rFonts w:hint="eastAsia" w:ascii="仿宋" w:hAnsi="仿宋" w:eastAsia="仿宋" w:cs="仿宋"/>
          <w:color w:val="auto"/>
          <w:sz w:val="24"/>
          <w:highlight w:val="none"/>
        </w:rPr>
        <w:t xml:space="preserve">以</w:t>
      </w:r>
      <w:r>
        <w:rPr>
          <w:rFonts w:hint="eastAsia" w:ascii="仿宋" w:hAnsi="仿宋" w:eastAsia="仿宋" w:cs="仿宋"/>
          <w:color w:val="auto"/>
          <w:sz w:val="24"/>
          <w:highlight w:val="none"/>
          <w:u w:val="single"/>
        </w:rPr>
        <w:t xml:space="preserve">   （政府采购方式）  </w:t>
      </w:r>
      <w:r>
        <w:rPr>
          <w:rFonts w:hint="eastAsia" w:ascii="仿宋" w:hAnsi="仿宋" w:eastAsia="仿宋" w:cs="仿宋"/>
          <w:color w:val="auto"/>
          <w:sz w:val="24"/>
          <w:highlight w:val="none"/>
        </w:rPr>
        <w:t xml:space="preserve">对</w:t>
      </w:r>
      <w:r>
        <w:rPr>
          <w:rFonts w:hint="eastAsia" w:ascii="仿宋" w:hAnsi="仿宋" w:eastAsia="仿宋" w:cs="仿宋"/>
          <w:color w:val="auto"/>
          <w:sz w:val="24"/>
          <w:highlight w:val="none"/>
          <w:u w:val="single"/>
        </w:rPr>
        <w:t xml:space="preserve">   （同前页项目名称）   </w:t>
      </w:r>
      <w:r>
        <w:rPr>
          <w:rFonts w:hint="eastAsia" w:ascii="仿宋" w:hAnsi="仿宋" w:eastAsia="仿宋" w:cs="仿宋"/>
          <w:color w:val="auto"/>
          <w:sz w:val="24"/>
          <w:highlight w:val="none"/>
        </w:rPr>
        <w:t xml:space="preserve">项目进行了采购。经</w:t>
      </w:r>
      <w:r>
        <w:rPr>
          <w:rFonts w:hint="eastAsia" w:ascii="仿宋" w:hAnsi="仿宋" w:eastAsia="仿宋" w:cs="仿宋"/>
          <w:color w:val="auto"/>
          <w:sz w:val="24"/>
          <w:highlight w:val="none"/>
          <w:u w:val="single"/>
        </w:rPr>
        <w:t xml:space="preserve">   （相关评定主体名称）   </w:t>
      </w:r>
      <w:r>
        <w:rPr>
          <w:rFonts w:hint="eastAsia" w:ascii="仿宋" w:hAnsi="仿宋" w:eastAsia="仿宋" w:cs="仿宋"/>
          <w:color w:val="auto"/>
          <w:sz w:val="24"/>
          <w:highlight w:val="none"/>
        </w:rPr>
        <w:t xml:space="preserve">评定，</w:t>
      </w:r>
      <w:r>
        <w:rPr>
          <w:rFonts w:hint="eastAsia" w:ascii="仿宋" w:hAnsi="仿宋" w:eastAsia="仿宋" w:cs="仿宋"/>
          <w:color w:val="auto"/>
          <w:sz w:val="24"/>
          <w:highlight w:val="none"/>
          <w:u w:val="single"/>
        </w:rPr>
        <w:t xml:space="preserve">   （中标供应商名称） </w:t>
      </w:r>
      <w:r>
        <w:rPr>
          <w:rFonts w:hint="eastAsia" w:ascii="仿宋" w:hAnsi="仿宋" w:eastAsia="仿宋" w:cs="仿宋"/>
          <w:color w:val="auto"/>
          <w:sz w:val="24"/>
          <w:highlight w:val="none"/>
        </w:rPr>
        <w:t xml:space="preserve">为该项目中标供应商。现于中标通知书发出之日起三十日内，按照采购文件确定的事项签订本合同。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根据《中华人民共和国合同法》、《中华人民共和国政府采购法》等相关法律法规之规定，按照平等、自愿、公平和诚实信用的原则，经</w:t>
      </w:r>
      <w:r>
        <w:rPr>
          <w:rFonts w:hint="eastAsia" w:ascii="仿宋" w:hAnsi="仿宋" w:eastAsia="仿宋" w:cs="仿宋"/>
          <w:color w:val="auto"/>
          <w:sz w:val="24"/>
          <w:highlight w:val="none"/>
          <w:u w:val="single"/>
        </w:rPr>
        <w:t xml:space="preserve">   （采购人名称）   </w:t>
      </w:r>
      <w:r>
        <w:rPr>
          <w:rFonts w:hint="eastAsia" w:ascii="仿宋" w:hAnsi="仿宋" w:eastAsia="仿宋" w:cs="仿宋"/>
          <w:color w:val="auto"/>
          <w:sz w:val="24"/>
          <w:highlight w:val="none"/>
          <w:lang w:val="zh-CN"/>
        </w:rPr>
        <w:t xml:space="preserve">(以下简称：甲方)和</w:t>
      </w:r>
      <w:r>
        <w:rPr>
          <w:rFonts w:hint="eastAsia" w:ascii="仿宋" w:hAnsi="仿宋" w:eastAsia="仿宋" w:cs="仿宋"/>
          <w:color w:val="auto"/>
          <w:sz w:val="24"/>
          <w:highlight w:val="none"/>
          <w:u w:val="single"/>
        </w:rPr>
        <w:t xml:space="preserve">   （中标供应商名称）   </w:t>
      </w:r>
      <w:r>
        <w:rPr>
          <w:rFonts w:hint="eastAsia" w:ascii="仿宋" w:hAnsi="仿宋" w:eastAsia="仿宋" w:cs="仿宋"/>
          <w:color w:val="auto"/>
          <w:sz w:val="24"/>
          <w:highlight w:val="none"/>
          <w:lang w:val="zh-CN"/>
        </w:rPr>
        <w:t xml:space="preserve">(以下简称：乙方)协商一致，约定以下合同</w:t>
      </w:r>
      <w:r>
        <w:rPr>
          <w:rFonts w:hint="eastAsia" w:ascii="仿宋" w:hAnsi="仿宋" w:eastAsia="仿宋" w:cs="仿宋"/>
          <w:color w:val="auto"/>
          <w:sz w:val="24"/>
          <w:highlight w:val="none"/>
        </w:rPr>
        <w:t xml:space="preserve">条款，以兹共同遵守、全面履行。</w:t>
      </w:r>
      <w:r/>
    </w:p>
    <w:p>
      <w:pPr>
        <w:ind w:left="695" w:firstLine="482"/>
        <w:spacing w:line="560" w:lineRule="exact"/>
        <w:rPr>
          <w:rFonts w:hint="eastAsia" w:ascii="仿宋" w:hAnsi="仿宋" w:eastAsia="仿宋" w:cs="仿宋"/>
          <w:color w:val="auto"/>
          <w:sz w:val="24"/>
          <w:highlight w:val="none"/>
        </w:rPr>
        <w:outlineLvl w:val="0"/>
      </w:pPr>
      <w:r/>
      <w:bookmarkStart w:id="110" w:name="_Toc19273"/>
      <w:r/>
      <w:bookmarkStart w:id="111" w:name="_Toc15367"/>
      <w:r/>
      <w:bookmarkStart w:id="112" w:name="_Toc28855"/>
      <w:r/>
      <w:bookmarkStart w:id="113" w:name="_Toc20421"/>
      <w:r/>
      <w:bookmarkStart w:id="114" w:name="_Toc22967"/>
      <w:r>
        <w:rPr>
          <w:rFonts w:hint="eastAsia" w:ascii="仿宋" w:hAnsi="仿宋" w:eastAsia="仿宋" w:cs="仿宋"/>
          <w:b/>
          <w:color w:val="auto"/>
          <w:sz w:val="24"/>
          <w:highlight w:val="none"/>
        </w:rPr>
        <w:t xml:space="preserve">1.1 合同组成部分</w:t>
      </w:r>
      <w:bookmarkEnd w:id="110"/>
      <w:r/>
      <w:bookmarkEnd w:id="111"/>
      <w:r/>
      <w:bookmarkEnd w:id="112"/>
      <w:r/>
      <w:bookmarkEnd w:id="113"/>
      <w:r/>
      <w:bookmarkEnd w:id="114"/>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1.1.1 本合同及其补充合同、变更协议；</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1.1.2 中标通知书；</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1.1.3 投标文件（含澄清或者说明文件）；</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1.1.4 招标文件（含澄清或者修改文件）；</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1.1.5 其他相关采购文件。</w:t>
      </w:r>
      <w:r/>
    </w:p>
    <w:p>
      <w:pPr>
        <w:ind w:left="695" w:firstLine="482"/>
        <w:spacing w:line="560" w:lineRule="exact"/>
        <w:rPr>
          <w:rFonts w:hint="eastAsia" w:ascii="仿宋" w:hAnsi="仿宋" w:eastAsia="仿宋" w:cs="仿宋"/>
          <w:b/>
          <w:color w:val="auto"/>
          <w:sz w:val="24"/>
          <w:highlight w:val="none"/>
        </w:rPr>
        <w:outlineLvl w:val="0"/>
      </w:pPr>
      <w:r/>
      <w:bookmarkStart w:id="115" w:name="_Toc6773"/>
      <w:r/>
      <w:bookmarkStart w:id="116" w:name="_Toc2918"/>
      <w:r/>
      <w:bookmarkStart w:id="117" w:name="_Toc22185"/>
      <w:r/>
      <w:bookmarkStart w:id="118" w:name="_Toc6311"/>
      <w:r/>
      <w:bookmarkStart w:id="119" w:name="_Toc18585"/>
      <w:r>
        <w:rPr>
          <w:rFonts w:hint="eastAsia" w:ascii="仿宋" w:hAnsi="仿宋" w:eastAsia="仿宋" w:cs="仿宋"/>
          <w:b/>
          <w:color w:val="auto"/>
          <w:sz w:val="24"/>
          <w:highlight w:val="none"/>
        </w:rPr>
        <w:t xml:space="preserve">1.2 标的</w:t>
      </w:r>
      <w:bookmarkEnd w:id="115"/>
      <w:r/>
      <w:bookmarkEnd w:id="116"/>
      <w:r/>
      <w:bookmarkEnd w:id="117"/>
      <w:r/>
      <w:bookmarkEnd w:id="118"/>
      <w:r/>
      <w:bookmarkEnd w:id="119"/>
      <w:r/>
      <w:r/>
    </w:p>
    <w:p>
      <w:pPr>
        <w:ind w:left="695" w:firstLine="48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1.2.1 标的名称：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1.2.2 标的数量：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1.2.3 标的质量：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2"/>
        <w:spacing w:line="560" w:lineRule="exact"/>
        <w:rPr>
          <w:rFonts w:hint="eastAsia" w:ascii="仿宋" w:hAnsi="仿宋" w:eastAsia="仿宋" w:cs="仿宋"/>
          <w:b/>
          <w:color w:val="auto"/>
          <w:sz w:val="24"/>
          <w:highlight w:val="none"/>
        </w:rPr>
        <w:outlineLvl w:val="0"/>
      </w:pPr>
      <w:r/>
      <w:bookmarkStart w:id="120" w:name="_Toc4929"/>
      <w:r/>
      <w:bookmarkStart w:id="121" w:name="_Toc21124"/>
      <w:r/>
      <w:bookmarkStart w:id="122" w:name="_Toc1386"/>
      <w:r/>
      <w:bookmarkStart w:id="123" w:name="_Toc13918"/>
      <w:r/>
      <w:bookmarkStart w:id="124" w:name="_Toc5635"/>
      <w:r>
        <w:rPr>
          <w:rFonts w:hint="eastAsia" w:ascii="仿宋" w:hAnsi="仿宋" w:eastAsia="仿宋" w:cs="仿宋"/>
          <w:b/>
          <w:color w:val="auto"/>
          <w:sz w:val="24"/>
          <w:highlight w:val="none"/>
        </w:rPr>
        <w:t xml:space="preserve">1.3 价款</w:t>
      </w:r>
      <w:bookmarkEnd w:id="120"/>
      <w:r/>
      <w:bookmarkEnd w:id="121"/>
      <w:r/>
      <w:bookmarkEnd w:id="122"/>
      <w:r/>
      <w:bookmarkEnd w:id="123"/>
      <w:r/>
      <w:bookmarkEnd w:id="124"/>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本合同</w:t>
      </w:r>
      <w:r>
        <w:rPr>
          <w:rFonts w:hint="eastAsia" w:ascii="仿宋" w:hAnsi="仿宋" w:eastAsia="仿宋" w:cs="仿宋"/>
          <w:color w:val="auto"/>
          <w:sz w:val="24"/>
          <w:highlight w:val="none"/>
          <w:lang w:val="en-US" w:eastAsia="zh-CN"/>
        </w:rPr>
        <w:t xml:space="preserve">中标优惠率</w:t>
      </w:r>
      <w:r>
        <w:rPr>
          <w:rFonts w:hint="eastAsia" w:ascii="仿宋" w:hAnsi="仿宋" w:eastAsia="仿宋" w:cs="仿宋"/>
          <w:color w:val="auto"/>
          <w:sz w:val="24"/>
          <w:highlight w:val="none"/>
        </w:rPr>
        <w:t xml:space="preserve">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（大写：</w:t>
      </w:r>
      <w:r>
        <w:rPr>
          <w:rFonts w:hint="eastAsia" w:ascii="仿宋" w:hAnsi="仿宋" w:eastAsia="仿宋" w:cs="仿宋"/>
          <w:color w:val="auto"/>
          <w:sz w:val="24"/>
          <w:highlight w:val="none"/>
          <w:lang w:val="en-US" w:eastAsia="zh-CN"/>
        </w:rPr>
        <w:t xml:space="preserve">百分之</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w:t>
      </w:r>
      <w:r/>
    </w:p>
    <w:p>
      <w:pPr>
        <w:ind w:left="695" w:firstLine="48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分项价格：</w:t>
      </w:r>
      <w:r/>
    </w:p>
    <w:tbl>
      <w:tblPr>
        <w:tblStyle w:val="7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pStyle w:val="1013"/>
              <w:jc w:val="both"/>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3402" w:type="dxa"/>
            <w:vAlign w:val="center"/>
            <w:textDirection w:val="lrTb"/>
            <w:noWrap w:val="false"/>
          </w:tcPr>
          <w:p>
            <w:pPr>
              <w:pStyle w:val="1013"/>
              <w:ind w:left="695" w:firstLine="240"/>
              <w:jc w:val="both"/>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区域</w:t>
            </w:r>
            <w:r>
              <w:rPr>
                <w:rFonts w:hint="eastAsia" w:ascii="仿宋" w:hAnsi="仿宋" w:eastAsia="仿宋" w:cs="仿宋"/>
                <w:color w:val="auto"/>
                <w:sz w:val="24"/>
                <w:szCs w:val="24"/>
                <w:highlight w:val="none"/>
              </w:rPr>
              <w:t xml:space="preserve">名称</w:t>
            </w:r>
            <w:r/>
          </w:p>
        </w:tc>
        <w:tc>
          <w:tcPr>
            <w:tcW w:w="2552" w:type="dxa"/>
            <w:vAlign w:val="center"/>
            <w:textDirection w:val="lrTb"/>
            <w:noWrap w:val="false"/>
          </w:tcPr>
          <w:p>
            <w:pPr>
              <w:pStyle w:val="1013"/>
              <w:ind w:left="695" w:firstLine="0"/>
              <w:jc w:val="both"/>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分项价格</w:t>
            </w:r>
            <w:r/>
          </w:p>
        </w:tc>
      </w:tr>
      <w:tr>
        <w:trPr>
          <w:jc w:val="center"/>
          <w:trHeight w:val="369"/>
        </w:trPr>
        <w:tc>
          <w:tcPr>
            <w:tcW w:w="1201" w:type="dxa"/>
            <w:vAlign w:val="center"/>
            <w:textDirection w:val="lrTb"/>
            <w:noWrap w:val="false"/>
          </w:tcPr>
          <w:p>
            <w:pPr>
              <w:pStyle w:val="1013"/>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402" w:type="dxa"/>
            <w:vAlign w:val="center"/>
            <w:textDirection w:val="lrTb"/>
            <w:noWrap w:val="false"/>
          </w:tcPr>
          <w:p>
            <w:pPr>
              <w:pStyle w:val="1013"/>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52" w:type="dxa"/>
            <w:vAlign w:val="center"/>
            <w:textDirection w:val="lrTb"/>
            <w:noWrap w:val="false"/>
          </w:tcPr>
          <w:p>
            <w:pPr>
              <w:pStyle w:val="1013"/>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69"/>
        </w:trPr>
        <w:tc>
          <w:tcPr>
            <w:tcW w:w="1201" w:type="dxa"/>
            <w:vAlign w:val="center"/>
            <w:textDirection w:val="lrTb"/>
            <w:noWrap w:val="false"/>
          </w:tcPr>
          <w:p>
            <w:pPr>
              <w:pStyle w:val="1013"/>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402" w:type="dxa"/>
            <w:vAlign w:val="center"/>
            <w:textDirection w:val="lrTb"/>
            <w:noWrap w:val="false"/>
          </w:tcPr>
          <w:p>
            <w:pPr>
              <w:pStyle w:val="1013"/>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52" w:type="dxa"/>
            <w:vAlign w:val="center"/>
            <w:textDirection w:val="lrTb"/>
            <w:noWrap w:val="false"/>
          </w:tcPr>
          <w:p>
            <w:pPr>
              <w:pStyle w:val="1013"/>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69"/>
        </w:trPr>
        <w:tc>
          <w:tcPr>
            <w:tcW w:w="1201" w:type="dxa"/>
            <w:vAlign w:val="center"/>
            <w:textDirection w:val="lrTb"/>
            <w:noWrap w:val="false"/>
          </w:tcPr>
          <w:p>
            <w:pPr>
              <w:pStyle w:val="1013"/>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402" w:type="dxa"/>
            <w:vAlign w:val="center"/>
            <w:textDirection w:val="lrTb"/>
            <w:noWrap w:val="false"/>
          </w:tcPr>
          <w:p>
            <w:pPr>
              <w:pStyle w:val="1013"/>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52" w:type="dxa"/>
            <w:vAlign w:val="center"/>
            <w:textDirection w:val="lrTb"/>
            <w:noWrap w:val="false"/>
          </w:tcPr>
          <w:p>
            <w:pPr>
              <w:pStyle w:val="1013"/>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69"/>
        </w:trPr>
        <w:tc>
          <w:tcPr>
            <w:tcW w:w="1201" w:type="dxa"/>
            <w:vAlign w:val="center"/>
            <w:textDirection w:val="lrTb"/>
            <w:noWrap w:val="false"/>
          </w:tcPr>
          <w:p>
            <w:pPr>
              <w:pStyle w:val="1013"/>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402" w:type="dxa"/>
            <w:vAlign w:val="center"/>
            <w:textDirection w:val="lrTb"/>
            <w:noWrap w:val="false"/>
          </w:tcPr>
          <w:p>
            <w:pPr>
              <w:pStyle w:val="1013"/>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52" w:type="dxa"/>
            <w:vAlign w:val="center"/>
            <w:textDirection w:val="lrTb"/>
            <w:noWrap w:val="false"/>
          </w:tcPr>
          <w:p>
            <w:pPr>
              <w:pStyle w:val="1013"/>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69"/>
        </w:trPr>
        <w:tc>
          <w:tcPr>
            <w:gridSpan w:val="2"/>
            <w:tcW w:w="4603" w:type="dxa"/>
            <w:vAlign w:val="center"/>
            <w:textDirection w:val="lrTb"/>
            <w:noWrap w:val="false"/>
          </w:tcPr>
          <w:p>
            <w:pPr>
              <w:pStyle w:val="1013"/>
              <w:ind w:left="695" w:firstLine="0"/>
              <w:jc w:val="both"/>
              <w:spacing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总价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人民币</w:t>
            </w:r>
            <w:r>
              <w:rPr>
                <w:rFonts w:hint="eastAsia" w:ascii="仿宋" w:hAnsi="仿宋" w:eastAsia="仿宋" w:cs="仿宋"/>
                <w:color w:val="auto"/>
                <w:sz w:val="24"/>
                <w:szCs w:val="24"/>
                <w:highlight w:val="none"/>
                <w:lang w:eastAsia="zh-CN"/>
              </w:rPr>
              <w:t xml:space="preserve">）</w:t>
            </w:r>
            <w:r/>
          </w:p>
        </w:tc>
        <w:tc>
          <w:tcPr>
            <w:tcW w:w="2552" w:type="dxa"/>
            <w:vAlign w:val="center"/>
            <w:textDirection w:val="lrTb"/>
            <w:noWrap w:val="false"/>
          </w:tcPr>
          <w:p>
            <w:pPr>
              <w:pStyle w:val="1013"/>
              <w:ind w:left="695" w:firstLine="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left="695" w:firstLine="482"/>
        <w:spacing w:line="560" w:lineRule="exact"/>
        <w:rPr>
          <w:rFonts w:hint="eastAsia" w:ascii="仿宋" w:hAnsi="仿宋" w:eastAsia="仿宋" w:cs="仿宋"/>
          <w:b/>
          <w:color w:val="auto"/>
          <w:sz w:val="24"/>
          <w:highlight w:val="none"/>
        </w:rPr>
        <w:outlineLvl w:val="0"/>
      </w:pPr>
      <w:r/>
      <w:bookmarkStart w:id="125" w:name="_Toc14993"/>
      <w:r/>
      <w:bookmarkStart w:id="126" w:name="_Toc3654"/>
      <w:r/>
      <w:bookmarkStart w:id="127" w:name="_Toc26916"/>
      <w:r/>
      <w:bookmarkStart w:id="128" w:name="_Toc30506"/>
      <w:r/>
      <w:bookmarkStart w:id="129" w:name="_Toc30158"/>
      <w:r>
        <w:rPr>
          <w:rFonts w:hint="eastAsia" w:ascii="仿宋" w:hAnsi="仿宋" w:eastAsia="仿宋" w:cs="仿宋"/>
          <w:b/>
          <w:color w:val="auto"/>
          <w:sz w:val="24"/>
          <w:highlight w:val="none"/>
        </w:rPr>
        <w:t xml:space="preserve">1.4 付款方式和发票开具方式</w:t>
      </w:r>
      <w:bookmarkEnd w:id="125"/>
      <w:r/>
      <w:bookmarkEnd w:id="126"/>
      <w:r/>
      <w:bookmarkEnd w:id="127"/>
      <w:r/>
      <w:bookmarkEnd w:id="128"/>
      <w:r/>
      <w:bookmarkEnd w:id="129"/>
      <w:r/>
      <w:r/>
    </w:p>
    <w:p>
      <w:pPr>
        <w:ind w:left="695" w:firstLine="480"/>
        <w:spacing w:line="50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highlight w:val="none"/>
        </w:rPr>
        <w:t xml:space="preserve">1.4.1付款方式：</w:t>
      </w:r>
      <w:r/>
    </w:p>
    <w:p>
      <w:pPr>
        <w:ind w:left="695" w:firstLine="480"/>
        <w:spacing w:line="5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zh-CN"/>
        </w:rPr>
        <w:t xml:space="preserve">合同签订后</w:t>
      </w:r>
      <w:r>
        <w:rPr>
          <w:rFonts w:hint="eastAsia" w:ascii="仿宋" w:hAnsi="仿宋" w:eastAsia="仿宋" w:cs="仿宋"/>
          <w:color w:val="auto"/>
          <w:sz w:val="24"/>
          <w:highlight w:val="none"/>
          <w:lang w:val="en-US" w:eastAsia="zh-CN"/>
        </w:rPr>
        <w:t xml:space="preserve">甲方</w:t>
      </w:r>
      <w:r>
        <w:rPr>
          <w:rFonts w:hint="eastAsia" w:ascii="仿宋" w:hAnsi="仿宋" w:eastAsia="仿宋" w:cs="仿宋"/>
          <w:color w:val="auto"/>
          <w:sz w:val="24"/>
          <w:highlight w:val="none"/>
          <w:lang w:val="zh-CN"/>
        </w:rPr>
        <w:t xml:space="preserve">支付</w:t>
      </w:r>
      <w:r>
        <w:rPr>
          <w:rFonts w:hint="eastAsia" w:ascii="仿宋" w:hAnsi="仿宋" w:eastAsia="仿宋" w:cs="仿宋"/>
          <w:color w:val="auto"/>
          <w:sz w:val="24"/>
          <w:highlight w:val="none"/>
          <w:lang w:val="en-US" w:eastAsia="zh-CN"/>
        </w:rPr>
        <w:t xml:space="preserve">给乙方合同总金额的10</w:t>
      </w:r>
      <w:r>
        <w:rPr>
          <w:rFonts w:hint="eastAsia" w:ascii="仿宋" w:hAnsi="仿宋" w:eastAsia="仿宋" w:cs="仿宋"/>
          <w:color w:val="auto"/>
          <w:sz w:val="24"/>
          <w:highlight w:val="none"/>
          <w:lang w:val="zh-CN"/>
        </w:rPr>
        <w:t xml:space="preserve">%，规划环境影响跟踪评价报告书送审后，召开专家审查会前支付</w:t>
      </w:r>
      <w:r>
        <w:rPr>
          <w:rFonts w:hint="eastAsia" w:ascii="仿宋" w:hAnsi="仿宋" w:eastAsia="仿宋" w:cs="仿宋"/>
          <w:color w:val="auto"/>
          <w:sz w:val="24"/>
          <w:highlight w:val="none"/>
          <w:lang w:val="en-US" w:eastAsia="zh-CN"/>
        </w:rPr>
        <w:t xml:space="preserve">给乙方合同总金额的2</w:t>
      </w:r>
      <w:r>
        <w:rPr>
          <w:rFonts w:hint="eastAsia" w:ascii="仿宋" w:hAnsi="仿宋" w:eastAsia="仿宋" w:cs="仿宋"/>
          <w:color w:val="auto"/>
          <w:sz w:val="24"/>
          <w:highlight w:val="none"/>
          <w:lang w:val="zh-CN"/>
        </w:rPr>
        <w:t xml:space="preserve">0%，规划环境影响跟踪评价报告书通过专家审查会，取得生态环境部</w:t>
      </w:r>
      <w:r>
        <w:rPr>
          <w:rFonts w:hint="eastAsia" w:ascii="仿宋" w:hAnsi="仿宋" w:eastAsia="仿宋" w:cs="仿宋"/>
          <w:color w:val="auto"/>
          <w:sz w:val="24"/>
          <w:highlight w:val="none"/>
          <w:lang w:val="en-US" w:eastAsia="zh-CN"/>
        </w:rPr>
        <w:t xml:space="preserve">门</w:t>
      </w:r>
      <w:r>
        <w:rPr>
          <w:rFonts w:hint="eastAsia" w:ascii="仿宋" w:hAnsi="仿宋" w:eastAsia="仿宋" w:cs="仿宋"/>
          <w:color w:val="auto"/>
          <w:sz w:val="24"/>
          <w:highlight w:val="none"/>
          <w:lang w:val="zh-CN"/>
        </w:rPr>
        <w:t xml:space="preserve">审查意见</w:t>
      </w:r>
      <w:r>
        <w:rPr>
          <w:rFonts w:hint="eastAsia" w:ascii="仿宋" w:hAnsi="仿宋" w:eastAsia="仿宋" w:cs="仿宋"/>
          <w:color w:val="auto"/>
          <w:sz w:val="24"/>
          <w:highlight w:val="none"/>
          <w:lang w:val="en-US" w:eastAsia="zh-CN"/>
        </w:rPr>
        <w:t xml:space="preserve">后</w:t>
      </w:r>
      <w:r>
        <w:rPr>
          <w:rFonts w:hint="eastAsia" w:ascii="仿宋" w:hAnsi="仿宋" w:eastAsia="仿宋" w:cs="仿宋"/>
          <w:color w:val="auto"/>
          <w:sz w:val="24"/>
          <w:highlight w:val="none"/>
          <w:lang w:val="zh-CN"/>
        </w:rPr>
        <w:t xml:space="preserve">支付</w:t>
      </w:r>
      <w:r>
        <w:rPr>
          <w:rFonts w:hint="eastAsia" w:ascii="仿宋" w:hAnsi="仿宋" w:eastAsia="仿宋" w:cs="仿宋"/>
          <w:color w:val="auto"/>
          <w:sz w:val="24"/>
          <w:highlight w:val="none"/>
          <w:lang w:val="en-US" w:eastAsia="zh-CN"/>
        </w:rPr>
        <w:t xml:space="preserve">总金额的7</w:t>
      </w:r>
      <w:r>
        <w:rPr>
          <w:rFonts w:hint="eastAsia" w:ascii="仿宋" w:hAnsi="仿宋" w:eastAsia="仿宋" w:cs="仿宋"/>
          <w:color w:val="auto"/>
          <w:sz w:val="24"/>
          <w:highlight w:val="none"/>
          <w:lang w:val="zh-CN"/>
        </w:rPr>
        <w:t xml:space="preserve">0%</w:t>
      </w:r>
      <w:r>
        <w:rPr>
          <w:rFonts w:hint="eastAsia" w:ascii="仿宋" w:hAnsi="仿宋" w:eastAsia="仿宋" w:cs="仿宋"/>
          <w:color w:val="auto"/>
          <w:sz w:val="24"/>
          <w:highlight w:val="none"/>
          <w:lang w:val="en-US" w:eastAsia="zh-CN"/>
        </w:rPr>
        <w:t xml:space="preserve"> 。</w:t>
      </w:r>
      <w:r/>
    </w:p>
    <w:p>
      <w:pPr>
        <w:ind w:left="695" w:firstLine="480"/>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付款前，</w:t>
      </w:r>
      <w:r>
        <w:rPr>
          <w:rFonts w:hint="eastAsia" w:ascii="仿宋" w:hAnsi="仿宋" w:eastAsia="仿宋" w:cs="仿宋"/>
          <w:color w:val="auto"/>
          <w:sz w:val="24"/>
          <w:highlight w:val="none"/>
          <w:lang w:val="en-US" w:eastAsia="zh-CN"/>
        </w:rPr>
        <w:t xml:space="preserve">乙方</w:t>
      </w:r>
      <w:r>
        <w:rPr>
          <w:rFonts w:hint="eastAsia" w:ascii="仿宋" w:hAnsi="仿宋" w:eastAsia="仿宋" w:cs="仿宋"/>
          <w:color w:val="auto"/>
          <w:sz w:val="24"/>
          <w:highlight w:val="none"/>
        </w:rPr>
        <w:t xml:space="preserve">须</w:t>
      </w:r>
      <w:r>
        <w:rPr>
          <w:rFonts w:hint="eastAsia" w:ascii="仿宋" w:hAnsi="仿宋" w:eastAsia="仿宋" w:cs="仿宋"/>
          <w:color w:val="auto"/>
          <w:sz w:val="24"/>
          <w:highlight w:val="none"/>
          <w:lang w:val="zh-CN"/>
        </w:rPr>
        <w:t xml:space="preserve">提供与待付款金额一致的增值税发票</w:t>
      </w:r>
      <w:r>
        <w:rPr>
          <w:rFonts w:hint="eastAsia" w:ascii="仿宋" w:hAnsi="仿宋" w:eastAsia="仿宋" w:cs="仿宋"/>
          <w:color w:val="auto"/>
          <w:sz w:val="24"/>
          <w:highlight w:val="none"/>
        </w:rPr>
        <w:t xml:space="preserve">及相应的收款账户信息</w:t>
      </w:r>
      <w:r>
        <w:rPr>
          <w:rFonts w:hint="eastAsia" w:ascii="仿宋" w:hAnsi="仿宋" w:eastAsia="仿宋" w:cs="仿宋"/>
          <w:color w:val="auto"/>
          <w:sz w:val="24"/>
          <w:highlight w:val="none"/>
          <w:lang w:val="zh-CN"/>
        </w:rPr>
        <w:t xml:space="preserve">，如因</w:t>
      </w:r>
      <w:r>
        <w:rPr>
          <w:rFonts w:hint="eastAsia" w:ascii="仿宋" w:hAnsi="仿宋" w:eastAsia="仿宋" w:cs="仿宋"/>
          <w:color w:val="auto"/>
          <w:sz w:val="24"/>
          <w:highlight w:val="none"/>
        </w:rPr>
        <w:t xml:space="preserve">中标单位</w:t>
      </w:r>
      <w:r>
        <w:rPr>
          <w:rFonts w:hint="eastAsia" w:ascii="仿宋" w:hAnsi="仿宋" w:eastAsia="仿宋" w:cs="仿宋"/>
          <w:color w:val="auto"/>
          <w:sz w:val="24"/>
          <w:highlight w:val="none"/>
          <w:lang w:val="zh-CN"/>
        </w:rPr>
        <w:t xml:space="preserve">未及时提供发票或提供的信息有误或提供虚假发票，</w:t>
      </w:r>
      <w:r>
        <w:rPr>
          <w:rFonts w:hint="eastAsia" w:ascii="仿宋" w:hAnsi="仿宋" w:eastAsia="仿宋" w:cs="仿宋"/>
          <w:color w:val="auto"/>
          <w:sz w:val="24"/>
          <w:highlight w:val="none"/>
          <w:lang w:val="en-US" w:eastAsia="zh-CN"/>
        </w:rPr>
        <w:t xml:space="preserve">甲方</w:t>
      </w:r>
      <w:r>
        <w:rPr>
          <w:rFonts w:hint="eastAsia" w:ascii="仿宋" w:hAnsi="仿宋" w:eastAsia="仿宋" w:cs="仿宋"/>
          <w:color w:val="auto"/>
          <w:sz w:val="24"/>
          <w:highlight w:val="none"/>
          <w:lang w:val="zh-CN"/>
        </w:rPr>
        <w:t xml:space="preserve">有权对发票金额等值货款拒绝支付且不承担任何责任。</w:t>
      </w:r>
      <w:r/>
    </w:p>
    <w:p>
      <w:pPr>
        <w:numPr>
          <w:ilvl w:val="0"/>
          <w:numId w:val="5"/>
        </w:numPr>
        <w:ind w:left="695" w:firstLine="480"/>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甲方</w:t>
      </w:r>
      <w:r>
        <w:rPr>
          <w:rFonts w:hint="eastAsia" w:ascii="仿宋" w:hAnsi="仿宋" w:eastAsia="仿宋" w:cs="仿宋"/>
          <w:color w:val="auto"/>
          <w:sz w:val="24"/>
          <w:highlight w:val="none"/>
        </w:rPr>
        <w:t xml:space="preserve">自收到发票后30日内发起国库集中支付申请且将资金支付到合同约定的</w:t>
      </w:r>
      <w:r>
        <w:rPr>
          <w:rFonts w:hint="eastAsia" w:ascii="仿宋" w:hAnsi="仿宋" w:eastAsia="仿宋" w:cs="仿宋"/>
          <w:color w:val="auto"/>
          <w:sz w:val="24"/>
          <w:highlight w:val="none"/>
          <w:lang w:val="en-US" w:eastAsia="zh-CN"/>
        </w:rPr>
        <w:t xml:space="preserve">乙方</w:t>
      </w:r>
      <w:r>
        <w:rPr>
          <w:rFonts w:hint="eastAsia" w:ascii="仿宋" w:hAnsi="仿宋" w:eastAsia="仿宋" w:cs="仿宋"/>
          <w:color w:val="auto"/>
          <w:sz w:val="24"/>
          <w:highlight w:val="none"/>
        </w:rPr>
        <w:t xml:space="preserve">账户。</w:t>
      </w:r>
      <w:r/>
    </w:p>
    <w:p>
      <w:pPr>
        <w:numPr>
          <w:ilvl w:val="0"/>
          <w:numId w:val="5"/>
        </w:numPr>
        <w:ind w:left="695" w:firstLine="480"/>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本项目的结算标准：各区域预算金额*（1-中标优惠率%）。</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1.4.2 发票开具方式：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2"/>
        <w:spacing w:line="560" w:lineRule="exact"/>
        <w:rPr>
          <w:rFonts w:hint="eastAsia" w:ascii="仿宋" w:hAnsi="仿宋" w:eastAsia="仿宋" w:cs="仿宋"/>
          <w:b/>
          <w:color w:val="auto"/>
          <w:sz w:val="24"/>
          <w:highlight w:val="none"/>
        </w:rPr>
        <w:outlineLvl w:val="0"/>
      </w:pPr>
      <w:r/>
      <w:bookmarkStart w:id="130" w:name="_Toc31421"/>
      <w:r/>
      <w:bookmarkStart w:id="131" w:name="_Toc8772"/>
      <w:r/>
      <w:bookmarkStart w:id="132" w:name="_Toc11108"/>
      <w:r/>
      <w:bookmarkStart w:id="133" w:name="_Toc4760"/>
      <w:r/>
      <w:bookmarkStart w:id="134" w:name="_Toc3625"/>
      <w:r>
        <w:rPr>
          <w:rFonts w:hint="eastAsia" w:ascii="仿宋" w:hAnsi="仿宋" w:eastAsia="仿宋" w:cs="仿宋"/>
          <w:b/>
          <w:color w:val="auto"/>
          <w:sz w:val="24"/>
          <w:highlight w:val="none"/>
        </w:rPr>
        <w:t xml:space="preserve">1.5 履行期限、地点和方式</w:t>
      </w:r>
      <w:bookmarkEnd w:id="130"/>
      <w:r/>
      <w:bookmarkEnd w:id="131"/>
      <w:r/>
      <w:bookmarkEnd w:id="132"/>
      <w:r/>
      <w:bookmarkEnd w:id="133"/>
      <w:r/>
      <w:bookmarkEnd w:id="134"/>
      <w:r/>
      <w:r/>
    </w:p>
    <w:p>
      <w:pPr>
        <w:ind w:left="695" w:firstLine="48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1.5.1 履行期限：</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1.5.2 履行地点：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1.5.3 履行方式：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95" w:firstLine="482"/>
        <w:spacing w:line="560" w:lineRule="exact"/>
        <w:rPr>
          <w:rFonts w:hint="eastAsia" w:ascii="仿宋" w:hAnsi="仿宋" w:eastAsia="仿宋" w:cs="仿宋"/>
          <w:color w:val="auto"/>
          <w:sz w:val="24"/>
          <w:highlight w:val="none"/>
          <w:u w:val="single"/>
        </w:rPr>
        <w:outlineLvl w:val="0"/>
      </w:pPr>
      <w:r/>
      <w:bookmarkStart w:id="135" w:name="_Toc2375"/>
      <w:r/>
      <w:bookmarkStart w:id="136" w:name="_Toc8586"/>
      <w:r/>
      <w:bookmarkStart w:id="137" w:name="_Toc5698"/>
      <w:r/>
      <w:bookmarkStart w:id="138" w:name="_Toc24662"/>
      <w:r/>
      <w:bookmarkStart w:id="139" w:name="_Toc3079"/>
      <w:r>
        <w:rPr>
          <w:rFonts w:hint="eastAsia" w:ascii="仿宋" w:hAnsi="仿宋" w:eastAsia="仿宋" w:cs="仿宋"/>
          <w:b/>
          <w:color w:val="auto"/>
          <w:sz w:val="24"/>
          <w:highlight w:val="none"/>
        </w:rPr>
        <w:t xml:space="preserve">1.6 违约责任</w:t>
      </w:r>
      <w:bookmarkEnd w:id="135"/>
      <w:r/>
      <w:bookmarkEnd w:id="136"/>
      <w:r/>
      <w:bookmarkEnd w:id="137"/>
      <w:r/>
      <w:bookmarkEnd w:id="138"/>
      <w:r/>
      <w:bookmarkEnd w:id="139"/>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%计算，最高限额为本合同总价的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%；迟延履行的违约金计算数额达到前述最高限额之日起，甲方有权在要求乙方支付违约金的同时，书面通知乙方解除本合同；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1.6.2 除不可抗力外，如果甲方没有按照本合同约定的付款方式付款，那么乙方可要求甲方支付违约金，违约金按每迟延付款一日的应付而未付款的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%计算，最高限额为本合同总价的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%；迟延付款的违约金计算数额达到前述最高限额之日起，乙方有权在要求甲方支付违约金的同时，书面通知甲方解除本合同；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ind w:left="695" w:firstLine="482"/>
        <w:spacing w:line="560" w:lineRule="exact"/>
        <w:rPr>
          <w:rFonts w:hint="eastAsia" w:ascii="仿宋" w:hAnsi="仿宋" w:eastAsia="仿宋" w:cs="仿宋"/>
          <w:b/>
          <w:color w:val="auto"/>
          <w:sz w:val="24"/>
          <w:highlight w:val="none"/>
        </w:rPr>
        <w:outlineLvl w:val="0"/>
      </w:pPr>
      <w:r/>
      <w:bookmarkStart w:id="140" w:name="_Toc9497"/>
      <w:r/>
      <w:bookmarkStart w:id="141" w:name="_Toc32454"/>
      <w:r/>
      <w:bookmarkStart w:id="142" w:name="_Toc18683"/>
      <w:r/>
      <w:bookmarkStart w:id="143" w:name="_Toc26807"/>
      <w:r/>
      <w:bookmarkStart w:id="144" w:name="_Toc30329"/>
      <w:r>
        <w:rPr>
          <w:rFonts w:hint="eastAsia" w:ascii="仿宋" w:hAnsi="仿宋" w:eastAsia="仿宋" w:cs="仿宋"/>
          <w:b/>
          <w:color w:val="auto"/>
          <w:sz w:val="24"/>
          <w:highlight w:val="none"/>
        </w:rPr>
        <w:t xml:space="preserve">1.7 合同争议的解决</w:t>
      </w:r>
      <w:bookmarkEnd w:id="140"/>
      <w:r/>
      <w:bookmarkEnd w:id="141"/>
      <w:r/>
      <w:bookmarkEnd w:id="142"/>
      <w:r/>
      <w:bookmarkEnd w:id="143"/>
      <w:r/>
      <w:bookmarkEnd w:id="144"/>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本合同履行过程中发生的任何争议，双方当事人均可通过和解或者调解解决；不愿和解、调解或者和解、调解不成的，可以选择下列第</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种方式解决：</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1.7.1 将争议提交</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仲裁委员会依申请仲裁时其现行有效的仲裁规则裁决；</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1.7.2 向</w:t>
      </w:r>
      <w:r>
        <w:rPr>
          <w:rFonts w:hint="eastAsia" w:ascii="仿宋" w:hAnsi="仿宋" w:eastAsia="仿宋" w:cs="仿宋"/>
          <w:color w:val="auto"/>
          <w:sz w:val="24"/>
          <w:highlight w:val="none"/>
          <w:u w:val="single"/>
        </w:rPr>
        <w:t xml:space="preserve">   （被告住所地、合同履行地、合同签订地、原告住所地、标的物所在地等与争议有实际联系的地点中选出的人民法院名称）    </w:t>
      </w:r>
      <w:r>
        <w:rPr>
          <w:rFonts w:hint="eastAsia" w:ascii="仿宋" w:hAnsi="仿宋" w:eastAsia="仿宋" w:cs="仿宋"/>
          <w:color w:val="auto"/>
          <w:sz w:val="24"/>
          <w:highlight w:val="none"/>
        </w:rPr>
        <w:t xml:space="preserve">人民法院起诉。</w:t>
      </w:r>
      <w:r/>
    </w:p>
    <w:p>
      <w:pPr>
        <w:ind w:left="695" w:firstLine="482"/>
        <w:spacing w:line="560" w:lineRule="exact"/>
        <w:rPr>
          <w:rFonts w:hint="eastAsia" w:ascii="仿宋" w:hAnsi="仿宋" w:eastAsia="仿宋" w:cs="仿宋"/>
          <w:b/>
          <w:color w:val="auto"/>
          <w:sz w:val="24"/>
          <w:highlight w:val="none"/>
        </w:rPr>
        <w:outlineLvl w:val="0"/>
      </w:pPr>
      <w:r/>
      <w:bookmarkStart w:id="145" w:name="_Toc16417"/>
      <w:r/>
      <w:bookmarkStart w:id="146" w:name="_Toc26227"/>
      <w:r/>
      <w:bookmarkStart w:id="147" w:name="_Toc15827"/>
      <w:r/>
      <w:bookmarkStart w:id="148" w:name="_Toc23784"/>
      <w:r/>
      <w:bookmarkStart w:id="149" w:name="_Toc12273"/>
      <w:r>
        <w:rPr>
          <w:rFonts w:hint="eastAsia" w:ascii="仿宋" w:hAnsi="仿宋" w:eastAsia="仿宋" w:cs="仿宋"/>
          <w:b/>
          <w:color w:val="auto"/>
          <w:sz w:val="24"/>
          <w:highlight w:val="none"/>
        </w:rPr>
        <w:t xml:space="preserve">1.8 合同生效</w:t>
      </w:r>
      <w:bookmarkEnd w:id="145"/>
      <w:r/>
      <w:bookmarkEnd w:id="146"/>
      <w:r/>
      <w:bookmarkEnd w:id="147"/>
      <w:r/>
      <w:bookmarkEnd w:id="148"/>
      <w:r/>
      <w:bookmarkEnd w:id="149"/>
      <w:r/>
      <w:r/>
    </w:p>
    <w:p>
      <w:pPr>
        <w:ind w:left="695" w:firstLine="480"/>
        <w:spacing w:line="56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本合同自双方当事人盖章或者签字时生效。</w:t>
      </w:r>
      <w:r/>
    </w:p>
    <w:p>
      <w:pPr>
        <w:ind w:left="695" w:firstLine="482"/>
        <w:spacing w:line="560" w:lineRule="exact"/>
        <w:rPr>
          <w:rFonts w:hint="eastAsia" w:ascii="仿宋" w:hAnsi="仿宋" w:eastAsia="仿宋" w:cs="仿宋"/>
          <w:color w:val="auto"/>
          <w:sz w:val="24"/>
          <w:highlight w:val="none"/>
          <w:lang w:val="zh-CN"/>
        </w:rPr>
      </w:pPr>
      <w:r>
        <w:rPr>
          <w:rFonts w:hint="eastAsia" w:ascii="仿宋" w:hAnsi="仿宋" w:eastAsia="仿宋" w:cs="仿宋"/>
          <w:b/>
          <w:color w:val="auto"/>
          <w:sz w:val="24"/>
          <w:highlight w:val="none"/>
          <w:lang w:val="zh-CN"/>
        </w:rPr>
        <w:t xml:space="preserve">甲方</w:t>
      </w:r>
      <w:r>
        <w:rPr>
          <w:rFonts w:hint="eastAsia" w:ascii="仿宋" w:hAnsi="仿宋" w:eastAsia="仿宋" w:cs="仿宋"/>
          <w:color w:val="auto"/>
          <w:sz w:val="24"/>
          <w:highlight w:val="none"/>
          <w:lang w:val="zh-CN"/>
        </w:rPr>
        <w:t xml:space="preserve">：                             </w:t>
      </w:r>
      <w:r>
        <w:rPr>
          <w:rFonts w:hint="eastAsia" w:ascii="仿宋" w:hAnsi="仿宋" w:eastAsia="仿宋" w:cs="仿宋"/>
          <w:b/>
          <w:color w:val="auto"/>
          <w:sz w:val="24"/>
          <w:highlight w:val="none"/>
          <w:lang w:val="zh-CN"/>
        </w:rPr>
        <w:t xml:space="preserve">      乙方</w:t>
      </w:r>
      <w:r>
        <w:rPr>
          <w:rFonts w:hint="eastAsia" w:ascii="仿宋" w:hAnsi="仿宋" w:eastAsia="仿宋" w:cs="仿宋"/>
          <w:color w:val="auto"/>
          <w:sz w:val="24"/>
          <w:highlight w:val="none"/>
          <w:lang w:val="zh-CN"/>
        </w:rPr>
        <w:t xml:space="preserve">：</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统一社会信用代码：                        统一社会信用代码或身份证号码：</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住所：                                   住所：</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法定代表人或                             法定代表人</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授权代表（签字）：                        或授权代表（签字）: </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联系人：                                 联系人：</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约定送达地址：                           约定送达地址：</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邮政编码：                               邮政编码：</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电话:                                    电话: </w:t>
      </w:r>
      <w:r/>
    </w:p>
    <w:p>
      <w:pPr>
        <w:ind w:left="695"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传真:                                    传真:</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电子邮箱：                               电子邮箱：</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开户银行：                               开户银行： </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开户名称：                               开户名称： </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开户账号：</w:t>
      </w:r>
      <w:r>
        <w:rPr>
          <w:rFonts w:hint="eastAsia" w:ascii="仿宋" w:hAnsi="仿宋" w:eastAsia="仿宋" w:cs="仿宋"/>
          <w:color w:val="auto"/>
          <w:sz w:val="24"/>
          <w:highlight w:val="none"/>
          <w:lang w:val="zh-CN"/>
        </w:rPr>
        <w:t xml:space="preserve">                               </w:t>
      </w:r>
      <w:r>
        <w:rPr>
          <w:rFonts w:hint="eastAsia" w:ascii="仿宋" w:hAnsi="仿宋" w:eastAsia="仿宋" w:cs="仿宋"/>
          <w:color w:val="auto"/>
          <w:sz w:val="24"/>
          <w:highlight w:val="none"/>
        </w:rPr>
        <w:t xml:space="preserve">开户账号：</w:t>
      </w:r>
      <w:r/>
    </w:p>
    <w:p>
      <w:pPr>
        <w:pStyle w:val="985"/>
        <w:ind w:left="695" w:firstLine="402"/>
        <w:jc w:val="center"/>
        <w:spacing w:line="560" w:lineRule="exact"/>
        <w:rPr>
          <w:rFonts w:hint="eastAsia" w:ascii="仿宋" w:hAnsi="仿宋" w:eastAsia="仿宋" w:cs="仿宋"/>
          <w:b/>
          <w:color w:val="auto"/>
          <w:szCs w:val="24"/>
          <w:highlight w:val="none"/>
        </w:rPr>
      </w:pPr>
      <w:r/>
      <w:bookmarkStart w:id="150" w:name="_Toc331685783"/>
      <w:r>
        <w:rPr>
          <w:rFonts w:hint="eastAsia" w:ascii="仿宋" w:hAnsi="仿宋" w:eastAsia="仿宋" w:cs="仿宋"/>
          <w:b/>
          <w:color w:val="auto"/>
          <w:szCs w:val="24"/>
          <w:highlight w:val="none"/>
        </w:rPr>
        <w:t xml:space="preserve">第二部分 合同一般条款</w:t>
      </w:r>
      <w:bookmarkEnd w:id="150"/>
      <w:r/>
      <w:r/>
    </w:p>
    <w:p>
      <w:pPr>
        <w:ind w:left="695" w:firstLine="482"/>
        <w:spacing w:line="560" w:lineRule="exact"/>
        <w:rPr>
          <w:rFonts w:hint="eastAsia" w:ascii="仿宋" w:hAnsi="仿宋" w:eastAsia="仿宋" w:cs="仿宋"/>
          <w:b/>
          <w:color w:val="auto"/>
          <w:sz w:val="24"/>
          <w:highlight w:val="none"/>
        </w:rPr>
        <w:outlineLvl w:val="0"/>
      </w:pPr>
      <w:r/>
      <w:bookmarkStart w:id="151" w:name="_Ref467379109"/>
      <w:r/>
      <w:bookmarkStart w:id="152" w:name="_Ref467379094"/>
      <w:r/>
      <w:bookmarkStart w:id="153" w:name="_Ref467379205"/>
      <w:r/>
      <w:bookmarkStart w:id="154" w:name="_Toc14021"/>
      <w:r/>
      <w:bookmarkStart w:id="155" w:name="_Ref467378499"/>
      <w:r/>
      <w:bookmarkStart w:id="156" w:name="_Ref467379214"/>
      <w:r/>
      <w:bookmarkStart w:id="157" w:name="_Toc5228"/>
      <w:r/>
      <w:bookmarkStart w:id="158" w:name="_Toc25079"/>
      <w:r/>
      <w:bookmarkStart w:id="159" w:name="_Toc487900349"/>
      <w:r/>
      <w:bookmarkStart w:id="160" w:name="_Toc279701240"/>
      <w:r/>
      <w:bookmarkStart w:id="161" w:name="_Ref467379195"/>
      <w:r/>
      <w:bookmarkStart w:id="162" w:name="_Ref467378404"/>
      <w:r/>
      <w:bookmarkStart w:id="163" w:name="_Ref467378463"/>
      <w:r/>
      <w:bookmarkStart w:id="164" w:name="_Toc19680"/>
      <w:r/>
      <w:bookmarkStart w:id="165" w:name="_Ref467379101"/>
      <w:r/>
      <w:bookmarkStart w:id="166" w:name="_Toc259093669"/>
      <w:r/>
      <w:bookmarkStart w:id="167" w:name="_Ref467379225"/>
      <w:r/>
      <w:bookmarkStart w:id="168" w:name="_Toc31297"/>
      <w:r>
        <w:rPr>
          <w:rFonts w:hint="eastAsia" w:ascii="仿宋" w:hAnsi="仿宋" w:eastAsia="仿宋" w:cs="仿宋"/>
          <w:b/>
          <w:color w:val="auto"/>
          <w:sz w:val="24"/>
          <w:highlight w:val="none"/>
        </w:rPr>
        <w:t xml:space="preserve">2.1 定义</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本合同中的下列词语应按以下内容进行解释：</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 “合同”系指采购人和中标供应商签订的载明双方当事人所达成的协议，并包括所有的附件、附录和构成合同的其他文件。</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2.1.2 “合同价”系指根据合同约定，中标供应商在完全履行合同义务后，采购人应支付给中标供应商的价格。</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2.1.3 “服务”系指中标供应商根据合同约定应向采购人履行的除货物和工程以外的其他政府采购对象，包括采购人自身需要的服务和向社会公众提供的公共服务。</w:t>
      </w:r>
      <w:r/>
    </w:p>
    <w:p>
      <w:pPr>
        <w:ind w:left="695" w:firstLine="480"/>
        <w:spacing w:line="560" w:lineRule="exact"/>
        <w:rPr>
          <w:rFonts w:hint="eastAsia" w:ascii="仿宋" w:hAnsi="仿宋" w:eastAsia="仿宋" w:cs="仿宋"/>
          <w:color w:val="auto"/>
          <w:sz w:val="24"/>
          <w:highlight w:val="none"/>
        </w:rPr>
      </w:pPr>
      <w:r/>
      <w:bookmarkStart w:id="169" w:name="_Ref467378840"/>
      <w:r>
        <w:rPr>
          <w:rFonts w:hint="eastAsia" w:ascii="仿宋" w:hAnsi="仿宋" w:eastAsia="仿宋" w:cs="仿宋"/>
          <w:color w:val="auto"/>
          <w:sz w:val="24"/>
          <w:highlight w:val="none"/>
        </w:rPr>
        <w:t xml:space="preserve">2.1.4 “甲方”系指与中标供应商签署合同的采购人</w:t>
      </w:r>
      <w:bookmarkEnd w:id="169"/>
      <w:r>
        <w:rPr>
          <w:rFonts w:hint="eastAsia" w:ascii="仿宋" w:hAnsi="仿宋" w:eastAsia="仿宋" w:cs="仿宋"/>
          <w:color w:val="auto"/>
          <w:sz w:val="24"/>
          <w:highlight w:val="none"/>
        </w:rPr>
        <w:t xml:space="preserve">；采购人委托采购代理机构代表其与乙方签订合同的，采购人的授权委托书作为合同附件。</w:t>
      </w:r>
      <w:r/>
    </w:p>
    <w:p>
      <w:pPr>
        <w:ind w:left="695" w:firstLine="480"/>
        <w:spacing w:line="560" w:lineRule="exact"/>
        <w:rPr>
          <w:rFonts w:hint="eastAsia" w:ascii="仿宋" w:hAnsi="仿宋" w:eastAsia="仿宋" w:cs="仿宋"/>
          <w:color w:val="auto"/>
          <w:sz w:val="24"/>
          <w:highlight w:val="none"/>
        </w:rPr>
      </w:pPr>
      <w:r/>
      <w:bookmarkStart w:id="170" w:name="_Ref467379400"/>
      <w:r>
        <w:rPr>
          <w:rFonts w:hint="eastAsia" w:ascii="仿宋" w:hAnsi="仿宋" w:eastAsia="仿宋" w:cs="仿宋"/>
          <w:color w:val="auto"/>
          <w:sz w:val="24"/>
          <w:highlight w:val="none"/>
        </w:rPr>
        <w:t xml:space="preserve">2.1.5 “乙方”系指根据合同约定提供服务的中标供应商</w:t>
      </w:r>
      <w:bookmarkEnd w:id="170"/>
      <w:r>
        <w:rPr>
          <w:rFonts w:hint="eastAsia" w:ascii="仿宋" w:hAnsi="仿宋" w:eastAsia="仿宋" w:cs="仿宋"/>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left="695" w:firstLine="480"/>
        <w:spacing w:line="560" w:lineRule="exact"/>
        <w:rPr>
          <w:rFonts w:hint="eastAsia" w:ascii="仿宋" w:hAnsi="仿宋" w:eastAsia="仿宋" w:cs="仿宋"/>
          <w:color w:val="auto"/>
          <w:sz w:val="24"/>
          <w:highlight w:val="none"/>
        </w:rPr>
      </w:pPr>
      <w:r/>
      <w:bookmarkStart w:id="171" w:name="_Ref467379436"/>
      <w:r>
        <w:rPr>
          <w:rFonts w:hint="eastAsia" w:ascii="仿宋" w:hAnsi="仿宋" w:eastAsia="仿宋" w:cs="仿宋"/>
          <w:color w:val="auto"/>
          <w:sz w:val="24"/>
          <w:highlight w:val="none"/>
        </w:rPr>
        <w:t xml:space="preserve">2.1.6 “现场”系指合同约定提供服务的地点。</w:t>
      </w:r>
      <w:bookmarkEnd w:id="171"/>
      <w:r/>
      <w:r/>
    </w:p>
    <w:p>
      <w:pPr>
        <w:ind w:left="695" w:firstLine="482"/>
        <w:spacing w:line="560" w:lineRule="exact"/>
        <w:rPr>
          <w:rFonts w:hint="eastAsia" w:ascii="仿宋" w:hAnsi="仿宋" w:eastAsia="仿宋" w:cs="仿宋"/>
          <w:b/>
          <w:color w:val="auto"/>
          <w:sz w:val="24"/>
          <w:highlight w:val="none"/>
        </w:rPr>
        <w:outlineLvl w:val="0"/>
      </w:pPr>
      <w:r/>
      <w:bookmarkStart w:id="172" w:name="_Toc487900350"/>
      <w:r/>
      <w:bookmarkStart w:id="173" w:name="_Toc16752"/>
      <w:r/>
      <w:bookmarkStart w:id="174" w:name="_Toc279701241"/>
      <w:r/>
      <w:bookmarkStart w:id="175" w:name="_Toc259093670"/>
      <w:r/>
      <w:bookmarkStart w:id="176" w:name="_Toc3769"/>
      <w:r/>
      <w:bookmarkStart w:id="177" w:name="_Toc31402"/>
      <w:r/>
      <w:bookmarkStart w:id="178" w:name="_Toc23289"/>
      <w:r/>
      <w:bookmarkStart w:id="179" w:name="_Toc19539"/>
      <w:r>
        <w:rPr>
          <w:rFonts w:hint="eastAsia" w:ascii="仿宋" w:hAnsi="仿宋" w:eastAsia="仿宋" w:cs="仿宋"/>
          <w:b/>
          <w:color w:val="auto"/>
          <w:sz w:val="24"/>
          <w:highlight w:val="none"/>
        </w:rPr>
        <w:t xml:space="preserve">2.2 技术规范</w:t>
      </w:r>
      <w:bookmarkEnd w:id="172"/>
      <w:r/>
      <w:bookmarkEnd w:id="173"/>
      <w:r/>
      <w:bookmarkEnd w:id="174"/>
      <w:r/>
      <w:bookmarkEnd w:id="175"/>
      <w:r/>
      <w:bookmarkEnd w:id="176"/>
      <w:r/>
      <w:bookmarkEnd w:id="177"/>
      <w:r/>
      <w:bookmarkEnd w:id="178"/>
      <w:r/>
      <w:bookmarkEnd w:id="179"/>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left="695" w:firstLine="482"/>
        <w:spacing w:line="560" w:lineRule="exact"/>
        <w:rPr>
          <w:rFonts w:hint="eastAsia" w:ascii="仿宋" w:hAnsi="仿宋" w:eastAsia="仿宋" w:cs="仿宋"/>
          <w:b/>
          <w:color w:val="auto"/>
          <w:sz w:val="24"/>
          <w:highlight w:val="none"/>
        </w:rPr>
        <w:outlineLvl w:val="0"/>
      </w:pPr>
      <w:r/>
      <w:bookmarkStart w:id="180" w:name="_Toc12412"/>
      <w:r/>
      <w:bookmarkStart w:id="181" w:name="_Toc4133"/>
      <w:r/>
      <w:bookmarkStart w:id="182" w:name="_Toc259093671"/>
      <w:r/>
      <w:bookmarkStart w:id="183" w:name="_Toc9161"/>
      <w:r/>
      <w:bookmarkStart w:id="184" w:name="_Toc487900351"/>
      <w:r/>
      <w:bookmarkStart w:id="185" w:name="_Toc279701242"/>
      <w:r/>
      <w:bookmarkStart w:id="186" w:name="_Toc13673"/>
      <w:r/>
      <w:bookmarkStart w:id="187" w:name="_Toc27945"/>
      <w:r>
        <w:rPr>
          <w:rFonts w:hint="eastAsia" w:ascii="仿宋" w:hAnsi="仿宋" w:eastAsia="仿宋" w:cs="仿宋"/>
          <w:b/>
          <w:color w:val="auto"/>
          <w:sz w:val="24"/>
          <w:highlight w:val="none"/>
        </w:rPr>
        <w:t xml:space="preserve">2.3 知识产权</w:t>
      </w:r>
      <w:bookmarkEnd w:id="180"/>
      <w:r/>
      <w:bookmarkEnd w:id="181"/>
      <w:r/>
      <w:bookmarkEnd w:id="182"/>
      <w:r/>
      <w:bookmarkEnd w:id="183"/>
      <w:r/>
      <w:bookmarkEnd w:id="184"/>
      <w:r/>
      <w:bookmarkEnd w:id="185"/>
      <w:r/>
      <w:bookmarkEnd w:id="186"/>
      <w:r/>
      <w:bookmarkEnd w:id="187"/>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2.3.2 合同涉及技术成果的归属和收益的分成办法的，详见</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w:t>
      </w:r>
      <w:r/>
    </w:p>
    <w:p>
      <w:pPr>
        <w:ind w:left="695" w:firstLine="482"/>
        <w:spacing w:line="56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2.4 履约检查和问题反馈</w:t>
      </w:r>
      <w:r/>
    </w:p>
    <w:p>
      <w:pPr>
        <w:ind w:left="695" w:firstLine="480"/>
        <w:spacing w:line="560" w:lineRule="exact"/>
        <w:rPr>
          <w:rFonts w:hint="eastAsia" w:ascii="仿宋" w:hAnsi="仿宋" w:eastAsia="仿宋" w:cs="仿宋"/>
          <w:color w:val="auto"/>
          <w:sz w:val="24"/>
          <w:highlight w:val="none"/>
        </w:rPr>
      </w:pPr>
      <w:r/>
      <w:bookmarkStart w:id="188" w:name="_Ref467379657"/>
      <w:r>
        <w:rPr>
          <w:rFonts w:hint="eastAsia" w:ascii="仿宋" w:hAnsi="仿宋" w:eastAsia="仿宋" w:cs="仿宋"/>
          <w:color w:val="auto"/>
          <w:sz w:val="24"/>
          <w:highlight w:val="none"/>
        </w:rPr>
        <w:t xml:space="preserve">2.4.1</w:t>
      </w:r>
      <w:bookmarkEnd w:id="188"/>
      <w:r/>
      <w:bookmarkStart w:id="189" w:name="_Toc186431854"/>
      <w:r/>
      <w:bookmarkStart w:id="190" w:name="_Ref467379793"/>
      <w:r/>
      <w:bookmarkStart w:id="191" w:name="_Toc487900357"/>
      <w:r/>
      <w:bookmarkStart w:id="192" w:name="_Toc259093676"/>
      <w:r/>
      <w:bookmarkStart w:id="193" w:name="_Ref467379807"/>
      <w:r/>
      <w:bookmarkStart w:id="194" w:name="_Toc279701247"/>
      <w:r>
        <w:rPr>
          <w:rFonts w:hint="eastAsia" w:ascii="仿宋" w:hAnsi="仿宋" w:eastAsia="仿宋" w:cs="仿宋"/>
          <w:color w:val="auto"/>
          <w:sz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2.4.2 合同履行期间，甲方有权将履行过程中出现的问题反馈给乙方，双方当事人应以书面形式约定需要完善和改进的内容</w:t>
      </w:r>
      <w:bookmarkEnd w:id="189"/>
      <w:r/>
      <w:bookmarkStart w:id="195" w:name="_Toc186431855"/>
      <w:r>
        <w:rPr>
          <w:rFonts w:hint="eastAsia" w:ascii="仿宋" w:hAnsi="仿宋" w:eastAsia="仿宋" w:cs="仿宋"/>
          <w:color w:val="auto"/>
          <w:sz w:val="24"/>
          <w:highlight w:val="none"/>
        </w:rPr>
        <w:t xml:space="preserve">。</w:t>
      </w:r>
      <w:bookmarkEnd w:id="195"/>
      <w:r/>
      <w:r/>
    </w:p>
    <w:p>
      <w:pPr>
        <w:ind w:left="695" w:firstLine="482"/>
        <w:spacing w:line="560" w:lineRule="exact"/>
        <w:rPr>
          <w:rFonts w:hint="eastAsia" w:ascii="仿宋" w:hAnsi="仿宋" w:eastAsia="仿宋" w:cs="仿宋"/>
          <w:b/>
          <w:color w:val="auto"/>
          <w:sz w:val="24"/>
          <w:highlight w:val="none"/>
        </w:rPr>
        <w:outlineLvl w:val="0"/>
      </w:pPr>
      <w:r/>
      <w:bookmarkStart w:id="196" w:name="_Toc15447"/>
      <w:r/>
      <w:bookmarkStart w:id="197" w:name="_Toc32670"/>
      <w:r/>
      <w:bookmarkStart w:id="198" w:name="_Toc31233"/>
      <w:r/>
      <w:bookmarkStart w:id="199" w:name="_Toc22011"/>
      <w:r/>
      <w:bookmarkStart w:id="200" w:name="_Toc26555"/>
      <w:r>
        <w:rPr>
          <w:rFonts w:hint="eastAsia" w:ascii="仿宋" w:hAnsi="仿宋" w:eastAsia="仿宋" w:cs="仿宋"/>
          <w:b/>
          <w:color w:val="auto"/>
          <w:sz w:val="24"/>
          <w:highlight w:val="none"/>
        </w:rPr>
        <w:t xml:space="preserve">2.5 结算方式和付款条件</w:t>
      </w:r>
      <w:bookmarkEnd w:id="190"/>
      <w:r/>
      <w:bookmarkEnd w:id="191"/>
      <w:r/>
      <w:bookmarkEnd w:id="192"/>
      <w:r/>
      <w:bookmarkEnd w:id="193"/>
      <w:r/>
      <w:bookmarkEnd w:id="194"/>
      <w:r/>
      <w:bookmarkEnd w:id="196"/>
      <w:r/>
      <w:bookmarkEnd w:id="197"/>
      <w:r/>
      <w:bookmarkEnd w:id="198"/>
      <w:r/>
      <w:bookmarkEnd w:id="199"/>
      <w:r/>
      <w:bookmarkEnd w:id="200"/>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详见</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w:t>
      </w:r>
      <w:r/>
    </w:p>
    <w:p>
      <w:pPr>
        <w:ind w:left="695" w:firstLine="482"/>
        <w:spacing w:line="560" w:lineRule="exact"/>
        <w:rPr>
          <w:rFonts w:hint="eastAsia" w:ascii="仿宋" w:hAnsi="仿宋" w:eastAsia="仿宋" w:cs="仿宋"/>
          <w:b/>
          <w:color w:val="auto"/>
          <w:sz w:val="24"/>
          <w:highlight w:val="none"/>
        </w:rPr>
        <w:outlineLvl w:val="0"/>
      </w:pPr>
      <w:r/>
      <w:bookmarkStart w:id="201" w:name="_Toc259093677"/>
      <w:r/>
      <w:bookmarkStart w:id="202" w:name="_Toc487900358"/>
      <w:r/>
      <w:bookmarkStart w:id="203" w:name="_Ref467379923"/>
      <w:r/>
      <w:bookmarkStart w:id="204" w:name="_Ref467379863"/>
      <w:r/>
      <w:bookmarkStart w:id="205" w:name="_Ref467379852"/>
      <w:r/>
      <w:bookmarkStart w:id="206" w:name="_Toc279701248"/>
      <w:r/>
      <w:bookmarkStart w:id="207" w:name="_Toc13154"/>
      <w:r/>
      <w:bookmarkStart w:id="208" w:name="_Toc18990"/>
      <w:r/>
      <w:bookmarkStart w:id="209" w:name="_Toc16163"/>
      <w:r/>
      <w:bookmarkStart w:id="210" w:name="_Toc13467"/>
      <w:r/>
      <w:bookmarkStart w:id="211" w:name="_Toc30507"/>
      <w:r>
        <w:rPr>
          <w:rFonts w:hint="eastAsia" w:ascii="仿宋" w:hAnsi="仿宋" w:eastAsia="仿宋" w:cs="仿宋"/>
          <w:b/>
          <w:color w:val="auto"/>
          <w:sz w:val="24"/>
          <w:highlight w:val="none"/>
        </w:rPr>
        <w:t xml:space="preserve">2.6 技术资料</w:t>
      </w:r>
      <w:bookmarkEnd w:id="201"/>
      <w:r/>
      <w:bookmarkEnd w:id="202"/>
      <w:r/>
      <w:bookmarkEnd w:id="203"/>
      <w:r/>
      <w:bookmarkEnd w:id="204"/>
      <w:r/>
      <w:bookmarkEnd w:id="205"/>
      <w:r/>
      <w:bookmarkEnd w:id="206"/>
      <w:r>
        <w:rPr>
          <w:rFonts w:hint="eastAsia" w:ascii="仿宋" w:hAnsi="仿宋" w:eastAsia="仿宋" w:cs="仿宋"/>
          <w:b/>
          <w:color w:val="auto"/>
          <w:sz w:val="24"/>
          <w:highlight w:val="none"/>
        </w:rPr>
        <w:t xml:space="preserve">和保密义务</w:t>
      </w:r>
      <w:bookmarkEnd w:id="207"/>
      <w:r/>
      <w:bookmarkEnd w:id="208"/>
      <w:r/>
      <w:bookmarkEnd w:id="209"/>
      <w:r/>
      <w:bookmarkEnd w:id="210"/>
      <w:r/>
      <w:bookmarkEnd w:id="211"/>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2.6.1 乙方有权依据合同约定和项目需要，向甲方了解有关情况，调阅有关资料等，甲方应予积极配合；</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2.6.2 乙方有义务妥善保管和保护由甲方提供的前款信息和资料等；</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left="695" w:firstLine="482"/>
        <w:spacing w:line="560" w:lineRule="exact"/>
        <w:rPr>
          <w:rFonts w:hint="eastAsia" w:ascii="仿宋" w:hAnsi="仿宋" w:eastAsia="仿宋" w:cs="仿宋"/>
          <w:b/>
          <w:color w:val="auto"/>
          <w:sz w:val="24"/>
          <w:highlight w:val="none"/>
        </w:rPr>
        <w:outlineLvl w:val="0"/>
      </w:pPr>
      <w:r/>
      <w:bookmarkStart w:id="212" w:name="_Toc19069"/>
      <w:r/>
      <w:bookmarkStart w:id="213" w:name="_Toc279701252"/>
      <w:r/>
      <w:bookmarkStart w:id="214" w:name="_Toc259093681"/>
      <w:r/>
      <w:bookmarkStart w:id="215" w:name="_Toc487900362"/>
      <w:r>
        <w:rPr>
          <w:rFonts w:hint="eastAsia" w:ascii="仿宋" w:hAnsi="仿宋" w:eastAsia="仿宋" w:cs="仿宋"/>
          <w:b/>
          <w:color w:val="auto"/>
          <w:sz w:val="24"/>
          <w:highlight w:val="none"/>
        </w:rPr>
        <w:t xml:space="preserve">2.7 质量保证</w:t>
      </w:r>
      <w:bookmarkEnd w:id="212"/>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2.7.1 乙方应建立和完善履行合同的内部质量保证体系，并提供相关内部规章制度给甲方，以便甲方进行监督检查；</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2.7.2 乙方应保证履行合同的人员数量和素质、软件和硬件设备的配置、场地、环境和设施等满足全面履行合同的要求，并应接受甲方的监督检查。</w:t>
      </w:r>
      <w:r/>
    </w:p>
    <w:p>
      <w:pPr>
        <w:ind w:left="695" w:firstLine="482"/>
        <w:spacing w:line="560" w:lineRule="exact"/>
        <w:rPr>
          <w:rFonts w:hint="eastAsia" w:ascii="仿宋" w:hAnsi="仿宋" w:eastAsia="仿宋" w:cs="仿宋"/>
          <w:b/>
          <w:color w:val="auto"/>
          <w:sz w:val="24"/>
          <w:highlight w:val="none"/>
        </w:rPr>
        <w:outlineLvl w:val="0"/>
      </w:pPr>
      <w:r/>
      <w:bookmarkStart w:id="216" w:name="_Toc22267"/>
      <w:r>
        <w:rPr>
          <w:rFonts w:hint="eastAsia" w:ascii="仿宋" w:hAnsi="仿宋" w:eastAsia="仿宋" w:cs="仿宋"/>
          <w:b/>
          <w:color w:val="auto"/>
          <w:sz w:val="24"/>
          <w:highlight w:val="none"/>
        </w:rPr>
        <w:t xml:space="preserve">2.8 延迟</w:t>
      </w:r>
      <w:bookmarkEnd w:id="213"/>
      <w:r/>
      <w:bookmarkEnd w:id="214"/>
      <w:r/>
      <w:bookmarkEnd w:id="215"/>
      <w:r>
        <w:rPr>
          <w:rFonts w:hint="eastAsia" w:ascii="仿宋" w:hAnsi="仿宋" w:eastAsia="仿宋" w:cs="仿宋"/>
          <w:b/>
          <w:color w:val="auto"/>
          <w:sz w:val="24"/>
          <w:highlight w:val="none"/>
        </w:rPr>
        <w:t xml:space="preserve">履行</w:t>
      </w:r>
      <w:bookmarkEnd w:id="216"/>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left="695" w:firstLine="482"/>
        <w:spacing w:line="560" w:lineRule="exact"/>
        <w:rPr>
          <w:rFonts w:hint="eastAsia" w:ascii="仿宋" w:hAnsi="仿宋" w:eastAsia="仿宋" w:cs="仿宋"/>
          <w:b/>
          <w:color w:val="auto"/>
          <w:sz w:val="24"/>
          <w:highlight w:val="none"/>
        </w:rPr>
        <w:outlineLvl w:val="0"/>
      </w:pPr>
      <w:r/>
      <w:bookmarkStart w:id="217" w:name="_Toc10611"/>
      <w:r/>
      <w:bookmarkStart w:id="218" w:name="_Toc279701254"/>
      <w:r/>
      <w:bookmarkStart w:id="219" w:name="_Toc487900364"/>
      <w:r/>
      <w:bookmarkStart w:id="220" w:name="_Ref467378121"/>
      <w:r/>
      <w:bookmarkStart w:id="221" w:name="_Toc259093683"/>
      <w:r>
        <w:rPr>
          <w:rFonts w:hint="eastAsia" w:ascii="仿宋" w:hAnsi="仿宋" w:eastAsia="仿宋" w:cs="仿宋"/>
          <w:b/>
          <w:color w:val="auto"/>
          <w:sz w:val="24"/>
          <w:highlight w:val="none"/>
        </w:rPr>
        <w:t xml:space="preserve">2.9 合同变更</w:t>
      </w:r>
      <w:bookmarkEnd w:id="217"/>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222" w:name="_Toc279701259"/>
      <w:r/>
      <w:bookmarkStart w:id="223" w:name="_Toc487900369"/>
      <w:r/>
      <w:bookmarkStart w:id="224" w:name="_Toc259093688"/>
      <w:r/>
      <w:r/>
    </w:p>
    <w:p>
      <w:pPr>
        <w:ind w:left="695" w:firstLine="482"/>
        <w:spacing w:line="560" w:lineRule="exact"/>
        <w:rPr>
          <w:rFonts w:hint="eastAsia" w:ascii="仿宋" w:hAnsi="仿宋" w:eastAsia="仿宋" w:cs="仿宋"/>
          <w:b/>
          <w:color w:val="auto"/>
          <w:sz w:val="24"/>
          <w:highlight w:val="none"/>
        </w:rPr>
        <w:outlineLvl w:val="0"/>
      </w:pPr>
      <w:r/>
      <w:bookmarkStart w:id="225" w:name="_Toc26689"/>
      <w:r/>
      <w:bookmarkStart w:id="226" w:name="_Toc42"/>
      <w:r/>
      <w:bookmarkStart w:id="227" w:name="_Toc21830"/>
      <w:r/>
      <w:bookmarkStart w:id="228" w:name="_Toc10663"/>
      <w:r/>
      <w:bookmarkStart w:id="229" w:name="_Toc23368"/>
      <w:r>
        <w:rPr>
          <w:rFonts w:hint="eastAsia" w:ascii="仿宋" w:hAnsi="仿宋" w:eastAsia="仿宋" w:cs="仿宋"/>
          <w:b/>
          <w:color w:val="auto"/>
          <w:sz w:val="24"/>
          <w:highlight w:val="none"/>
        </w:rPr>
        <w:t xml:space="preserve">2.10 合同转让</w:t>
      </w:r>
      <w:bookmarkEnd w:id="222"/>
      <w:r/>
      <w:bookmarkEnd w:id="223"/>
      <w:r/>
      <w:bookmarkEnd w:id="224"/>
      <w:r>
        <w:rPr>
          <w:rFonts w:hint="eastAsia" w:ascii="仿宋" w:hAnsi="仿宋" w:eastAsia="仿宋" w:cs="仿宋"/>
          <w:b/>
          <w:color w:val="auto"/>
          <w:sz w:val="24"/>
          <w:highlight w:val="none"/>
        </w:rPr>
        <w:t xml:space="preserve">和分包</w:t>
      </w:r>
      <w:bookmarkEnd w:id="225"/>
      <w:r/>
      <w:bookmarkEnd w:id="226"/>
      <w:r/>
      <w:bookmarkEnd w:id="227"/>
      <w:r/>
      <w:bookmarkEnd w:id="228"/>
      <w:r/>
      <w:bookmarkEnd w:id="229"/>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left="695" w:firstLine="482"/>
        <w:spacing w:line="560" w:lineRule="exact"/>
        <w:rPr>
          <w:rFonts w:hint="eastAsia" w:ascii="仿宋" w:hAnsi="仿宋" w:eastAsia="仿宋" w:cs="仿宋"/>
          <w:b/>
          <w:color w:val="auto"/>
          <w:sz w:val="24"/>
          <w:highlight w:val="none"/>
        </w:rPr>
        <w:outlineLvl w:val="0"/>
      </w:pPr>
      <w:r/>
      <w:bookmarkStart w:id="230" w:name="_Toc32494"/>
      <w:r/>
      <w:bookmarkStart w:id="231" w:name="_Toc4720"/>
      <w:r/>
      <w:bookmarkStart w:id="232" w:name="_Toc26633"/>
      <w:r/>
      <w:bookmarkStart w:id="233" w:name="_Toc14371"/>
      <w:r/>
      <w:bookmarkStart w:id="234" w:name="_Toc25571"/>
      <w:r>
        <w:rPr>
          <w:rFonts w:hint="eastAsia" w:ascii="仿宋" w:hAnsi="仿宋" w:eastAsia="仿宋" w:cs="仿宋"/>
          <w:b/>
          <w:color w:val="auto"/>
          <w:sz w:val="24"/>
          <w:highlight w:val="none"/>
        </w:rPr>
        <w:t xml:space="preserve">2.11 不可抗力</w:t>
      </w:r>
      <w:bookmarkEnd w:id="230"/>
      <w:r/>
      <w:bookmarkEnd w:id="231"/>
      <w:r/>
      <w:bookmarkEnd w:id="232"/>
      <w:r/>
      <w:bookmarkEnd w:id="233"/>
      <w:r/>
      <w:bookmarkEnd w:id="234"/>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2.11.1如果任何一方遭遇法律规定的不可抗力，致使合同履行受阻时，履行合同的期限应予延长，延长的期限应相当于不可抗力所影响的时间；</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2.11.2 因不可抗力致使不能实现合同目的的，当事人可以解除合同；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2.11.3 因不可抗力致使合同有变更必要的，双方当事人应在</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约定时间内以书面形式变更合同；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2.11.4受不可抗力影响的一方在不可抗力发生后，应在</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约定时间内以书面形式通知对方当事人，并在</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约定时间内，将有关部门出具的证明文件送达对方当事人。</w:t>
      </w:r>
      <w:r/>
    </w:p>
    <w:p>
      <w:pPr>
        <w:ind w:left="695" w:firstLine="482"/>
        <w:spacing w:line="560" w:lineRule="exact"/>
        <w:rPr>
          <w:rFonts w:hint="eastAsia" w:ascii="仿宋" w:hAnsi="仿宋" w:eastAsia="仿宋" w:cs="仿宋"/>
          <w:b/>
          <w:color w:val="auto"/>
          <w:sz w:val="24"/>
          <w:highlight w:val="none"/>
        </w:rPr>
        <w:outlineLvl w:val="0"/>
      </w:pPr>
      <w:r/>
      <w:bookmarkStart w:id="235" w:name="_Toc487900365"/>
      <w:r/>
      <w:bookmarkStart w:id="236" w:name="_Toc25783"/>
      <w:r/>
      <w:bookmarkStart w:id="237" w:name="_Toc279701255"/>
      <w:r/>
      <w:bookmarkStart w:id="238" w:name="_Toc24465"/>
      <w:r/>
      <w:bookmarkStart w:id="239" w:name="_Toc14115"/>
      <w:r/>
      <w:bookmarkStart w:id="240" w:name="_Toc259093684"/>
      <w:r/>
      <w:bookmarkStart w:id="241" w:name="_Toc3638"/>
      <w:r/>
      <w:bookmarkStart w:id="242" w:name="_Toc23854"/>
      <w:r>
        <w:rPr>
          <w:rFonts w:hint="eastAsia" w:ascii="仿宋" w:hAnsi="仿宋" w:eastAsia="仿宋" w:cs="仿宋"/>
          <w:b/>
          <w:color w:val="auto"/>
          <w:sz w:val="24"/>
          <w:highlight w:val="none"/>
        </w:rPr>
        <w:t xml:space="preserve">2.12 税费</w:t>
      </w:r>
      <w:bookmarkEnd w:id="235"/>
      <w:r/>
      <w:bookmarkEnd w:id="236"/>
      <w:r/>
      <w:bookmarkEnd w:id="237"/>
      <w:r/>
      <w:bookmarkEnd w:id="238"/>
      <w:r/>
      <w:bookmarkEnd w:id="239"/>
      <w:r/>
      <w:bookmarkEnd w:id="240"/>
      <w:r/>
      <w:bookmarkEnd w:id="241"/>
      <w:r/>
      <w:bookmarkEnd w:id="242"/>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与合同有关的一切税费，均按照中华人民共和国法律的相关规定缴纳。</w:t>
      </w:r>
      <w:r/>
    </w:p>
    <w:p>
      <w:pPr>
        <w:ind w:left="695" w:firstLine="482"/>
        <w:spacing w:line="560" w:lineRule="exact"/>
        <w:rPr>
          <w:rFonts w:hint="eastAsia" w:ascii="仿宋" w:hAnsi="仿宋" w:eastAsia="仿宋" w:cs="仿宋"/>
          <w:b/>
          <w:color w:val="auto"/>
          <w:sz w:val="24"/>
          <w:highlight w:val="none"/>
        </w:rPr>
        <w:outlineLvl w:val="0"/>
      </w:pPr>
      <w:r/>
      <w:bookmarkStart w:id="243" w:name="_Toc7315"/>
      <w:r/>
      <w:bookmarkStart w:id="244" w:name="_Toc30105"/>
      <w:r/>
      <w:bookmarkStart w:id="245" w:name="_Toc279701258"/>
      <w:r/>
      <w:bookmarkStart w:id="246" w:name="_Toc25525"/>
      <w:r/>
      <w:bookmarkStart w:id="247" w:name="_Toc259093687"/>
      <w:r/>
      <w:bookmarkStart w:id="248" w:name="_Toc26883"/>
      <w:r/>
      <w:bookmarkStart w:id="249" w:name="_Toc14814"/>
      <w:r/>
      <w:bookmarkStart w:id="250" w:name="_Toc487900368"/>
      <w:r>
        <w:rPr>
          <w:rFonts w:hint="eastAsia" w:ascii="仿宋" w:hAnsi="仿宋" w:eastAsia="仿宋" w:cs="仿宋"/>
          <w:b/>
          <w:color w:val="auto"/>
          <w:sz w:val="24"/>
          <w:highlight w:val="none"/>
        </w:rPr>
        <w:t xml:space="preserve">2.13 乙方破产</w:t>
      </w:r>
      <w:bookmarkEnd w:id="243"/>
      <w:r/>
      <w:bookmarkEnd w:id="244"/>
      <w:r/>
      <w:bookmarkEnd w:id="245"/>
      <w:r/>
      <w:bookmarkEnd w:id="246"/>
      <w:r/>
      <w:bookmarkEnd w:id="247"/>
      <w:r/>
      <w:bookmarkEnd w:id="248"/>
      <w:r/>
      <w:bookmarkEnd w:id="249"/>
      <w:r/>
      <w:bookmarkEnd w:id="250"/>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left="695" w:firstLine="482"/>
        <w:spacing w:line="560" w:lineRule="exact"/>
        <w:rPr>
          <w:rFonts w:hint="eastAsia" w:ascii="仿宋" w:hAnsi="仿宋" w:eastAsia="仿宋" w:cs="仿宋"/>
          <w:b/>
          <w:color w:val="auto"/>
          <w:sz w:val="24"/>
          <w:highlight w:val="none"/>
        </w:rPr>
        <w:outlineLvl w:val="0"/>
      </w:pPr>
      <w:r/>
      <w:bookmarkStart w:id="251" w:name="_Toc23323"/>
      <w:r/>
      <w:bookmarkStart w:id="252" w:name="_Toc2016"/>
      <w:r/>
      <w:bookmarkStart w:id="253" w:name="_Toc1123"/>
      <w:r>
        <w:rPr>
          <w:rFonts w:hint="eastAsia" w:ascii="仿宋" w:hAnsi="仿宋" w:eastAsia="仿宋" w:cs="仿宋"/>
          <w:b/>
          <w:color w:val="auto"/>
          <w:sz w:val="24"/>
          <w:highlight w:val="none"/>
        </w:rPr>
        <w:t xml:space="preserve">2.14 合同中止、终止</w:t>
      </w:r>
      <w:bookmarkEnd w:id="251"/>
      <w:r/>
      <w:bookmarkEnd w:id="252"/>
      <w:r/>
      <w:bookmarkEnd w:id="253"/>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2.14.1 双方当事人不得擅自中止或者终止合同；</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2.14.2合同继续履行将损害国家利益和社会公共利益的，双方当事人应当中止或者终止合同。有过错的一方应当承担赔偿责任，双方当事人都有过错的，各自承担相应的责任。</w:t>
      </w:r>
      <w:r/>
    </w:p>
    <w:p>
      <w:pPr>
        <w:ind w:left="695" w:firstLine="482"/>
        <w:spacing w:line="560" w:lineRule="exact"/>
        <w:rPr>
          <w:rFonts w:hint="eastAsia" w:ascii="仿宋" w:hAnsi="仿宋" w:eastAsia="仿宋" w:cs="仿宋"/>
          <w:b/>
          <w:color w:val="auto"/>
          <w:sz w:val="24"/>
          <w:highlight w:val="none"/>
        </w:rPr>
        <w:outlineLvl w:val="0"/>
      </w:pPr>
      <w:r/>
      <w:bookmarkStart w:id="254" w:name="_Toc1969"/>
      <w:r/>
      <w:bookmarkStart w:id="255" w:name="_Toc17363"/>
      <w:r/>
      <w:bookmarkStart w:id="256" w:name="_Toc14525"/>
      <w:r>
        <w:rPr>
          <w:rFonts w:hint="eastAsia" w:ascii="仿宋" w:hAnsi="仿宋" w:eastAsia="仿宋" w:cs="仿宋"/>
          <w:b/>
          <w:color w:val="auto"/>
          <w:sz w:val="24"/>
          <w:highlight w:val="none"/>
        </w:rPr>
        <w:t xml:space="preserve">2.15 检验和验收</w:t>
      </w:r>
      <w:bookmarkEnd w:id="254"/>
      <w:r/>
      <w:bookmarkEnd w:id="255"/>
      <w:r/>
      <w:bookmarkEnd w:id="256"/>
      <w:r/>
      <w:r/>
    </w:p>
    <w:p>
      <w:pPr>
        <w:ind w:left="695" w:firstLine="480"/>
        <w:spacing w:line="560" w:lineRule="exact"/>
        <w:tabs>
          <w:tab w:val="left" w:pos="360" w:leader="none"/>
          <w:tab w:val="left" w:pos="540" w:leader="none"/>
          <w:tab w:val="left" w:pos="108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2.15.1 乙方按照</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的约定，定期提交服务报告，甲方按照</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的约定进行定期验收；</w:t>
      </w:r>
      <w:r/>
    </w:p>
    <w:p>
      <w:pPr>
        <w:ind w:left="695" w:firstLine="480"/>
        <w:spacing w:line="560" w:lineRule="exact"/>
        <w:tabs>
          <w:tab w:val="left" w:pos="360" w:leader="none"/>
          <w:tab w:val="left" w:pos="540" w:leader="none"/>
          <w:tab w:val="left" w:pos="108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left="695" w:firstLine="480"/>
        <w:spacing w:line="560" w:lineRule="exact"/>
        <w:tabs>
          <w:tab w:val="left" w:pos="360" w:leader="none"/>
          <w:tab w:val="left" w:pos="540" w:leader="none"/>
          <w:tab w:val="left" w:pos="108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2.15.3 检验和验收标准、程序等具体内容以及前述验收书的效力详见</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i/>
          <w:color w:val="auto"/>
          <w:sz w:val="24"/>
          <w:highlight w:val="none"/>
        </w:rPr>
        <w:t xml:space="preserve">。</w:t>
      </w:r>
      <w:bookmarkEnd w:id="218"/>
      <w:r/>
      <w:bookmarkEnd w:id="219"/>
      <w:r/>
      <w:bookmarkEnd w:id="220"/>
      <w:r/>
      <w:bookmarkEnd w:id="221"/>
      <w:r/>
      <w:r/>
    </w:p>
    <w:p>
      <w:pPr>
        <w:ind w:left="695" w:firstLine="482"/>
        <w:spacing w:line="560" w:lineRule="exact"/>
        <w:rPr>
          <w:rFonts w:hint="eastAsia" w:ascii="仿宋" w:hAnsi="仿宋" w:eastAsia="仿宋" w:cs="仿宋"/>
          <w:b/>
          <w:color w:val="auto"/>
          <w:sz w:val="24"/>
          <w:highlight w:val="none"/>
        </w:rPr>
        <w:outlineLvl w:val="0"/>
      </w:pPr>
      <w:r/>
      <w:bookmarkStart w:id="257" w:name="_Toc487900371"/>
      <w:r/>
      <w:bookmarkStart w:id="258" w:name="_Toc259093690"/>
      <w:r/>
      <w:bookmarkStart w:id="259" w:name="_Toc279701261"/>
      <w:r/>
      <w:bookmarkStart w:id="260" w:name="_Toc9808"/>
      <w:r/>
      <w:bookmarkStart w:id="261" w:name="_Toc12666"/>
      <w:r/>
      <w:bookmarkStart w:id="262" w:name="_Toc31892"/>
      <w:r/>
      <w:bookmarkStart w:id="263" w:name="_Toc25198"/>
      <w:r/>
      <w:bookmarkStart w:id="264" w:name="_Toc2308"/>
      <w:r>
        <w:rPr>
          <w:rFonts w:hint="eastAsia" w:ascii="仿宋" w:hAnsi="仿宋" w:eastAsia="仿宋" w:cs="仿宋"/>
          <w:b/>
          <w:color w:val="auto"/>
          <w:sz w:val="24"/>
          <w:highlight w:val="none"/>
        </w:rPr>
        <w:t xml:space="preserve">2.16 通知</w:t>
      </w:r>
      <w:bookmarkEnd w:id="257"/>
      <w:r/>
      <w:bookmarkEnd w:id="258"/>
      <w:r/>
      <w:bookmarkEnd w:id="259"/>
      <w:r>
        <w:rPr>
          <w:rFonts w:hint="eastAsia" w:ascii="仿宋" w:hAnsi="仿宋" w:eastAsia="仿宋" w:cs="仿宋"/>
          <w:b/>
          <w:color w:val="auto"/>
          <w:sz w:val="24"/>
          <w:highlight w:val="none"/>
        </w:rPr>
        <w:t xml:space="preserve">和送达</w:t>
      </w:r>
      <w:bookmarkEnd w:id="260"/>
      <w:r/>
      <w:bookmarkEnd w:id="261"/>
      <w:r/>
      <w:bookmarkEnd w:id="262"/>
      <w:r/>
      <w:bookmarkEnd w:id="263"/>
      <w:r/>
      <w:bookmarkEnd w:id="264"/>
      <w:r/>
      <w:r/>
    </w:p>
    <w:p>
      <w:pPr>
        <w:ind w:left="695" w:firstLine="480"/>
        <w:spacing w:line="560" w:lineRule="exact"/>
        <w:rPr>
          <w:rFonts w:hint="eastAsia" w:ascii="仿宋" w:hAnsi="仿宋" w:eastAsia="仿宋" w:cs="仿宋"/>
          <w:color w:val="auto"/>
          <w:sz w:val="24"/>
          <w:highlight w:val="none"/>
        </w:rPr>
      </w:pPr>
      <w:r/>
      <w:bookmarkStart w:id="265" w:name="_Toc7073"/>
      <w:r/>
      <w:bookmarkStart w:id="266" w:name="_Toc29220"/>
      <w:r/>
      <w:bookmarkStart w:id="267" w:name="_Toc487900372"/>
      <w:r/>
      <w:bookmarkStart w:id="268" w:name="_Toc279701262"/>
      <w:r/>
      <w:bookmarkStart w:id="269" w:name="_Toc259093691"/>
      <w:r>
        <w:rPr>
          <w:rFonts w:hint="eastAsia" w:ascii="仿宋" w:hAnsi="仿宋" w:eastAsia="仿宋" w:cs="仿宋"/>
          <w:color w:val="auto"/>
          <w:sz w:val="24"/>
          <w:highlight w:val="none"/>
        </w:rPr>
        <w:t xml:space="preserve">2.16.1 任何一方因履行合同而以合同第一部分尾部所列明的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发出的所有通知、文件、材料，均视为已向对方当事人送达；任何一方变更上述送达方式或者地址的，应于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个工作日内书面通知对方当事人，在对方当事人收到有关变更通知之前，变更前的约定送达方式或者地址仍视为有效。</w:t>
      </w:r>
      <w:bookmarkEnd w:id="265"/>
      <w:r/>
      <w:bookmarkEnd w:id="266"/>
      <w:r/>
      <w:r/>
    </w:p>
    <w:p>
      <w:pPr>
        <w:ind w:left="695" w:firstLine="480"/>
        <w:spacing w:line="560" w:lineRule="exact"/>
        <w:rPr>
          <w:rFonts w:hint="eastAsia" w:ascii="仿宋" w:hAnsi="仿宋" w:eastAsia="仿宋" w:cs="仿宋"/>
          <w:color w:val="auto"/>
          <w:sz w:val="24"/>
          <w:highlight w:val="none"/>
        </w:rPr>
      </w:pPr>
      <w:r/>
      <w:bookmarkStart w:id="270" w:name="_Toc18401"/>
      <w:r/>
      <w:bookmarkStart w:id="271" w:name="_Toc27674"/>
      <w:r>
        <w:rPr>
          <w:rFonts w:hint="eastAsia" w:ascii="仿宋" w:hAnsi="仿宋" w:eastAsia="仿宋" w:cs="仿宋"/>
          <w:color w:val="auto"/>
          <w:sz w:val="24"/>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70"/>
      <w:r/>
      <w:bookmarkEnd w:id="271"/>
      <w:r/>
      <w:bookmarkEnd w:id="267"/>
      <w:r/>
      <w:bookmarkEnd w:id="268"/>
      <w:r/>
      <w:bookmarkEnd w:id="269"/>
      <w:r/>
      <w:r/>
    </w:p>
    <w:p>
      <w:pPr>
        <w:ind w:left="695" w:firstLine="482"/>
        <w:spacing w:line="560" w:lineRule="exact"/>
        <w:rPr>
          <w:rFonts w:hint="eastAsia" w:ascii="仿宋" w:hAnsi="仿宋" w:eastAsia="仿宋" w:cs="仿宋"/>
          <w:b/>
          <w:color w:val="auto"/>
          <w:sz w:val="24"/>
          <w:highlight w:val="none"/>
        </w:rPr>
        <w:outlineLvl w:val="0"/>
      </w:pPr>
      <w:r/>
      <w:bookmarkStart w:id="272" w:name="_Toc5063"/>
      <w:r/>
      <w:bookmarkStart w:id="273" w:name="_Toc279701263"/>
      <w:r/>
      <w:bookmarkStart w:id="274" w:name="_Toc28906"/>
      <w:r/>
      <w:bookmarkStart w:id="275" w:name="_Toc27644"/>
      <w:r/>
      <w:bookmarkStart w:id="276" w:name="_Toc259093692"/>
      <w:r/>
      <w:bookmarkStart w:id="277" w:name="_Toc20808"/>
      <w:r/>
      <w:bookmarkStart w:id="278" w:name="_Toc12254"/>
      <w:r/>
      <w:bookmarkStart w:id="279" w:name="_Toc487900373"/>
      <w:r>
        <w:rPr>
          <w:rFonts w:hint="eastAsia" w:ascii="仿宋" w:hAnsi="仿宋" w:eastAsia="仿宋" w:cs="仿宋"/>
          <w:b/>
          <w:color w:val="auto"/>
          <w:sz w:val="24"/>
          <w:highlight w:val="none"/>
        </w:rPr>
        <w:t xml:space="preserve">2.17 合同使用的文字和适用的法律</w:t>
      </w:r>
      <w:bookmarkEnd w:id="272"/>
      <w:r/>
      <w:bookmarkEnd w:id="273"/>
      <w:r/>
      <w:bookmarkEnd w:id="274"/>
      <w:r/>
      <w:bookmarkEnd w:id="275"/>
      <w:r/>
      <w:bookmarkEnd w:id="276"/>
      <w:r/>
      <w:bookmarkEnd w:id="277"/>
      <w:r/>
      <w:bookmarkEnd w:id="278"/>
      <w:r/>
      <w:bookmarkEnd w:id="279"/>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2.17.1 合同使用汉语书就、变更和解释；</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2.17.2 合同适用中华人民共和国法律。</w:t>
      </w:r>
      <w:r/>
    </w:p>
    <w:p>
      <w:pPr>
        <w:ind w:left="695" w:firstLine="482"/>
        <w:spacing w:line="560" w:lineRule="exact"/>
        <w:rPr>
          <w:rFonts w:hint="eastAsia" w:ascii="仿宋" w:hAnsi="仿宋" w:eastAsia="仿宋" w:cs="仿宋"/>
          <w:b/>
          <w:color w:val="auto"/>
          <w:sz w:val="24"/>
          <w:highlight w:val="none"/>
        </w:rPr>
        <w:outlineLvl w:val="0"/>
      </w:pPr>
      <w:r/>
      <w:bookmarkStart w:id="280" w:name="_Toc259093693"/>
      <w:r/>
      <w:bookmarkStart w:id="281" w:name="_Toc1492"/>
      <w:r/>
      <w:bookmarkStart w:id="282" w:name="_Toc22266"/>
      <w:r/>
      <w:bookmarkStart w:id="283" w:name="_Toc279701264"/>
      <w:r/>
      <w:bookmarkStart w:id="284" w:name="_Toc27403"/>
      <w:r/>
      <w:bookmarkStart w:id="285" w:name="_Toc27127"/>
      <w:r/>
      <w:bookmarkStart w:id="286" w:name="_Toc30096"/>
      <w:r/>
      <w:bookmarkStart w:id="287" w:name="_Toc487900374"/>
      <w:r>
        <w:rPr>
          <w:rFonts w:hint="eastAsia" w:ascii="仿宋" w:hAnsi="仿宋" w:eastAsia="仿宋" w:cs="仿宋"/>
          <w:b/>
          <w:color w:val="auto"/>
          <w:sz w:val="24"/>
          <w:highlight w:val="none"/>
        </w:rPr>
        <w:t xml:space="preserve">2.18 履约保证金</w:t>
      </w:r>
      <w:bookmarkEnd w:id="280"/>
      <w:r/>
      <w:bookmarkEnd w:id="281"/>
      <w:r/>
      <w:bookmarkEnd w:id="282"/>
      <w:r/>
      <w:bookmarkEnd w:id="283"/>
      <w:r/>
      <w:bookmarkEnd w:id="284"/>
      <w:r/>
      <w:bookmarkEnd w:id="285"/>
      <w:r/>
      <w:bookmarkEnd w:id="286"/>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2.18.1 采购文件要求乙方提交履约保证金的，乙方应按</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约定的方式，以支票、汇票、本票或者金融机构、担保机构出具的保函等形式，提交不超过合同价</w:t>
      </w:r>
      <w:r>
        <w:rPr>
          <w:rFonts w:hint="eastAsia" w:ascii="仿宋" w:hAnsi="仿宋" w:eastAsia="仿宋" w:cs="仿宋"/>
          <w:color w:val="auto"/>
          <w:sz w:val="24"/>
          <w:highlight w:val="none"/>
          <w:u w:val="single"/>
          <w:lang w:val="en-US" w:eastAsia="zh-CN"/>
        </w:rPr>
        <w:t xml:space="preserve"> / </w:t>
      </w:r>
      <w:r>
        <w:rPr>
          <w:rFonts w:hint="eastAsia" w:ascii="仿宋" w:hAnsi="仿宋" w:eastAsia="仿宋" w:cs="仿宋"/>
          <w:color w:val="auto"/>
          <w:sz w:val="24"/>
          <w:highlight w:val="none"/>
        </w:rPr>
        <w:t xml:space="preserve">的履约保证金；</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2.18.2 履约保证金在</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约定期间内不予退还或者应完全有效，前述约定期间届满之日起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个工作日内，甲方应将履约保证金退还乙方；</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2.18.3 如果乙方不履行合同，履约保证金不予退还；如果乙方未能按合同约定全面履行义务，那么甲方有权从履约保证金中取得补偿或赔偿，同时不影响甲方要求乙方承担合同约定的超过履约保证金的违约责任的权利。</w:t>
      </w:r>
      <w:bookmarkEnd w:id="287"/>
      <w:r/>
      <w:r/>
    </w:p>
    <w:p>
      <w:pPr>
        <w:ind w:left="695" w:firstLine="482"/>
        <w:spacing w:line="56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2.19 合同份数</w:t>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合同份数按</w:t>
      </w:r>
      <w:r>
        <w:rPr>
          <w:rFonts w:hint="eastAsia" w:ascii="仿宋" w:hAnsi="仿宋" w:eastAsia="仿宋" w:cs="仿宋"/>
          <w:b/>
          <w:i/>
          <w:color w:val="auto"/>
          <w:sz w:val="24"/>
          <w:highlight w:val="none"/>
          <w:u w:val="single"/>
        </w:rPr>
        <w:t xml:space="preserve">合同专用条款</w:t>
      </w:r>
      <w:r>
        <w:rPr>
          <w:rFonts w:hint="eastAsia" w:ascii="仿宋" w:hAnsi="仿宋" w:eastAsia="仿宋" w:cs="仿宋"/>
          <w:color w:val="auto"/>
          <w:sz w:val="24"/>
          <w:highlight w:val="none"/>
        </w:rPr>
        <w:t xml:space="preserve">规定，每份均具有同等法律效力。</w:t>
      </w:r>
      <w:r/>
    </w:p>
    <w:p>
      <w:pPr>
        <w:pStyle w:val="985"/>
        <w:ind w:left="695" w:firstLine="400"/>
        <w:jc w:val="center"/>
        <w:spacing w:line="560" w:lineRule="exact"/>
        <w:rPr>
          <w:rFonts w:hint="eastAsia" w:ascii="仿宋" w:hAnsi="仿宋" w:eastAsia="仿宋" w:cs="仿宋"/>
          <w:b/>
          <w:color w:val="auto"/>
          <w:szCs w:val="24"/>
          <w:highlight w:val="none"/>
        </w:rPr>
      </w:pPr>
      <w:r>
        <w:rPr>
          <w:rFonts w:hint="eastAsia" w:ascii="仿宋" w:hAnsi="仿宋" w:eastAsia="仿宋" w:cs="仿宋"/>
          <w:color w:val="auto"/>
          <w:szCs w:val="24"/>
          <w:highlight w:val="none"/>
        </w:rPr>
        <w:br w:type="page" w:clear="all"/>
      </w:r>
      <w:bookmarkStart w:id="288" w:name="_Toc331685784"/>
      <w:r>
        <w:rPr>
          <w:rFonts w:hint="eastAsia" w:ascii="仿宋" w:hAnsi="仿宋" w:eastAsia="仿宋" w:cs="仿宋"/>
          <w:b/>
          <w:color w:val="auto"/>
          <w:szCs w:val="24"/>
          <w:highlight w:val="none"/>
        </w:rPr>
        <w:t xml:space="preserve">第三部分  合同专用条款</w:t>
      </w:r>
      <w:bookmarkEnd w:id="288"/>
      <w:r/>
      <w:r/>
    </w:p>
    <w:p>
      <w:pPr>
        <w:ind w:left="695"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78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01"/>
        <w:gridCol w:w="7633"/>
      </w:tblGrid>
      <w:tr>
        <w:trPr>
          <w:jc w:val="center"/>
          <w:trHeight w:val="391"/>
        </w:trPr>
        <w:tc>
          <w:tcPr>
            <w:tcBorders>
              <w:left w:val="single" w:color="auto" w:sz="4" w:space="0"/>
            </w:tcBorders>
            <w:tcW w:w="801" w:type="dxa"/>
            <w:vAlign w:val="center"/>
            <w:textDirection w:val="lrTb"/>
            <w:noWrap w:val="false"/>
          </w:tcPr>
          <w:p>
            <w:pPr>
              <w:jc w:val="both"/>
              <w:spacing w:line="56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条款号</w:t>
            </w:r>
            <w:r/>
          </w:p>
        </w:tc>
        <w:tc>
          <w:tcPr>
            <w:tcW w:w="7633" w:type="dxa"/>
            <w:vAlign w:val="center"/>
            <w:textDirection w:val="lrTb"/>
            <w:noWrap w:val="false"/>
          </w:tcPr>
          <w:p>
            <w:pPr>
              <w:ind w:left="695" w:firstLine="0"/>
              <w:jc w:val="center"/>
              <w:spacing w:line="56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约定内容</w:t>
            </w:r>
            <w:r/>
          </w:p>
        </w:tc>
      </w:tr>
      <w:tr>
        <w:trPr>
          <w:jc w:val="center"/>
          <w:trHeight w:val="88"/>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tc>
        <w:tc>
          <w:tcPr>
            <w:tcW w:w="7633" w:type="dxa"/>
            <w:vAlign w:val="center"/>
            <w:textDirection w:val="lrTb"/>
            <w:noWrap w:val="false"/>
          </w:tcPr>
          <w:p>
            <w:pPr>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352"/>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352"/>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352"/>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5"/>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tc>
      </w:tr>
      <w:tr>
        <w:trPr>
          <w:jc w:val="center"/>
          <w:trHeight w:val="65"/>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352"/>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tc>
      </w:tr>
      <w:tr>
        <w:trPr>
          <w:jc w:val="center"/>
          <w:trHeight w:val="65"/>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5"/>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5"/>
        </w:trPr>
        <w:tc>
          <w:tcPr>
            <w:tcBorders>
              <w:left w:val="single" w:color="auto" w:sz="4"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5"/>
        </w:trPr>
        <w:tc>
          <w:tcPr>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5"/>
        </w:trPr>
        <w:tc>
          <w:tcPr>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7633" w:type="dxa"/>
            <w:vAlign w:val="center"/>
            <w:textDirection w:val="lrTb"/>
            <w:noWrap w:val="false"/>
          </w:tcPr>
          <w:p>
            <w:pPr>
              <w:ind w:left="695" w:firstLine="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pStyle w:val="817"/>
        <w:ind w:left="695" w:firstLine="482"/>
        <w:spacing w:line="360" w:lineRule="auto"/>
        <w:rPr>
          <w:rFonts w:hint="eastAsia" w:ascii="仿宋" w:hAnsi="仿宋" w:eastAsia="仿宋" w:cs="仿宋"/>
          <w:b/>
          <w:bCs/>
          <w:color w:val="auto"/>
          <w:sz w:val="24"/>
          <w:highlight w:val="none"/>
          <w:u w:val="single"/>
          <w:lang w:bidi="ar"/>
        </w:rPr>
      </w:pPr>
      <w:r>
        <w:rPr>
          <w:rFonts w:hint="eastAsia" w:ascii="仿宋" w:hAnsi="仿宋" w:eastAsia="仿宋" w:cs="仿宋"/>
          <w:b/>
          <w:bCs/>
          <w:color w:val="auto"/>
          <w:sz w:val="24"/>
          <w:highlight w:val="none"/>
          <w:u w:val="single"/>
          <w:lang w:bidi="ar"/>
        </w:rPr>
        <w:t xml:space="preserve">注释：本合同样本中的条款仅作为双方签订合同的参考，为阐明各方的权利和义务，经协商可增加新的条款。但不得与磋商文件、乙方响应文件的实质性内容相背离。</w:t>
      </w:r>
      <w:r/>
    </w:p>
    <w:p>
      <w:pPr>
        <w:ind w:firstLine="2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sectPr>
      <w:headerReference w:type="default" r:id="rId10"/>
      <w:footerReference w:type="default" r:id="rId12"/>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MS Gothic">
    <w:panose1 w:val="020B0609070205080204"/>
  </w:font>
  <w:font w:name="仿宋">
    <w:panose1 w:val="02010609060101010101"/>
  </w:font>
  <w:font w:name="等线">
    <w:panose1 w:val="02010600030101010101"/>
  </w:font>
  <w:font w:name="华文细黑">
    <w:panose1 w:val="02010600040101010101"/>
  </w:font>
  <w:font w:name="Berlin Sans FB">
    <w:panose1 w:val="020E0602020502020306"/>
  </w:font>
  <w:font w:name="Tahoma">
    <w:panose1 w:val="020B0604030504040204"/>
  </w:font>
  <w:font w:name="Symbol">
    <w:panose1 w:val="05050102010706020507"/>
  </w:font>
  <w:font w:name="新宋体">
    <w:panose1 w:val="02010609030101010101"/>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ˎ̥">
    <w:panose1 w:val="020B0503020202020204"/>
  </w:font>
  <w:font w:name="微软雅黑">
    <w:panose1 w:val="020B0503020204020204"/>
  </w:font>
  <w:font w:name="Calibri">
    <w:panose1 w:val="020F050202020403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3"/>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6</w:t>
                          </w:r>
                          <w:r>
                            <w:rPr>
                              <w:lang w:val="zh-CN"/>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3"/>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6</w:t>
                    </w:r>
                    <w:r>
                      <w:rPr>
                        <w:lang w:val="zh-CN"/>
                      </w:rPr>
                      <w:fldChar w:fldCharType="end"/>
                    </w:r>
                    <w:r/>
                  </w:p>
                </w:txbxContent>
              </v:textbox>
            </v:shape>
          </w:pict>
        </mc:Fallback>
      </mc:AlternateContent>
    </w:r>
    <w:r/>
  </w:p>
  <w:p>
    <w:pPr>
      <w:pStyle w:val="803"/>
      <w:jc w:val="center"/>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3"/>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3"/>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right"/>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91"/>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ind w:left="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7">
    <w:name w:val="Heading 1 Char"/>
    <w:basedOn w:val="784"/>
    <w:link w:val="775"/>
    <w:uiPriority w:val="9"/>
    <w:rPr>
      <w:rFonts w:ascii="Arial" w:hAnsi="Arial" w:eastAsia="Arial" w:cs="Arial"/>
      <w:sz w:val="40"/>
      <w:szCs w:val="40"/>
    </w:rPr>
  </w:style>
  <w:style w:type="character" w:styleId="738">
    <w:name w:val="Heading 2 Char"/>
    <w:basedOn w:val="784"/>
    <w:link w:val="776"/>
    <w:uiPriority w:val="9"/>
    <w:rPr>
      <w:rFonts w:ascii="Arial" w:hAnsi="Arial" w:eastAsia="Arial" w:cs="Arial"/>
      <w:sz w:val="34"/>
    </w:rPr>
  </w:style>
  <w:style w:type="character" w:styleId="739">
    <w:name w:val="Heading 3 Char"/>
    <w:basedOn w:val="784"/>
    <w:link w:val="777"/>
    <w:uiPriority w:val="9"/>
    <w:rPr>
      <w:rFonts w:ascii="Arial" w:hAnsi="Arial" w:eastAsia="Arial" w:cs="Arial"/>
      <w:sz w:val="30"/>
      <w:szCs w:val="30"/>
    </w:rPr>
  </w:style>
  <w:style w:type="character" w:styleId="740">
    <w:name w:val="Heading 4 Char"/>
    <w:basedOn w:val="784"/>
    <w:link w:val="778"/>
    <w:uiPriority w:val="9"/>
    <w:rPr>
      <w:rFonts w:ascii="Arial" w:hAnsi="Arial" w:eastAsia="Arial" w:cs="Arial"/>
      <w:b/>
      <w:bCs/>
      <w:sz w:val="26"/>
      <w:szCs w:val="26"/>
    </w:rPr>
  </w:style>
  <w:style w:type="character" w:styleId="741">
    <w:name w:val="Heading 5 Char"/>
    <w:basedOn w:val="784"/>
    <w:link w:val="779"/>
    <w:uiPriority w:val="9"/>
    <w:rPr>
      <w:rFonts w:ascii="Arial" w:hAnsi="Arial" w:eastAsia="Arial" w:cs="Arial"/>
      <w:b/>
      <w:bCs/>
      <w:sz w:val="24"/>
      <w:szCs w:val="24"/>
    </w:rPr>
  </w:style>
  <w:style w:type="character" w:styleId="742">
    <w:name w:val="Heading 6 Char"/>
    <w:basedOn w:val="784"/>
    <w:link w:val="780"/>
    <w:uiPriority w:val="9"/>
    <w:rPr>
      <w:rFonts w:ascii="Arial" w:hAnsi="Arial" w:eastAsia="Arial" w:cs="Arial"/>
      <w:b/>
      <w:bCs/>
      <w:sz w:val="22"/>
      <w:szCs w:val="22"/>
    </w:rPr>
  </w:style>
  <w:style w:type="character" w:styleId="743">
    <w:name w:val="Heading 7 Char"/>
    <w:basedOn w:val="784"/>
    <w:link w:val="781"/>
    <w:uiPriority w:val="9"/>
    <w:rPr>
      <w:rFonts w:ascii="Arial" w:hAnsi="Arial" w:eastAsia="Arial" w:cs="Arial"/>
      <w:b/>
      <w:bCs/>
      <w:i/>
      <w:iCs/>
      <w:sz w:val="22"/>
      <w:szCs w:val="22"/>
    </w:rPr>
  </w:style>
  <w:style w:type="character" w:styleId="744">
    <w:name w:val="Heading 8 Char"/>
    <w:basedOn w:val="784"/>
    <w:link w:val="782"/>
    <w:uiPriority w:val="9"/>
    <w:rPr>
      <w:rFonts w:ascii="Arial" w:hAnsi="Arial" w:eastAsia="Arial" w:cs="Arial"/>
      <w:i/>
      <w:iCs/>
      <w:sz w:val="22"/>
      <w:szCs w:val="22"/>
    </w:rPr>
  </w:style>
  <w:style w:type="character" w:styleId="745">
    <w:name w:val="Heading 9 Char"/>
    <w:basedOn w:val="784"/>
    <w:link w:val="783"/>
    <w:uiPriority w:val="9"/>
    <w:rPr>
      <w:rFonts w:ascii="Arial" w:hAnsi="Arial" w:eastAsia="Arial" w:cs="Arial"/>
      <w:i/>
      <w:iCs/>
      <w:sz w:val="21"/>
      <w:szCs w:val="21"/>
    </w:rPr>
  </w:style>
  <w:style w:type="character" w:styleId="746">
    <w:name w:val="Title Char"/>
    <w:basedOn w:val="784"/>
    <w:link w:val="814"/>
    <w:uiPriority w:val="10"/>
    <w:rPr>
      <w:sz w:val="48"/>
      <w:szCs w:val="48"/>
    </w:rPr>
  </w:style>
  <w:style w:type="character" w:styleId="747">
    <w:name w:val="Subtitle Char"/>
    <w:basedOn w:val="784"/>
    <w:link w:val="807"/>
    <w:uiPriority w:val="11"/>
    <w:rPr>
      <w:sz w:val="24"/>
      <w:szCs w:val="24"/>
    </w:rPr>
  </w:style>
  <w:style w:type="character" w:styleId="748">
    <w:name w:val="Quote Char"/>
    <w:link w:val="844"/>
    <w:uiPriority w:val="29"/>
    <w:rPr>
      <w:i/>
    </w:rPr>
  </w:style>
  <w:style w:type="character" w:styleId="749">
    <w:name w:val="Intense Quote Char"/>
    <w:link w:val="846"/>
    <w:uiPriority w:val="30"/>
    <w:rPr>
      <w:i/>
    </w:rPr>
  </w:style>
  <w:style w:type="character" w:styleId="750">
    <w:name w:val="Header Char"/>
    <w:basedOn w:val="784"/>
    <w:link w:val="804"/>
    <w:uiPriority w:val="99"/>
  </w:style>
  <w:style w:type="character" w:styleId="751">
    <w:name w:val="Caption Char"/>
    <w:basedOn w:val="789"/>
    <w:link w:val="803"/>
    <w:uiPriority w:val="99"/>
  </w:style>
  <w:style w:type="table" w:styleId="752">
    <w:name w:val="Plain Table 1"/>
    <w:basedOn w:val="7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2"/>
    <w:basedOn w:val="7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3"/>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name w:val="Plain Table 4"/>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name w:val="Plain Table 5"/>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7">
    <w:name w:val="Grid Table 1 Light"/>
    <w:basedOn w:val="7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8">
    <w:name w:val="Grid Table 2"/>
    <w:basedOn w:val="7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9">
    <w:name w:val="Grid Table 3"/>
    <w:basedOn w:val="7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basedOn w:val="7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5 Dark"/>
    <w:basedOn w:val="7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6 Colorful"/>
    <w:basedOn w:val="7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7 Colorful"/>
    <w:basedOn w:val="7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List Table 1 Light"/>
    <w:basedOn w:val="7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2"/>
    <w:basedOn w:val="7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6">
    <w:name w:val="List Table 3"/>
    <w:basedOn w:val="7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4"/>
    <w:basedOn w:val="7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5 Dark"/>
    <w:basedOn w:val="7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basedOn w:val="7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7 Colorful"/>
    <w:basedOn w:val="7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1">
    <w:name w:val="Footnote Text Char"/>
    <w:link w:val="808"/>
    <w:uiPriority w:val="99"/>
    <w:rPr>
      <w:sz w:val="18"/>
    </w:rPr>
  </w:style>
  <w:style w:type="character" w:styleId="772">
    <w:name w:val="Endnote Text Char"/>
    <w:link w:val="801"/>
    <w:uiPriority w:val="99"/>
    <w:rPr>
      <w:sz w:val="20"/>
    </w:rPr>
  </w:style>
  <w:style w:type="paragraph" w:styleId="773">
    <w:name w:val="TOC Heading"/>
    <w:uiPriority w:val="39"/>
    <w:unhideWhenUsed/>
  </w:style>
  <w:style w:type="paragraph" w:styleId="77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75">
    <w:name w:val="Heading 1"/>
    <w:basedOn w:val="774"/>
    <w:next w:val="774"/>
    <w:link w:val="831"/>
    <w:uiPriority w:val="9"/>
    <w:qFormat/>
    <w:pPr>
      <w:keepLines/>
      <w:keepNext/>
      <w:spacing w:before="480" w:after="200"/>
      <w:outlineLvl w:val="0"/>
    </w:pPr>
    <w:rPr>
      <w:rFonts w:ascii="Arial" w:hAnsi="Arial" w:eastAsia="Arial" w:cs="Arial"/>
      <w:sz w:val="40"/>
      <w:szCs w:val="40"/>
    </w:rPr>
  </w:style>
  <w:style w:type="paragraph" w:styleId="776">
    <w:name w:val="Heading 2"/>
    <w:basedOn w:val="774"/>
    <w:next w:val="774"/>
    <w:link w:val="832"/>
    <w:uiPriority w:val="9"/>
    <w:unhideWhenUsed/>
    <w:qFormat/>
    <w:pPr>
      <w:keepLines/>
      <w:keepNext/>
      <w:spacing w:before="360" w:after="200"/>
      <w:outlineLvl w:val="1"/>
    </w:pPr>
    <w:rPr>
      <w:rFonts w:ascii="Arial" w:hAnsi="Arial" w:eastAsia="Arial" w:cs="Arial"/>
      <w:sz w:val="34"/>
    </w:rPr>
  </w:style>
  <w:style w:type="paragraph" w:styleId="777">
    <w:name w:val="Heading 3"/>
    <w:basedOn w:val="774"/>
    <w:next w:val="774"/>
    <w:link w:val="833"/>
    <w:uiPriority w:val="9"/>
    <w:unhideWhenUsed/>
    <w:qFormat/>
    <w:pPr>
      <w:keepLines/>
      <w:keepNext/>
      <w:spacing w:before="320" w:after="200"/>
      <w:outlineLvl w:val="2"/>
    </w:pPr>
    <w:rPr>
      <w:rFonts w:ascii="Arial" w:hAnsi="Arial" w:eastAsia="Arial" w:cs="Arial"/>
      <w:sz w:val="30"/>
      <w:szCs w:val="30"/>
    </w:rPr>
  </w:style>
  <w:style w:type="paragraph" w:styleId="778">
    <w:name w:val="Heading 4"/>
    <w:basedOn w:val="774"/>
    <w:next w:val="774"/>
    <w:link w:val="834"/>
    <w:uiPriority w:val="9"/>
    <w:unhideWhenUsed/>
    <w:qFormat/>
    <w:pPr>
      <w:keepLines/>
      <w:keepNext/>
      <w:spacing w:before="320" w:after="200"/>
      <w:outlineLvl w:val="3"/>
    </w:pPr>
    <w:rPr>
      <w:rFonts w:ascii="Arial" w:hAnsi="Arial" w:eastAsia="Arial" w:cs="Arial"/>
      <w:b/>
      <w:bCs/>
      <w:sz w:val="26"/>
      <w:szCs w:val="26"/>
    </w:rPr>
  </w:style>
  <w:style w:type="paragraph" w:styleId="779">
    <w:name w:val="Heading 5"/>
    <w:basedOn w:val="774"/>
    <w:next w:val="774"/>
    <w:link w:val="835"/>
    <w:uiPriority w:val="9"/>
    <w:unhideWhenUsed/>
    <w:qFormat/>
    <w:pPr>
      <w:keepLines/>
      <w:keepNext/>
      <w:spacing w:before="320" w:after="200"/>
      <w:outlineLvl w:val="4"/>
    </w:pPr>
    <w:rPr>
      <w:rFonts w:ascii="Arial" w:hAnsi="Arial" w:eastAsia="Arial" w:cs="Arial"/>
      <w:b/>
      <w:bCs/>
      <w:sz w:val="24"/>
    </w:rPr>
  </w:style>
  <w:style w:type="paragraph" w:styleId="780">
    <w:name w:val="Heading 6"/>
    <w:basedOn w:val="774"/>
    <w:next w:val="774"/>
    <w:link w:val="836"/>
    <w:uiPriority w:val="9"/>
    <w:unhideWhenUsed/>
    <w:qFormat/>
    <w:pPr>
      <w:keepLines/>
      <w:keepNext/>
      <w:spacing w:before="320" w:after="200"/>
      <w:outlineLvl w:val="5"/>
    </w:pPr>
    <w:rPr>
      <w:rFonts w:ascii="Arial" w:hAnsi="Arial" w:eastAsia="Arial" w:cs="Arial"/>
      <w:b/>
      <w:bCs/>
      <w:sz w:val="22"/>
      <w:szCs w:val="22"/>
    </w:rPr>
  </w:style>
  <w:style w:type="paragraph" w:styleId="781">
    <w:name w:val="Heading 7"/>
    <w:basedOn w:val="774"/>
    <w:next w:val="774"/>
    <w:link w:val="837"/>
    <w:uiPriority w:val="9"/>
    <w:unhideWhenUsed/>
    <w:qFormat/>
    <w:pPr>
      <w:keepLines/>
      <w:keepNext/>
      <w:spacing w:before="320" w:after="200"/>
      <w:outlineLvl w:val="6"/>
    </w:pPr>
    <w:rPr>
      <w:rFonts w:ascii="Arial" w:hAnsi="Arial" w:eastAsia="Arial" w:cs="Arial"/>
      <w:b/>
      <w:bCs/>
      <w:i/>
      <w:iCs/>
      <w:sz w:val="22"/>
      <w:szCs w:val="22"/>
    </w:rPr>
  </w:style>
  <w:style w:type="paragraph" w:styleId="782">
    <w:name w:val="Heading 8"/>
    <w:basedOn w:val="774"/>
    <w:next w:val="774"/>
    <w:link w:val="838"/>
    <w:uiPriority w:val="9"/>
    <w:unhideWhenUsed/>
    <w:qFormat/>
    <w:pPr>
      <w:keepLines/>
      <w:keepNext/>
      <w:spacing w:before="320" w:after="200"/>
      <w:outlineLvl w:val="7"/>
    </w:pPr>
    <w:rPr>
      <w:rFonts w:ascii="Arial" w:hAnsi="Arial" w:eastAsia="Arial" w:cs="Arial"/>
      <w:i/>
      <w:iCs/>
      <w:sz w:val="22"/>
      <w:szCs w:val="22"/>
    </w:rPr>
  </w:style>
  <w:style w:type="paragraph" w:styleId="783">
    <w:name w:val="Heading 9"/>
    <w:basedOn w:val="774"/>
    <w:next w:val="774"/>
    <w:link w:val="839"/>
    <w:uiPriority w:val="9"/>
    <w:unhideWhenUsed/>
    <w:qFormat/>
    <w:pPr>
      <w:keepLines/>
      <w:keepNext/>
      <w:spacing w:before="320" w:after="200"/>
      <w:outlineLvl w:val="8"/>
    </w:pPr>
    <w:rPr>
      <w:rFonts w:ascii="Arial" w:hAnsi="Arial" w:eastAsia="Arial" w:cs="Arial"/>
      <w:i/>
      <w:iCs/>
      <w:szCs w:val="21"/>
    </w:rPr>
  </w:style>
  <w:style w:type="character" w:styleId="784" w:default="1">
    <w:name w:val="Default Paragraph Font"/>
    <w:uiPriority w:val="1"/>
    <w:semiHidden/>
    <w:unhideWhenUsed/>
    <w:qFormat/>
  </w:style>
  <w:style w:type="table" w:styleId="785" w:default="1">
    <w:name w:val="Normal Table"/>
    <w:uiPriority w:val="99"/>
    <w:semiHidden/>
    <w:unhideWhenUsed/>
    <w:qFormat/>
    <w:tblPr>
      <w:tblCellMar>
        <w:left w:w="108" w:type="dxa"/>
        <w:top w:w="0" w:type="dxa"/>
        <w:right w:w="108" w:type="dxa"/>
        <w:bottom w:w="0" w:type="dxa"/>
      </w:tblCellMar>
    </w:tblPr>
  </w:style>
  <w:style w:type="paragraph" w:styleId="786">
    <w:name w:val="toc 7"/>
    <w:basedOn w:val="774"/>
    <w:next w:val="774"/>
    <w:uiPriority w:val="39"/>
    <w:unhideWhenUsed/>
    <w:qFormat/>
    <w:pPr>
      <w:ind w:left="1701"/>
      <w:spacing w:after="57"/>
    </w:pPr>
  </w:style>
  <w:style w:type="paragraph" w:styleId="787">
    <w:name w:val="table of authorities"/>
    <w:basedOn w:val="774"/>
    <w:next w:val="774"/>
    <w:uiPriority w:val="0"/>
    <w:qFormat/>
    <w:pPr>
      <w:ind w:left="420"/>
      <w:spacing w:line="300" w:lineRule="auto"/>
    </w:pPr>
    <w:rPr>
      <w:rFonts w:ascii="Calibri" w:hAnsi="Calibri"/>
    </w:rPr>
  </w:style>
  <w:style w:type="paragraph" w:styleId="788">
    <w:name w:val="Normal Indent"/>
    <w:basedOn w:val="774"/>
    <w:uiPriority w:val="0"/>
    <w:qFormat/>
    <w:pPr>
      <w:ind w:firstLine="420"/>
      <w:jc w:val="left"/>
    </w:pPr>
    <w:rPr>
      <w:rFonts w:eastAsia="楷体_GB2312"/>
      <w:sz w:val="24"/>
    </w:rPr>
  </w:style>
  <w:style w:type="paragraph" w:styleId="789">
    <w:name w:val="Caption"/>
    <w:basedOn w:val="774"/>
    <w:next w:val="7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0">
    <w:name w:val="annotation text"/>
    <w:basedOn w:val="774"/>
    <w:link w:val="1108"/>
    <w:uiPriority w:val="0"/>
    <w:qFormat/>
    <w:pPr>
      <w:jc w:val="left"/>
    </w:pPr>
  </w:style>
  <w:style w:type="paragraph" w:styleId="791">
    <w:name w:val="Body Text"/>
    <w:basedOn w:val="774"/>
    <w:uiPriority w:val="0"/>
    <w:qFormat/>
    <w:pPr>
      <w:spacing w:after="120"/>
    </w:pPr>
  </w:style>
  <w:style w:type="paragraph" w:styleId="792">
    <w:name w:val="Body Text Indent"/>
    <w:basedOn w:val="774"/>
    <w:next w:val="793"/>
    <w:uiPriority w:val="0"/>
    <w:qFormat/>
    <w:pPr>
      <w:ind w:left="420"/>
      <w:spacing w:after="120"/>
    </w:pPr>
  </w:style>
  <w:style w:type="paragraph" w:styleId="793">
    <w:name w:val="envelope return"/>
    <w:basedOn w:val="774"/>
    <w:uiPriority w:val="99"/>
    <w:unhideWhenUsed/>
    <w:qFormat/>
    <w:rPr>
      <w:rFonts w:ascii="Arial" w:hAnsi="Arial"/>
    </w:rPr>
  </w:style>
  <w:style w:type="paragraph" w:styleId="794">
    <w:name w:val="Block Text"/>
    <w:basedOn w:val="774"/>
    <w:uiPriority w:val="99"/>
    <w:unhideWhenUsed/>
    <w:qFormat/>
    <w:pPr>
      <w:ind w:left="1440" w:right="700"/>
    </w:pPr>
    <w:rPr>
      <w:rFonts w:ascii="Verdana" w:hAnsi="Verdana"/>
      <w:szCs w:val="20"/>
    </w:rPr>
  </w:style>
  <w:style w:type="paragraph" w:styleId="795">
    <w:name w:val="index 4"/>
    <w:basedOn w:val="774"/>
    <w:next w:val="774"/>
    <w:uiPriority w:val="99"/>
    <w:unhideWhenUsed/>
    <w:qFormat/>
    <w:pPr>
      <w:ind w:left="600"/>
    </w:pPr>
  </w:style>
  <w:style w:type="paragraph" w:styleId="796">
    <w:name w:val="toc 5"/>
    <w:basedOn w:val="774"/>
    <w:next w:val="774"/>
    <w:uiPriority w:val="39"/>
    <w:unhideWhenUsed/>
    <w:qFormat/>
    <w:pPr>
      <w:ind w:left="1134"/>
      <w:spacing w:after="57"/>
    </w:pPr>
  </w:style>
  <w:style w:type="paragraph" w:styleId="797">
    <w:name w:val="toc 3"/>
    <w:basedOn w:val="774"/>
    <w:next w:val="774"/>
    <w:uiPriority w:val="39"/>
    <w:unhideWhenUsed/>
    <w:qFormat/>
    <w:pPr>
      <w:ind w:left="567"/>
      <w:spacing w:after="57"/>
    </w:pPr>
  </w:style>
  <w:style w:type="paragraph" w:styleId="798">
    <w:name w:val="Plain Text"/>
    <w:basedOn w:val="774"/>
    <w:uiPriority w:val="0"/>
    <w:qFormat/>
    <w:rPr>
      <w:rFonts w:ascii="宋体" w:hAnsi="Courier New" w:cs="Courier New"/>
      <w:szCs w:val="21"/>
    </w:rPr>
  </w:style>
  <w:style w:type="paragraph" w:styleId="799">
    <w:name w:val="toc 8"/>
    <w:basedOn w:val="774"/>
    <w:next w:val="774"/>
    <w:uiPriority w:val="39"/>
    <w:unhideWhenUsed/>
    <w:qFormat/>
    <w:pPr>
      <w:ind w:left="1984"/>
      <w:spacing w:after="57"/>
    </w:pPr>
  </w:style>
  <w:style w:type="paragraph" w:styleId="800">
    <w:name w:val="Body Text Indent 2"/>
    <w:basedOn w:val="774"/>
    <w:uiPriority w:val="0"/>
    <w:semiHidden/>
    <w:unhideWhenUsed/>
    <w:qFormat/>
    <w:pPr>
      <w:ind w:firstLine="560"/>
      <w:spacing w:line="500" w:lineRule="exact"/>
    </w:pPr>
    <w:rPr>
      <w:rFonts w:eastAsia="仿宋_GB2312"/>
      <w:sz w:val="28"/>
      <w:szCs w:val="20"/>
    </w:rPr>
  </w:style>
  <w:style w:type="paragraph" w:styleId="801">
    <w:name w:val="endnote text"/>
    <w:basedOn w:val="774"/>
    <w:link w:val="977"/>
    <w:uiPriority w:val="99"/>
    <w:semiHidden/>
    <w:unhideWhenUsed/>
    <w:qFormat/>
    <w:rPr>
      <w:sz w:val="20"/>
    </w:rPr>
  </w:style>
  <w:style w:type="paragraph" w:styleId="802">
    <w:name w:val="Balloon Text"/>
    <w:basedOn w:val="774"/>
    <w:link w:val="1107"/>
    <w:uiPriority w:val="99"/>
    <w:semiHidden/>
    <w:unhideWhenUsed/>
    <w:qFormat/>
    <w:rPr>
      <w:sz w:val="18"/>
      <w:szCs w:val="18"/>
    </w:rPr>
  </w:style>
  <w:style w:type="paragraph" w:styleId="803">
    <w:name w:val="Footer"/>
    <w:basedOn w:val="774"/>
    <w:link w:val="850"/>
    <w:uiPriority w:val="99"/>
    <w:unhideWhenUsed/>
    <w:qFormat/>
    <w:pPr>
      <w:tabs>
        <w:tab w:val="center" w:pos="7143" w:leader="none"/>
        <w:tab w:val="right" w:pos="14287" w:leader="none"/>
      </w:tabs>
    </w:pPr>
  </w:style>
  <w:style w:type="paragraph" w:styleId="804">
    <w:name w:val="Header"/>
    <w:basedOn w:val="774"/>
    <w:link w:val="848"/>
    <w:uiPriority w:val="99"/>
    <w:unhideWhenUsed/>
    <w:qFormat/>
    <w:pPr>
      <w:tabs>
        <w:tab w:val="center" w:pos="7143" w:leader="none"/>
        <w:tab w:val="right" w:pos="14287" w:leader="none"/>
      </w:tabs>
    </w:pPr>
  </w:style>
  <w:style w:type="paragraph" w:styleId="805">
    <w:name w:val="toc 1"/>
    <w:basedOn w:val="774"/>
    <w:next w:val="774"/>
    <w:uiPriority w:val="39"/>
    <w:unhideWhenUsed/>
    <w:qFormat/>
    <w:pPr>
      <w:spacing w:after="57"/>
    </w:pPr>
  </w:style>
  <w:style w:type="paragraph" w:styleId="806">
    <w:name w:val="toc 4"/>
    <w:basedOn w:val="774"/>
    <w:next w:val="774"/>
    <w:uiPriority w:val="39"/>
    <w:unhideWhenUsed/>
    <w:qFormat/>
    <w:pPr>
      <w:ind w:left="850"/>
      <w:spacing w:after="57"/>
    </w:pPr>
  </w:style>
  <w:style w:type="paragraph" w:styleId="807">
    <w:name w:val="Subtitle"/>
    <w:basedOn w:val="774"/>
    <w:next w:val="774"/>
    <w:link w:val="843"/>
    <w:uiPriority w:val="11"/>
    <w:qFormat/>
    <w:pPr>
      <w:spacing w:before="200" w:after="200"/>
    </w:pPr>
    <w:rPr>
      <w:sz w:val="24"/>
    </w:rPr>
  </w:style>
  <w:style w:type="paragraph" w:styleId="808">
    <w:name w:val="footnote text"/>
    <w:basedOn w:val="774"/>
    <w:link w:val="976"/>
    <w:uiPriority w:val="99"/>
    <w:semiHidden/>
    <w:unhideWhenUsed/>
    <w:qFormat/>
    <w:pPr>
      <w:spacing w:after="40"/>
    </w:pPr>
    <w:rPr>
      <w:sz w:val="18"/>
    </w:rPr>
  </w:style>
  <w:style w:type="paragraph" w:styleId="809">
    <w:name w:val="toc 6"/>
    <w:basedOn w:val="774"/>
    <w:next w:val="774"/>
    <w:uiPriority w:val="39"/>
    <w:unhideWhenUsed/>
    <w:qFormat/>
    <w:pPr>
      <w:ind w:left="1417"/>
      <w:spacing w:after="57"/>
    </w:pPr>
  </w:style>
  <w:style w:type="paragraph" w:styleId="810">
    <w:name w:val="table of figures"/>
    <w:basedOn w:val="774"/>
    <w:next w:val="774"/>
    <w:uiPriority w:val="99"/>
    <w:unhideWhenUsed/>
    <w:qFormat/>
  </w:style>
  <w:style w:type="paragraph" w:styleId="811">
    <w:name w:val="toc 2"/>
    <w:basedOn w:val="774"/>
    <w:next w:val="774"/>
    <w:uiPriority w:val="39"/>
    <w:unhideWhenUsed/>
    <w:qFormat/>
    <w:pPr>
      <w:ind w:left="283"/>
      <w:spacing w:after="57"/>
    </w:pPr>
  </w:style>
  <w:style w:type="paragraph" w:styleId="812">
    <w:name w:val="toc 9"/>
    <w:basedOn w:val="774"/>
    <w:next w:val="774"/>
    <w:uiPriority w:val="39"/>
    <w:unhideWhenUsed/>
    <w:qFormat/>
    <w:pPr>
      <w:ind w:left="2268"/>
      <w:spacing w:after="57"/>
    </w:pPr>
  </w:style>
  <w:style w:type="paragraph" w:styleId="813">
    <w:name w:val="Normal (Web)"/>
    <w:basedOn w:val="774"/>
    <w:uiPriority w:val="99"/>
    <w:unhideWhenUsed/>
    <w:qFormat/>
    <w:pPr>
      <w:jc w:val="left"/>
      <w:spacing w:before="100" w:beforeAutospacing="1" w:after="100" w:afterAutospacing="1"/>
      <w:widowControl/>
    </w:pPr>
    <w:rPr>
      <w:rFonts w:ascii="宋体" w:hAnsi="宋体" w:cs="宋体"/>
      <w:sz w:val="24"/>
    </w:rPr>
  </w:style>
  <w:style w:type="paragraph" w:styleId="814">
    <w:name w:val="Title"/>
    <w:basedOn w:val="774"/>
    <w:next w:val="774"/>
    <w:link w:val="842"/>
    <w:uiPriority w:val="10"/>
    <w:qFormat/>
    <w:pPr>
      <w:contextualSpacing/>
      <w:spacing w:before="300" w:after="200"/>
    </w:pPr>
    <w:rPr>
      <w:sz w:val="48"/>
      <w:szCs w:val="48"/>
    </w:rPr>
  </w:style>
  <w:style w:type="paragraph" w:styleId="815">
    <w:name w:val="annotation subject"/>
    <w:basedOn w:val="790"/>
    <w:next w:val="790"/>
    <w:link w:val="1109"/>
    <w:uiPriority w:val="99"/>
    <w:semiHidden/>
    <w:unhideWhenUsed/>
    <w:qFormat/>
    <w:rPr>
      <w:b/>
      <w:bCs/>
    </w:rPr>
  </w:style>
  <w:style w:type="paragraph" w:styleId="816">
    <w:name w:val="Body Text First Indent"/>
    <w:basedOn w:val="791"/>
    <w:next w:val="809"/>
    <w:uiPriority w:val="0"/>
    <w:qFormat/>
    <w:pPr>
      <w:ind w:firstLine="482"/>
      <w:spacing w:line="360" w:lineRule="auto"/>
    </w:pPr>
    <w:rPr>
      <w:b/>
      <w:sz w:val="24"/>
    </w:rPr>
  </w:style>
  <w:style w:type="paragraph" w:styleId="817">
    <w:name w:val="Body Text First Indent 2"/>
    <w:basedOn w:val="792"/>
    <w:next w:val="774"/>
    <w:uiPriority w:val="99"/>
    <w:unhideWhenUsed/>
    <w:qFormat/>
    <w:pPr>
      <w:ind w:firstLine="200"/>
    </w:pPr>
  </w:style>
  <w:style w:type="table" w:styleId="81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9">
    <w:name w:val="Strong"/>
    <w:basedOn w:val="784"/>
    <w:uiPriority w:val="22"/>
    <w:qFormat/>
    <w:rPr>
      <w:b/>
    </w:rPr>
  </w:style>
  <w:style w:type="character" w:styleId="820">
    <w:name w:val="endnote reference"/>
    <w:uiPriority w:val="99"/>
    <w:semiHidden/>
    <w:unhideWhenUsed/>
    <w:qFormat/>
    <w:rPr>
      <w:vertAlign w:val="superscript"/>
    </w:rPr>
  </w:style>
  <w:style w:type="character" w:styleId="821">
    <w:name w:val="Hyperlink"/>
    <w:uiPriority w:val="99"/>
    <w:unhideWhenUsed/>
    <w:qFormat/>
    <w:rPr>
      <w:color w:val="0000ff" w:themeColor="hyperlink"/>
      <w:u w:val="single"/>
      <w14:textFill>
        <w14:solidFill>
          <w14:schemeClr w14:val="hlink"/>
        </w14:solidFill>
      </w14:textFill>
    </w:rPr>
  </w:style>
  <w:style w:type="character" w:styleId="822">
    <w:name w:val="annotation reference"/>
    <w:basedOn w:val="784"/>
    <w:uiPriority w:val="99"/>
    <w:semiHidden/>
    <w:unhideWhenUsed/>
    <w:qFormat/>
    <w:rPr>
      <w:sz w:val="21"/>
      <w:szCs w:val="21"/>
    </w:rPr>
  </w:style>
  <w:style w:type="character" w:styleId="823">
    <w:name w:val="footnote reference"/>
    <w:uiPriority w:val="99"/>
    <w:unhideWhenUsed/>
    <w:qFormat/>
    <w:rPr>
      <w:vertAlign w:val="superscript"/>
    </w:rPr>
  </w:style>
  <w:style w:type="paragraph" w:styleId="824" w:customStyle="1">
    <w:name w:val="正文文本1"/>
    <w:basedOn w:val="825"/>
    <w:next w:val="825"/>
    <w:link w:val="1008"/>
    <w:uiPriority w:val="0"/>
    <w:qFormat/>
    <w:rPr>
      <w:rFonts w:ascii="仿宋_GB2312" w:eastAsia="仿宋_GB2312"/>
      <w:sz w:val="24"/>
      <w:szCs w:val="20"/>
    </w:rPr>
  </w:style>
  <w:style w:type="paragraph" w:styleId="825" w:customStyle="1">
    <w:name w:val="正文11"/>
    <w:next w:val="824"/>
    <w:uiPriority w:val="99"/>
    <w:qFormat/>
    <w:pPr>
      <w:jc w:val="both"/>
      <w:widowControl w:val="off"/>
    </w:pPr>
    <w:rPr>
      <w:rFonts w:ascii="Calibri" w:hAnsi="Calibri" w:eastAsia="宋体" w:cs="Times New Roman"/>
      <w:sz w:val="21"/>
      <w:szCs w:val="21"/>
      <w:lang w:val="en-US" w:eastAsia="zh-CN" w:bidi="ar-SA"/>
    </w:rPr>
  </w:style>
  <w:style w:type="paragraph" w:styleId="826" w:customStyle="1">
    <w:name w:val="一级条标题"/>
    <w:basedOn w:val="827"/>
    <w:next w:val="828"/>
    <w:uiPriority w:val="0"/>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827" w:customStyle="1">
    <w:name w:val="章标题"/>
    <w:next w:val="774"/>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828" w:customStyle="1">
    <w:name w:val="段"/>
    <w:next w:val="774"/>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829" w:customStyle="1">
    <w:name w:val="正文首行缩进1"/>
    <w:basedOn w:val="824"/>
    <w:link w:val="1032"/>
    <w:uiPriority w:val="0"/>
    <w:qFormat/>
    <w:pPr>
      <w:ind w:firstLine="420"/>
      <w:spacing w:after="120"/>
    </w:pPr>
    <w:rPr>
      <w:rFonts w:ascii="Times New Roman" w:eastAsia="宋体"/>
      <w:szCs w:val="24"/>
    </w:rPr>
  </w:style>
  <w:style w:type="paragraph" w:styleId="830" w:customStyle="1">
    <w:name w:val="Default"/>
    <w:uiPriority w:val="0"/>
    <w:qFormat/>
    <w:pPr>
      <w:widowControl w:val="off"/>
    </w:pPr>
    <w:rPr>
      <w:rFonts w:ascii="宋体" w:hAnsi="宋体" w:eastAsia="宋体" w:cs="宋体"/>
      <w:color w:val="000000"/>
      <w:sz w:val="24"/>
      <w:szCs w:val="24"/>
      <w:lang w:val="en-US" w:eastAsia="zh-CN" w:bidi="ar-SA"/>
    </w:rPr>
  </w:style>
  <w:style w:type="character" w:styleId="831" w:customStyle="1">
    <w:name w:val="标题 1 字符1"/>
    <w:link w:val="775"/>
    <w:uiPriority w:val="9"/>
    <w:qFormat/>
    <w:rPr>
      <w:rFonts w:ascii="Arial" w:hAnsi="Arial" w:eastAsia="Arial" w:cs="Arial"/>
      <w:sz w:val="40"/>
      <w:szCs w:val="40"/>
    </w:rPr>
  </w:style>
  <w:style w:type="character" w:styleId="832" w:customStyle="1">
    <w:name w:val="标题 2 字符1"/>
    <w:link w:val="776"/>
    <w:uiPriority w:val="9"/>
    <w:qFormat/>
    <w:rPr>
      <w:rFonts w:ascii="Arial" w:hAnsi="Arial" w:eastAsia="Arial" w:cs="Arial"/>
      <w:sz w:val="34"/>
    </w:rPr>
  </w:style>
  <w:style w:type="character" w:styleId="833" w:customStyle="1">
    <w:name w:val="标题 3 字符1"/>
    <w:link w:val="777"/>
    <w:uiPriority w:val="9"/>
    <w:qFormat/>
    <w:rPr>
      <w:rFonts w:ascii="Arial" w:hAnsi="Arial" w:eastAsia="Arial" w:cs="Arial"/>
      <w:sz w:val="30"/>
      <w:szCs w:val="30"/>
    </w:rPr>
  </w:style>
  <w:style w:type="character" w:styleId="834" w:customStyle="1">
    <w:name w:val="标题 4 字符1"/>
    <w:link w:val="778"/>
    <w:uiPriority w:val="9"/>
    <w:qFormat/>
    <w:rPr>
      <w:rFonts w:ascii="Arial" w:hAnsi="Arial" w:eastAsia="Arial" w:cs="Arial"/>
      <w:b/>
      <w:bCs/>
      <w:sz w:val="26"/>
      <w:szCs w:val="26"/>
    </w:rPr>
  </w:style>
  <w:style w:type="character" w:styleId="835" w:customStyle="1">
    <w:name w:val="标题 5 字符1"/>
    <w:link w:val="779"/>
    <w:uiPriority w:val="9"/>
    <w:qFormat/>
    <w:rPr>
      <w:rFonts w:ascii="Arial" w:hAnsi="Arial" w:eastAsia="Arial" w:cs="Arial"/>
      <w:b/>
      <w:bCs/>
      <w:sz w:val="24"/>
      <w:szCs w:val="24"/>
    </w:rPr>
  </w:style>
  <w:style w:type="character" w:styleId="836" w:customStyle="1">
    <w:name w:val="标题 6 字符1"/>
    <w:link w:val="780"/>
    <w:uiPriority w:val="9"/>
    <w:qFormat/>
    <w:rPr>
      <w:rFonts w:ascii="Arial" w:hAnsi="Arial" w:eastAsia="Arial" w:cs="Arial"/>
      <w:b/>
      <w:bCs/>
      <w:sz w:val="22"/>
      <w:szCs w:val="22"/>
    </w:rPr>
  </w:style>
  <w:style w:type="character" w:styleId="837" w:customStyle="1">
    <w:name w:val="标题 7 字符1"/>
    <w:link w:val="781"/>
    <w:uiPriority w:val="9"/>
    <w:qFormat/>
    <w:rPr>
      <w:rFonts w:ascii="Arial" w:hAnsi="Arial" w:eastAsia="Arial" w:cs="Arial"/>
      <w:b/>
      <w:bCs/>
      <w:i/>
      <w:iCs/>
      <w:sz w:val="22"/>
      <w:szCs w:val="22"/>
    </w:rPr>
  </w:style>
  <w:style w:type="character" w:styleId="838" w:customStyle="1">
    <w:name w:val="标题 8 字符1"/>
    <w:link w:val="782"/>
    <w:uiPriority w:val="9"/>
    <w:qFormat/>
    <w:rPr>
      <w:rFonts w:ascii="Arial" w:hAnsi="Arial" w:eastAsia="Arial" w:cs="Arial"/>
      <w:i/>
      <w:iCs/>
      <w:sz w:val="22"/>
      <w:szCs w:val="22"/>
    </w:rPr>
  </w:style>
  <w:style w:type="character" w:styleId="839" w:customStyle="1">
    <w:name w:val="标题 9 字符1"/>
    <w:link w:val="783"/>
    <w:uiPriority w:val="9"/>
    <w:qFormat/>
    <w:rPr>
      <w:rFonts w:ascii="Arial" w:hAnsi="Arial" w:eastAsia="Arial" w:cs="Arial"/>
      <w:i/>
      <w:iCs/>
      <w:sz w:val="21"/>
      <w:szCs w:val="21"/>
    </w:rPr>
  </w:style>
  <w:style w:type="paragraph" w:styleId="840">
    <w:name w:val="List Paragraph"/>
    <w:basedOn w:val="774"/>
    <w:uiPriority w:val="34"/>
    <w:qFormat/>
    <w:pPr>
      <w:contextualSpacing/>
      <w:ind w:left="720"/>
    </w:pPr>
  </w:style>
  <w:style w:type="paragraph" w:styleId="841">
    <w:name w:val="No Spacing"/>
    <w:uiPriority w:val="1"/>
    <w:qFormat/>
    <w:rPr>
      <w:rFonts w:ascii="Times New Roman" w:hAnsi="Times New Roman" w:eastAsia="宋体" w:cs="Times New Roman"/>
      <w:lang w:val="en-US" w:eastAsia="zh-CN" w:bidi="ar-SA"/>
    </w:rPr>
  </w:style>
  <w:style w:type="character" w:styleId="842" w:customStyle="1">
    <w:name w:val="标题 字符"/>
    <w:link w:val="814"/>
    <w:uiPriority w:val="10"/>
    <w:qFormat/>
    <w:rPr>
      <w:sz w:val="48"/>
      <w:szCs w:val="48"/>
    </w:rPr>
  </w:style>
  <w:style w:type="character" w:styleId="843" w:customStyle="1">
    <w:name w:val="副标题 字符"/>
    <w:link w:val="807"/>
    <w:uiPriority w:val="11"/>
    <w:qFormat/>
    <w:rPr>
      <w:sz w:val="24"/>
      <w:szCs w:val="24"/>
    </w:rPr>
  </w:style>
  <w:style w:type="paragraph" w:styleId="844">
    <w:name w:val="Quote"/>
    <w:basedOn w:val="774"/>
    <w:next w:val="774"/>
    <w:link w:val="845"/>
    <w:uiPriority w:val="29"/>
    <w:qFormat/>
    <w:pPr>
      <w:ind w:left="720" w:right="720"/>
    </w:pPr>
    <w:rPr>
      <w:i/>
    </w:rPr>
  </w:style>
  <w:style w:type="character" w:styleId="845" w:customStyle="1">
    <w:name w:val="引用 字符"/>
    <w:link w:val="844"/>
    <w:uiPriority w:val="29"/>
    <w:qFormat/>
    <w:rPr>
      <w:i/>
    </w:rPr>
  </w:style>
  <w:style w:type="paragraph" w:styleId="846">
    <w:name w:val="Intense Quote"/>
    <w:basedOn w:val="774"/>
    <w:next w:val="774"/>
    <w:link w:val="8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明显引用 字符"/>
    <w:link w:val="846"/>
    <w:uiPriority w:val="30"/>
    <w:qFormat/>
    <w:rPr>
      <w:i/>
    </w:rPr>
  </w:style>
  <w:style w:type="character" w:styleId="848" w:customStyle="1">
    <w:name w:val="页眉 字符1"/>
    <w:link w:val="804"/>
    <w:uiPriority w:val="99"/>
    <w:qFormat/>
  </w:style>
  <w:style w:type="character" w:styleId="849" w:customStyle="1">
    <w:name w:val="Footer Char"/>
    <w:uiPriority w:val="99"/>
    <w:qFormat/>
  </w:style>
  <w:style w:type="character" w:styleId="850" w:customStyle="1">
    <w:name w:val="页脚 字符1"/>
    <w:link w:val="803"/>
    <w:uiPriority w:val="99"/>
    <w:qFormat/>
  </w:style>
  <w:style w:type="table" w:styleId="85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6" w:customStyle="1">
    <w:name w:val="脚注文本 字符"/>
    <w:link w:val="808"/>
    <w:uiPriority w:val="99"/>
    <w:qFormat/>
    <w:rPr>
      <w:sz w:val="18"/>
    </w:rPr>
  </w:style>
  <w:style w:type="character" w:styleId="977" w:customStyle="1">
    <w:name w:val="尾注文本 字符"/>
    <w:link w:val="801"/>
    <w:uiPriority w:val="99"/>
    <w:qFormat/>
    <w:rPr>
      <w:sz w:val="20"/>
    </w:rPr>
  </w:style>
  <w:style w:type="paragraph" w:styleId="978" w:customStyle="1">
    <w:name w:val="TOC 标题1"/>
    <w:uiPriority w:val="39"/>
    <w:unhideWhenUsed/>
    <w:qFormat/>
    <w:rPr>
      <w:rFonts w:ascii="Times New Roman" w:hAnsi="Times New Roman" w:eastAsia="宋体" w:cs="Times New Roman"/>
      <w:lang w:val="en-US" w:eastAsia="zh-CN" w:bidi="ar-SA"/>
    </w:rPr>
  </w:style>
  <w:style w:type="paragraph" w:styleId="979" w:customStyle="1">
    <w:name w:val="标题 11"/>
    <w:basedOn w:val="774"/>
    <w:next w:val="774"/>
    <w:link w:val="993"/>
    <w:uiPriority w:val="0"/>
    <w:qFormat/>
    <w:pPr>
      <w:keepLines/>
      <w:keepNext/>
      <w:spacing w:before="340" w:after="330" w:line="578" w:lineRule="auto"/>
      <w:outlineLvl w:val="0"/>
    </w:pPr>
    <w:rPr>
      <w:b/>
      <w:bCs/>
      <w:sz w:val="44"/>
      <w:szCs w:val="44"/>
    </w:rPr>
  </w:style>
  <w:style w:type="paragraph" w:styleId="980" w:customStyle="1">
    <w:name w:val="标题 21"/>
    <w:basedOn w:val="774"/>
    <w:next w:val="774"/>
    <w:link w:val="994"/>
    <w:uiPriority w:val="0"/>
    <w:qFormat/>
    <w:pPr>
      <w:keepLines/>
      <w:keepNext/>
      <w:spacing w:before="260" w:after="260" w:line="416" w:lineRule="auto"/>
      <w:outlineLvl w:val="1"/>
    </w:pPr>
    <w:rPr>
      <w:rFonts w:ascii="Arial" w:hAnsi="Arial" w:eastAsia="黑体"/>
      <w:b/>
      <w:bCs/>
      <w:sz w:val="32"/>
      <w:szCs w:val="32"/>
    </w:rPr>
  </w:style>
  <w:style w:type="paragraph" w:styleId="981" w:customStyle="1">
    <w:name w:val="标题 31"/>
    <w:basedOn w:val="774"/>
    <w:next w:val="774"/>
    <w:link w:val="995"/>
    <w:uiPriority w:val="0"/>
    <w:qFormat/>
    <w:pPr>
      <w:keepLines/>
      <w:keepNext/>
      <w:spacing w:before="260" w:after="260" w:line="416" w:lineRule="auto"/>
      <w:outlineLvl w:val="2"/>
    </w:pPr>
    <w:rPr>
      <w:b/>
      <w:bCs/>
      <w:sz w:val="32"/>
      <w:szCs w:val="32"/>
    </w:rPr>
  </w:style>
  <w:style w:type="paragraph" w:styleId="982" w:customStyle="1">
    <w:name w:val="标题 41"/>
    <w:basedOn w:val="774"/>
    <w:next w:val="774"/>
    <w:link w:val="996"/>
    <w:uiPriority w:val="0"/>
    <w:qFormat/>
    <w:pPr>
      <w:jc w:val="center"/>
      <w:keepNext/>
      <w:outlineLvl w:val="3"/>
    </w:pPr>
    <w:rPr>
      <w:rFonts w:eastAsia="新宋体"/>
      <w:sz w:val="30"/>
      <w:szCs w:val="21"/>
    </w:rPr>
  </w:style>
  <w:style w:type="paragraph" w:styleId="983" w:customStyle="1">
    <w:name w:val="标题 51"/>
    <w:basedOn w:val="774"/>
    <w:next w:val="774"/>
    <w:link w:val="997"/>
    <w:uiPriority w:val="0"/>
    <w:qFormat/>
    <w:pPr>
      <w:keepLines/>
      <w:keepNext/>
      <w:spacing w:before="280" w:after="290" w:line="376" w:lineRule="auto"/>
      <w:outlineLvl w:val="4"/>
    </w:pPr>
    <w:rPr>
      <w:b/>
      <w:bCs/>
      <w:sz w:val="28"/>
      <w:szCs w:val="28"/>
    </w:rPr>
  </w:style>
  <w:style w:type="paragraph" w:styleId="984" w:customStyle="1">
    <w:name w:val="标题 61"/>
    <w:basedOn w:val="774"/>
    <w:next w:val="985"/>
    <w:link w:val="998"/>
    <w:uiPriority w:val="0"/>
    <w:qFormat/>
    <w:pPr>
      <w:jc w:val="center"/>
      <w:keepNext/>
      <w:outlineLvl w:val="5"/>
    </w:pPr>
    <w:rPr>
      <w:b/>
      <w:sz w:val="44"/>
      <w:szCs w:val="20"/>
    </w:rPr>
  </w:style>
  <w:style w:type="paragraph" w:styleId="985" w:customStyle="1">
    <w:name w:val="正文缩进1"/>
    <w:basedOn w:val="774"/>
    <w:next w:val="986"/>
    <w:link w:val="999"/>
    <w:uiPriority w:val="0"/>
    <w:qFormat/>
    <w:pPr>
      <w:ind w:firstLine="420"/>
    </w:pPr>
    <w:rPr>
      <w:sz w:val="20"/>
      <w:szCs w:val="20"/>
    </w:rPr>
  </w:style>
  <w:style w:type="paragraph" w:styleId="986" w:customStyle="1">
    <w:name w:val="List Paragraph1"/>
    <w:basedOn w:val="774"/>
    <w:next w:val="987"/>
    <w:uiPriority w:val="0"/>
    <w:qFormat/>
    <w:pPr>
      <w:ind w:firstLine="420"/>
    </w:pPr>
    <w:rPr>
      <w:rFonts w:hAnsi="宋体" w:cs="宋体"/>
      <w:szCs w:val="20"/>
    </w:rPr>
  </w:style>
  <w:style w:type="paragraph" w:styleId="987" w:customStyle="1">
    <w:name w:val="Char Char Char Char"/>
    <w:basedOn w:val="774"/>
    <w:uiPriority w:val="0"/>
    <w:qFormat/>
    <w:rPr>
      <w:rFonts w:ascii="Tahoma" w:hAnsi="Tahoma"/>
      <w:sz w:val="24"/>
      <w:szCs w:val="20"/>
    </w:rPr>
  </w:style>
  <w:style w:type="paragraph" w:styleId="988" w:customStyle="1">
    <w:name w:val="标题 71"/>
    <w:basedOn w:val="774"/>
    <w:next w:val="774"/>
    <w:link w:val="1000"/>
    <w:uiPriority w:val="0"/>
    <w:qFormat/>
    <w:pPr>
      <w:keepLines/>
      <w:keepNext/>
      <w:spacing w:before="240" w:after="64" w:line="320" w:lineRule="auto"/>
      <w:outlineLvl w:val="6"/>
    </w:pPr>
    <w:rPr>
      <w:b/>
      <w:bCs/>
      <w:sz w:val="24"/>
    </w:rPr>
  </w:style>
  <w:style w:type="paragraph" w:styleId="989" w:customStyle="1">
    <w:name w:val="标题 81"/>
    <w:basedOn w:val="774"/>
    <w:next w:val="774"/>
    <w:link w:val="1001"/>
    <w:uiPriority w:val="0"/>
    <w:qFormat/>
    <w:pPr>
      <w:keepLines/>
      <w:keepNext/>
      <w:spacing w:before="240" w:after="64" w:line="320" w:lineRule="auto"/>
      <w:outlineLvl w:val="7"/>
    </w:pPr>
    <w:rPr>
      <w:rFonts w:ascii="Arial" w:hAnsi="Arial" w:eastAsia="黑体"/>
      <w:sz w:val="24"/>
    </w:rPr>
  </w:style>
  <w:style w:type="paragraph" w:styleId="990" w:customStyle="1">
    <w:name w:val="标题 91"/>
    <w:basedOn w:val="774"/>
    <w:next w:val="774"/>
    <w:link w:val="1002"/>
    <w:uiPriority w:val="0"/>
    <w:qFormat/>
    <w:pPr>
      <w:keepLines/>
      <w:keepNext/>
      <w:spacing w:before="240" w:after="64" w:line="320" w:lineRule="auto"/>
      <w:outlineLvl w:val="8"/>
    </w:pPr>
    <w:rPr>
      <w:rFonts w:ascii="Arial" w:hAnsi="Arial" w:eastAsia="黑体"/>
      <w:sz w:val="24"/>
      <w:szCs w:val="21"/>
    </w:rPr>
  </w:style>
  <w:style w:type="character" w:styleId="991" w:customStyle="1">
    <w:name w:val="默认段落字体1"/>
    <w:uiPriority w:val="1"/>
    <w:unhideWhenUsed/>
    <w:qFormat/>
  </w:style>
  <w:style w:type="table" w:styleId="992" w:customStyle="1">
    <w:name w:val="普通表格1"/>
    <w:uiPriority w:val="99"/>
    <w:unhideWhenUsed/>
    <w:qFormat/>
    <w:tblPr>
      <w:tblCellMar>
        <w:left w:w="0" w:type="dxa"/>
        <w:top w:w="0" w:type="dxa"/>
        <w:right w:w="0" w:type="dxa"/>
        <w:bottom w:w="0" w:type="dxa"/>
      </w:tblCellMar>
    </w:tblPr>
  </w:style>
  <w:style w:type="character" w:styleId="993" w:customStyle="1">
    <w:name w:val="标题 1 字符"/>
    <w:link w:val="979"/>
    <w:uiPriority w:val="0"/>
    <w:qFormat/>
    <w:rPr>
      <w:rFonts w:ascii="Times New Roman" w:hAnsi="Times New Roman" w:eastAsia="宋体" w:cs="Times New Roman"/>
      <w:b/>
      <w:bCs/>
      <w:sz w:val="44"/>
      <w:szCs w:val="44"/>
    </w:rPr>
  </w:style>
  <w:style w:type="character" w:styleId="994" w:customStyle="1">
    <w:name w:val="标题 2 字符"/>
    <w:link w:val="980"/>
    <w:uiPriority w:val="0"/>
    <w:qFormat/>
    <w:rPr>
      <w:rFonts w:ascii="Arial" w:hAnsi="Arial" w:eastAsia="黑体" w:cs="Times New Roman"/>
      <w:b/>
      <w:bCs/>
      <w:sz w:val="32"/>
      <w:szCs w:val="32"/>
    </w:rPr>
  </w:style>
  <w:style w:type="character" w:styleId="995" w:customStyle="1">
    <w:name w:val="标题 3 字符"/>
    <w:link w:val="981"/>
    <w:uiPriority w:val="0"/>
    <w:qFormat/>
    <w:rPr>
      <w:rFonts w:ascii="Times New Roman" w:hAnsi="Times New Roman" w:eastAsia="宋体" w:cs="Times New Roman"/>
      <w:b/>
      <w:bCs/>
      <w:sz w:val="32"/>
      <w:szCs w:val="32"/>
    </w:rPr>
  </w:style>
  <w:style w:type="character" w:styleId="996" w:customStyle="1">
    <w:name w:val="标题 4 字符"/>
    <w:link w:val="982"/>
    <w:uiPriority w:val="0"/>
    <w:qFormat/>
    <w:rPr>
      <w:rFonts w:ascii="Times New Roman" w:hAnsi="Times New Roman" w:eastAsia="新宋体" w:cs="Times New Roman"/>
      <w:sz w:val="30"/>
      <w:szCs w:val="21"/>
    </w:rPr>
  </w:style>
  <w:style w:type="character" w:styleId="997" w:customStyle="1">
    <w:name w:val="标题 5 字符"/>
    <w:link w:val="983"/>
    <w:uiPriority w:val="0"/>
    <w:qFormat/>
    <w:rPr>
      <w:rFonts w:ascii="Times New Roman" w:hAnsi="Times New Roman" w:eastAsia="宋体" w:cs="Times New Roman"/>
      <w:b/>
      <w:bCs/>
      <w:sz w:val="28"/>
      <w:szCs w:val="28"/>
    </w:rPr>
  </w:style>
  <w:style w:type="character" w:styleId="998" w:customStyle="1">
    <w:name w:val="标题 6 字符"/>
    <w:link w:val="984"/>
    <w:uiPriority w:val="0"/>
    <w:qFormat/>
    <w:rPr>
      <w:rFonts w:ascii="Times New Roman" w:hAnsi="Times New Roman" w:eastAsia="宋体" w:cs="Times New Roman"/>
      <w:b/>
      <w:sz w:val="44"/>
      <w:szCs w:val="20"/>
    </w:rPr>
  </w:style>
  <w:style w:type="character" w:styleId="999" w:customStyle="1">
    <w:name w:val="正文缩进 字符"/>
    <w:link w:val="985"/>
    <w:uiPriority w:val="0"/>
    <w:qFormat/>
    <w:rPr>
      <w:rFonts w:ascii="Times New Roman" w:hAnsi="Times New Roman" w:eastAsia="宋体" w:cs="Times New Roman"/>
      <w:sz w:val="20"/>
      <w:szCs w:val="20"/>
    </w:rPr>
  </w:style>
  <w:style w:type="character" w:styleId="1000" w:customStyle="1">
    <w:name w:val="标题 7 字符"/>
    <w:link w:val="988"/>
    <w:uiPriority w:val="0"/>
    <w:qFormat/>
    <w:rPr>
      <w:rFonts w:ascii="Times New Roman" w:hAnsi="Times New Roman" w:eastAsia="宋体" w:cs="Times New Roman"/>
      <w:b/>
      <w:bCs/>
      <w:sz w:val="24"/>
      <w:szCs w:val="24"/>
    </w:rPr>
  </w:style>
  <w:style w:type="character" w:styleId="1001" w:customStyle="1">
    <w:name w:val="标题 8 字符"/>
    <w:link w:val="989"/>
    <w:uiPriority w:val="0"/>
    <w:qFormat/>
    <w:rPr>
      <w:rFonts w:ascii="Arial" w:hAnsi="Arial" w:eastAsia="黑体" w:cs="Times New Roman"/>
      <w:sz w:val="24"/>
      <w:szCs w:val="24"/>
    </w:rPr>
  </w:style>
  <w:style w:type="character" w:styleId="1002" w:customStyle="1">
    <w:name w:val="标题 9 字符"/>
    <w:link w:val="990"/>
    <w:uiPriority w:val="0"/>
    <w:qFormat/>
    <w:rPr>
      <w:rFonts w:ascii="Arial" w:hAnsi="Arial" w:eastAsia="黑体" w:cs="Times New Roman"/>
      <w:sz w:val="24"/>
      <w:szCs w:val="21"/>
    </w:rPr>
  </w:style>
  <w:style w:type="paragraph" w:styleId="1003" w:customStyle="1">
    <w:name w:val="文档结构图1"/>
    <w:basedOn w:val="774"/>
    <w:link w:val="1004"/>
    <w:uiPriority w:val="0"/>
    <w:semiHidden/>
    <w:qFormat/>
    <w:pPr>
      <w:shd w:val="clear" w:color="auto" w:fill="000080"/>
    </w:pPr>
    <w:rPr>
      <w:sz w:val="20"/>
    </w:rPr>
  </w:style>
  <w:style w:type="character" w:styleId="1004" w:customStyle="1">
    <w:name w:val="文档结构图 字符"/>
    <w:link w:val="1003"/>
    <w:uiPriority w:val="0"/>
    <w:semiHidden/>
    <w:qFormat/>
    <w:rPr>
      <w:szCs w:val="24"/>
      <w:shd w:val="clear" w:color="auto" w:fill="000080"/>
    </w:rPr>
  </w:style>
  <w:style w:type="paragraph" w:styleId="1005" w:customStyle="1">
    <w:name w:val="正文文本 31"/>
    <w:basedOn w:val="774"/>
    <w:link w:val="1006"/>
    <w:uiPriority w:val="0"/>
    <w:qFormat/>
    <w:pPr>
      <w:spacing w:after="120"/>
    </w:pPr>
    <w:rPr>
      <w:sz w:val="16"/>
      <w:szCs w:val="16"/>
    </w:rPr>
  </w:style>
  <w:style w:type="character" w:styleId="1006" w:customStyle="1">
    <w:name w:val="正文文本 3 字符"/>
    <w:link w:val="1005"/>
    <w:uiPriority w:val="0"/>
    <w:qFormat/>
    <w:rPr>
      <w:rFonts w:ascii="Times New Roman" w:hAnsi="Times New Roman" w:eastAsia="宋体" w:cs="Times New Roman"/>
      <w:sz w:val="16"/>
      <w:szCs w:val="16"/>
    </w:rPr>
  </w:style>
  <w:style w:type="paragraph" w:styleId="1007" w:customStyle="1">
    <w:name w:val="正文文本 21"/>
    <w:basedOn w:val="774"/>
    <w:next w:val="824"/>
    <w:link w:val="1009"/>
    <w:uiPriority w:val="0"/>
    <w:qFormat/>
    <w:rPr>
      <w:b/>
      <w:bCs/>
      <w:sz w:val="18"/>
    </w:rPr>
  </w:style>
  <w:style w:type="character" w:styleId="1008" w:customStyle="1">
    <w:name w:val="正文文本 字符"/>
    <w:link w:val="824"/>
    <w:uiPriority w:val="0"/>
    <w:qFormat/>
    <w:rPr>
      <w:rFonts w:ascii="仿宋_GB2312" w:hAnsi="Times New Roman" w:eastAsia="仿宋_GB2312" w:cs="Times New Roman"/>
      <w:sz w:val="24"/>
      <w:szCs w:val="20"/>
    </w:rPr>
  </w:style>
  <w:style w:type="character" w:styleId="1009" w:customStyle="1">
    <w:name w:val="正文文本 2 字符"/>
    <w:link w:val="1007"/>
    <w:uiPriority w:val="0"/>
    <w:qFormat/>
    <w:rPr>
      <w:rFonts w:ascii="Times New Roman" w:hAnsi="Times New Roman" w:eastAsia="宋体" w:cs="Times New Roman"/>
      <w:b/>
      <w:bCs/>
      <w:sz w:val="18"/>
      <w:szCs w:val="24"/>
    </w:rPr>
  </w:style>
  <w:style w:type="paragraph" w:styleId="1010" w:customStyle="1">
    <w:name w:val="正文文本缩进1"/>
    <w:basedOn w:val="774"/>
    <w:next w:val="1011"/>
    <w:link w:val="1012"/>
    <w:uiPriority w:val="0"/>
    <w:qFormat/>
    <w:pPr>
      <w:ind w:left="765"/>
    </w:pPr>
    <w:rPr>
      <w:rFonts w:ascii="仿宋_GB2312" w:eastAsia="仿宋_GB2312"/>
      <w:sz w:val="28"/>
      <w:szCs w:val="20"/>
    </w:rPr>
  </w:style>
  <w:style w:type="paragraph" w:styleId="1011" w:customStyle="1">
    <w:name w:val="寄信人地址1"/>
    <w:basedOn w:val="774"/>
    <w:uiPriority w:val="99"/>
    <w:unhideWhenUsed/>
    <w:qFormat/>
    <w:rPr>
      <w:rFonts w:ascii="Arial" w:hAnsi="Arial"/>
    </w:rPr>
  </w:style>
  <w:style w:type="character" w:styleId="1012" w:customStyle="1">
    <w:name w:val="正文文本缩进 字符"/>
    <w:link w:val="1010"/>
    <w:uiPriority w:val="0"/>
    <w:qFormat/>
    <w:rPr>
      <w:rFonts w:ascii="仿宋_GB2312" w:hAnsi="Times New Roman" w:eastAsia="仿宋_GB2312" w:cs="Times New Roman"/>
      <w:sz w:val="28"/>
      <w:szCs w:val="20"/>
    </w:rPr>
  </w:style>
  <w:style w:type="paragraph" w:styleId="1013" w:customStyle="1">
    <w:name w:val="纯文本1"/>
    <w:basedOn w:val="774"/>
    <w:link w:val="1014"/>
    <w:uiPriority w:val="0"/>
    <w:qFormat/>
    <w:rPr>
      <w:rFonts w:ascii="宋体" w:hAnsi="Courier New"/>
      <w:sz w:val="20"/>
      <w:szCs w:val="21"/>
    </w:rPr>
  </w:style>
  <w:style w:type="character" w:styleId="1014" w:customStyle="1">
    <w:name w:val="纯文本 字符"/>
    <w:link w:val="1013"/>
    <w:uiPriority w:val="0"/>
    <w:qFormat/>
    <w:rPr>
      <w:rFonts w:ascii="宋体" w:hAnsi="Courier New" w:eastAsia="宋体" w:cs="Courier New"/>
      <w:szCs w:val="21"/>
    </w:rPr>
  </w:style>
  <w:style w:type="paragraph" w:styleId="1015" w:customStyle="1">
    <w:name w:val="日期1"/>
    <w:basedOn w:val="774"/>
    <w:next w:val="774"/>
    <w:link w:val="1016"/>
    <w:uiPriority w:val="0"/>
    <w:qFormat/>
    <w:rPr>
      <w:sz w:val="24"/>
      <w:szCs w:val="20"/>
    </w:rPr>
  </w:style>
  <w:style w:type="character" w:styleId="1016" w:customStyle="1">
    <w:name w:val="日期 字符"/>
    <w:link w:val="1015"/>
    <w:uiPriority w:val="0"/>
    <w:qFormat/>
    <w:rPr>
      <w:rFonts w:ascii="Times New Roman" w:hAnsi="Times New Roman" w:eastAsia="宋体" w:cs="Times New Roman"/>
      <w:sz w:val="24"/>
      <w:szCs w:val="20"/>
    </w:rPr>
  </w:style>
  <w:style w:type="paragraph" w:styleId="1017" w:customStyle="1">
    <w:name w:val="正文文本缩进 21"/>
    <w:basedOn w:val="774"/>
    <w:link w:val="1018"/>
    <w:uiPriority w:val="0"/>
    <w:qFormat/>
    <w:pPr>
      <w:ind w:firstLine="560"/>
      <w:spacing w:line="500" w:lineRule="exact"/>
    </w:pPr>
    <w:rPr>
      <w:rFonts w:eastAsia="仿宋_GB2312"/>
      <w:sz w:val="28"/>
      <w:szCs w:val="20"/>
    </w:rPr>
  </w:style>
  <w:style w:type="character" w:styleId="1018" w:customStyle="1">
    <w:name w:val="正文文本缩进 2 字符"/>
    <w:link w:val="1017"/>
    <w:uiPriority w:val="0"/>
    <w:qFormat/>
    <w:rPr>
      <w:rFonts w:ascii="Times New Roman" w:hAnsi="Times New Roman" w:eastAsia="仿宋_GB2312" w:cs="Times New Roman"/>
      <w:sz w:val="28"/>
      <w:szCs w:val="20"/>
    </w:rPr>
  </w:style>
  <w:style w:type="paragraph" w:styleId="1019" w:customStyle="1">
    <w:name w:val="批注框文本1"/>
    <w:basedOn w:val="774"/>
    <w:link w:val="1020"/>
    <w:uiPriority w:val="0"/>
    <w:semiHidden/>
    <w:qFormat/>
    <w:rPr>
      <w:sz w:val="18"/>
      <w:szCs w:val="18"/>
    </w:rPr>
  </w:style>
  <w:style w:type="character" w:styleId="1020" w:customStyle="1">
    <w:name w:val="批注框文本 字符"/>
    <w:link w:val="1019"/>
    <w:uiPriority w:val="0"/>
    <w:semiHidden/>
    <w:qFormat/>
    <w:rPr>
      <w:sz w:val="18"/>
      <w:szCs w:val="18"/>
    </w:rPr>
  </w:style>
  <w:style w:type="paragraph" w:styleId="1021" w:customStyle="1">
    <w:name w:val="页脚1"/>
    <w:basedOn w:val="774"/>
    <w:link w:val="1022"/>
    <w:uiPriority w:val="99"/>
    <w:qFormat/>
    <w:pPr>
      <w:jc w:val="left"/>
      <w:tabs>
        <w:tab w:val="center" w:pos="4153" w:leader="none"/>
        <w:tab w:val="right" w:pos="8306" w:leader="none"/>
      </w:tabs>
    </w:pPr>
    <w:rPr>
      <w:sz w:val="18"/>
      <w:szCs w:val="20"/>
    </w:rPr>
  </w:style>
  <w:style w:type="character" w:styleId="1022" w:customStyle="1">
    <w:name w:val="页脚 字符"/>
    <w:link w:val="1021"/>
    <w:uiPriority w:val="99"/>
    <w:qFormat/>
    <w:rPr>
      <w:rFonts w:ascii="Times New Roman" w:hAnsi="Times New Roman" w:eastAsia="宋体" w:cs="Times New Roman"/>
      <w:sz w:val="18"/>
      <w:szCs w:val="20"/>
    </w:rPr>
  </w:style>
  <w:style w:type="paragraph" w:styleId="1023" w:customStyle="1">
    <w:name w:val="页眉1"/>
    <w:basedOn w:val="774"/>
    <w:link w:val="1024"/>
    <w:uiPriority w:val="0"/>
    <w:qFormat/>
    <w:pPr>
      <w:jc w:val="center"/>
      <w:tabs>
        <w:tab w:val="center" w:pos="4153" w:leader="none"/>
        <w:tab w:val="right" w:pos="8306" w:leader="none"/>
      </w:tabs>
      <w:pBdr>
        <w:bottom w:val="single" w:color="000000" w:sz="6" w:space="1"/>
      </w:pBdr>
    </w:pPr>
    <w:rPr>
      <w:sz w:val="18"/>
      <w:szCs w:val="18"/>
    </w:rPr>
  </w:style>
  <w:style w:type="character" w:styleId="1024" w:customStyle="1">
    <w:name w:val="页眉 字符"/>
    <w:link w:val="1023"/>
    <w:uiPriority w:val="0"/>
    <w:qFormat/>
    <w:rPr>
      <w:rFonts w:ascii="Times New Roman" w:hAnsi="Times New Roman" w:eastAsia="宋体" w:cs="Times New Roman"/>
      <w:sz w:val="18"/>
      <w:szCs w:val="18"/>
    </w:rPr>
  </w:style>
  <w:style w:type="paragraph" w:styleId="1025" w:customStyle="1">
    <w:name w:val="目录 11"/>
    <w:basedOn w:val="774"/>
    <w:next w:val="774"/>
    <w:uiPriority w:val="0"/>
    <w:semiHidden/>
    <w:qFormat/>
    <w:rPr>
      <w:sz w:val="24"/>
    </w:rPr>
  </w:style>
  <w:style w:type="paragraph" w:styleId="1026" w:customStyle="1">
    <w:name w:val="列表1"/>
    <w:basedOn w:val="774"/>
    <w:uiPriority w:val="0"/>
    <w:qFormat/>
    <w:pPr>
      <w:ind w:left="200" w:hanging="200"/>
    </w:pPr>
  </w:style>
  <w:style w:type="paragraph" w:styleId="1027" w:customStyle="1">
    <w:name w:val="脚注文本1"/>
    <w:basedOn w:val="774"/>
    <w:uiPriority w:val="99"/>
    <w:unhideWhenUsed/>
    <w:qFormat/>
    <w:pPr>
      <w:jc w:val="left"/>
    </w:pPr>
    <w:rPr>
      <w:sz w:val="18"/>
      <w:szCs w:val="18"/>
    </w:rPr>
  </w:style>
  <w:style w:type="paragraph" w:styleId="1028" w:customStyle="1">
    <w:name w:val="正文文本缩进 31"/>
    <w:basedOn w:val="774"/>
    <w:link w:val="1029"/>
    <w:uiPriority w:val="0"/>
    <w:qFormat/>
    <w:pPr>
      <w:ind w:left="420"/>
      <w:spacing w:after="120"/>
    </w:pPr>
    <w:rPr>
      <w:sz w:val="16"/>
      <w:szCs w:val="16"/>
    </w:rPr>
  </w:style>
  <w:style w:type="character" w:styleId="1029" w:customStyle="1">
    <w:name w:val="正文文本缩进 3 字符"/>
    <w:link w:val="1028"/>
    <w:uiPriority w:val="0"/>
    <w:qFormat/>
    <w:rPr>
      <w:rFonts w:ascii="Times New Roman" w:hAnsi="Times New Roman" w:eastAsia="宋体" w:cs="Times New Roman"/>
      <w:sz w:val="16"/>
      <w:szCs w:val="16"/>
    </w:rPr>
  </w:style>
  <w:style w:type="paragraph" w:styleId="1030" w:customStyle="1">
    <w:name w:val="普通(网站)1"/>
    <w:basedOn w:val="774"/>
    <w:uiPriority w:val="0"/>
    <w:qFormat/>
    <w:pPr>
      <w:jc w:val="left"/>
      <w:spacing w:before="100" w:beforeAutospacing="1" w:after="100" w:afterAutospacing="1"/>
      <w:widowControl/>
    </w:pPr>
    <w:rPr>
      <w:rFonts w:ascii="宋体" w:hAnsi="宋体"/>
      <w:color w:val="000000"/>
      <w:sz w:val="24"/>
    </w:rPr>
  </w:style>
  <w:style w:type="paragraph" w:styleId="1031" w:customStyle="1">
    <w:name w:val="正文文本11"/>
    <w:basedOn w:val="774"/>
    <w:uiPriority w:val="99"/>
    <w:qFormat/>
    <w:rPr>
      <w:rFonts w:ascii="楷体_GB2312" w:hAnsi="Arial" w:eastAsia="楷体_GB2312"/>
      <w:sz w:val="28"/>
      <w:szCs w:val="20"/>
    </w:rPr>
  </w:style>
  <w:style w:type="character" w:styleId="1032" w:customStyle="1">
    <w:name w:val="正文首行缩进 字符"/>
    <w:link w:val="829"/>
    <w:uiPriority w:val="0"/>
    <w:qFormat/>
    <w:rPr>
      <w:rFonts w:ascii="Times New Roman" w:hAnsi="Times New Roman" w:eastAsia="宋体" w:cs="Times New Roman"/>
      <w:sz w:val="24"/>
      <w:szCs w:val="24"/>
    </w:rPr>
  </w:style>
  <w:style w:type="table" w:styleId="1033" w:customStyle="1">
    <w:name w:val="网格型11"/>
    <w:basedOn w:val="992"/>
    <w:uiPriority w:val="59"/>
    <w:qFormat/>
    <w:tblPr/>
  </w:style>
  <w:style w:type="character" w:styleId="1034" w:customStyle="1">
    <w:name w:val="要点1"/>
    <w:uiPriority w:val="0"/>
    <w:qFormat/>
    <w:rPr>
      <w:b/>
      <w:bCs/>
    </w:rPr>
  </w:style>
  <w:style w:type="character" w:styleId="1035" w:customStyle="1">
    <w:name w:val="页码1"/>
    <w:uiPriority w:val="0"/>
    <w:qFormat/>
  </w:style>
  <w:style w:type="character" w:styleId="1036" w:customStyle="1">
    <w:name w:val="已访问的超链接1"/>
    <w:uiPriority w:val="0"/>
    <w:qFormat/>
    <w:rPr>
      <w:color w:val="800080"/>
      <w:u w:val="none"/>
    </w:rPr>
  </w:style>
  <w:style w:type="character" w:styleId="1037" w:customStyle="1">
    <w:name w:val="强调1"/>
    <w:uiPriority w:val="20"/>
    <w:qFormat/>
    <w:rPr>
      <w:b/>
      <w:bCs/>
    </w:rPr>
  </w:style>
  <w:style w:type="character" w:styleId="1038" w:customStyle="1">
    <w:name w:val="HTML 定义1"/>
    <w:uiPriority w:val="99"/>
    <w:unhideWhenUsed/>
    <w:qFormat/>
  </w:style>
  <w:style w:type="character" w:styleId="1039" w:customStyle="1">
    <w:name w:val="HTML 打字机1"/>
    <w:uiPriority w:val="99"/>
    <w:unhideWhenUsed/>
    <w:qFormat/>
    <w:rPr>
      <w:rFonts w:ascii="monospace" w:hAnsi="monospace" w:eastAsia="monospace" w:cs="monospace"/>
      <w:sz w:val="20"/>
    </w:rPr>
  </w:style>
  <w:style w:type="character" w:styleId="1040" w:customStyle="1">
    <w:name w:val="HTML 缩写1"/>
    <w:uiPriority w:val="99"/>
    <w:unhideWhenUsed/>
    <w:qFormat/>
  </w:style>
  <w:style w:type="character" w:styleId="1041" w:customStyle="1">
    <w:name w:val="HTML 变量1"/>
    <w:uiPriority w:val="99"/>
    <w:unhideWhenUsed/>
    <w:qFormat/>
  </w:style>
  <w:style w:type="character" w:styleId="1042" w:customStyle="1">
    <w:name w:val="超链接1"/>
    <w:uiPriority w:val="0"/>
    <w:qFormat/>
    <w:rPr>
      <w:color w:val="0000ff"/>
      <w:u w:val="none"/>
    </w:rPr>
  </w:style>
  <w:style w:type="character" w:styleId="1043" w:customStyle="1">
    <w:name w:val="HTML 代码1"/>
    <w:uiPriority w:val="99"/>
    <w:unhideWhenUsed/>
    <w:qFormat/>
    <w:rPr>
      <w:rFonts w:ascii="monospace" w:hAnsi="monospace" w:eastAsia="monospace" w:cs="monospace"/>
      <w:sz w:val="20"/>
    </w:rPr>
  </w:style>
  <w:style w:type="character" w:styleId="1044" w:customStyle="1">
    <w:name w:val="HTML 引文1"/>
    <w:uiPriority w:val="99"/>
    <w:unhideWhenUsed/>
    <w:qFormat/>
  </w:style>
  <w:style w:type="character" w:styleId="1045" w:customStyle="1">
    <w:name w:val="HTML 键盘1"/>
    <w:uiPriority w:val="99"/>
    <w:unhideWhenUsed/>
    <w:qFormat/>
    <w:rPr>
      <w:rFonts w:ascii="monospace" w:hAnsi="monospace" w:eastAsia="monospace" w:cs="monospace"/>
      <w:sz w:val="20"/>
    </w:rPr>
  </w:style>
  <w:style w:type="character" w:styleId="1046" w:customStyle="1">
    <w:name w:val="HTML 样本1"/>
    <w:uiPriority w:val="99"/>
    <w:unhideWhenUsed/>
    <w:qFormat/>
    <w:rPr>
      <w:rFonts w:ascii="monospace" w:hAnsi="monospace" w:eastAsia="monospace" w:cs="monospace"/>
    </w:rPr>
  </w:style>
  <w:style w:type="character" w:styleId="1047" w:customStyle="1">
    <w:name w:val="列出段落 字符"/>
    <w:link w:val="1048"/>
    <w:uiPriority w:val="99"/>
    <w:qFormat/>
  </w:style>
  <w:style w:type="paragraph" w:styleId="1048" w:customStyle="1">
    <w:name w:val="列出段落1"/>
    <w:basedOn w:val="774"/>
    <w:link w:val="1047"/>
    <w:uiPriority w:val="99"/>
    <w:qFormat/>
    <w:pPr>
      <w:ind w:firstLine="420"/>
    </w:pPr>
    <w:rPr>
      <w:sz w:val="20"/>
      <w:szCs w:val="20"/>
    </w:rPr>
  </w:style>
  <w:style w:type="character" w:styleId="1049" w:customStyle="1">
    <w:name w:val="文档结构图 Char1"/>
    <w:uiPriority w:val="99"/>
    <w:semiHidden/>
    <w:qFormat/>
    <w:rPr>
      <w:rFonts w:ascii="宋体" w:hAnsi="Times New Roman" w:eastAsia="宋体" w:cs="Times New Roman"/>
      <w:sz w:val="18"/>
      <w:szCs w:val="18"/>
    </w:rPr>
  </w:style>
  <w:style w:type="character" w:styleId="1050" w:customStyle="1">
    <w:name w:val="普通正文 Char"/>
    <w:link w:val="1051"/>
    <w:uiPriority w:val="0"/>
    <w:qFormat/>
    <w:rPr>
      <w:rFonts w:ascii="Arial" w:hAnsi="Arial"/>
      <w:sz w:val="24"/>
      <w:szCs w:val="24"/>
    </w:rPr>
  </w:style>
  <w:style w:type="paragraph" w:styleId="1051" w:customStyle="1">
    <w:name w:val="普通正文"/>
    <w:basedOn w:val="774"/>
    <w:link w:val="1050"/>
    <w:uiPriority w:val="0"/>
    <w:qFormat/>
    <w:pPr>
      <w:ind w:left="-2" w:right="120" w:firstLine="480"/>
      <w:jc w:val="center"/>
      <w:spacing w:before="120" w:after="120" w:line="360" w:lineRule="auto"/>
    </w:pPr>
    <w:rPr>
      <w:rFonts w:ascii="Arial" w:hAnsi="Arial"/>
      <w:sz w:val="24"/>
    </w:rPr>
  </w:style>
  <w:style w:type="character" w:styleId="1052" w:customStyle="1">
    <w:name w:val="FA正文 Char"/>
    <w:link w:val="1053"/>
    <w:uiPriority w:val="0"/>
    <w:qFormat/>
    <w:rPr>
      <w:rFonts w:ascii="宋体" w:hAnsi="宋体" w:eastAsia="宋体" w:cs="Times New Roman"/>
      <w:sz w:val="28"/>
      <w:szCs w:val="28"/>
    </w:rPr>
  </w:style>
  <w:style w:type="paragraph" w:styleId="1053" w:customStyle="1">
    <w:name w:val="FA正文"/>
    <w:basedOn w:val="774"/>
    <w:link w:val="1052"/>
    <w:uiPriority w:val="0"/>
    <w:qFormat/>
    <w:pPr>
      <w:ind w:firstLine="538"/>
      <w:spacing w:line="440" w:lineRule="atLeast"/>
      <w:tabs>
        <w:tab w:val="left" w:pos="3375" w:leader="none"/>
      </w:tabs>
    </w:pPr>
    <w:rPr>
      <w:rFonts w:ascii="宋体" w:hAnsi="宋体"/>
      <w:sz w:val="28"/>
      <w:szCs w:val="28"/>
    </w:rPr>
  </w:style>
  <w:style w:type="character" w:styleId="1054" w:customStyle="1">
    <w:name w:val="正文缩进2格 Char"/>
    <w:link w:val="1055"/>
    <w:uiPriority w:val="0"/>
    <w:qFormat/>
    <w:rPr>
      <w:rFonts w:ascii="仿宋_GB2312" w:hAnsi="宋体" w:eastAsia="仿宋_GB2312" w:cs="Times New Roman"/>
      <w:sz w:val="31"/>
      <w:szCs w:val="28"/>
    </w:rPr>
  </w:style>
  <w:style w:type="paragraph" w:styleId="1055" w:customStyle="1">
    <w:name w:val="正文缩进2格"/>
    <w:basedOn w:val="774"/>
    <w:link w:val="1054"/>
    <w:uiPriority w:val="0"/>
    <w:qFormat/>
    <w:pPr>
      <w:ind w:firstLine="639"/>
      <w:spacing w:line="600" w:lineRule="exact"/>
    </w:pPr>
    <w:rPr>
      <w:rFonts w:ascii="仿宋_GB2312" w:hAnsi="宋体" w:eastAsia="仿宋_GB2312"/>
      <w:sz w:val="31"/>
      <w:szCs w:val="28"/>
    </w:rPr>
  </w:style>
  <w:style w:type="character" w:styleId="1056" w:customStyle="1">
    <w:name w:val="cn_text1"/>
    <w:uiPriority w:val="0"/>
    <w:qFormat/>
    <w:rPr>
      <w:rFonts w:ascii="ˎ̥" w:hAnsi="ˎ̥"/>
      <w:color w:val="003399"/>
      <w:spacing w:val="15"/>
      <w:sz w:val="18"/>
      <w:szCs w:val="18"/>
    </w:rPr>
  </w:style>
  <w:style w:type="character" w:styleId="1057" w:customStyle="1">
    <w:name w:val="ssss Char"/>
    <w:uiPriority w:val="0"/>
    <w:qFormat/>
    <w:rPr>
      <w:rFonts w:eastAsia="宋体"/>
      <w:sz w:val="24"/>
      <w:szCs w:val="24"/>
      <w:lang w:val="en-US" w:eastAsia="zh-CN" w:bidi="ar-SA"/>
    </w:rPr>
  </w:style>
  <w:style w:type="character" w:styleId="1058" w:customStyle="1">
    <w:name w:val="ssss Char1"/>
    <w:link w:val="1059"/>
    <w:uiPriority w:val="0"/>
    <w:qFormat/>
    <w:rPr>
      <w:rFonts w:ascii="Times New Roman" w:hAnsi="Times New Roman" w:eastAsia="宋体" w:cs="Times New Roman"/>
      <w:sz w:val="24"/>
      <w:szCs w:val="24"/>
    </w:rPr>
  </w:style>
  <w:style w:type="paragraph" w:styleId="1059" w:customStyle="1">
    <w:name w:val="ssss"/>
    <w:basedOn w:val="774"/>
    <w:link w:val="1058"/>
    <w:uiPriority w:val="0"/>
    <w:qFormat/>
    <w:pPr>
      <w:ind w:firstLine="480"/>
      <w:spacing w:line="360" w:lineRule="auto"/>
    </w:pPr>
    <w:rPr>
      <w:sz w:val="24"/>
    </w:rPr>
  </w:style>
  <w:style w:type="character" w:styleId="1060" w:customStyle="1">
    <w:name w:val="标题 4 Char1"/>
    <w:uiPriority w:val="0"/>
    <w:qFormat/>
    <w:rPr>
      <w:rFonts w:ascii="Arial" w:hAnsi="Arial" w:eastAsia="黑体"/>
      <w:b/>
      <w:bCs/>
      <w:sz w:val="28"/>
      <w:szCs w:val="28"/>
      <w:lang w:val="en-US" w:eastAsia="zh-CN" w:bidi="ar-SA"/>
    </w:rPr>
  </w:style>
  <w:style w:type="character" w:styleId="1061" w:customStyle="1">
    <w:name w:val="列表段落 字符"/>
    <w:uiPriority w:val="34"/>
    <w:qFormat/>
    <w:rPr>
      <w:rFonts w:ascii="Calibri" w:hAnsi="Calibri"/>
      <w:sz w:val="21"/>
      <w:szCs w:val="22"/>
    </w:rPr>
  </w:style>
  <w:style w:type="character" w:styleId="1062" w:customStyle="1">
    <w:name w:val="批注框文本 Char1"/>
    <w:uiPriority w:val="99"/>
    <w:semiHidden/>
    <w:qFormat/>
    <w:rPr>
      <w:rFonts w:ascii="Times New Roman" w:hAnsi="Times New Roman" w:eastAsia="宋体" w:cs="Times New Roman"/>
      <w:sz w:val="18"/>
      <w:szCs w:val="18"/>
    </w:rPr>
  </w:style>
  <w:style w:type="character" w:styleId="1063" w:customStyle="1">
    <w:name w:val="样式 ssss + 宋体 五号1 Char"/>
    <w:link w:val="1064"/>
    <w:uiPriority w:val="0"/>
    <w:qFormat/>
    <w:rPr>
      <w:rFonts w:ascii="宋体" w:hAnsi="宋体" w:eastAsia="宋体" w:cs="Times New Roman"/>
      <w:sz w:val="24"/>
      <w:szCs w:val="24"/>
    </w:rPr>
  </w:style>
  <w:style w:type="paragraph" w:styleId="1064" w:customStyle="1">
    <w:name w:val="样式 ssss + 宋体 五号1"/>
    <w:basedOn w:val="1059"/>
    <w:link w:val="1063"/>
    <w:uiPriority w:val="0"/>
    <w:qFormat/>
    <w:rPr>
      <w:rFonts w:ascii="宋体" w:hAnsi="宋体"/>
    </w:rPr>
  </w:style>
  <w:style w:type="character" w:styleId="1065" w:customStyle="1">
    <w:name w:val="point_normal1"/>
    <w:uiPriority w:val="0"/>
    <w:qFormat/>
    <w:rPr>
      <w:rFonts w:ascii="Arial" w:hAnsi="Arial" w:cs="Arial"/>
      <w:sz w:val="16"/>
      <w:szCs w:val="16"/>
    </w:rPr>
  </w:style>
  <w:style w:type="paragraph" w:styleId="1066" w:customStyle="1">
    <w:name w:val="样式 正文文本缩进 3 + 四号"/>
    <w:basedOn w:val="1028"/>
    <w:uiPriority w:val="0"/>
    <w:qFormat/>
    <w:pPr>
      <w:ind w:left="0" w:firstLine="437"/>
      <w:spacing w:after="0" w:line="360" w:lineRule="auto"/>
    </w:pPr>
    <w:rPr>
      <w:sz w:val="24"/>
      <w:szCs w:val="21"/>
    </w:rPr>
  </w:style>
  <w:style w:type="paragraph" w:styleId="1067" w:customStyle="1">
    <w:name w:val="2cxsplast"/>
    <w:basedOn w:val="774"/>
    <w:uiPriority w:val="0"/>
    <w:qFormat/>
    <w:pPr>
      <w:jc w:val="left"/>
      <w:spacing w:before="100" w:beforeAutospacing="1" w:after="100" w:afterAutospacing="1"/>
      <w:widowControl/>
    </w:pPr>
    <w:rPr>
      <w:rFonts w:ascii="宋体" w:hAnsi="宋体" w:cs="宋体"/>
      <w:sz w:val="24"/>
    </w:rPr>
  </w:style>
  <w:style w:type="paragraph" w:styleId="1068" w:customStyle="1">
    <w:name w:val="ec_msonormal"/>
    <w:basedOn w:val="774"/>
    <w:uiPriority w:val="0"/>
    <w:qFormat/>
    <w:pPr>
      <w:jc w:val="left"/>
      <w:spacing w:before="100" w:beforeAutospacing="1" w:after="100" w:afterAutospacing="1"/>
      <w:widowControl/>
    </w:pPr>
    <w:rPr>
      <w:rFonts w:ascii="宋体" w:hAnsi="宋体"/>
      <w:sz w:val="24"/>
    </w:rPr>
  </w:style>
  <w:style w:type="paragraph" w:styleId="1069" w:customStyle="1">
    <w:name w:val="Char Char Char Char Char Char Char Char Char Char Char Char Char"/>
    <w:basedOn w:val="774"/>
    <w:uiPriority w:val="0"/>
    <w:qFormat/>
  </w:style>
  <w:style w:type="paragraph" w:styleId="1070" w:customStyle="1">
    <w:name w:val="表格正文"/>
    <w:basedOn w:val="774"/>
    <w:uiPriority w:val="0"/>
    <w:qFormat/>
    <w:pPr>
      <w:jc w:val="left"/>
      <w:spacing w:line="360" w:lineRule="auto"/>
    </w:pPr>
    <w:rPr>
      <w:rFonts w:ascii="Calibri" w:hAnsi="Calibri"/>
      <w:color w:val="000000"/>
      <w:szCs w:val="28"/>
    </w:rPr>
  </w:style>
  <w:style w:type="paragraph" w:styleId="1071" w:customStyle="1">
    <w:name w:val="Normal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1072" w:customStyle="1">
    <w:name w:val="Char Char Char Char1"/>
    <w:basedOn w:val="774"/>
    <w:uiPriority w:val="0"/>
    <w:qFormat/>
    <w:rPr>
      <w:rFonts w:ascii="Tahoma" w:hAnsi="Tahoma"/>
      <w:sz w:val="24"/>
      <w:szCs w:val="20"/>
    </w:rPr>
  </w:style>
  <w:style w:type="paragraph" w:styleId="1073" w:customStyle="1">
    <w:name w:val="Char Char Char"/>
    <w:basedOn w:val="774"/>
    <w:uiPriority w:val="0"/>
    <w:qFormat/>
    <w:rPr>
      <w:rFonts w:ascii="Tahoma" w:hAnsi="Tahoma"/>
      <w:sz w:val="24"/>
      <w:szCs w:val="20"/>
    </w:rPr>
  </w:style>
  <w:style w:type="paragraph" w:styleId="1074" w:customStyle="1">
    <w:name w:val="标题-----3"/>
    <w:basedOn w:val="981"/>
    <w:uiPriority w:val="0"/>
    <w:qFormat/>
    <w:pPr>
      <w:spacing w:before="0" w:after="0" w:line="240" w:lineRule="auto"/>
      <w:outlineLvl w:val="0"/>
    </w:pPr>
    <w:rPr>
      <w:rFonts w:ascii="宋体" w:hAnsi="宋体"/>
      <w:b w:val="0"/>
      <w:bCs w:val="0"/>
      <w:sz w:val="28"/>
      <w:szCs w:val="28"/>
    </w:rPr>
  </w:style>
  <w:style w:type="paragraph" w:styleId="1075" w:customStyle="1">
    <w:name w:val="样式 ssss + 居中"/>
    <w:basedOn w:val="1059"/>
    <w:uiPriority w:val="0"/>
    <w:qFormat/>
    <w:pPr>
      <w:jc w:val="center"/>
    </w:pPr>
    <w:rPr>
      <w:rFonts w:cs="宋体"/>
      <w:szCs w:val="20"/>
    </w:rPr>
  </w:style>
  <w:style w:type="paragraph" w:styleId="1076" w:customStyle="1">
    <w:name w:val="样式 宋体 四号 黑色 左侧:  0.74 厘米 首行缩进:  0.74 厘米 行距: 1.5 倍行距"/>
    <w:basedOn w:val="774"/>
    <w:uiPriority w:val="0"/>
    <w:qFormat/>
    <w:pPr>
      <w:ind w:firstLine="420"/>
      <w:spacing w:line="360" w:lineRule="auto"/>
    </w:pPr>
    <w:rPr>
      <w:rFonts w:ascii="宋体"/>
      <w:color w:val="000000"/>
      <w:sz w:val="24"/>
      <w:szCs w:val="21"/>
    </w:rPr>
  </w:style>
  <w:style w:type="paragraph" w:styleId="1077" w:customStyle="1">
    <w:name w:val="样式 样式 ssss + 宋体 五号 + 首行缩进:  2 字符"/>
    <w:basedOn w:val="1078"/>
    <w:uiPriority w:val="0"/>
    <w:qFormat/>
    <w:pPr>
      <w:ind w:firstLine="480"/>
    </w:pPr>
  </w:style>
  <w:style w:type="paragraph" w:styleId="1078" w:customStyle="1">
    <w:name w:val="样式 ssss + 宋体 五号"/>
    <w:basedOn w:val="1059"/>
    <w:uiPriority w:val="0"/>
    <w:qFormat/>
    <w:pPr>
      <w:ind w:firstLine="420"/>
    </w:pPr>
    <w:rPr>
      <w:rFonts w:ascii="宋体" w:hAnsi="宋体" w:cs="宋体"/>
      <w:szCs w:val="20"/>
    </w:rPr>
  </w:style>
  <w:style w:type="paragraph" w:styleId="1079" w:customStyle="1">
    <w:name w:val="msonormalcxsplast"/>
    <w:basedOn w:val="774"/>
    <w:uiPriority w:val="0"/>
    <w:qFormat/>
    <w:pPr>
      <w:jc w:val="left"/>
      <w:spacing w:before="100" w:beforeAutospacing="1" w:after="100" w:afterAutospacing="1"/>
      <w:widowControl/>
    </w:pPr>
    <w:rPr>
      <w:rFonts w:ascii="宋体" w:hAnsi="宋体" w:cs="宋体"/>
      <w:sz w:val="24"/>
    </w:rPr>
  </w:style>
  <w:style w:type="paragraph" w:styleId="1080" w:customStyle="1">
    <w:name w:val="Char"/>
    <w:basedOn w:val="774"/>
    <w:uiPriority w:val="0"/>
    <w:qFormat/>
    <w:rPr>
      <w:rFonts w:ascii="Tahoma" w:hAnsi="Tahoma"/>
      <w:sz w:val="24"/>
      <w:szCs w:val="20"/>
    </w:rPr>
  </w:style>
  <w:style w:type="paragraph" w:styleId="1081" w:customStyle="1">
    <w:name w:val="xl25"/>
    <w:basedOn w:val="774"/>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82" w:customStyle="1">
    <w:name w:val="标题------4"/>
    <w:basedOn w:val="982"/>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083" w:customStyle="1">
    <w:name w:val="msonormalcxspmiddle"/>
    <w:basedOn w:val="774"/>
    <w:uiPriority w:val="0"/>
    <w:qFormat/>
    <w:pPr>
      <w:jc w:val="left"/>
      <w:spacing w:before="100" w:beforeAutospacing="1" w:after="100" w:afterAutospacing="1"/>
      <w:widowControl/>
    </w:pPr>
    <w:rPr>
      <w:rFonts w:ascii="宋体" w:hAnsi="宋体" w:cs="宋体"/>
      <w:sz w:val="24"/>
    </w:rPr>
  </w:style>
  <w:style w:type="paragraph" w:styleId="1084" w:customStyle="1">
    <w:name w:val="Char Char Char Char Char Char Char Char Char Char Char Char Char1"/>
    <w:basedOn w:val="774"/>
    <w:uiPriority w:val="0"/>
    <w:qFormat/>
    <w:rPr>
      <w:sz w:val="24"/>
    </w:rPr>
  </w:style>
  <w:style w:type="paragraph" w:styleId="1085" w:customStyle="1">
    <w:name w:val="表格"/>
    <w:basedOn w:val="774"/>
    <w:uiPriority w:val="0"/>
    <w:qFormat/>
    <w:rPr>
      <w:rFonts w:ascii="Arial" w:hAnsi="Arial"/>
      <w:sz w:val="24"/>
    </w:rPr>
  </w:style>
  <w:style w:type="paragraph" w:styleId="1086" w:customStyle="1">
    <w:name w:val="正文样式1"/>
    <w:basedOn w:val="774"/>
    <w:uiPriority w:val="0"/>
    <w:qFormat/>
    <w:pPr>
      <w:ind w:firstLine="480"/>
      <w:spacing w:before="120" w:after="120" w:line="360" w:lineRule="auto"/>
    </w:pPr>
    <w:rPr>
      <w:sz w:val="24"/>
      <w:szCs w:val="20"/>
    </w:rPr>
  </w:style>
  <w:style w:type="paragraph" w:styleId="1087" w:customStyle="1">
    <w:name w:val="Char Char1 Char Char Char Char Char Char"/>
    <w:basedOn w:val="774"/>
    <w:uiPriority w:val="0"/>
    <w:qFormat/>
    <w:pPr>
      <w:jc w:val="left"/>
      <w:spacing w:after="160" w:line="240" w:lineRule="exact"/>
      <w:widowControl/>
    </w:pPr>
    <w:rPr>
      <w:rFonts w:ascii="Verdana" w:hAnsi="Verdana" w:eastAsia="仿宋_GB2312"/>
      <w:sz w:val="24"/>
      <w:szCs w:val="20"/>
      <w:lang w:eastAsia="en-US"/>
    </w:rPr>
  </w:style>
  <w:style w:type="paragraph" w:styleId="1088" w:customStyle="1">
    <w:name w:val="Char Char Char Char Char Char Char Char Char Char"/>
    <w:basedOn w:val="774"/>
    <w:uiPriority w:val="0"/>
    <w:qFormat/>
    <w:rPr>
      <w:rFonts w:ascii="Tahoma" w:hAnsi="Tahoma"/>
      <w:sz w:val="24"/>
      <w:szCs w:val="20"/>
    </w:rPr>
  </w:style>
  <w:style w:type="paragraph" w:styleId="1089" w:customStyle="1">
    <w:name w:val="Char1"/>
    <w:basedOn w:val="774"/>
    <w:uiPriority w:val="0"/>
    <w:qFormat/>
    <w:pPr>
      <w:tabs>
        <w:tab w:val="left" w:pos="360" w:leader="none"/>
      </w:tabs>
    </w:pPr>
    <w:rPr>
      <w:sz w:val="24"/>
    </w:rPr>
  </w:style>
  <w:style w:type="paragraph" w:styleId="1090" w:customStyle="1">
    <w:name w:val="标题1"/>
    <w:basedOn w:val="774"/>
    <w:next w:val="77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1" w:customStyle="1">
    <w:name w:val="Header2"/>
    <w:basedOn w:val="774"/>
    <w:uiPriority w:val="0"/>
    <w:qFormat/>
    <w:pPr>
      <w:numPr>
        <w:ilvl w:val="0"/>
        <w:numId w:val="1"/>
      </w:numPr>
    </w:pPr>
  </w:style>
  <w:style w:type="paragraph" w:styleId="1092" w:customStyle="1">
    <w:name w:val="Char Char 字元 字元 字元 Char Char Char Char"/>
    <w:basedOn w:val="774"/>
    <w:uiPriority w:val="0"/>
    <w:qFormat/>
    <w:pPr>
      <w:spacing w:line="360" w:lineRule="auto"/>
    </w:pPr>
    <w:rPr>
      <w:sz w:val="24"/>
      <w:szCs w:val="20"/>
    </w:rPr>
  </w:style>
  <w:style w:type="paragraph" w:styleId="1093" w:customStyle="1">
    <w:name w:val="2cxspmiddle"/>
    <w:basedOn w:val="774"/>
    <w:uiPriority w:val="0"/>
    <w:qFormat/>
    <w:pPr>
      <w:jc w:val="left"/>
      <w:spacing w:before="100" w:beforeAutospacing="1" w:after="100" w:afterAutospacing="1"/>
      <w:widowControl/>
    </w:pPr>
    <w:rPr>
      <w:rFonts w:ascii="宋体" w:hAnsi="宋体" w:cs="宋体"/>
      <w:sz w:val="24"/>
    </w:rPr>
  </w:style>
  <w:style w:type="paragraph" w:styleId="1094"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095"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1096" w:customStyle="1">
    <w:name w:val="网格型1"/>
    <w:basedOn w:val="992"/>
    <w:uiPriority w:val="39"/>
    <w:qFormat/>
    <w:rPr>
      <w:rFonts w:ascii="等线" w:hAnsi="等线" w:eastAsia="等线"/>
      <w:sz w:val="21"/>
      <w:szCs w:val="22"/>
    </w:rPr>
    <w:tblPr/>
  </w:style>
  <w:style w:type="paragraph" w:styleId="1097" w:customStyle="1">
    <w:name w:val="正文1"/>
    <w:uiPriority w:val="0"/>
    <w:qFormat/>
    <w:pPr>
      <w:jc w:val="both"/>
      <w:widowControl w:val="off"/>
    </w:pPr>
    <w:rPr>
      <w:rFonts w:ascii="Times New Roman" w:hAnsi="Times New Roman" w:eastAsia="宋体" w:cs="Times New Roman"/>
      <w:sz w:val="21"/>
      <w:szCs w:val="21"/>
      <w:lang w:val="en-US" w:eastAsia="zh-CN" w:bidi="ar-SA"/>
    </w:rPr>
  </w:style>
  <w:style w:type="character" w:styleId="1098" w:customStyle="1">
    <w:name w:val="mini-tree-nodetext3"/>
    <w:uiPriority w:val="0"/>
    <w:qFormat/>
  </w:style>
  <w:style w:type="paragraph" w:styleId="1099" w:customStyle="1">
    <w:name w:val="正文首行缩进 211"/>
    <w:basedOn w:val="1010"/>
    <w:next w:val="774"/>
    <w:uiPriority w:val="0"/>
    <w:qFormat/>
    <w:pPr>
      <w:ind w:left="0" w:firstLine="420"/>
      <w:spacing w:line="360" w:lineRule="auto"/>
    </w:pPr>
    <w:rPr>
      <w:rFonts w:ascii="宋体" w:hAnsi="宋体"/>
      <w:sz w:val="20"/>
    </w:rPr>
  </w:style>
  <w:style w:type="paragraph" w:styleId="1100" w:customStyle="1">
    <w:name w:val="列出段落11"/>
    <w:basedOn w:val="774"/>
    <w:uiPriority w:val="99"/>
    <w:qFormat/>
    <w:pPr>
      <w:jc w:val="left"/>
      <w:spacing w:before="100" w:beforeAutospacing="1" w:after="100" w:afterAutospacing="1"/>
      <w:widowControl/>
    </w:pPr>
    <w:rPr>
      <w:rFonts w:ascii="Arial" w:hAnsi="Arial" w:cs="Arial"/>
      <w:color w:val="000000"/>
      <w:sz w:val="18"/>
      <w:szCs w:val="18"/>
    </w:rPr>
  </w:style>
  <w:style w:type="paragraph" w:styleId="1101" w:customStyle="1">
    <w:name w:val="正文缩进11"/>
    <w:basedOn w:val="774"/>
    <w:uiPriority w:val="0"/>
    <w:qFormat/>
    <w:pPr>
      <w:ind w:firstLine="420"/>
    </w:pPr>
    <w:rPr>
      <w:szCs w:val="20"/>
    </w:rPr>
  </w:style>
  <w:style w:type="character" w:styleId="1102" w:customStyle="1">
    <w:name w:val="font71"/>
    <w:basedOn w:val="784"/>
    <w:uiPriority w:val="0"/>
    <w:qFormat/>
    <w:rPr>
      <w:rFonts w:hint="eastAsia" w:ascii="仿宋" w:hAnsi="仿宋" w:eastAsia="仿宋" w:cs="仿宋"/>
      <w:color w:val="000000"/>
      <w:sz w:val="24"/>
      <w:szCs w:val="24"/>
      <w:u w:val="none"/>
    </w:rPr>
  </w:style>
  <w:style w:type="character" w:styleId="1103" w:customStyle="1">
    <w:name w:val="font31"/>
    <w:basedOn w:val="784"/>
    <w:uiPriority w:val="0"/>
    <w:qFormat/>
    <w:rPr>
      <w:rFonts w:hint="eastAsia" w:ascii="仿宋" w:hAnsi="仿宋" w:eastAsia="仿宋" w:cs="仿宋"/>
      <w:color w:val="000000"/>
      <w:sz w:val="24"/>
      <w:szCs w:val="24"/>
      <w:u w:val="none"/>
    </w:rPr>
  </w:style>
  <w:style w:type="character" w:styleId="1104" w:customStyle="1">
    <w:name w:val="font01"/>
    <w:basedOn w:val="784"/>
    <w:uiPriority w:val="0"/>
    <w:qFormat/>
    <w:rPr>
      <w:rFonts w:hint="eastAsia" w:ascii="宋体" w:hAnsi="宋体" w:eastAsia="宋体" w:cs="宋体"/>
      <w:color w:val="000000"/>
      <w:sz w:val="24"/>
      <w:szCs w:val="24"/>
      <w:u w:val="none"/>
    </w:rPr>
  </w:style>
  <w:style w:type="character" w:styleId="1105" w:customStyle="1">
    <w:name w:val="font11"/>
    <w:basedOn w:val="784"/>
    <w:uiPriority w:val="0"/>
    <w:qFormat/>
    <w:rPr>
      <w:rFonts w:hint="eastAsia" w:ascii="仿宋" w:hAnsi="仿宋" w:eastAsia="仿宋" w:cs="仿宋"/>
      <w:color w:val="000000"/>
      <w:sz w:val="24"/>
      <w:szCs w:val="24"/>
      <w:u w:val="none"/>
    </w:rPr>
  </w:style>
  <w:style w:type="character" w:styleId="1106" w:customStyle="1">
    <w:name w:val="font61"/>
    <w:basedOn w:val="784"/>
    <w:uiPriority w:val="0"/>
    <w:qFormat/>
    <w:rPr>
      <w:rFonts w:hint="eastAsia" w:ascii="MS Gothic" w:hAnsi="MS Gothic" w:eastAsia="MS Gothic" w:cs="MS Gothic"/>
      <w:color w:val="000000"/>
      <w:sz w:val="24"/>
      <w:szCs w:val="24"/>
      <w:u w:val="none"/>
    </w:rPr>
  </w:style>
  <w:style w:type="character" w:styleId="1107" w:customStyle="1">
    <w:name w:val="批注框文本 字符1"/>
    <w:basedOn w:val="784"/>
    <w:link w:val="802"/>
    <w:uiPriority w:val="99"/>
    <w:semiHidden/>
    <w:qFormat/>
    <w:rPr>
      <w:sz w:val="18"/>
      <w:szCs w:val="18"/>
    </w:rPr>
  </w:style>
  <w:style w:type="character" w:styleId="1108" w:customStyle="1">
    <w:name w:val="批注文字 字符"/>
    <w:basedOn w:val="784"/>
    <w:link w:val="790"/>
    <w:uiPriority w:val="0"/>
    <w:qFormat/>
    <w:rPr>
      <w:sz w:val="21"/>
      <w:szCs w:val="24"/>
    </w:rPr>
  </w:style>
  <w:style w:type="character" w:styleId="1109" w:customStyle="1">
    <w:name w:val="批注主题 字符"/>
    <w:basedOn w:val="1108"/>
    <w:link w:val="815"/>
    <w:uiPriority w:val="99"/>
    <w:semiHidden/>
    <w:qFormat/>
    <w:rPr>
      <w:b/>
      <w:bCs/>
      <w:sz w:val="21"/>
      <w:szCs w:val="24"/>
    </w:rPr>
  </w:style>
  <w:style w:type="paragraph" w:styleId="1110" w:customStyle="1">
    <w:name w:val="批注文字1"/>
    <w:basedOn w:val="774"/>
    <w:uiPriority w:val="0"/>
    <w:unhideWhenUsed/>
    <w:qFormat/>
    <w:pPr>
      <w:jc w:val="left"/>
    </w:pPr>
  </w:style>
  <w:style w:type="paragraph" w:styleId="1111" w:customStyle="1">
    <w:name w:val="纯文本2"/>
    <w:basedOn w:val="774"/>
    <w:uiPriority w:val="0"/>
    <w:qFormat/>
    <w:rPr>
      <w:rFonts w:ascii="宋体" w:hAnsi="Courier New"/>
      <w:sz w:val="28"/>
    </w:rPr>
  </w:style>
  <w:style w:type="paragraph" w:styleId="111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13" w:customStyle="1">
    <w:name w:val="Table Text"/>
    <w:basedOn w:val="774"/>
    <w:uiPriority w:val="0"/>
    <w:semiHidden/>
    <w:qFormat/>
  </w:style>
  <w:style w:type="table" w:styleId="1114" w:customStyle="1">
    <w:name w:val="Table Normal"/>
    <w:uiPriority w:val="0"/>
    <w:semiHidden/>
    <w:unhideWhenUsed/>
    <w:qFormat/>
    <w:tblPr>
      <w:tblCellMar>
        <w:left w:w="0" w:type="dxa"/>
        <w:top w:w="0" w:type="dxa"/>
        <w:right w:w="0" w:type="dxa"/>
        <w:bottom w:w="0" w:type="dxa"/>
      </w:tblCellMar>
    </w:tblPr>
  </w:style>
  <w:style w:type="paragraph" w:styleId="1115" w:customStyle="1">
    <w:name w:val="索引 11"/>
    <w:basedOn w:val="774"/>
    <w:next w:val="774"/>
    <w:uiPriority w:val="0"/>
    <w:qFormat/>
    <w:pPr>
      <w:spacing w:line="360" w:lineRule="auto"/>
    </w:pPr>
    <w:rPr>
      <w:rFonts w:ascii="仿宋_GB2312" w:eastAsia="仿宋_GB2312"/>
      <w:sz w:val="24"/>
      <w:szCs w:val="20"/>
    </w:rPr>
  </w:style>
  <w:style w:type="paragraph" w:styleId="1116" w:customStyle="1">
    <w:name w:val="_正文段落"/>
    <w:basedOn w:val="774"/>
    <w:uiPriority w:val="0"/>
    <w:qFormat/>
    <w:pPr>
      <w:ind w:firstLine="200"/>
      <w:spacing w:line="560" w:lineRule="exact"/>
    </w:pPr>
    <w:rPr>
      <w:rFonts w:ascii="Calibri" w:hAnsi="Calibri" w:eastAsia="仿宋_GB2312"/>
      <w:color w:val="000000"/>
      <w:sz w:val="32"/>
    </w:rPr>
  </w:style>
  <w:style w:type="paragraph" w:styleId="1117" w:customStyle="1">
    <w:name w:val="DAS正文"/>
    <w:basedOn w:val="774"/>
    <w:uiPriority w:val="0"/>
    <w:qFormat/>
    <w:pPr>
      <w:ind w:right="181" w:firstLine="480"/>
      <w:spacing w:line="360" w:lineRule="auto"/>
    </w:pPr>
    <w:rPr>
      <w:rFonts w:ascii="Verdana" w:hAnsi="Verdana"/>
    </w:rPr>
  </w:style>
  <w:style w:type="paragraph" w:styleId="1118" w:customStyle="1">
    <w:name w:val="sh4"/>
    <w:basedOn w:val="774"/>
    <w:uiPriority w:val="0"/>
    <w:qFormat/>
    <w:pPr>
      <w:ind w:firstLine="420"/>
      <w:spacing w:line="460" w:lineRule="exact"/>
    </w:pPr>
    <w:rPr>
      <w:rFonts w:ascii="宋体" w:hAnsi="宋体"/>
      <w:color w:val="0d0d0d"/>
      <w:szCs w:val="21"/>
      <w:lang w:val="zh-CN"/>
    </w:rPr>
  </w:style>
  <w:style w:type="paragraph" w:styleId="1119" w:customStyle="1">
    <w:name w:val="Table Paragraph"/>
    <w:basedOn w:val="774"/>
    <w:uiPriority w:val="1"/>
    <w:qFormat/>
    <w:pPr>
      <w:ind w:left="107"/>
      <w:spacing w:before="31"/>
    </w:pPr>
    <w:rPr>
      <w:rFonts w:ascii="微软雅黑" w:hAnsi="微软雅黑" w:eastAsia="微软雅黑" w:cs="微软雅黑"/>
    </w:rPr>
  </w:style>
  <w:style w:type="paragraph" w:styleId="1120"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121"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122"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123"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1124" w:customStyle="1">
    <w:name w:val="页眉11"/>
    <w:basedOn w:val="774"/>
    <w:uiPriority w:val="99"/>
    <w:qFormat/>
    <w:pPr>
      <w:jc w:val="center"/>
      <w:tabs>
        <w:tab w:val="center" w:pos="4153" w:leader="none"/>
        <w:tab w:val="right" w:pos="8306" w:leader="none"/>
      </w:tabs>
      <w:pBdr>
        <w:bottom w:val="single" w:color="000000" w:sz="6" w:space="1"/>
      </w:pBdr>
    </w:pPr>
    <w:rPr>
      <w:sz w:val="18"/>
    </w:rPr>
  </w:style>
  <w:style w:type="paragraph" w:styleId="1125" w:customStyle="1">
    <w:name w:val="页脚11"/>
    <w:basedOn w:val="774"/>
    <w:uiPriority w:val="99"/>
    <w:qFormat/>
    <w:pPr>
      <w:jc w:val="left"/>
      <w:tabs>
        <w:tab w:val="center" w:pos="4153" w:leader="none"/>
        <w:tab w:val="right" w:pos="8306" w:leader="none"/>
      </w:tabs>
    </w:pPr>
    <w:rPr>
      <w:sz w:val="18"/>
    </w:rPr>
  </w:style>
  <w:style w:type="character" w:styleId="1126" w:customStyle="1">
    <w:name w:val="font21"/>
    <w:basedOn w:val="784"/>
    <w:uiPriority w:val="0"/>
    <w:qFormat/>
    <w:rPr>
      <w:rFonts w:hint="default" w:ascii="Berlin Sans FB" w:hAnsi="Berlin Sans FB"/>
      <w:color w:val="000000"/>
      <w:sz w:val="20"/>
      <w:szCs w:val="20"/>
      <w:u w:val="none"/>
    </w:rPr>
  </w:style>
  <w:style w:type="numbering" w:styleId="11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wmf"/><Relationship Id="rId15" Type="http://schemas.openxmlformats.org/officeDocument/2006/relationships/oleObject" Target="embeddings/oleObject1.bin"/><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姜海燕</cp:lastModifiedBy>
  <cp:revision>27</cp:revision>
  <dcterms:created xsi:type="dcterms:W3CDTF">2025-09-24T06:08:00Z</dcterms:created>
  <dcterms:modified xsi:type="dcterms:W3CDTF">2026-07-16T08:56:10Z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89CC4E26FEEB4F7D881C370CEAD25966_13</vt:lpwstr>
  </property>
  <property fmtid="{D5CDD505-2E9C-101B-9397-08002B2CF9AE}" pid="4" name="KSOTemplateDocerSaveRecord">
    <vt:lpwstr>eyJoZGlkIjoiYjBmYzc4YTE3ZTRhNDk1NDkxZGNlOGVhY2IxZWE3M2EiLCJ1c2VySWQiOiIxMDc5MDkyOTU1In0=</vt:lpwstr>
  </property>
</Properties>
</file>