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olor w:val="000000" w:themeColor="text1"/>
          <w:sz w:val="28"/>
          <w:szCs w:val="24"/>
          <w14:textFill>
            <w14:solidFill>
              <w14:schemeClr w14:val="tx1"/>
            </w14:solidFill>
          </w14:textFill>
        </w:rPr>
      </w:pPr>
      <w:r>
        <w:rPr>
          <w:rFonts w:hint="eastAsia" w:ascii="宋体" w:hAnsi="宋体"/>
          <w:color w:val="000000" w:themeColor="text1"/>
          <w:sz w:val="28"/>
          <w:szCs w:val="24"/>
          <w14:textFill>
            <w14:solidFill>
              <w14:schemeClr w14:val="tx1"/>
            </w14:solidFill>
          </w14:textFill>
        </w:rPr>
      </w:r>
      <w:r/>
    </w:p>
    <w:p>
      <w:pPr>
        <w:rPr>
          <w:rFonts w:hint="eastAsia" w:ascii="宋体" w:hAnsi="宋体"/>
          <w:color w:val="000000" w:themeColor="text1"/>
          <w:sz w:val="28"/>
          <w:szCs w:val="24"/>
          <w14:textFill>
            <w14:solidFill>
              <w14:schemeClr w14:val="tx1"/>
            </w14:solidFill>
          </w14:textFill>
        </w:rPr>
      </w:pPr>
      <w:r>
        <w:rPr>
          <w:rFonts w:hint="eastAsia" w:ascii="宋体" w:hAnsi="宋体"/>
          <w:color w:val="000000" w:themeColor="text1"/>
          <w:sz w:val="28"/>
          <w:szCs w:val="24"/>
          <w14:textFill>
            <w14:solidFill>
              <w14:schemeClr w14:val="tx1"/>
            </w14:solidFill>
          </w14:textFill>
        </w:rPr>
      </w:r>
      <w:r/>
    </w:p>
    <w:p>
      <w:pPr>
        <w:jc w:val="center"/>
        <w:tabs>
          <w:tab w:val="right" w:pos="9094" w:leader="dot"/>
        </w:tabs>
        <w:rPr>
          <w:rFonts w:hint="eastAsia" w:ascii="宋体" w:hAnsi="宋体"/>
          <w:b/>
          <w:color w:val="000000" w:themeColor="text1"/>
          <w:sz w:val="44"/>
          <w:szCs w:val="44"/>
          <w14:textFill>
            <w14:solidFill>
              <w14:schemeClr w14:val="tx1"/>
            </w14:solidFill>
          </w14:textFill>
        </w:rPr>
      </w:pPr>
      <w:r/>
      <w:bookmarkStart w:id="0" w:name="_Hlk110692300"/>
      <w:r>
        <w:rPr>
          <w:rFonts w:hint="eastAsia" w:ascii="宋体" w:hAnsi="宋体"/>
          <w:b/>
          <w:color w:val="000000" w:themeColor="text1"/>
          <w:sz w:val="36"/>
          <w:szCs w:val="36"/>
          <w14:textFill>
            <w14:solidFill>
              <w14:schemeClr w14:val="tx1"/>
            </w14:solidFill>
          </w14:textFill>
        </w:rPr>
        <w:t xml:space="preserve"> </w:t>
      </w:r>
      <w:r>
        <w:rPr>
          <w:rFonts w:hint="eastAsia" w:ascii="宋体" w:hAnsi="宋体"/>
          <w:b/>
          <w:color w:val="000000" w:themeColor="text1"/>
          <w:sz w:val="44"/>
          <w:szCs w:val="44"/>
          <w14:textFill>
            <w14:solidFill>
              <w14:schemeClr w14:val="tx1"/>
            </w14:solidFill>
          </w14:textFill>
        </w:rPr>
        <w:t xml:space="preserve">交管大队涉案车辆拖移、停放保管服务项目</w:t>
      </w:r>
      <w:bookmarkEnd w:id="0"/>
      <w:r/>
      <w:r/>
    </w:p>
    <w:p>
      <w:pPr>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r>
      <w:r/>
    </w:p>
    <w:p>
      <w:pPr>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r>
      <w:r/>
    </w:p>
    <w:p>
      <w:pPr>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r>
      <w:r/>
    </w:p>
    <w:p>
      <w:pPr>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r>
      <w:r/>
    </w:p>
    <w:p>
      <w:pPr>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r>
      <w:r/>
    </w:p>
    <w:p>
      <w:pPr>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r>
      <w:r/>
    </w:p>
    <w:p>
      <w:pPr>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r>
      <w:r/>
    </w:p>
    <w:p>
      <w:pPr>
        <w:jc w:val="center"/>
        <w:rPr>
          <w:rFonts w:hint="eastAsia" w:ascii="宋体" w:hAnsi="宋体" w:cs="方正小标宋简体"/>
          <w:color w:val="000000" w:themeColor="text1"/>
          <w:sz w:val="96"/>
          <w:szCs w:val="96"/>
          <w14:textFill>
            <w14:solidFill>
              <w14:schemeClr w14:val="tx1"/>
            </w14:solidFill>
          </w14:textFill>
        </w:rPr>
      </w:pPr>
      <w:r>
        <w:rPr>
          <w:rFonts w:hint="eastAsia" w:ascii="宋体" w:hAnsi="宋体" w:cs="方正小标宋简体"/>
          <w:color w:val="000000" w:themeColor="text1"/>
          <w:sz w:val="72"/>
          <w:szCs w:val="72"/>
          <w14:textFill>
            <w14:solidFill>
              <w14:schemeClr w14:val="tx1"/>
            </w14:solidFill>
          </w14:textFill>
        </w:rPr>
        <w:t xml:space="preserve">招  标  文  件</w:t>
      </w:r>
      <w:r/>
    </w:p>
    <w:p>
      <w:pPr>
        <w:ind w:firstLine="320"/>
        <w:spacing w:line="360" w:lineRule="auto"/>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r>
      <w:r/>
    </w:p>
    <w:p>
      <w:pPr>
        <w:ind w:firstLine="1120"/>
        <w:spacing w:line="360" w:lineRule="auto"/>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r>
      <w:r/>
    </w:p>
    <w:p>
      <w:pPr>
        <w:ind w:firstLine="1120"/>
        <w:spacing w:line="360" w:lineRule="auto"/>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r>
      <w:r/>
    </w:p>
    <w:p>
      <w:pPr>
        <w:ind w:firstLine="1120"/>
        <w:spacing w:line="360" w:lineRule="auto"/>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r>
      <w:r/>
    </w:p>
    <w:p>
      <w:pPr>
        <w:spacing w:after="120"/>
        <w:rPr>
          <w:rFonts w:hint="eastAsia" w:ascii="宋体" w:hAnsi="宋体"/>
          <w:color w:val="000000" w:themeColor="text1"/>
          <w:sz w:val="20"/>
          <w:szCs w:val="24"/>
          <w14:textFill>
            <w14:solidFill>
              <w14:schemeClr w14:val="tx1"/>
            </w14:solidFill>
          </w14:textFill>
        </w:rPr>
      </w:pPr>
      <w:r>
        <w:rPr>
          <w:rFonts w:hint="eastAsia" w:ascii="宋体" w:hAnsi="宋体"/>
          <w:color w:val="000000" w:themeColor="text1"/>
          <w:sz w:val="20"/>
          <w:szCs w:val="24"/>
          <w14:textFill>
            <w14:solidFill>
              <w14:schemeClr w14:val="tx1"/>
            </w14:solidFill>
          </w14:textFill>
        </w:rPr>
      </w:r>
      <w:r/>
    </w:p>
    <w:p>
      <w:pPr>
        <w:jc w:val="center"/>
        <w:tabs>
          <w:tab w:val="right" w:pos="9094" w:leader="dot"/>
        </w:tabs>
        <w:rPr>
          <w:rFonts w:hint="eastAsia" w:ascii="宋体" w:hAnsi="宋体"/>
          <w:b/>
          <w:bCs/>
          <w:color w:val="000000" w:themeColor="text1"/>
          <w:sz w:val="36"/>
          <w:szCs w:val="36"/>
          <w14:textFill>
            <w14:solidFill>
              <w14:schemeClr w14:val="tx1"/>
            </w14:solidFill>
          </w14:textFill>
        </w:rPr>
      </w:pPr>
      <w:r>
        <w:rPr>
          <w:rFonts w:hint="eastAsia" w:ascii="宋体" w:hAnsi="宋体"/>
          <w:b/>
          <w:bCs/>
          <w:color w:val="000000" w:themeColor="text1"/>
          <w:sz w:val="36"/>
          <w:szCs w:val="36"/>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ind w:firstLine="560"/>
        <w:spacing w:before="156" w:after="156"/>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r>
      <w:r/>
    </w:p>
    <w:p>
      <w:pPr>
        <w:ind w:firstLine="560"/>
        <w:spacing w:before="156" w:after="156"/>
        <w:rPr>
          <w:rFonts w:hint="eastAsia" w:ascii="宋体" w:hAnsi="宋体"/>
          <w:color w:val="000000" w:themeColor="text1"/>
          <w:sz w:val="28"/>
          <w:szCs w:val="28"/>
          <w:u w:val="single"/>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招  标  人（盖章）：</w:t>
      </w:r>
      <w:r>
        <w:rPr>
          <w:rFonts w:hint="eastAsia" w:ascii="宋体" w:hAnsi="宋体"/>
          <w:color w:val="000000" w:themeColor="text1"/>
          <w:sz w:val="28"/>
          <w:szCs w:val="28"/>
          <w:u w:val="single"/>
          <w14:textFill>
            <w14:solidFill>
              <w14:schemeClr w14:val="tx1"/>
            </w14:solidFill>
          </w14:textFill>
        </w:rPr>
        <w:t xml:space="preserve">靖江市公安局</w:t>
      </w:r>
      <w:r/>
    </w:p>
    <w:p>
      <w:pPr>
        <w:spacing w:after="120"/>
        <w:rPr>
          <w:rFonts w:hint="eastAsia" w:ascii="宋体" w:hAnsi="宋体"/>
          <w:color w:val="000000" w:themeColor="text1"/>
          <w:sz w:val="20"/>
          <w:szCs w:val="24"/>
          <w14:textFill>
            <w14:solidFill>
              <w14:schemeClr w14:val="tx1"/>
            </w14:solidFill>
          </w14:textFill>
        </w:rPr>
      </w:pPr>
      <w:r>
        <w:rPr>
          <w:rFonts w:hint="eastAsia" w:ascii="宋体" w:hAnsi="宋体"/>
          <w:color w:val="000000" w:themeColor="text1"/>
          <w:sz w:val="20"/>
          <w:szCs w:val="24"/>
          <w14:textFill>
            <w14:solidFill>
              <w14:schemeClr w14:val="tx1"/>
            </w14:solidFill>
          </w14:textFill>
        </w:rPr>
      </w:r>
      <w:r/>
    </w:p>
    <w:p>
      <w:pPr>
        <w:ind w:firstLine="560"/>
        <w:spacing w:before="156" w:after="156"/>
        <w:rPr>
          <w:rFonts w:hint="eastAsia" w:ascii="宋体" w:hAnsi="宋体"/>
          <w:color w:val="000000" w:themeColor="text1"/>
          <w:sz w:val="28"/>
          <w:szCs w:val="28"/>
          <w14:textFill>
            <w14:solidFill>
              <w14:schemeClr w14:val="tx1"/>
            </w14:solidFill>
          </w14:textFill>
        </w:rPr>
      </w:pPr>
      <w:r/>
      <w:bookmarkStart w:id="1" w:name="_Toc2344"/>
      <w:r/>
      <w:r/>
    </w:p>
    <w:p>
      <w:pPr>
        <w:ind w:firstLine="560"/>
        <w:spacing w:before="156" w:after="156"/>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采购代理机构（盖章）：</w:t>
      </w:r>
      <w:bookmarkEnd w:id="1"/>
      <w:r>
        <w:rPr>
          <w:rFonts w:hint="eastAsia" w:ascii="宋体" w:hAnsi="宋体"/>
          <w:color w:val="000000" w:themeColor="text1"/>
          <w:sz w:val="28"/>
          <w:szCs w:val="28"/>
          <w:u w:val="single"/>
          <w14:textFill>
            <w14:solidFill>
              <w14:schemeClr w14:val="tx1"/>
            </w14:solidFill>
          </w14:textFill>
        </w:rPr>
        <w:t xml:space="preserve"> 泰州衡润工程项目管理有限公司  </w:t>
      </w:r>
      <w:r>
        <w:rPr>
          <w:rFonts w:hint="eastAsia" w:ascii="宋体" w:hAnsi="宋体"/>
          <w:color w:val="000000" w:themeColor="text1"/>
          <w:sz w:val="28"/>
          <w:szCs w:val="28"/>
          <w14:textFill>
            <w14:solidFill>
              <w14:schemeClr w14:val="tx1"/>
            </w14:solidFill>
          </w14:textFill>
        </w:rPr>
        <w:t xml:space="preserve"> </w:t>
      </w:r>
      <w:r/>
    </w:p>
    <w:p>
      <w:pPr>
        <w:jc w:val="center"/>
        <w:tabs>
          <w:tab w:val="right" w:pos="9094" w:leader="dot"/>
        </w:tabs>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 xml:space="preserve"> </w:t>
      </w:r>
      <w:bookmarkStart w:id="2" w:name="_Toc21097"/>
      <w:r/>
      <w:r/>
    </w:p>
    <w:p>
      <w:pPr>
        <w:jc w:val="center"/>
        <w:tabs>
          <w:tab w:val="right" w:pos="9094" w:leader="dot"/>
        </w:tabs>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t xml:space="preserve"> 2026年6月</w:t>
      </w:r>
      <w:bookmarkEnd w:id="2"/>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ind w:firstLine="723"/>
        <w:jc w:val="center"/>
        <w:spacing w:line="312" w:lineRule="auto"/>
        <w:rPr>
          <w:rFonts w:hint="eastAsia" w:ascii="宋体" w:hAnsi="宋体"/>
          <w:b/>
          <w:bCs/>
          <w:color w:val="000000" w:themeColor="text1"/>
          <w:sz w:val="36"/>
          <w:szCs w:val="36"/>
          <w14:textFill>
            <w14:solidFill>
              <w14:schemeClr w14:val="tx1"/>
            </w14:solidFill>
          </w14:textFill>
        </w:rPr>
      </w:pPr>
      <w:r>
        <w:rPr>
          <w:rFonts w:ascii="宋体" w:hAnsi="宋体" w:cs="仿宋"/>
          <w:b/>
          <w:bCs/>
          <w:color w:val="000000" w:themeColor="text1"/>
          <w:sz w:val="28"/>
          <w:szCs w:val="28"/>
          <w14:textFill>
            <w14:solidFill>
              <w14:schemeClr w14:val="tx1"/>
            </w14:solidFill>
          </w14:textFill>
        </w:rPr>
        <w:br w:type="page" w:clear="all"/>
      </w:r>
      <w:r>
        <w:rPr>
          <w:rFonts w:hint="eastAsia" w:ascii="宋体" w:hAnsi="宋体"/>
          <w:b/>
          <w:bCs/>
          <w:color w:val="000000" w:themeColor="text1"/>
          <w:sz w:val="36"/>
          <w:szCs w:val="36"/>
          <w14:textFill>
            <w14:solidFill>
              <w14:schemeClr w14:val="tx1"/>
            </w14:solidFill>
          </w14:textFill>
        </w:rPr>
        <w:t xml:space="preserve">“政采贷”及不见面交易相关提醒</w:t>
      </w:r>
      <w:r/>
    </w:p>
    <w:p>
      <w:pPr>
        <w:ind w:firstLine="442"/>
        <w:jc w:val="left"/>
        <w:spacing w:line="312" w:lineRule="auto"/>
        <w:rPr>
          <w:rFonts w:hint="eastAsia" w:ascii="宋体" w:hAnsi="宋体"/>
          <w:b/>
          <w:bCs/>
          <w:color w:val="000000" w:themeColor="text1"/>
          <w:spacing w:val="-3"/>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一、政府采购线上合同信用融资功能告知提醒</w:t>
      </w:r>
      <w:r/>
    </w:p>
    <w:p>
      <w:pPr>
        <w:pStyle w:val="1040"/>
        <w:ind w:firstLine="440"/>
        <w:jc w:val="left"/>
        <w:spacing w:line="312"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靖江市已正式启用“苏采云”系统，目前已全面开通政府采购线上合同信用融资（以下简称“政采贷”）功能。成交供应商可凭政府采购合同在中征平台发起贷款申请贷款。</w:t>
      </w:r>
      <w:r/>
    </w:p>
    <w:p>
      <w:pPr>
        <w:pStyle w:val="1040"/>
        <w:ind w:firstLine="442"/>
        <w:jc w:val="left"/>
        <w:spacing w:line="312" w:lineRule="auto"/>
        <w:rPr>
          <w:rFonts w:hint="eastAsia"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 xml:space="preserve">1.“政采贷”业务流程</w:t>
      </w:r>
      <w:r/>
    </w:p>
    <w:p>
      <w:pPr>
        <w:pStyle w:val="1040"/>
        <w:ind w:firstLine="440"/>
        <w:jc w:val="left"/>
        <w:spacing w:line="312"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p>
      <w:pPr>
        <w:pStyle w:val="1040"/>
        <w:ind w:firstLine="440"/>
        <w:jc w:val="left"/>
        <w:spacing w:line="312" w:lineRule="auto"/>
        <w:rPr>
          <w:rFonts w:hint="eastAsia" w:ascii="宋体" w:hAnsi="宋体" w:cs="宋体"/>
          <w:color w:val="000000" w:themeColor="text1"/>
          <w:sz w:val="21"/>
          <w:szCs w:val="21"/>
          <w14:textFill>
            <w14:solidFill>
              <w14:schemeClr w14:val="tx1"/>
            </w14:solidFill>
          </w14:textFill>
        </w:rPr>
      </w:pPr>
      <w:r>
        <w:rPr>
          <w:rFonts w:hint="eastAsia" w:ascii="宋体" w:hAnsi="宋体"/>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299720</wp:posOffset>
                </wp:positionH>
                <wp:positionV relativeFrom="paragraph">
                  <wp:posOffset>51435</wp:posOffset>
                </wp:positionV>
                <wp:extent cx="5267960" cy="1554480"/>
                <wp:effectExtent l="0" t="0" r="5080" b="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4"/>
                        <a:stretch/>
                      </pic:blipFill>
                      <pic:spPr bwMode="auto">
                        <a:xfrm>
                          <a:off x="0" y="0"/>
                          <a:ext cx="5267960" cy="155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3.6pt;mso-position-horizontal:absolute;mso-position-vertical-relative:text;margin-top:4.0pt;mso-position-vertical:absolute;width:414.8pt;height:122.4pt;mso-wrap-distance-left:0.0pt;mso-wrap-distance-top:0.0pt;mso-wrap-distance-right:0.0pt;mso-wrap-distance-bottom:0.0pt;" stroked="f">
                <v:path textboxrect="0,0,0,0"/>
                <w10:wrap type="square"/>
                <v:imagedata r:id="rId14" o:title=""/>
              </v:shape>
            </w:pict>
          </mc:Fallback>
        </mc:AlternateContent>
      </w:r>
      <w:r/>
    </w:p>
    <w:p>
      <w:pPr>
        <w:pStyle w:val="1040"/>
        <w:ind w:firstLine="440"/>
        <w:jc w:val="left"/>
        <w:spacing w:line="312"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p>
      <w:pPr>
        <w:pStyle w:val="1040"/>
        <w:ind w:firstLine="440"/>
        <w:jc w:val="left"/>
        <w:spacing w:line="312"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p>
      <w:pPr>
        <w:pStyle w:val="1040"/>
        <w:ind w:firstLine="440"/>
        <w:jc w:val="left"/>
        <w:spacing w:line="312"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p>
      <w:pPr>
        <w:pStyle w:val="1040"/>
        <w:ind w:firstLine="440"/>
        <w:jc w:val="left"/>
        <w:spacing w:line="312"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p>
      <w:pPr>
        <w:pStyle w:val="1040"/>
        <w:ind w:firstLine="440"/>
        <w:jc w:val="left"/>
        <w:spacing w:line="312"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p>
      <w:pPr>
        <w:pStyle w:val="1040"/>
        <w:ind w:firstLine="440"/>
        <w:jc w:val="left"/>
        <w:spacing w:line="312"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p>
      <w:pPr>
        <w:pStyle w:val="1040"/>
        <w:ind w:firstLine="440"/>
        <w:jc w:val="left"/>
        <w:spacing w:line="312"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p>
      <w:pPr>
        <w:pStyle w:val="1040"/>
        <w:ind w:firstLine="422"/>
        <w:jc w:val="left"/>
        <w:spacing w:line="312" w:lineRule="auto"/>
        <w:rPr>
          <w:rFonts w:hint="eastAsia"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 xml:space="preserve">2.常见问题</w:t>
      </w:r>
      <w:r/>
    </w:p>
    <w:p>
      <w:pPr>
        <w:pStyle w:val="1040"/>
        <w:ind w:firstLine="440"/>
        <w:jc w:val="left"/>
        <w:spacing w:line="312"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Q1：哪些企业能申请“政采贷”？</w:t>
      </w:r>
      <w:r/>
    </w:p>
    <w:p>
      <w:pPr>
        <w:pStyle w:val="1040"/>
        <w:ind w:firstLine="440"/>
        <w:jc w:val="left"/>
        <w:spacing w:line="312"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答：江苏省内采用国库集中支付的政府采购项目的中标供应商，可凭政府采购合同申请"政采贷"。</w:t>
      </w:r>
      <w:r/>
    </w:p>
    <w:p>
      <w:pPr>
        <w:pStyle w:val="1040"/>
        <w:ind w:firstLine="440"/>
        <w:jc w:val="left"/>
        <w:spacing w:line="312"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Q2：供应商在哪里申请“政采贷”？</w:t>
      </w:r>
      <w:r/>
    </w:p>
    <w:p>
      <w:pPr>
        <w:pStyle w:val="1040"/>
        <w:ind w:firstLine="440"/>
        <w:jc w:val="left"/>
        <w:spacing w:line="312"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答：中标供应商在“中征应收账款融资服务平台”（简称“中征平台”）上向意向银行发起融资申请</w:t>
      </w:r>
      <w:r/>
    </w:p>
    <w:p>
      <w:pPr>
        <w:pStyle w:val="1040"/>
        <w:ind w:firstLine="440"/>
        <w:jc w:val="left"/>
        <w:spacing w:line="312"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Q3：中标供应商要注意什么？</w:t>
      </w:r>
      <w:r/>
    </w:p>
    <w:p>
      <w:pPr>
        <w:pStyle w:val="1040"/>
        <w:ind w:firstLine="440"/>
        <w:jc w:val="left"/>
        <w:spacing w:line="312"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答：中标供应商要加强和采购单位的沟通协调，尽早确定融资需求。需要“政采贷”融资的，政府采购合同付款账号应当空置。</w:t>
      </w:r>
      <w:r/>
    </w:p>
    <w:p>
      <w:pPr>
        <w:pStyle w:val="1040"/>
        <w:ind w:firstLine="440"/>
        <w:jc w:val="left"/>
        <w:spacing w:line="312"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Q4：采购单位要做什么？</w:t>
      </w:r>
      <w:r/>
    </w:p>
    <w:p>
      <w:pPr>
        <w:pStyle w:val="1040"/>
        <w:ind w:firstLine="440"/>
        <w:jc w:val="left"/>
        <w:spacing w:line="312"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答：采购单位在“苏采云”系统中公示政府采购合同时，要勾选融资标识，为中标供应商融资提供便利。如后续融资失败，采购单位要及时维护中标供应商相关账号信息，按时支付款项。</w:t>
      </w:r>
      <w:r/>
    </w:p>
    <w:p>
      <w:pPr>
        <w:pStyle w:val="1040"/>
        <w:ind w:firstLine="440"/>
        <w:jc w:val="left"/>
        <w:spacing w:line="312"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Q5：“政采贷”融资失败怎么办？</w:t>
      </w:r>
      <w:r/>
    </w:p>
    <w:p>
      <w:pPr>
        <w:pStyle w:val="1040"/>
        <w:ind w:firstLine="440"/>
        <w:jc w:val="left"/>
        <w:spacing w:line="312"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答：经合作银行审核后不予放款，或者贷款审核时间超过10个工作日的，视为融资失败，该项目回到财政预算管理一体化系统中支付资金。融资失败的，无法重新线上申请“政采贷”。</w:t>
      </w:r>
      <w:r/>
    </w:p>
    <w:p>
      <w:pPr>
        <w:pStyle w:val="1040"/>
        <w:ind w:firstLine="422"/>
        <w:jc w:val="left"/>
        <w:spacing w:line="312" w:lineRule="auto"/>
        <w:rPr>
          <w:rFonts w:hint="eastAsia"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 xml:space="preserve">3.网址及联系方式</w:t>
      </w:r>
      <w:r/>
    </w:p>
    <w:p>
      <w:pPr>
        <w:pStyle w:val="1040"/>
        <w:ind w:firstLine="630"/>
        <w:jc w:val="left"/>
        <w:spacing w:line="312"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政采贷：</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"http://www.ccgp-jiangsu.gov.cn/jiangsu/paying.html" \o "http://www.ccgp-jiangsu.gov.cn/jiangsu/paying.html" </w:instrText>
      </w:r>
      <w:r>
        <w:rPr>
          <w:color w:val="000000" w:themeColor="text1"/>
          <w14:textFill>
            <w14:solidFill>
              <w14:schemeClr w14:val="tx1"/>
            </w14:solidFill>
          </w14:textFill>
        </w:rPr>
        <w:fldChar w:fldCharType="separate"/>
      </w:r>
      <w:r>
        <w:rPr>
          <w:rFonts w:hint="eastAsia" w:ascii="宋体" w:hAnsi="宋体" w:cs="宋体"/>
          <w:color w:val="000000" w:themeColor="text1"/>
          <w:sz w:val="21"/>
          <w:szCs w:val="21"/>
          <w14:textFill>
            <w14:solidFill>
              <w14:schemeClr w14:val="tx1"/>
            </w14:solidFill>
          </w14:textFill>
        </w:rPr>
        <w:t xml:space="preserve">http://www.ccgp-jiangsu.gov.cn/jiangsu/paying.html</w:t>
      </w:r>
      <w:r>
        <w:rPr>
          <w:rFonts w:hint="eastAsia" w:ascii="宋体" w:hAnsi="宋体" w:cs="宋体"/>
          <w:color w:val="000000" w:themeColor="text1"/>
          <w:sz w:val="21"/>
          <w:szCs w:val="21"/>
          <w14:textFill>
            <w14:solidFill>
              <w14:schemeClr w14:val="tx1"/>
            </w14:solidFill>
          </w14:textFill>
        </w:rPr>
        <w:fldChar w:fldCharType="end"/>
      </w:r>
      <w:r/>
    </w:p>
    <w:p>
      <w:pPr>
        <w:pStyle w:val="1040"/>
        <w:ind w:firstLine="440"/>
        <w:jc w:val="left"/>
        <w:spacing w:line="312" w:lineRule="auto"/>
        <w:rPr>
          <w:rFonts w:hint="eastAsia" w:ascii="宋体" w:hAnsi="宋体" w:cs="宋体"/>
          <w:color w:val="000000" w:themeColor="text1"/>
          <w:sz w:val="21"/>
          <w:szCs w:val="21"/>
          <w14:textFill>
            <w14:solidFill>
              <w14:schemeClr w14:val="tx1"/>
            </w14:solidFill>
          </w14:textFill>
        </w:rPr>
        <w:sectPr>
          <w:footerReference w:type="default" r:id="rId10"/>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ascii="宋体" w:hAnsi="宋体" w:cs="宋体"/>
          <w:color w:val="000000" w:themeColor="text1"/>
          <w:sz w:val="21"/>
          <w:szCs w:val="21"/>
          <w14:textFill>
            <w14:solidFill>
              <w14:schemeClr w14:val="tx1"/>
            </w14:solidFill>
          </w14:textFill>
        </w:rPr>
      </w:r>
      <w:r/>
    </w:p>
    <w:p>
      <w:pPr>
        <w:pStyle w:val="1040"/>
        <w:ind w:firstLine="420"/>
        <w:jc w:val="left"/>
        <w:spacing w:line="312"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中征平台：</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HYPERLINK "https://www.crcrfsp.com/" \o "https://www.crcrfsp.com/"</w:instrText>
      </w:r>
      <w:r>
        <w:rPr>
          <w:color w:val="000000" w:themeColor="text1"/>
          <w14:textFill>
            <w14:solidFill>
              <w14:schemeClr w14:val="tx1"/>
            </w14:solidFill>
          </w14:textFill>
        </w:rPr>
        <w:fldChar w:fldCharType="separate"/>
      </w:r>
      <w:r>
        <w:rPr>
          <w:rFonts w:hint="eastAsia" w:ascii="宋体" w:hAnsi="宋体" w:cs="宋体"/>
          <w:color w:val="000000" w:themeColor="text1"/>
          <w:sz w:val="21"/>
          <w:szCs w:val="21"/>
          <w14:textFill>
            <w14:solidFill>
              <w14:schemeClr w14:val="tx1"/>
            </w14:solidFill>
          </w14:textFill>
        </w:rPr>
        <w:t xml:space="preserve">https://www.crcrfsp.com/</w:t>
      </w:r>
      <w:r>
        <w:rPr>
          <w:color w:val="000000" w:themeColor="text1"/>
          <w14:textFill>
            <w14:solidFill>
              <w14:schemeClr w14:val="tx1"/>
            </w14:solidFill>
          </w14:textFill>
        </w:rPr>
        <w:fldChar w:fldCharType="end"/>
      </w:r>
      <w:r/>
    </w:p>
    <w:p>
      <w:pPr>
        <w:pStyle w:val="1040"/>
        <w:ind w:firstLine="420"/>
        <w:jc w:val="left"/>
        <w:spacing w:line="312"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联系电话：0523-84821917</w:t>
      </w:r>
      <w:r/>
    </w:p>
    <w:p>
      <w:pPr>
        <w:ind w:firstLine="442"/>
        <w:jc w:val="left"/>
        <w:spacing w:line="312"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二、不见面交易投标文件制作提交说明</w:t>
      </w:r>
      <w:r/>
    </w:p>
    <w:p>
      <w:pPr>
        <w:ind w:firstLine="442"/>
        <w:jc w:val="left"/>
        <w:spacing w:line="312" w:lineRule="auto"/>
        <w:rPr>
          <w:rFonts w:hint="eastAsia" w:ascii="宋体" w:hAnsi="宋体"/>
          <w:color w:val="000000" w:themeColor="text1"/>
          <w:szCs w:val="21"/>
          <w:shd w:val="clear" w:color="auto" w:fill="ffffff"/>
          <w:lang w:bidi="ar"/>
          <w14:textFill>
            <w14:solidFill>
              <w14:schemeClr w14:val="tx1"/>
            </w14:solidFill>
          </w14:textFill>
        </w:rPr>
      </w:pPr>
      <w:r>
        <w:rPr>
          <w:rFonts w:hint="eastAsia" w:ascii="宋体" w:hAnsi="宋体"/>
          <w:b/>
          <w:bCs/>
          <w:color w:val="000000" w:themeColor="text1"/>
          <w:szCs w:val="21"/>
          <w:lang w:bidi="ar"/>
          <w14:textFill>
            <w14:solidFill>
              <w14:schemeClr w14:val="tx1"/>
            </w14:solidFill>
          </w14:textFill>
        </w:rPr>
        <w:t xml:space="preserve">1.业务流程：</w:t>
      </w:r>
      <w:r>
        <w:rPr>
          <w:rFonts w:hint="eastAsia" w:ascii="宋体" w:hAnsi="宋体"/>
          <w:color w:val="000000" w:themeColor="text1"/>
          <w:szCs w:val="21"/>
          <w:shd w:val="clear" w:color="auto" w:fill="ffffff"/>
          <w:lang w:bidi="ar"/>
          <w14:textFill>
            <w14:solidFill>
              <w14:schemeClr w14:val="tx1"/>
            </w14:solidFill>
          </w14:textFill>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42"/>
        <w:jc w:val="left"/>
        <w:spacing w:line="312" w:lineRule="auto"/>
        <w:rPr>
          <w:rFonts w:hint="eastAsia" w:ascii="宋体" w:hAnsi="宋体"/>
          <w:color w:val="000000" w:themeColor="text1"/>
          <w:szCs w:val="21"/>
          <w:shd w:val="clear" w:color="auto" w:fill="ffffff"/>
          <w:lang w:bidi="ar"/>
          <w14:textFill>
            <w14:solidFill>
              <w14:schemeClr w14:val="tx1"/>
            </w14:solidFill>
          </w14:textFill>
        </w:rPr>
      </w:pPr>
      <w:r>
        <w:rPr>
          <w:rFonts w:hint="eastAsia" w:ascii="宋体" w:hAnsi="宋体"/>
          <w:b/>
          <w:bCs/>
          <w:color w:val="000000" w:themeColor="text1"/>
          <w:szCs w:val="21"/>
          <w:lang w:bidi="ar"/>
          <w14:textFill>
            <w14:solidFill>
              <w14:schemeClr w14:val="tx1"/>
            </w14:solidFill>
          </w14:textFill>
        </w:rPr>
        <w:t xml:space="preserve">2.苏采云资料：</w:t>
      </w:r>
      <w:r>
        <w:rPr>
          <w:rFonts w:hint="eastAsia" w:ascii="宋体" w:hAnsi="宋体"/>
          <w:color w:val="000000" w:themeColor="text1"/>
          <w:szCs w:val="21"/>
          <w:shd w:val="clear" w:color="auto" w:fill="ffffff"/>
          <w:lang w:bidi="ar"/>
          <w14:textFill>
            <w14:solidFill>
              <w14:schemeClr w14:val="tx1"/>
            </w14:solidFill>
          </w14:textFill>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HYPERLINK "http://czj.taizhou.gov.cn/art/2022/12/9/art_61762_3436049.html" \o "苏采云系统操作手册（供应商）"</w:instrText>
      </w:r>
      <w:r>
        <w:rPr>
          <w:color w:val="000000" w:themeColor="text1"/>
          <w14:textFill>
            <w14:solidFill>
              <w14:schemeClr w14:val="tx1"/>
            </w14:solidFill>
          </w14:textFill>
        </w:rPr>
        <w:fldChar w:fldCharType="separate"/>
      </w:r>
      <w:r>
        <w:rPr>
          <w:rStyle w:val="1041"/>
          <w:rFonts w:hint="eastAsia" w:ascii="宋体" w:hAnsi="宋体"/>
          <w:color w:val="000000" w:themeColor="text1"/>
          <w:szCs w:val="21"/>
          <w:shd w:val="clear" w:color="auto" w:fill="ffffff"/>
          <w14:textFill>
            <w14:solidFill>
              <w14:schemeClr w14:val="tx1"/>
            </w14:solidFill>
          </w14:textFill>
        </w:rPr>
        <w:t xml:space="preserve">苏采云系统操作手册（供应商）</w:t>
      </w:r>
      <w:r>
        <w:rPr>
          <w:color w:val="000000" w:themeColor="text1"/>
          <w14:textFill>
            <w14:solidFill>
              <w14:schemeClr w14:val="tx1"/>
            </w14:solidFill>
          </w14:textFill>
        </w:rPr>
        <w:fldChar w:fldCharType="end"/>
      </w:r>
      <w:r>
        <w:rPr>
          <w:rFonts w:hint="eastAsia" w:ascii="宋体" w:hAnsi="宋体"/>
          <w:color w:val="000000" w:themeColor="text1"/>
          <w:szCs w:val="21"/>
          <w:shd w:val="clear" w:color="auto" w:fill="ffffff"/>
          <w:lang w:bidi="ar"/>
          <w14:textFill>
            <w14:solidFill>
              <w14:schemeClr w14:val="tx1"/>
            </w14:solidFill>
          </w14:textFill>
        </w:rPr>
        <w:t xml:space="preserve">”，进行下载。</w:t>
      </w:r>
      <w:r/>
    </w:p>
    <w:p>
      <w:pPr>
        <w:ind w:firstLine="420"/>
        <w:jc w:val="left"/>
        <w:spacing w:line="312" w:lineRule="auto"/>
        <w:rPr>
          <w:rFonts w:hint="eastAsia" w:ascii="宋体" w:hAnsi="宋体"/>
          <w:color w:val="000000" w:themeColor="text1"/>
          <w:szCs w:val="21"/>
          <w:shd w:val="clear" w:color="auto" w:fill="ffffff"/>
          <w:lang w:bidi="ar"/>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"http://czj.taizhou.gov.cn/col/col61762/index.html" \o "http://czj.taizhou.gov.cn/col/col61762/index.html" </w:instrText>
      </w:r>
      <w:r>
        <w:rPr>
          <w:color w:val="000000" w:themeColor="text1"/>
          <w14:textFill>
            <w14:solidFill>
              <w14:schemeClr w14:val="tx1"/>
            </w14:solidFill>
          </w14:textFill>
        </w:rPr>
        <w:fldChar w:fldCharType="separate"/>
      </w:r>
      <w:r>
        <w:rPr>
          <w:rStyle w:val="1041"/>
          <w:rFonts w:hint="eastAsia" w:ascii="宋体" w:hAnsi="宋体"/>
          <w:color w:val="000000" w:themeColor="text1"/>
          <w:szCs w:val="21"/>
          <w:shd w:val="clear" w:color="auto" w:fill="ffffff"/>
          <w:lang w:bidi="ar"/>
          <w14:textFill>
            <w14:solidFill>
              <w14:schemeClr w14:val="tx1"/>
            </w14:solidFill>
          </w14:textFill>
        </w:rPr>
        <w:t xml:space="preserve">http://czj.taizhou.gov.cn/col/col61762/index.html</w:t>
      </w:r>
      <w:r>
        <w:rPr>
          <w:rStyle w:val="1041"/>
          <w:rFonts w:hint="eastAsia" w:ascii="宋体" w:hAnsi="宋体"/>
          <w:color w:val="000000" w:themeColor="text1"/>
          <w:szCs w:val="21"/>
          <w:shd w:val="clear" w:color="auto" w:fill="ffffff"/>
          <w:lang w:bidi="ar"/>
          <w14:textFill>
            <w14:solidFill>
              <w14:schemeClr w14:val="tx1"/>
            </w14:solidFill>
          </w14:textFill>
        </w:rPr>
        <w:fldChar w:fldCharType="end"/>
      </w:r>
      <w:r/>
    </w:p>
    <w:p>
      <w:pPr>
        <w:ind w:firstLine="442"/>
        <w:jc w:val="left"/>
        <w:spacing w:line="312"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三、不见面交易注意事项</w:t>
      </w:r>
      <w:r/>
    </w:p>
    <w:p>
      <w:pPr>
        <w:ind w:firstLine="442"/>
        <w:jc w:val="left"/>
        <w:spacing w:line="312" w:lineRule="auto"/>
        <w:rPr>
          <w:rFonts w:hint="eastAsia" w:ascii="宋体" w:hAnsi="宋体"/>
          <w:color w:val="000000" w:themeColor="text1"/>
          <w:szCs w:val="21"/>
          <w:shd w:val="clear" w:color="auto" w:fill="ffffff"/>
          <w:lang w:bidi="ar"/>
          <w14:textFill>
            <w14:solidFill>
              <w14:schemeClr w14:val="tx1"/>
            </w14:solidFill>
          </w14:textFill>
        </w:rPr>
      </w:pPr>
      <w:r>
        <w:rPr>
          <w:rFonts w:hint="eastAsia" w:ascii="宋体" w:hAnsi="宋体"/>
          <w:b/>
          <w:bCs/>
          <w:color w:val="000000" w:themeColor="text1"/>
          <w:szCs w:val="21"/>
          <w:lang w:bidi="ar"/>
          <w14:textFill>
            <w14:solidFill>
              <w14:schemeClr w14:val="tx1"/>
            </w14:solidFill>
          </w14:textFill>
        </w:rPr>
        <w:t xml:space="preserve">确保音视频畅通。</w:t>
      </w:r>
      <w:r>
        <w:rPr>
          <w:rFonts w:hint="eastAsia" w:ascii="宋体" w:hAnsi="宋体"/>
          <w:color w:val="000000" w:themeColor="text1"/>
          <w:szCs w:val="21"/>
          <w:shd w:val="clear" w:color="auto" w:fill="ffffff"/>
          <w:lang w:bidi="ar"/>
          <w14:textFill>
            <w14:solidFill>
              <w14:schemeClr w14:val="tx1"/>
            </w14:solidFill>
          </w14:textFill>
        </w:rPr>
        <w:t xml:space="preserve">请各供应商在投标前按照要求装好耳麦、摄像头等通讯工具，可以利用微信或qq等相关软件进行测试，确保在磋商、谈判过程可以正常进行。</w:t>
      </w:r>
      <w:r/>
    </w:p>
    <w:p>
      <w:pPr>
        <w:ind w:firstLine="442"/>
        <w:jc w:val="left"/>
        <w:spacing w:line="312"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四、政府采购电子履约保函（保险）告知提醒</w:t>
      </w:r>
      <w:r/>
    </w:p>
    <w:p>
      <w:pPr>
        <w:ind w:firstLine="442"/>
        <w:jc w:val="left"/>
        <w:spacing w:line="312" w:lineRule="auto"/>
        <w:rPr>
          <w:rFonts w:hint="eastAsia" w:ascii="宋体" w:hAnsi="宋体"/>
          <w:color w:val="000000" w:themeColor="text1"/>
          <w:szCs w:val="21"/>
          <w:shd w:val="clear" w:color="auto" w:fill="ffffff"/>
          <w:lang w:bidi="ar"/>
          <w14:textFill>
            <w14:solidFill>
              <w14:schemeClr w14:val="tx1"/>
            </w14:solidFill>
          </w14:textFill>
        </w:rPr>
      </w:pPr>
      <w:r>
        <w:rPr>
          <w:rFonts w:hint="eastAsia" w:ascii="宋体" w:hAnsi="宋体"/>
          <w:color w:val="000000" w:themeColor="text1"/>
          <w:szCs w:val="21"/>
          <w:shd w:val="clear" w:color="auto" w:fill="ffffff"/>
          <w:lang w:bidi="ar"/>
          <w14:textFill>
            <w14:solidFill>
              <w14:schemeClr w14:val="tx1"/>
            </w14:solidFill>
          </w14:textFill>
        </w:rPr>
        <w:t xml:space="preserve">1.业务基本情况</w:t>
      </w:r>
      <w:r/>
    </w:p>
    <w:p>
      <w:pPr>
        <w:ind w:firstLine="442"/>
        <w:jc w:val="left"/>
        <w:spacing w:line="312" w:lineRule="auto"/>
        <w:rPr>
          <w:rFonts w:hint="eastAsia" w:ascii="宋体" w:hAnsi="宋体"/>
          <w:color w:val="000000" w:themeColor="text1"/>
          <w:szCs w:val="21"/>
          <w:shd w:val="clear" w:color="auto" w:fill="ffffff"/>
          <w:lang w:bidi="ar"/>
          <w14:textFill>
            <w14:solidFill>
              <w14:schemeClr w14:val="tx1"/>
            </w14:solidFill>
          </w14:textFill>
        </w:rPr>
      </w:pPr>
      <w:r>
        <w:rPr>
          <w:rFonts w:hint="eastAsia" w:ascii="宋体" w:hAnsi="宋体"/>
          <w:color w:val="000000" w:themeColor="text1"/>
          <w:szCs w:val="21"/>
          <w:shd w:val="clear" w:color="auto" w:fill="ffffff"/>
          <w:lang w:bidi="ar"/>
          <w14:textFill>
            <w14:solidFill>
              <w14:schemeClr w14:val="tx1"/>
            </w14:solidFill>
          </w14:textFill>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442"/>
        <w:jc w:val="left"/>
        <w:spacing w:line="312" w:lineRule="auto"/>
        <w:rPr>
          <w:rFonts w:hint="eastAsia" w:ascii="宋体" w:hAnsi="宋体"/>
          <w:color w:val="000000" w:themeColor="text1"/>
          <w:szCs w:val="21"/>
          <w:shd w:val="clear" w:color="auto" w:fill="ffffff"/>
          <w:lang w:bidi="ar"/>
          <w14:textFill>
            <w14:solidFill>
              <w14:schemeClr w14:val="tx1"/>
            </w14:solidFill>
          </w14:textFill>
        </w:rPr>
      </w:pPr>
      <w:r>
        <w:rPr>
          <w:rFonts w:hint="eastAsia" w:ascii="宋体" w:hAnsi="宋体"/>
          <w:color w:val="000000" w:themeColor="text1"/>
          <w:szCs w:val="21"/>
          <w:shd w:val="clear" w:color="auto" w:fill="ffffff"/>
          <w:lang w:bidi="ar"/>
          <w14:textFill>
            <w14:solidFill>
              <w14:schemeClr w14:val="tx1"/>
            </w14:solidFill>
          </w14:textFill>
        </w:rPr>
        <w:t xml:space="preserve">2.参与各方职责  </w:t>
      </w:r>
      <w:r/>
    </w:p>
    <w:p>
      <w:pPr>
        <w:ind w:firstLine="442"/>
        <w:jc w:val="left"/>
        <w:spacing w:line="312" w:lineRule="auto"/>
        <w:rPr>
          <w:rFonts w:hint="eastAsia" w:ascii="宋体" w:hAnsi="宋体"/>
          <w:color w:val="000000" w:themeColor="text1"/>
          <w:szCs w:val="21"/>
          <w:shd w:val="clear" w:color="auto" w:fill="ffffff"/>
          <w:lang w:bidi="ar"/>
          <w14:textFill>
            <w14:solidFill>
              <w14:schemeClr w14:val="tx1"/>
            </w14:solidFill>
          </w14:textFill>
        </w:rPr>
      </w:pPr>
      <w:r>
        <w:rPr>
          <w:rFonts w:hint="eastAsia" w:ascii="宋体" w:hAnsi="宋体"/>
          <w:color w:val="000000" w:themeColor="text1"/>
          <w:szCs w:val="21"/>
          <w:shd w:val="clear" w:color="auto" w:fill="ffffff"/>
          <w:lang w:bidi="ar"/>
          <w14:textFill>
            <w14:solidFill>
              <w14:schemeClr w14:val="tx1"/>
            </w14:solidFill>
          </w14:textFill>
        </w:rPr>
        <w:t xml:space="preserve">①供应商。供应商可登录江苏政府采购网办事指南-“资料下载”栏目（网址：</w:t>
      </w:r>
      <w:r>
        <w:rPr>
          <w:rFonts w:ascii="宋体" w:hAnsi="宋体"/>
          <w:color w:val="000000" w:themeColor="text1"/>
          <w:szCs w:val="21"/>
          <w:shd w:val="clear" w:color="auto" w:fill="ffffff"/>
          <w:lang w:bidi="ar"/>
          <w14:textFill>
            <w14:solidFill>
              <w14:schemeClr w14:val="tx1"/>
            </w14:solidFill>
          </w14:textFill>
        </w:rPr>
        <w:t xml:space="preserve">http://www.ccgp-jiangsu.gov.cn/</w:t>
      </w:r>
      <w:r>
        <w:rPr>
          <w:rFonts w:hint="eastAsia" w:ascii="宋体" w:hAnsi="宋体"/>
          <w:color w:val="000000" w:themeColor="text1"/>
          <w:szCs w:val="21"/>
          <w:shd w:val="clear" w:color="auto" w:fill="ffffff"/>
          <w:lang w:bidi="ar"/>
          <w14:textFill>
            <w14:solidFill>
              <w14:schemeClr w14:val="tx1"/>
            </w14:solidFill>
          </w14:textFill>
        </w:rPr>
        <w:t xml:space="preserve">）下载“政府采购电子履约保函（保险）操作手册”。真实、完整、准确地向第三方机构提供保函（保险）申请审核所需材料。 </w:t>
      </w:r>
      <w:r/>
    </w:p>
    <w:p>
      <w:pPr>
        <w:ind w:firstLine="442"/>
        <w:jc w:val="left"/>
        <w:spacing w:line="312" w:lineRule="auto"/>
        <w:rPr>
          <w:rFonts w:hint="eastAsia" w:ascii="宋体" w:hAnsi="宋体"/>
          <w:color w:val="000000" w:themeColor="text1"/>
          <w:szCs w:val="21"/>
          <w:shd w:val="clear" w:color="auto" w:fill="ffffff"/>
          <w:lang w:bidi="ar"/>
          <w14:textFill>
            <w14:solidFill>
              <w14:schemeClr w14:val="tx1"/>
            </w14:solidFill>
          </w14:textFill>
        </w:rPr>
      </w:pPr>
      <w:r>
        <w:rPr>
          <w:rFonts w:hint="eastAsia" w:ascii="宋体" w:hAnsi="宋体"/>
          <w:color w:val="000000" w:themeColor="text1"/>
          <w:szCs w:val="21"/>
          <w:shd w:val="clear" w:color="auto" w:fill="ffffff"/>
          <w:lang w:bidi="ar"/>
          <w14:textFill>
            <w14:solidFill>
              <w14:schemeClr w14:val="tx1"/>
            </w14:solidFill>
          </w14:textFill>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42"/>
        <w:jc w:val="left"/>
        <w:spacing w:line="312" w:lineRule="auto"/>
        <w:rPr>
          <w:rFonts w:hint="eastAsia" w:ascii="宋体" w:hAnsi="宋体"/>
          <w:color w:val="000000" w:themeColor="text1"/>
          <w:szCs w:val="21"/>
          <w:shd w:val="clear" w:color="auto" w:fill="ffffff"/>
          <w:lang w:bidi="ar"/>
          <w14:textFill>
            <w14:solidFill>
              <w14:schemeClr w14:val="tx1"/>
            </w14:solidFill>
          </w14:textFill>
        </w:rPr>
      </w:pPr>
      <w:r>
        <w:rPr>
          <w:rFonts w:hint="eastAsia" w:ascii="宋体" w:hAnsi="宋体"/>
          <w:color w:val="000000" w:themeColor="text1"/>
          <w:szCs w:val="21"/>
          <w:shd w:val="clear" w:color="auto" w:fill="ffffff"/>
          <w:lang w:bidi="ar"/>
          <w14:textFill>
            <w14:solidFill>
              <w14:schemeClr w14:val="tx1"/>
            </w14:solidFill>
          </w14:textFill>
        </w:rPr>
        <w:t xml:space="preserve">③采购代理机构。在采购文件中列示可以以履约保函（保险）形式代替提供履约保证金相关内容，在供应商获取采购文件、领取中标（成交）通知书等环节主动宣传相关政策。</w:t>
      </w:r>
      <w:r/>
    </w:p>
    <w:p>
      <w:pPr>
        <w:ind w:firstLine="442"/>
        <w:jc w:val="left"/>
        <w:spacing w:line="312" w:lineRule="auto"/>
        <w:rPr>
          <w:rFonts w:hint="eastAsia" w:ascii="宋体" w:hAnsi="宋体"/>
          <w:color w:val="000000" w:themeColor="text1"/>
          <w:szCs w:val="21"/>
          <w:shd w:val="clear" w:color="auto" w:fill="ffffff"/>
          <w:lang w:bidi="ar"/>
          <w14:textFill>
            <w14:solidFill>
              <w14:schemeClr w14:val="tx1"/>
            </w14:solidFill>
          </w14:textFill>
        </w:rPr>
      </w:pPr>
      <w:r>
        <w:rPr>
          <w:rFonts w:hint="eastAsia" w:ascii="宋体" w:hAnsi="宋体"/>
          <w:color w:val="000000" w:themeColor="text1"/>
          <w:szCs w:val="21"/>
          <w:shd w:val="clear" w:color="auto" w:fill="ffffff"/>
          <w:lang w:bidi="ar"/>
          <w14:textFill>
            <w14:solidFill>
              <w14:schemeClr w14:val="tx1"/>
            </w14:solidFill>
          </w14:textFill>
        </w:rPr>
        <w:t xml:space="preserve">3.业务模式和流程</w:t>
      </w:r>
      <w:r/>
    </w:p>
    <w:p>
      <w:pPr>
        <w:ind w:firstLine="442"/>
        <w:jc w:val="left"/>
        <w:spacing w:line="312" w:lineRule="auto"/>
        <w:rPr>
          <w:rFonts w:hint="eastAsia" w:ascii="宋体" w:hAnsi="宋体"/>
          <w:b/>
          <w:bCs/>
          <w:color w:val="000000" w:themeColor="text1"/>
          <w:szCs w:val="21"/>
          <w14:textFill>
            <w14:solidFill>
              <w14:schemeClr w14:val="tx1"/>
            </w14:solidFill>
          </w14:textFill>
        </w:rPr>
      </w:pPr>
      <w:r>
        <w:rPr>
          <w:rFonts w:hint="eastAsia" w:ascii="宋体" w:hAnsi="宋体"/>
          <w:color w:val="000000" w:themeColor="text1"/>
          <w:szCs w:val="21"/>
          <w:shd w:val="clear" w:color="auto" w:fill="ffffff"/>
          <w:lang w:bidi="ar"/>
          <w14:textFill>
            <w14:solidFill>
              <w14:schemeClr w14:val="tx1"/>
            </w14:solidFill>
          </w14:textFill>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pPr>
        <w:ind w:firstLine="442"/>
        <w:jc w:val="left"/>
        <w:spacing w:line="312"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五、供应商相关法律责任提醒</w:t>
      </w:r>
      <w:r/>
    </w:p>
    <w:p>
      <w:pPr>
        <w:ind w:firstLine="440"/>
        <w:jc w:val="left"/>
        <w:spacing w:line="312"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440"/>
        <w:jc w:val="left"/>
        <w:spacing w:line="312"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相关法律法规：</w:t>
      </w:r>
      <w:r/>
    </w:p>
    <w:p>
      <w:pPr>
        <w:ind w:firstLine="442"/>
        <w:jc w:val="left"/>
        <w:spacing w:line="312" w:lineRule="auto"/>
        <w:rPr>
          <w:rFonts w:hint="eastAsia" w:ascii="宋体" w:hAnsi="宋体"/>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《政府采购法》</w:t>
      </w:r>
      <w:r>
        <w:rPr>
          <w:rFonts w:hint="eastAsia" w:ascii="宋体" w:hAnsi="宋体"/>
          <w:color w:val="000000" w:themeColor="text1"/>
          <w:szCs w:val="21"/>
          <w14:textFill>
            <w14:solidFill>
              <w14:schemeClr w14:val="tx1"/>
            </w14:solidFill>
          </w14:textFill>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40"/>
        <w:jc w:val="left"/>
        <w:spacing w:line="312"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（一）提供虚假材料谋取中标、成交的；</w:t>
      </w:r>
      <w:r/>
    </w:p>
    <w:p>
      <w:pPr>
        <w:ind w:firstLine="440"/>
        <w:jc w:val="left"/>
        <w:spacing w:line="312"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（二）采取不正当手段诋毁、排挤其他供应商的；</w:t>
      </w:r>
      <w:r/>
    </w:p>
    <w:p>
      <w:pPr>
        <w:ind w:firstLine="440"/>
        <w:jc w:val="left"/>
        <w:spacing w:line="312"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（三）与采购人、其他供应商或者采购代理机构恶意串通的；</w:t>
      </w:r>
      <w:r/>
    </w:p>
    <w:p>
      <w:pPr>
        <w:ind w:firstLine="440"/>
        <w:jc w:val="left"/>
        <w:spacing w:line="312"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（四）向采购人、采购代理机构行贿或者提供其他不正当利益的；</w:t>
      </w:r>
      <w:r/>
    </w:p>
    <w:p>
      <w:pPr>
        <w:ind w:firstLine="440"/>
        <w:jc w:val="left"/>
        <w:spacing w:line="312"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（五）在招标采购过程中与采购人进行协商谈判的；</w:t>
      </w:r>
      <w:r/>
    </w:p>
    <w:p>
      <w:pPr>
        <w:ind w:firstLine="440"/>
        <w:jc w:val="left"/>
        <w:spacing w:line="312"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（六）拒绝有关部门监督检查或者提供虚假情况的。</w:t>
      </w:r>
      <w:r/>
    </w:p>
    <w:p>
      <w:pPr>
        <w:ind w:firstLine="440"/>
        <w:jc w:val="left"/>
        <w:spacing w:line="312"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供应商有前款第（一）至（五）项情形之一的，中标、成交无效。</w:t>
      </w:r>
      <w:r/>
    </w:p>
    <w:p>
      <w:pPr>
        <w:ind w:firstLine="442"/>
        <w:jc w:val="left"/>
        <w:spacing w:line="312" w:lineRule="auto"/>
        <w:rPr>
          <w:rFonts w:hint="eastAsia" w:ascii="宋体" w:hAnsi="宋体"/>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《政府采购法实施条例》</w:t>
      </w:r>
      <w:r>
        <w:rPr>
          <w:rFonts w:hint="eastAsia" w:ascii="宋体" w:hAnsi="宋体"/>
          <w:color w:val="000000" w:themeColor="text1"/>
          <w:szCs w:val="21"/>
          <w14:textFill>
            <w14:solidFill>
              <w14:schemeClr w14:val="tx1"/>
            </w14:solidFill>
          </w14:textFill>
        </w:rPr>
        <w:t xml:space="preserve">第七十二条　供应商有下列情形之一的，依照政府采购法第七十七条第一款的规定追究法律责任：</w:t>
      </w:r>
      <w:r/>
    </w:p>
    <w:p>
      <w:pPr>
        <w:ind w:firstLine="440"/>
        <w:jc w:val="left"/>
        <w:spacing w:line="312"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（一）向评标委员会、竞争性谈判小组或者询价小组成员行贿或者提供其他不正当利益；</w:t>
      </w:r>
      <w:r/>
    </w:p>
    <w:p>
      <w:pPr>
        <w:ind w:firstLine="440"/>
        <w:jc w:val="left"/>
        <w:spacing w:line="312"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（二）中标或者成交后无正当理由拒不与采购人签订政府采购合同；</w:t>
      </w:r>
      <w:r/>
    </w:p>
    <w:p>
      <w:pPr>
        <w:ind w:firstLine="440"/>
        <w:jc w:val="left"/>
        <w:spacing w:line="312"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（三）未按照采购文件确定的事项签订政府采购合同；</w:t>
      </w:r>
      <w:r/>
    </w:p>
    <w:p>
      <w:pPr>
        <w:ind w:firstLine="440"/>
        <w:jc w:val="left"/>
        <w:spacing w:line="312"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（四）将政府采购合同转包；</w:t>
      </w:r>
      <w:r/>
    </w:p>
    <w:p>
      <w:pPr>
        <w:ind w:firstLine="440"/>
        <w:jc w:val="left"/>
        <w:spacing w:line="312"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（五）提供假冒伪劣产品；</w:t>
      </w:r>
      <w:r/>
    </w:p>
    <w:p>
      <w:pPr>
        <w:ind w:firstLine="440"/>
        <w:jc w:val="left"/>
        <w:spacing w:line="312"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（六）擅自变更、中止或者终止政府采购合同。</w:t>
      </w:r>
      <w:r/>
    </w:p>
    <w:p>
      <w:pPr>
        <w:jc w:val="left"/>
        <w:spacing w:line="252" w:lineRule="auto"/>
        <w:rPr>
          <w:rFonts w:hint="eastAsia"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center"/>
        <w:spacing w:line="480" w:lineRule="auto"/>
        <w:tabs>
          <w:tab w:val="right" w:pos="9094" w:leader="dot"/>
        </w:tabs>
        <w:rPr>
          <w:rFonts w:hint="eastAsia" w:ascii="宋体" w:hAnsi="宋体"/>
          <w:b/>
          <w:bCs/>
          <w:color w:val="000000" w:themeColor="text1"/>
          <w:sz w:val="36"/>
          <w:szCs w:val="36"/>
          <w14:textFill>
            <w14:solidFill>
              <w14:schemeClr w14:val="tx1"/>
            </w14:solidFill>
          </w14:textFill>
        </w:rPr>
      </w:pPr>
      <w:r>
        <w:rPr>
          <w:rFonts w:hint="eastAsia" w:ascii="宋体" w:hAnsi="宋体"/>
          <w:b/>
          <w:bCs/>
          <w:color w:val="000000" w:themeColor="text1"/>
          <w:sz w:val="36"/>
          <w:szCs w:val="36"/>
          <w14:textFill>
            <w14:solidFill>
              <w14:schemeClr w14:val="tx1"/>
            </w14:solidFill>
          </w14:textFill>
        </w:rPr>
        <w:br w:type="page" w:clear="all"/>
      </w:r>
      <w:r>
        <w:rPr>
          <w:rFonts w:hint="eastAsia" w:ascii="宋体" w:hAnsi="宋体"/>
          <w:b/>
          <w:bCs/>
          <w:color w:val="000000" w:themeColor="text1"/>
          <w:sz w:val="36"/>
          <w:szCs w:val="36"/>
          <w14:textFill>
            <w14:solidFill>
              <w14:schemeClr w14:val="tx1"/>
            </w14:solidFill>
          </w14:textFill>
        </w:rPr>
        <w:t xml:space="preserve">目    录</w:t>
      </w:r>
      <w:r/>
    </w:p>
    <w:p>
      <w:pPr>
        <w:pStyle w:val="687"/>
        <w:spacing w:line="480" w:lineRule="auto"/>
        <w:tabs>
          <w:tab w:val="right" w:pos="8296" w:leader="dot"/>
        </w:tabs>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TOC \o "1-1" \h \z \u </w:instrText>
      </w:r>
      <w:r>
        <w:rPr>
          <w:rFonts w:ascii="宋体" w:hAnsi="宋体"/>
          <w:color w:val="000000" w:themeColor="text1"/>
          <w:sz w:val="28"/>
          <w:szCs w:val="28"/>
          <w14:textFill>
            <w14:solidFill>
              <w14:schemeClr w14:val="tx1"/>
            </w14:solidFill>
          </w14:textFill>
        </w:rPr>
        <w:fldChar w:fldCharType="separate"/>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"_Toc129099949" \o "#_Toc129099949" </w:instrText>
      </w:r>
      <w:r>
        <w:rPr>
          <w:color w:val="000000" w:themeColor="text1"/>
          <w14:textFill>
            <w14:solidFill>
              <w14:schemeClr w14:val="tx1"/>
            </w14:solidFill>
          </w14:textFill>
        </w:rPr>
        <w:fldChar w:fldCharType="separate"/>
      </w:r>
      <w:r>
        <w:rPr>
          <w:rStyle w:val="709"/>
          <w:rFonts w:ascii="宋体" w:hAnsi="宋体" w:cs="微软雅黑"/>
          <w:color w:val="000000" w:themeColor="text1"/>
          <w:sz w:val="28"/>
          <w:szCs w:val="28"/>
          <w14:textFill>
            <w14:solidFill>
              <w14:schemeClr w14:val="tx1"/>
            </w14:solidFill>
          </w14:textFill>
        </w:rPr>
        <w:t xml:space="preserve">第一章  招标公告</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_Toc129099949 \h </w:instrText>
      </w:r>
      <w:r>
        <w:rPr>
          <w:rFonts w:ascii="宋体" w:hAnsi="宋体"/>
          <w:color w:val="000000" w:themeColor="text1"/>
          <w:sz w:val="28"/>
          <w:szCs w:val="28"/>
          <w14:textFill>
            <w14:solidFill>
              <w14:schemeClr w14:val="tx1"/>
            </w14:solidFill>
          </w14:textFill>
        </w:rPr>
        <w:fldChar w:fldCharType="separate"/>
      </w:r>
      <w:r>
        <w:rPr>
          <w:rFonts w:hint="eastAsia" w:ascii="宋体" w:hAnsi="宋体"/>
          <w:color w:val="000000" w:themeColor="text1"/>
          <w:sz w:val="28"/>
          <w:szCs w:val="28"/>
          <w14:textFill>
            <w14:solidFill>
              <w14:schemeClr w14:val="tx1"/>
            </w14:solidFill>
          </w14:textFill>
        </w:rPr>
        <w:t xml:space="preserve">6</w:t>
      </w:r>
      <w:r>
        <w:rPr>
          <w:rFonts w:ascii="宋体" w:hAnsi="宋体"/>
          <w:color w:val="000000" w:themeColor="text1"/>
          <w:sz w:val="28"/>
          <w:szCs w:val="28"/>
          <w14:textFill>
            <w14:solidFill>
              <w14:schemeClr w14:val="tx1"/>
            </w14:solidFill>
          </w14:textFill>
        </w:rPr>
        <w:fldChar w:fldCharType="end"/>
      </w:r>
      <w:r>
        <w:rPr>
          <w:rFonts w:ascii="宋体" w:hAnsi="宋体"/>
          <w:color w:val="000000" w:themeColor="text1"/>
          <w:sz w:val="28"/>
          <w:szCs w:val="28"/>
          <w14:textFill>
            <w14:solidFill>
              <w14:schemeClr w14:val="tx1"/>
            </w14:solidFill>
          </w14:textFill>
        </w:rPr>
        <w:fldChar w:fldCharType="end"/>
      </w:r>
      <w:r/>
    </w:p>
    <w:p>
      <w:pPr>
        <w:pStyle w:val="687"/>
        <w:spacing w:line="480" w:lineRule="auto"/>
        <w:tabs>
          <w:tab w:val="right" w:pos="8296" w:leader="dot"/>
        </w:tabs>
        <w:rPr>
          <w:rFonts w:hint="eastAsia" w:ascii="宋体" w:hAnsi="宋体"/>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"_Toc129099950" \o "#_Toc129099950" </w:instrText>
      </w:r>
      <w:r>
        <w:rPr>
          <w:color w:val="000000" w:themeColor="text1"/>
          <w14:textFill>
            <w14:solidFill>
              <w14:schemeClr w14:val="tx1"/>
            </w14:solidFill>
          </w14:textFill>
        </w:rPr>
        <w:fldChar w:fldCharType="separate"/>
      </w:r>
      <w:r>
        <w:rPr>
          <w:rStyle w:val="709"/>
          <w:rFonts w:ascii="宋体" w:hAnsi="宋体" w:cs="微软雅黑"/>
          <w:color w:val="000000" w:themeColor="text1"/>
          <w:sz w:val="28"/>
          <w:szCs w:val="28"/>
          <w14:textFill>
            <w14:solidFill>
              <w14:schemeClr w14:val="tx1"/>
            </w14:solidFill>
          </w14:textFill>
        </w:rPr>
        <w:t xml:space="preserve">第二章 投标人须知</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_Toc129099950 \h </w:instrText>
      </w:r>
      <w:r>
        <w:rPr>
          <w:rFonts w:ascii="宋体" w:hAnsi="宋体"/>
          <w:color w:val="000000" w:themeColor="text1"/>
          <w:sz w:val="28"/>
          <w:szCs w:val="28"/>
          <w14:textFill>
            <w14:solidFill>
              <w14:schemeClr w14:val="tx1"/>
            </w14:solidFill>
          </w14:textFill>
        </w:rPr>
        <w:fldChar w:fldCharType="separate"/>
      </w:r>
      <w:r>
        <w:rPr>
          <w:rFonts w:hint="eastAsia" w:ascii="宋体" w:hAnsi="宋体"/>
          <w:color w:val="000000" w:themeColor="text1"/>
          <w:sz w:val="28"/>
          <w:szCs w:val="28"/>
          <w14:textFill>
            <w14:solidFill>
              <w14:schemeClr w14:val="tx1"/>
            </w14:solidFill>
          </w14:textFill>
        </w:rPr>
        <w:t xml:space="preserve">8</w:t>
      </w:r>
      <w:r>
        <w:rPr>
          <w:rFonts w:ascii="宋体" w:hAnsi="宋体"/>
          <w:color w:val="000000" w:themeColor="text1"/>
          <w:sz w:val="28"/>
          <w:szCs w:val="28"/>
          <w14:textFill>
            <w14:solidFill>
              <w14:schemeClr w14:val="tx1"/>
            </w14:solidFill>
          </w14:textFill>
        </w:rPr>
        <w:fldChar w:fldCharType="end"/>
      </w:r>
      <w:r>
        <w:rPr>
          <w:rFonts w:ascii="宋体" w:hAnsi="宋体"/>
          <w:color w:val="000000" w:themeColor="text1"/>
          <w:sz w:val="28"/>
          <w:szCs w:val="28"/>
          <w14:textFill>
            <w14:solidFill>
              <w14:schemeClr w14:val="tx1"/>
            </w14:solidFill>
          </w14:textFill>
        </w:rPr>
        <w:fldChar w:fldCharType="end"/>
      </w:r>
      <w:r/>
    </w:p>
    <w:p>
      <w:pPr>
        <w:pStyle w:val="687"/>
        <w:spacing w:line="480" w:lineRule="auto"/>
        <w:tabs>
          <w:tab w:val="right" w:pos="8296" w:leader="dot"/>
        </w:tabs>
        <w:rPr>
          <w:rFonts w:hint="eastAsia" w:ascii="宋体" w:hAnsi="宋体"/>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"_Toc129099951" \o "#_Toc129099951" </w:instrText>
      </w:r>
      <w:r>
        <w:rPr>
          <w:color w:val="000000" w:themeColor="text1"/>
          <w14:textFill>
            <w14:solidFill>
              <w14:schemeClr w14:val="tx1"/>
            </w14:solidFill>
          </w14:textFill>
        </w:rPr>
        <w:fldChar w:fldCharType="separate"/>
      </w:r>
      <w:r>
        <w:rPr>
          <w:rStyle w:val="709"/>
          <w:rFonts w:ascii="宋体" w:hAnsi="宋体" w:cs="微软雅黑"/>
          <w:color w:val="000000" w:themeColor="text1"/>
          <w:sz w:val="28"/>
          <w:szCs w:val="28"/>
          <w14:textFill>
            <w14:solidFill>
              <w14:schemeClr w14:val="tx1"/>
            </w14:solidFill>
          </w14:textFill>
        </w:rPr>
        <w:t xml:space="preserve">第三章 资格审查办法</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_Toc129099951 \h </w:instrText>
      </w:r>
      <w:r>
        <w:rPr>
          <w:rFonts w:ascii="宋体" w:hAnsi="宋体"/>
          <w:color w:val="000000" w:themeColor="text1"/>
          <w:sz w:val="28"/>
          <w:szCs w:val="28"/>
          <w14:textFill>
            <w14:solidFill>
              <w14:schemeClr w14:val="tx1"/>
            </w14:solidFill>
          </w14:textFill>
        </w:rPr>
        <w:fldChar w:fldCharType="separate"/>
      </w:r>
      <w:r>
        <w:rPr>
          <w:rFonts w:hint="eastAsia" w:ascii="宋体" w:hAnsi="宋体"/>
          <w:color w:val="000000" w:themeColor="text1"/>
          <w:sz w:val="28"/>
          <w:szCs w:val="28"/>
          <w14:textFill>
            <w14:solidFill>
              <w14:schemeClr w14:val="tx1"/>
            </w14:solidFill>
          </w14:textFill>
        </w:rPr>
        <w:t xml:space="preserve">24</w:t>
      </w:r>
      <w:r>
        <w:rPr>
          <w:rFonts w:ascii="宋体" w:hAnsi="宋体"/>
          <w:color w:val="000000" w:themeColor="text1"/>
          <w:sz w:val="28"/>
          <w:szCs w:val="28"/>
          <w14:textFill>
            <w14:solidFill>
              <w14:schemeClr w14:val="tx1"/>
            </w14:solidFill>
          </w14:textFill>
        </w:rPr>
        <w:fldChar w:fldCharType="end"/>
      </w:r>
      <w:r>
        <w:rPr>
          <w:rFonts w:ascii="宋体" w:hAnsi="宋体"/>
          <w:color w:val="000000" w:themeColor="text1"/>
          <w:sz w:val="28"/>
          <w:szCs w:val="28"/>
          <w14:textFill>
            <w14:solidFill>
              <w14:schemeClr w14:val="tx1"/>
            </w14:solidFill>
          </w14:textFill>
        </w:rPr>
        <w:fldChar w:fldCharType="end"/>
      </w:r>
      <w:r/>
    </w:p>
    <w:p>
      <w:pPr>
        <w:pStyle w:val="687"/>
        <w:spacing w:line="480" w:lineRule="auto"/>
        <w:tabs>
          <w:tab w:val="right" w:pos="8296" w:leader="dot"/>
        </w:tabs>
        <w:rPr>
          <w:rFonts w:hint="eastAsia" w:ascii="宋体" w:hAnsi="宋体"/>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"_Toc129099952" \o "#_Toc129099952" </w:instrText>
      </w:r>
      <w:r>
        <w:rPr>
          <w:color w:val="000000" w:themeColor="text1"/>
          <w14:textFill>
            <w14:solidFill>
              <w14:schemeClr w14:val="tx1"/>
            </w14:solidFill>
          </w14:textFill>
        </w:rPr>
        <w:fldChar w:fldCharType="separate"/>
      </w:r>
      <w:r>
        <w:rPr>
          <w:rStyle w:val="709"/>
          <w:rFonts w:ascii="宋体" w:hAnsi="宋体" w:cs="微软雅黑"/>
          <w:color w:val="000000" w:themeColor="text1"/>
          <w:sz w:val="28"/>
          <w:szCs w:val="28"/>
          <w14:textFill>
            <w14:solidFill>
              <w14:schemeClr w14:val="tx1"/>
            </w14:solidFill>
          </w14:textFill>
        </w:rPr>
        <w:t xml:space="preserve">第四章 评标办法</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_Toc129099952 \h </w:instrText>
      </w:r>
      <w:r>
        <w:rPr>
          <w:rFonts w:ascii="宋体" w:hAnsi="宋体"/>
          <w:color w:val="000000" w:themeColor="text1"/>
          <w:sz w:val="28"/>
          <w:szCs w:val="28"/>
          <w14:textFill>
            <w14:solidFill>
              <w14:schemeClr w14:val="tx1"/>
            </w14:solidFill>
          </w14:textFill>
        </w:rPr>
        <w:fldChar w:fldCharType="separate"/>
      </w:r>
      <w:r>
        <w:rPr>
          <w:rFonts w:hint="eastAsia" w:ascii="宋体" w:hAnsi="宋体"/>
          <w:color w:val="000000" w:themeColor="text1"/>
          <w:sz w:val="28"/>
          <w:szCs w:val="28"/>
          <w14:textFill>
            <w14:solidFill>
              <w14:schemeClr w14:val="tx1"/>
            </w14:solidFill>
          </w14:textFill>
        </w:rPr>
        <w:t xml:space="preserve">25</w:t>
      </w:r>
      <w:r>
        <w:rPr>
          <w:rFonts w:ascii="宋体" w:hAnsi="宋体"/>
          <w:color w:val="000000" w:themeColor="text1"/>
          <w:sz w:val="28"/>
          <w:szCs w:val="28"/>
          <w14:textFill>
            <w14:solidFill>
              <w14:schemeClr w14:val="tx1"/>
            </w14:solidFill>
          </w14:textFill>
        </w:rPr>
        <w:fldChar w:fldCharType="end"/>
      </w:r>
      <w:r>
        <w:rPr>
          <w:rFonts w:ascii="宋体" w:hAnsi="宋体"/>
          <w:color w:val="000000" w:themeColor="text1"/>
          <w:sz w:val="28"/>
          <w:szCs w:val="28"/>
          <w14:textFill>
            <w14:solidFill>
              <w14:schemeClr w14:val="tx1"/>
            </w14:solidFill>
          </w14:textFill>
        </w:rPr>
        <w:fldChar w:fldCharType="end"/>
      </w:r>
      <w:r/>
    </w:p>
    <w:p>
      <w:pPr>
        <w:pStyle w:val="687"/>
        <w:spacing w:line="480" w:lineRule="auto"/>
        <w:tabs>
          <w:tab w:val="right" w:pos="8296" w:leader="dot"/>
        </w:tabs>
        <w:rPr>
          <w:rFonts w:hint="eastAsia" w:ascii="宋体" w:hAnsi="宋体"/>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"_Toc129099953" \o "#_Toc129099953" </w:instrText>
      </w:r>
      <w:r>
        <w:rPr>
          <w:color w:val="000000" w:themeColor="text1"/>
          <w14:textFill>
            <w14:solidFill>
              <w14:schemeClr w14:val="tx1"/>
            </w14:solidFill>
          </w14:textFill>
        </w:rPr>
        <w:fldChar w:fldCharType="separate"/>
      </w:r>
      <w:r>
        <w:rPr>
          <w:rStyle w:val="709"/>
          <w:rFonts w:ascii="宋体" w:hAnsi="宋体" w:cs="微软雅黑"/>
          <w:color w:val="000000" w:themeColor="text1"/>
          <w:sz w:val="28"/>
          <w:szCs w:val="28"/>
          <w14:textFill>
            <w14:solidFill>
              <w14:schemeClr w14:val="tx1"/>
            </w14:solidFill>
          </w14:textFill>
        </w:rPr>
        <w:t xml:space="preserve">第五章 合同格式及条款</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_Toc129099953 \h </w:instrText>
      </w:r>
      <w:r>
        <w:rPr>
          <w:rFonts w:ascii="宋体" w:hAnsi="宋体"/>
          <w:color w:val="000000" w:themeColor="text1"/>
          <w:sz w:val="28"/>
          <w:szCs w:val="28"/>
          <w14:textFill>
            <w14:solidFill>
              <w14:schemeClr w14:val="tx1"/>
            </w14:solidFill>
          </w14:textFill>
        </w:rPr>
        <w:fldChar w:fldCharType="separate"/>
      </w:r>
      <w:r>
        <w:rPr>
          <w:rFonts w:hint="eastAsia" w:ascii="宋体" w:hAnsi="宋体"/>
          <w:color w:val="000000" w:themeColor="text1"/>
          <w:sz w:val="28"/>
          <w:szCs w:val="28"/>
          <w14:textFill>
            <w14:solidFill>
              <w14:schemeClr w14:val="tx1"/>
            </w14:solidFill>
          </w14:textFill>
        </w:rPr>
        <w:t xml:space="preserve">33</w:t>
      </w:r>
      <w:r>
        <w:rPr>
          <w:rFonts w:ascii="宋体" w:hAnsi="宋体"/>
          <w:color w:val="000000" w:themeColor="text1"/>
          <w:sz w:val="28"/>
          <w:szCs w:val="28"/>
          <w14:textFill>
            <w14:solidFill>
              <w14:schemeClr w14:val="tx1"/>
            </w14:solidFill>
          </w14:textFill>
        </w:rPr>
        <w:fldChar w:fldCharType="end"/>
      </w:r>
      <w:r>
        <w:rPr>
          <w:rFonts w:ascii="宋体" w:hAnsi="宋体"/>
          <w:color w:val="000000" w:themeColor="text1"/>
          <w:sz w:val="28"/>
          <w:szCs w:val="28"/>
          <w14:textFill>
            <w14:solidFill>
              <w14:schemeClr w14:val="tx1"/>
            </w14:solidFill>
          </w14:textFill>
        </w:rPr>
        <w:fldChar w:fldCharType="end"/>
      </w:r>
      <w:r/>
    </w:p>
    <w:p>
      <w:pPr>
        <w:pStyle w:val="687"/>
        <w:spacing w:line="480" w:lineRule="auto"/>
        <w:tabs>
          <w:tab w:val="right" w:pos="8296" w:leader="dot"/>
        </w:tabs>
        <w:rPr>
          <w:rFonts w:hint="eastAsia" w:ascii="宋体" w:hAnsi="宋体"/>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"_Toc129099954" \o "#_Toc129099954" </w:instrText>
      </w:r>
      <w:r>
        <w:rPr>
          <w:color w:val="000000" w:themeColor="text1"/>
          <w14:textFill>
            <w14:solidFill>
              <w14:schemeClr w14:val="tx1"/>
            </w14:solidFill>
          </w14:textFill>
        </w:rPr>
        <w:fldChar w:fldCharType="separate"/>
      </w:r>
      <w:r>
        <w:rPr>
          <w:rStyle w:val="709"/>
          <w:rFonts w:ascii="宋体" w:hAnsi="宋体" w:cs="微软雅黑"/>
          <w:color w:val="000000" w:themeColor="text1"/>
          <w:sz w:val="28"/>
          <w:szCs w:val="28"/>
          <w14:textFill>
            <w14:solidFill>
              <w14:schemeClr w14:val="tx1"/>
            </w14:solidFill>
          </w14:textFill>
        </w:rPr>
        <w:t xml:space="preserve">第六章 项目采购需求</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_Toc129099954 \h </w:instrText>
      </w:r>
      <w:r>
        <w:rPr>
          <w:rFonts w:ascii="宋体" w:hAnsi="宋体"/>
          <w:color w:val="000000" w:themeColor="text1"/>
          <w:sz w:val="28"/>
          <w:szCs w:val="28"/>
          <w14:textFill>
            <w14:solidFill>
              <w14:schemeClr w14:val="tx1"/>
            </w14:solidFill>
          </w14:textFill>
        </w:rPr>
        <w:fldChar w:fldCharType="separate"/>
      </w:r>
      <w:r>
        <w:rPr>
          <w:rFonts w:hint="eastAsia" w:ascii="宋体" w:hAnsi="宋体"/>
          <w:color w:val="000000" w:themeColor="text1"/>
          <w:sz w:val="28"/>
          <w:szCs w:val="28"/>
          <w14:textFill>
            <w14:solidFill>
              <w14:schemeClr w14:val="tx1"/>
            </w14:solidFill>
          </w14:textFill>
        </w:rPr>
        <w:t xml:space="preserve">40</w:t>
      </w:r>
      <w:r>
        <w:rPr>
          <w:rFonts w:ascii="宋体" w:hAnsi="宋体"/>
          <w:color w:val="000000" w:themeColor="text1"/>
          <w:sz w:val="28"/>
          <w:szCs w:val="28"/>
          <w14:textFill>
            <w14:solidFill>
              <w14:schemeClr w14:val="tx1"/>
            </w14:solidFill>
          </w14:textFill>
        </w:rPr>
        <w:fldChar w:fldCharType="end"/>
      </w:r>
      <w:r>
        <w:rPr>
          <w:rFonts w:ascii="宋体" w:hAnsi="宋体"/>
          <w:color w:val="000000" w:themeColor="text1"/>
          <w:sz w:val="28"/>
          <w:szCs w:val="28"/>
          <w14:textFill>
            <w14:solidFill>
              <w14:schemeClr w14:val="tx1"/>
            </w14:solidFill>
          </w14:textFill>
        </w:rPr>
        <w:fldChar w:fldCharType="end"/>
      </w:r>
      <w:r/>
    </w:p>
    <w:p>
      <w:pPr>
        <w:pStyle w:val="687"/>
        <w:spacing w:line="480" w:lineRule="auto"/>
        <w:tabs>
          <w:tab w:val="right" w:pos="8296" w:leader="dot"/>
        </w:tabs>
        <w:rPr>
          <w:rFonts w:hint="eastAsia" w:ascii="宋体" w:hAnsi="宋体"/>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"_Toc129099956" \o "#_Toc129099956" </w:instrText>
      </w:r>
      <w:r>
        <w:rPr>
          <w:color w:val="000000" w:themeColor="text1"/>
          <w14:textFill>
            <w14:solidFill>
              <w14:schemeClr w14:val="tx1"/>
            </w14:solidFill>
          </w14:textFill>
        </w:rPr>
        <w:fldChar w:fldCharType="separate"/>
      </w:r>
      <w:r>
        <w:rPr>
          <w:rStyle w:val="709"/>
          <w:rFonts w:ascii="宋体" w:hAnsi="宋体" w:cs="微软雅黑"/>
          <w:color w:val="000000" w:themeColor="text1"/>
          <w:sz w:val="28"/>
          <w:szCs w:val="28"/>
          <w14:textFill>
            <w14:solidFill>
              <w14:schemeClr w14:val="tx1"/>
            </w14:solidFill>
          </w14:textFill>
        </w:rPr>
        <w:t xml:space="preserve">第</w:t>
      </w:r>
      <w:r>
        <w:rPr>
          <w:rStyle w:val="709"/>
          <w:rFonts w:hint="eastAsia" w:ascii="宋体" w:hAnsi="宋体" w:cs="微软雅黑"/>
          <w:color w:val="000000" w:themeColor="text1"/>
          <w:sz w:val="28"/>
          <w:szCs w:val="28"/>
          <w14:textFill>
            <w14:solidFill>
              <w14:schemeClr w14:val="tx1"/>
            </w14:solidFill>
          </w14:textFill>
        </w:rPr>
        <w:t xml:space="preserve">七</w:t>
      </w:r>
      <w:r>
        <w:rPr>
          <w:rStyle w:val="709"/>
          <w:rFonts w:ascii="宋体" w:hAnsi="宋体" w:cs="微软雅黑"/>
          <w:color w:val="000000" w:themeColor="text1"/>
          <w:sz w:val="28"/>
          <w:szCs w:val="28"/>
          <w14:textFill>
            <w14:solidFill>
              <w14:schemeClr w14:val="tx1"/>
            </w14:solidFill>
          </w14:textFill>
        </w:rPr>
        <w:t xml:space="preserve">章 投标文件格式</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_Toc129099956 \h </w:instrText>
      </w:r>
      <w:r>
        <w:rPr>
          <w:rFonts w:ascii="宋体" w:hAnsi="宋体"/>
          <w:color w:val="000000" w:themeColor="text1"/>
          <w:sz w:val="28"/>
          <w:szCs w:val="28"/>
          <w14:textFill>
            <w14:solidFill>
              <w14:schemeClr w14:val="tx1"/>
            </w14:solidFill>
          </w14:textFill>
        </w:rPr>
        <w:fldChar w:fldCharType="separate"/>
      </w:r>
      <w:r>
        <w:rPr>
          <w:rFonts w:hint="eastAsia" w:ascii="宋体" w:hAnsi="宋体"/>
          <w:color w:val="000000" w:themeColor="text1"/>
          <w:sz w:val="28"/>
          <w:szCs w:val="28"/>
          <w14:textFill>
            <w14:solidFill>
              <w14:schemeClr w14:val="tx1"/>
            </w14:solidFill>
          </w14:textFill>
        </w:rPr>
        <w:t xml:space="preserve">47</w:t>
      </w:r>
      <w:r>
        <w:rPr>
          <w:rFonts w:ascii="宋体" w:hAnsi="宋体"/>
          <w:color w:val="000000" w:themeColor="text1"/>
          <w:sz w:val="28"/>
          <w:szCs w:val="28"/>
          <w14:textFill>
            <w14:solidFill>
              <w14:schemeClr w14:val="tx1"/>
            </w14:solidFill>
          </w14:textFill>
        </w:rPr>
        <w:fldChar w:fldCharType="end"/>
      </w:r>
      <w:r>
        <w:rPr>
          <w:rFonts w:ascii="宋体" w:hAnsi="宋体"/>
          <w:color w:val="000000" w:themeColor="text1"/>
          <w:sz w:val="28"/>
          <w:szCs w:val="28"/>
          <w14:textFill>
            <w14:solidFill>
              <w14:schemeClr w14:val="tx1"/>
            </w14:solidFill>
          </w14:textFill>
        </w:rPr>
        <w:fldChar w:fldCharType="end"/>
      </w:r>
      <w:r/>
    </w:p>
    <w:p>
      <w:pPr>
        <w:spacing w:line="480" w:lineRule="auto"/>
        <w:rPr>
          <w:rFonts w:hint="eastAsia" w:ascii="宋体" w:hAnsi="宋体"/>
          <w:color w:val="000000" w:themeColor="text1"/>
          <w14:textFill>
            <w14:solidFill>
              <w14:schemeClr w14:val="tx1"/>
            </w14:solidFill>
          </w14:textFill>
        </w:rPr>
      </w:pPr>
      <w:r>
        <w:rPr>
          <w:rFonts w:ascii="宋体" w:hAnsi="宋体"/>
          <w:color w:val="000000" w:themeColor="text1"/>
          <w:sz w:val="28"/>
          <w:szCs w:val="28"/>
          <w14:textFill>
            <w14:solidFill>
              <w14:schemeClr w14:val="tx1"/>
            </w14:solidFill>
          </w14:textFill>
        </w:rPr>
        <w:fldChar w:fldCharType="end"/>
      </w:r>
      <w:r/>
    </w:p>
    <w:p>
      <w:pPr>
        <w:ind w:right="420"/>
        <w:tabs>
          <w:tab w:val="right" w:pos="9151" w:leader="dot"/>
        </w:tabs>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r>
      <w:r/>
    </w:p>
    <w:p>
      <w:pPr>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r>
      <w:r/>
    </w:p>
    <w:p>
      <w:pPr>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r>
      <w:r/>
    </w:p>
    <w:p>
      <w:pPr>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r>
      <w:r/>
    </w:p>
    <w:p>
      <w:pPr>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r>
      <w:r/>
    </w:p>
    <w:p>
      <w:pPr>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r>
      <w:r/>
    </w:p>
    <w:p>
      <w:pPr>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r>
      <w:r/>
    </w:p>
    <w:p>
      <w:pPr>
        <w:spacing w:after="120"/>
        <w:rPr>
          <w:rFonts w:hint="eastAsia" w:ascii="宋体" w:hAnsi="宋体"/>
          <w:color w:val="000000" w:themeColor="text1"/>
          <w:sz w:val="20"/>
          <w:szCs w:val="24"/>
          <w14:textFill>
            <w14:solidFill>
              <w14:schemeClr w14:val="tx1"/>
            </w14:solidFill>
          </w14:textFill>
        </w:rPr>
      </w:pPr>
      <w:r>
        <w:rPr>
          <w:rFonts w:hint="eastAsia" w:ascii="宋体" w:hAnsi="宋体"/>
          <w:color w:val="000000" w:themeColor="text1"/>
          <w:sz w:val="20"/>
          <w:szCs w:val="24"/>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spacing w:after="120"/>
        <w:rPr>
          <w:rFonts w:hint="eastAsia" w:ascii="宋体" w:hAnsi="宋体"/>
          <w:color w:val="000000" w:themeColor="text1"/>
          <w:sz w:val="20"/>
          <w:szCs w:val="24"/>
          <w14:textFill>
            <w14:solidFill>
              <w14:schemeClr w14:val="tx1"/>
            </w14:solidFill>
          </w14:textFill>
        </w:rPr>
      </w:pPr>
      <w:r>
        <w:rPr>
          <w:rFonts w:hint="eastAsia" w:ascii="宋体" w:hAnsi="宋体"/>
          <w:color w:val="000000" w:themeColor="text1"/>
          <w:sz w:val="20"/>
          <w:szCs w:val="24"/>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r>
      <w:r/>
    </w:p>
    <w:p>
      <w:pPr>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r>
      <w:r/>
    </w:p>
    <w:p>
      <w:pPr>
        <w:jc w:val="center"/>
        <w:keepLines/>
        <w:keepNext/>
        <w:spacing w:before="340" w:after="20"/>
        <w:rPr>
          <w:rFonts w:hint="eastAsia" w:ascii="宋体" w:hAnsi="宋体"/>
          <w:b/>
          <w:bCs/>
          <w:color w:val="000000" w:themeColor="text1"/>
          <w:sz w:val="36"/>
          <w:szCs w:val="36"/>
          <w14:textFill>
            <w14:solidFill>
              <w14:schemeClr w14:val="tx1"/>
            </w14:solidFill>
          </w14:textFill>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outlineLvl w:val="0"/>
      </w:pPr>
      <w:r/>
      <w:bookmarkStart w:id="3" w:name="_Toc4915"/>
      <w:r/>
      <w:r/>
    </w:p>
    <w:p>
      <w:pPr>
        <w:jc w:val="center"/>
        <w:keepLines/>
        <w:keepNext/>
        <w:rPr>
          <w:rFonts w:hint="eastAsia" w:ascii="宋体" w:hAnsi="宋体"/>
          <w:b/>
          <w:bCs/>
          <w:color w:val="000000" w:themeColor="text1"/>
          <w:sz w:val="36"/>
          <w:szCs w:val="36"/>
          <w14:textFill>
            <w14:solidFill>
              <w14:schemeClr w14:val="tx1"/>
            </w14:solidFill>
          </w14:textFill>
        </w:rPr>
        <w:outlineLvl w:val="0"/>
      </w:pPr>
      <w:r/>
      <w:bookmarkStart w:id="4" w:name="_Toc129099949"/>
      <w:r>
        <w:rPr>
          <w:rFonts w:hint="eastAsia" w:ascii="宋体" w:hAnsi="宋体" w:cs="微软雅黑"/>
          <w:color w:val="000000" w:themeColor="text1"/>
          <w:sz w:val="36"/>
          <w:szCs w:val="36"/>
          <w14:textFill>
            <w14:solidFill>
              <w14:schemeClr w14:val="tx1"/>
            </w14:solidFill>
          </w14:textFill>
        </w:rPr>
        <w:t xml:space="preserve">第一章  招标公告</w:t>
      </w:r>
      <w:bookmarkEnd w:id="3"/>
      <w:r/>
      <w:bookmarkEnd w:id="4"/>
      <w:r/>
      <w:r/>
    </w:p>
    <w:tbl>
      <w:tblPr>
        <w:tblStyle w:val="6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44"/>
      </w:tblGrid>
      <w:tr>
        <w:trPr>
          <w:jc w:val="center"/>
          <w:trHeight w:val="867"/>
        </w:trPr>
        <w:tc>
          <w:tcPr>
            <w:tcW w:w="9044" w:type="dxa"/>
            <w:textDirection w:val="lrTb"/>
            <w:noWrap w:val="false"/>
          </w:tcPr>
          <w:p>
            <w:pPr>
              <w:ind w:firstLine="480"/>
              <w:spacing w:line="480" w:lineRule="exact"/>
              <w:rPr>
                <w:rFonts w:hint="eastAsia" w:ascii="宋体" w:hAnsi="宋体" w:cs="宋体"/>
                <w:color w:val="000000" w:themeColor="text1"/>
                <w:sz w:val="24"/>
                <w:szCs w:val="24"/>
                <w:u w:val="single"/>
                <w14:textFill>
                  <w14:solidFill>
                    <w14:schemeClr w14:val="tx1"/>
                  </w14:solidFill>
                </w14:textFill>
              </w:rPr>
            </w:pPr>
            <w:r/>
            <w:bookmarkStart w:id="5" w:name="_Hlk113550566"/>
            <w:r/>
            <w:bookmarkStart w:id="6" w:name="OLE_LINK1"/>
            <w:r>
              <w:rPr>
                <w:rFonts w:hint="eastAsia" w:ascii="宋体" w:hAnsi="宋体" w:cs="宋体"/>
                <w:color w:val="000000" w:themeColor="text1"/>
                <w:sz w:val="24"/>
                <w:szCs w:val="24"/>
                <w:u w:val="single"/>
                <w14:textFill>
                  <w14:solidFill>
                    <w14:schemeClr w14:val="tx1"/>
                  </w14:solidFill>
                </w14:textFill>
              </w:rPr>
              <w:t xml:space="preserve">项目概况</w:t>
            </w:r>
            <w:r/>
          </w:p>
          <w:p>
            <w:pPr>
              <w:ind w:firstLine="480"/>
              <w:spacing w:line="48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交管大队涉案车辆拖移、停放保管服务项目</w:t>
            </w:r>
            <w:r>
              <w:rPr>
                <w:rFonts w:hint="eastAsia" w:ascii="宋体" w:hAnsi="宋体" w:cs="宋体"/>
                <w:color w:val="000000" w:themeColor="text1"/>
                <w:sz w:val="24"/>
                <w:szCs w:val="24"/>
                <w:lang w:eastAsia="zh-CN"/>
                <w14:textFill>
                  <w14:solidFill>
                    <w14:schemeClr w14:val="tx1"/>
                  </w14:solidFill>
                </w14:textFill>
              </w:rPr>
              <w:t xml:space="preserve">JSZC-321282-TZHR-G2026-0001</w:t>
            </w:r>
            <w:r>
              <w:rPr>
                <w:rFonts w:hint="eastAsia" w:ascii="宋体" w:hAnsi="宋体" w:cs="宋体"/>
                <w:color w:val="000000" w:themeColor="text1"/>
                <w:sz w:val="24"/>
                <w:szCs w:val="24"/>
                <w:u w:val="single"/>
                <w14:textFill>
                  <w14:solidFill>
                    <w14:schemeClr w14:val="tx1"/>
                  </w14:solidFill>
                </w14:textFill>
              </w:rPr>
              <w:t xml:space="preserve">招标项目的潜在投标人应在“苏采云”系统的网址：http://jszfcg.jsczt.cn/ 获取招标文件，并于2026-07-1</w:t>
            </w:r>
            <w:r>
              <w:rPr>
                <w:rFonts w:hint="eastAsia" w:ascii="宋体" w:hAnsi="宋体" w:cs="宋体"/>
                <w:color w:val="000000" w:themeColor="text1"/>
                <w:sz w:val="24"/>
                <w:szCs w:val="24"/>
                <w:u w:val="single"/>
                <w:lang w:val="en-US" w:eastAsia="zh-CN"/>
                <w14:textFill>
                  <w14:solidFill>
                    <w14:schemeClr w14:val="tx1"/>
                  </w14:solidFill>
                </w14:textFill>
              </w:rPr>
              <w:t xml:space="preserve">6</w:t>
            </w:r>
            <w:r>
              <w:rPr>
                <w:rFonts w:hint="eastAsia" w:ascii="宋体" w:hAnsi="宋体" w:cs="宋体"/>
                <w:color w:val="000000" w:themeColor="text1"/>
                <w:sz w:val="24"/>
                <w:szCs w:val="24"/>
                <w:u w:val="single"/>
                <w14:textFill>
                  <w14:solidFill>
                    <w14:schemeClr w14:val="tx1"/>
                  </w14:solidFill>
                </w14:textFill>
              </w:rPr>
              <w:t xml:space="preserve"> 09:00 （北京时间）前递交投标文件。</w:t>
            </w:r>
            <w:r/>
          </w:p>
        </w:tc>
      </w:tr>
    </w:tbl>
    <w:p>
      <w:pPr>
        <w:numPr>
          <w:ilvl w:val="0"/>
          <w:numId w:val="1"/>
        </w:numPr>
        <w:ind w:firstLine="440"/>
        <w:spacing w:line="400" w:lineRule="exact"/>
        <w:rPr>
          <w:rFonts w:hint="eastAsia" w:ascii="宋体" w:hAnsi="宋体" w:cs="黑体"/>
          <w:color w:val="000000" w:themeColor="text1"/>
          <w:sz w:val="24"/>
          <w:szCs w:val="24"/>
          <w14:textFill>
            <w14:solidFill>
              <w14:schemeClr w14:val="tx1"/>
            </w14:solidFill>
          </w14:textFill>
        </w:rPr>
      </w:pPr>
      <w:r>
        <w:rPr>
          <w:rFonts w:hint="eastAsia" w:ascii="宋体" w:hAnsi="宋体" w:cs="黑体"/>
          <w:color w:val="000000" w:themeColor="text1"/>
          <w:sz w:val="24"/>
          <w:szCs w:val="24"/>
          <w14:textFill>
            <w14:solidFill>
              <w14:schemeClr w14:val="tx1"/>
            </w14:solidFill>
          </w14:textFill>
        </w:rPr>
        <w:t xml:space="preserve">项目基本情况</w:t>
      </w:r>
      <w:r/>
    </w:p>
    <w:p>
      <w:pPr>
        <w:ind w:firstLine="480"/>
        <w:jc w:val="left"/>
        <w:spacing w:line="400" w:lineRule="exact"/>
        <w:widowControl/>
        <w:rPr>
          <w:rFonts w:hint="eastAsia" w:ascii="宋体" w:hAnsi="宋体" w:eastAsia="宋体" w:cs="宋体"/>
          <w:color w:val="000000" w:themeColor="text1"/>
          <w:sz w:val="24"/>
          <w:szCs w:val="24"/>
          <w:lang w:eastAsia="zh-CN"/>
          <w14:textFill>
            <w14:solidFill>
              <w14:schemeClr w14:val="tx1"/>
            </w14:solidFill>
          </w14:textFill>
        </w:rPr>
      </w:pPr>
      <w:r/>
      <w:bookmarkStart w:id="7" w:name="_Hlk161389299"/>
      <w:r>
        <w:rPr>
          <w:rFonts w:hint="eastAsia" w:ascii="宋体" w:hAnsi="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JSZC-321282-TZHR-G2026-0001</w:t>
      </w:r>
      <w:r/>
    </w:p>
    <w:p>
      <w:pPr>
        <w:ind w:firstLine="480"/>
        <w:jc w:val="left"/>
        <w:spacing w:line="400" w:lineRule="exac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项目名称： </w:t>
      </w:r>
      <w:bookmarkStart w:id="8" w:name="_Hlk232068886"/>
      <w:r>
        <w:rPr>
          <w:rFonts w:hint="eastAsia" w:ascii="宋体" w:hAnsi="宋体" w:cs="宋体"/>
          <w:color w:val="000000" w:themeColor="text1"/>
          <w:sz w:val="24"/>
          <w:szCs w:val="24"/>
          <w14:textFill>
            <w14:solidFill>
              <w14:schemeClr w14:val="tx1"/>
            </w14:solidFill>
          </w14:textFill>
        </w:rPr>
        <w:t xml:space="preserve">交管大队涉案车辆拖移、停放保管服务项目</w:t>
      </w:r>
      <w:bookmarkEnd w:id="8"/>
      <w:r/>
      <w:r/>
    </w:p>
    <w:p>
      <w:pPr>
        <w:ind w:firstLine="480"/>
        <w:jc w:val="left"/>
        <w:spacing w:line="400" w:lineRule="exact"/>
        <w:widowControl/>
        <w:rPr>
          <w:rFonts w:hint="eastAsia" w:ascii="宋体" w:hAnsi="宋体" w:cs="宋体"/>
          <w:color w:val="000000" w:themeColor="text1"/>
          <w:sz w:val="24"/>
          <w:szCs w:val="24"/>
          <w14:textFill>
            <w14:solidFill>
              <w14:schemeClr w14:val="tx1"/>
            </w14:solidFill>
          </w14:textFill>
        </w:rPr>
      </w:pPr>
      <w:r/>
      <w:bookmarkStart w:id="9" w:name="_Hlk128558550"/>
      <w:r>
        <w:rPr>
          <w:rFonts w:hint="eastAsia" w:ascii="宋体" w:hAnsi="宋体" w:cs="宋体"/>
          <w:color w:val="000000" w:themeColor="text1"/>
          <w:sz w:val="24"/>
          <w:szCs w:val="24"/>
          <w14:textFill>
            <w14:solidFill>
              <w14:schemeClr w14:val="tx1"/>
            </w14:solidFill>
          </w14:textFill>
        </w:rPr>
        <w:t xml:space="preserve">预算金额：127.5万元</w:t>
      </w:r>
      <w:bookmarkEnd w:id="9"/>
      <w:r/>
      <w:r/>
    </w:p>
    <w:p>
      <w:pPr>
        <w:ind w:firstLine="480"/>
        <w:jc w:val="left"/>
        <w:spacing w:line="400" w:lineRule="exac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最高限价（如有）：127.5万元</w:t>
      </w:r>
      <w:r/>
    </w:p>
    <w:p>
      <w:pPr>
        <w:ind w:firstLine="480"/>
        <w:jc w:val="left"/>
        <w:spacing w:line="400" w:lineRule="exac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采购需求：</w:t>
      </w:r>
      <w:bookmarkStart w:id="10" w:name="OLE_LINK2"/>
      <w:r/>
      <w:bookmarkStart w:id="11" w:name="_Hlk201674131"/>
      <w:r>
        <w:rPr>
          <w:rFonts w:hint="eastAsia" w:ascii="宋体" w:hAnsi="宋体" w:cs="宋体"/>
          <w:color w:val="000000" w:themeColor="text1"/>
          <w:sz w:val="24"/>
          <w:szCs w:val="24"/>
          <w14:textFill>
            <w14:solidFill>
              <w14:schemeClr w14:val="tx1"/>
            </w14:solidFill>
          </w14:textFill>
        </w:rPr>
        <w:t xml:space="preserve">本着服务群众，方便群众、规范执法的宗旨，结合交管部门9个辖区中队管辖范围，分以下六个采购包，①采购包1：预算金额24.22万元（区域：斜桥中队、西来中队）；②采购包2：预算金额24.22万元（区域：新桥中队、生祠中队）；③采购包3：预算金额22.95万元（区域：城区三中队、八圩中队）；④采购包4：预算金额21.68万元（区域：城区二中队）；⑤采购包5：预算金额20.4万元（区域：城区一中队）；⑥采购包6：预算金额14.03万元（区域：孤山中队）。</w:t>
      </w:r>
      <w:r>
        <w:rPr>
          <w:rFonts w:hint="eastAsia" w:ascii="宋体" w:hAnsi="宋体" w:cs="宋体"/>
          <w:color w:val="000000" w:themeColor="text1"/>
          <w:sz w:val="24"/>
          <w:szCs w:val="24"/>
          <w14:textFill>
            <w14:solidFill>
              <w14:schemeClr w14:val="tx1"/>
            </w14:solidFill>
          </w14:textFill>
        </w:rPr>
        <w:t xml:space="preserve">详见招标文件第六章有关要求</w:t>
      </w:r>
      <w:r>
        <w:rPr>
          <w:rFonts w:hint="eastAsia" w:ascii="宋体" w:hAnsi="宋体" w:cs="宋体"/>
          <w:color w:val="000000" w:themeColor="text1"/>
          <w:sz w:val="24"/>
          <w14:textFill>
            <w14:solidFill>
              <w14:schemeClr w14:val="tx1"/>
            </w14:solidFill>
          </w14:textFill>
        </w:rPr>
        <w:t xml:space="preserve">。</w:t>
      </w:r>
      <w:bookmarkEnd w:id="10"/>
      <w:r/>
      <w:bookmarkStart w:id="12" w:name="_Hlk101445624"/>
      <w:r/>
      <w:bookmarkStart w:id="13" w:name="_Hlk101427956"/>
      <w:r/>
      <w:bookmarkStart w:id="14" w:name="OLE_LINK4"/>
      <w:r>
        <w:rPr>
          <w:rFonts w:hint="eastAsia" w:ascii="宋体" w:hAnsi="宋体" w:cs="宋体"/>
          <w:b/>
          <w:color w:val="000000" w:themeColor="text1"/>
          <w:sz w:val="24"/>
          <w:szCs w:val="24"/>
          <w14:textFill>
            <w14:solidFill>
              <w14:schemeClr w14:val="tx1"/>
            </w14:solidFill>
          </w14:textFill>
        </w:rPr>
        <w:t xml:space="preserve">本项目共分为六个采购包，供应商可以投一个或多个采购包，但仅允许中一个采购包。</w:t>
      </w:r>
      <w:bookmarkEnd w:id="12"/>
      <w:r/>
      <w:bookmarkStart w:id="15" w:name="_Hlk101431332"/>
      <w:r>
        <w:rPr>
          <w:rFonts w:hint="eastAsia" w:ascii="宋体" w:hAnsi="宋体" w:cs="宋体"/>
          <w:b/>
          <w:color w:val="000000" w:themeColor="text1"/>
          <w:sz w:val="24"/>
          <w:szCs w:val="24"/>
          <w14:textFill>
            <w14:solidFill>
              <w14:schemeClr w14:val="tx1"/>
            </w14:solidFill>
          </w14:textFill>
        </w:rPr>
        <w:t xml:space="preserve">评标按采购包序号顺序进行，先评审并确定采购包1中标人（或第一中标候选人），该投标供应商在其他采购包的投标文件直接判定为无效投标，不再进入其他采购包评审，以此类推。</w:t>
      </w:r>
      <w:bookmarkEnd w:id="11"/>
      <w:r/>
      <w:bookmarkEnd w:id="13"/>
      <w:r/>
      <w:bookmarkEnd w:id="15"/>
      <w:r/>
      <w:bookmarkEnd w:id="14"/>
      <w:r/>
    </w:p>
    <w:p>
      <w:pPr>
        <w:ind w:firstLine="480"/>
        <w:jc w:val="left"/>
        <w:spacing w:line="400" w:lineRule="exac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合同履行期限：一年</w:t>
      </w:r>
      <w:bookmarkEnd w:id="7"/>
      <w:r/>
      <w:r/>
    </w:p>
    <w:p>
      <w:pPr>
        <w:ind w:firstLine="480"/>
        <w:jc w:val="left"/>
        <w:spacing w:line="400" w:lineRule="exac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本项目（是/否）接受联合体投标：否</w:t>
      </w:r>
      <w:r/>
    </w:p>
    <w:p>
      <w:pPr>
        <w:numPr>
          <w:ilvl w:val="0"/>
          <w:numId w:val="1"/>
        </w:numPr>
        <w:ind w:firstLine="440"/>
        <w:spacing w:line="400" w:lineRule="exact"/>
        <w:rPr>
          <w:rFonts w:hint="eastAsia" w:ascii="宋体" w:hAnsi="宋体" w:cs="黑体"/>
          <w:color w:val="000000" w:themeColor="text1"/>
          <w:sz w:val="24"/>
          <w:szCs w:val="24"/>
          <w14:textFill>
            <w14:solidFill>
              <w14:schemeClr w14:val="tx1"/>
            </w14:solidFill>
          </w14:textFill>
        </w:rPr>
      </w:pPr>
      <w:r>
        <w:rPr>
          <w:rFonts w:hint="eastAsia" w:ascii="宋体" w:hAnsi="宋体" w:cs="黑体"/>
          <w:color w:val="000000" w:themeColor="text1"/>
          <w:sz w:val="24"/>
          <w:szCs w:val="24"/>
          <w14:textFill>
            <w14:solidFill>
              <w14:schemeClr w14:val="tx1"/>
            </w14:solidFill>
          </w14:textFill>
        </w:rPr>
        <w:t xml:space="preserve">申请人的资格要求：</w:t>
      </w:r>
      <w:r/>
    </w:p>
    <w:p>
      <w:pPr>
        <w:ind w:firstLine="480"/>
        <w:jc w:val="left"/>
        <w:spacing w:line="400" w:lineRule="exac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（一）满足《中华人民共和国政府采购法》第二十二条规定：</w:t>
      </w:r>
      <w:r/>
    </w:p>
    <w:p>
      <w:pPr>
        <w:ind w:firstLine="480"/>
        <w:jc w:val="left"/>
        <w:spacing w:line="400" w:lineRule="exac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1.具有独立承担民事责任的能力；</w:t>
      </w:r>
      <w:r/>
    </w:p>
    <w:p>
      <w:pPr>
        <w:ind w:firstLine="480"/>
        <w:jc w:val="left"/>
        <w:spacing w:line="400" w:lineRule="exac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2.具有良好的商业信誉和健全的财务会计制度（承诺制）；</w:t>
      </w:r>
      <w:r/>
    </w:p>
    <w:p>
      <w:pPr>
        <w:ind w:firstLine="480"/>
        <w:jc w:val="left"/>
        <w:spacing w:line="400" w:lineRule="exac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3.具备履行合同所必需的设备和专业技术能力（承诺制）；</w:t>
      </w:r>
      <w:r/>
    </w:p>
    <w:p>
      <w:pPr>
        <w:ind w:firstLine="480"/>
        <w:jc w:val="left"/>
        <w:spacing w:line="400" w:lineRule="exac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4.有依法缴纳税收和社会保障资金的良好记录（承诺制）；</w:t>
      </w:r>
      <w:r/>
    </w:p>
    <w:p>
      <w:pPr>
        <w:ind w:firstLine="480"/>
        <w:jc w:val="left"/>
        <w:spacing w:line="400" w:lineRule="exac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5.参加政府采购活动近3年内（成立时间不足三年的，可以自成立时间起）在经营活动中没有重大违法记录的书面声明（承诺制）；</w:t>
      </w:r>
      <w:r/>
    </w:p>
    <w:p>
      <w:pPr>
        <w:ind w:firstLine="480"/>
        <w:jc w:val="left"/>
        <w:spacing w:line="400" w:lineRule="exac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6.法律、行政法规规定的其他条件。</w:t>
      </w:r>
      <w:r/>
    </w:p>
    <w:p>
      <w:pPr>
        <w:ind w:firstLine="480"/>
        <w:jc w:val="left"/>
        <w:spacing w:line="400" w:lineRule="exac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（二）落实政府采购政策需满足的资格要求：</w:t>
      </w:r>
      <w:r/>
    </w:p>
    <w:p>
      <w:pPr>
        <w:ind w:firstLine="480"/>
        <w:jc w:val="left"/>
        <w:spacing w:line="400" w:lineRule="exac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本项目专门面向中小企业，供应商应为中小微企业或监狱企业或残疾人福利性单位。</w:t>
      </w:r>
      <w:r/>
    </w:p>
    <w:p>
      <w:pPr>
        <w:ind w:firstLine="480"/>
        <w:jc w:val="left"/>
        <w:spacing w:line="400" w:lineRule="exac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（三）本项目的特定资格要求：无。</w:t>
      </w:r>
      <w:r/>
    </w:p>
    <w:p>
      <w:pPr>
        <w:numPr>
          <w:ilvl w:val="0"/>
          <w:numId w:val="1"/>
        </w:numPr>
        <w:ind w:firstLine="440"/>
        <w:spacing w:line="400" w:lineRule="exact"/>
        <w:rPr>
          <w:rFonts w:hint="eastAsia" w:ascii="宋体" w:hAnsi="宋体" w:cs="黑体"/>
          <w:color w:val="000000" w:themeColor="text1"/>
          <w:sz w:val="24"/>
          <w:szCs w:val="24"/>
          <w14:textFill>
            <w14:solidFill>
              <w14:schemeClr w14:val="tx1"/>
            </w14:solidFill>
          </w14:textFill>
        </w:rPr>
      </w:pPr>
      <w:r>
        <w:rPr>
          <w:rFonts w:hint="eastAsia" w:ascii="宋体" w:hAnsi="宋体" w:cs="黑体"/>
          <w:color w:val="000000" w:themeColor="text1"/>
          <w:sz w:val="24"/>
          <w:szCs w:val="24"/>
          <w14:textFill>
            <w14:solidFill>
              <w14:schemeClr w14:val="tx1"/>
            </w14:solidFill>
          </w14:textFill>
        </w:rPr>
        <w:t xml:space="preserve">获取招标文件</w:t>
      </w:r>
      <w:r/>
    </w:p>
    <w:p>
      <w:pPr>
        <w:ind w:firstLine="440"/>
        <w:spacing w:line="288" w:lineRule="auto"/>
        <w:rPr>
          <w:rFonts w:hint="eastAsia" w:ascii="宋体" w:hAnsi="宋体" w:cs="宋体"/>
          <w:color w:val="000000" w:themeColor="text1"/>
          <w:sz w:val="24"/>
          <w:szCs w:val="24"/>
          <w14:textFill>
            <w14:solidFill>
              <w14:schemeClr w14:val="tx1"/>
            </w14:solidFill>
          </w14:textFill>
        </w:rPr>
      </w:pPr>
      <w:r/>
      <w:bookmarkStart w:id="16" w:name="_Hlk155451058"/>
      <w:r>
        <w:rPr>
          <w:rFonts w:hint="eastAsia" w:ascii="宋体" w:hAnsi="宋体" w:cs="宋体"/>
          <w:color w:val="000000" w:themeColor="text1"/>
          <w:sz w:val="24"/>
          <w:szCs w:val="24"/>
          <w14:textFill>
            <w14:solidFill>
              <w14:schemeClr w14:val="tx1"/>
            </w14:solidFill>
          </w14:textFill>
        </w:rPr>
        <w:t xml:space="preserve">时间：自招标文件公告发布之日起5个工作日 </w:t>
      </w:r>
      <w:r/>
    </w:p>
    <w:p>
      <w:pPr>
        <w:ind w:firstLine="440"/>
        <w:spacing w:line="288"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地点：“苏采云”系统的网址：http://jszfcg.jsczt.cn/ </w:t>
      </w:r>
      <w:r/>
    </w:p>
    <w:p>
      <w:pPr>
        <w:ind w:firstLine="440"/>
        <w:spacing w:line="288"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方式：本项目采用网上注册登记方式免费获取 </w:t>
      </w:r>
      <w:r/>
    </w:p>
    <w:p>
      <w:pPr>
        <w:ind w:firstLine="440"/>
        <w:spacing w:line="288"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售价：0.00元</w:t>
      </w:r>
      <w:bookmarkEnd w:id="16"/>
      <w:r/>
      <w:r/>
    </w:p>
    <w:p>
      <w:pPr>
        <w:numPr>
          <w:ilvl w:val="0"/>
          <w:numId w:val="1"/>
        </w:numPr>
        <w:ind w:firstLine="440"/>
        <w:spacing w:line="400" w:lineRule="exact"/>
        <w:rPr>
          <w:rFonts w:hint="eastAsia" w:ascii="宋体" w:hAnsi="宋体" w:cs="黑体"/>
          <w:color w:val="000000" w:themeColor="text1"/>
          <w:sz w:val="24"/>
          <w:szCs w:val="24"/>
          <w14:textFill>
            <w14:solidFill>
              <w14:schemeClr w14:val="tx1"/>
            </w14:solidFill>
          </w14:textFill>
        </w:rPr>
      </w:pPr>
      <w:r>
        <w:rPr>
          <w:rFonts w:hint="eastAsia" w:ascii="宋体" w:hAnsi="宋体" w:cs="黑体"/>
          <w:color w:val="000000" w:themeColor="text1"/>
          <w:sz w:val="24"/>
          <w:szCs w:val="24"/>
          <w14:textFill>
            <w14:solidFill>
              <w14:schemeClr w14:val="tx1"/>
            </w14:solidFill>
          </w14:textFill>
        </w:rPr>
        <w:t xml:space="preserve">提交投标文件截止时间、开标时间和地点</w:t>
      </w:r>
      <w:r/>
    </w:p>
    <w:p>
      <w:pPr>
        <w:ind w:firstLine="480"/>
        <w:spacing w:line="400" w:lineRule="exact"/>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2026-0</w:t>
      </w:r>
      <w:r>
        <w:rPr>
          <w:rFonts w:hint="eastAsia" w:ascii="宋体" w:hAnsi="宋体" w:cs="宋体"/>
          <w:color w:val="000000" w:themeColor="text1"/>
          <w:sz w:val="24"/>
          <w:szCs w:val="24"/>
          <w:lang w:val="en-US" w:eastAsia="zh-CN"/>
          <w14:textFill>
            <w14:solidFill>
              <w14:schemeClr w14:val="tx1"/>
            </w14:solidFill>
          </w14:textFill>
        </w:rPr>
        <w:t xml:space="preserve">7</w:t>
      </w:r>
      <w:r>
        <w:rPr>
          <w:rFonts w:ascii="宋体" w:hAnsi="宋体" w:cs="宋体"/>
          <w:color w:val="000000" w:themeColor="text1"/>
          <w:sz w:val="24"/>
          <w:szCs w:val="24"/>
          <w14:textFill>
            <w14:solidFill>
              <w14:schemeClr w14:val="tx1"/>
            </w14:solidFill>
          </w14:textFill>
        </w:rPr>
        <w:t xml:space="preserve">-1</w:t>
      </w:r>
      <w:r>
        <w:rPr>
          <w:rFonts w:hint="eastAsia" w:ascii="宋体" w:hAnsi="宋体" w:cs="宋体"/>
          <w:color w:val="000000" w:themeColor="text1"/>
          <w:sz w:val="24"/>
          <w:szCs w:val="24"/>
          <w:lang w:val="en-US" w:eastAsia="zh-CN"/>
          <w14:textFill>
            <w14:solidFill>
              <w14:schemeClr w14:val="tx1"/>
            </w14:solidFill>
          </w14:textFill>
        </w:rPr>
        <w:t xml:space="preserve">6</w:t>
      </w:r>
      <w:r>
        <w:rPr>
          <w:rFonts w:ascii="宋体" w:hAnsi="宋体" w:cs="宋体"/>
          <w:color w:val="000000" w:themeColor="text1"/>
          <w:sz w:val="24"/>
          <w:szCs w:val="24"/>
          <w14:textFill>
            <w14:solidFill>
              <w14:schemeClr w14:val="tx1"/>
            </w14:solidFill>
          </w14:textFill>
        </w:rPr>
        <w:t xml:space="preserve"> 09:00</w:t>
      </w:r>
      <w:r>
        <w:rPr>
          <w:rFonts w:hint="eastAsia" w:ascii="宋体" w:hAnsi="宋体" w:cs="宋体"/>
          <w:color w:val="000000" w:themeColor="text1"/>
          <w:sz w:val="24"/>
          <w:szCs w:val="24"/>
          <w14:textFill>
            <w14:solidFill>
              <w14:schemeClr w14:val="tx1"/>
            </w14:solidFill>
          </w14:textFill>
        </w:rPr>
        <w:t xml:space="preserve"> （北京时间）</w:t>
      </w:r>
      <w:r/>
    </w:p>
    <w:p>
      <w:pPr>
        <w:ind w:firstLine="480"/>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地点：“苏采云”系统(网址: http://jszfcg.jsczt.cn/) “开标大厅”，点击“苏采云”进入系统“开标大厅”。</w:t>
      </w:r>
      <w:r/>
    </w:p>
    <w:p>
      <w:pPr>
        <w:numPr>
          <w:ilvl w:val="0"/>
          <w:numId w:val="1"/>
        </w:numPr>
        <w:ind w:firstLine="440"/>
        <w:spacing w:line="400" w:lineRule="exact"/>
        <w:rPr>
          <w:rFonts w:hint="eastAsia" w:ascii="宋体" w:hAnsi="宋体" w:cs="黑体"/>
          <w:color w:val="000000" w:themeColor="text1"/>
          <w:sz w:val="24"/>
          <w:szCs w:val="24"/>
          <w14:textFill>
            <w14:solidFill>
              <w14:schemeClr w14:val="tx1"/>
            </w14:solidFill>
          </w14:textFill>
        </w:rPr>
      </w:pPr>
      <w:r>
        <w:rPr>
          <w:rFonts w:hint="eastAsia" w:ascii="宋体" w:hAnsi="宋体" w:cs="黑体"/>
          <w:color w:val="000000" w:themeColor="text1"/>
          <w:sz w:val="24"/>
          <w:szCs w:val="24"/>
          <w14:textFill>
            <w14:solidFill>
              <w14:schemeClr w14:val="tx1"/>
            </w14:solidFill>
          </w14:textFill>
        </w:rPr>
        <w:t xml:space="preserve">公告期限</w:t>
      </w:r>
      <w:r/>
    </w:p>
    <w:p>
      <w:pPr>
        <w:ind w:firstLine="480"/>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自本公告发布之日起5个工作日</w:t>
      </w:r>
      <w:r/>
    </w:p>
    <w:p>
      <w:pPr>
        <w:numPr>
          <w:ilvl w:val="0"/>
          <w:numId w:val="1"/>
        </w:numPr>
        <w:ind w:firstLine="440"/>
        <w:spacing w:line="400" w:lineRule="exact"/>
        <w:rPr>
          <w:rFonts w:hint="eastAsia" w:ascii="宋体" w:hAnsi="宋体" w:cs="黑体"/>
          <w:color w:val="000000" w:themeColor="text1"/>
          <w:sz w:val="24"/>
          <w:szCs w:val="24"/>
          <w14:textFill>
            <w14:solidFill>
              <w14:schemeClr w14:val="tx1"/>
            </w14:solidFill>
          </w14:textFill>
        </w:rPr>
      </w:pPr>
      <w:r>
        <w:rPr>
          <w:rFonts w:hint="eastAsia" w:ascii="宋体" w:hAnsi="宋体" w:cs="黑体"/>
          <w:color w:val="000000" w:themeColor="text1"/>
          <w:sz w:val="24"/>
          <w:szCs w:val="24"/>
          <w14:textFill>
            <w14:solidFill>
              <w14:schemeClr w14:val="tx1"/>
            </w14:solidFill>
          </w14:textFill>
        </w:rPr>
        <w:t xml:space="preserve">其他补充事宜</w:t>
      </w:r>
      <w:r/>
    </w:p>
    <w:p>
      <w:pPr>
        <w:ind w:firstLine="480"/>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无</w:t>
      </w:r>
      <w:r/>
    </w:p>
    <w:p>
      <w:pPr>
        <w:numPr>
          <w:ilvl w:val="0"/>
          <w:numId w:val="1"/>
        </w:numPr>
        <w:ind w:firstLine="440"/>
        <w:spacing w:line="400" w:lineRule="exact"/>
        <w:rPr>
          <w:rFonts w:hint="eastAsia" w:ascii="宋体" w:hAnsi="宋体" w:cs="黑体"/>
          <w:color w:val="000000" w:themeColor="text1"/>
          <w:sz w:val="24"/>
          <w:szCs w:val="24"/>
          <w14:textFill>
            <w14:solidFill>
              <w14:schemeClr w14:val="tx1"/>
            </w14:solidFill>
          </w14:textFill>
        </w:rPr>
      </w:pPr>
      <w:r>
        <w:rPr>
          <w:rFonts w:hint="eastAsia" w:ascii="宋体" w:hAnsi="宋体" w:cs="黑体"/>
          <w:color w:val="000000" w:themeColor="text1"/>
          <w:sz w:val="24"/>
          <w:szCs w:val="24"/>
          <w14:textFill>
            <w14:solidFill>
              <w14:schemeClr w14:val="tx1"/>
            </w14:solidFill>
          </w14:textFill>
        </w:rPr>
        <w:t xml:space="preserve">凡对本次采购提出询问，请按以下方式联系。</w:t>
      </w:r>
      <w:r/>
    </w:p>
    <w:p>
      <w:pPr>
        <w:ind w:firstLine="480"/>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1.采购人信息</w:t>
      </w:r>
      <w:r/>
    </w:p>
    <w:p>
      <w:pPr>
        <w:ind w:firstLine="480"/>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名称：靖江市公安局</w:t>
      </w:r>
      <w:r/>
    </w:p>
    <w:p>
      <w:pPr>
        <w:ind w:firstLine="480"/>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地址：靖江市阳光大道9号 </w:t>
      </w:r>
      <w:r/>
    </w:p>
    <w:p>
      <w:pPr>
        <w:ind w:firstLine="480"/>
        <w:spacing w:line="400" w:lineRule="exac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联系人：</w:t>
      </w:r>
      <w:r>
        <w:rPr>
          <w:rFonts w:hint="eastAsia" w:ascii="宋体" w:hAnsi="宋体" w:cs="宋体"/>
          <w:color w:val="000000" w:themeColor="text1"/>
          <w:sz w:val="24"/>
          <w:szCs w:val="24"/>
          <w:lang w:val="en-US" w:eastAsia="zh-CN"/>
          <w14:textFill>
            <w14:solidFill>
              <w14:schemeClr w14:val="tx1"/>
            </w14:solidFill>
          </w14:textFill>
        </w:rPr>
        <w:t xml:space="preserve">薛先生</w:t>
      </w:r>
      <w:r/>
    </w:p>
    <w:p>
      <w:pPr>
        <w:ind w:right="-374" w:firstLine="480"/>
        <w:spacing w:line="400" w:lineRule="exact"/>
        <w:tabs>
          <w:tab w:val="left" w:pos="846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 </w:t>
      </w:r>
      <w:r>
        <w:rPr>
          <w:rFonts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话</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15261038900</w:t>
      </w:r>
      <w:r>
        <w:rPr>
          <w:rFonts w:hint="eastAsia"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 </w:t>
      </w:r>
      <w:r/>
    </w:p>
    <w:p>
      <w:pPr>
        <w:ind w:firstLine="480"/>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2.采购代理机构信息</w:t>
      </w:r>
      <w:r/>
    </w:p>
    <w:p>
      <w:pPr>
        <w:ind w:firstLine="480"/>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名称：</w:t>
      </w:r>
      <w:r>
        <w:rPr>
          <w:rFonts w:hint="eastAsia" w:ascii="宋体" w:hAnsi="宋体" w:cs="宋体"/>
          <w:color w:val="000000" w:themeColor="text1"/>
          <w:sz w:val="24"/>
          <w:szCs w:val="24"/>
          <w:lang w:val="zh-CN"/>
          <w14:textFill>
            <w14:solidFill>
              <w14:schemeClr w14:val="tx1"/>
            </w14:solidFill>
          </w14:textFill>
        </w:rPr>
        <w:t xml:space="preserve">泰州衡润工程项目管理有限公司</w:t>
      </w:r>
      <w:r/>
    </w:p>
    <w:p>
      <w:pPr>
        <w:ind w:firstLine="480"/>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地址：靖江市同康花苑北区31幢107号</w:t>
      </w:r>
      <w:r/>
    </w:p>
    <w:p>
      <w:pPr>
        <w:ind w:firstLine="480"/>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联系方式：</w:t>
      </w:r>
      <w:r>
        <w:rPr>
          <w:rFonts w:ascii="宋体" w:hAnsi="宋体" w:cs="宋体"/>
          <w:color w:val="000000" w:themeColor="text1"/>
          <w:sz w:val="24"/>
          <w:szCs w:val="24"/>
          <w14:textFill>
            <w14:solidFill>
              <w14:schemeClr w14:val="tx1"/>
            </w14:solidFill>
          </w14:textFill>
        </w:rPr>
        <w:t xml:space="preserve">17768617277</w:t>
      </w:r>
      <w:r/>
    </w:p>
    <w:p>
      <w:pPr>
        <w:ind w:firstLine="480"/>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3.项目联系方式</w:t>
      </w:r>
      <w:r/>
    </w:p>
    <w:p>
      <w:pPr>
        <w:ind w:firstLine="480"/>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项目联系人： 李女士 </w:t>
      </w:r>
      <w:r/>
    </w:p>
    <w:p>
      <w:pPr>
        <w:ind w:firstLine="480"/>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 </w:t>
      </w:r>
      <w:r>
        <w:rPr>
          <w:rFonts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话：</w:t>
      </w:r>
      <w:bookmarkEnd w:id="5"/>
      <w:r>
        <w:rPr>
          <w:rFonts w:ascii="宋体" w:hAnsi="宋体" w:cs="宋体"/>
          <w:color w:val="000000" w:themeColor="text1"/>
          <w:sz w:val="24"/>
          <w:szCs w:val="24"/>
          <w14:textFill>
            <w14:solidFill>
              <w14:schemeClr w14:val="tx1"/>
            </w14:solidFill>
          </w14:textFill>
        </w:rPr>
        <w:t xml:space="preserve">17768617277</w:t>
      </w:r>
      <w:r/>
    </w:p>
    <w:p>
      <w:pPr>
        <w:ind w:firstLine="440"/>
        <w:spacing w:line="4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firstLine="440"/>
        <w:spacing w:line="4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firstLine="440"/>
        <w:spacing w:line="4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bookmarkEnd w:id="6"/>
      <w:r/>
    </w:p>
    <w:p>
      <w:pPr>
        <w:jc w:val="center"/>
        <w:keepLines/>
        <w:keepNext/>
        <w:spacing w:before="340" w:after="20"/>
        <w:rPr>
          <w:rFonts w:hint="eastAsia" w:ascii="宋体" w:hAnsi="宋体" w:cs="微软雅黑"/>
          <w:color w:val="000000" w:themeColor="text1"/>
          <w:sz w:val="36"/>
          <w:szCs w:val="36"/>
          <w14:textFill>
            <w14:solidFill>
              <w14:schemeClr w14:val="tx1"/>
            </w14:solidFill>
          </w14:textFill>
        </w:rPr>
        <w:outlineLvl w:val="0"/>
      </w:pPr>
      <w:r/>
      <w:bookmarkStart w:id="17" w:name="_Toc184635069"/>
      <w:r/>
      <w:bookmarkStart w:id="18" w:name="_Toc387526373"/>
      <w:r/>
      <w:bookmarkStart w:id="19" w:name="_Toc6984"/>
      <w:r/>
      <w:bookmarkStart w:id="20" w:name="_Toc363326679"/>
      <w:r/>
      <w:bookmarkStart w:id="21" w:name="_Toc387526177"/>
      <w:r/>
      <w:bookmarkStart w:id="22" w:name="_Toc6770"/>
      <w:r/>
      <w:bookmarkStart w:id="23" w:name="_Toc368759512"/>
      <w:r/>
      <w:bookmarkStart w:id="24" w:name="_Toc2936"/>
      <w:r/>
      <w:bookmarkStart w:id="25" w:name="_Toc387526281"/>
      <w:r/>
      <w:bookmarkStart w:id="26" w:name="_Toc369077558"/>
      <w:r>
        <w:rPr>
          <w:rFonts w:ascii="宋体" w:hAnsi="宋体" w:cs="微软雅黑"/>
          <w:color w:val="000000" w:themeColor="text1"/>
          <w:sz w:val="36"/>
          <w:szCs w:val="36"/>
          <w14:textFill>
            <w14:solidFill>
              <w14:schemeClr w14:val="tx1"/>
            </w14:solidFill>
          </w14:textFill>
        </w:rPr>
        <w:br w:type="page" w:clear="all"/>
      </w:r>
      <w:bookmarkStart w:id="27" w:name="_Toc129099950"/>
      <w:r>
        <w:rPr>
          <w:rFonts w:hint="eastAsia" w:ascii="宋体" w:hAnsi="宋体" w:cs="微软雅黑"/>
          <w:color w:val="000000" w:themeColor="text1"/>
          <w:sz w:val="36"/>
          <w:szCs w:val="36"/>
          <w14:textFill>
            <w14:solidFill>
              <w14:schemeClr w14:val="tx1"/>
            </w14:solidFill>
          </w14:textFill>
        </w:rPr>
        <w:t xml:space="preserve">第二章 投标人须知</w:t>
      </w:r>
      <w:bookmarkEnd w:id="17"/>
      <w:r/>
      <w:bookmarkEnd w:id="18"/>
      <w:r/>
      <w:bookmarkEnd w:id="19"/>
      <w:r/>
      <w:bookmarkEnd w:id="20"/>
      <w:r/>
      <w:bookmarkEnd w:id="21"/>
      <w:r/>
      <w:bookmarkEnd w:id="22"/>
      <w:r/>
      <w:bookmarkEnd w:id="23"/>
      <w:r/>
      <w:bookmarkEnd w:id="24"/>
      <w:r/>
      <w:bookmarkEnd w:id="25"/>
      <w:r/>
      <w:bookmarkEnd w:id="26"/>
      <w:r/>
      <w:bookmarkEnd w:id="27"/>
      <w:r/>
      <w:r/>
    </w:p>
    <w:p>
      <w:pPr>
        <w:ind w:firstLine="118"/>
        <w:jc w:val="center"/>
        <w:keepLines/>
        <w:keepNext/>
        <w:spacing w:before="20" w:after="20" w:line="415" w:lineRule="auto"/>
        <w:rPr>
          <w:rFonts w:hint="eastAsia" w:ascii="宋体" w:hAnsi="宋体"/>
          <w:color w:val="000000" w:themeColor="text1"/>
          <w:sz w:val="24"/>
          <w14:textFill>
            <w14:solidFill>
              <w14:schemeClr w14:val="tx1"/>
            </w14:solidFill>
          </w14:textFill>
        </w:rPr>
        <w:outlineLvl w:val="2"/>
      </w:pPr>
      <w:r/>
      <w:bookmarkStart w:id="28" w:name="_Toc16205"/>
      <w:r/>
      <w:bookmarkStart w:id="29" w:name="_Toc3882"/>
      <w:r/>
      <w:bookmarkStart w:id="30" w:name="_Toc9578"/>
      <w:r/>
      <w:bookmarkStart w:id="31" w:name="_Toc387526178"/>
      <w:r/>
      <w:bookmarkStart w:id="32" w:name="_Toc110676265"/>
      <w:r/>
      <w:bookmarkStart w:id="33" w:name="_Toc387526282"/>
      <w:r/>
      <w:bookmarkStart w:id="34" w:name="_Toc387526374"/>
      <w:r/>
      <w:bookmarkStart w:id="35" w:name="_Toc369077559"/>
      <w:r>
        <w:rPr>
          <w:rFonts w:hint="eastAsia" w:ascii="宋体" w:hAnsi="宋体"/>
          <w:color w:val="000000" w:themeColor="text1"/>
          <w:sz w:val="24"/>
          <w14:textFill>
            <w14:solidFill>
              <w14:schemeClr w14:val="tx1"/>
            </w14:solidFill>
          </w14:textFill>
        </w:rPr>
        <w:t xml:space="preserve">投标人须知前附表</w:t>
      </w:r>
      <w:bookmarkEnd w:id="28"/>
      <w:r/>
      <w:bookmarkEnd w:id="29"/>
      <w:r/>
      <w:bookmarkEnd w:id="30"/>
      <w:r/>
      <w:bookmarkEnd w:id="31"/>
      <w:r/>
      <w:bookmarkEnd w:id="32"/>
      <w:r/>
      <w:bookmarkEnd w:id="33"/>
      <w:r/>
      <w:bookmarkEnd w:id="34"/>
      <w:r/>
      <w:bookmarkEnd w:id="35"/>
      <w:r/>
      <w:r/>
    </w:p>
    <w:tbl>
      <w:tblPr>
        <w:tblStyle w:val="669"/>
        <w:tblW w:w="9362" w:type="dxa"/>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3"/>
        <w:gridCol w:w="2348"/>
        <w:gridCol w:w="5881"/>
      </w:tblGrid>
      <w:tr>
        <w:trPr>
          <w:trHeight w:val="456"/>
        </w:trPr>
        <w:tc>
          <w:tcPr>
            <w:tcBorders>
              <w:top w:val="single" w:color="000000" w:sz="12" w:space="0"/>
            </w:tcBorders>
            <w:tcW w:w="1133" w:type="dxa"/>
            <w:vAlign w:val="center"/>
            <w:textDirection w:val="lrTb"/>
            <w:noWrap w:val="false"/>
          </w:tcPr>
          <w:p>
            <w:pPr>
              <w:jc w:val="center"/>
              <w:spacing w:line="400" w:lineRule="exact"/>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条款号</w:t>
            </w:r>
            <w:r/>
          </w:p>
        </w:tc>
        <w:tc>
          <w:tcPr>
            <w:tcBorders>
              <w:top w:val="single" w:color="000000" w:sz="12" w:space="0"/>
            </w:tcBorders>
            <w:tcW w:w="2348" w:type="dxa"/>
            <w:vAlign w:val="center"/>
            <w:textDirection w:val="lrTb"/>
            <w:noWrap w:val="false"/>
          </w:tcPr>
          <w:p>
            <w:pPr>
              <w:jc w:val="center"/>
              <w:spacing w:line="400" w:lineRule="exact"/>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条款名称</w:t>
            </w:r>
            <w:r/>
          </w:p>
        </w:tc>
        <w:tc>
          <w:tcPr>
            <w:tcBorders>
              <w:top w:val="single" w:color="000000" w:sz="12" w:space="0"/>
            </w:tcBorders>
            <w:tcW w:w="5881" w:type="dxa"/>
            <w:vAlign w:val="center"/>
            <w:textDirection w:val="lrTb"/>
            <w:noWrap w:val="false"/>
          </w:tcPr>
          <w:p>
            <w:pPr>
              <w:jc w:val="center"/>
              <w:spacing w:line="400" w:lineRule="exact"/>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编列内容</w:t>
            </w:r>
            <w:r/>
          </w:p>
        </w:tc>
      </w:tr>
      <w:tr>
        <w:trPr>
          <w:trHeight w:val="90"/>
        </w:trPr>
        <w:tc>
          <w:tcPr>
            <w:tcW w:w="1133"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rPr>
                <w:rFonts w:ascii="宋体" w:hAnsi="宋体" w:cs="宋体"/>
                <w:color w:val="000000" w:themeColor="text1"/>
                <w:sz w:val="24"/>
                <w:szCs w:val="24"/>
                <w14:textFill>
                  <w14:solidFill>
                    <w14:schemeClr w14:val="tx1"/>
                  </w14:solidFill>
                </w14:textFill>
              </w:rPr>
              <w:t xml:space="preserve">1.2</w:t>
            </w:r>
            <w:r/>
          </w:p>
        </w:tc>
        <w:tc>
          <w:tcPr>
            <w:tcW w:w="2348"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采购人</w:t>
            </w:r>
            <w:r/>
          </w:p>
        </w:tc>
        <w:tc>
          <w:tcPr>
            <w:tcW w:w="5881" w:type="dxa"/>
            <w:vAlign w:val="center"/>
            <w:textDirection w:val="lrTb"/>
            <w:noWrap w:val="false"/>
          </w:tcPr>
          <w:p>
            <w:pP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名称：靖江市公安局</w:t>
            </w:r>
            <w:r/>
          </w:p>
          <w:p>
            <w:pP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址：靖江市阳光大道9号</w:t>
            </w:r>
            <w:r/>
          </w:p>
          <w:p>
            <w:pPr>
              <w:spacing w:line="400" w:lineRule="exac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联系人：</w:t>
            </w:r>
            <w:r>
              <w:rPr>
                <w:rFonts w:hint="eastAsia" w:ascii="宋体" w:hAnsi="宋体" w:cs="宋体"/>
                <w:color w:val="000000" w:themeColor="text1"/>
                <w:sz w:val="24"/>
                <w:szCs w:val="24"/>
                <w:lang w:val="en-US" w:eastAsia="zh-CN"/>
                <w14:textFill>
                  <w14:solidFill>
                    <w14:schemeClr w14:val="tx1"/>
                  </w14:solidFill>
                </w14:textFill>
              </w:rPr>
              <w:t xml:space="preserve">薛先生</w:t>
            </w:r>
            <w:r/>
          </w:p>
          <w:p>
            <w:pP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电话：</w:t>
            </w:r>
            <w:r>
              <w:rPr>
                <w:rFonts w:hint="eastAsia" w:ascii="宋体" w:hAnsi="宋体" w:cs="宋体"/>
                <w:color w:val="000000" w:themeColor="text1"/>
                <w:sz w:val="24"/>
                <w:szCs w:val="24"/>
                <w:lang w:val="en-US" w:eastAsia="zh-CN"/>
                <w14:textFill>
                  <w14:solidFill>
                    <w14:schemeClr w14:val="tx1"/>
                  </w14:solidFill>
                </w14:textFill>
              </w:rPr>
              <w:t xml:space="preserve">15261038900</w:t>
            </w:r>
            <w:r>
              <w:rPr>
                <w:rFonts w:ascii="宋体" w:hAnsi="宋体" w:cs="宋体"/>
                <w:color w:val="000000" w:themeColor="text1"/>
                <w:sz w:val="24"/>
                <w:szCs w:val="24"/>
                <w14:textFill>
                  <w14:solidFill>
                    <w14:schemeClr w14:val="tx1"/>
                  </w14:solidFill>
                </w14:textFill>
              </w:rPr>
              <w:t xml:space="preserve"> </w:t>
            </w:r>
            <w:r/>
          </w:p>
        </w:tc>
      </w:tr>
      <w:tr>
        <w:trPr>
          <w:trHeight w:val="1421"/>
        </w:trPr>
        <w:tc>
          <w:tcPr>
            <w:tcW w:w="1133"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1.1.3</w:t>
            </w:r>
            <w:r/>
          </w:p>
        </w:tc>
        <w:tc>
          <w:tcPr>
            <w:tcW w:w="2348"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采购代理机构</w:t>
            </w:r>
            <w:r/>
          </w:p>
        </w:tc>
        <w:tc>
          <w:tcPr>
            <w:tcW w:w="5881" w:type="dxa"/>
            <w:vAlign w:val="center"/>
            <w:textDirection w:val="lrTb"/>
            <w:noWrap w:val="false"/>
          </w:tcPr>
          <w:p>
            <w:pP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名称：泰州衡润工程项目管理有限公司</w:t>
            </w:r>
            <w:r/>
          </w:p>
          <w:p>
            <w:pP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地址：靖江市同康花苑北区31幢107号</w:t>
            </w:r>
            <w:r/>
          </w:p>
          <w:p>
            <w:pP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 系 人：李女士</w:t>
            </w:r>
            <w:r/>
          </w:p>
          <w:p>
            <w:pP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联系方式：</w:t>
            </w:r>
            <w:r>
              <w:rPr>
                <w:rFonts w:ascii="宋体" w:hAnsi="宋体"/>
                <w:color w:val="000000" w:themeColor="text1"/>
                <w:sz w:val="24"/>
                <w:szCs w:val="24"/>
                <w14:textFill>
                  <w14:solidFill>
                    <w14:schemeClr w14:val="tx1"/>
                  </w14:solidFill>
                </w14:textFill>
              </w:rPr>
              <w:t xml:space="preserve">17768617277</w:t>
            </w:r>
            <w:r>
              <w:rPr>
                <w:rFonts w:hint="eastAsia" w:ascii="宋体" w:hAnsi="宋体" w:cs="宋体"/>
                <w:color w:val="000000" w:themeColor="text1"/>
                <w:sz w:val="24"/>
                <w:szCs w:val="24"/>
                <w14:textFill>
                  <w14:solidFill>
                    <w14:schemeClr w14:val="tx1"/>
                  </w14:solidFill>
                </w14:textFill>
              </w:rPr>
              <w:t xml:space="preserve">　</w:t>
            </w:r>
            <w:r/>
          </w:p>
        </w:tc>
      </w:tr>
      <w:tr>
        <w:trPr>
          <w:trHeight w:val="484"/>
        </w:trPr>
        <w:tc>
          <w:tcPr>
            <w:tcW w:w="1133"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rPr>
                <w:rFonts w:ascii="宋体" w:hAnsi="宋体" w:cs="宋体"/>
                <w:color w:val="000000" w:themeColor="text1"/>
                <w:sz w:val="24"/>
                <w:szCs w:val="24"/>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4</w:t>
            </w:r>
            <w:r/>
          </w:p>
        </w:tc>
        <w:tc>
          <w:tcPr>
            <w:tcW w:w="2348"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项目名称</w:t>
            </w:r>
            <w:r/>
          </w:p>
        </w:tc>
        <w:tc>
          <w:tcPr>
            <w:tcW w:w="5881" w:type="dxa"/>
            <w:vAlign w:val="center"/>
            <w:textDirection w:val="lrTb"/>
            <w:noWrap w:val="false"/>
          </w:tcPr>
          <w:p>
            <w:pP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交管大队涉案车辆拖移、停放保管服务项目</w:t>
            </w:r>
            <w:r/>
          </w:p>
        </w:tc>
      </w:tr>
      <w:tr>
        <w:trPr>
          <w:trHeight w:val="484"/>
        </w:trPr>
        <w:tc>
          <w:tcPr>
            <w:tcW w:w="1133"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rPr>
                <w:rFonts w:ascii="宋体" w:hAnsi="宋体" w:cs="宋体"/>
                <w:color w:val="000000" w:themeColor="text1"/>
                <w:sz w:val="24"/>
                <w:szCs w:val="24"/>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5</w:t>
            </w:r>
            <w:r/>
          </w:p>
        </w:tc>
        <w:tc>
          <w:tcPr>
            <w:tcW w:w="2348"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项目编号</w:t>
            </w:r>
            <w:r/>
          </w:p>
        </w:tc>
        <w:tc>
          <w:tcPr>
            <w:tcW w:w="5881" w:type="dxa"/>
            <w:vAlign w:val="center"/>
            <w:textDirection w:val="lrTb"/>
            <w:noWrap w:val="false"/>
          </w:tcPr>
          <w:p>
            <w:pPr>
              <w:spacing w:line="400" w:lineRule="exact"/>
              <w:rPr>
                <w:rFonts w:hint="eastAsia" w:ascii="宋体" w:hAnsi="宋体" w:eastAsia="宋体" w:cs="黑体"/>
                <w:color w:val="000000" w:themeColor="text1"/>
                <w:sz w:val="24"/>
                <w:szCs w:val="24"/>
                <w:lang w:eastAsia="zh-CN"/>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eastAsia="zh-CN"/>
                <w14:textFill>
                  <w14:solidFill>
                    <w14:schemeClr w14:val="tx1"/>
                  </w14:solidFill>
                </w14:textFill>
              </w:rPr>
              <w:t xml:space="preserve">JSZC-321282-TZHR-G2026-0001</w:t>
            </w:r>
            <w:r/>
          </w:p>
        </w:tc>
      </w:tr>
      <w:tr>
        <w:trPr>
          <w:trHeight w:val="484"/>
        </w:trPr>
        <w:tc>
          <w:tcPr>
            <w:tcW w:w="1133"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1.1.6</w:t>
            </w:r>
            <w:r/>
          </w:p>
        </w:tc>
        <w:tc>
          <w:tcPr>
            <w:tcW w:w="2348"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采购预算</w:t>
            </w:r>
            <w:r/>
          </w:p>
        </w:tc>
        <w:tc>
          <w:tcPr>
            <w:tcW w:w="5881" w:type="dxa"/>
            <w:vAlign w:val="center"/>
            <w:textDirection w:val="lrTb"/>
            <w:noWrap w:val="false"/>
          </w:tcPr>
          <w:p>
            <w:pP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u w:val="single"/>
                <w14:textFill>
                  <w14:solidFill>
                    <w14:schemeClr w14:val="tx1"/>
                  </w14:solidFill>
                </w14:textFill>
              </w:rPr>
              <w:t xml:space="preserve"> 127.5万元 </w:t>
            </w:r>
            <w:r/>
          </w:p>
        </w:tc>
      </w:tr>
      <w:tr>
        <w:trPr>
          <w:trHeight w:val="484"/>
        </w:trPr>
        <w:tc>
          <w:tcPr>
            <w:tcW w:w="1133"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1.1.7</w:t>
            </w:r>
            <w:r/>
          </w:p>
        </w:tc>
        <w:tc>
          <w:tcPr>
            <w:tcW w:w="2348"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最高限价</w:t>
            </w:r>
            <w:r/>
          </w:p>
        </w:tc>
        <w:tc>
          <w:tcPr>
            <w:tcW w:w="5881" w:type="dxa"/>
            <w:vAlign w:val="center"/>
            <w:textDirection w:val="lrTb"/>
            <w:noWrap w:val="false"/>
          </w:tcPr>
          <w:p>
            <w:pPr>
              <w:spacing w:line="400" w:lineRule="exact"/>
              <w:rPr>
                <w:rFonts w:hint="eastAsia" w:ascii="宋体" w:hAnsi="宋体" w:cs="宋体"/>
                <w:b/>
                <w:bCs/>
                <w:color w:val="000000" w:themeColor="text1"/>
                <w:sz w:val="24"/>
                <w:u w:val="single"/>
                <w14:textFill>
                  <w14:solidFill>
                    <w14:schemeClr w14:val="tx1"/>
                  </w14:solidFill>
                </w14:textFill>
              </w:rPr>
            </w:pPr>
            <w:r>
              <w:rPr>
                <w:rFonts w:hint="eastAsia" w:ascii="宋体" w:hAnsi="宋体" w:cs="宋体"/>
                <w:b/>
                <w:bCs/>
                <w:color w:val="000000" w:themeColor="text1"/>
                <w:sz w:val="24"/>
                <w:u w:val="single"/>
                <w14:textFill>
                  <w14:solidFill>
                    <w14:schemeClr w14:val="tx1"/>
                  </w14:solidFill>
                </w14:textFill>
              </w:rPr>
              <w:t xml:space="preserve">①采购包1：预算金额24.22万元（区域：斜桥中队、西来中队）；</w:t>
            </w:r>
            <w:r/>
          </w:p>
          <w:p>
            <w:pPr>
              <w:spacing w:line="400" w:lineRule="exact"/>
              <w:rPr>
                <w:rFonts w:hint="eastAsia" w:ascii="宋体" w:hAnsi="宋体" w:cs="宋体"/>
                <w:b/>
                <w:bCs/>
                <w:color w:val="000000" w:themeColor="text1"/>
                <w:sz w:val="24"/>
                <w:u w:val="single"/>
                <w14:textFill>
                  <w14:solidFill>
                    <w14:schemeClr w14:val="tx1"/>
                  </w14:solidFill>
                </w14:textFill>
              </w:rPr>
            </w:pPr>
            <w:r>
              <w:rPr>
                <w:rFonts w:hint="eastAsia" w:ascii="宋体" w:hAnsi="宋体" w:cs="宋体"/>
                <w:b/>
                <w:bCs/>
                <w:color w:val="000000" w:themeColor="text1"/>
                <w:sz w:val="24"/>
                <w:u w:val="single"/>
                <w14:textFill>
                  <w14:solidFill>
                    <w14:schemeClr w14:val="tx1"/>
                  </w14:solidFill>
                </w14:textFill>
              </w:rPr>
              <w:t xml:space="preserve">②采购包2：预算金额24.22万元（区域：新桥中队、生祠中队）；</w:t>
            </w:r>
            <w:r/>
          </w:p>
          <w:p>
            <w:pPr>
              <w:spacing w:line="400" w:lineRule="exact"/>
              <w:rPr>
                <w:rFonts w:hint="eastAsia" w:ascii="宋体" w:hAnsi="宋体" w:cs="宋体"/>
                <w:b/>
                <w:bCs/>
                <w:color w:val="000000" w:themeColor="text1"/>
                <w:sz w:val="24"/>
                <w:u w:val="single"/>
                <w14:textFill>
                  <w14:solidFill>
                    <w14:schemeClr w14:val="tx1"/>
                  </w14:solidFill>
                </w14:textFill>
              </w:rPr>
            </w:pPr>
            <w:r>
              <w:rPr>
                <w:rFonts w:hint="eastAsia" w:ascii="宋体" w:hAnsi="宋体" w:cs="宋体"/>
                <w:b/>
                <w:bCs/>
                <w:color w:val="000000" w:themeColor="text1"/>
                <w:sz w:val="24"/>
                <w:u w:val="single"/>
                <w14:textFill>
                  <w14:solidFill>
                    <w14:schemeClr w14:val="tx1"/>
                  </w14:solidFill>
                </w14:textFill>
              </w:rPr>
              <w:t xml:space="preserve">③采购包3：预算金额22.95万元（区域：城区三中队、八圩中队）；</w:t>
            </w:r>
            <w:r/>
          </w:p>
          <w:p>
            <w:pPr>
              <w:spacing w:line="400" w:lineRule="exact"/>
              <w:rPr>
                <w:rFonts w:hint="eastAsia" w:ascii="宋体" w:hAnsi="宋体" w:cs="宋体"/>
                <w:b/>
                <w:bCs/>
                <w:color w:val="000000" w:themeColor="text1"/>
                <w:sz w:val="24"/>
                <w:u w:val="single"/>
                <w14:textFill>
                  <w14:solidFill>
                    <w14:schemeClr w14:val="tx1"/>
                  </w14:solidFill>
                </w14:textFill>
              </w:rPr>
            </w:pPr>
            <w:r>
              <w:rPr>
                <w:rFonts w:hint="eastAsia" w:ascii="宋体" w:hAnsi="宋体" w:cs="宋体"/>
                <w:b/>
                <w:bCs/>
                <w:color w:val="000000" w:themeColor="text1"/>
                <w:sz w:val="24"/>
                <w:u w:val="single"/>
                <w14:textFill>
                  <w14:solidFill>
                    <w14:schemeClr w14:val="tx1"/>
                  </w14:solidFill>
                </w14:textFill>
              </w:rPr>
              <w:t xml:space="preserve">④采购包4：预算金额21.68万元（区域：城区二中队）；</w:t>
            </w:r>
            <w:r/>
          </w:p>
          <w:p>
            <w:pPr>
              <w:spacing w:line="400" w:lineRule="exact"/>
              <w:rPr>
                <w:rFonts w:hint="eastAsia" w:ascii="宋体" w:hAnsi="宋体" w:cs="宋体"/>
                <w:b/>
                <w:bCs/>
                <w:color w:val="000000" w:themeColor="text1"/>
                <w:sz w:val="24"/>
                <w:u w:val="single"/>
                <w14:textFill>
                  <w14:solidFill>
                    <w14:schemeClr w14:val="tx1"/>
                  </w14:solidFill>
                </w14:textFill>
              </w:rPr>
            </w:pPr>
            <w:r>
              <w:rPr>
                <w:rFonts w:hint="eastAsia" w:ascii="宋体" w:hAnsi="宋体" w:cs="宋体"/>
                <w:b/>
                <w:bCs/>
                <w:color w:val="000000" w:themeColor="text1"/>
                <w:sz w:val="24"/>
                <w:u w:val="single"/>
                <w14:textFill>
                  <w14:solidFill>
                    <w14:schemeClr w14:val="tx1"/>
                  </w14:solidFill>
                </w14:textFill>
              </w:rPr>
              <w:t xml:space="preserve">⑤采购包5：预算金额20.4万元（区域：城区一中队）；</w:t>
            </w:r>
            <w:r/>
          </w:p>
          <w:p>
            <w:pPr>
              <w:spacing w:line="400" w:lineRule="exact"/>
              <w:rPr>
                <w:rFonts w:hint="eastAsia" w:ascii="宋体" w:hAnsi="宋体" w:cs="宋体"/>
                <w:b/>
                <w:bCs/>
                <w:color w:val="000000" w:themeColor="text1"/>
                <w:sz w:val="24"/>
                <w:u w:val="single"/>
                <w14:textFill>
                  <w14:solidFill>
                    <w14:schemeClr w14:val="tx1"/>
                  </w14:solidFill>
                </w14:textFill>
              </w:rPr>
            </w:pPr>
            <w:r>
              <w:rPr>
                <w:rFonts w:hint="eastAsia" w:ascii="宋体" w:hAnsi="宋体" w:cs="宋体"/>
                <w:b/>
                <w:bCs/>
                <w:color w:val="000000" w:themeColor="text1"/>
                <w:sz w:val="24"/>
                <w:u w:val="single"/>
                <w14:textFill>
                  <w14:solidFill>
                    <w14:schemeClr w14:val="tx1"/>
                  </w14:solidFill>
                </w14:textFill>
              </w:rPr>
              <w:t xml:space="preserve">⑥采购包6：预算金额14.03万元（区域：孤山中队）</w:t>
            </w:r>
            <w:r/>
          </w:p>
        </w:tc>
      </w:tr>
      <w:tr>
        <w:trPr>
          <w:trHeight w:val="484"/>
        </w:trPr>
        <w:tc>
          <w:tcPr>
            <w:tcW w:w="1133"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1.1.8</w:t>
            </w:r>
            <w:r/>
          </w:p>
        </w:tc>
        <w:tc>
          <w:tcPr>
            <w:tcW w:w="2348"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本项目标的所属行业</w:t>
            </w:r>
            <w:r/>
          </w:p>
        </w:tc>
        <w:tc>
          <w:tcPr>
            <w:tcW w:w="5881" w:type="dxa"/>
            <w:vAlign w:val="center"/>
            <w:textDirection w:val="lrTb"/>
            <w:noWrap w:val="false"/>
          </w:tcPr>
          <w:p>
            <w:pPr>
              <w:jc w:val="left"/>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t xml:space="preserve">其他未列明行业</w:t>
            </w:r>
            <w:r>
              <w:rPr>
                <w:rFonts w:hint="eastAsia" w:ascii="宋体" w:hAnsi="宋体" w:cs="宋体"/>
                <w:color w:val="000000" w:themeColor="text1"/>
                <w:sz w:val="24"/>
                <w:szCs w:val="24"/>
                <w:u w:val="single"/>
                <w14:textFill>
                  <w14:solidFill>
                    <w14:schemeClr w14:val="tx1"/>
                  </w14:solidFill>
                </w14:textFill>
              </w:rPr>
              <w:t xml:space="preserve"> </w:t>
            </w:r>
            <w:r/>
          </w:p>
        </w:tc>
      </w:tr>
      <w:tr>
        <w:trPr>
          <w:trHeight w:val="484"/>
        </w:trPr>
        <w:tc>
          <w:tcPr>
            <w:tcW w:w="1133"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1.2.1</w:t>
            </w:r>
            <w:r/>
          </w:p>
        </w:tc>
        <w:tc>
          <w:tcPr>
            <w:tcW w:w="2348"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合同履行时间</w:t>
            </w:r>
            <w:r/>
          </w:p>
        </w:tc>
        <w:tc>
          <w:tcPr>
            <w:tcW w:w="5881" w:type="dxa"/>
            <w:vAlign w:val="center"/>
            <w:textDirection w:val="lrTb"/>
            <w:noWrap w:val="false"/>
          </w:tcPr>
          <w:p>
            <w:pP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一年</w:t>
            </w:r>
            <w:r/>
          </w:p>
        </w:tc>
      </w:tr>
      <w:tr>
        <w:trPr>
          <w:trHeight w:val="484"/>
        </w:trPr>
        <w:tc>
          <w:tcPr>
            <w:tcW w:w="1133"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1.3.</w:t>
            </w:r>
            <w:r>
              <w:rPr>
                <w:rFonts w:hint="eastAsia" w:ascii="宋体" w:hAnsi="宋体" w:cs="宋体"/>
                <w:color w:val="000000" w:themeColor="text1"/>
                <w:sz w:val="24"/>
                <w:szCs w:val="24"/>
                <w14:textFill>
                  <w14:solidFill>
                    <w14:schemeClr w14:val="tx1"/>
                  </w14:solidFill>
                </w14:textFill>
              </w:rPr>
              <w:t xml:space="preserve">3</w:t>
            </w:r>
            <w:r/>
          </w:p>
        </w:tc>
        <w:tc>
          <w:tcPr>
            <w:tcW w:w="2348"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特定资格条件</w:t>
            </w:r>
            <w:r/>
          </w:p>
        </w:tc>
        <w:tc>
          <w:tcPr>
            <w:tcW w:w="5881" w:type="dxa"/>
            <w:vAlign w:val="center"/>
            <w:textDirection w:val="lrTb"/>
            <w:noWrap w:val="false"/>
          </w:tcPr>
          <w:p>
            <w:pPr>
              <w:spacing w:line="400" w:lineRule="exact"/>
              <w:rPr>
                <w:rFonts w:hint="eastAsia" w:ascii="宋体" w:hAnsi="宋体" w:cs="宋体"/>
                <w:b/>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详见“第一章  招标公告”</w:t>
            </w:r>
            <w:r/>
          </w:p>
        </w:tc>
      </w:tr>
      <w:tr>
        <w:trPr>
          <w:trHeight w:val="594"/>
        </w:trPr>
        <w:tc>
          <w:tcPr>
            <w:tcW w:w="1133"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1.4.1</w:t>
            </w:r>
            <w:r/>
          </w:p>
        </w:tc>
        <w:tc>
          <w:tcPr>
            <w:tcW w:w="2348"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踏勘现场</w:t>
            </w:r>
            <w:r/>
          </w:p>
        </w:tc>
        <w:tc>
          <w:tcPr>
            <w:tcW w:w="5881" w:type="dxa"/>
            <w:vAlign w:val="center"/>
            <w:textDirection w:val="lrTb"/>
            <w:noWrap w:val="false"/>
          </w:tcPr>
          <w:p>
            <w:pP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否，由投标人自行踏勘现场。</w:t>
            </w:r>
            <w:r/>
          </w:p>
        </w:tc>
      </w:tr>
      <w:tr>
        <w:trPr>
          <w:trHeight w:val="425"/>
        </w:trPr>
        <w:tc>
          <w:tcPr>
            <w:tcW w:w="1133"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w:t>
            </w:r>
            <w:r>
              <w:rPr>
                <w:rFonts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1</w:t>
            </w:r>
            <w:r/>
          </w:p>
        </w:tc>
        <w:tc>
          <w:tcPr>
            <w:tcW w:w="2348"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投标人提交</w:t>
            </w:r>
            <w:r/>
          </w:p>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询问截止时间</w:t>
            </w:r>
            <w:r/>
          </w:p>
        </w:tc>
        <w:tc>
          <w:tcPr>
            <w:tcW w:w="5881" w:type="dxa"/>
            <w:vAlign w:val="center"/>
            <w:textDirection w:val="lrTb"/>
            <w:noWrap w:val="false"/>
          </w:tcPr>
          <w:p>
            <w:pPr>
              <w:spacing w:line="400" w:lineRule="exact"/>
              <w:rPr>
                <w:rFonts w:hint="eastAsia" w:ascii="宋体" w:hAnsi="宋体" w:cs="宋体"/>
                <w:b/>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2026年</w:t>
            </w:r>
            <w:r>
              <w:rPr>
                <w:rFonts w:hint="eastAsia" w:ascii="宋体" w:hAnsi="宋体" w:cs="宋体"/>
                <w:color w:val="000000" w:themeColor="text1"/>
                <w:sz w:val="24"/>
                <w:szCs w:val="24"/>
                <w:u w:val="single"/>
                <w14:textFill>
                  <w14:solidFill>
                    <w14:schemeClr w14:val="tx1"/>
                  </w14:solidFill>
                </w14:textFill>
              </w:rPr>
              <w:t xml:space="preserve"> 7 </w:t>
            </w:r>
            <w:r>
              <w:rPr>
                <w:rFonts w:hint="eastAsia" w:ascii="宋体" w:hAnsi="宋体" w:cs="宋体"/>
                <w:color w:val="000000" w:themeColor="text1"/>
                <w:sz w:val="24"/>
                <w:szCs w:val="24"/>
                <w14:textFill>
                  <w14:solidFill>
                    <w14:schemeClr w14:val="tx1"/>
                  </w14:solidFill>
                </w14:textFill>
              </w:rPr>
              <w:t xml:space="preserve">月</w:t>
            </w:r>
            <w:r>
              <w:rPr>
                <w:rFonts w:hint="eastAsia" w:ascii="宋体" w:hAnsi="宋体" w:cs="宋体"/>
                <w:color w:val="000000" w:themeColor="text1"/>
                <w:sz w:val="24"/>
                <w:szCs w:val="24"/>
                <w:u w:val="single"/>
                <w14:textFill>
                  <w14:solidFill>
                    <w14:schemeClr w14:val="tx1"/>
                  </w14:solidFill>
                </w14:textFill>
              </w:rPr>
              <w:t xml:space="preserve"> 9 </w:t>
            </w:r>
            <w:r>
              <w:rPr>
                <w:rFonts w:hint="eastAsia" w:ascii="宋体" w:hAnsi="宋体" w:cs="宋体"/>
                <w:color w:val="000000" w:themeColor="text1"/>
                <w:sz w:val="24"/>
                <w:szCs w:val="24"/>
                <w14:textFill>
                  <w14:solidFill>
                    <w14:schemeClr w14:val="tx1"/>
                  </w14:solidFill>
                </w14:textFill>
              </w:rPr>
              <w:t xml:space="preserve">日</w:t>
            </w:r>
            <w:r>
              <w:rPr>
                <w:rFonts w:hint="eastAsia" w:ascii="宋体" w:hAnsi="宋体" w:cs="宋体"/>
                <w:color w:val="000000" w:themeColor="text1"/>
                <w:sz w:val="24"/>
                <w:szCs w:val="24"/>
                <w:u w:val="single"/>
                <w14:textFill>
                  <w14:solidFill>
                    <w14:schemeClr w14:val="tx1"/>
                  </w14:solidFill>
                </w14:textFill>
              </w:rPr>
              <w:t xml:space="preserve">17:30</w:t>
            </w:r>
            <w:r>
              <w:rPr>
                <w:rFonts w:hint="eastAsia" w:ascii="宋体" w:hAnsi="宋体" w:cs="宋体"/>
                <w:color w:val="000000" w:themeColor="text1"/>
                <w:sz w:val="24"/>
                <w:szCs w:val="24"/>
                <w14:textFill>
                  <w14:solidFill>
                    <w14:schemeClr w14:val="tx1"/>
                  </w14:solidFill>
                </w14:textFill>
              </w:rPr>
              <w:t xml:space="preserve">时</w:t>
            </w:r>
            <w:r/>
          </w:p>
        </w:tc>
      </w:tr>
      <w:tr>
        <w:trPr>
          <w:trHeight w:val="650"/>
        </w:trPr>
        <w:tc>
          <w:tcPr>
            <w:tcW w:w="1133"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w:t>
            </w:r>
            <w:r>
              <w:rPr>
                <w:rFonts w:ascii="宋体" w:hAnsi="宋体" w:cs="宋体"/>
                <w:color w:val="000000" w:themeColor="text1"/>
                <w:sz w:val="24"/>
                <w:szCs w:val="24"/>
                <w14:textFill>
                  <w14:solidFill>
                    <w14:schemeClr w14:val="tx1"/>
                  </w14:solidFill>
                </w14:textFill>
              </w:rPr>
              <w:t xml:space="preserve">.1</w:t>
            </w:r>
            <w:r/>
          </w:p>
        </w:tc>
        <w:tc>
          <w:tcPr>
            <w:tcW w:w="2348"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投标有效期</w:t>
            </w:r>
            <w:r/>
          </w:p>
        </w:tc>
        <w:tc>
          <w:tcPr>
            <w:tcW w:w="5881" w:type="dxa"/>
            <w:vAlign w:val="center"/>
            <w:textDirection w:val="lrTb"/>
            <w:noWrap w:val="false"/>
          </w:tcPr>
          <w:p>
            <w:pP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4"/>
                <w:u w:val="single"/>
                <w14:textFill>
                  <w14:solidFill>
                    <w14:schemeClr w14:val="tx1"/>
                  </w14:solidFill>
                </w14:textFill>
              </w:rPr>
              <w:t xml:space="preserve"> 9</w:t>
            </w:r>
            <w:r>
              <w:rPr>
                <w:rFonts w:ascii="宋体" w:hAnsi="宋体" w:cs="宋体"/>
                <w:b/>
                <w:color w:val="000000" w:themeColor="text1"/>
                <w:sz w:val="24"/>
                <w:szCs w:val="24"/>
                <w:u w:val="single"/>
                <w14:textFill>
                  <w14:solidFill>
                    <w14:schemeClr w14:val="tx1"/>
                  </w14:solidFill>
                </w14:textFill>
              </w:rPr>
              <w:t xml:space="preserve">0</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日（从投标截止日起算）</w:t>
            </w:r>
            <w:r/>
          </w:p>
        </w:tc>
      </w:tr>
      <w:tr>
        <w:trPr>
          <w:trHeight w:val="470"/>
        </w:trPr>
        <w:tc>
          <w:tcPr>
            <w:tcW w:w="1133"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w:t>
            </w:r>
            <w:r/>
          </w:p>
        </w:tc>
        <w:tc>
          <w:tcPr>
            <w:tcW w:w="2348"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投标文件提交截止</w:t>
            </w:r>
            <w:r/>
          </w:p>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时间和地点</w:t>
            </w:r>
            <w:r/>
          </w:p>
        </w:tc>
        <w:tc>
          <w:tcPr>
            <w:tcW w:w="5881" w:type="dxa"/>
            <w:vAlign w:val="center"/>
            <w:textDirection w:val="lrTb"/>
            <w:noWrap w:val="false"/>
          </w:tcPr>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时间：</w:t>
            </w:r>
            <w:r>
              <w:rPr>
                <w:rFonts w:hint="eastAsia" w:ascii="宋体" w:hAnsi="宋体" w:cs="宋体"/>
                <w:color w:val="000000" w:themeColor="text1"/>
                <w:sz w:val="24"/>
                <w:szCs w:val="24"/>
                <w:u w:val="single"/>
                <w14:textFill>
                  <w14:solidFill>
                    <w14:schemeClr w14:val="tx1"/>
                  </w14:solidFill>
                </w14:textFill>
              </w:rPr>
              <w:t xml:space="preserve"> 见“第一章招标公告”</w:t>
            </w:r>
            <w:r/>
          </w:p>
          <w:p>
            <w:pPr>
              <w:jc w:val="left"/>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地点：</w:t>
            </w:r>
            <w:r>
              <w:rPr>
                <w:rFonts w:hint="eastAsia" w:ascii="宋体" w:hAnsi="宋体" w:cs="宋体"/>
                <w:color w:val="000000" w:themeColor="text1"/>
                <w:sz w:val="24"/>
                <w:szCs w:val="24"/>
                <w:u w:val="single"/>
                <w14:textFill>
                  <w14:solidFill>
                    <w14:schemeClr w14:val="tx1"/>
                  </w14:solidFill>
                </w14:textFill>
              </w:rPr>
              <w:t xml:space="preserve"> 见“第一章招标公告”</w:t>
            </w:r>
            <w:r/>
          </w:p>
        </w:tc>
      </w:tr>
      <w:tr>
        <w:trPr>
          <w:trHeight w:val="690"/>
        </w:trPr>
        <w:tc>
          <w:tcPr>
            <w:tcW w:w="1133"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w:t>
            </w:r>
            <w:r>
              <w:rPr>
                <w:rFonts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1.</w:t>
            </w:r>
            <w:r>
              <w:rPr>
                <w:rFonts w:ascii="宋体" w:hAnsi="宋体" w:cs="宋体"/>
                <w:color w:val="000000" w:themeColor="text1"/>
                <w:sz w:val="24"/>
                <w:szCs w:val="24"/>
                <w14:textFill>
                  <w14:solidFill>
                    <w14:schemeClr w14:val="tx1"/>
                  </w14:solidFill>
                </w14:textFill>
              </w:rPr>
              <w:t xml:space="preserve">1</w:t>
            </w:r>
            <w:r/>
          </w:p>
        </w:tc>
        <w:tc>
          <w:tcPr>
            <w:tcW w:w="2348"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开标时间和地点</w:t>
            </w:r>
            <w:r/>
          </w:p>
        </w:tc>
        <w:tc>
          <w:tcPr>
            <w:tcW w:w="5881" w:type="dxa"/>
            <w:vAlign w:val="center"/>
            <w:textDirection w:val="lrTb"/>
            <w:noWrap w:val="false"/>
          </w:tcPr>
          <w:p>
            <w:pPr>
              <w:spacing w:line="360"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开标时间：</w:t>
            </w:r>
            <w:r>
              <w:rPr>
                <w:rFonts w:hint="eastAsia" w:ascii="宋体" w:hAnsi="宋体" w:cs="宋体"/>
                <w:color w:val="000000" w:themeColor="text1"/>
                <w:sz w:val="24"/>
                <w:szCs w:val="24"/>
                <w:u w:val="single"/>
                <w14:textFill>
                  <w14:solidFill>
                    <w14:schemeClr w14:val="tx1"/>
                  </w14:solidFill>
                </w14:textFill>
              </w:rPr>
              <w:t xml:space="preserve">同投标文件提交截止时间</w:t>
            </w:r>
            <w:r/>
          </w:p>
          <w:p>
            <w:pP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开标地点：</w:t>
            </w:r>
            <w:r>
              <w:rPr>
                <w:rFonts w:hint="eastAsia" w:ascii="宋体" w:hAnsi="宋体" w:cs="宋体"/>
                <w:color w:val="000000" w:themeColor="text1"/>
                <w:sz w:val="24"/>
                <w:szCs w:val="24"/>
                <w:u w:val="single"/>
                <w14:textFill>
                  <w14:solidFill>
                    <w14:schemeClr w14:val="tx1"/>
                  </w14:solidFill>
                </w14:textFill>
              </w:rPr>
              <w:t xml:space="preserve"> 同投标文件提交地点</w:t>
            </w:r>
            <w:r/>
          </w:p>
        </w:tc>
      </w:tr>
      <w:tr>
        <w:trPr>
          <w:trHeight w:val="635"/>
        </w:trPr>
        <w:tc>
          <w:tcPr>
            <w:tcW w:w="1133"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5.5</w:t>
            </w:r>
            <w:r>
              <w:rPr>
                <w:rFonts w:ascii="宋体" w:hAnsi="宋体" w:cs="宋体"/>
                <w:color w:val="000000" w:themeColor="text1"/>
                <w:sz w:val="24"/>
                <w:szCs w:val="24"/>
                <w14:textFill>
                  <w14:solidFill>
                    <w14:schemeClr w14:val="tx1"/>
                  </w14:solidFill>
                </w14:textFill>
              </w:rPr>
              <w:t xml:space="preserve">.1</w:t>
            </w:r>
            <w:r/>
          </w:p>
        </w:tc>
        <w:tc>
          <w:tcPr>
            <w:tcW w:w="2348"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评标委员会成员</w:t>
            </w:r>
            <w:r/>
          </w:p>
        </w:tc>
        <w:tc>
          <w:tcPr>
            <w:tcW w:w="5881" w:type="dxa"/>
            <w:vAlign w:val="center"/>
            <w:textDirection w:val="lrTb"/>
            <w:noWrap w:val="false"/>
          </w:tcPr>
          <w:p>
            <w:pPr>
              <w:jc w:val="left"/>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评标委员会人数：</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u w:val="single"/>
                <w14:textFill>
                  <w14:solidFill>
                    <w14:schemeClr w14:val="tx1"/>
                  </w14:solidFill>
                </w14:textFill>
              </w:rPr>
              <w:t xml:space="preserve">5</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人；其中：采购人代表</w:t>
            </w:r>
            <w:r>
              <w:rPr>
                <w:rFonts w:hint="eastAsia" w:ascii="宋体" w:hAnsi="宋体" w:cs="宋体"/>
                <w:color w:val="000000" w:themeColor="text1"/>
                <w:sz w:val="24"/>
                <w:szCs w:val="24"/>
                <w:u w:val="single"/>
                <w14:textFill>
                  <w14:solidFill>
                    <w14:schemeClr w14:val="tx1"/>
                  </w14:solidFill>
                </w14:textFill>
              </w:rPr>
              <w:t xml:space="preserve"> 1 </w:t>
            </w:r>
            <w:r>
              <w:rPr>
                <w:rFonts w:hint="eastAsia" w:ascii="宋体" w:hAnsi="宋体" w:cs="宋体"/>
                <w:color w:val="000000" w:themeColor="text1"/>
                <w:sz w:val="24"/>
                <w:szCs w:val="24"/>
                <w14:textFill>
                  <w14:solidFill>
                    <w14:schemeClr w14:val="tx1"/>
                  </w14:solidFill>
                </w14:textFill>
              </w:rPr>
              <w:t xml:space="preserve">人，评审专家</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u w:val="single"/>
                <w14:textFill>
                  <w14:solidFill>
                    <w14:schemeClr w14:val="tx1"/>
                  </w14:solidFill>
                </w14:textFill>
              </w:rPr>
              <w:t xml:space="preserve">4 </w:t>
            </w:r>
            <w:r>
              <w:rPr>
                <w:rFonts w:hint="eastAsia" w:ascii="宋体" w:hAnsi="宋体" w:cs="宋体"/>
                <w:color w:val="000000" w:themeColor="text1"/>
                <w:sz w:val="24"/>
                <w:szCs w:val="24"/>
                <w14:textFill>
                  <w14:solidFill>
                    <w14:schemeClr w14:val="tx1"/>
                  </w14:solidFill>
                </w14:textFill>
              </w:rPr>
              <w:t xml:space="preserve">人或全部由评审专家组成。 </w:t>
            </w:r>
            <w:r/>
          </w:p>
        </w:tc>
      </w:tr>
      <w:tr>
        <w:trPr>
          <w:trHeight w:val="425"/>
        </w:trPr>
        <w:tc>
          <w:tcPr>
            <w:tcW w:w="1133" w:type="dxa"/>
            <w:vAlign w:val="center"/>
            <w:textDirection w:val="lrTb"/>
            <w:noWrap w:val="false"/>
          </w:tcPr>
          <w:p>
            <w:pPr>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5.6.1</w:t>
            </w:r>
            <w:r/>
          </w:p>
        </w:tc>
        <w:tc>
          <w:tcPr>
            <w:tcW w:w="2348" w:type="dxa"/>
            <w:vAlign w:val="center"/>
            <w:textDirection w:val="lrTb"/>
            <w:noWrap w:val="false"/>
          </w:tcPr>
          <w:p>
            <w:pPr>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评标委员会确定的</w:t>
            </w:r>
            <w:r/>
          </w:p>
          <w:p>
            <w:pPr>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中标候选人名单数量</w:t>
            </w:r>
            <w:r/>
          </w:p>
        </w:tc>
        <w:tc>
          <w:tcPr>
            <w:tcW w:w="5881" w:type="dxa"/>
            <w:vAlign w:val="center"/>
            <w:textDirection w:val="lrTb"/>
            <w:noWrap w:val="false"/>
          </w:tcPr>
          <w:p>
            <w:pPr>
              <w:rPr>
                <w:rFonts w:hint="eastAsia" w:ascii="宋体" w:hAnsi="宋体" w:cs="宋体"/>
                <w:b/>
                <w:bCs/>
                <w:color w:val="000000" w:themeColor="text1"/>
                <w:sz w:val="24"/>
                <w:szCs w:val="24"/>
                <w14:textFill>
                  <w14:solidFill>
                    <w14:schemeClr w14:val="tx1"/>
                  </w14:solidFill>
                </w14:textFill>
              </w:rPr>
            </w:pPr>
            <w:r/>
            <w:bookmarkStart w:id="36" w:name="_Hlk232068488"/>
            <w:r>
              <w:rPr>
                <w:rFonts w:hint="eastAsia" w:ascii="宋体" w:hAnsi="宋体" w:cs="宋体"/>
                <w:b/>
                <w:bCs/>
                <w:color w:val="000000" w:themeColor="text1"/>
                <w:sz w:val="24"/>
                <w:szCs w:val="24"/>
                <w14:textFill>
                  <w14:solidFill>
                    <w14:schemeClr w14:val="tx1"/>
                  </w14:solidFill>
                </w14:textFill>
              </w:rPr>
              <w:t xml:space="preserve">本项目共分为六个采购包，供应商可以投一个或多个采购包，但仅允许中一个采购包。评标按采购包序号顺序进行，先评审并确定采购包1中标人（或第一中标候选人），该投标供应商在其他采购包的投标文件直接判定为无效投标，不再进入其他采购包评审，以此类推。</w:t>
            </w:r>
            <w:bookmarkEnd w:id="36"/>
            <w:r/>
            <w:r/>
          </w:p>
        </w:tc>
      </w:tr>
      <w:tr>
        <w:trPr>
          <w:trHeight w:val="728"/>
        </w:trPr>
        <w:tc>
          <w:tcPr>
            <w:tcW w:w="1133" w:type="dxa"/>
            <w:vAlign w:val="center"/>
            <w:textDirection w:val="lrTb"/>
            <w:noWrap w:val="false"/>
          </w:tcPr>
          <w:p>
            <w:pPr>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6.1.2</w:t>
            </w:r>
            <w:r/>
          </w:p>
        </w:tc>
        <w:tc>
          <w:tcPr>
            <w:tcW w:w="2348" w:type="dxa"/>
            <w:vAlign w:val="center"/>
            <w:textDirection w:val="lrTb"/>
            <w:noWrap w:val="false"/>
          </w:tcPr>
          <w:p>
            <w:pPr>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是否委托评标委员会直接确定中标人</w:t>
            </w:r>
            <w:r/>
          </w:p>
        </w:tc>
        <w:tc>
          <w:tcPr>
            <w:tcW w:w="5881" w:type="dxa"/>
            <w:vAlign w:val="center"/>
            <w:textDirection w:val="lrTb"/>
            <w:noWrap w:val="false"/>
          </w:tcPr>
          <w:p>
            <w:pPr>
              <w:ind w:right="113"/>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否</w:t>
            </w:r>
            <w:r/>
          </w:p>
        </w:tc>
      </w:tr>
      <w:tr>
        <w:trPr>
          <w:trHeight w:val="425"/>
        </w:trPr>
        <w:tc>
          <w:tcPr>
            <w:tcW w:w="1133"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6.3.1</w:t>
            </w:r>
            <w:r/>
          </w:p>
        </w:tc>
        <w:tc>
          <w:tcPr>
            <w:tcW w:w="2348"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履约担保</w:t>
            </w:r>
            <w:r/>
          </w:p>
        </w:tc>
        <w:tc>
          <w:tcPr>
            <w:tcW w:w="5881" w:type="dxa"/>
            <w:vAlign w:val="center"/>
            <w:textDirection w:val="lrTb"/>
            <w:noWrap w:val="false"/>
          </w:tcPr>
          <w:p>
            <w:pPr>
              <w:jc w:val="left"/>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履约担保金额：</w:t>
            </w:r>
            <w:r>
              <w:rPr>
                <w:rFonts w:hint="eastAsia" w:ascii="宋体" w:hAnsi="宋体" w:cs="宋体"/>
                <w:color w:val="000000" w:themeColor="text1"/>
                <w:sz w:val="24"/>
                <w:szCs w:val="24"/>
                <w14:textFill>
                  <w14:solidFill>
                    <w14:schemeClr w14:val="tx1"/>
                  </w14:solidFill>
                </w14:textFill>
              </w:rPr>
              <w:t xml:space="preserve">按中标人服务中队的数量缴纳，每服务一个中队需缴纳履约保证金壹万元整；</w:t>
            </w:r>
            <w:r/>
          </w:p>
          <w:p>
            <w:pPr>
              <w:jc w:val="left"/>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履约担保形式：接受电汇、保函、保单等缴纳方式；</w:t>
            </w:r>
            <w:r/>
          </w:p>
          <w:p>
            <w:pPr>
              <w:jc w:val="left"/>
              <w:spacing w:line="400" w:lineRule="exact"/>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合同签订前缴纳，否则视为放弃中标。</w:t>
            </w:r>
            <w:r/>
          </w:p>
        </w:tc>
      </w:tr>
      <w:tr>
        <w:trPr>
          <w:trHeight w:val="925"/>
        </w:trPr>
        <w:tc>
          <w:tcPr>
            <w:tcW w:w="1133"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7.2.8</w:t>
            </w:r>
            <w:r/>
          </w:p>
        </w:tc>
        <w:tc>
          <w:tcPr>
            <w:tcW w:w="2348"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投诉受理部门</w:t>
            </w:r>
            <w:r/>
          </w:p>
        </w:tc>
        <w:tc>
          <w:tcPr>
            <w:tcW w:w="5881" w:type="dxa"/>
            <w:vAlign w:val="center"/>
            <w:textDirection w:val="lrTb"/>
            <w:noWrap w:val="false"/>
          </w:tcPr>
          <w:p>
            <w:pP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名称：靖江市财政局</w:t>
            </w:r>
            <w:r/>
          </w:p>
          <w:p>
            <w:pP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地址：靖江市政务服务中心4楼</w:t>
            </w:r>
            <w:r/>
          </w:p>
          <w:p>
            <w:pP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电话：0523-89182489</w:t>
            </w:r>
            <w:r/>
          </w:p>
        </w:tc>
      </w:tr>
      <w:tr>
        <w:trPr>
          <w:trHeight w:val="5191"/>
        </w:trPr>
        <w:tc>
          <w:tcPr>
            <w:tcW w:w="1133" w:type="dxa"/>
            <w:vAlign w:val="center"/>
            <w:vMerge w:val="restart"/>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8.1</w:t>
            </w:r>
            <w:r/>
          </w:p>
        </w:tc>
        <w:tc>
          <w:tcPr>
            <w:tcW w:w="2348"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中标服务费</w:t>
            </w:r>
            <w:r/>
          </w:p>
        </w:tc>
        <w:tc>
          <w:tcPr>
            <w:tcW w:w="5881" w:type="dxa"/>
            <w:vAlign w:val="center"/>
            <w:textDirection w:val="lrTb"/>
            <w:noWrap w:val="false"/>
          </w:tcPr>
          <w:p>
            <w:pPr>
              <w:ind w:firstLine="480"/>
              <w:rPr>
                <w:rFonts w:hint="eastAsia" w:ascii="宋体" w:hAnsi="宋体" w:cs="宋体"/>
                <w:color w:val="000000" w:themeColor="text1"/>
                <w:sz w:val="24"/>
                <w:szCs w:val="24"/>
                <w14:textFill>
                  <w14:solidFill>
                    <w14:schemeClr w14:val="tx1"/>
                  </w14:solidFill>
                </w14:textFill>
              </w:rPr>
            </w:pPr>
            <w:r/>
            <w:bookmarkStart w:id="180" w:name="_GoBack"/>
            <w:r/>
            <w:bookmarkEnd w:id="180"/>
            <w:r>
              <w:rPr>
                <w:rFonts w:hint="eastAsia" w:ascii="宋体" w:hAnsi="宋体" w:cs="宋体"/>
                <w:color w:val="000000" w:themeColor="text1"/>
                <w:sz w:val="24"/>
                <w:szCs w:val="24"/>
                <w14:textFill>
                  <w14:solidFill>
                    <w14:schemeClr w14:val="tx1"/>
                  </w14:solidFill>
                </w14:textFill>
              </w:rPr>
              <w:t xml:space="preserve">本项目代理服务费由采购人向采购代理机构支付，参照苏政采协[2024]20号收费标准计取，采用差额定率分档累进法计算，以中标（成交）金额为计费基数。支付时间为中标通知书发出之日起30个工作日内。</w:t>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bl>
            <w:tblPr>
              <w:tblStyle w:val="669"/>
              <w:tblW w:w="0" w:type="auto"/>
              <w:jc w:val="center"/>
              <w:tblLayout w:type="fixed"/>
              <w:tblCellMar>
                <w:left w:w="108" w:type="dxa"/>
                <w:top w:w="0" w:type="dxa"/>
                <w:right w:w="108" w:type="dxa"/>
                <w:bottom w:w="0" w:type="dxa"/>
              </w:tblCellMar>
              <w:tblLook w:val="04A0" w:firstRow="1" w:lastRow="0" w:firstColumn="1" w:lastColumn="0" w:noHBand="0" w:noVBand="1"/>
            </w:tblPr>
            <w:tblGrid>
              <w:gridCol w:w="4277"/>
              <w:gridCol w:w="1015"/>
            </w:tblGrid>
            <w:tr>
              <w:trPr>
                <w:jc w:val="center"/>
                <w:trHeight w:val="280"/>
              </w:trPr>
              <w:tc>
                <w:tcPr>
                  <w:gridSpan w:val="2"/>
                  <w:tcBorders>
                    <w:top w:val="none" w:color="000000" w:sz="4" w:space="0"/>
                    <w:left w:val="none" w:color="000000" w:sz="4" w:space="0"/>
                    <w:bottom w:val="none" w:color="000000" w:sz="4" w:space="0"/>
                    <w:right w:val="none" w:color="000000" w:sz="4" w:space="0"/>
                  </w:tcBorders>
                  <w:tcW w:w="5292" w:type="dxa"/>
                  <w:vAlign w:val="center"/>
                  <w:textDirection w:val="lrTb"/>
                  <w:noWrap w:val="false"/>
                </w:tcPr>
                <w:p>
                  <w:pPr>
                    <w:jc w:val="center"/>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江苏省政府采购代理常规服务收费指导价</w:t>
                  </w:r>
                  <w:r/>
                </w:p>
              </w:tc>
            </w:tr>
            <w:tr>
              <w:trPr>
                <w:jc w:val="center"/>
                <w:trHeight w:val="280"/>
              </w:trPr>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中标或者成交金额</w:t>
                  </w:r>
                  <w:r/>
                </w:p>
              </w:tc>
              <w:tc>
                <w:tcPr>
                  <w:tcBorders>
                    <w:top w:val="single" w:color="auto"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费率</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最低收费金额（每个委托项目）</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5000元</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50万元以下（含50万元）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1.6%</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50-400万元（含400万元）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1.5%</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400-1000万元（含1000万元）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1.1%</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1000-5000万元（含5000万元）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0.8%</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5000-1亿元（含1亿元）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0.25%</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1-10亿元（含10亿元）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0.05%</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10-50亿元（含50亿元）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0.01%</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50亿元以上</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0.005%</w:t>
                  </w:r>
                  <w:r/>
                </w:p>
              </w:tc>
            </w:tr>
          </w:tbl>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r>
      <w:tr>
        <w:trPr>
          <w:trHeight w:val="1408"/>
        </w:trPr>
        <w:tc>
          <w:tcPr>
            <w:tcW w:w="1133" w:type="dxa"/>
            <w:vAlign w:val="center"/>
            <w:vMerge w:val="continue"/>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c>
          <w:tcPr>
            <w:tcW w:w="2348" w:type="dxa"/>
            <w:vAlign w:val="center"/>
            <w:textDirection w:val="lrTb"/>
            <w:noWrap w:val="false"/>
          </w:tcPr>
          <w:p>
            <w:pPr>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其他</w:t>
            </w:r>
            <w:r/>
          </w:p>
        </w:tc>
        <w:tc>
          <w:tcPr>
            <w:tcW w:w="5881" w:type="dxa"/>
            <w:vAlign w:val="center"/>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（1）中标单位在领取中标通知书时需提供2份纸质投标文件；</w:t>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（2）合同签订后须在2个工作日内上传至江苏政府采购网公示，中标供应商与采购人签订合同的当日向招标代理机构提供合同原件。</w:t>
            </w:r>
            <w:r/>
          </w:p>
        </w:tc>
      </w:tr>
    </w:tbl>
    <w:p>
      <w:pPr>
        <w:jc w:val="center"/>
        <w:spacing w:line="440" w:lineRule="exact"/>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jc w:val="center"/>
        <w:spacing w:line="440" w:lineRule="exact"/>
        <w:rPr>
          <w:rFonts w:hint="eastAsia" w:ascii="宋体" w:hAnsi="宋体" w:cs="宋体"/>
          <w:b/>
          <w:bCs/>
          <w:color w:val="000000" w:themeColor="text1"/>
          <w:sz w:val="24"/>
          <w14:textFill>
            <w14:solidFill>
              <w14:schemeClr w14:val="tx1"/>
            </w14:solidFill>
          </w14:textFill>
        </w:rPr>
      </w:pPr>
      <w:r>
        <w:rPr>
          <w:rFonts w:ascii="宋体" w:hAnsi="宋体" w:cs="宋体"/>
          <w:b/>
          <w:bCs/>
          <w:color w:val="000000" w:themeColor="text1"/>
          <w:sz w:val="32"/>
          <w:szCs w:val="32"/>
          <w14:textFill>
            <w14:solidFill>
              <w14:schemeClr w14:val="tx1"/>
            </w14:solidFill>
          </w14:textFill>
        </w:rPr>
        <w:br w:type="page" w:clear="all"/>
      </w:r>
      <w:r>
        <w:rPr>
          <w:rFonts w:hint="eastAsia" w:ascii="宋体" w:hAnsi="宋体" w:cs="宋体"/>
          <w:b/>
          <w:bCs/>
          <w:color w:val="000000" w:themeColor="text1"/>
          <w:sz w:val="32"/>
          <w:szCs w:val="32"/>
          <w14:textFill>
            <w14:solidFill>
              <w14:schemeClr w14:val="tx1"/>
            </w14:solidFill>
          </w14:textFill>
        </w:rPr>
        <w:t xml:space="preserve">投标人须知</w:t>
      </w:r>
      <w:r/>
    </w:p>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一、总则</w:t>
      </w:r>
      <w:r/>
    </w:p>
    <w:p>
      <w:pPr>
        <w:ind w:firstLine="440"/>
        <w:spacing w:line="360" w:lineRule="auto"/>
        <w:rPr>
          <w:rFonts w:hint="eastAsia" w:ascii="宋体" w:hAnsi="宋体" w:cs="宋体"/>
          <w:color w:val="000000" w:themeColor="text1"/>
          <w:szCs w:val="21"/>
          <w14:textFill>
            <w14:solidFill>
              <w14:schemeClr w14:val="tx1"/>
            </w14:solidFill>
          </w14:textFill>
        </w:rPr>
        <w:outlineLvl w:val="2"/>
      </w:pPr>
      <w:r/>
      <w:bookmarkStart w:id="37" w:name="_Toc387526376"/>
      <w:r/>
      <w:bookmarkStart w:id="38" w:name="_Toc8645"/>
      <w:r/>
      <w:bookmarkStart w:id="39" w:name="_Toc3640"/>
      <w:r/>
      <w:bookmarkStart w:id="40" w:name="_Toc1615"/>
      <w:r/>
      <w:bookmarkStart w:id="41" w:name="_Toc29754"/>
      <w:r/>
      <w:bookmarkStart w:id="42" w:name="_Toc5365"/>
      <w:r/>
      <w:bookmarkStart w:id="43" w:name="_Toc387526180"/>
      <w:r/>
      <w:bookmarkStart w:id="44" w:name="_Toc387526284"/>
      <w:r/>
      <w:bookmarkStart w:id="45" w:name="_Toc9727"/>
      <w:r/>
      <w:bookmarkStart w:id="46" w:name="_Toc3629"/>
      <w:r>
        <w:rPr>
          <w:rFonts w:hint="eastAsia" w:ascii="宋体" w:hAnsi="宋体" w:cs="宋体"/>
          <w:color w:val="000000" w:themeColor="text1"/>
          <w:szCs w:val="21"/>
          <w14:textFill>
            <w14:solidFill>
              <w14:schemeClr w14:val="tx1"/>
            </w14:solidFill>
          </w14:textFill>
        </w:rPr>
        <w:t xml:space="preserve">1.1 项目概况</w:t>
      </w:r>
      <w:bookmarkEnd w:id="37"/>
      <w:r/>
      <w:bookmarkEnd w:id="38"/>
      <w:r/>
      <w:bookmarkEnd w:id="39"/>
      <w:r/>
      <w:bookmarkEnd w:id="40"/>
      <w:r/>
      <w:bookmarkEnd w:id="41"/>
      <w:r/>
      <w:bookmarkEnd w:id="42"/>
      <w:r/>
      <w:bookmarkEnd w:id="43"/>
      <w:r/>
      <w:bookmarkEnd w:id="44"/>
      <w:r/>
      <w:bookmarkEnd w:id="45"/>
      <w:r/>
      <w:bookmarkEnd w:id="46"/>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1.1.1 根据《中华人民共和国政府采购法》、《中华人民共和国政府采购法实施条例》等有关法律、法规和规章的规定，本招标项目已具备招标条件，现对本项目进行公开招标采购。</w:t>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1.1.2 本采购项目采购人：见供应商须知前附表。</w:t>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1.1.3 本采购项目采购代理机构：见供应商须知前附表。</w:t>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1.1.4 本采购项目名称：见供应商须知前附表。</w:t>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1.1.5 本采购项目编号：见供应商须知前附表。</w:t>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1.1.6 本采购项目采购预算：见投标须知前附表。</w:t>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1.1.7 本采购项目最高限价：见投标须知前附表。</w:t>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1.1.8 本采购项目标的所属行业：见供应商须知前附表。</w:t>
      </w:r>
      <w:r/>
    </w:p>
    <w:p>
      <w:pPr>
        <w:ind w:firstLine="440"/>
        <w:spacing w:line="360" w:lineRule="auto"/>
        <w:rPr>
          <w:rFonts w:hint="eastAsia" w:ascii="宋体" w:hAnsi="宋体" w:cs="宋体"/>
          <w:color w:val="000000" w:themeColor="text1"/>
          <w:szCs w:val="21"/>
          <w14:textFill>
            <w14:solidFill>
              <w14:schemeClr w14:val="tx1"/>
            </w14:solidFill>
          </w14:textFill>
        </w:rPr>
        <w:outlineLvl w:val="2"/>
      </w:pPr>
      <w:r/>
      <w:bookmarkStart w:id="47" w:name="_Toc28144"/>
      <w:r/>
      <w:bookmarkStart w:id="48" w:name="_Toc30088"/>
      <w:r/>
      <w:bookmarkStart w:id="49" w:name="_Toc12333"/>
      <w:r/>
      <w:bookmarkStart w:id="50" w:name="_Toc10060"/>
      <w:r>
        <w:rPr>
          <w:rFonts w:hint="eastAsia" w:ascii="宋体" w:hAnsi="宋体" w:cs="宋体"/>
          <w:color w:val="000000" w:themeColor="text1"/>
          <w:szCs w:val="21"/>
          <w14:textFill>
            <w14:solidFill>
              <w14:schemeClr w14:val="tx1"/>
            </w14:solidFill>
          </w14:textFill>
        </w:rPr>
        <w:t xml:space="preserve">1.2 合同履行期限及验收要求</w:t>
      </w:r>
      <w:bookmarkEnd w:id="47"/>
      <w:r/>
      <w:bookmarkEnd w:id="48"/>
      <w:r/>
      <w:bookmarkEnd w:id="49"/>
      <w:r/>
      <w:bookmarkEnd w:id="50"/>
      <w:r/>
      <w:r/>
    </w:p>
    <w:p>
      <w:pPr>
        <w:ind w:left="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1.2.1本采购项目的合同履行期限：见供应商须知前附表。</w:t>
      </w:r>
      <w:r/>
    </w:p>
    <w:p>
      <w:pPr>
        <w:ind w:left="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1.2.2本采购项目的验收要求：见供应商须知前附表。</w:t>
      </w:r>
      <w:r/>
    </w:p>
    <w:p>
      <w:pPr>
        <w:ind w:firstLine="440"/>
        <w:spacing w:line="360" w:lineRule="auto"/>
        <w:rPr>
          <w:rFonts w:hint="eastAsia" w:ascii="宋体" w:hAnsi="宋体" w:cs="宋体"/>
          <w:color w:val="000000" w:themeColor="text1"/>
          <w:szCs w:val="21"/>
          <w14:textFill>
            <w14:solidFill>
              <w14:schemeClr w14:val="tx1"/>
            </w14:solidFill>
          </w14:textFill>
        </w:rPr>
        <w:outlineLvl w:val="2"/>
      </w:pPr>
      <w:r/>
      <w:bookmarkStart w:id="51" w:name="_Toc17634"/>
      <w:r/>
      <w:bookmarkStart w:id="52" w:name="_Toc19315"/>
      <w:r/>
      <w:bookmarkStart w:id="53" w:name="_Toc23392"/>
      <w:r/>
      <w:bookmarkStart w:id="54" w:name="_Toc10223"/>
      <w:r>
        <w:rPr>
          <w:rFonts w:hint="eastAsia" w:ascii="宋体" w:hAnsi="宋体" w:cs="宋体"/>
          <w:color w:val="000000" w:themeColor="text1"/>
          <w:szCs w:val="21"/>
          <w14:textFill>
            <w14:solidFill>
              <w14:schemeClr w14:val="tx1"/>
            </w14:solidFill>
          </w14:textFill>
        </w:rPr>
        <w:t xml:space="preserve">1.3 供应商的资格条件</w:t>
      </w:r>
      <w:bookmarkEnd w:id="51"/>
      <w:r/>
      <w:bookmarkEnd w:id="52"/>
      <w:r/>
      <w:bookmarkEnd w:id="53"/>
      <w:r/>
      <w:bookmarkEnd w:id="54"/>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1.3.1 供应商应满足《中华人民共和国政府采购法》第二十二条规定；</w:t>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1.3.2 落实政府采购政策需满足的资格要求：见供应商须知前附表；</w:t>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1.3.3 本项目特定资格条件：见供应商须知前附表。</w:t>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1.3.4 投标截止日当日，供应商不得存在下列情形之一：</w:t>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（1）为本项目提供整体设计、规范编制或者项目管理、监理、检测等服务的供应商；</w:t>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（2）单位负责人为同一人或者存在直接控股、管理关系的不同供应商；</w:t>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（3）在“信用中国”网站（www.creditchina.gov.cn）中被列入失信惩戒对象、重大税收违法案件当事人名单（以采购人在资格评审阶段的查询结果为准）；</w:t>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（4）在“中国政府采购网”（www.ccgp.gov.cn）中未被列入政府采购严重违法失信行为记录名单（以采购人在资格评审阶段的查询结果为准）。</w:t>
      </w:r>
      <w:r/>
    </w:p>
    <w:p>
      <w:pPr>
        <w:ind w:firstLine="44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以上评审项采用承诺制。如有虚假，将作为提供虚假证明材料处理。</w:t>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1.3.5 本项目是否接受联合体投标：见供应商须知前附表。</w:t>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1.3.6 本项目是否接受进口产品投标：见供应商须知前附表。进口产品是指通过中国海关报关验放进入中国境内且产自关境外的产品。</w:t>
      </w:r>
      <w:r/>
    </w:p>
    <w:p>
      <w:pPr>
        <w:ind w:firstLine="440"/>
        <w:spacing w:line="360" w:lineRule="auto"/>
        <w:rPr>
          <w:rFonts w:hint="eastAsia" w:ascii="宋体" w:hAnsi="宋体" w:cs="宋体"/>
          <w:color w:val="000000" w:themeColor="text1"/>
          <w:szCs w:val="21"/>
          <w14:textFill>
            <w14:solidFill>
              <w14:schemeClr w14:val="tx1"/>
            </w14:solidFill>
          </w14:textFill>
        </w:rPr>
        <w:outlineLvl w:val="2"/>
      </w:pPr>
      <w:r/>
      <w:bookmarkStart w:id="55" w:name="_Toc27587"/>
      <w:r/>
      <w:bookmarkStart w:id="56" w:name="_Toc22948"/>
      <w:r/>
      <w:bookmarkStart w:id="57" w:name="_Toc15127"/>
      <w:r/>
      <w:bookmarkStart w:id="58" w:name="_Toc14265"/>
      <w:r>
        <w:rPr>
          <w:rFonts w:hint="eastAsia" w:ascii="宋体" w:hAnsi="宋体" w:cs="宋体"/>
          <w:color w:val="000000" w:themeColor="text1"/>
          <w:szCs w:val="21"/>
          <w14:textFill>
            <w14:solidFill>
              <w14:schemeClr w14:val="tx1"/>
            </w14:solidFill>
          </w14:textFill>
        </w:rPr>
        <w:t xml:space="preserve">1.4</w:t>
      </w:r>
      <w:bookmarkEnd w:id="55"/>
      <w:r>
        <w:rPr>
          <w:rFonts w:hint="eastAsia" w:ascii="宋体" w:hAnsi="宋体" w:cs="宋体"/>
          <w:color w:val="000000" w:themeColor="text1"/>
          <w:szCs w:val="21"/>
          <w14:textFill>
            <w14:solidFill>
              <w14:schemeClr w14:val="tx1"/>
            </w14:solidFill>
          </w14:textFill>
        </w:rPr>
        <w:t xml:space="preserve"> 踏勘现场</w:t>
      </w:r>
      <w:bookmarkEnd w:id="56"/>
      <w:r/>
      <w:bookmarkEnd w:id="57"/>
      <w:r/>
      <w:bookmarkEnd w:id="58"/>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1.4.1供应商须知前附表规定自行踏勘现场，踏勘现场所发生的费用由供应商自己承担。</w:t>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1.4.2 采购人向供应商提供的有关现场，由供应商做出推论、理解。但所投产品必须与原设备相匹配，否则按无效标处理。</w:t>
      </w:r>
      <w:r/>
    </w:p>
    <w:p>
      <w:pPr>
        <w:ind w:firstLine="440"/>
        <w:spacing w:line="360" w:lineRule="auto"/>
        <w:rPr>
          <w:rFonts w:hint="eastAsia" w:ascii="宋体" w:hAnsi="宋体" w:cs="宋体"/>
          <w:color w:val="000000" w:themeColor="text1"/>
          <w:szCs w:val="21"/>
          <w14:textFill>
            <w14:solidFill>
              <w14:schemeClr w14:val="tx1"/>
            </w14:solidFill>
          </w14:textFill>
        </w:rPr>
        <w:outlineLvl w:val="2"/>
      </w:pPr>
      <w:r/>
      <w:bookmarkStart w:id="59" w:name="_Toc4763"/>
      <w:r/>
      <w:bookmarkStart w:id="60" w:name="_Toc2634"/>
      <w:r/>
      <w:bookmarkStart w:id="61" w:name="_Toc21664"/>
      <w:r/>
      <w:bookmarkStart w:id="62" w:name="_Toc9211"/>
      <w:r>
        <w:rPr>
          <w:rFonts w:hint="eastAsia" w:ascii="宋体" w:hAnsi="宋体" w:cs="宋体"/>
          <w:color w:val="000000" w:themeColor="text1"/>
          <w:szCs w:val="21"/>
          <w14:textFill>
            <w14:solidFill>
              <w14:schemeClr w14:val="tx1"/>
            </w14:solidFill>
          </w14:textFill>
        </w:rPr>
        <w:t xml:space="preserve">1.5 投标费用</w:t>
      </w:r>
      <w:bookmarkEnd w:id="59"/>
      <w:r/>
      <w:bookmarkEnd w:id="60"/>
      <w:r/>
      <w:bookmarkEnd w:id="61"/>
      <w:r/>
      <w:bookmarkEnd w:id="62"/>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供应商应自行承担所有与编写、提交投标文件等有关费用。采购人和采购人代理人在任何情况下均无义务和责任承担这些费用。</w:t>
      </w:r>
      <w:r/>
    </w:p>
    <w:p>
      <w:pPr>
        <w:ind w:firstLine="440"/>
        <w:spacing w:line="360" w:lineRule="auto"/>
        <w:rPr>
          <w:rFonts w:hint="eastAsia" w:ascii="宋体" w:hAnsi="宋体" w:cs="宋体"/>
          <w:color w:val="000000" w:themeColor="text1"/>
          <w:szCs w:val="21"/>
          <w14:textFill>
            <w14:solidFill>
              <w14:schemeClr w14:val="tx1"/>
            </w14:solidFill>
          </w14:textFill>
        </w:rPr>
        <w:outlineLvl w:val="2"/>
      </w:pPr>
      <w:r/>
      <w:bookmarkStart w:id="63" w:name="_Toc19917"/>
      <w:r>
        <w:rPr>
          <w:rFonts w:hint="eastAsia" w:ascii="宋体" w:hAnsi="宋体" w:cs="宋体"/>
          <w:color w:val="000000" w:themeColor="text1"/>
          <w:szCs w:val="21"/>
          <w14:textFill>
            <w14:solidFill>
              <w14:schemeClr w14:val="tx1"/>
            </w14:solidFill>
          </w14:textFill>
        </w:rPr>
        <w:t xml:space="preserve">1.6 相同品牌产品投标</w:t>
      </w:r>
      <w:bookmarkEnd w:id="63"/>
      <w:r>
        <w:rPr>
          <w:rFonts w:hint="eastAsia" w:ascii="宋体" w:hAnsi="宋体" w:cs="宋体"/>
          <w:color w:val="000000" w:themeColor="text1"/>
          <w:szCs w:val="21"/>
          <w14:textFill>
            <w14:solidFill>
              <w14:schemeClr w14:val="tx1"/>
            </w14:solidFill>
          </w14:textFill>
        </w:rPr>
        <w:t xml:space="preserve"> </w:t>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rPr>
          <w:rFonts w:ascii="宋体" w:hAnsi="宋体" w:cs="宋体"/>
          <w:color w:val="000000" w:themeColor="text1"/>
          <w:szCs w:val="21"/>
          <w14:textFill>
            <w14:solidFill>
              <w14:schemeClr w14:val="tx1"/>
            </w14:solidFill>
          </w14:textFill>
        </w:rPr>
        <w:t xml:space="preserve">6</w:t>
      </w:r>
      <w:r>
        <w:rPr>
          <w:rFonts w:hint="eastAsia" w:ascii="宋体" w:hAnsi="宋体" w:cs="宋体"/>
          <w:color w:val="000000" w:themeColor="text1"/>
          <w:szCs w:val="21"/>
          <w14:textFill>
            <w14:solidFill>
              <w14:schemeClr w14:val="tx1"/>
            </w14:solidFill>
          </w14:textFill>
        </w:rPr>
        <w:t xml:space="preserve">.1 采用最低评标价法的采购项目，提供相同品牌产品的不同供应商参加同一合同项下投标的，以其中通过资格评审、符合性审查且报价最低的参加评标；报价相同的，由采购人采取随机抽取方式确定，其他投标无效。</w:t>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rPr>
          <w:rFonts w:ascii="宋体" w:hAnsi="宋体" w:cs="宋体"/>
          <w:color w:val="000000" w:themeColor="text1"/>
          <w:szCs w:val="21"/>
          <w14:textFill>
            <w14:solidFill>
              <w14:schemeClr w14:val="tx1"/>
            </w14:solidFill>
          </w14:textFill>
        </w:rPr>
        <w:t xml:space="preserve">6</w:t>
      </w:r>
      <w:r>
        <w:rPr>
          <w:rFonts w:hint="eastAsia" w:ascii="宋体" w:hAnsi="宋体" w:cs="宋体"/>
          <w:color w:val="000000" w:themeColor="text1"/>
          <w:szCs w:val="21"/>
          <w14:textFill>
            <w14:solidFill>
              <w14:schemeClr w14:val="tx1"/>
            </w14:solidFill>
          </w14:textFill>
        </w:rPr>
        <w:t xml:space="preserve">.2 使用综合评分法的采购项目，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w:t>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rPr>
          <w:rFonts w:ascii="宋体" w:hAnsi="宋体" w:cs="宋体"/>
          <w:color w:val="000000" w:themeColor="text1"/>
          <w:szCs w:val="21"/>
          <w14:textFill>
            <w14:solidFill>
              <w14:schemeClr w14:val="tx1"/>
            </w14:solidFill>
          </w14:textFill>
        </w:rPr>
        <w:t xml:space="preserve">6</w:t>
      </w:r>
      <w:r>
        <w:rPr>
          <w:rFonts w:hint="eastAsia" w:ascii="宋体" w:hAnsi="宋体" w:cs="宋体"/>
          <w:color w:val="000000" w:themeColor="text1"/>
          <w:szCs w:val="21"/>
          <w14:textFill>
            <w14:solidFill>
              <w14:schemeClr w14:val="tx1"/>
            </w14:solidFill>
          </w14:textFill>
        </w:rPr>
        <w:t xml:space="preserve">.3 非单一产品采购项目，采购人确定的核心产品见投标须知前附表。多家供应商提供的核心产品品牌相同的，按本章第1.6.1款、第1.6.2款规定处理。</w:t>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rPr>
          <w:rFonts w:ascii="宋体" w:hAnsi="宋体" w:cs="宋体"/>
          <w:color w:val="000000" w:themeColor="text1"/>
          <w:szCs w:val="21"/>
          <w14:textFill>
            <w14:solidFill>
              <w14:schemeClr w14:val="tx1"/>
            </w14:solidFill>
          </w14:textFill>
        </w:rPr>
        <w:t xml:space="preserve">6</w:t>
      </w:r>
      <w:r>
        <w:rPr>
          <w:rFonts w:hint="eastAsia" w:ascii="宋体" w:hAnsi="宋体" w:cs="宋体"/>
          <w:color w:val="000000" w:themeColor="text1"/>
          <w:szCs w:val="21"/>
          <w14:textFill>
            <w14:solidFill>
              <w14:schemeClr w14:val="tx1"/>
            </w14:solidFill>
          </w14:textFill>
        </w:rPr>
        <w:t xml:space="preserve">.4 如按上述办法认定后的合格供应商数量少于3家的，将予以废标。</w:t>
      </w:r>
      <w:r/>
    </w:p>
    <w:p>
      <w:pPr>
        <w:ind w:firstLine="440"/>
        <w:spacing w:line="360" w:lineRule="auto"/>
        <w:rPr>
          <w:rFonts w:hint="eastAsia" w:ascii="宋体" w:hAnsi="宋体" w:cs="宋体"/>
          <w:color w:val="000000" w:themeColor="text1"/>
          <w:szCs w:val="21"/>
          <w14:textFill>
            <w14:solidFill>
              <w14:schemeClr w14:val="tx1"/>
            </w14:solidFill>
          </w14:textFill>
        </w:rPr>
        <w:outlineLvl w:val="2"/>
      </w:pPr>
      <w:r/>
      <w:bookmarkStart w:id="64" w:name="_Toc7100"/>
      <w:r/>
      <w:bookmarkStart w:id="65" w:name="_Toc1291"/>
      <w:r/>
      <w:bookmarkStart w:id="66" w:name="_Toc20762"/>
      <w:r/>
      <w:bookmarkStart w:id="67" w:name="_Toc11883"/>
      <w:r>
        <w:rPr>
          <w:rFonts w:hint="eastAsia" w:ascii="宋体" w:hAnsi="宋体" w:cs="宋体"/>
          <w:color w:val="000000" w:themeColor="text1"/>
          <w:szCs w:val="21"/>
          <w14:textFill>
            <w14:solidFill>
              <w14:schemeClr w14:val="tx1"/>
            </w14:solidFill>
          </w14:textFill>
        </w:rPr>
        <w:t xml:space="preserve">1.7 投标语言及计量单位</w:t>
      </w:r>
      <w:bookmarkEnd w:id="64"/>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rPr>
          <w:rFonts w:ascii="宋体" w:hAnsi="宋体" w:cs="宋体"/>
          <w:color w:val="000000" w:themeColor="text1"/>
          <w:szCs w:val="21"/>
          <w14:textFill>
            <w14:solidFill>
              <w14:schemeClr w14:val="tx1"/>
            </w14:solidFill>
          </w14:textFill>
        </w:rPr>
        <w:t xml:space="preserve">7</w:t>
      </w:r>
      <w:r>
        <w:rPr>
          <w:rFonts w:hint="eastAsia" w:ascii="宋体" w:hAnsi="宋体" w:cs="宋体"/>
          <w:color w:val="000000" w:themeColor="text1"/>
          <w:szCs w:val="21"/>
          <w14:textFill>
            <w14:solidFill>
              <w14:schemeClr w14:val="tx1"/>
            </w14:solidFill>
          </w14:textFill>
        </w:rPr>
        <w:t xml:space="preserve">.1 供应商提交的投标文件以及供应商就有关投标的所有来往函电均应使用中文。供应商可以在投标文件中提交用其他语言打印的数据或资料，但是必须提供由专业翻译机构出具的中文译文，并以中文译文为准，否则视同未提供该数据或资料。</w:t>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rPr>
          <w:rFonts w:ascii="宋体" w:hAnsi="宋体" w:cs="宋体"/>
          <w:color w:val="000000" w:themeColor="text1"/>
          <w:szCs w:val="21"/>
          <w14:textFill>
            <w14:solidFill>
              <w14:schemeClr w14:val="tx1"/>
            </w14:solidFill>
          </w14:textFill>
        </w:rPr>
        <w:t xml:space="preserve">7</w:t>
      </w:r>
      <w:r>
        <w:rPr>
          <w:rFonts w:hint="eastAsia" w:ascii="宋体" w:hAnsi="宋体" w:cs="宋体"/>
          <w:color w:val="000000" w:themeColor="text1"/>
          <w:szCs w:val="21"/>
          <w14:textFill>
            <w14:solidFill>
              <w14:schemeClr w14:val="tx1"/>
            </w14:solidFill>
          </w14:textFill>
        </w:rPr>
        <w:t xml:space="preserve">.2 投标文件中所使用的计量单位，除招标文件有特殊规定外，应使用中华人民共和国法定计量单位。</w:t>
      </w:r>
      <w:r/>
    </w:p>
    <w:p>
      <w:pPr>
        <w:ind w:firstLine="440"/>
        <w:spacing w:line="360" w:lineRule="auto"/>
        <w:rPr>
          <w:rFonts w:hint="eastAsia" w:ascii="宋体" w:hAnsi="宋体" w:cs="宋体"/>
          <w:color w:val="000000" w:themeColor="text1"/>
          <w:szCs w:val="21"/>
          <w14:textFill>
            <w14:solidFill>
              <w14:schemeClr w14:val="tx1"/>
            </w14:solidFill>
          </w14:textFill>
        </w:rPr>
        <w:outlineLvl w:val="2"/>
      </w:pPr>
      <w:r/>
      <w:bookmarkStart w:id="68" w:name="_Toc22148"/>
      <w:r>
        <w:rPr>
          <w:rFonts w:hint="eastAsia" w:ascii="宋体" w:hAnsi="宋体" w:cs="宋体"/>
          <w:color w:val="000000" w:themeColor="text1"/>
          <w:szCs w:val="21"/>
          <w14:textFill>
            <w14:solidFill>
              <w14:schemeClr w14:val="tx1"/>
            </w14:solidFill>
          </w14:textFill>
        </w:rPr>
        <w:t xml:space="preserve">1.8 政府采购政策</w:t>
      </w:r>
      <w:r/>
    </w:p>
    <w:p>
      <w:pPr>
        <w:ind w:left="284" w:right="640" w:firstLine="480"/>
        <w:spacing w:before="1" w:line="312" w:lineRule="auto"/>
        <w:tabs>
          <w:tab w:val="left" w:pos="1373"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1.8.1落实政府采购政策需满足的资格要求：见招标公告。</w:t>
      </w:r>
      <w:r/>
    </w:p>
    <w:p>
      <w:pPr>
        <w:ind w:left="284" w:right="640" w:firstLine="480"/>
        <w:spacing w:before="1" w:line="312" w:lineRule="auto"/>
        <w:tabs>
          <w:tab w:val="left" w:pos="1373"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1.8.2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left="284" w:right="640" w:firstLine="480"/>
        <w:spacing w:before="1" w:line="312" w:lineRule="auto"/>
        <w:tabs>
          <w:tab w:val="left" w:pos="1373"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1.8.3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left="284" w:right="640" w:firstLine="480"/>
        <w:spacing w:before="1" w:line="312" w:lineRule="auto"/>
        <w:tabs>
          <w:tab w:val="left" w:pos="1373"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left="284" w:right="640" w:firstLine="480"/>
        <w:spacing w:before="1" w:line="312" w:lineRule="auto"/>
        <w:tabs>
          <w:tab w:val="left" w:pos="1373"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ind w:left="284" w:right="640" w:firstLine="480"/>
        <w:spacing w:before="1" w:line="312" w:lineRule="auto"/>
        <w:tabs>
          <w:tab w:val="left" w:pos="1373"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1.8.4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left="284" w:right="640" w:firstLine="480"/>
        <w:spacing w:before="1" w:line="312" w:lineRule="auto"/>
        <w:tabs>
          <w:tab w:val="left" w:pos="1373"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1.8.5设置“政采贷”指引条款。中标、成交供应商可采用合同融资形式，中标人可凭政府采购合同办理融资贷款，详见江苏省政府采购网“政采贷”专栏。</w:t>
      </w:r>
      <w:r/>
    </w:p>
    <w:p>
      <w:pPr>
        <w:ind w:left="284" w:right="640" w:firstLine="480"/>
        <w:spacing w:before="1" w:line="312" w:lineRule="auto"/>
        <w:tabs>
          <w:tab w:val="left" w:pos="1373"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1.8.6履约担保，是指由专业担保机构为中标、成交供应商支付履约保证金的义务向采购人提供的保函担保。专业担保机构根据中标、成交供应商的中标（成交）通知书为凭据，进行资信审查后出具保函,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left="284" w:right="640" w:firstLine="480"/>
        <w:spacing w:before="1" w:line="312" w:lineRule="auto"/>
        <w:tabs>
          <w:tab w:val="left" w:pos="1373"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设置电子履约保函（保险）指引条款。中标、成交供应商可以采用电子履约保函（保险）形式，具体操作可登录江苏政府采购网的保险保函模块进行办理（首次使用需注册）。</w:t>
      </w:r>
      <w:r/>
    </w:p>
    <w:p>
      <w:pPr>
        <w:ind w:left="284" w:right="640" w:firstLine="480"/>
        <w:spacing w:before="1" w:line="312" w:lineRule="auto"/>
        <w:tabs>
          <w:tab w:val="left" w:pos="1373"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1.8.7本项目中如有涉及数据库、操作系</w:t>
      </w:r>
      <w:r>
        <w:rPr>
          <w:rFonts w:hint="eastAsia" w:ascii="宋体" w:hAnsi="宋体"/>
          <w:color w:val="000000" w:themeColor="text1"/>
          <w:szCs w:val="21"/>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left="284" w:right="640" w:firstLine="480"/>
        <w:spacing w:before="1" w:line="312" w:lineRule="auto"/>
        <w:tabs>
          <w:tab w:val="left" w:pos="1373"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1.8.8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left="284" w:right="640" w:firstLine="480"/>
        <w:spacing w:before="1" w:line="312" w:lineRule="auto"/>
        <w:tabs>
          <w:tab w:val="left" w:pos="1373"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left="284" w:right="640" w:firstLine="480"/>
        <w:spacing w:before="1" w:line="312" w:lineRule="auto"/>
        <w:tabs>
          <w:tab w:val="left" w:pos="1373"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采购人原则上应当自收到发票后10个工作日内将资金支付到合同约定的供应商账户。</w:t>
      </w:r>
      <w:r/>
    </w:p>
    <w:p>
      <w:pPr>
        <w:ind w:firstLine="630"/>
        <w:spacing w:line="360" w:lineRule="auto"/>
        <w:rPr>
          <w:rFonts w:hint="eastAsia" w:ascii="宋体" w:hAnsi="宋体"/>
          <w:color w:val="000000" w:themeColor="text1"/>
          <w:szCs w:val="21"/>
          <w14:textFill>
            <w14:solidFill>
              <w14:schemeClr w14:val="tx1"/>
            </w14:solidFill>
          </w14:textFill>
        </w:rPr>
        <w:outlineLvl w:val="2"/>
      </w:pPr>
      <w:r>
        <w:rPr>
          <w:rFonts w:hint="eastAsia" w:ascii="宋体" w:hAnsi="宋体"/>
          <w:color w:val="000000" w:themeColor="text1"/>
          <w:szCs w:val="21"/>
          <w14:textFill>
            <w14:solidFill>
              <w14:schemeClr w14:val="tx1"/>
            </w14:solidFill>
          </w14:textFill>
        </w:rPr>
        <w:t xml:space="preserve">1.8.9绿色采购。要综合考虑节能环保、节水、循环再生、低碳、有机等因素，参考相关国家标准、行业标准或团体标准，在采购需求中提出相关绿色采购要求。</w:t>
      </w:r>
      <w:r/>
    </w:p>
    <w:p>
      <w:pPr>
        <w:ind w:firstLine="630"/>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1.8.10采购本国产品的支持政策</w:t>
      </w:r>
      <w:r/>
    </w:p>
    <w:p>
      <w:pPr>
        <w:ind w:firstLine="630"/>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1.8.10.1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630"/>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1.8.10.2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30"/>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1.8.10.3 本项目政府采购活动中既有本国产品又有非本国产品参与竞争的，依法对本国产品给予价格评审优惠，对本国产品的报价给予20%的价格扣除，用扣除后的价格参与评审。</w:t>
      </w:r>
      <w:r/>
    </w:p>
    <w:p>
      <w:pPr>
        <w:ind w:firstLine="630"/>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1.8.10.4 当采购项目或者采购包中含有多种产品，供应商为该采购项目或者采购包提供的符合本国产品标准的产品成本之和占该供应商提供的全部产品成本之和的比例达到80%以上时（供应商需在“第六章 首次响应文件格式”的“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630"/>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1.8.10.5 供应商需按照招标文件的要求提供《关于符合本国产品标准的声明函》（以下简称《声明函》），如不提供将不享受本国产品价格评审优惠。</w:t>
      </w:r>
      <w:r/>
    </w:p>
    <w:p>
      <w:pPr>
        <w:ind w:firstLine="630"/>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1.8.10.6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630"/>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1.8.10.7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40"/>
        <w:spacing w:line="360" w:lineRule="auto"/>
        <w:rPr>
          <w:rFonts w:hint="eastAsia" w:ascii="宋体" w:hAnsi="宋体" w:cs="宋体"/>
          <w:color w:val="000000" w:themeColor="text1"/>
          <w:szCs w:val="21"/>
          <w14:textFill>
            <w14:solidFill>
              <w14:schemeClr w14:val="tx1"/>
            </w14:solidFill>
          </w14:textFill>
        </w:rPr>
        <w:outlineLvl w:val="2"/>
      </w:pPr>
      <w:r>
        <w:rPr>
          <w:rFonts w:hint="eastAsia" w:ascii="宋体" w:hAnsi="宋体" w:cs="宋体"/>
          <w:color w:val="000000" w:themeColor="text1"/>
          <w:szCs w:val="21"/>
          <w14:textFill>
            <w14:solidFill>
              <w14:schemeClr w14:val="tx1"/>
            </w14:solidFill>
          </w14:textFill>
        </w:rPr>
        <w:t xml:space="preserve">1.</w:t>
      </w:r>
      <w:bookmarkEnd w:id="65"/>
      <w:r>
        <w:rPr>
          <w:rFonts w:hint="eastAsia" w:ascii="宋体" w:hAnsi="宋体" w:cs="宋体"/>
          <w:color w:val="000000" w:themeColor="text1"/>
          <w:szCs w:val="21"/>
          <w14:textFill>
            <w14:solidFill>
              <w14:schemeClr w14:val="tx1"/>
            </w14:solidFill>
          </w14:textFill>
        </w:rPr>
        <w:t xml:space="preserve">9其他</w:t>
      </w:r>
      <w:bookmarkEnd w:id="66"/>
      <w:r/>
      <w:bookmarkEnd w:id="67"/>
      <w:r/>
      <w:bookmarkEnd w:id="68"/>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1.9.1 本项目在中标后直至履行完毕止，中标人不得以任何形式和理由分包或转包。</w:t>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1.9.2 参与招标投标活动的各方应对招标文件和投标文件中的商业和技术等秘密保密，违者应对由此造成的后果承担法律责任。</w:t>
      </w:r>
      <w:r/>
    </w:p>
    <w:p>
      <w:pPr>
        <w:ind w:firstLine="482"/>
        <w:jc w:val="center"/>
        <w:spacing w:line="440" w:lineRule="exact"/>
        <w:rPr>
          <w:rFonts w:hint="eastAsia"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br w:type="page" w:clear="all"/>
      </w:r>
      <w:r>
        <w:rPr>
          <w:rFonts w:hint="eastAsia" w:ascii="宋体" w:hAnsi="宋体" w:cs="宋体"/>
          <w:b/>
          <w:bCs/>
          <w:color w:val="000000" w:themeColor="text1"/>
          <w:sz w:val="24"/>
          <w14:textFill>
            <w14:solidFill>
              <w14:schemeClr w14:val="tx1"/>
            </w14:solidFill>
          </w14:textFill>
        </w:rPr>
        <w:t xml:space="preserve">二、招标文件</w:t>
      </w:r>
      <w:r/>
    </w:p>
    <w:p>
      <w:pPr>
        <w:ind w:firstLine="118"/>
        <w:keepLines/>
        <w:keepNext/>
        <w:spacing w:before="20" w:after="20" w:line="440" w:lineRule="exact"/>
        <w:rPr>
          <w:rFonts w:hint="eastAsia" w:ascii="宋体" w:hAnsi="宋体"/>
          <w:color w:val="000000" w:themeColor="text1"/>
          <w:szCs w:val="21"/>
          <w14:textFill>
            <w14:solidFill>
              <w14:schemeClr w14:val="tx1"/>
            </w14:solidFill>
          </w14:textFill>
        </w:rPr>
        <w:outlineLvl w:val="2"/>
      </w:pPr>
      <w:r/>
      <w:bookmarkStart w:id="69" w:name="_Toc20640"/>
      <w:r/>
      <w:bookmarkStart w:id="70" w:name="_Toc110676275"/>
      <w:r/>
      <w:bookmarkStart w:id="71" w:name="_Toc27315"/>
      <w:r/>
      <w:bookmarkStart w:id="72" w:name="_Toc23238"/>
      <w:r>
        <w:rPr>
          <w:rFonts w:hint="eastAsia" w:ascii="宋体" w:hAnsi="宋体"/>
          <w:color w:val="000000" w:themeColor="text1"/>
          <w:szCs w:val="21"/>
          <w14:textFill>
            <w14:solidFill>
              <w14:schemeClr w14:val="tx1"/>
            </w14:solidFill>
          </w14:textFill>
        </w:rPr>
        <w:t xml:space="preserve">2.1 招标文件构成</w:t>
      </w:r>
      <w:bookmarkEnd w:id="69"/>
      <w:r/>
      <w:bookmarkEnd w:id="70"/>
      <w:r/>
      <w:bookmarkEnd w:id="71"/>
      <w:r/>
      <w:bookmarkEnd w:id="72"/>
      <w:r/>
      <w:r/>
    </w:p>
    <w:p>
      <w:pPr>
        <w:ind w:firstLine="44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2.1.1 本招标文件包括（但并不仅限于）：</w:t>
      </w:r>
      <w:r/>
    </w:p>
    <w:p>
      <w:pPr>
        <w:ind w:firstLine="44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第一章 招标公告</w:t>
      </w:r>
      <w:r/>
    </w:p>
    <w:p>
      <w:pPr>
        <w:ind w:firstLine="44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第二章 投标人须知及前附表</w:t>
      </w:r>
      <w:r/>
    </w:p>
    <w:p>
      <w:pPr>
        <w:ind w:firstLine="44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第三章 资格审查办法</w:t>
      </w:r>
      <w:r/>
    </w:p>
    <w:p>
      <w:pPr>
        <w:ind w:firstLine="44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第四章 评标办法</w:t>
      </w:r>
      <w:r/>
    </w:p>
    <w:p>
      <w:pPr>
        <w:ind w:firstLine="44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第五章 合同格式及条款</w:t>
      </w:r>
      <w:r/>
    </w:p>
    <w:p>
      <w:pPr>
        <w:ind w:firstLine="44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第六章 采购项目需求</w:t>
      </w:r>
      <w:r/>
    </w:p>
    <w:p>
      <w:pPr>
        <w:ind w:firstLine="44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第七章 投标文件格式</w:t>
      </w:r>
      <w:r/>
    </w:p>
    <w:p>
      <w:pPr>
        <w:ind w:firstLine="440"/>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2.1.2 对招标文件所作的答疑、澄清、修改，构成招标文件的组成部分。当上述文件相互之间发生矛盾时，以后发出的文件为准。</w:t>
      </w:r>
      <w:r/>
    </w:p>
    <w:p>
      <w:pPr>
        <w:ind w:firstLine="118"/>
        <w:keepLines/>
        <w:keepNext/>
        <w:spacing w:before="20" w:after="20" w:line="440" w:lineRule="exact"/>
        <w:rPr>
          <w:rFonts w:hint="eastAsia" w:ascii="宋体" w:hAnsi="宋体"/>
          <w:color w:val="000000" w:themeColor="text1"/>
          <w:szCs w:val="21"/>
          <w14:textFill>
            <w14:solidFill>
              <w14:schemeClr w14:val="tx1"/>
            </w14:solidFill>
          </w14:textFill>
        </w:rPr>
        <w:outlineLvl w:val="2"/>
      </w:pPr>
      <w:r/>
      <w:bookmarkStart w:id="73" w:name="_Toc110676276"/>
      <w:r/>
      <w:bookmarkStart w:id="74" w:name="_Toc17142"/>
      <w:r/>
      <w:bookmarkStart w:id="75" w:name="_Toc19552"/>
      <w:r/>
      <w:bookmarkStart w:id="76" w:name="_Toc1392"/>
      <w:r>
        <w:rPr>
          <w:rFonts w:hint="eastAsia" w:ascii="宋体" w:hAnsi="宋体"/>
          <w:color w:val="000000" w:themeColor="text1"/>
          <w:szCs w:val="21"/>
          <w14:textFill>
            <w14:solidFill>
              <w14:schemeClr w14:val="tx1"/>
            </w14:solidFill>
          </w14:textFill>
        </w:rPr>
        <w:t xml:space="preserve">2.2 招标文件的澄清</w:t>
      </w:r>
      <w:bookmarkEnd w:id="73"/>
      <w:r/>
      <w:r/>
    </w:p>
    <w:p>
      <w:pPr>
        <w:ind w:firstLine="44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2.2.1 投标人对已依法获取的招标文件发现问题、或产生疑问，应当在投标须知前附表规定的截止时间前，采用书面形式向采购人或采购代理机构提出询问或澄清要求。</w:t>
      </w:r>
      <w:r/>
    </w:p>
    <w:p>
      <w:pPr>
        <w:ind w:firstLine="44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2.2.2 招标文件的澄清将通过“江苏政府采购网（http://www.ccgp-jiangsu.gov.cn/）”公开发布。澄清是构成招标文件的组成部分。未按澄清后的招标文件编制的投标文件有可能被否决。</w:t>
      </w:r>
      <w:r/>
    </w:p>
    <w:p>
      <w:pPr>
        <w:ind w:firstLine="44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2.2.3 如果澄清的内容影响投标文件编制且不能满足投标人编制投标文件时间，采购人将视情况可能适当延长投标截止时间。</w:t>
      </w:r>
      <w:r/>
    </w:p>
    <w:p>
      <w:pPr>
        <w:ind w:firstLine="44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2.2.4 投标人应及时通过“江苏政府采购网（http://www.ccgp-jiangsu.gov.cn/）”查询和下载澄清文件，查询和下载如有遗漏，其风险由投标人自行承担。</w:t>
      </w:r>
      <w:r/>
    </w:p>
    <w:p>
      <w:pPr>
        <w:ind w:firstLine="118"/>
        <w:keepLines/>
        <w:keepNext/>
        <w:spacing w:before="20" w:after="20" w:line="440" w:lineRule="exact"/>
        <w:rPr>
          <w:rFonts w:hint="eastAsia" w:ascii="宋体" w:hAnsi="宋体"/>
          <w:color w:val="000000" w:themeColor="text1"/>
          <w:szCs w:val="21"/>
          <w14:textFill>
            <w14:solidFill>
              <w14:schemeClr w14:val="tx1"/>
            </w14:solidFill>
          </w14:textFill>
        </w:rPr>
        <w:outlineLvl w:val="2"/>
      </w:pPr>
      <w:r/>
      <w:bookmarkStart w:id="77" w:name="_Toc110676277"/>
      <w:r>
        <w:rPr>
          <w:rFonts w:hint="eastAsia" w:ascii="宋体" w:hAnsi="宋体"/>
          <w:color w:val="000000" w:themeColor="text1"/>
          <w:szCs w:val="21"/>
          <w14:textFill>
            <w14:solidFill>
              <w14:schemeClr w14:val="tx1"/>
            </w14:solidFill>
          </w14:textFill>
        </w:rPr>
        <w:t xml:space="preserve">2.3 招标文件的修改</w:t>
      </w:r>
      <w:bookmarkEnd w:id="74"/>
      <w:r/>
      <w:bookmarkEnd w:id="75"/>
      <w:r/>
      <w:bookmarkEnd w:id="76"/>
      <w:r/>
      <w:bookmarkEnd w:id="77"/>
      <w:r/>
      <w:r/>
    </w:p>
    <w:p>
      <w:pPr>
        <w:ind w:firstLine="44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2.3.1 采购人或者采购代理机构可以对已发出的招标文件进行必要的修改。招标文件的修改将通过“江苏政府采购网（http://www.ccgp-jiangsu.gov.cn/）”公开发布。招标文件的修改是构成招标文件的组成部分。未按修改后的招标文件编制的投标文件有可能被否决。</w:t>
      </w:r>
      <w:r/>
    </w:p>
    <w:p>
      <w:pPr>
        <w:ind w:firstLine="440"/>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2.3.2 如果修改内容影响投标文件编制且不能满足投标人编制投标文件时间，采购人将视情况可能适当延长投标截止时间。</w:t>
      </w:r>
      <w:r/>
    </w:p>
    <w:p>
      <w:pPr>
        <w:ind w:firstLine="44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2.3.3 投标人应及时通过“江苏政府采购网（http://www.ccgp-jiangsu.gov.cn/）”查询和下载招标文件的修改，查询和下载如有遗漏，其风险由投标人自行承担。</w:t>
      </w:r>
      <w:r/>
    </w:p>
    <w:p>
      <w:pPr>
        <w:ind w:firstLine="440"/>
        <w:spacing w:line="44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firstLine="440"/>
        <w:spacing w:line="44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firstLine="440"/>
        <w:spacing w:line="44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numPr>
          <w:ilvl w:val="0"/>
          <w:numId w:val="2"/>
        </w:numPr>
        <w:jc w:val="center"/>
        <w:spacing w:line="440" w:lineRule="exact"/>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投标文件</w:t>
      </w:r>
      <w:r/>
    </w:p>
    <w:p>
      <w:pPr>
        <w:ind w:firstLine="440"/>
        <w:spacing w:line="360" w:lineRule="auto"/>
        <w:rPr>
          <w:rFonts w:hint="eastAsia" w:ascii="宋体" w:hAnsi="宋体" w:cs="宋体"/>
          <w:color w:val="000000" w:themeColor="text1"/>
          <w:sz w:val="22"/>
          <w14:textFill>
            <w14:solidFill>
              <w14:schemeClr w14:val="tx1"/>
            </w14:solidFill>
          </w14:textFill>
        </w:rPr>
        <w:outlineLvl w:val="2"/>
      </w:pPr>
      <w:r/>
      <w:bookmarkStart w:id="78" w:name="_Toc19018"/>
      <w:r/>
      <w:bookmarkStart w:id="79" w:name="_Toc23314"/>
      <w:r/>
      <w:bookmarkStart w:id="80" w:name="_Toc32403"/>
      <w:r/>
      <w:bookmarkStart w:id="81" w:name="_Toc16697"/>
      <w:r/>
      <w:bookmarkStart w:id="82" w:name="_Toc17381"/>
      <w:r/>
      <w:bookmarkStart w:id="83" w:name="_Toc11258"/>
      <w:r/>
      <w:bookmarkStart w:id="84" w:name="_Toc5062"/>
      <w:r>
        <w:rPr>
          <w:rFonts w:hint="eastAsia" w:ascii="宋体" w:hAnsi="宋体" w:cs="宋体"/>
          <w:color w:val="000000" w:themeColor="text1"/>
          <w:sz w:val="22"/>
          <w14:textFill>
            <w14:solidFill>
              <w14:schemeClr w14:val="tx1"/>
            </w14:solidFill>
          </w14:textFill>
        </w:rPr>
        <w:t xml:space="preserve">3.1 投标文件的构成</w:t>
      </w:r>
      <w:bookmarkEnd w:id="78"/>
      <w:r/>
      <w:bookmarkEnd w:id="79"/>
      <w:r/>
      <w:bookmarkEnd w:id="80"/>
      <w:r/>
      <w:bookmarkEnd w:id="81"/>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3.1.1 投标文件由下列内容组成：</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1</w:t>
      </w:r>
      <w:r>
        <w:rPr>
          <w:rFonts w:ascii="宋体" w:hAnsi="宋体" w:cs="宋体"/>
          <w:color w:val="000000" w:themeColor="text1"/>
          <w:sz w:val="22"/>
          <w14:textFill>
            <w14:solidFill>
              <w14:schemeClr w14:val="tx1"/>
            </w14:solidFill>
          </w14:textFill>
        </w:rPr>
        <w:t xml:space="preserve">. </w:t>
      </w:r>
      <w:r>
        <w:rPr>
          <w:rFonts w:hint="eastAsia" w:ascii="宋体" w:hAnsi="宋体" w:cs="宋体"/>
          <w:color w:val="000000" w:themeColor="text1"/>
          <w:sz w:val="22"/>
          <w14:textFill>
            <w14:solidFill>
              <w14:schemeClr w14:val="tx1"/>
            </w14:solidFill>
          </w14:textFill>
        </w:rPr>
        <w:t xml:space="preserve">基本目录</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2．资格证明文件</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3．符合证明文件</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4．综合评审评分项</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3.1.2 第七章“投标文件格式”中要求提供相关证明材料的原件扫描件作为附件的，供应商应按要求在投标文件中提供相应材料。否则，不予认可。</w:t>
      </w:r>
      <w:r/>
    </w:p>
    <w:p>
      <w:pPr>
        <w:ind w:firstLine="440"/>
        <w:spacing w:line="360" w:lineRule="auto"/>
        <w:rPr>
          <w:rFonts w:hint="eastAsia" w:ascii="宋体" w:hAnsi="宋体" w:cs="宋体"/>
          <w:color w:val="000000" w:themeColor="text1"/>
          <w:sz w:val="22"/>
          <w14:textFill>
            <w14:solidFill>
              <w14:schemeClr w14:val="tx1"/>
            </w14:solidFill>
          </w14:textFill>
        </w:rPr>
        <w:outlineLvl w:val="2"/>
      </w:pPr>
      <w:r/>
      <w:bookmarkStart w:id="85" w:name="_Toc11397"/>
      <w:r/>
      <w:bookmarkStart w:id="86" w:name="_Toc23064"/>
      <w:r/>
      <w:bookmarkStart w:id="87" w:name="_Toc10094"/>
      <w:r/>
      <w:bookmarkStart w:id="88" w:name="_Toc25754"/>
      <w:r>
        <w:rPr>
          <w:rFonts w:hint="eastAsia" w:ascii="宋体" w:hAnsi="宋体" w:cs="宋体"/>
          <w:color w:val="000000" w:themeColor="text1"/>
          <w:sz w:val="22"/>
          <w14:textFill>
            <w14:solidFill>
              <w14:schemeClr w14:val="tx1"/>
            </w14:solidFill>
          </w14:textFill>
        </w:rPr>
        <w:t xml:space="preserve">3.2.投标报价</w:t>
      </w:r>
      <w:bookmarkEnd w:id="85"/>
      <w:r/>
      <w:bookmarkEnd w:id="86"/>
      <w:r/>
      <w:bookmarkEnd w:id="87"/>
      <w:r/>
      <w:bookmarkEnd w:id="88"/>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3.2.1 投标报价应包含但不限于：各项服务内容收费及服务所需日常用耗材、备件、易耗品费及服务人员工资等各类费用（加班费、福利、社会保险费等）、设备折旧费、管理费和税金等一切费用。</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3.2.2 供应商按第七章“投标文件格式”在开标一览表及投标报价明细表中进行投标报价，否则其投标无效。投标报价明细表中不得出现“漏报”或“零”报价，否则其投标无效。</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3.2.3 本次投标报价为一次不得更改报价，供应商只有一次报价的机会。投标报价不得有选择性报价和附有条件的报价，且投标总价不得高于采购人设定的最高限价，否则其投标无效。</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3.2.4 供应商不得以任何方式或者方法提供报价以外的任何附赠条款，否则其投标无效。</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3.2.5 在合同执行期间，中标人的合同产品单价是固定不变的。以可调单价提交的投标文件将被视为非实质性响应性投标，作为无效投标处理。</w:t>
      </w:r>
      <w:r/>
    </w:p>
    <w:p>
      <w:pPr>
        <w:ind w:firstLine="440"/>
        <w:spacing w:line="360" w:lineRule="auto"/>
        <w:rPr>
          <w:rFonts w:hint="eastAsia" w:ascii="宋体" w:hAnsi="宋体" w:cs="宋体"/>
          <w:color w:val="000000" w:themeColor="text1"/>
          <w:sz w:val="22"/>
          <w14:textFill>
            <w14:solidFill>
              <w14:schemeClr w14:val="tx1"/>
            </w14:solidFill>
          </w14:textFill>
        </w:rPr>
        <w:outlineLvl w:val="2"/>
      </w:pPr>
      <w:r/>
      <w:bookmarkStart w:id="89" w:name="_Toc10338"/>
      <w:r/>
      <w:bookmarkStart w:id="90" w:name="_Toc21868"/>
      <w:r/>
      <w:bookmarkStart w:id="91" w:name="_Toc24184"/>
      <w:r/>
      <w:bookmarkStart w:id="92" w:name="_Toc15276"/>
      <w:r/>
      <w:bookmarkStart w:id="93" w:name="_Toc27515"/>
      <w:r>
        <w:rPr>
          <w:rFonts w:hint="eastAsia" w:ascii="宋体" w:hAnsi="宋体" w:cs="宋体"/>
          <w:color w:val="000000" w:themeColor="text1"/>
          <w:sz w:val="22"/>
          <w14:textFill>
            <w14:solidFill>
              <w14:schemeClr w14:val="tx1"/>
            </w14:solidFill>
          </w14:textFill>
        </w:rPr>
        <w:t xml:space="preserve">3.3 投标有效期</w:t>
      </w:r>
      <w:bookmarkEnd w:id="89"/>
      <w:r/>
      <w:bookmarkEnd w:id="90"/>
      <w:r/>
      <w:bookmarkEnd w:id="91"/>
      <w:r/>
      <w:bookmarkEnd w:id="92"/>
      <w:r/>
      <w:bookmarkEnd w:id="93"/>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3.3.1 在投标须知前附表规定的有效期内，投标文件应保持有效。有效期短于该规定期限的投标，将作为无效投标处理。</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p>
    <w:p>
      <w:pPr>
        <w:ind w:firstLine="440"/>
        <w:spacing w:line="360" w:lineRule="auto"/>
        <w:rPr>
          <w:rFonts w:hint="eastAsia" w:ascii="宋体" w:hAnsi="宋体" w:cs="宋体"/>
          <w:color w:val="000000" w:themeColor="text1"/>
          <w:sz w:val="22"/>
          <w14:textFill>
            <w14:solidFill>
              <w14:schemeClr w14:val="tx1"/>
            </w14:solidFill>
          </w14:textFill>
        </w:rPr>
        <w:outlineLvl w:val="2"/>
      </w:pPr>
      <w:r/>
      <w:bookmarkStart w:id="94" w:name="_Toc12942"/>
      <w:r/>
      <w:bookmarkStart w:id="95" w:name="_Toc15008"/>
      <w:r>
        <w:rPr>
          <w:rFonts w:hint="eastAsia" w:ascii="宋体" w:hAnsi="宋体" w:cs="宋体"/>
          <w:color w:val="000000" w:themeColor="text1"/>
          <w:sz w:val="22"/>
          <w14:textFill>
            <w14:solidFill>
              <w14:schemeClr w14:val="tx1"/>
            </w14:solidFill>
          </w14:textFill>
        </w:rPr>
        <w:t xml:space="preserve">3.4 资格证明资料</w:t>
      </w:r>
      <w:bookmarkEnd w:id="94"/>
      <w:r/>
      <w:r/>
    </w:p>
    <w:p>
      <w:pPr>
        <w:ind w:firstLine="440"/>
        <w:spacing w:line="360" w:lineRule="auto"/>
        <w:rPr>
          <w:rFonts w:hint="eastAsia" w:ascii="宋体" w:hAnsi="宋体" w:cs="宋体"/>
          <w:color w:val="000000" w:themeColor="text1"/>
          <w:sz w:val="22"/>
          <w14:textFill>
            <w14:solidFill>
              <w14:schemeClr w14:val="tx1"/>
            </w14:solidFill>
          </w14:textFill>
        </w:rPr>
      </w:pPr>
      <w:r/>
      <w:bookmarkStart w:id="96" w:name="_Toc26649"/>
      <w:r>
        <w:rPr>
          <w:rFonts w:hint="eastAsia" w:ascii="宋体" w:hAnsi="宋体" w:cs="宋体"/>
          <w:color w:val="000000" w:themeColor="text1"/>
          <w:sz w:val="22"/>
          <w14:textFill>
            <w14:solidFill>
              <w14:schemeClr w14:val="tx1"/>
            </w14:solidFill>
          </w14:textFill>
        </w:rPr>
        <w:t xml:space="preserve">3.4.1 供应商应按下列规定提供资格证明材料，以证明其满足本项目供应商资格要求：</w:t>
      </w:r>
      <w:bookmarkEnd w:id="96"/>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（1）营业执照或事业单位法人证书原件扫描件；</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（2）投标文件提交截止日前上个季度的财务状况表（至少包含资产负债表和利润表）原件扫描件（如为成立不足一年的可不提供）或承诺书；</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投标文件提交截止日当月或前3个月任一月份缴纳税收的凭据（完税证明或银行扣款凭证）原件扫描件（如为依法免税或缓缴的应提供相应证明原件扫描件）或承诺书；投标文件提交截止日当月或前3个月任一月份缴纳社会保险的凭据原件扫描件（如为依法免税或缓缴的应提供相应证明原件扫描件）或承诺书；</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（4）履行合同所必需的设备和专业技术能力声明函原件或承诺书；</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（5）参加政府采购活动前三年内（成立不足三年，自成立之日起），在经营活动中无重大违法记录声明函原件或承诺书；</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（6）本项目特定资格要求（详见招标公告）。</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3.4.2 采购人有权核查供应商在投标文件中提供的资料，若在评标期间发现供应商提供了虚假资料，其投标将被否决；若在签订合同前发现作为中标候选人的供应商提供了虚假资料，采购人有权取消其中标资格；若在合同实施期间发现供应商提供了虚假资料，采购人有权从合同价款扣除不超过 5％签约合同价的金额作为违约金。同时采购人将供应商上述弄虚作假行为上报政府采购监督管理部门。</w:t>
      </w:r>
      <w:r/>
    </w:p>
    <w:p>
      <w:pPr>
        <w:ind w:firstLine="440"/>
        <w:spacing w:line="360" w:lineRule="auto"/>
        <w:rPr>
          <w:rFonts w:hint="eastAsia" w:ascii="宋体" w:hAnsi="宋体" w:cs="宋体"/>
          <w:color w:val="000000" w:themeColor="text1"/>
          <w:sz w:val="22"/>
          <w14:textFill>
            <w14:solidFill>
              <w14:schemeClr w14:val="tx1"/>
            </w14:solidFill>
          </w14:textFill>
        </w:rPr>
        <w:outlineLvl w:val="2"/>
      </w:pPr>
      <w:r/>
      <w:bookmarkStart w:id="97" w:name="_Toc29124"/>
      <w:r>
        <w:rPr>
          <w:rFonts w:hint="eastAsia" w:ascii="宋体" w:hAnsi="宋体" w:cs="宋体"/>
          <w:color w:val="000000" w:themeColor="text1"/>
          <w:sz w:val="22"/>
          <w14:textFill>
            <w14:solidFill>
              <w14:schemeClr w14:val="tx1"/>
            </w14:solidFill>
          </w14:textFill>
        </w:rPr>
        <w:t xml:space="preserve">3.5 投标文件的编制</w:t>
      </w:r>
      <w:bookmarkEnd w:id="95"/>
      <w:r/>
      <w:bookmarkEnd w:id="97"/>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3.5.1 投标文件应按第七章“投标文件格式”进行编写，如有必要，可以增加附页，作为投标文件的组成部分。</w:t>
      </w:r>
      <w:r/>
    </w:p>
    <w:p>
      <w:pPr>
        <w:ind w:firstLine="440"/>
        <w:spacing w:line="44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firstLine="440"/>
        <w:spacing w:line="44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firstLine="440"/>
        <w:spacing w:line="44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bookmarkEnd w:id="82"/>
      <w:bookmarkEnd w:id="83"/>
      <w:bookmarkEnd w:id="84"/>
      <w:r/>
    </w:p>
    <w:p>
      <w:pPr>
        <w:ind w:firstLine="440"/>
        <w:spacing w:line="44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firstLine="440"/>
        <w:spacing w:line="44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firstLine="440"/>
        <w:spacing w:line="44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firstLine="482"/>
        <w:jc w:val="center"/>
        <w:spacing w:before="320" w:after="320" w:line="440" w:lineRule="exact"/>
        <w:rPr>
          <w:rFonts w:hint="eastAsia"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br w:type="page" w:clear="all"/>
      </w:r>
      <w:r>
        <w:rPr>
          <w:rFonts w:hint="eastAsia" w:ascii="宋体" w:hAnsi="宋体" w:cs="宋体"/>
          <w:b/>
          <w:bCs/>
          <w:color w:val="000000" w:themeColor="text1"/>
          <w:sz w:val="24"/>
          <w14:textFill>
            <w14:solidFill>
              <w14:schemeClr w14:val="tx1"/>
            </w14:solidFill>
          </w14:textFill>
        </w:rPr>
        <w:t xml:space="preserve">四、投标文件的提交</w:t>
      </w:r>
      <w:r/>
    </w:p>
    <w:p>
      <w:pPr>
        <w:ind w:firstLine="440"/>
        <w:spacing w:line="360" w:lineRule="auto"/>
        <w:rPr>
          <w:rFonts w:hint="eastAsia" w:ascii="宋体" w:hAnsi="宋体" w:cs="宋体"/>
          <w:color w:val="000000" w:themeColor="text1"/>
          <w:sz w:val="22"/>
          <w14:textFill>
            <w14:solidFill>
              <w14:schemeClr w14:val="tx1"/>
            </w14:solidFill>
          </w14:textFill>
        </w:rPr>
        <w:outlineLvl w:val="2"/>
      </w:pPr>
      <w:r>
        <w:rPr>
          <w:rFonts w:hint="eastAsia" w:ascii="宋体" w:hAnsi="宋体" w:cs="宋体"/>
          <w:color w:val="000000" w:themeColor="text1"/>
          <w:sz w:val="22"/>
          <w14:textFill>
            <w14:solidFill>
              <w14:schemeClr w14:val="tx1"/>
            </w14:solidFill>
          </w14:textFill>
        </w:rPr>
        <w:t xml:space="preserve">4.1.投标文件的密封和标记</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4.1.1. 密封（加密）要求：</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4.1.2. 供应商应当按照《招标文件》和“苏采云”系统的要求编制并加密投标文件。本项目供应商须通过“苏采云”系统提供的政府采购客户端工具（使用“CA数字证书”）对其数据电文形式的投标文件加密。</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4.1.3 签署要求：见《招标文件》附件中相关格式要求。</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4.1.4 盖章要求：见《招标文件》附件中相关格式要求。供应商须通过“苏采云”系统提供的政府采购客户端工具（使用“CA数字证书”）加盖电子签章。</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4.1.5 特别提醒：招标文件中如需“被授权代表签字或盖章”，供应商可打印成文档，签字或盖章后再扫描上传，最后再电子签章。</w:t>
      </w:r>
      <w:r/>
    </w:p>
    <w:p>
      <w:pPr>
        <w:ind w:firstLine="440"/>
        <w:spacing w:line="360" w:lineRule="auto"/>
        <w:rPr>
          <w:rFonts w:hint="eastAsia" w:ascii="宋体" w:hAnsi="宋体" w:cs="宋体"/>
          <w:color w:val="000000" w:themeColor="text1"/>
          <w:sz w:val="22"/>
          <w14:textFill>
            <w14:solidFill>
              <w14:schemeClr w14:val="tx1"/>
            </w14:solidFill>
          </w14:textFill>
        </w:rPr>
        <w:outlineLvl w:val="2"/>
      </w:pPr>
      <w:r>
        <w:rPr>
          <w:rFonts w:hint="eastAsia" w:ascii="宋体" w:hAnsi="宋体" w:cs="宋体"/>
          <w:color w:val="000000" w:themeColor="text1"/>
          <w:sz w:val="22"/>
          <w14:textFill>
            <w14:solidFill>
              <w14:schemeClr w14:val="tx1"/>
            </w14:solidFill>
          </w14:textFill>
        </w:rPr>
        <w:t xml:space="preserve">4.2. 投标文件的递交</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本项目通过“苏采云”系统进行电子采购，即供应商投标文件从政府采购客户端工具制作并通过“苏采云”系统提交。</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供应商应当通过“苏采云”系统提交数据电文形式的投标文件（即电子投标）。未进行线上投标文件提交并解密(因“苏采云”系统导致解密失败的除外)的供应商，响应无效。其线下提交的（纸质）投标文件，采购代理机构退回拒收。</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“CA数字证书”的获取：详见招标公告。</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使用需要第三方认证的电子签名、数据电文，通过互联网方式提交投标文件。即：使用“电子签名认证证书（CA数字证书）”登录“苏采云”系统（网址：http://jszfcg.jsczt.cn/，点击“苏采云”进入系统），按照要求通过互联网方式提交投标文件。</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“苏采云”系统使用要求：</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1．使用谷歌浏览器参与不见面开标。</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2．电脑需提前准备好麦克风、音响，摄像头，提前检查保证能够正常使用。</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3．操作系统至少win7以上，建议使用win10操作系统。</w:t>
      </w:r>
      <w:r/>
    </w:p>
    <w:p>
      <w:pPr>
        <w:ind w:firstLine="440"/>
        <w:spacing w:line="360" w:lineRule="auto"/>
        <w:rPr>
          <w:rFonts w:hint="eastAsia" w:ascii="宋体" w:hAnsi="宋体" w:cs="宋体"/>
          <w:color w:val="000000" w:themeColor="text1"/>
          <w:sz w:val="22"/>
          <w14:textFill>
            <w14:solidFill>
              <w14:schemeClr w14:val="tx1"/>
            </w14:solidFill>
          </w14:textFill>
        </w:rPr>
        <w:outlineLvl w:val="2"/>
      </w:pPr>
      <w:r>
        <w:rPr>
          <w:rFonts w:hint="eastAsia" w:ascii="宋体" w:hAnsi="宋体" w:cs="宋体"/>
          <w:color w:val="000000" w:themeColor="text1"/>
          <w:sz w:val="22"/>
          <w14:textFill>
            <w14:solidFill>
              <w14:schemeClr w14:val="tx1"/>
            </w14:solidFill>
          </w14:textFill>
        </w:rPr>
        <w:t xml:space="preserve">4.3 通过“苏采云”系统提交政府采购客户端工具导出加密的投标文件（后缀名为zip）。投标文件不得超过350M！单个视频演示文件不得超过50M！</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注：供应商应当按照《招标文件》的要求编制投标文件，并对其提交的投标文件的真实性、合法性承担法律责任。</w:t>
      </w:r>
      <w:r/>
    </w:p>
    <w:p>
      <w:pPr>
        <w:ind w:firstLine="440"/>
        <w:spacing w:line="360" w:lineRule="auto"/>
        <w:rPr>
          <w:rFonts w:hint="eastAsia" w:ascii="宋体" w:hAnsi="宋体" w:cs="宋体"/>
          <w:color w:val="000000" w:themeColor="text1"/>
          <w:sz w:val="22"/>
          <w14:textFill>
            <w14:solidFill>
              <w14:schemeClr w14:val="tx1"/>
            </w14:solidFill>
          </w14:textFill>
        </w:rPr>
        <w:outlineLvl w:val="2"/>
      </w:pPr>
      <w:r>
        <w:rPr>
          <w:rFonts w:hint="eastAsia" w:ascii="宋体" w:hAnsi="宋体" w:cs="宋体"/>
          <w:color w:val="000000" w:themeColor="text1"/>
          <w:sz w:val="22"/>
          <w14:textFill>
            <w14:solidFill>
              <w14:schemeClr w14:val="tx1"/>
            </w14:solidFill>
          </w14:textFill>
        </w:rPr>
        <w:t xml:space="preserve">4.4.投标文件的修改和撤回</w:t>
      </w:r>
      <w:r/>
    </w:p>
    <w:p>
      <w:pPr>
        <w:ind w:firstLine="44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供应商在投标文件提交的截止时间前，可以对所提交的投标文件进行补充、修改或者撤回。补充、修改的内容作为投标文件的组成部分。补充、修改的内容与投标文件不一致的，以补充、修改的内容为准。</w:t>
      </w:r>
      <w:r/>
    </w:p>
    <w:p>
      <w:pPr>
        <w:jc w:val="center"/>
        <w:spacing w:line="360" w:lineRule="auto"/>
        <w:rPr>
          <w:rFonts w:hint="eastAsia" w:ascii="宋体" w:hAnsi="宋体" w:cs="宋体"/>
          <w:b/>
          <w:bCs/>
          <w:color w:val="000000" w:themeColor="text1"/>
          <w:sz w:val="24"/>
          <w14:textFill>
            <w14:solidFill>
              <w14:schemeClr w14:val="tx1"/>
            </w14:solidFill>
          </w14:textFill>
        </w:rPr>
        <w:outlineLvl w:val="1"/>
      </w:pPr>
      <w:r>
        <w:rPr>
          <w:rFonts w:hint="eastAsia" w:ascii="宋体" w:hAnsi="宋体" w:cs="宋体"/>
          <w:b/>
          <w:bCs/>
          <w:color w:val="000000" w:themeColor="text1"/>
          <w:sz w:val="24"/>
          <w14:textFill>
            <w14:solidFill>
              <w14:schemeClr w14:val="tx1"/>
            </w14:solidFill>
          </w14:textFill>
        </w:rPr>
        <w:t xml:space="preserve">五、开标、评标</w:t>
      </w:r>
      <w:r/>
    </w:p>
    <w:p>
      <w:pPr>
        <w:ind w:firstLine="440"/>
        <w:spacing w:line="360" w:lineRule="auto"/>
        <w:rPr>
          <w:rFonts w:hint="eastAsia" w:ascii="宋体" w:hAnsi="宋体" w:cs="宋体"/>
          <w:color w:val="000000" w:themeColor="text1"/>
          <w:sz w:val="22"/>
          <w14:textFill>
            <w14:solidFill>
              <w14:schemeClr w14:val="tx1"/>
            </w14:solidFill>
          </w14:textFill>
        </w:rPr>
        <w:outlineLvl w:val="2"/>
      </w:pPr>
      <w:r>
        <w:rPr>
          <w:rFonts w:hint="eastAsia" w:ascii="宋体" w:hAnsi="宋体" w:cs="宋体"/>
          <w:color w:val="000000" w:themeColor="text1"/>
          <w:sz w:val="22"/>
          <w14:textFill>
            <w14:solidFill>
              <w14:schemeClr w14:val="tx1"/>
            </w14:solidFill>
          </w14:textFill>
        </w:rPr>
        <w:t xml:space="preserve">5.1 开标</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5.1.1</w:t>
      </w:r>
      <w:r>
        <w:rPr>
          <w:rFonts w:hint="eastAsia" w:ascii="宋体" w:hAnsi="宋体" w:cs="宋体"/>
          <w:color w:val="000000" w:themeColor="text1"/>
          <w:sz w:val="22"/>
          <w14:textFill>
            <w14:solidFill>
              <w14:schemeClr w14:val="tx1"/>
            </w14:solidFill>
          </w14:textFill>
        </w:rPr>
        <w:tab/>
      </w:r>
      <w:r>
        <w:rPr>
          <w:rFonts w:hint="eastAsia" w:ascii="宋体" w:hAnsi="宋体" w:cs="宋体"/>
          <w:color w:val="000000" w:themeColor="text1"/>
          <w:sz w:val="22"/>
          <w14:textFill>
            <w14:solidFill>
              <w14:schemeClr w14:val="tx1"/>
            </w14:solidFill>
          </w14:textFill>
        </w:rPr>
        <w:t xml:space="preserve">采购人或采购代理机构在供应商须知前附表规定的时间和地点举行开标会议。</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5.1.2</w:t>
      </w:r>
      <w:r>
        <w:rPr>
          <w:rFonts w:hint="eastAsia" w:ascii="宋体" w:hAnsi="宋体" w:cs="宋体"/>
          <w:color w:val="000000" w:themeColor="text1"/>
          <w:sz w:val="22"/>
          <w14:textFill>
            <w14:solidFill>
              <w14:schemeClr w14:val="tx1"/>
            </w14:solidFill>
          </w14:textFill>
        </w:rPr>
        <w:tab/>
      </w:r>
      <w:r>
        <w:rPr>
          <w:rFonts w:hint="eastAsia" w:ascii="宋体" w:hAnsi="宋体" w:cs="宋体"/>
          <w:color w:val="000000" w:themeColor="text1"/>
          <w:sz w:val="22"/>
          <w14:textFill>
            <w14:solidFill>
              <w14:schemeClr w14:val="tx1"/>
            </w14:solidFill>
          </w14:textFill>
        </w:rPr>
        <w:t xml:space="preserve">在截止时间后提交的投标文件为无效文件，将被拒收。</w:t>
      </w:r>
      <w:r/>
    </w:p>
    <w:p>
      <w:pPr>
        <w:ind w:firstLine="440"/>
        <w:spacing w:line="360" w:lineRule="auto"/>
        <w:rPr>
          <w:rFonts w:hint="eastAsia" w:ascii="宋体" w:hAnsi="宋体" w:cs="宋体"/>
          <w:color w:val="000000" w:themeColor="text1"/>
          <w:sz w:val="22"/>
          <w14:textFill>
            <w14:solidFill>
              <w14:schemeClr w14:val="tx1"/>
            </w14:solidFill>
          </w14:textFill>
        </w:rPr>
        <w:outlineLvl w:val="2"/>
      </w:pPr>
      <w:r>
        <w:rPr>
          <w:rFonts w:hint="eastAsia" w:ascii="宋体" w:hAnsi="宋体" w:cs="宋体"/>
          <w:color w:val="000000" w:themeColor="text1"/>
          <w:sz w:val="22"/>
          <w14:textFill>
            <w14:solidFill>
              <w14:schemeClr w14:val="tx1"/>
            </w14:solidFill>
          </w14:textFill>
        </w:rPr>
        <w:t xml:space="preserve">5.2</w:t>
      </w:r>
      <w:r>
        <w:rPr>
          <w:rFonts w:hint="eastAsia" w:ascii="宋体" w:hAnsi="宋体" w:cs="宋体"/>
          <w:color w:val="000000" w:themeColor="text1"/>
          <w:sz w:val="22"/>
          <w14:textFill>
            <w14:solidFill>
              <w14:schemeClr w14:val="tx1"/>
            </w14:solidFill>
          </w14:textFill>
        </w:rPr>
        <w:tab/>
      </w:r>
      <w:r>
        <w:rPr>
          <w:rFonts w:hint="eastAsia" w:ascii="宋体" w:hAnsi="宋体" w:cs="宋体"/>
          <w:color w:val="000000" w:themeColor="text1"/>
          <w:sz w:val="22"/>
          <w14:textFill>
            <w14:solidFill>
              <w14:schemeClr w14:val="tx1"/>
            </w14:solidFill>
          </w14:textFill>
        </w:rPr>
        <w:t xml:space="preserve">开标流程</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5.2.1</w:t>
      </w:r>
      <w:r>
        <w:rPr>
          <w:rFonts w:hint="eastAsia" w:ascii="宋体" w:hAnsi="宋体" w:cs="宋体"/>
          <w:color w:val="000000" w:themeColor="text1"/>
          <w:sz w:val="22"/>
          <w14:textFill>
            <w14:solidFill>
              <w14:schemeClr w14:val="tx1"/>
            </w14:solidFill>
          </w14:textFill>
        </w:rPr>
        <w:tab/>
      </w:r>
      <w:r>
        <w:rPr>
          <w:rFonts w:hint="eastAsia" w:ascii="宋体" w:hAnsi="宋体" w:cs="宋体"/>
          <w:color w:val="000000" w:themeColor="text1"/>
          <w:sz w:val="22"/>
          <w14:textFill>
            <w14:solidFill>
              <w14:schemeClr w14:val="tx1"/>
            </w14:solidFill>
          </w14:textFill>
        </w:rPr>
        <w:t xml:space="preserve">被邀请参与开标的供应商需按本招标文件要求的截止时间、方式（地点）提交投标文件，，同时派人通过“苏采云”系统在“开标大厅”参与不见面开标。</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5.2.2</w:t>
      </w:r>
      <w:r>
        <w:rPr>
          <w:rFonts w:hint="eastAsia" w:ascii="宋体" w:hAnsi="宋体" w:cs="宋体"/>
          <w:color w:val="000000" w:themeColor="text1"/>
          <w:sz w:val="22"/>
          <w14:textFill>
            <w14:solidFill>
              <w14:schemeClr w14:val="tx1"/>
            </w14:solidFill>
          </w14:textFill>
        </w:rPr>
        <w:tab/>
      </w:r>
      <w:r>
        <w:rPr>
          <w:rFonts w:hint="eastAsia" w:ascii="宋体" w:hAnsi="宋体" w:cs="宋体"/>
          <w:color w:val="000000" w:themeColor="text1"/>
          <w:sz w:val="22"/>
          <w14:textFill>
            <w14:solidFill>
              <w14:schemeClr w14:val="tx1"/>
            </w14:solidFill>
          </w14:textFill>
        </w:rPr>
        <w:t xml:space="preserve">到达开启时间，“苏采云”系统自动提取所有投标文件，供应商按招标文件规定方式按时在线解密。本项目招标文件规定的供应商按时在线解密方式：开启时间后30分钟内，通过“苏采云”系统（使用“CA数字证书”）解密。</w:t>
      </w:r>
      <w:r/>
    </w:p>
    <w:p>
      <w:pPr>
        <w:ind w:firstLine="440"/>
        <w:spacing w:line="360" w:lineRule="auto"/>
        <w:rPr>
          <w:rFonts w:hint="eastAsia" w:ascii="宋体" w:hAnsi="宋体" w:cs="宋体"/>
          <w:color w:val="000000" w:themeColor="text1"/>
          <w:sz w:val="22"/>
          <w14:textFill>
            <w14:solidFill>
              <w14:schemeClr w14:val="tx1"/>
            </w14:solidFill>
          </w14:textFill>
        </w:rPr>
        <w:outlineLvl w:val="2"/>
      </w:pPr>
      <w:r>
        <w:rPr>
          <w:rFonts w:hint="eastAsia" w:ascii="宋体" w:hAnsi="宋体" w:cs="宋体"/>
          <w:color w:val="000000" w:themeColor="text1"/>
          <w:sz w:val="22"/>
          <w14:textFill>
            <w14:solidFill>
              <w14:schemeClr w14:val="tx1"/>
            </w14:solidFill>
          </w14:textFill>
        </w:rPr>
        <w:t xml:space="preserve">5.3.注意事项</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5.3.1</w:t>
      </w:r>
      <w:r>
        <w:rPr>
          <w:rFonts w:hint="eastAsia" w:ascii="宋体" w:hAnsi="宋体" w:cs="宋体"/>
          <w:color w:val="000000" w:themeColor="text1"/>
          <w:sz w:val="22"/>
          <w14:textFill>
            <w14:solidFill>
              <w14:schemeClr w14:val="tx1"/>
            </w14:solidFill>
          </w14:textFill>
        </w:rPr>
        <w:tab/>
      </w:r>
      <w:r>
        <w:rPr>
          <w:rFonts w:hint="eastAsia" w:ascii="宋体" w:hAnsi="宋体" w:cs="宋体"/>
          <w:color w:val="000000" w:themeColor="text1"/>
          <w:sz w:val="22"/>
          <w14:textFill>
            <w14:solidFill>
              <w14:schemeClr w14:val="tx1"/>
            </w14:solidFill>
          </w14:textFill>
        </w:rPr>
        <w:t xml:space="preserve">供应商法定代表人或其授权委托人在开标会议期间，不得擅自离开“苏采云”系统的“开标大厅”。否则，由此造成的一切后果均由供应商自己承担。</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5.3.2</w:t>
      </w:r>
      <w:r>
        <w:rPr>
          <w:rFonts w:hint="eastAsia" w:ascii="宋体" w:hAnsi="宋体" w:cs="宋体"/>
          <w:color w:val="000000" w:themeColor="text1"/>
          <w:sz w:val="22"/>
          <w14:textFill>
            <w14:solidFill>
              <w14:schemeClr w14:val="tx1"/>
            </w14:solidFill>
          </w14:textFill>
        </w:rPr>
        <w:tab/>
      </w:r>
      <w:r>
        <w:rPr>
          <w:rFonts w:hint="eastAsia" w:ascii="宋体" w:hAnsi="宋体" w:cs="宋体"/>
          <w:color w:val="000000" w:themeColor="text1"/>
          <w:sz w:val="22"/>
          <w14:textFill>
            <w14:solidFill>
              <w14:schemeClr w14:val="tx1"/>
            </w14:solidFill>
          </w14:textFill>
        </w:rPr>
        <w:t xml:space="preserve">招标文件（后缀名为“.kedt”）、供应商操作手册及政府采购客户端工具可通过“苏采云”系统（网址：http://jszfcg.jsczt.cn/）--已报名项目--报名详情页面内相应链接进行下载；供应商操作手册及政府采购客户端工具可通过泰州政府采购网—服务指南--下载中心，点击进入“苏采云系统操作手册（供应商）”，进行下载。</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5.3.3</w:t>
      </w:r>
      <w:r>
        <w:rPr>
          <w:rFonts w:hint="eastAsia" w:ascii="宋体" w:hAnsi="宋体" w:cs="宋体"/>
          <w:color w:val="000000" w:themeColor="text1"/>
          <w:sz w:val="22"/>
          <w14:textFill>
            <w14:solidFill>
              <w14:schemeClr w14:val="tx1"/>
            </w14:solidFill>
          </w14:textFill>
        </w:rPr>
        <w:tab/>
      </w:r>
      <w:r>
        <w:rPr>
          <w:rFonts w:hint="eastAsia" w:ascii="宋体" w:hAnsi="宋体" w:cs="宋体"/>
          <w:color w:val="000000" w:themeColor="text1"/>
          <w:sz w:val="22"/>
          <w14:textFill>
            <w14:solidFill>
              <w14:schemeClr w14:val="tx1"/>
            </w14:solidFill>
          </w14:textFill>
        </w:rPr>
        <w:t xml:space="preserve">相关说明: 供应商在“苏采云”系统中提交投标文件的时间即为数据电文（投标文件）的发送时间和接收时间。</w:t>
      </w:r>
      <w:r/>
    </w:p>
    <w:p>
      <w:pPr>
        <w:ind w:firstLine="440"/>
        <w:spacing w:line="360" w:lineRule="auto"/>
        <w:rPr>
          <w:rFonts w:hint="eastAsia" w:ascii="宋体" w:hAnsi="宋体" w:cs="宋体"/>
          <w:color w:val="000000" w:themeColor="text1"/>
          <w:sz w:val="22"/>
          <w14:textFill>
            <w14:solidFill>
              <w14:schemeClr w14:val="tx1"/>
            </w14:solidFill>
          </w14:textFill>
        </w:rPr>
        <w:outlineLvl w:val="2"/>
      </w:pPr>
      <w:r>
        <w:rPr>
          <w:rFonts w:hint="eastAsia" w:ascii="宋体" w:hAnsi="宋体" w:cs="宋体"/>
          <w:color w:val="000000" w:themeColor="text1"/>
          <w:sz w:val="22"/>
          <w14:textFill>
            <w14:solidFill>
              <w14:schemeClr w14:val="tx1"/>
            </w14:solidFill>
          </w14:textFill>
        </w:rPr>
        <w:t xml:space="preserve">5.4 资格评审</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5.4.1开标结束后，采购人或者采购代理机构依法对投标人的资格进行审查。</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5.4.2采购人或者采购代理机构应当按照第三章“资格审查办法”规定的资格评审标准对投标文件进行资格评审。</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5.4.3 资格评审结束后，合格投标人不足3家的，不得评标。</w:t>
      </w:r>
      <w:r/>
    </w:p>
    <w:p>
      <w:pPr>
        <w:ind w:firstLine="440"/>
        <w:spacing w:line="360" w:lineRule="auto"/>
        <w:rPr>
          <w:rFonts w:hint="eastAsia" w:ascii="宋体" w:hAnsi="宋体" w:cs="宋体"/>
          <w:color w:val="000000" w:themeColor="text1"/>
          <w:sz w:val="22"/>
          <w14:textFill>
            <w14:solidFill>
              <w14:schemeClr w14:val="tx1"/>
            </w14:solidFill>
          </w14:textFill>
        </w:rPr>
        <w:outlineLvl w:val="2"/>
      </w:pPr>
      <w:r>
        <w:rPr>
          <w:rFonts w:hint="eastAsia" w:ascii="宋体" w:hAnsi="宋体" w:cs="宋体"/>
          <w:color w:val="000000" w:themeColor="text1"/>
          <w:sz w:val="22"/>
          <w14:textFill>
            <w14:solidFill>
              <w14:schemeClr w14:val="tx1"/>
            </w14:solidFill>
          </w14:textFill>
        </w:rPr>
        <w:t xml:space="preserve">5.5 评标委员会</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5.5.1 评标委员会由采购人代表和评审专家组成，成员人数见投标须知前附表。</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5.5.2 评标委员会成员有下列情形之一的，应当回避；已经进入的，应当退出:</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（1）投标人或者投标人主要负责人的近亲属；</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（2）项目主管部门或者行政监督部门的人员；</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（3）与投标人有经济利益关系；</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（4）曾因在招标、评标以及其他与招标投标有关系活动中从事违法行为而受到行政处罚或者刑事处罚的；</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（5）与投标人有其他利害关系与投标人有利害关系。</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5.5.3 特殊情况处置</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（1）评标活动终止</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②发生下列情况之一的，评标委员会应终止评标并按照废标处理：</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a.发生了不可抗力事件；</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b.评标委员会名单泄密或者评标委员成员无法中途更换的；</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c.发生评标信息泄露或者出现非法干预评审、谈判工作的；</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d.监督人员现场发现评标委员会或者成员未按照招标文件规定评审或者存在违反法律法规规定行为，且拒绝改正的。</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出现上述情形的，评标委员会有权予以废标或者建议采购人和采购代理机构封存招标文件和所有投标或投标文件，择期重新组建评标委员会进行评审。</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(2)评标委员会中途更换成员</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①除非发生下列情况之一，评标委员会成员不得中途更换：</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a.因不可抗拒的客观原因，不能到场或者需在评标过程中退出评标活动；</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b.根据法律法规规定，某个或者某几个评标委员会成员需要回避；</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(3)评委争议</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ind w:firstLine="440"/>
        <w:spacing w:line="360" w:lineRule="auto"/>
        <w:rPr>
          <w:rFonts w:hint="eastAsia" w:ascii="宋体" w:hAnsi="宋体" w:cs="宋体"/>
          <w:color w:val="000000" w:themeColor="text1"/>
          <w:sz w:val="22"/>
          <w14:textFill>
            <w14:solidFill>
              <w14:schemeClr w14:val="tx1"/>
            </w14:solidFill>
          </w14:textFill>
        </w:rPr>
        <w:outlineLvl w:val="2"/>
      </w:pPr>
      <w:r>
        <w:rPr>
          <w:rFonts w:hint="eastAsia" w:ascii="宋体" w:hAnsi="宋体" w:cs="宋体"/>
          <w:color w:val="000000" w:themeColor="text1"/>
          <w:sz w:val="22"/>
          <w14:textFill>
            <w14:solidFill>
              <w14:schemeClr w14:val="tx1"/>
            </w14:solidFill>
          </w14:textFill>
        </w:rPr>
        <w:t xml:space="preserve">5.6 评标</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5.6.1 评标委员会对符合资格的投标人的投标文件，按照第四章“评标办法”规定的评标方法、评审因素、标准和程序对投标文件进行评审。</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5.6.2 评标完成后，评标委员会根据全体评标成员签字的原始评标记录和评标结果编写评标报告。评标委员会确定的中标候选人名单数量见投标人须知前附表。</w:t>
      </w:r>
      <w:r/>
    </w:p>
    <w:p>
      <w:pPr>
        <w:jc w:val="center"/>
        <w:spacing w:line="360" w:lineRule="auto"/>
        <w:rPr>
          <w:rFonts w:hint="eastAsia" w:ascii="宋体" w:hAnsi="宋体" w:cs="宋体"/>
          <w:b/>
          <w:bCs/>
          <w:color w:val="000000" w:themeColor="text1"/>
          <w:sz w:val="24"/>
          <w14:textFill>
            <w14:solidFill>
              <w14:schemeClr w14:val="tx1"/>
            </w14:solidFill>
          </w14:textFill>
        </w:rPr>
        <w:outlineLvl w:val="1"/>
      </w:pPr>
      <w:r>
        <w:rPr>
          <w:rFonts w:hint="eastAsia" w:ascii="宋体" w:hAnsi="宋体" w:cs="宋体"/>
          <w:b/>
          <w:bCs/>
          <w:color w:val="000000" w:themeColor="text1"/>
          <w:sz w:val="24"/>
          <w14:textFill>
            <w14:solidFill>
              <w14:schemeClr w14:val="tx1"/>
            </w14:solidFill>
          </w14:textFill>
        </w:rPr>
        <w:t xml:space="preserve">六、中标和合同</w:t>
      </w:r>
      <w:r/>
    </w:p>
    <w:p>
      <w:pPr>
        <w:ind w:firstLine="440"/>
        <w:spacing w:line="360" w:lineRule="auto"/>
        <w:rPr>
          <w:rFonts w:hint="eastAsia" w:ascii="宋体" w:hAnsi="宋体" w:cs="宋体"/>
          <w:color w:val="000000" w:themeColor="text1"/>
          <w:sz w:val="22"/>
          <w14:textFill>
            <w14:solidFill>
              <w14:schemeClr w14:val="tx1"/>
            </w14:solidFill>
          </w14:textFill>
        </w:rPr>
        <w:outlineLvl w:val="2"/>
      </w:pPr>
      <w:r/>
      <w:bookmarkStart w:id="98" w:name="_Toc28222"/>
      <w:r/>
      <w:bookmarkStart w:id="99" w:name="_Toc8673"/>
      <w:r/>
      <w:bookmarkStart w:id="100" w:name="_Toc29296"/>
      <w:r/>
      <w:bookmarkStart w:id="101" w:name="_Toc29521"/>
      <w:r>
        <w:rPr>
          <w:rFonts w:hint="eastAsia" w:ascii="宋体" w:hAnsi="宋体" w:cs="宋体"/>
          <w:color w:val="000000" w:themeColor="text1"/>
          <w:sz w:val="22"/>
          <w14:textFill>
            <w14:solidFill>
              <w14:schemeClr w14:val="tx1"/>
            </w14:solidFill>
          </w14:textFill>
        </w:rPr>
        <w:t xml:space="preserve">6.1 定标</w:t>
      </w:r>
      <w:bookmarkEnd w:id="98"/>
      <w:r/>
      <w:bookmarkEnd w:id="99"/>
      <w:r/>
      <w:bookmarkEnd w:id="100"/>
      <w:r/>
      <w:bookmarkEnd w:id="101"/>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6.1.1采购代理机构应当在评标结束后2个工作日内将评标报告送采购人。</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采购人在收到评标报告5个工作日内未按评标报告推荐的中标候选人顺序确定中标人，又不能说明合法理由的，视同按评标报告推荐的顺序确定排名第一位的中标候选人为中标人。</w:t>
      </w:r>
      <w:r/>
    </w:p>
    <w:p>
      <w:pPr>
        <w:ind w:firstLine="440"/>
        <w:spacing w:line="360" w:lineRule="auto"/>
        <w:rPr>
          <w:rFonts w:hint="eastAsia" w:ascii="宋体" w:hAnsi="宋体" w:cs="宋体"/>
          <w:color w:val="000000" w:themeColor="text1"/>
          <w:sz w:val="22"/>
          <w14:textFill>
            <w14:solidFill>
              <w14:schemeClr w14:val="tx1"/>
            </w14:solidFill>
          </w14:textFill>
        </w:rPr>
        <w:outlineLvl w:val="2"/>
      </w:pPr>
      <w:r>
        <w:rPr>
          <w:rFonts w:hint="eastAsia" w:ascii="宋体" w:hAnsi="宋体" w:cs="宋体"/>
          <w:color w:val="000000" w:themeColor="text1"/>
          <w:sz w:val="22"/>
          <w14:textFill>
            <w14:solidFill>
              <w14:schemeClr w14:val="tx1"/>
            </w14:solidFill>
          </w14:textFill>
        </w:rPr>
        <w:t xml:space="preserve">6.2 中标通知</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p>
    <w:p>
      <w:pPr>
        <w:ind w:firstLine="440"/>
        <w:spacing w:line="360" w:lineRule="auto"/>
        <w:rPr>
          <w:rFonts w:hint="eastAsia" w:ascii="宋体" w:hAnsi="宋体" w:cs="宋体"/>
          <w:color w:val="000000" w:themeColor="text1"/>
          <w:sz w:val="22"/>
          <w14:textFill>
            <w14:solidFill>
              <w14:schemeClr w14:val="tx1"/>
            </w14:solidFill>
          </w14:textFill>
        </w:rPr>
        <w:outlineLvl w:val="2"/>
      </w:pPr>
      <w:r/>
      <w:bookmarkStart w:id="102" w:name="_Toc21641"/>
      <w:r/>
      <w:bookmarkStart w:id="103" w:name="_Toc1623"/>
      <w:r/>
      <w:bookmarkStart w:id="104" w:name="_Toc11984"/>
      <w:r/>
      <w:bookmarkStart w:id="105" w:name="_Toc11211"/>
      <w:r>
        <w:rPr>
          <w:rFonts w:hint="eastAsia" w:ascii="宋体" w:hAnsi="宋体" w:cs="宋体"/>
          <w:color w:val="000000" w:themeColor="text1"/>
          <w:sz w:val="22"/>
          <w14:textFill>
            <w14:solidFill>
              <w14:schemeClr w14:val="tx1"/>
            </w14:solidFill>
          </w14:textFill>
        </w:rPr>
        <w:t xml:space="preserve">6.3 </w:t>
      </w:r>
      <w:bookmarkEnd w:id="102"/>
      <w:r/>
      <w:bookmarkEnd w:id="103"/>
      <w:r/>
      <w:bookmarkEnd w:id="104"/>
      <w:r>
        <w:rPr>
          <w:rFonts w:hint="eastAsia" w:ascii="宋体" w:hAnsi="宋体" w:cs="宋体"/>
          <w:color w:val="000000" w:themeColor="text1"/>
          <w:sz w:val="22"/>
          <w14:textFill>
            <w14:solidFill>
              <w14:schemeClr w14:val="tx1"/>
            </w14:solidFill>
          </w14:textFill>
        </w:rPr>
        <w:t xml:space="preserve">履约保证金</w:t>
      </w:r>
      <w:bookmarkEnd w:id="105"/>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6.3.1 在签订合同前，中标人应按供应商须知前附表规定的金额、担保形式向采购人提交履约担保。</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6.3.2 中标人不能按要求提交履约担保的，视为放弃中标，给采购人造成损失的，中标人应当予以赔偿。</w:t>
      </w:r>
      <w:r/>
    </w:p>
    <w:p>
      <w:pPr>
        <w:ind w:firstLine="440"/>
        <w:spacing w:line="360" w:lineRule="auto"/>
        <w:rPr>
          <w:rFonts w:hint="eastAsia" w:ascii="宋体" w:hAnsi="宋体" w:cs="宋体"/>
          <w:color w:val="000000" w:themeColor="text1"/>
          <w:sz w:val="22"/>
          <w14:textFill>
            <w14:solidFill>
              <w14:schemeClr w14:val="tx1"/>
            </w14:solidFill>
          </w14:textFill>
        </w:rPr>
        <w:outlineLvl w:val="2"/>
      </w:pPr>
      <w:r/>
      <w:bookmarkStart w:id="106" w:name="_Toc18390"/>
      <w:r>
        <w:rPr>
          <w:rFonts w:hint="eastAsia" w:ascii="宋体" w:hAnsi="宋体" w:cs="宋体"/>
          <w:color w:val="000000" w:themeColor="text1"/>
          <w:sz w:val="22"/>
          <w14:textFill>
            <w14:solidFill>
              <w14:schemeClr w14:val="tx1"/>
            </w14:solidFill>
          </w14:textFill>
        </w:rPr>
        <w:t xml:space="preserve">6.4 签订合同</w:t>
      </w:r>
      <w:bookmarkEnd w:id="106"/>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6.4.1采购人或者采购代理机构应当自中标通知书发出之日起三十日内，按照招标文件和中标人投标文件的规定，与中标人签订书面合同。所签订的合同不得对招标文件和中标人投标文件作实质性修改。</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6.4.3 中标人拒绝与采购人签订合同的，采购人可以按照评审报告推荐的中标候选人名单排序，确定下一候选人为中标人，也可以重新开展政府采购活动。</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6.4.4采购人不得向中标人提出任何不合理的要求，作为签订合同的条件，不得与中标人私下订立背离合同实质性内容的协议。</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r/>
    </w:p>
    <w:p>
      <w:pPr>
        <w:jc w:val="center"/>
        <w:spacing w:line="360" w:lineRule="auto"/>
        <w:rPr>
          <w:rFonts w:hint="eastAsia" w:ascii="宋体" w:hAnsi="宋体" w:cs="宋体"/>
          <w:b/>
          <w:bCs/>
          <w:color w:val="000000" w:themeColor="text1"/>
          <w:sz w:val="24"/>
          <w14:textFill>
            <w14:solidFill>
              <w14:schemeClr w14:val="tx1"/>
            </w14:solidFill>
          </w14:textFill>
        </w:rPr>
        <w:outlineLvl w:val="1"/>
      </w:pPr>
      <w:r>
        <w:rPr>
          <w:rFonts w:hint="eastAsia" w:ascii="宋体" w:hAnsi="宋体" w:cs="宋体"/>
          <w:b/>
          <w:bCs/>
          <w:color w:val="000000" w:themeColor="text1"/>
          <w:sz w:val="24"/>
          <w14:textFill>
            <w14:solidFill>
              <w14:schemeClr w14:val="tx1"/>
            </w14:solidFill>
          </w14:textFill>
        </w:rPr>
        <w:t xml:space="preserve">七、废标、质疑与投诉</w:t>
      </w:r>
      <w:r/>
    </w:p>
    <w:p>
      <w:pPr>
        <w:ind w:firstLine="440"/>
        <w:spacing w:line="360" w:lineRule="auto"/>
        <w:rPr>
          <w:rFonts w:hint="eastAsia" w:ascii="宋体" w:hAnsi="宋体" w:cs="宋体"/>
          <w:color w:val="000000" w:themeColor="text1"/>
          <w:sz w:val="22"/>
          <w14:textFill>
            <w14:solidFill>
              <w14:schemeClr w14:val="tx1"/>
            </w14:solidFill>
          </w14:textFill>
        </w:rPr>
        <w:outlineLvl w:val="2"/>
      </w:pPr>
      <w:r/>
      <w:bookmarkStart w:id="107" w:name="_Toc2774"/>
      <w:r/>
      <w:bookmarkStart w:id="108" w:name="_Toc22258"/>
      <w:r/>
      <w:bookmarkStart w:id="109" w:name="_Toc10664"/>
      <w:r/>
      <w:bookmarkStart w:id="110" w:name="_Toc8401"/>
      <w:r>
        <w:rPr>
          <w:rFonts w:hint="eastAsia" w:ascii="宋体" w:hAnsi="宋体" w:cs="宋体"/>
          <w:color w:val="000000" w:themeColor="text1"/>
          <w:sz w:val="22"/>
          <w14:textFill>
            <w14:solidFill>
              <w14:schemeClr w14:val="tx1"/>
            </w14:solidFill>
          </w14:textFill>
        </w:rPr>
        <w:t xml:space="preserve">7.1 采购人宣布废标的权利</w:t>
      </w:r>
      <w:bookmarkEnd w:id="107"/>
      <w:r/>
      <w:bookmarkEnd w:id="108"/>
      <w:r/>
      <w:bookmarkEnd w:id="109"/>
      <w:r/>
      <w:bookmarkEnd w:id="110"/>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7.1.1 在招标采购过程中，有下列情况之一时，采购人应当予以废标，并将理由通知所有供应商：</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（1）符合专业条件的供应商或招标文件作实质响应的供应商不足三家的；</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（2）出现影响采购公正的违法、违规行为的；</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（3）供应商的报价均超过了采购预算，采购人不能支付的；</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（4）因重大变故，采购任务取消的。</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废标后，除采购任务取消情形外，招标采购单位应当重新组织招标；需要采取其他采购方式的，应当在采购活动开始前获得财政部门的批准。</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7.1.2 公开招标数额标准以上的采购项目，投标截止后供应商不足3家或者招标文件作实质响应的供应商不足3家的，除采购任务取消情形外，按照以下方式处理：</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（1）招标文件存在不合理条款或者招标程序不符合规定的，采购人、采购代理机构改正后依法重新招标；</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（2）招标文件没有不合理条款、招标程序符合规定，需要采用其他采购方式采购的，采购人应当依法报财政部门批准。</w:t>
      </w:r>
      <w:r/>
    </w:p>
    <w:p>
      <w:pPr>
        <w:ind w:firstLine="440"/>
        <w:spacing w:line="360" w:lineRule="auto"/>
        <w:rPr>
          <w:rFonts w:hint="eastAsia" w:ascii="宋体" w:hAnsi="宋体" w:cs="宋体"/>
          <w:color w:val="000000" w:themeColor="text1"/>
          <w:sz w:val="22"/>
          <w14:textFill>
            <w14:solidFill>
              <w14:schemeClr w14:val="tx1"/>
            </w14:solidFill>
          </w14:textFill>
        </w:rPr>
        <w:outlineLvl w:val="2"/>
      </w:pPr>
      <w:r/>
      <w:bookmarkStart w:id="111" w:name="_Toc19707"/>
      <w:r/>
      <w:bookmarkStart w:id="112" w:name="_Toc8333"/>
      <w:r/>
      <w:bookmarkStart w:id="113" w:name="_Toc30375"/>
      <w:r/>
      <w:bookmarkStart w:id="114" w:name="_Toc26328"/>
      <w:r>
        <w:rPr>
          <w:rFonts w:hint="eastAsia" w:ascii="宋体" w:hAnsi="宋体" w:cs="宋体"/>
          <w:color w:val="000000" w:themeColor="text1"/>
          <w:sz w:val="22"/>
          <w14:textFill>
            <w14:solidFill>
              <w14:schemeClr w14:val="tx1"/>
            </w14:solidFill>
          </w14:textFill>
        </w:rPr>
        <w:t xml:space="preserve">7.2 质疑</w:t>
      </w:r>
      <w:bookmarkEnd w:id="111"/>
      <w:r/>
      <w:bookmarkEnd w:id="112"/>
      <w:r/>
      <w:bookmarkEnd w:id="113"/>
      <w:r/>
      <w:bookmarkEnd w:id="114"/>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7.2.1 按照《中华人民共和国政府采购法》、《中华人民共和国政府采购法实施条例》、《政府采购质疑和投诉办法》（财政部令第94号）以及相关的法律、法规及规定，投标人认为招标文件、采购过程、中标或者成交结果使自己的权益受到损害的，可以在知道或者应知其权益受到损害之日起7个工作日内，以书面形式一次性提出针对同一采购程序环节的质疑。</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7.2.2 提出质疑的投标人应当是参与本项目采购活动的投标人。</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（1）对招标文件提出质疑的，潜在投标人应当在按规定获取招标文件之日起7个工作日内提出。</w:t>
      </w:r>
      <w:r/>
    </w:p>
    <w:p>
      <w:pPr>
        <w:ind w:firstLine="442"/>
        <w:spacing w:line="348"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（2）对采购过程提出质疑的，应在各采购程序环节结束之日起7个工作日内提出。</w:t>
      </w:r>
      <w:r/>
    </w:p>
    <w:p>
      <w:pPr>
        <w:ind w:firstLine="442"/>
        <w:spacing w:line="348"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（3）对中标结果提出质疑的，应当在中标结果公告届满之日起7个工作日内提出。</w:t>
      </w:r>
      <w:r/>
    </w:p>
    <w:p>
      <w:pPr>
        <w:ind w:firstLine="442"/>
        <w:spacing w:line="348"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7.2.3 投标人提出质疑应当提交质疑函和必要的证明材料。质疑函应当包括下列内容：</w:t>
      </w:r>
      <w:r/>
    </w:p>
    <w:p>
      <w:pPr>
        <w:ind w:firstLine="442"/>
        <w:spacing w:line="348"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（1）投标人的姓名或者名称、地址、邮编、联系人及联系电话；</w:t>
      </w:r>
      <w:r/>
    </w:p>
    <w:p>
      <w:pPr>
        <w:ind w:firstLine="442"/>
        <w:spacing w:line="348"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（2）质疑项目的名称、编号；</w:t>
      </w:r>
      <w:r/>
    </w:p>
    <w:p>
      <w:pPr>
        <w:ind w:firstLine="442"/>
        <w:spacing w:line="348"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（3）具体、明确的质疑事项和与质疑事项相关的请求；</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（4）事实依据；</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（5）必要的法律依据；</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（6）提出质疑的日期。</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7.2.4 质疑书应当署名，一式叁份。投标人为自然人的，应当由本人签字；投标人为法人或者其他组织的，应当由法定代表人、主要负责人，或者其授权代表签字或者盖章，并加盖公章。授权代表办理质疑事务时，还应当提交授权委托书，授权委托书应当载明代理的具体权限和事项。</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7.2.5 除书面形式外，其他任何方式的质疑，采购人或者采购代理机构均不予接收和答复。</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7.2.6 采购人、采购代理机构在收到质疑函后七个工作日内做出答复，并以书面形式通知质疑人和其他有关投标人；但质疑答复的内容不得涉及商业秘密。</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7.2.7 采购人、采购代理机构认为投标人质疑不成立，或者成立但未对中标结果构成影响的，继续开展采购活动；认为投标人质疑成立且影响或者可能影响中标结果的，按照下列情况处理：</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（1）对招标文件提出的质疑，依法通过澄清或者修改可以继续开展采购活动的，澄清或者修改招标文件后继续开展采购活动；否则应当修改招标文件后重新开展采购活动。</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（2）对采购过程、中标结果提出的质疑，合格投标人符合法定数量时，可以从合格的中标候选人中另行确定中标人的，应当依法另行确定中标人；否则应当重新开展采购活动。</w:t>
      </w:r>
      <w:r/>
    </w:p>
    <w:p>
      <w:pPr>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质疑答复导致中标结果改变的，采购人或者采购代理机构应当将有关情况书面报告本级财政部门。</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7.2.8质疑人对采购人、采购代理机构的答复不满意，或者采购人、采购代理机构未在规定的时间内做出答复的，可以在答复期满后15个工作日内，向投标人须知前附表规定的财政部门提起投诉。</w:t>
      </w:r>
      <w:r/>
    </w:p>
    <w:p>
      <w:pPr>
        <w:jc w:val="center"/>
        <w:spacing w:line="360" w:lineRule="auto"/>
        <w:rPr>
          <w:rFonts w:hint="eastAsia" w:ascii="宋体" w:hAnsi="宋体" w:cs="宋体"/>
          <w:b/>
          <w:bCs/>
          <w:color w:val="000000" w:themeColor="text1"/>
          <w:sz w:val="24"/>
          <w14:textFill>
            <w14:solidFill>
              <w14:schemeClr w14:val="tx1"/>
            </w14:solidFill>
          </w14:textFill>
        </w:rPr>
        <w:outlineLvl w:val="1"/>
      </w:pPr>
      <w:r>
        <w:rPr>
          <w:rFonts w:hint="eastAsia" w:ascii="宋体" w:hAnsi="宋体" w:cs="宋体"/>
          <w:b/>
          <w:bCs/>
          <w:color w:val="000000" w:themeColor="text1"/>
          <w:sz w:val="24"/>
          <w14:textFill>
            <w14:solidFill>
              <w14:schemeClr w14:val="tx1"/>
            </w14:solidFill>
          </w14:textFill>
        </w:rPr>
        <w:t xml:space="preserve">八、其他事宜</w:t>
      </w:r>
      <w:r/>
    </w:p>
    <w:p>
      <w:pPr>
        <w:ind w:firstLine="440"/>
        <w:spacing w:line="360" w:lineRule="auto"/>
        <w:rPr>
          <w:rFonts w:hint="eastAsia" w:ascii="宋体" w:hAnsi="宋体" w:cs="宋体"/>
          <w:color w:val="000000" w:themeColor="text1"/>
          <w:sz w:val="22"/>
          <w14:textFill>
            <w14:solidFill>
              <w14:schemeClr w14:val="tx1"/>
            </w14:solidFill>
          </w14:textFill>
        </w:rPr>
        <w:outlineLvl w:val="2"/>
      </w:pPr>
      <w:r/>
      <w:bookmarkStart w:id="115" w:name="_Toc6452"/>
      <w:r/>
      <w:bookmarkStart w:id="116" w:name="_Toc21692"/>
      <w:r/>
      <w:bookmarkStart w:id="117" w:name="_Toc10386"/>
      <w:r/>
      <w:bookmarkStart w:id="118" w:name="_Toc11001"/>
      <w:r>
        <w:rPr>
          <w:rFonts w:hint="eastAsia" w:ascii="宋体" w:hAnsi="宋体" w:cs="宋体"/>
          <w:color w:val="000000" w:themeColor="text1"/>
          <w:sz w:val="22"/>
          <w14:textFill>
            <w14:solidFill>
              <w14:schemeClr w14:val="tx1"/>
            </w14:solidFill>
          </w14:textFill>
        </w:rPr>
        <w:t xml:space="preserve">8.1 </w:t>
      </w:r>
      <w:bookmarkEnd w:id="115"/>
      <w:r/>
      <w:bookmarkEnd w:id="116"/>
      <w:r/>
      <w:bookmarkEnd w:id="117"/>
      <w:r>
        <w:rPr>
          <w:rFonts w:hint="eastAsia" w:ascii="宋体" w:hAnsi="宋体" w:cs="宋体"/>
          <w:color w:val="000000" w:themeColor="text1"/>
          <w:sz w:val="22"/>
          <w14:textFill>
            <w14:solidFill>
              <w14:schemeClr w14:val="tx1"/>
            </w14:solidFill>
          </w14:textFill>
        </w:rPr>
        <w:t xml:space="preserve">需补充的其他内容</w:t>
      </w:r>
      <w:bookmarkEnd w:id="118"/>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8.1.1 采购人需要补充的其他内容：见供应商须知前附表。</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8.1.2 </w:t>
      </w:r>
      <w:r>
        <w:rPr>
          <w:rFonts w:hint="eastAsia" w:ascii="宋体" w:hAnsi="宋体" w:cs="宋体"/>
          <w:color w:val="000000" w:themeColor="text1"/>
          <w:sz w:val="22"/>
          <w14:textFill>
            <w14:solidFill>
              <w14:schemeClr w14:val="tx1"/>
            </w14:solidFill>
          </w14:textFill>
        </w:rPr>
        <w:t xml:space="preserve">其他未尽事宜按照《中华人民共和国政府采购法》及相关法律、法规、规章的有关规定执行</w:t>
      </w:r>
      <w:r>
        <w:rPr>
          <w:rFonts w:hint="eastAsia" w:ascii="宋体" w:hAnsi="宋体" w:cs="宋体"/>
          <w:color w:val="000000" w:themeColor="text1"/>
          <w:szCs w:val="21"/>
          <w14:textFill>
            <w14:solidFill>
              <w14:schemeClr w14:val="tx1"/>
            </w14:solidFill>
          </w14:textFill>
        </w:rPr>
        <w:t xml:space="preserve">。</w:t>
      </w:r>
      <w:r/>
    </w:p>
    <w:p>
      <w:pPr>
        <w:ind w:firstLine="42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2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keepLines/>
        <w:keepNext/>
        <w:spacing w:before="340" w:after="20"/>
        <w:rPr>
          <w:rFonts w:hint="eastAsia" w:ascii="宋体" w:hAnsi="宋体" w:cs="微软雅黑"/>
          <w:color w:val="000000" w:themeColor="text1"/>
          <w:sz w:val="36"/>
          <w:szCs w:val="36"/>
          <w14:textFill>
            <w14:solidFill>
              <w14:schemeClr w14:val="tx1"/>
            </w14:solidFill>
          </w14:textFill>
        </w:rPr>
        <w:outlineLvl w:val="0"/>
      </w:pPr>
      <w:r/>
      <w:bookmarkStart w:id="119" w:name="_Toc765"/>
      <w:r>
        <w:rPr>
          <w:rFonts w:ascii="宋体" w:hAnsi="宋体" w:cs="微软雅黑"/>
          <w:color w:val="000000" w:themeColor="text1"/>
          <w:sz w:val="36"/>
          <w:szCs w:val="36"/>
          <w14:textFill>
            <w14:solidFill>
              <w14:schemeClr w14:val="tx1"/>
            </w14:solidFill>
          </w14:textFill>
        </w:rPr>
        <w:br w:type="page" w:clear="all"/>
      </w:r>
      <w:bookmarkStart w:id="120" w:name="_Toc129099951"/>
      <w:r/>
      <w:bookmarkStart w:id="121" w:name="_Hlk117927308"/>
      <w:r>
        <w:rPr>
          <w:rFonts w:hint="eastAsia" w:ascii="宋体" w:hAnsi="宋体" w:cs="微软雅黑"/>
          <w:color w:val="000000" w:themeColor="text1"/>
          <w:sz w:val="36"/>
          <w:szCs w:val="36"/>
          <w14:textFill>
            <w14:solidFill>
              <w14:schemeClr w14:val="tx1"/>
            </w14:solidFill>
          </w14:textFill>
        </w:rPr>
        <w:t xml:space="preserve">第三章 资格审查办法</w:t>
      </w:r>
      <w:bookmarkEnd w:id="119"/>
      <w:r/>
      <w:bookmarkEnd w:id="120"/>
      <w:r/>
      <w:bookmarkEnd w:id="121"/>
      <w:r/>
      <w:r/>
    </w:p>
    <w:p>
      <w:pPr>
        <w:spacing w:line="360" w:lineRule="auto"/>
        <w:rPr>
          <w:rFonts w:hint="eastAsia" w:ascii="宋体" w:hAnsi="宋体" w:cs="宋体"/>
          <w:b/>
          <w:bCs/>
          <w:color w:val="000000" w:themeColor="text1"/>
          <w:sz w:val="22"/>
          <w14:textFill>
            <w14:solidFill>
              <w14:schemeClr w14:val="tx1"/>
            </w14:solidFill>
          </w14:textFill>
        </w:rPr>
        <w:outlineLvl w:val="1"/>
      </w:pPr>
      <w:r/>
      <w:bookmarkStart w:id="122" w:name="_Toc4791"/>
      <w:r/>
      <w:bookmarkStart w:id="123" w:name="_Toc28292"/>
      <w:r/>
      <w:bookmarkStart w:id="124" w:name="_Toc234382664"/>
      <w:r>
        <w:rPr>
          <w:rFonts w:hint="eastAsia" w:ascii="宋体" w:hAnsi="宋体" w:cs="宋体"/>
          <w:b/>
          <w:bCs/>
          <w:color w:val="000000" w:themeColor="text1"/>
          <w:sz w:val="22"/>
          <w14:textFill>
            <w14:solidFill>
              <w14:schemeClr w14:val="tx1"/>
            </w14:solidFill>
          </w14:textFill>
        </w:rPr>
        <w:t xml:space="preserve">1.评审方法</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1.1 本项目资格评审由采购人或者采购代理机构依法对供应商的资格进行审查。</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1.2 凡符合本章资格评审标准的供应商均通过资格评审，并进入评标。</w:t>
      </w:r>
      <w:r/>
    </w:p>
    <w:p>
      <w:pPr>
        <w:spacing w:line="360" w:lineRule="auto"/>
        <w:rPr>
          <w:rFonts w:hint="eastAsia" w:ascii="宋体" w:hAnsi="宋体" w:cs="宋体"/>
          <w:b/>
          <w:bCs/>
          <w:color w:val="000000" w:themeColor="text1"/>
          <w:sz w:val="22"/>
          <w14:textFill>
            <w14:solidFill>
              <w14:schemeClr w14:val="tx1"/>
            </w14:solidFill>
          </w14:textFill>
        </w:rPr>
        <w:outlineLvl w:val="1"/>
      </w:pPr>
      <w:r/>
      <w:bookmarkStart w:id="125" w:name="_Toc144974439"/>
      <w:r/>
      <w:bookmarkStart w:id="126" w:name="_Toc179715728"/>
      <w:r/>
      <w:bookmarkStart w:id="127" w:name="_Toc152047235"/>
      <w:r>
        <w:rPr>
          <w:rFonts w:hint="eastAsia" w:ascii="宋体" w:hAnsi="宋体" w:cs="宋体"/>
          <w:b/>
          <w:bCs/>
          <w:color w:val="000000" w:themeColor="text1"/>
          <w:sz w:val="22"/>
          <w14:textFill>
            <w14:solidFill>
              <w14:schemeClr w14:val="tx1"/>
            </w14:solidFill>
          </w14:textFill>
        </w:rPr>
        <w:t xml:space="preserve">2. 评审标准</w:t>
      </w:r>
      <w:bookmarkEnd w:id="125"/>
      <w:r/>
      <w:bookmarkEnd w:id="126"/>
      <w:r/>
      <w:bookmarkEnd w:id="127"/>
      <w:r/>
      <w:r/>
    </w:p>
    <w:p>
      <w:pPr>
        <w:ind w:firstLine="442"/>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2.1 供应商有不符合下列情形之一的，不能通过资格评审，其投标文件无效：</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（1）具有独立承担民事责任的能力：提供了营业执照或事业单位法人证书原件扫描件；</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（2）具有良好的商业信誉和健全的财务会计制度：提供了投标文件提交截止日前上季度的财务状况表（含资产负债表和利润表）原件扫描件（如成立不足1年的可不提供）或承诺书；</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具有有依法缴纳税收和社会保障资金的良好记录：提供了投标文件提交截止日当月或前3个月任一月份缴纳税收的凭据（完税证明或银行扣款凭证）原件扫描件（如为依法免税或缓缴的应提供相应证明原件扫描件）或承诺书；投标文件提交截止日当月或前3个月任一月份缴纳社会保险的凭据（原件扫描件（如为依法缓缴的应提供相应证明原件扫描件）或承诺书；</w:t>
      </w:r>
      <w:r>
        <w:rPr>
          <w:rFonts w:ascii="宋体" w:hAnsi="宋体" w:cs="宋体"/>
          <w:color w:val="000000" w:themeColor="text1"/>
          <w:sz w:val="22"/>
          <w14:textFill>
            <w14:solidFill>
              <w14:schemeClr w14:val="tx1"/>
            </w14:solidFill>
          </w14:textFill>
        </w:rPr>
        <w:t xml:space="preserve"> </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（4）具有履行合同所必需的设备和专业技术能力：按投标文件格式要求提供了具有履行合同所必需的设备和专业技术能力声明函原件或承诺书；</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（5）无重大违法记录：按投标文件格式要求提供了参加政府采购活动前三年内（成立不足三年，自成立之日起），在经营活动中没有重大违法记录声明函原件或承诺书；</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（6）本项目特定资格要求（如有）。</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2.2 未能通过资格评审的供应商投标文件作无效投标文件处理，其投标文件不再提交评标委员会进行评标。</w:t>
      </w:r>
      <w:r/>
    </w:p>
    <w:p>
      <w:pPr>
        <w:ind w:firstLine="108"/>
        <w:keepLines/>
        <w:keepNext/>
        <w:spacing w:line="360" w:lineRule="auto"/>
        <w:rPr>
          <w:rFonts w:hint="eastAsia" w:ascii="宋体" w:hAnsi="宋体" w:cs="宋体"/>
          <w:b/>
          <w:bCs/>
          <w:color w:val="000000" w:themeColor="text1"/>
          <w:sz w:val="22"/>
          <w14:textFill>
            <w14:solidFill>
              <w14:schemeClr w14:val="tx1"/>
            </w14:solidFill>
          </w14:textFill>
        </w:rPr>
        <w:outlineLvl w:val="1"/>
      </w:pPr>
      <w:r/>
      <w:bookmarkStart w:id="128" w:name="_Toc144974445"/>
      <w:r/>
      <w:bookmarkStart w:id="129" w:name="_Toc179715734"/>
      <w:r/>
      <w:bookmarkStart w:id="130" w:name="_Toc152047241"/>
      <w:r/>
      <w:bookmarkStart w:id="131" w:name="_Toc21659"/>
      <w:r/>
      <w:bookmarkStart w:id="132" w:name="_Toc13209"/>
      <w:r>
        <w:rPr>
          <w:rFonts w:hint="eastAsia" w:ascii="宋体" w:hAnsi="宋体" w:cs="宋体"/>
          <w:b/>
          <w:bCs/>
          <w:color w:val="000000" w:themeColor="text1"/>
          <w:sz w:val="22"/>
          <w14:textFill>
            <w14:solidFill>
              <w14:schemeClr w14:val="tx1"/>
            </w14:solidFill>
          </w14:textFill>
        </w:rPr>
        <w:t xml:space="preserve">3 澄清</w:t>
      </w:r>
      <w:bookmarkEnd w:id="128"/>
      <w:r/>
      <w:bookmarkEnd w:id="129"/>
      <w:r/>
      <w:bookmarkEnd w:id="130"/>
      <w:r>
        <w:rPr>
          <w:rFonts w:hint="eastAsia" w:ascii="宋体" w:hAnsi="宋体" w:cs="宋体"/>
          <w:b/>
          <w:bCs/>
          <w:color w:val="000000" w:themeColor="text1"/>
          <w:sz w:val="22"/>
          <w14:textFill>
            <w14:solidFill>
              <w14:schemeClr w14:val="tx1"/>
            </w14:solidFill>
          </w14:textFill>
        </w:rPr>
        <w:t xml:space="preserve">或说明</w:t>
      </w:r>
      <w:bookmarkEnd w:id="131"/>
      <w:r/>
      <w:bookmarkEnd w:id="132"/>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3.1在资格评审过程中，采购人或者采购代理机构可以书面形式，要求供应商对所提交的资格证明文件中不明确的内容进行必要的澄清或说明。供应商的澄清或说明应采用书面形式，并不得改变资格证明文件的实质性内容。供应商的澄清和说明内容属于投标文件的组成部分。</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3.2 采购人或者采购代理机构不接受供应商主动提出的澄清或说明。供应商不按采购人或采购代理机构的要求澄清或说明的，采购人或采购代理机构将否决其投标。</w:t>
      </w:r>
      <w:r/>
    </w:p>
    <w:p>
      <w:pPr>
        <w:keepLines/>
        <w:keepNext/>
        <w:spacing w:line="360" w:lineRule="auto"/>
        <w:rPr>
          <w:rFonts w:hint="eastAsia" w:ascii="宋体" w:hAnsi="宋体" w:cs="宋体"/>
          <w:b/>
          <w:bCs/>
          <w:color w:val="000000" w:themeColor="text1"/>
          <w:sz w:val="22"/>
          <w14:textFill>
            <w14:solidFill>
              <w14:schemeClr w14:val="tx1"/>
            </w14:solidFill>
          </w14:textFill>
        </w:rPr>
        <w:outlineLvl w:val="1"/>
      </w:pPr>
      <w:r/>
      <w:bookmarkStart w:id="133" w:name="_Toc152047242"/>
      <w:r/>
      <w:bookmarkStart w:id="134" w:name="_Toc9664"/>
      <w:r/>
      <w:bookmarkStart w:id="135" w:name="_Toc179715735"/>
      <w:r/>
      <w:bookmarkStart w:id="136" w:name="_Toc4482"/>
      <w:r/>
      <w:bookmarkStart w:id="137" w:name="_Toc144974446"/>
      <w:r>
        <w:rPr>
          <w:rFonts w:hint="eastAsia" w:ascii="宋体" w:hAnsi="宋体" w:cs="宋体"/>
          <w:b/>
          <w:bCs/>
          <w:color w:val="000000" w:themeColor="text1"/>
          <w:sz w:val="22"/>
          <w14:textFill>
            <w14:solidFill>
              <w14:schemeClr w14:val="tx1"/>
            </w14:solidFill>
          </w14:textFill>
        </w:rPr>
        <w:t xml:space="preserve">4. 审查结果</w:t>
      </w:r>
      <w:bookmarkEnd w:id="133"/>
      <w:r/>
      <w:bookmarkEnd w:id="134"/>
      <w:r/>
      <w:bookmarkEnd w:id="135"/>
      <w:r/>
      <w:bookmarkEnd w:id="136"/>
      <w:r/>
      <w:bookmarkEnd w:id="137"/>
      <w:r/>
      <w:r/>
    </w:p>
    <w:p>
      <w:pPr>
        <w:ind w:firstLine="440"/>
        <w:spacing w:line="360" w:lineRule="auto"/>
        <w:rPr>
          <w:rFonts w:hint="eastAsia" w:ascii="宋体" w:hAnsi="宋体" w:cs="宋体"/>
          <w:color w:val="000000" w:themeColor="text1"/>
          <w:sz w:val="22"/>
          <w14:textFill>
            <w14:solidFill>
              <w14:schemeClr w14:val="tx1"/>
            </w14:solidFill>
          </w14:textFill>
        </w:rPr>
      </w:pPr>
      <w:r/>
      <w:bookmarkStart w:id="138" w:name="_Toc152047243"/>
      <w:r/>
      <w:bookmarkStart w:id="139" w:name="_Toc144974447"/>
      <w:r/>
      <w:bookmarkStart w:id="140" w:name="_Toc179715736"/>
      <w:r>
        <w:rPr>
          <w:rFonts w:hint="eastAsia" w:ascii="宋体" w:hAnsi="宋体" w:cs="宋体"/>
          <w:color w:val="000000" w:themeColor="text1"/>
          <w:sz w:val="22"/>
          <w14:textFill>
            <w14:solidFill>
              <w14:schemeClr w14:val="tx1"/>
            </w14:solidFill>
          </w14:textFill>
        </w:rPr>
        <w:t xml:space="preserve">4.1 </w:t>
      </w:r>
      <w:bookmarkEnd w:id="138"/>
      <w:r/>
      <w:bookmarkEnd w:id="139"/>
      <w:r/>
      <w:bookmarkEnd w:id="140"/>
      <w:r>
        <w:rPr>
          <w:rFonts w:hint="eastAsia" w:ascii="宋体" w:hAnsi="宋体" w:cs="宋体"/>
          <w:color w:val="000000" w:themeColor="text1"/>
          <w:sz w:val="22"/>
          <w14:textFill>
            <w14:solidFill>
              <w14:schemeClr w14:val="tx1"/>
            </w14:solidFill>
          </w14:textFill>
        </w:rPr>
        <w:t xml:space="preserve">采购人或者采购代理机构完成资格评审后，确定通过资格评审的供应商名单，并编制书面资格评审报告。</w:t>
      </w:r>
      <w:r/>
    </w:p>
    <w:p>
      <w:pPr>
        <w:ind w:firstLine="440"/>
        <w:spacing w:line="360" w:lineRule="auto"/>
        <w:rPr>
          <w:rFonts w:hint="eastAsia" w:ascii="宋体" w:hAnsi="宋体" w:cs="宋体"/>
          <w:color w:val="000000" w:themeColor="text1"/>
          <w:sz w:val="22"/>
          <w14:textFill>
            <w14:solidFill>
              <w14:schemeClr w14:val="tx1"/>
            </w14:solidFill>
          </w14:textFill>
        </w:rPr>
      </w:pPr>
      <w:r/>
      <w:bookmarkStart w:id="141" w:name="_Toc179715737"/>
      <w:r/>
      <w:bookmarkStart w:id="142" w:name="_Toc152047244"/>
      <w:r/>
      <w:bookmarkStart w:id="143" w:name="_Toc144974448"/>
      <w:r>
        <w:rPr>
          <w:rFonts w:hint="eastAsia" w:ascii="宋体" w:hAnsi="宋体" w:cs="宋体"/>
          <w:color w:val="000000" w:themeColor="text1"/>
          <w:sz w:val="22"/>
          <w14:textFill>
            <w14:solidFill>
              <w14:schemeClr w14:val="tx1"/>
            </w14:solidFill>
          </w14:textFill>
        </w:rPr>
        <w:t xml:space="preserve">4.2 </w:t>
      </w:r>
      <w:bookmarkEnd w:id="141"/>
      <w:r/>
      <w:bookmarkEnd w:id="142"/>
      <w:r/>
      <w:bookmarkEnd w:id="143"/>
      <w:r>
        <w:rPr>
          <w:rFonts w:hint="eastAsia" w:ascii="宋体" w:hAnsi="宋体" w:cs="宋体"/>
          <w:color w:val="000000" w:themeColor="text1"/>
          <w:sz w:val="22"/>
          <w14:textFill>
            <w14:solidFill>
              <w14:schemeClr w14:val="tx1"/>
            </w14:solidFill>
          </w14:textFill>
        </w:rPr>
        <w:t xml:space="preserve">通过资格评审供应商的数量不足3个的，不再进行评标。 </w:t>
      </w:r>
      <w:r/>
    </w:p>
    <w:p>
      <w:pPr>
        <w:spacing w:after="120"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firstLine="440"/>
        <w:spacing w:line="48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jc w:val="center"/>
        <w:keepLines/>
        <w:keepNext/>
        <w:spacing w:before="340" w:after="20"/>
        <w:rPr>
          <w:rFonts w:hint="eastAsia" w:ascii="宋体" w:hAnsi="宋体" w:cs="微软雅黑"/>
          <w:color w:val="000000" w:themeColor="text1"/>
          <w:sz w:val="36"/>
          <w:szCs w:val="36"/>
          <w14:textFill>
            <w14:solidFill>
              <w14:schemeClr w14:val="tx1"/>
            </w14:solidFill>
          </w14:textFill>
        </w:rPr>
        <w:outlineLvl w:val="0"/>
      </w:pPr>
      <w:r>
        <w:rPr>
          <w:rFonts w:ascii="宋体" w:hAnsi="宋体" w:cs="微软雅黑"/>
          <w:color w:val="000000" w:themeColor="text1"/>
          <w:sz w:val="36"/>
          <w:szCs w:val="36"/>
          <w14:textFill>
            <w14:solidFill>
              <w14:schemeClr w14:val="tx1"/>
            </w14:solidFill>
          </w14:textFill>
        </w:rPr>
        <w:br w:type="page" w:clear="all"/>
      </w:r>
      <w:bookmarkStart w:id="144" w:name="_Toc129099952"/>
      <w:r>
        <w:rPr>
          <w:rFonts w:hint="eastAsia" w:ascii="宋体" w:hAnsi="宋体" w:cs="微软雅黑"/>
          <w:color w:val="000000" w:themeColor="text1"/>
          <w:sz w:val="36"/>
          <w:szCs w:val="36"/>
          <w14:textFill>
            <w14:solidFill>
              <w14:schemeClr w14:val="tx1"/>
            </w14:solidFill>
          </w14:textFill>
        </w:rPr>
        <w:t xml:space="preserve">第四章 评标办法</w:t>
      </w:r>
      <w:bookmarkEnd w:id="144"/>
      <w:r/>
      <w:r/>
    </w:p>
    <w:p>
      <w:pPr>
        <w:jc w:val="center"/>
        <w:keepLines/>
        <w:keepNext/>
        <w:spacing w:line="360" w:lineRule="auto"/>
        <w:rPr>
          <w:rFonts w:hint="eastAsia" w:ascii="宋体" w:hAnsi="宋体"/>
          <w:color w:val="000000" w:themeColor="text1"/>
          <w:sz w:val="28"/>
          <w:szCs w:val="21"/>
          <w14:textFill>
            <w14:solidFill>
              <w14:schemeClr w14:val="tx1"/>
            </w14:solidFill>
          </w14:textFill>
        </w:rPr>
        <w:outlineLvl w:val="2"/>
      </w:pPr>
      <w:r/>
      <w:bookmarkStart w:id="145" w:name="_Toc110676317"/>
      <w:r>
        <w:rPr>
          <w:rFonts w:hint="eastAsia" w:ascii="宋体" w:hAnsi="宋体"/>
          <w:color w:val="000000" w:themeColor="text1"/>
          <w:sz w:val="28"/>
          <w:szCs w:val="21"/>
          <w14:textFill>
            <w14:solidFill>
              <w14:schemeClr w14:val="tx1"/>
            </w14:solidFill>
          </w14:textFill>
        </w:rPr>
        <w:t xml:space="preserve">评标办法前附表</w:t>
      </w:r>
      <w:bookmarkEnd w:id="145"/>
      <w:r/>
      <w:r/>
    </w:p>
    <w:tbl>
      <w:tblPr>
        <w:tblStyle w:val="66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7"/>
        <w:gridCol w:w="674"/>
        <w:gridCol w:w="957"/>
        <w:gridCol w:w="6163"/>
        <w:gridCol w:w="936"/>
      </w:tblGrid>
      <w:tr>
        <w:trPr>
          <w:trHeight w:val="541"/>
        </w:trPr>
        <w:tc>
          <w:tcPr>
            <w:gridSpan w:val="2"/>
            <w:tcW w:w="700" w:type="pct"/>
            <w:vAlign w:val="center"/>
            <w:textDirection w:val="lrTb"/>
            <w:noWrap w:val="false"/>
          </w:tcPr>
          <w:p>
            <w:pPr>
              <w:jc w:val="center"/>
              <w:rPr>
                <w:rFonts w:hint="eastAsia" w:asciiTheme="minorEastAsia" w:hAnsiTheme="minorEastAsia" w:eastAsiaTheme="minorEastAsia"/>
                <w:b/>
                <w:bCs/>
                <w:color w:val="000000" w:themeColor="text1"/>
                <w:sz w:val="24"/>
                <w:szCs w:val="24"/>
                <w14:textFill>
                  <w14:solidFill>
                    <w14:schemeClr w14:val="tx1"/>
                  </w14:solidFill>
                </w14:textFill>
              </w:rPr>
            </w:pPr>
            <w:r/>
            <w:bookmarkStart w:id="146" w:name="_Hlk111210017"/>
            <w:r>
              <w:rPr>
                <w:rFonts w:hint="eastAsia" w:asciiTheme="minorEastAsia" w:hAnsiTheme="minorEastAsia" w:eastAsiaTheme="minorEastAsia"/>
                <w:b/>
                <w:bCs/>
                <w:color w:val="000000" w:themeColor="text1"/>
                <w:sz w:val="24"/>
                <w:szCs w:val="24"/>
                <w14:textFill>
                  <w14:solidFill>
                    <w14:schemeClr w14:val="tx1"/>
                  </w14:solidFill>
                </w14:textFill>
              </w:rPr>
              <w:t xml:space="preserve">条款号</w:t>
            </w:r>
            <w:r/>
          </w:p>
        </w:tc>
        <w:tc>
          <w:tcPr>
            <w:gridSpan w:val="3"/>
            <w:tcW w:w="4300" w:type="pct"/>
            <w:vAlign w:val="center"/>
            <w:textDirection w:val="lrTb"/>
            <w:noWrap w:val="false"/>
          </w:tcPr>
          <w:p>
            <w:pPr>
              <w:ind w:firstLine="480"/>
              <w:jc w:val="center"/>
              <w:keepLines/>
              <w:keepNext/>
              <w:rPr>
                <w:rFonts w:hint="eastAsia" w:cs="宋体" w:asciiTheme="minorEastAsia" w:hAnsiTheme="minorEastAsia" w:eastAsiaTheme="minorEastAsia"/>
                <w:b/>
                <w:color w:val="000000" w:themeColor="text1"/>
                <w:sz w:val="24"/>
                <w:szCs w:val="24"/>
                <w14:textFill>
                  <w14:solidFill>
                    <w14:schemeClr w14:val="tx1"/>
                  </w14:solidFill>
                </w14:textFill>
              </w:rPr>
              <w:outlineLvl w:val="2"/>
            </w:pPr>
            <w:r/>
            <w:bookmarkStart w:id="147" w:name="_Toc110676318"/>
            <w:r>
              <w:rPr>
                <w:rFonts w:hint="eastAsia" w:cs="宋体" w:asciiTheme="minorEastAsia" w:hAnsiTheme="minorEastAsia" w:eastAsiaTheme="minorEastAsia"/>
                <w:b/>
                <w:color w:val="000000" w:themeColor="text1"/>
                <w:sz w:val="24"/>
                <w:szCs w:val="24"/>
                <w14:textFill>
                  <w14:solidFill>
                    <w14:schemeClr w14:val="tx1"/>
                  </w14:solidFill>
                </w14:textFill>
              </w:rPr>
              <w:t xml:space="preserve">评审因素与评审标准</w:t>
            </w:r>
            <w:bookmarkEnd w:id="147"/>
            <w:r/>
            <w:r/>
          </w:p>
        </w:tc>
      </w:tr>
      <w:tr>
        <w:trPr>
          <w:trHeight w:val="2326"/>
        </w:trPr>
        <w:tc>
          <w:tcPr>
            <w:tcW w:w="340" w:type="pct"/>
            <w:vAlign w:val="center"/>
            <w:textDirection w:val="lrTb"/>
            <w:noWrap w:val="false"/>
          </w:tcPr>
          <w:p>
            <w:pPr>
              <w:jc w:val="center"/>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t xml:space="preserve">2</w:t>
            </w:r>
            <w:r>
              <w:rPr>
                <w:rFonts w:asciiTheme="minorEastAsia" w:hAnsiTheme="minorEastAsia" w:eastAsiaTheme="minorEastAsia"/>
                <w:b/>
                <w:bCs/>
                <w:color w:val="000000" w:themeColor="text1"/>
                <w:sz w:val="24"/>
                <w:szCs w:val="24"/>
                <w14:textFill>
                  <w14:solidFill>
                    <w14:schemeClr w14:val="tx1"/>
                  </w14:solidFill>
                </w14:textFill>
              </w:rPr>
              <w:t xml:space="preserve">.1</w:t>
            </w:r>
            <w:r/>
          </w:p>
        </w:tc>
        <w:tc>
          <w:tcPr>
            <w:tcW w:w="360" w:type="pct"/>
            <w:vAlign w:val="center"/>
            <w:textDirection w:val="lrTb"/>
            <w:noWrap w:val="false"/>
          </w:tcPr>
          <w:p>
            <w:pPr>
              <w:jc w:val="center"/>
              <w:keepLines/>
              <w:keepNext/>
              <w:rPr>
                <w:rFonts w:hint="eastAsia" w:cs="宋体" w:asciiTheme="minorEastAsia" w:hAnsiTheme="minorEastAsia" w:eastAsiaTheme="minorEastAsia"/>
                <w:b/>
                <w:bCs/>
                <w:color w:val="000000" w:themeColor="text1"/>
                <w:sz w:val="24"/>
                <w:szCs w:val="24"/>
                <w14:textFill>
                  <w14:solidFill>
                    <w14:schemeClr w14:val="tx1"/>
                  </w14:solidFill>
                </w14:textFill>
              </w:rPr>
              <w:outlineLvl w:val="2"/>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资</w:t>
            </w:r>
            <w:r/>
          </w:p>
          <w:p>
            <w:pPr>
              <w:jc w:val="center"/>
              <w:keepLines/>
              <w:keepNext/>
              <w:rPr>
                <w:rFonts w:hint="eastAsia" w:cs="宋体" w:asciiTheme="minorEastAsia" w:hAnsiTheme="minorEastAsia" w:eastAsiaTheme="minorEastAsia"/>
                <w:b/>
                <w:bCs/>
                <w:color w:val="000000" w:themeColor="text1"/>
                <w:sz w:val="24"/>
                <w:szCs w:val="24"/>
                <w14:textFill>
                  <w14:solidFill>
                    <w14:schemeClr w14:val="tx1"/>
                  </w14:solidFill>
                </w14:textFill>
              </w:rPr>
              <w:outlineLvl w:val="2"/>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格</w:t>
            </w:r>
            <w:r/>
          </w:p>
          <w:p>
            <w:pPr>
              <w:jc w:val="center"/>
              <w:keepLines/>
              <w:keepNext/>
              <w:rPr>
                <w:rFonts w:hint="eastAsia" w:cs="宋体" w:asciiTheme="minorEastAsia" w:hAnsiTheme="minorEastAsia" w:eastAsiaTheme="minorEastAsia"/>
                <w:b/>
                <w:bCs/>
                <w:color w:val="000000" w:themeColor="text1"/>
                <w:sz w:val="24"/>
                <w:szCs w:val="24"/>
                <w14:textFill>
                  <w14:solidFill>
                    <w14:schemeClr w14:val="tx1"/>
                  </w14:solidFill>
                </w14:textFill>
              </w:rPr>
              <w:outlineLvl w:val="2"/>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评</w:t>
            </w:r>
            <w:r/>
          </w:p>
          <w:p>
            <w:pPr>
              <w:jc w:val="center"/>
              <w:keepLines/>
              <w:keepNext/>
              <w:rPr>
                <w:rFonts w:hint="eastAsia" w:cs="宋体" w:asciiTheme="minorEastAsia" w:hAnsiTheme="minorEastAsia" w:eastAsiaTheme="minorEastAsia"/>
                <w:b/>
                <w:bCs/>
                <w:color w:val="000000" w:themeColor="text1"/>
                <w:sz w:val="24"/>
                <w:szCs w:val="24"/>
                <w14:textFill>
                  <w14:solidFill>
                    <w14:schemeClr w14:val="tx1"/>
                  </w14:solidFill>
                </w14:textFill>
              </w:rPr>
              <w:outlineLvl w:val="2"/>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审</w:t>
            </w:r>
            <w:r/>
          </w:p>
          <w:p>
            <w:pPr>
              <w:jc w:val="center"/>
              <w:keepLines/>
              <w:keepNext/>
              <w:rPr>
                <w:rFonts w:hint="eastAsia" w:cs="宋体" w:asciiTheme="minorEastAsia" w:hAnsiTheme="minorEastAsia" w:eastAsiaTheme="minorEastAsia"/>
                <w:b/>
                <w:bCs/>
                <w:color w:val="000000" w:themeColor="text1"/>
                <w:sz w:val="24"/>
                <w:szCs w:val="24"/>
                <w14:textFill>
                  <w14:solidFill>
                    <w14:schemeClr w14:val="tx1"/>
                  </w14:solidFill>
                </w14:textFill>
              </w:rPr>
              <w:outlineLvl w:val="2"/>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标</w:t>
            </w:r>
            <w:r/>
          </w:p>
          <w:p>
            <w:pPr>
              <w:jc w:val="center"/>
              <w:keepLines/>
              <w:keepNext/>
              <w:rPr>
                <w:rFonts w:hint="eastAsia" w:cs="宋体" w:asciiTheme="minorEastAsia" w:hAnsiTheme="minorEastAsia" w:eastAsiaTheme="minorEastAsia"/>
                <w:b/>
                <w:bCs/>
                <w:color w:val="000000" w:themeColor="text1"/>
                <w:sz w:val="24"/>
                <w:szCs w:val="24"/>
                <w14:textFill>
                  <w14:solidFill>
                    <w14:schemeClr w14:val="tx1"/>
                  </w14:solidFill>
                </w14:textFill>
              </w:rPr>
              <w:outlineLvl w:val="2"/>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准</w:t>
            </w:r>
            <w:r/>
          </w:p>
        </w:tc>
        <w:tc>
          <w:tcPr>
            <w:gridSpan w:val="3"/>
            <w:tcW w:w="4300" w:type="pct"/>
            <w:textDirection w:val="lrTb"/>
            <w:noWrap w:val="false"/>
          </w:tcPr>
          <w:p>
            <w:pPr>
              <w:keepLines/>
              <w:keepNext/>
              <w:rPr>
                <w:rFonts w:hint="eastAsia" w:cs="宋体" w:asciiTheme="minorEastAsia" w:hAnsiTheme="minorEastAsia" w:eastAsiaTheme="minorEastAsia"/>
                <w:bCs/>
                <w:color w:val="000000" w:themeColor="text1"/>
                <w:sz w:val="24"/>
                <w:szCs w:val="24"/>
                <w14:textFill>
                  <w14:solidFill>
                    <w14:schemeClr w14:val="tx1"/>
                  </w14:solidFill>
                </w14:textFill>
              </w:rPr>
              <w:outlineLvl w:val="2"/>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（1）具有独立承担民事责任的能力；</w:t>
            </w:r>
            <w:r/>
          </w:p>
          <w:p>
            <w:pPr>
              <w:keepLines/>
              <w:keepNext/>
              <w:rPr>
                <w:rFonts w:hint="eastAsia" w:cs="宋体" w:asciiTheme="minorEastAsia" w:hAnsiTheme="minorEastAsia" w:eastAsiaTheme="minorEastAsia"/>
                <w:bCs/>
                <w:color w:val="000000" w:themeColor="text1"/>
                <w:sz w:val="24"/>
                <w:szCs w:val="24"/>
                <w14:textFill>
                  <w14:solidFill>
                    <w14:schemeClr w14:val="tx1"/>
                  </w14:solidFill>
                </w14:textFill>
              </w:rPr>
              <w:outlineLvl w:val="2"/>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（2）具有良好的商业信誉和健全的财务会计制度；</w:t>
            </w:r>
            <w:r/>
          </w:p>
          <w:p>
            <w:pPr>
              <w:keepLines/>
              <w:keepNext/>
              <w:rPr>
                <w:rFonts w:hint="eastAsia" w:cs="宋体" w:asciiTheme="minorEastAsia" w:hAnsiTheme="minorEastAsia" w:eastAsiaTheme="minorEastAsia"/>
                <w:bCs/>
                <w:color w:val="000000" w:themeColor="text1"/>
                <w:sz w:val="24"/>
                <w:szCs w:val="24"/>
                <w14:textFill>
                  <w14:solidFill>
                    <w14:schemeClr w14:val="tx1"/>
                  </w14:solidFill>
                </w14:textFill>
              </w:rPr>
              <w:outlineLvl w:val="2"/>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（3）具有履行合同所必需的设备和专业技术能力；</w:t>
            </w:r>
            <w:r/>
          </w:p>
          <w:p>
            <w:pPr>
              <w:keepLines/>
              <w:keepNext/>
              <w:rPr>
                <w:rFonts w:hint="eastAsia" w:cs="宋体" w:asciiTheme="minorEastAsia" w:hAnsiTheme="minorEastAsia" w:eastAsiaTheme="minorEastAsia"/>
                <w:bCs/>
                <w:color w:val="000000" w:themeColor="text1"/>
                <w:sz w:val="24"/>
                <w:szCs w:val="24"/>
                <w14:textFill>
                  <w14:solidFill>
                    <w14:schemeClr w14:val="tx1"/>
                  </w14:solidFill>
                </w14:textFill>
              </w:rPr>
              <w:outlineLvl w:val="2"/>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（4）有依法缴纳税收和社会保障资金的良好记录；</w:t>
            </w:r>
            <w:r/>
          </w:p>
          <w:p>
            <w:pPr>
              <w:keepLines/>
              <w:keepNext/>
              <w:rPr>
                <w:rFonts w:hint="eastAsia" w:cs="宋体" w:asciiTheme="minorEastAsia" w:hAnsiTheme="minorEastAsia" w:eastAsiaTheme="minorEastAsia"/>
                <w:bCs/>
                <w:color w:val="000000" w:themeColor="text1"/>
                <w:sz w:val="24"/>
                <w:szCs w:val="24"/>
                <w14:textFill>
                  <w14:solidFill>
                    <w14:schemeClr w14:val="tx1"/>
                  </w14:solidFill>
                </w14:textFill>
              </w:rPr>
              <w:outlineLvl w:val="2"/>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（5）参加政府采购活动前三年内，在经营活动中没有重大违法记录；</w:t>
            </w:r>
            <w:r/>
          </w:p>
          <w:p>
            <w:pPr>
              <w:keepLines/>
              <w:keepNext/>
              <w:rPr>
                <w:rFonts w:hint="eastAsia" w:cs="宋体" w:asciiTheme="minorEastAsia" w:hAnsiTheme="minorEastAsia" w:eastAsiaTheme="minorEastAsia"/>
                <w:bCs/>
                <w:color w:val="000000" w:themeColor="text1"/>
                <w:sz w:val="24"/>
                <w:szCs w:val="24"/>
                <w14:textFill>
                  <w14:solidFill>
                    <w14:schemeClr w14:val="tx1"/>
                  </w14:solidFill>
                </w14:textFill>
              </w:rPr>
              <w:outlineLvl w:val="2"/>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（6）法律、行政法规规定的其他条件；</w:t>
            </w:r>
            <w:r/>
          </w:p>
          <w:p>
            <w:pPr>
              <w:keepLines/>
              <w:keepNext/>
              <w:rPr>
                <w:rFonts w:hint="eastAsia" w:cs="宋体" w:asciiTheme="minorEastAsia" w:hAnsiTheme="minorEastAsia" w:eastAsiaTheme="minorEastAsia"/>
                <w:bCs/>
                <w:color w:val="000000" w:themeColor="text1"/>
                <w:sz w:val="24"/>
                <w:szCs w:val="24"/>
                <w14:textFill>
                  <w14:solidFill>
                    <w14:schemeClr w14:val="tx1"/>
                  </w14:solidFill>
                </w14:textFill>
              </w:rPr>
              <w:outlineLvl w:val="2"/>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（7）本项目特定资格要求，详见招标公告。</w:t>
            </w:r>
            <w:r/>
          </w:p>
        </w:tc>
      </w:tr>
      <w:tr>
        <w:trPr>
          <w:trHeight w:val="3380"/>
        </w:trPr>
        <w:tc>
          <w:tcPr>
            <w:tcW w:w="340" w:type="pct"/>
            <w:vAlign w:val="center"/>
            <w:textDirection w:val="lrTb"/>
            <w:noWrap w:val="false"/>
          </w:tcPr>
          <w:p>
            <w:pPr>
              <w:jc w:val="center"/>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t xml:space="preserve">2.</w:t>
            </w:r>
            <w:r>
              <w:rPr>
                <w:rFonts w:asciiTheme="minorEastAsia" w:hAnsiTheme="minorEastAsia" w:eastAsiaTheme="minorEastAsia"/>
                <w:b/>
                <w:bCs/>
                <w:color w:val="000000" w:themeColor="text1"/>
                <w:sz w:val="24"/>
                <w:szCs w:val="24"/>
                <w14:textFill>
                  <w14:solidFill>
                    <w14:schemeClr w14:val="tx1"/>
                  </w14:solidFill>
                </w14:textFill>
              </w:rPr>
              <w:t xml:space="preserve">2</w:t>
            </w:r>
            <w:r/>
          </w:p>
        </w:tc>
        <w:tc>
          <w:tcPr>
            <w:tcW w:w="360" w:type="pct"/>
            <w:vAlign w:val="center"/>
            <w:textDirection w:val="lrTb"/>
            <w:noWrap w:val="false"/>
          </w:tcPr>
          <w:p>
            <w:pPr>
              <w:jc w:val="center"/>
              <w:keepLines/>
              <w:keepNext/>
              <w:rPr>
                <w:rFonts w:hint="eastAsia" w:cs="宋体" w:asciiTheme="minorEastAsia" w:hAnsiTheme="minorEastAsia" w:eastAsiaTheme="minorEastAsia"/>
                <w:b/>
                <w:bCs/>
                <w:color w:val="000000" w:themeColor="text1"/>
                <w:sz w:val="24"/>
                <w:szCs w:val="24"/>
                <w14:textFill>
                  <w14:solidFill>
                    <w14:schemeClr w14:val="tx1"/>
                  </w14:solidFill>
                </w14:textFill>
              </w:rPr>
              <w:outlineLvl w:val="2"/>
            </w:pPr>
            <w:r/>
            <w:bookmarkStart w:id="148" w:name="_Toc110676319"/>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符</w:t>
            </w:r>
            <w:bookmarkEnd w:id="148"/>
            <w:r/>
            <w:r/>
          </w:p>
          <w:p>
            <w:pPr>
              <w:jc w:val="center"/>
              <w:keepLines/>
              <w:keepNext/>
              <w:rPr>
                <w:rFonts w:hint="eastAsia" w:cs="宋体" w:asciiTheme="minorEastAsia" w:hAnsiTheme="minorEastAsia" w:eastAsiaTheme="minorEastAsia"/>
                <w:b/>
                <w:bCs/>
                <w:color w:val="000000" w:themeColor="text1"/>
                <w:sz w:val="24"/>
                <w:szCs w:val="24"/>
                <w14:textFill>
                  <w14:solidFill>
                    <w14:schemeClr w14:val="tx1"/>
                  </w14:solidFill>
                </w14:textFill>
              </w:rPr>
              <w:outlineLvl w:val="2"/>
            </w:pPr>
            <w:r/>
            <w:bookmarkStart w:id="149" w:name="_Toc110676320"/>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合</w:t>
            </w:r>
            <w:bookmarkEnd w:id="149"/>
            <w:r/>
            <w:r/>
          </w:p>
          <w:p>
            <w:pPr>
              <w:jc w:val="center"/>
              <w:keepLines/>
              <w:keepNext/>
              <w:rPr>
                <w:rFonts w:hint="eastAsia" w:cs="宋体" w:asciiTheme="minorEastAsia" w:hAnsiTheme="minorEastAsia" w:eastAsiaTheme="minorEastAsia"/>
                <w:b/>
                <w:bCs/>
                <w:color w:val="000000" w:themeColor="text1"/>
                <w:sz w:val="24"/>
                <w:szCs w:val="24"/>
                <w14:textFill>
                  <w14:solidFill>
                    <w14:schemeClr w14:val="tx1"/>
                  </w14:solidFill>
                </w14:textFill>
              </w:rPr>
              <w:outlineLvl w:val="2"/>
            </w:pPr>
            <w:r/>
            <w:bookmarkStart w:id="150" w:name="_Toc110676321"/>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性</w:t>
            </w:r>
            <w:bookmarkEnd w:id="150"/>
            <w:r/>
            <w:r/>
          </w:p>
          <w:p>
            <w:pPr>
              <w:jc w:val="center"/>
              <w:keepLines/>
              <w:keepNext/>
              <w:rPr>
                <w:rFonts w:hint="eastAsia" w:cs="宋体" w:asciiTheme="minorEastAsia" w:hAnsiTheme="minorEastAsia" w:eastAsiaTheme="minorEastAsia"/>
                <w:b/>
                <w:bCs/>
                <w:color w:val="000000" w:themeColor="text1"/>
                <w:sz w:val="24"/>
                <w:szCs w:val="24"/>
                <w14:textFill>
                  <w14:solidFill>
                    <w14:schemeClr w14:val="tx1"/>
                  </w14:solidFill>
                </w14:textFill>
              </w:rPr>
              <w:outlineLvl w:val="2"/>
            </w:pPr>
            <w:r/>
            <w:bookmarkStart w:id="151" w:name="_Toc110676322"/>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评</w:t>
            </w:r>
            <w:bookmarkEnd w:id="151"/>
            <w:r/>
            <w:r/>
          </w:p>
          <w:p>
            <w:pPr>
              <w:jc w:val="center"/>
              <w:keepLines/>
              <w:keepNext/>
              <w:rPr>
                <w:rFonts w:hint="eastAsia" w:cs="宋体" w:asciiTheme="minorEastAsia" w:hAnsiTheme="minorEastAsia" w:eastAsiaTheme="minorEastAsia"/>
                <w:b/>
                <w:bCs/>
                <w:color w:val="000000" w:themeColor="text1"/>
                <w:sz w:val="24"/>
                <w:szCs w:val="24"/>
                <w14:textFill>
                  <w14:solidFill>
                    <w14:schemeClr w14:val="tx1"/>
                  </w14:solidFill>
                </w14:textFill>
              </w:rPr>
              <w:outlineLvl w:val="2"/>
            </w:pPr>
            <w:r/>
            <w:bookmarkStart w:id="152" w:name="_Toc110676323"/>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审</w:t>
            </w:r>
            <w:bookmarkEnd w:id="152"/>
            <w:r/>
            <w:r/>
          </w:p>
          <w:p>
            <w:pPr>
              <w:jc w:val="center"/>
              <w:keepLines/>
              <w:keepNext/>
              <w:rPr>
                <w:rFonts w:hint="eastAsia" w:cs="宋体" w:asciiTheme="minorEastAsia" w:hAnsiTheme="minorEastAsia" w:eastAsiaTheme="minorEastAsia"/>
                <w:b/>
                <w:bCs/>
                <w:color w:val="000000" w:themeColor="text1"/>
                <w:sz w:val="24"/>
                <w:szCs w:val="24"/>
                <w14:textFill>
                  <w14:solidFill>
                    <w14:schemeClr w14:val="tx1"/>
                  </w14:solidFill>
                </w14:textFill>
              </w:rPr>
              <w:outlineLvl w:val="2"/>
            </w:pPr>
            <w:r/>
            <w:bookmarkStart w:id="153" w:name="_Toc110676324"/>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标</w:t>
            </w:r>
            <w:bookmarkEnd w:id="153"/>
            <w:r/>
            <w:r/>
          </w:p>
          <w:p>
            <w:pPr>
              <w:jc w:val="center"/>
              <w:keepLines/>
              <w:keepNext/>
              <w:rPr>
                <w:rFonts w:hint="eastAsia" w:asciiTheme="minorEastAsia" w:hAnsiTheme="minorEastAsia" w:eastAsiaTheme="minorEastAsia"/>
                <w:color w:val="000000" w:themeColor="text1"/>
                <w:sz w:val="24"/>
                <w:szCs w:val="24"/>
                <w14:textFill>
                  <w14:solidFill>
                    <w14:schemeClr w14:val="tx1"/>
                  </w14:solidFill>
                </w14:textFill>
              </w:rPr>
              <w:outlineLvl w:val="2"/>
            </w:pPr>
            <w:r/>
            <w:bookmarkStart w:id="154" w:name="_Toc110676325"/>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准</w:t>
            </w:r>
            <w:bookmarkEnd w:id="154"/>
            <w:r/>
            <w:r/>
          </w:p>
        </w:tc>
        <w:tc>
          <w:tcPr>
            <w:gridSpan w:val="3"/>
            <w:tcW w:w="4300" w:type="pct"/>
            <w:textDirection w:val="lrTb"/>
            <w:noWrap w:val="false"/>
          </w:tcPr>
          <w:p>
            <w:pPr>
              <w:keepLines/>
              <w:keepNext/>
              <w:rPr>
                <w:rFonts w:hint="eastAsia" w:cs="宋体" w:asciiTheme="minorEastAsia" w:hAnsiTheme="minorEastAsia" w:eastAsiaTheme="minorEastAsia"/>
                <w:bCs/>
                <w:color w:val="000000" w:themeColor="text1"/>
                <w:sz w:val="24"/>
                <w:szCs w:val="24"/>
                <w14:textFill>
                  <w14:solidFill>
                    <w14:schemeClr w14:val="tx1"/>
                  </w14:solidFill>
                </w14:textFill>
              </w:rPr>
              <w:outlineLvl w:val="2"/>
            </w:pPr>
            <w:r/>
            <w:bookmarkStart w:id="155" w:name="_Toc110676326"/>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（1）投标文件组成齐全，格式、内容按招标文件的规定、字迹清晰可辨：</w:t>
            </w:r>
            <w:bookmarkEnd w:id="155"/>
            <w:r/>
            <w:r/>
          </w:p>
          <w:p>
            <w:pPr>
              <w:keepLines/>
              <w:keepNext/>
              <w:rPr>
                <w:rFonts w:hint="eastAsia" w:cs="宋体" w:asciiTheme="minorEastAsia" w:hAnsiTheme="minorEastAsia" w:eastAsiaTheme="minorEastAsia"/>
                <w:bCs/>
                <w:color w:val="000000" w:themeColor="text1"/>
                <w:sz w:val="24"/>
                <w:szCs w:val="24"/>
                <w14:textFill>
                  <w14:solidFill>
                    <w14:schemeClr w14:val="tx1"/>
                  </w14:solidFill>
                </w14:textFill>
              </w:rPr>
              <w:outlineLvl w:val="2"/>
            </w:pPr>
            <w:r/>
            <w:bookmarkStart w:id="156" w:name="_Toc110676327"/>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（2）投标文件中法定代表人、授权代理人的电子签章或签名、投标人的单位章齐全，符合招标文件规定；</w:t>
            </w:r>
            <w:bookmarkEnd w:id="156"/>
            <w:r/>
            <w:r/>
          </w:p>
          <w:p>
            <w:pPr>
              <w:keepLines/>
              <w:keepNext/>
              <w:rPr>
                <w:rFonts w:hint="eastAsia" w:cs="宋体" w:asciiTheme="minorEastAsia" w:hAnsiTheme="minorEastAsia" w:eastAsiaTheme="minorEastAsia"/>
                <w:bCs/>
                <w:color w:val="000000" w:themeColor="text1"/>
                <w:sz w:val="24"/>
                <w:szCs w:val="24"/>
                <w14:textFill>
                  <w14:solidFill>
                    <w14:schemeClr w14:val="tx1"/>
                  </w14:solidFill>
                </w14:textFill>
              </w:rPr>
              <w:outlineLvl w:val="2"/>
            </w:pPr>
            <w:r/>
            <w:bookmarkStart w:id="157" w:name="_Toc110676328"/>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（3）投标报价为唯一报价，且未提交选择性报价；</w:t>
            </w:r>
            <w:bookmarkEnd w:id="157"/>
            <w:r/>
            <w:r/>
          </w:p>
          <w:p>
            <w:pPr>
              <w:keepLines/>
              <w:keepNext/>
              <w:rPr>
                <w:rFonts w:hint="eastAsia" w:cs="宋体" w:asciiTheme="minorEastAsia" w:hAnsiTheme="minorEastAsia" w:eastAsiaTheme="minorEastAsia"/>
                <w:bCs/>
                <w:color w:val="000000" w:themeColor="text1"/>
                <w:sz w:val="24"/>
                <w:szCs w:val="24"/>
                <w14:textFill>
                  <w14:solidFill>
                    <w14:schemeClr w14:val="tx1"/>
                  </w14:solidFill>
                </w14:textFill>
              </w:rPr>
              <w:outlineLvl w:val="2"/>
            </w:pPr>
            <w:r/>
            <w:bookmarkStart w:id="158" w:name="_Toc110676329"/>
            <w:r>
              <w:rPr>
                <w:rFonts w:hint="eastAsia" w:cs="宋体" w:asciiTheme="minorEastAsia" w:hAnsiTheme="minorEastAsia" w:eastAsiaTheme="minorEastAsia"/>
                <w:color w:val="000000" w:themeColor="text1"/>
                <w:sz w:val="24"/>
                <w:szCs w:val="24"/>
                <w14:textFill>
                  <w14:solidFill>
                    <w14:schemeClr w14:val="tx1"/>
                  </w14:solidFill>
                </w14:textFill>
              </w:rPr>
              <w:t xml:space="preserve">（4）投标报价的大写金额未因书写错误造成无法确定具体数值</w:t>
            </w:r>
            <w:bookmarkEnd w:id="158"/>
            <w:r/>
            <w:bookmarkStart w:id="159" w:name="_Toc110676330"/>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投标报价未高于采购人的最高限价；</w:t>
            </w:r>
            <w:bookmarkEnd w:id="159"/>
            <w:r/>
            <w:r/>
          </w:p>
          <w:p>
            <w:pPr>
              <w:keepLines/>
              <w:keepNext/>
              <w:rPr>
                <w:rFonts w:hint="eastAsia" w:cs="宋体" w:asciiTheme="minorEastAsia" w:hAnsiTheme="minorEastAsia" w:eastAsiaTheme="minorEastAsia"/>
                <w:bCs/>
                <w:color w:val="000000" w:themeColor="text1"/>
                <w:sz w:val="24"/>
                <w:szCs w:val="24"/>
                <w14:textFill>
                  <w14:solidFill>
                    <w14:schemeClr w14:val="tx1"/>
                  </w14:solidFill>
                </w14:textFill>
              </w:rPr>
              <w:outlineLvl w:val="2"/>
            </w:pPr>
            <w:r/>
            <w:bookmarkStart w:id="160" w:name="_Toc110676331"/>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（5）投标人未提交可调价格的投标报价；</w:t>
            </w:r>
            <w:bookmarkEnd w:id="160"/>
            <w:r/>
            <w:r/>
          </w:p>
          <w:p>
            <w:pPr>
              <w:keepLines/>
              <w:keepNext/>
              <w:rPr>
                <w:rFonts w:hint="eastAsia" w:cs="宋体" w:asciiTheme="minorEastAsia" w:hAnsiTheme="minorEastAsia" w:eastAsiaTheme="minorEastAsia"/>
                <w:bCs/>
                <w:color w:val="000000" w:themeColor="text1"/>
                <w:sz w:val="24"/>
                <w:szCs w:val="24"/>
                <w14:textFill>
                  <w14:solidFill>
                    <w14:schemeClr w14:val="tx1"/>
                  </w14:solidFill>
                </w14:textFill>
              </w:rPr>
              <w:outlineLvl w:val="2"/>
            </w:pPr>
            <w:r/>
            <w:bookmarkStart w:id="161" w:name="_Toc110676332"/>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（6）商务条款响应表中未出现负偏离；</w:t>
            </w:r>
            <w:bookmarkEnd w:id="161"/>
            <w:r/>
            <w:r/>
          </w:p>
          <w:p>
            <w:pPr>
              <w:keepLines/>
              <w:keepNext/>
              <w:rPr>
                <w:rFonts w:hint="eastAsia" w:cs="宋体" w:asciiTheme="minorEastAsia" w:hAnsiTheme="minorEastAsia" w:eastAsiaTheme="minorEastAsia"/>
                <w:bCs/>
                <w:color w:val="000000" w:themeColor="text1"/>
                <w:sz w:val="24"/>
                <w:szCs w:val="24"/>
                <w14:textFill>
                  <w14:solidFill>
                    <w14:schemeClr w14:val="tx1"/>
                  </w14:solidFill>
                </w14:textFill>
              </w:rPr>
              <w:outlineLvl w:val="2"/>
            </w:pPr>
            <w:r/>
            <w:bookmarkStart w:id="162" w:name="_Toc110676333"/>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（7）</w:t>
            </w:r>
            <w:bookmarkEnd w:id="162"/>
            <w:r/>
            <w:bookmarkStart w:id="163" w:name="_Toc110676334"/>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投标人未以任何方式或者方法提供报价以外的任何附赠条款；</w:t>
            </w:r>
            <w:bookmarkEnd w:id="163"/>
            <w:r/>
            <w:r/>
          </w:p>
          <w:p>
            <w:pPr>
              <w:spacing w:line="288" w:lineRule="auto"/>
              <w:rPr>
                <w:rFonts w:hint="eastAsia" w:cs="宋体" w:asciiTheme="minorEastAsia" w:hAnsiTheme="minorEastAsia" w:eastAsiaTheme="minorEastAsia"/>
                <w:b/>
                <w:bCs/>
                <w:color w:val="000000" w:themeColor="text1"/>
                <w:sz w:val="24"/>
                <w:szCs w:val="24"/>
                <w14:textFill>
                  <w14:solidFill>
                    <w14:schemeClr w14:val="tx1"/>
                  </w14:solidFill>
                </w14:textFill>
              </w:rPr>
            </w:pPr>
            <w:r/>
            <w:bookmarkStart w:id="164" w:name="_Toc110676335"/>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8）</w:t>
            </w: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投标文件未附有采购人不能接受的条件。</w:t>
            </w:r>
            <w:bookmarkEnd w:id="122"/>
            <w:r/>
            <w:bookmarkEnd w:id="123"/>
            <w:r/>
            <w:bookmarkEnd w:id="124"/>
            <w:r/>
            <w:bookmarkEnd w:id="146"/>
            <w:r/>
            <w:bookmarkEnd w:id="164"/>
            <w:r/>
            <w:r/>
          </w:p>
        </w:tc>
      </w:tr>
      <w:tr>
        <w:trPr>
          <w:cantSplit/>
          <w:trHeight w:val="942"/>
          <w:tblHeader/>
        </w:trPr>
        <w:tc>
          <w:tcPr>
            <w:tcW w:w="340" w:type="pct"/>
            <w:vMerge w:val="restart"/>
            <w:textDirection w:val="lrTb"/>
            <w:noWrap w:val="false"/>
          </w:tcPr>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r>
            <w:r/>
          </w:p>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r>
            <w:r/>
          </w:p>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r>
            <w:r/>
          </w:p>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r>
            <w:r/>
          </w:p>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r>
            <w:r/>
          </w:p>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r>
            <w:r/>
          </w:p>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r>
            <w:r/>
          </w:p>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r>
            <w:r/>
          </w:p>
          <w:p>
            <w:pPr>
              <w:jc w:val="center"/>
              <w:keepLines/>
              <w:keepNext/>
              <w:rPr>
                <w:rFonts w:hint="eastAsia" w:asciiTheme="minorEastAsia" w:hAnsiTheme="minorEastAsia" w:eastAsiaTheme="minorEastAsia"/>
                <w:color w:val="000000" w:themeColor="text1"/>
                <w:sz w:val="24"/>
                <w:szCs w:val="24"/>
                <w14:textFill>
                  <w14:solidFill>
                    <w14:schemeClr w14:val="tx1"/>
                  </w14:solidFill>
                </w14:textFill>
              </w:rPr>
              <w:outlineLvl w:val="2"/>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2</w:t>
            </w:r>
            <w:r>
              <w:rPr>
                <w:rFonts w:cs="宋体" w:asciiTheme="minorEastAsia" w:hAnsiTheme="minorEastAsia" w:eastAsiaTheme="minorEastAsia"/>
                <w:b/>
                <w:bCs/>
                <w:color w:val="000000" w:themeColor="text1"/>
                <w:sz w:val="24"/>
                <w:szCs w:val="24"/>
                <w14:textFill>
                  <w14:solidFill>
                    <w14:schemeClr w14:val="tx1"/>
                  </w14:solidFill>
                </w14:textFill>
              </w:rPr>
              <w:t xml:space="preserve">.3</w:t>
            </w:r>
            <w:r/>
          </w:p>
        </w:tc>
        <w:tc>
          <w:tcPr>
            <w:tcW w:w="360" w:type="pct"/>
            <w:vMerge w:val="restart"/>
            <w:textDirection w:val="lrTb"/>
            <w:noWrap w:val="false"/>
          </w:tcPr>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r>
            <w:r/>
          </w:p>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r>
            <w:r/>
          </w:p>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r>
            <w:r/>
          </w:p>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r>
            <w:r/>
          </w:p>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r>
            <w:r/>
          </w:p>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r>
            <w:r/>
          </w:p>
          <w:p>
            <w:pPr>
              <w:jc w:val="center"/>
              <w:keepLines/>
              <w:keepNext/>
              <w:rPr>
                <w:rFonts w:hint="eastAsia" w:cs="宋体" w:asciiTheme="minorEastAsia" w:hAnsiTheme="minorEastAsia" w:eastAsiaTheme="minorEastAsia"/>
                <w:b/>
                <w:bCs/>
                <w:color w:val="000000" w:themeColor="text1"/>
                <w:sz w:val="24"/>
                <w:szCs w:val="24"/>
                <w14:textFill>
                  <w14:solidFill>
                    <w14:schemeClr w14:val="tx1"/>
                  </w14:solidFill>
                </w14:textFill>
              </w:rPr>
              <w:outlineLvl w:val="2"/>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分</w:t>
            </w:r>
            <w:r/>
          </w:p>
          <w:p>
            <w:pPr>
              <w:jc w:val="center"/>
              <w:keepLines/>
              <w:keepNext/>
              <w:rPr>
                <w:rFonts w:hint="eastAsia" w:cs="宋体" w:asciiTheme="minorEastAsia" w:hAnsiTheme="minorEastAsia" w:eastAsiaTheme="minorEastAsia"/>
                <w:b/>
                <w:bCs/>
                <w:color w:val="000000" w:themeColor="text1"/>
                <w:sz w:val="24"/>
                <w:szCs w:val="24"/>
                <w14:textFill>
                  <w14:solidFill>
                    <w14:schemeClr w14:val="tx1"/>
                  </w14:solidFill>
                </w14:textFill>
              </w:rPr>
              <w:outlineLvl w:val="2"/>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值</w:t>
            </w:r>
            <w:r/>
          </w:p>
          <w:p>
            <w:pPr>
              <w:jc w:val="center"/>
              <w:keepLines/>
              <w:keepNext/>
              <w:rPr>
                <w:rFonts w:hint="eastAsia" w:cs="宋体" w:asciiTheme="minorEastAsia" w:hAnsiTheme="minorEastAsia" w:eastAsiaTheme="minorEastAsia"/>
                <w:b/>
                <w:bCs/>
                <w:color w:val="000000" w:themeColor="text1"/>
                <w:sz w:val="24"/>
                <w:szCs w:val="24"/>
                <w14:textFill>
                  <w14:solidFill>
                    <w14:schemeClr w14:val="tx1"/>
                  </w14:solidFill>
                </w14:textFill>
              </w:rPr>
              <w:outlineLvl w:val="2"/>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构</w:t>
            </w:r>
            <w:r/>
          </w:p>
          <w:p>
            <w:pPr>
              <w:jc w:val="center"/>
              <w:keepLines/>
              <w:keepNext/>
              <w:rPr>
                <w:rFonts w:hint="eastAsia" w:cs="宋体" w:asciiTheme="minorEastAsia" w:hAnsiTheme="minorEastAsia" w:eastAsiaTheme="minorEastAsia"/>
                <w:b/>
                <w:bCs/>
                <w:color w:val="000000" w:themeColor="text1"/>
                <w:sz w:val="24"/>
                <w:szCs w:val="24"/>
                <w14:textFill>
                  <w14:solidFill>
                    <w14:schemeClr w14:val="tx1"/>
                  </w14:solidFill>
                </w14:textFill>
              </w:rPr>
              <w:outlineLvl w:val="2"/>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成</w:t>
            </w:r>
            <w:r/>
          </w:p>
          <w:p>
            <w:pPr>
              <w:jc w:val="center"/>
              <w:keepLines/>
              <w:keepNext/>
              <w:rPr>
                <w:rFonts w:hint="eastAsia" w:cs="宋体" w:asciiTheme="minorEastAsia" w:hAnsiTheme="minorEastAsia" w:eastAsiaTheme="minorEastAsia"/>
                <w:b/>
                <w:bCs/>
                <w:color w:val="000000" w:themeColor="text1"/>
                <w:sz w:val="24"/>
                <w:szCs w:val="24"/>
                <w14:textFill>
                  <w14:solidFill>
                    <w14:schemeClr w14:val="tx1"/>
                  </w14:solidFill>
                </w14:textFill>
              </w:rPr>
              <w:outlineLvl w:val="2"/>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与</w:t>
            </w:r>
            <w:r/>
          </w:p>
          <w:p>
            <w:pPr>
              <w:jc w:val="center"/>
              <w:keepLines/>
              <w:keepNext/>
              <w:rPr>
                <w:rFonts w:hint="eastAsia" w:cs="宋体" w:asciiTheme="minorEastAsia" w:hAnsiTheme="minorEastAsia" w:eastAsiaTheme="minorEastAsia"/>
                <w:b/>
                <w:bCs/>
                <w:color w:val="000000" w:themeColor="text1"/>
                <w:sz w:val="24"/>
                <w:szCs w:val="24"/>
                <w14:textFill>
                  <w14:solidFill>
                    <w14:schemeClr w14:val="tx1"/>
                  </w14:solidFill>
                </w14:textFill>
              </w:rPr>
              <w:outlineLvl w:val="2"/>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评</w:t>
            </w:r>
            <w:r/>
          </w:p>
          <w:p>
            <w:pPr>
              <w:jc w:val="center"/>
              <w:keepLines/>
              <w:keepNext/>
              <w:rPr>
                <w:rFonts w:hint="eastAsia" w:cs="宋体" w:asciiTheme="minorEastAsia" w:hAnsiTheme="minorEastAsia" w:eastAsiaTheme="minorEastAsia"/>
                <w:b/>
                <w:bCs/>
                <w:color w:val="000000" w:themeColor="text1"/>
                <w:sz w:val="24"/>
                <w:szCs w:val="24"/>
                <w14:textFill>
                  <w14:solidFill>
                    <w14:schemeClr w14:val="tx1"/>
                  </w14:solidFill>
                </w14:textFill>
              </w:rPr>
              <w:outlineLvl w:val="2"/>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分</w:t>
            </w:r>
            <w:r/>
          </w:p>
          <w:p>
            <w:pPr>
              <w:jc w:val="center"/>
              <w:keepLines/>
              <w:keepNext/>
              <w:rPr>
                <w:rFonts w:hint="eastAsia" w:cs="宋体" w:asciiTheme="minorEastAsia" w:hAnsiTheme="minorEastAsia" w:eastAsiaTheme="minorEastAsia"/>
                <w:b/>
                <w:bCs/>
                <w:color w:val="000000" w:themeColor="text1"/>
                <w:sz w:val="24"/>
                <w:szCs w:val="24"/>
                <w14:textFill>
                  <w14:solidFill>
                    <w14:schemeClr w14:val="tx1"/>
                  </w14:solidFill>
                </w14:textFill>
              </w:rPr>
              <w:outlineLvl w:val="2"/>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标</w:t>
            </w:r>
            <w:r/>
          </w:p>
          <w:p>
            <w:pPr>
              <w:jc w:val="center"/>
              <w:keepLines/>
              <w:keepNext/>
              <w:rPr>
                <w:rFonts w:hint="eastAsia" w:asciiTheme="minorEastAsia" w:hAnsiTheme="minorEastAsia" w:eastAsiaTheme="minorEastAsia"/>
                <w:color w:val="000000" w:themeColor="text1"/>
                <w:sz w:val="24"/>
                <w:szCs w:val="24"/>
                <w14:textFill>
                  <w14:solidFill>
                    <w14:schemeClr w14:val="tx1"/>
                  </w14:solidFill>
                </w14:textFill>
              </w:rPr>
              <w:outlineLvl w:val="2"/>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准</w:t>
            </w:r>
            <w:r/>
          </w:p>
        </w:tc>
        <w:tc>
          <w:tcPr>
            <w:tcW w:w="511" w:type="pct"/>
            <w:vAlign w:val="center"/>
            <w:textDirection w:val="lrTb"/>
            <w:noWrap w:val="false"/>
          </w:tcPr>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bookmarkStart w:id="165" w:name="_Hlk401005359"/>
            <w:r>
              <w:rPr>
                <w:rFonts w:hint="eastAsia" w:asciiTheme="minorEastAsia" w:hAnsiTheme="minorEastAsia" w:eastAsiaTheme="minorEastAsia"/>
                <w:color w:val="000000" w:themeColor="text1"/>
                <w:sz w:val="24"/>
                <w:szCs w:val="24"/>
                <w14:textFill>
                  <w14:solidFill>
                    <w14:schemeClr w14:val="tx1"/>
                  </w14:solidFill>
                </w14:textFill>
              </w:rPr>
              <w:t xml:space="preserve">评分因素</w:t>
            </w:r>
            <w:r/>
          </w:p>
        </w:tc>
        <w:tc>
          <w:tcPr>
            <w:tcW w:w="3290" w:type="pct"/>
            <w:vAlign w:val="center"/>
            <w:textDirection w:val="lrTb"/>
            <w:noWrap w:val="false"/>
          </w:tcPr>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评分标准</w:t>
            </w:r>
            <w:r/>
          </w:p>
        </w:tc>
        <w:tc>
          <w:tcPr>
            <w:tcW w:w="499" w:type="pct"/>
            <w:vAlign w:val="center"/>
            <w:textDirection w:val="lrTb"/>
            <w:noWrap w:val="false"/>
          </w:tcPr>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分值（分）</w:t>
            </w:r>
            <w:bookmarkEnd w:id="165"/>
            <w:r/>
            <w:r/>
          </w:p>
        </w:tc>
      </w:tr>
      <w:tr>
        <w:trPr>
          <w:cantSplit/>
          <w:trHeight w:val="942"/>
          <w:tblHeader/>
        </w:trPr>
        <w:tc>
          <w:tcPr>
            <w:tcW w:w="340" w:type="pct"/>
            <w:vMerge w:val="continue"/>
            <w:textDirection w:val="lrTb"/>
            <w:noWrap w:val="false"/>
          </w:tcPr>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r>
            <w:r/>
          </w:p>
        </w:tc>
        <w:tc>
          <w:tcPr>
            <w:tcW w:w="360" w:type="pct"/>
            <w:vMerge w:val="continue"/>
            <w:textDirection w:val="lrTb"/>
            <w:noWrap w:val="false"/>
          </w:tcPr>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r>
            <w:r/>
          </w:p>
        </w:tc>
        <w:tc>
          <w:tcPr>
            <w:tcW w:w="511" w:type="pct"/>
            <w:vAlign w:val="center"/>
            <w:textDirection w:val="lrTb"/>
            <w:noWrap w:val="false"/>
          </w:tcPr>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报价</w:t>
            </w:r>
            <w:r/>
          </w:p>
        </w:tc>
        <w:tc>
          <w:tcPr>
            <w:tcW w:w="3290" w:type="pct"/>
            <w:vAlign w:val="center"/>
            <w:textDirection w:val="lrTb"/>
            <w:noWrap w:val="false"/>
          </w:tcPr>
          <w:p>
            <w:pPr>
              <w:jc w:val="left"/>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釆用低价优先法计算，即满足招标文件要求且投标价格最低的投标报价为评标基准价，其价格分为满分。其他投标人的价格分统一按照下列公式计算：投标报价得分=（评标基准价/投标报价）×价格权值 ×100，分值计算保留小数点后两位， 小数点后第三位“四舍五入”</w:t>
            </w:r>
            <w:r/>
          </w:p>
        </w:tc>
        <w:tc>
          <w:tcPr>
            <w:tcW w:w="499" w:type="pct"/>
            <w:vAlign w:val="center"/>
            <w:textDirection w:val="lrTb"/>
            <w:noWrap w:val="false"/>
          </w:tcPr>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10</w:t>
            </w:r>
            <w:r/>
          </w:p>
        </w:tc>
      </w:tr>
      <w:tr>
        <w:trPr>
          <w:cantSplit/>
          <w:trHeight w:val="942"/>
          <w:tblHeader/>
        </w:trPr>
        <w:tc>
          <w:tcPr>
            <w:tcW w:w="340" w:type="pct"/>
            <w:vMerge w:val="continue"/>
            <w:textDirection w:val="lrTb"/>
            <w:noWrap w:val="false"/>
          </w:tcPr>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r>
            <w:r/>
          </w:p>
        </w:tc>
        <w:tc>
          <w:tcPr>
            <w:tcW w:w="360" w:type="pct"/>
            <w:vMerge w:val="continue"/>
            <w:textDirection w:val="lrTb"/>
            <w:noWrap w:val="false"/>
          </w:tcPr>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r>
            <w:r/>
          </w:p>
        </w:tc>
        <w:tc>
          <w:tcPr>
            <w:tcW w:w="511" w:type="pct"/>
            <w:vAlign w:val="center"/>
            <w:textDirection w:val="lrTb"/>
            <w:noWrap w:val="false"/>
          </w:tcPr>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业绩</w:t>
            </w:r>
            <w:r/>
          </w:p>
        </w:tc>
        <w:tc>
          <w:tcPr>
            <w:tcW w:w="3290" w:type="pct"/>
            <w:vAlign w:val="center"/>
            <w:textDirection w:val="lrTb"/>
            <w:noWrap w:val="false"/>
          </w:tcPr>
          <w:p>
            <w:pPr>
              <w:jc w:val="left"/>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投标供应商自2023年1月1日以来（以合同签订日期为准），具有类似业绩的，有一个得1分，最高得2分。</w:t>
            </w:r>
            <w:r/>
          </w:p>
          <w:p>
            <w:pPr>
              <w:jc w:val="left"/>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须提供中标通知书及合同原件扫描件上传，否则不得分。</w:t>
            </w:r>
            <w:r/>
          </w:p>
        </w:tc>
        <w:tc>
          <w:tcPr>
            <w:tcW w:w="499" w:type="pct"/>
            <w:vAlign w:val="center"/>
            <w:textDirection w:val="lrTb"/>
            <w:noWrap w:val="false"/>
          </w:tcPr>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w:t>
            </w:r>
            <w:r/>
          </w:p>
        </w:tc>
      </w:tr>
      <w:tr>
        <w:trPr>
          <w:cantSplit/>
          <w:trHeight w:val="1306"/>
          <w:tblHeader/>
        </w:trPr>
        <w:tc>
          <w:tcPr>
            <w:tcW w:w="340" w:type="pct"/>
            <w:vMerge w:val="continue"/>
            <w:textDirection w:val="lrTb"/>
            <w:noWrap w:val="false"/>
          </w:tcPr>
          <w:p>
            <w:pPr>
              <w:ind w:right="113"/>
              <w:jc w:val="center"/>
              <w:spacing w:line="276" w:lineRule="auto"/>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r>
            <w:r/>
          </w:p>
        </w:tc>
        <w:tc>
          <w:tcPr>
            <w:tcW w:w="360" w:type="pct"/>
            <w:vMerge w:val="continue"/>
            <w:textDirection w:val="lrTb"/>
            <w:noWrap w:val="false"/>
          </w:tcPr>
          <w:p>
            <w:pPr>
              <w:ind w:right="113"/>
              <w:jc w:val="center"/>
              <w:spacing w:line="276" w:lineRule="auto"/>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r>
            <w:r/>
          </w:p>
        </w:tc>
        <w:tc>
          <w:tcPr>
            <w:tcW w:w="511" w:type="pct"/>
            <w:vAlign w:val="center"/>
            <w:textDirection w:val="lrTb"/>
            <w:noWrap w:val="false"/>
          </w:tcPr>
          <w:p>
            <w:pPr>
              <w:ind w:right="113"/>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救援设备</w:t>
            </w:r>
            <w:r/>
          </w:p>
        </w:tc>
        <w:tc>
          <w:tcPr>
            <w:tcW w:w="3290" w:type="pct"/>
            <w:vAlign w:val="center"/>
            <w:textDirection w:val="lrTb"/>
            <w:noWrap w:val="false"/>
          </w:tcPr>
          <w:p>
            <w:pPr>
              <w:jc w:val="left"/>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1.投标供应商具有清障车的，有一辆得2分，最多得4分；</w:t>
            </w:r>
            <w:r/>
          </w:p>
          <w:p>
            <w:pPr>
              <w:jc w:val="left"/>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2.投标供应商具有微型或轻型货车（皮卡）的，有一辆得2分，最多得4分；</w:t>
            </w:r>
            <w:r/>
          </w:p>
          <w:p>
            <w:pPr>
              <w:jc w:val="left"/>
              <w:spacing w:line="276" w:lineRule="auto"/>
              <w:rPr>
                <w:rFonts w:hint="eastAsia" w:cs="宋体" w:asciiTheme="minorEastAsia" w:hAnsiTheme="minorEastAsia" w:eastAsia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3. 投标供应商具有</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≥5吨</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吊车</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的</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得</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分；</w:t>
            </w:r>
            <w:r/>
          </w:p>
          <w:p>
            <w:pPr>
              <w:jc w:val="left"/>
              <w:spacing w:line="276"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 xml:space="preserve">须提供自有车辆行驶证(或车辆租赁合同及车辆行驶证)原件扫描</w:t>
            </w:r>
            <w:r>
              <w:rPr>
                <w:rFonts w:hint="eastAsia" w:cs="宋体" w:asciiTheme="minorEastAsia" w:hAnsiTheme="minorEastAsia" w:eastAsiaTheme="minorEastAsia"/>
                <w:b/>
                <w:color w:val="000000" w:themeColor="text1"/>
                <w:sz w:val="24"/>
                <w:szCs w:val="24"/>
                <w14:textFill>
                  <w14:solidFill>
                    <w14:schemeClr w14:val="tx1"/>
                  </w14:solidFill>
                </w14:textFill>
              </w:rPr>
              <w:t xml:space="preserve">件</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 xml:space="preserve">上传，否则不得分。</w:t>
            </w:r>
            <w:r/>
          </w:p>
        </w:tc>
        <w:tc>
          <w:tcPr>
            <w:tcW w:w="499" w:type="pct"/>
            <w:vAlign w:val="center"/>
            <w:textDirection w:val="lrTb"/>
            <w:noWrap w:val="false"/>
          </w:tcPr>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10</w:t>
            </w:r>
            <w:r/>
          </w:p>
        </w:tc>
      </w:tr>
      <w:tr>
        <w:trPr>
          <w:cantSplit/>
          <w:trHeight w:val="1047"/>
          <w:tblHeader/>
        </w:trPr>
        <w:tc>
          <w:tcPr>
            <w:tcW w:w="340" w:type="pct"/>
            <w:vMerge w:val="continue"/>
            <w:textDirection w:val="lrTb"/>
            <w:noWrap w:val="false"/>
          </w:tcPr>
          <w:p>
            <w:pPr>
              <w:jc w:val="center"/>
              <w:spacing w:before="120" w:line="276" w:lineRule="auto"/>
              <w:tabs>
                <w:tab w:val="left" w:pos="567" w:leader="none"/>
              </w:tabs>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r>
            <w:r/>
          </w:p>
        </w:tc>
        <w:tc>
          <w:tcPr>
            <w:tcW w:w="360" w:type="pct"/>
            <w:vMerge w:val="continue"/>
            <w:textDirection w:val="lrTb"/>
            <w:noWrap w:val="false"/>
          </w:tcPr>
          <w:p>
            <w:pPr>
              <w:jc w:val="center"/>
              <w:spacing w:before="120" w:line="276" w:lineRule="auto"/>
              <w:tabs>
                <w:tab w:val="left" w:pos="567" w:leader="none"/>
              </w:tabs>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r>
            <w:r/>
          </w:p>
        </w:tc>
        <w:tc>
          <w:tcPr>
            <w:tcW w:w="511" w:type="pct"/>
            <w:vAlign w:val="center"/>
            <w:textDirection w:val="lrTb"/>
            <w:noWrap w:val="false"/>
          </w:tcPr>
          <w:p>
            <w:pPr>
              <w:jc w:val="center"/>
              <w:spacing w:before="120" w:line="276" w:lineRule="auto"/>
              <w:tabs>
                <w:tab w:val="left" w:pos="567" w:leader="none"/>
              </w:tabs>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服务人员配备</w:t>
            </w:r>
            <w:r/>
          </w:p>
        </w:tc>
        <w:tc>
          <w:tcPr>
            <w:tcW w:w="3290" w:type="pct"/>
            <w:vAlign w:val="center"/>
            <w:textDirection w:val="lrTb"/>
            <w:noWrap w:val="false"/>
          </w:tcPr>
          <w:p>
            <w:pPr>
              <w:jc w:val="left"/>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bookmarkStart w:id="166" w:name="OLE_LINK7"/>
            <w:r>
              <w:rPr>
                <w:rFonts w:hint="eastAsia" w:asciiTheme="minorEastAsia" w:hAnsiTheme="minorEastAsia" w:eastAsiaTheme="minorEastAsia"/>
                <w:color w:val="000000" w:themeColor="text1"/>
                <w:sz w:val="24"/>
                <w:szCs w:val="24"/>
                <w14:textFill>
                  <w14:solidFill>
                    <w14:schemeClr w14:val="tx1"/>
                  </w14:solidFill>
                </w14:textFill>
              </w:rPr>
              <w:t xml:space="preserve">1.投标供应商拟派的服务人员</w:t>
            </w:r>
            <w:bookmarkEnd w:id="166"/>
            <w:r>
              <w:rPr>
                <w:rFonts w:hint="eastAsia" w:asciiTheme="minorEastAsia" w:hAnsiTheme="minorEastAsia" w:eastAsiaTheme="minorEastAsia"/>
                <w:color w:val="000000" w:themeColor="text1"/>
                <w:sz w:val="24"/>
                <w:szCs w:val="24"/>
                <w14:textFill>
                  <w14:solidFill>
                    <w14:schemeClr w14:val="tx1"/>
                  </w14:solidFill>
                </w14:textFill>
              </w:rPr>
              <w:t xml:space="preserve">具有B证及以上驾驶员，有1名得1分，本项最高得3分；</w:t>
            </w:r>
            <w:r/>
          </w:p>
          <w:p>
            <w:pPr>
              <w:jc w:val="left"/>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w:t>
            </w:r>
            <w:bookmarkStart w:id="167" w:name="OLE_LINK3"/>
            <w:r>
              <w:rPr>
                <w:rFonts w:hint="eastAsia" w:asciiTheme="minorEastAsia" w:hAnsiTheme="minorEastAsia" w:eastAsiaTheme="minorEastAsia"/>
                <w:color w:val="000000" w:themeColor="text1"/>
                <w:sz w:val="24"/>
                <w:szCs w:val="24"/>
                <w14:textFill>
                  <w14:solidFill>
                    <w14:schemeClr w14:val="tx1"/>
                  </w14:solidFill>
                </w14:textFill>
              </w:rPr>
              <w:t xml:space="preserve">投标</w:t>
            </w:r>
            <w:bookmarkEnd w:id="167"/>
            <w:r>
              <w:rPr>
                <w:rFonts w:hint="eastAsia" w:asciiTheme="minorEastAsia" w:hAnsiTheme="minorEastAsia" w:eastAsiaTheme="minorEastAsia"/>
                <w:color w:val="000000" w:themeColor="text1"/>
                <w:sz w:val="24"/>
                <w:szCs w:val="24"/>
                <w14:textFill>
                  <w14:solidFill>
                    <w14:schemeClr w14:val="tx1"/>
                  </w14:solidFill>
                </w14:textFill>
              </w:rPr>
              <w:t xml:space="preserve">供应商拟派的服务人员具有C证及以上驾驶员，有1名得1分，本项最高得3分；</w:t>
            </w:r>
            <w:r/>
          </w:p>
          <w:p>
            <w:pP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3.其他配套人员有1名得0.5分，本项最高得6分。</w:t>
            </w:r>
            <w:r/>
          </w:p>
          <w:p>
            <w:pPr>
              <w:spacing w:line="276" w:lineRule="auto"/>
              <w:rPr>
                <w:rFonts w:hint="eastAsia" w:cs="宋体"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t xml:space="preserve">以上人员不重复计分，须提供人员清单及在本单位缴纳的近三个月任意一个月社保证明、驾驶员驾驶证、配套人员身份证，以上材料原件扫描</w:t>
            </w:r>
            <w:r>
              <w:rPr>
                <w:rFonts w:hint="eastAsia" w:cs="宋体" w:asciiTheme="minorEastAsia" w:hAnsiTheme="minorEastAsia" w:eastAsiaTheme="minorEastAsia"/>
                <w:b/>
                <w:color w:val="000000" w:themeColor="text1"/>
                <w:sz w:val="24"/>
                <w:szCs w:val="24"/>
                <w14:textFill>
                  <w14:solidFill>
                    <w14:schemeClr w14:val="tx1"/>
                  </w14:solidFill>
                </w14:textFill>
              </w:rPr>
              <w:t xml:space="preserve">件</w:t>
            </w:r>
            <w:r>
              <w:rPr>
                <w:rFonts w:hint="eastAsia" w:asciiTheme="minorEastAsia" w:hAnsiTheme="minorEastAsia" w:eastAsiaTheme="minorEastAsia"/>
                <w:b/>
                <w:bCs/>
                <w:color w:val="000000" w:themeColor="text1"/>
                <w:sz w:val="24"/>
                <w:szCs w:val="24"/>
                <w14:textFill>
                  <w14:solidFill>
                    <w14:schemeClr w14:val="tx1"/>
                  </w14:solidFill>
                </w14:textFill>
              </w:rPr>
              <w:t xml:space="preserve">上传，否则不得分。</w:t>
            </w:r>
            <w:r/>
          </w:p>
        </w:tc>
        <w:tc>
          <w:tcPr>
            <w:tcW w:w="499" w:type="pct"/>
            <w:vAlign w:val="center"/>
            <w:textDirection w:val="lrTb"/>
            <w:noWrap w:val="false"/>
          </w:tcPr>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12</w:t>
            </w:r>
            <w:r/>
          </w:p>
        </w:tc>
      </w:tr>
      <w:tr>
        <w:trPr>
          <w:cantSplit/>
          <w:trHeight w:val="1047"/>
          <w:tblHeader/>
        </w:trPr>
        <w:tc>
          <w:tcPr>
            <w:tcW w:w="340" w:type="pct"/>
            <w:vMerge w:val="continue"/>
            <w:textDirection w:val="lrTb"/>
            <w:noWrap w:val="false"/>
          </w:tcPr>
          <w:p>
            <w:pPr>
              <w:jc w:val="center"/>
              <w:spacing w:before="120" w:line="276" w:lineRule="auto"/>
              <w:tabs>
                <w:tab w:val="left" w:pos="567" w:leader="none"/>
              </w:tabs>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r>
            <w:r/>
          </w:p>
        </w:tc>
        <w:tc>
          <w:tcPr>
            <w:tcW w:w="360" w:type="pct"/>
            <w:vMerge w:val="continue"/>
            <w:textDirection w:val="lrTb"/>
            <w:noWrap w:val="false"/>
          </w:tcPr>
          <w:p>
            <w:pPr>
              <w:jc w:val="center"/>
              <w:spacing w:before="120" w:line="276" w:lineRule="auto"/>
              <w:tabs>
                <w:tab w:val="left" w:pos="567" w:leader="none"/>
              </w:tabs>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r>
            <w:r/>
          </w:p>
        </w:tc>
        <w:tc>
          <w:tcPr>
            <w:tcW w:w="511" w:type="pct"/>
            <w:vAlign w:val="center"/>
            <w:textDirection w:val="lrTb"/>
            <w:noWrap w:val="false"/>
          </w:tcPr>
          <w:p>
            <w:pPr>
              <w:jc w:val="center"/>
              <w:spacing w:before="120" w:line="276" w:lineRule="auto"/>
              <w:tabs>
                <w:tab w:val="left" w:pos="567" w:leader="none"/>
              </w:tabs>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财产保险</w:t>
            </w:r>
            <w:r/>
          </w:p>
        </w:tc>
        <w:tc>
          <w:tcPr>
            <w:tcW w:w="3290" w:type="pct"/>
            <w:vAlign w:val="center"/>
            <w:textDirection w:val="lrTb"/>
            <w:noWrap w:val="false"/>
          </w:tcPr>
          <w:p>
            <w:pPr>
              <w:jc w:val="left"/>
              <w:rPr>
                <w:rFonts w:hint="eastAsia"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w:t>
            </w:r>
            <w:r>
              <w:rPr>
                <w:rFonts w:hint="eastAsia" w:asciiTheme="minorEastAsia" w:hAnsiTheme="minorEastAsia" w:eastAsiaTheme="minorEastAsia"/>
                <w:color w:val="000000" w:themeColor="text1"/>
                <w:sz w:val="24"/>
                <w:szCs w:val="24"/>
                <w14:textFill>
                  <w14:solidFill>
                    <w14:schemeClr w14:val="tx1"/>
                  </w14:solidFill>
                </w14:textFill>
              </w:rPr>
              <w:t xml:space="preserve">投标</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供应商具有停车场财产责任险的得</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3</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分；</w:t>
            </w:r>
            <w:r/>
          </w:p>
          <w:p>
            <w:pPr>
              <w:jc w:val="left"/>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w:t>
            </w:r>
            <w:r>
              <w:rPr>
                <w:rFonts w:hint="eastAsia" w:asciiTheme="minorEastAsia" w:hAnsiTheme="minorEastAsia" w:eastAsiaTheme="minorEastAsia"/>
                <w:color w:val="000000" w:themeColor="text1"/>
                <w:sz w:val="24"/>
                <w:szCs w:val="24"/>
                <w14:textFill>
                  <w14:solidFill>
                    <w14:schemeClr w14:val="tx1"/>
                  </w14:solidFill>
                </w14:textFill>
              </w:rPr>
              <w:t xml:space="preserve">投标</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供应商停车场财产意外保险</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最高赔付100万元及以上的得3分。</w:t>
            </w:r>
            <w:r/>
          </w:p>
          <w:p>
            <w:pPr>
              <w:jc w:val="left"/>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须提供有效期内的保单原件扫描</w:t>
            </w:r>
            <w:r>
              <w:rPr>
                <w:rFonts w:hint="eastAsia" w:cs="宋体" w:asciiTheme="minorEastAsia" w:hAnsiTheme="minorEastAsia" w:eastAsiaTheme="minorEastAsia"/>
                <w:b/>
                <w:color w:val="000000" w:themeColor="text1"/>
                <w:sz w:val="24"/>
                <w:szCs w:val="24"/>
                <w14:textFill>
                  <w14:solidFill>
                    <w14:schemeClr w14:val="tx1"/>
                  </w14:solidFill>
                </w14:textFill>
              </w:rPr>
              <w:t xml:space="preserve">件</w:t>
            </w: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上传，不符合要求的不得分。</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 xml:space="preserve">注：财产责任险仅指服务于场地内停放保管的涉案车辆而投保的责任险种，停车场自身的财产险不予得分。</w:t>
            </w:r>
            <w:r/>
          </w:p>
        </w:tc>
        <w:tc>
          <w:tcPr>
            <w:tcW w:w="499" w:type="pct"/>
            <w:vAlign w:val="center"/>
            <w:textDirection w:val="lrTb"/>
            <w:noWrap w:val="false"/>
          </w:tcPr>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6</w:t>
            </w:r>
            <w:r/>
          </w:p>
        </w:tc>
      </w:tr>
      <w:tr>
        <w:trPr>
          <w:cantSplit/>
          <w:trHeight w:val="1047"/>
          <w:tblHeader/>
        </w:trPr>
        <w:tc>
          <w:tcPr>
            <w:tcW w:w="340" w:type="pct"/>
            <w:vMerge w:val="continue"/>
            <w:textDirection w:val="lrTb"/>
            <w:noWrap w:val="false"/>
          </w:tcPr>
          <w:p>
            <w:pPr>
              <w:jc w:val="center"/>
              <w:spacing w:before="120" w:line="276" w:lineRule="auto"/>
              <w:tabs>
                <w:tab w:val="left" w:pos="567" w:leader="none"/>
              </w:tabs>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r>
            <w:r/>
          </w:p>
        </w:tc>
        <w:tc>
          <w:tcPr>
            <w:tcW w:w="360" w:type="pct"/>
            <w:vMerge w:val="continue"/>
            <w:textDirection w:val="lrTb"/>
            <w:noWrap w:val="false"/>
          </w:tcPr>
          <w:p>
            <w:pPr>
              <w:jc w:val="center"/>
              <w:spacing w:before="120" w:line="276" w:lineRule="auto"/>
              <w:tabs>
                <w:tab w:val="left" w:pos="567" w:leader="none"/>
              </w:tabs>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r>
            <w:r/>
          </w:p>
        </w:tc>
        <w:tc>
          <w:tcPr>
            <w:tcW w:w="511" w:type="pct"/>
            <w:vAlign w:val="center"/>
            <w:textDirection w:val="lrTb"/>
            <w:noWrap w:val="false"/>
          </w:tcPr>
          <w:p>
            <w:pPr>
              <w:jc w:val="center"/>
              <w:spacing w:before="120" w:line="276" w:lineRule="auto"/>
              <w:tabs>
                <w:tab w:val="left" w:pos="567" w:leader="none"/>
              </w:tabs>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分类办公场所</w:t>
            </w:r>
            <w:r/>
          </w:p>
        </w:tc>
        <w:tc>
          <w:tcPr>
            <w:tcW w:w="3290" w:type="pct"/>
            <w:vAlign w:val="center"/>
            <w:textDirection w:val="lrTb"/>
            <w:noWrap w:val="false"/>
          </w:tcPr>
          <w:p>
            <w:pPr>
              <w:widowControl/>
              <w:rPr>
                <w:rFonts w:hint="eastAsia"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场地配备</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门岗、值班室、群众接待室、档案管理室分类办公场所的得</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4</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分，缺一项扣</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1</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分。</w:t>
            </w:r>
            <w:r/>
          </w:p>
          <w:p>
            <w:pPr>
              <w:spacing w:line="276"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 xml:space="preserve">须提供现场图片</w:t>
            </w: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上传，否则不得分</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 xml:space="preserve">。</w:t>
            </w:r>
            <w:r/>
          </w:p>
        </w:tc>
        <w:tc>
          <w:tcPr>
            <w:tcW w:w="499" w:type="pct"/>
            <w:vAlign w:val="center"/>
            <w:textDirection w:val="lrTb"/>
            <w:noWrap w:val="false"/>
          </w:tcPr>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4</w:t>
            </w:r>
            <w:r/>
          </w:p>
        </w:tc>
      </w:tr>
      <w:tr>
        <w:trPr>
          <w:cantSplit/>
          <w:trHeight w:val="1104"/>
          <w:tblHeader/>
        </w:trPr>
        <w:tc>
          <w:tcPr>
            <w:tcW w:w="340" w:type="pct"/>
            <w:vMerge w:val="continue"/>
            <w:textDirection w:val="lrTb"/>
            <w:noWrap w:val="false"/>
          </w:tcPr>
          <w:p>
            <w:pPr>
              <w:jc w:val="center"/>
              <w:spacing w:line="276" w:lineRule="auto"/>
              <w:rPr>
                <w:rFonts w:hint="eastAsia"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r>
            <w:r/>
          </w:p>
        </w:tc>
        <w:tc>
          <w:tcPr>
            <w:tcW w:w="360" w:type="pct"/>
            <w:vMerge w:val="continue"/>
            <w:textDirection w:val="lrTb"/>
            <w:noWrap w:val="false"/>
          </w:tcPr>
          <w:p>
            <w:pPr>
              <w:jc w:val="center"/>
              <w:spacing w:line="276" w:lineRule="auto"/>
              <w:rPr>
                <w:rFonts w:hint="eastAsia"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r>
            <w:r/>
          </w:p>
        </w:tc>
        <w:tc>
          <w:tcPr>
            <w:tcW w:w="511" w:type="pct"/>
            <w:vAlign w:val="center"/>
            <w:textDirection w:val="lrTb"/>
            <w:noWrap w:val="false"/>
          </w:tcPr>
          <w:p>
            <w:pPr>
              <w:jc w:val="center"/>
              <w:spacing w:line="276" w:lineRule="auto"/>
              <w:rPr>
                <w:rFonts w:hint="eastAsia"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停放场地</w:t>
            </w:r>
            <w:r/>
          </w:p>
        </w:tc>
        <w:tc>
          <w:tcPr>
            <w:tcW w:w="3290" w:type="pct"/>
            <w:vAlign w:val="center"/>
            <w:textDirection w:val="lrTb"/>
            <w:noWrap w:val="false"/>
          </w:tcPr>
          <w:p>
            <w:pPr>
              <w:jc w:val="left"/>
              <w:rPr>
                <w:rFonts w:hint="eastAsia"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停放场地设置：汽车、摩托车及非机动车停放场地有合理的分区划分得2分。</w:t>
            </w:r>
            <w:r/>
          </w:p>
          <w:p>
            <w:pPr>
              <w:spacing w:line="276"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 xml:space="preserve">须提供现场图片</w:t>
            </w: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上传，否则不得分</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 xml:space="preserve">。</w:t>
            </w:r>
            <w:r/>
          </w:p>
        </w:tc>
        <w:tc>
          <w:tcPr>
            <w:tcW w:w="499" w:type="pct"/>
            <w:vAlign w:val="center"/>
            <w:textDirection w:val="lrTb"/>
            <w:noWrap w:val="false"/>
          </w:tcPr>
          <w:p>
            <w:pPr>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w:t>
            </w:r>
            <w:r/>
          </w:p>
        </w:tc>
      </w:tr>
      <w:tr>
        <w:trPr>
          <w:cantSplit/>
          <w:trHeight w:val="1547"/>
          <w:tblHeader/>
        </w:trPr>
        <w:tc>
          <w:tcPr>
            <w:tcW w:w="340" w:type="pct"/>
            <w:vMerge w:val="continue"/>
            <w:textDirection w:val="lrTb"/>
            <w:noWrap w:val="false"/>
          </w:tcPr>
          <w:p>
            <w:pPr>
              <w:ind w:right="113"/>
              <w:jc w:val="center"/>
              <w:spacing w:line="276" w:lineRule="auto"/>
              <w:rPr>
                <w:rFonts w:hint="eastAsia"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r>
            <w:r/>
          </w:p>
        </w:tc>
        <w:tc>
          <w:tcPr>
            <w:tcW w:w="360" w:type="pct"/>
            <w:vMerge w:val="continue"/>
            <w:textDirection w:val="lrTb"/>
            <w:noWrap w:val="false"/>
          </w:tcPr>
          <w:p>
            <w:pPr>
              <w:ind w:right="113"/>
              <w:jc w:val="center"/>
              <w:spacing w:line="276" w:lineRule="auto"/>
              <w:rPr>
                <w:rFonts w:hint="eastAsia"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r>
            <w:r/>
          </w:p>
        </w:tc>
        <w:tc>
          <w:tcPr>
            <w:tcW w:w="511" w:type="pct"/>
            <w:vAlign w:val="center"/>
            <w:textDirection w:val="lrTb"/>
            <w:noWrap w:val="false"/>
          </w:tcPr>
          <w:p>
            <w:pPr>
              <w:ind w:right="113"/>
              <w:jc w:val="center"/>
              <w:spacing w:line="276" w:lineRule="auto"/>
              <w:rPr>
                <w:rFonts w:hint="eastAsia"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消防配备</w:t>
            </w:r>
            <w:r/>
          </w:p>
        </w:tc>
        <w:tc>
          <w:tcPr>
            <w:tcW w:w="3290" w:type="pct"/>
            <w:vAlign w:val="center"/>
            <w:textDirection w:val="lrTb"/>
            <w:noWrap w:val="false"/>
          </w:tcPr>
          <w:p>
            <w:pPr>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停车区域相对隔离封闭，配备必要的灭火器、消防桩等消防设施的</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得2分。</w:t>
            </w:r>
            <w:r/>
          </w:p>
          <w:p>
            <w:pPr>
              <w:spacing w:line="276"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 xml:space="preserve">须提供现场隔离封闭和消防设施图片</w:t>
            </w: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上传，否则不得分</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 xml:space="preserve">。</w:t>
            </w:r>
            <w:r/>
          </w:p>
        </w:tc>
        <w:tc>
          <w:tcPr>
            <w:tcW w:w="499" w:type="pct"/>
            <w:vAlign w:val="center"/>
            <w:textDirection w:val="lrTb"/>
            <w:noWrap w:val="false"/>
          </w:tcPr>
          <w:p>
            <w:pPr>
              <w:ind w:left="-29" w:right="-20"/>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w:t>
            </w:r>
            <w:r/>
          </w:p>
        </w:tc>
      </w:tr>
      <w:tr>
        <w:trPr>
          <w:cantSplit/>
          <w:trHeight w:val="1547"/>
          <w:tblHeader/>
        </w:trPr>
        <w:tc>
          <w:tcPr>
            <w:tcW w:w="340" w:type="pct"/>
            <w:vMerge w:val="continue"/>
            <w:textDirection w:val="lrTb"/>
            <w:noWrap w:val="false"/>
          </w:tcPr>
          <w:p>
            <w:pPr>
              <w:ind w:right="113"/>
              <w:jc w:val="center"/>
              <w:spacing w:line="276" w:lineRule="auto"/>
              <w:rPr>
                <w:rFonts w:hint="eastAsia"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r>
            <w:r/>
          </w:p>
        </w:tc>
        <w:tc>
          <w:tcPr>
            <w:tcW w:w="360" w:type="pct"/>
            <w:vMerge w:val="continue"/>
            <w:textDirection w:val="lrTb"/>
            <w:noWrap w:val="false"/>
          </w:tcPr>
          <w:p>
            <w:pPr>
              <w:ind w:right="113"/>
              <w:jc w:val="center"/>
              <w:spacing w:line="276" w:lineRule="auto"/>
              <w:rPr>
                <w:rFonts w:hint="eastAsia"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r>
            <w:r/>
          </w:p>
        </w:tc>
        <w:tc>
          <w:tcPr>
            <w:tcW w:w="511" w:type="pct"/>
            <w:vAlign w:val="center"/>
            <w:textDirection w:val="lrTb"/>
            <w:noWrap w:val="false"/>
          </w:tcPr>
          <w:p>
            <w:pPr>
              <w:ind w:right="113"/>
              <w:jc w:val="center"/>
              <w:spacing w:line="276" w:lineRule="auto"/>
              <w:rPr>
                <w:rFonts w:hint="eastAsia" w:cs="宋体"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场地硬质化程度</w:t>
            </w:r>
            <w:r/>
          </w:p>
        </w:tc>
        <w:tc>
          <w:tcPr>
            <w:tcW w:w="3290" w:type="pct"/>
            <w:vAlign w:val="center"/>
            <w:textDirection w:val="lrTb"/>
            <w:noWrap w:val="false"/>
          </w:tcPr>
          <w:p>
            <w:pPr>
              <w:spacing w:line="276" w:lineRule="auto"/>
              <w:rPr>
                <w:rFonts w:hint="eastAsia" w:asciiTheme="minorEastAsia" w:hAnsiTheme="minorEastAsia" w:eastAsia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olor w:val="000000" w:themeColor="text1"/>
                <w:sz w:val="24"/>
                <w:szCs w:val="24"/>
                <w:lang w:val="zh-CN"/>
                <w14:textFill>
                  <w14:solidFill>
                    <w14:schemeClr w14:val="tx1"/>
                  </w14:solidFill>
                </w14:textFill>
              </w:rPr>
              <w:t xml:space="preserve">停放车辆区域场地硬</w:t>
            </w:r>
            <w:r>
              <w:rPr>
                <w:rFonts w:hint="eastAsia" w:asciiTheme="minorEastAsia" w:hAnsiTheme="minorEastAsia" w:eastAsiaTheme="minorEastAsia"/>
                <w:color w:val="000000" w:themeColor="text1"/>
                <w:sz w:val="24"/>
                <w:szCs w:val="24"/>
                <w14:textFill>
                  <w14:solidFill>
                    <w14:schemeClr w14:val="tx1"/>
                  </w14:solidFill>
                </w14:textFill>
              </w:rPr>
              <w:t xml:space="preserve">质</w:t>
            </w:r>
            <w:r>
              <w:rPr>
                <w:rFonts w:hint="eastAsia" w:asciiTheme="minorEastAsia" w:hAnsiTheme="minorEastAsia" w:eastAsiaTheme="minorEastAsia"/>
                <w:color w:val="000000" w:themeColor="text1"/>
                <w:sz w:val="24"/>
                <w:szCs w:val="24"/>
                <w:lang w:val="zh-CN"/>
                <w14:textFill>
                  <w14:solidFill>
                    <w14:schemeClr w14:val="tx1"/>
                  </w14:solidFill>
                </w14:textFill>
              </w:rPr>
              <w:t xml:space="preserve">化面积</w:t>
            </w:r>
            <w:r>
              <w:rPr>
                <w:rFonts w:hint="eastAsia" w:asciiTheme="minorEastAsia" w:hAnsiTheme="minorEastAsia" w:eastAsiaTheme="minorEastAsia"/>
                <w:color w:val="000000" w:themeColor="text1"/>
                <w:sz w:val="24"/>
                <w:szCs w:val="24"/>
                <w14:textFill>
                  <w14:solidFill>
                    <w14:schemeClr w14:val="tx1"/>
                  </w14:solidFill>
                </w14:textFill>
              </w:rPr>
              <w:t xml:space="preserve">满足</w:t>
            </w:r>
            <w:r>
              <w:rPr>
                <w:rFonts w:hint="eastAsia" w:asciiTheme="minorEastAsia" w:hAnsiTheme="minorEastAsia" w:eastAsiaTheme="minorEastAsia"/>
                <w:color w:val="000000" w:themeColor="text1"/>
                <w:sz w:val="24"/>
                <w:szCs w:val="24"/>
                <w:lang w:val="zh-CN"/>
                <w14:textFill>
                  <w14:solidFill>
                    <w14:schemeClr w14:val="tx1"/>
                  </w14:solidFill>
                </w14:textFill>
              </w:rPr>
              <w:t xml:space="preserve">5000平方米</w:t>
            </w:r>
            <w:r>
              <w:rPr>
                <w:rFonts w:hint="eastAsia" w:asciiTheme="minorEastAsia" w:hAnsiTheme="minorEastAsia" w:eastAsiaTheme="minorEastAsia"/>
                <w:color w:val="000000" w:themeColor="text1"/>
                <w:sz w:val="24"/>
                <w:szCs w:val="24"/>
                <w14:textFill>
                  <w14:solidFill>
                    <w14:schemeClr w14:val="tx1"/>
                  </w14:solidFill>
                </w14:textFill>
              </w:rPr>
              <w:t xml:space="preserve">及以上的得5分</w:t>
            </w:r>
            <w:r>
              <w:rPr>
                <w:rFonts w:hint="eastAsia" w:asciiTheme="minorEastAsia" w:hAnsiTheme="minorEastAsia" w:eastAsiaTheme="minorEastAsia"/>
                <w:color w:val="000000" w:themeColor="text1"/>
                <w:sz w:val="24"/>
                <w:szCs w:val="24"/>
                <w:lang w:val="zh-CN"/>
                <w14:textFill>
                  <w14:solidFill>
                    <w14:schemeClr w14:val="tx1"/>
                  </w14:solidFill>
                </w14:textFill>
              </w:rPr>
              <w:t xml:space="preserve">，5000平方米（不含）-</w:t>
            </w:r>
            <w:r>
              <w:rPr>
                <w:rFonts w:hint="eastAsia" w:asciiTheme="minorEastAsia" w:hAnsiTheme="minorEastAsia" w:eastAsiaTheme="minorEastAsia"/>
                <w:color w:val="000000" w:themeColor="text1"/>
                <w:sz w:val="24"/>
                <w:szCs w:val="24"/>
                <w14:textFill>
                  <w14:solidFill>
                    <w14:schemeClr w14:val="tx1"/>
                  </w14:solidFill>
                </w14:textFill>
              </w:rPr>
              <w:t xml:space="preserve">30</w:t>
            </w:r>
            <w:r>
              <w:rPr>
                <w:rFonts w:hint="eastAsia" w:asciiTheme="minorEastAsia" w:hAnsiTheme="minorEastAsia" w:eastAsiaTheme="minorEastAsia"/>
                <w:color w:val="000000" w:themeColor="text1"/>
                <w:sz w:val="24"/>
                <w:szCs w:val="24"/>
                <w:lang w:val="zh-CN"/>
                <w14:textFill>
                  <w14:solidFill>
                    <w14:schemeClr w14:val="tx1"/>
                  </w14:solidFill>
                </w14:textFill>
              </w:rPr>
              <w:t xml:space="preserve">00平方米（含）</w:t>
            </w:r>
            <w:r>
              <w:rPr>
                <w:rFonts w:hint="eastAsia" w:asciiTheme="minorEastAsia" w:hAnsiTheme="minorEastAsia" w:eastAsiaTheme="minorEastAsia"/>
                <w:color w:val="000000" w:themeColor="text1"/>
                <w:sz w:val="24"/>
                <w:szCs w:val="24"/>
                <w14:textFill>
                  <w14:solidFill>
                    <w14:schemeClr w14:val="tx1"/>
                  </w14:solidFill>
                </w14:textFill>
              </w:rPr>
              <w:t xml:space="preserve">的得3分</w:t>
            </w:r>
            <w:r>
              <w:rPr>
                <w:rFonts w:hint="eastAsia" w:asciiTheme="minorEastAsia" w:hAnsiTheme="minorEastAsia" w:eastAsiaTheme="minorEastAsia"/>
                <w:color w:val="000000" w:themeColor="text1"/>
                <w:sz w:val="24"/>
                <w:szCs w:val="24"/>
                <w:lang w:val="zh-CN"/>
                <w14:textFill>
                  <w14:solidFill>
                    <w14:schemeClr w14:val="tx1"/>
                  </w14:solidFill>
                </w14:textFill>
              </w:rPr>
              <w:t xml:space="preserve">，3000平方米（不含）-</w:t>
            </w:r>
            <w:r>
              <w:rPr>
                <w:rFonts w:hint="eastAsia" w:asciiTheme="minorEastAsia" w:hAnsiTheme="minorEastAsia" w:eastAsiaTheme="minorEastAsia"/>
                <w:color w:val="000000" w:themeColor="text1"/>
                <w:sz w:val="24"/>
                <w:szCs w:val="24"/>
                <w14:textFill>
                  <w14:solidFill>
                    <w14:schemeClr w14:val="tx1"/>
                  </w14:solidFill>
                </w14:textFill>
              </w:rPr>
              <w:t xml:space="preserve">2000</w:t>
            </w:r>
            <w:r>
              <w:rPr>
                <w:rFonts w:hint="eastAsia" w:asciiTheme="minorEastAsia" w:hAnsiTheme="minorEastAsia" w:eastAsiaTheme="minorEastAsia"/>
                <w:color w:val="000000" w:themeColor="text1"/>
                <w:sz w:val="24"/>
                <w:szCs w:val="24"/>
                <w:lang w:val="zh-CN"/>
                <w14:textFill>
                  <w14:solidFill>
                    <w14:schemeClr w14:val="tx1"/>
                  </w14:solidFill>
                </w14:textFill>
              </w:rPr>
              <w:t xml:space="preserve">平方米（含）</w:t>
            </w:r>
            <w:r>
              <w:rPr>
                <w:rFonts w:hint="eastAsia" w:asciiTheme="minorEastAsia" w:hAnsiTheme="minorEastAsia" w:eastAsiaTheme="minorEastAsia"/>
                <w:color w:val="000000" w:themeColor="text1"/>
                <w:sz w:val="24"/>
                <w:szCs w:val="24"/>
                <w14:textFill>
                  <w14:solidFill>
                    <w14:schemeClr w14:val="tx1"/>
                  </w14:solidFill>
                </w14:textFill>
              </w:rPr>
              <w:t xml:space="preserve">的得1分，其余不得分</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，本项最高得5分</w:t>
            </w:r>
            <w:r>
              <w:rPr>
                <w:rFonts w:hint="eastAsia" w:asciiTheme="minorEastAsia" w:hAnsiTheme="minorEastAsia" w:eastAsiaTheme="minorEastAsia"/>
                <w:color w:val="000000" w:themeColor="text1"/>
                <w:sz w:val="24"/>
                <w:szCs w:val="24"/>
                <w:lang w:val="zh-CN"/>
                <w14:textFill>
                  <w14:solidFill>
                    <w14:schemeClr w14:val="tx1"/>
                  </w14:solidFill>
                </w14:textFill>
              </w:rPr>
              <w:t xml:space="preserve">。</w:t>
            </w:r>
            <w:r/>
          </w:p>
          <w:p>
            <w:pPr>
              <w:spacing w:line="276"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lang w:val="zh-CN"/>
                <w14:textFill>
                  <w14:solidFill>
                    <w14:schemeClr w14:val="tx1"/>
                  </w14:solidFill>
                </w14:textFill>
              </w:rPr>
              <w:t xml:space="preserve">须提供标有尺寸的平面示意图，标明场地具体位置及现场照片，自有</w:t>
            </w: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土地证及房产证（或租赁协议、土地证及房产证）原件扫描</w:t>
            </w:r>
            <w:r>
              <w:rPr>
                <w:rFonts w:hint="eastAsia" w:cs="宋体" w:asciiTheme="minorEastAsia" w:hAnsiTheme="minorEastAsia" w:eastAsiaTheme="minorEastAsia"/>
                <w:b/>
                <w:color w:val="000000" w:themeColor="text1"/>
                <w:sz w:val="24"/>
                <w:szCs w:val="24"/>
                <w14:textFill>
                  <w14:solidFill>
                    <w14:schemeClr w14:val="tx1"/>
                  </w14:solidFill>
                </w14:textFill>
              </w:rPr>
              <w:t xml:space="preserve">件</w:t>
            </w: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上传，否则不得分</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 xml:space="preserve">。</w:t>
            </w:r>
            <w:r/>
          </w:p>
        </w:tc>
        <w:tc>
          <w:tcPr>
            <w:tcW w:w="499" w:type="pct"/>
            <w:vAlign w:val="center"/>
            <w:textDirection w:val="lrTb"/>
            <w:noWrap w:val="false"/>
          </w:tcPr>
          <w:p>
            <w:pPr>
              <w:ind w:left="-29" w:right="-20"/>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5</w:t>
            </w:r>
            <w:r/>
          </w:p>
        </w:tc>
      </w:tr>
      <w:tr>
        <w:trPr>
          <w:cantSplit/>
          <w:trHeight w:val="1547"/>
          <w:tblHeader/>
        </w:trPr>
        <w:tc>
          <w:tcPr>
            <w:tcW w:w="340" w:type="pct"/>
            <w:vMerge w:val="continue"/>
            <w:textDirection w:val="lrTb"/>
            <w:noWrap w:val="false"/>
          </w:tcPr>
          <w:p>
            <w:pPr>
              <w:ind w:right="113"/>
              <w:jc w:val="center"/>
              <w:spacing w:line="276" w:lineRule="auto"/>
              <w:rPr>
                <w:rFonts w:hint="eastAsia"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r>
            <w:r/>
          </w:p>
        </w:tc>
        <w:tc>
          <w:tcPr>
            <w:tcW w:w="360" w:type="pct"/>
            <w:vMerge w:val="continue"/>
            <w:textDirection w:val="lrTb"/>
            <w:noWrap w:val="false"/>
          </w:tcPr>
          <w:p>
            <w:pPr>
              <w:ind w:right="113"/>
              <w:jc w:val="center"/>
              <w:spacing w:line="276" w:lineRule="auto"/>
              <w:rPr>
                <w:rFonts w:hint="eastAsia"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r>
            <w:r/>
          </w:p>
        </w:tc>
        <w:tc>
          <w:tcPr>
            <w:tcW w:w="511" w:type="pct"/>
            <w:vAlign w:val="center"/>
            <w:textDirection w:val="lrTb"/>
            <w:noWrap w:val="false"/>
          </w:tcPr>
          <w:p>
            <w:pPr>
              <w:jc w:val="center"/>
              <w:spacing w:line="264"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硬件设施</w:t>
            </w:r>
            <w:r/>
          </w:p>
        </w:tc>
        <w:tc>
          <w:tcPr>
            <w:tcW w:w="3290" w:type="pct"/>
            <w:vAlign w:val="center"/>
            <w:textDirection w:val="lrTb"/>
            <w:noWrap w:val="false"/>
          </w:tcPr>
          <w:p>
            <w:pPr>
              <w:widowControl/>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投标供应商具有面积400平方米及以上厂房（封闭）得5分, 面积400平方米及以上钢架结构大棚（开放，即仅有顶部）得3分, 面积400平方米及以上其它大棚（开放，即仅有顶部）得1分</w:t>
            </w:r>
            <w:r>
              <w:rPr>
                <w:rFonts w:hint="eastAsia" w:asciiTheme="minorEastAsia" w:hAnsiTheme="minorEastAsia" w:eastAsiaTheme="minorEastAsia"/>
                <w:color w:val="000000" w:themeColor="text1"/>
                <w:sz w:val="24"/>
                <w:szCs w:val="24"/>
                <w14:textFill>
                  <w14:solidFill>
                    <w14:schemeClr w14:val="tx1"/>
                  </w14:solidFill>
                </w14:textFill>
              </w:rPr>
              <w:t xml:space="preserve">，其余不得分</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，本项最高得5分。</w:t>
            </w:r>
            <w:r/>
          </w:p>
          <w:p>
            <w:pPr>
              <w:spacing w:line="276"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须</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 xml:space="preserve">提供标有尺寸的平面示意图，标明场地位置</w:t>
            </w: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及现场照片上传，否则不得分</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 xml:space="preserve">。</w:t>
            </w:r>
            <w:r/>
          </w:p>
        </w:tc>
        <w:tc>
          <w:tcPr>
            <w:tcW w:w="499" w:type="pct"/>
            <w:vAlign w:val="center"/>
            <w:textDirection w:val="lrTb"/>
            <w:noWrap w:val="false"/>
          </w:tcPr>
          <w:p>
            <w:pPr>
              <w:ind w:left="-29" w:right="-20"/>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5</w:t>
            </w:r>
            <w:r/>
          </w:p>
        </w:tc>
      </w:tr>
      <w:tr>
        <w:trPr>
          <w:cantSplit/>
          <w:trHeight w:val="787"/>
          <w:tblHeader/>
        </w:trPr>
        <w:tc>
          <w:tcPr>
            <w:tcW w:w="340" w:type="pct"/>
            <w:vMerge w:val="continue"/>
            <w:textDirection w:val="lrTb"/>
            <w:noWrap w:val="false"/>
          </w:tcPr>
          <w:p>
            <w:pPr>
              <w:jc w:val="center"/>
              <w:spacing w:before="120" w:line="276" w:lineRule="auto"/>
              <w:tabs>
                <w:tab w:val="left" w:pos="567" w:leader="none"/>
              </w:tabs>
              <w:rPr>
                <w:rFonts w:hint="eastAsia"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r>
            <w:r/>
          </w:p>
        </w:tc>
        <w:tc>
          <w:tcPr>
            <w:tcW w:w="360" w:type="pct"/>
            <w:vMerge w:val="continue"/>
            <w:textDirection w:val="lrTb"/>
            <w:noWrap w:val="false"/>
          </w:tcPr>
          <w:p>
            <w:pPr>
              <w:jc w:val="center"/>
              <w:spacing w:before="120" w:line="276" w:lineRule="auto"/>
              <w:tabs>
                <w:tab w:val="left" w:pos="567" w:leader="none"/>
              </w:tabs>
              <w:rPr>
                <w:rFonts w:hint="eastAsia"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r>
            <w:r/>
          </w:p>
        </w:tc>
        <w:tc>
          <w:tcPr>
            <w:tcW w:w="511" w:type="pct"/>
            <w:vAlign w:val="center"/>
            <w:textDirection w:val="lrTb"/>
            <w:noWrap w:val="false"/>
          </w:tcPr>
          <w:p>
            <w:pPr>
              <w:jc w:val="center"/>
              <w:spacing w:before="120" w:line="276" w:lineRule="auto"/>
              <w:tabs>
                <w:tab w:val="left" w:pos="567" w:leader="none"/>
              </w:tabs>
              <w:rPr>
                <w:rFonts w:hint="eastAsia"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监控设备</w:t>
            </w:r>
            <w:r/>
          </w:p>
        </w:tc>
        <w:tc>
          <w:tcPr>
            <w:tcW w:w="3290" w:type="pct"/>
            <w:vAlign w:val="center"/>
            <w:textDirection w:val="lrTb"/>
            <w:noWrap w:val="false"/>
          </w:tcPr>
          <w:p>
            <w:pPr>
              <w:widowControl/>
              <w:rPr>
                <w:rFonts w:hint="eastAsia"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1.在停车区域安装并使用不少于7个24小时全方位高清摄像头，其中：进口、出口各1个，停放区不少于4个，接待区（收费窗口）不少于1个。要求：监控视频能通过互联网与交管部门共享，并保持各项设施正常运转。安装位置、数量及要求全部符合得7分，每有一个不符合的扣1分，扣完为止。</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 xml:space="preserve">须提供监控视频截图并文字标注说明，设置不合理的不得分。</w:t>
            </w:r>
            <w:r/>
          </w:p>
          <w:p>
            <w:pPr>
              <w:spacing w:line="276" w:lineRule="auto"/>
              <w:rPr>
                <w:rFonts w:hint="eastAsia"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2. 投标供应商配备的摄像头均具有同步录音录像设备且设置的监控探头拍摄角度要能反映区域情况的，得2分。</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 xml:space="preserve">须提供承诺函（格式自拟）并加盖投标供应商公章原件扫描件上传，否则不得分。</w:t>
            </w:r>
            <w:r/>
          </w:p>
          <w:p>
            <w:pPr>
              <w:widowControl/>
              <w:rPr>
                <w:rFonts w:hint="eastAsia"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3.所有监控视频资料保存不少于</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40天</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并且能进行回放得3分。</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 xml:space="preserve">须提供承诺函（格式自拟）并加盖投标供应商公章原件扫描件上传，</w:t>
            </w: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否则不得分</w:t>
            </w:r>
            <w:r>
              <w:rPr>
                <w:rFonts w:hint="eastAsia" w:cs="宋体" w:asciiTheme="minorEastAsia" w:hAnsiTheme="minorEastAsia" w:eastAsiaTheme="minorEastAsia"/>
                <w:b/>
                <w:bCs/>
                <w:color w:val="000000" w:themeColor="text1"/>
                <w:sz w:val="24"/>
                <w:szCs w:val="24"/>
                <w:lang w:val="zh-CN"/>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 </w:t>
            </w:r>
            <w:r/>
          </w:p>
        </w:tc>
        <w:tc>
          <w:tcPr>
            <w:tcW w:w="499" w:type="pct"/>
            <w:vAlign w:val="center"/>
            <w:textDirection w:val="lrTb"/>
            <w:noWrap w:val="false"/>
          </w:tcPr>
          <w:p>
            <w:pPr>
              <w:ind w:left="-29" w:right="-20"/>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12</w:t>
            </w:r>
            <w:r/>
          </w:p>
        </w:tc>
      </w:tr>
      <w:tr>
        <w:trPr>
          <w:cantSplit/>
          <w:trHeight w:val="787"/>
          <w:tblHeader/>
        </w:trPr>
        <w:tc>
          <w:tcPr>
            <w:tcW w:w="340" w:type="pct"/>
            <w:vMerge w:val="continue"/>
            <w:textDirection w:val="lrTb"/>
            <w:noWrap w:val="false"/>
          </w:tcPr>
          <w:p>
            <w:pPr>
              <w:jc w:val="center"/>
              <w:spacing w:before="120" w:line="276" w:lineRule="auto"/>
              <w:tabs>
                <w:tab w:val="left" w:pos="567" w:leader="none"/>
              </w:tabs>
              <w:rPr>
                <w:rFonts w:hint="eastAsia"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r>
            <w:r/>
          </w:p>
        </w:tc>
        <w:tc>
          <w:tcPr>
            <w:tcW w:w="360" w:type="pct"/>
            <w:vMerge w:val="continue"/>
            <w:textDirection w:val="lrTb"/>
            <w:noWrap w:val="false"/>
          </w:tcPr>
          <w:p>
            <w:pPr>
              <w:jc w:val="center"/>
              <w:spacing w:before="120" w:line="276" w:lineRule="auto"/>
              <w:tabs>
                <w:tab w:val="left" w:pos="567" w:leader="none"/>
              </w:tabs>
              <w:rPr>
                <w:rFonts w:hint="eastAsia"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r>
            <w:r/>
          </w:p>
        </w:tc>
        <w:tc>
          <w:tcPr>
            <w:tcW w:w="511" w:type="pct"/>
            <w:vAlign w:val="center"/>
            <w:textDirection w:val="lrTb"/>
            <w:noWrap w:val="false"/>
          </w:tcPr>
          <w:p>
            <w:pPr>
              <w:jc w:val="center"/>
              <w:spacing w:before="120" w:line="276" w:lineRule="auto"/>
              <w:tabs>
                <w:tab w:val="left" w:pos="567" w:leader="none"/>
              </w:tabs>
              <w:rPr>
                <w:rFonts w:hint="eastAsia"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lang w:val="zh-CN"/>
                <w14:textFill>
                  <w14:solidFill>
                    <w14:schemeClr w14:val="tx1"/>
                  </w14:solidFill>
                </w14:textFill>
              </w:rPr>
              <w:t xml:space="preserve">涉案车辆拖移、停放保管方案</w:t>
            </w:r>
            <w:r/>
          </w:p>
        </w:tc>
        <w:tc>
          <w:tcPr>
            <w:tcW w:w="3290" w:type="pct"/>
            <w:vAlign w:val="center"/>
            <w:textDirection w:val="lrTb"/>
            <w:noWrap w:val="false"/>
          </w:tcPr>
          <w:p>
            <w:pPr>
              <w:jc w:val="left"/>
              <w:spacing w:line="300" w:lineRule="exact"/>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lang w:val="zh-CN"/>
                <w14:textFill>
                  <w14:solidFill>
                    <w14:schemeClr w14:val="tx1"/>
                  </w14:solidFill>
                </w14:textFill>
              </w:rPr>
              <w:t xml:space="preserve">供应商提供涉案车辆拖移、停放保管方案，</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包括快速响应规范、各环节流程及规范；各岗位职责及操作要求；各环节闭环管理应登记填写的文书格式；定期清理逾期滞留车辆流程及规范等，</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满分10分。</w:t>
            </w:r>
            <w:r/>
          </w:p>
          <w:p>
            <w:pPr>
              <w:jc w:val="left"/>
              <w:spacing w:line="300" w:lineRule="exact"/>
              <w:rPr>
                <w:rFonts w:hint="eastAsia"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方案完整、思路清晰明了、合理、可实施性强得10分；</w:t>
            </w:r>
            <w:r/>
          </w:p>
          <w:p>
            <w:pPr>
              <w:jc w:val="left"/>
              <w:spacing w:line="300" w:lineRule="exact"/>
              <w:rPr>
                <w:rFonts w:hint="eastAsia"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方案较完整、具有一定可实施性得7分；</w:t>
            </w:r>
            <w:r/>
          </w:p>
          <w:p>
            <w:pPr>
              <w:jc w:val="left"/>
              <w:spacing w:line="300" w:lineRule="exact"/>
              <w:rPr>
                <w:rFonts w:hint="eastAsia"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方案基本完整、可操作性一般的得4分；</w:t>
            </w:r>
            <w:r/>
          </w:p>
          <w:p>
            <w:pPr>
              <w:jc w:val="left"/>
              <w:spacing w:line="300" w:lineRule="exact"/>
              <w:rPr>
                <w:rFonts w:hint="eastAsia"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方案不完整、可操作性差的得1分；</w:t>
            </w:r>
            <w:r/>
          </w:p>
          <w:p>
            <w:pPr>
              <w:widowControl/>
              <w:rPr>
                <w:rFonts w:hint="eastAsia"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未提供不得分。</w:t>
            </w:r>
            <w:r/>
          </w:p>
        </w:tc>
        <w:tc>
          <w:tcPr>
            <w:tcW w:w="499" w:type="pct"/>
            <w:vAlign w:val="center"/>
            <w:textDirection w:val="lrTb"/>
            <w:noWrap w:val="false"/>
          </w:tcPr>
          <w:p>
            <w:pPr>
              <w:ind w:left="-29" w:right="-20"/>
              <w:jc w:val="center"/>
              <w:spacing w:line="276" w:lineRule="auto"/>
              <w:rPr>
                <w:rFonts w:hint="eastAsia"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10</w:t>
            </w:r>
            <w:r/>
          </w:p>
        </w:tc>
      </w:tr>
      <w:tr>
        <w:trPr>
          <w:cantSplit/>
          <w:trHeight w:val="787"/>
          <w:tblHeader/>
        </w:trPr>
        <w:tc>
          <w:tcPr>
            <w:tcW w:w="340" w:type="pct"/>
            <w:vMerge w:val="continue"/>
            <w:textDirection w:val="lrTb"/>
            <w:noWrap w:val="false"/>
          </w:tcPr>
          <w:p>
            <w:pPr>
              <w:jc w:val="center"/>
              <w:spacing w:before="120" w:line="276" w:lineRule="auto"/>
              <w:tabs>
                <w:tab w:val="left" w:pos="567" w:leader="none"/>
              </w:tabs>
              <w:rPr>
                <w:rFonts w:hint="eastAsia"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r>
            <w:r/>
          </w:p>
        </w:tc>
        <w:tc>
          <w:tcPr>
            <w:tcW w:w="360" w:type="pct"/>
            <w:vMerge w:val="continue"/>
            <w:textDirection w:val="lrTb"/>
            <w:noWrap w:val="false"/>
          </w:tcPr>
          <w:p>
            <w:pPr>
              <w:jc w:val="center"/>
              <w:spacing w:before="120" w:line="276" w:lineRule="auto"/>
              <w:tabs>
                <w:tab w:val="left" w:pos="567" w:leader="none"/>
              </w:tabs>
              <w:rPr>
                <w:rFonts w:hint="eastAsia"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r>
            <w:r/>
          </w:p>
        </w:tc>
        <w:tc>
          <w:tcPr>
            <w:tcW w:w="511" w:type="pct"/>
            <w:vAlign w:val="center"/>
            <w:textDirection w:val="lrTb"/>
            <w:noWrap w:val="false"/>
          </w:tcPr>
          <w:p>
            <w:pPr>
              <w:jc w:val="center"/>
              <w:spacing w:before="120" w:line="276" w:lineRule="auto"/>
              <w:tabs>
                <w:tab w:val="left" w:pos="567" w:leader="none"/>
              </w:tabs>
              <w:rPr>
                <w:rFonts w:hint="eastAsia"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lang w:val="zh-CN"/>
                <w14:textFill>
                  <w14:solidFill>
                    <w14:schemeClr w14:val="tx1"/>
                  </w14:solidFill>
                </w14:textFill>
              </w:rPr>
              <w:t xml:space="preserve">救援规范流程</w:t>
            </w: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方案</w:t>
            </w:r>
            <w:r/>
          </w:p>
        </w:tc>
        <w:tc>
          <w:tcPr>
            <w:tcW w:w="3290" w:type="pct"/>
            <w:vAlign w:val="center"/>
            <w:textDirection w:val="lrTb"/>
            <w:noWrap w:val="false"/>
          </w:tcPr>
          <w:p>
            <w:pPr>
              <w:jc w:val="left"/>
              <w:spacing w:line="300" w:lineRule="exact"/>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lang w:val="zh-CN"/>
                <w14:textFill>
                  <w14:solidFill>
                    <w14:schemeClr w14:val="tx1"/>
                  </w14:solidFill>
                </w14:textFill>
              </w:rPr>
              <w:t xml:space="preserve">供应商提供交通事故现场救援规范流程</w:t>
            </w: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方案，</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包括各环节流程及规范、各岗位职责及操作要求；</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对于简易、一般、重大交通事故分别有合理的救援流程预案、突发紧急情况的应急预案等，</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满分10分。</w:t>
            </w:r>
            <w:r/>
          </w:p>
          <w:p>
            <w:pPr>
              <w:jc w:val="left"/>
              <w:spacing w:line="300" w:lineRule="exact"/>
              <w:rPr>
                <w:rFonts w:hint="eastAsia"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方案完整、思路清晰明了、合理、可实施性强得10分；</w:t>
            </w:r>
            <w:r/>
          </w:p>
          <w:p>
            <w:pPr>
              <w:jc w:val="left"/>
              <w:spacing w:line="300" w:lineRule="exact"/>
              <w:rPr>
                <w:rFonts w:hint="eastAsia"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方案较完整、具有一定可实施性得7分；</w:t>
            </w:r>
            <w:r/>
          </w:p>
          <w:p>
            <w:pPr>
              <w:jc w:val="left"/>
              <w:spacing w:line="300" w:lineRule="exact"/>
              <w:rPr>
                <w:rFonts w:hint="eastAsia"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方案基本完整、可操作性一般的得4分；</w:t>
            </w:r>
            <w:r/>
          </w:p>
          <w:p>
            <w:pPr>
              <w:jc w:val="left"/>
              <w:spacing w:line="300" w:lineRule="exact"/>
              <w:rPr>
                <w:rFonts w:hint="eastAsia"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方案不完整、可操作性差的得1分；</w:t>
            </w:r>
            <w:r/>
          </w:p>
          <w:p>
            <w:pPr>
              <w:widowControl/>
              <w:rPr>
                <w:rFonts w:hint="eastAsia"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未提供不得分。</w:t>
            </w:r>
            <w:r/>
          </w:p>
        </w:tc>
        <w:tc>
          <w:tcPr>
            <w:tcW w:w="499" w:type="pct"/>
            <w:vAlign w:val="center"/>
            <w:textDirection w:val="lrTb"/>
            <w:noWrap w:val="false"/>
          </w:tcPr>
          <w:p>
            <w:pPr>
              <w:ind w:left="-29" w:right="-20"/>
              <w:jc w:val="center"/>
              <w:spacing w:line="276" w:lineRule="auto"/>
              <w:rPr>
                <w:rFonts w:hint="eastAsia"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10</w:t>
            </w:r>
            <w:r/>
          </w:p>
        </w:tc>
      </w:tr>
      <w:tr>
        <w:trPr>
          <w:cantSplit/>
          <w:trHeight w:val="787"/>
          <w:tblHeader/>
        </w:trPr>
        <w:tc>
          <w:tcPr>
            <w:tcW w:w="340" w:type="pct"/>
            <w:vMerge w:val="continue"/>
            <w:textDirection w:val="lrTb"/>
            <w:noWrap w:val="false"/>
          </w:tcPr>
          <w:p>
            <w:pPr>
              <w:jc w:val="center"/>
              <w:spacing w:before="120" w:line="276" w:lineRule="auto"/>
              <w:tabs>
                <w:tab w:val="left" w:pos="567" w:leader="none"/>
              </w:tabs>
              <w:rPr>
                <w:rFonts w:hint="eastAsia"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r>
            <w:r/>
          </w:p>
        </w:tc>
        <w:tc>
          <w:tcPr>
            <w:tcW w:w="360" w:type="pct"/>
            <w:vMerge w:val="continue"/>
            <w:textDirection w:val="lrTb"/>
            <w:noWrap w:val="false"/>
          </w:tcPr>
          <w:p>
            <w:pPr>
              <w:jc w:val="center"/>
              <w:spacing w:before="120" w:line="276" w:lineRule="auto"/>
              <w:tabs>
                <w:tab w:val="left" w:pos="567" w:leader="none"/>
              </w:tabs>
              <w:rPr>
                <w:rFonts w:hint="eastAsia"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r>
            <w:r/>
          </w:p>
        </w:tc>
        <w:tc>
          <w:tcPr>
            <w:tcW w:w="511" w:type="pct"/>
            <w:vAlign w:val="center"/>
            <w:textDirection w:val="lrTb"/>
            <w:noWrap w:val="false"/>
          </w:tcPr>
          <w:p>
            <w:pPr>
              <w:jc w:val="center"/>
              <w:spacing w:before="120" w:line="276" w:lineRule="auto"/>
              <w:tabs>
                <w:tab w:val="left" w:pos="567" w:leader="none"/>
              </w:tabs>
              <w:rPr>
                <w:rFonts w:hint="eastAsia"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服务人员配备方案</w:t>
            </w:r>
            <w:r/>
          </w:p>
        </w:tc>
        <w:tc>
          <w:tcPr>
            <w:tcW w:w="3290" w:type="pct"/>
            <w:vAlign w:val="center"/>
            <w:textDirection w:val="lrTb"/>
            <w:noWrap w:val="false"/>
          </w:tcPr>
          <w:p>
            <w:pPr>
              <w:jc w:val="left"/>
              <w:rPr>
                <w:rFonts w:hint="eastAsia" w:ascii="宋体" w:hAnsi="宋体" w:cs="宋体"/>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lang w:val="zh-CN"/>
                <w14:textFill>
                  <w14:solidFill>
                    <w14:schemeClr w14:val="tx1"/>
                  </w14:solidFill>
                </w14:textFill>
              </w:rPr>
              <w:t xml:space="preserve">供应商提供</w:t>
            </w: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服务人员配备方案，</w:t>
            </w:r>
            <w:r>
              <w:rPr>
                <w:rFonts w:hint="eastAsia" w:ascii="宋体" w:hAnsi="宋体" w:cs="宋体"/>
                <w:color w:val="000000" w:themeColor="text1"/>
                <w:sz w:val="24"/>
                <w:szCs w:val="24"/>
                <w:lang w:val="zh-CN"/>
                <w14:textFill>
                  <w14:solidFill>
                    <w14:schemeClr w14:val="tx1"/>
                  </w14:solidFill>
                </w14:textFill>
              </w:rPr>
              <w:t xml:space="preserve">有合理的人员分工,拖移施救人员和内部运转服务人员区分，</w:t>
            </w:r>
            <w:r>
              <w:rPr>
                <w:rFonts w:hint="eastAsia" w:ascii="宋体" w:hAnsi="宋体" w:cs="宋体"/>
                <w:color w:val="000000" w:themeColor="text1"/>
                <w:sz w:val="24"/>
                <w:szCs w:val="24"/>
                <w14:textFill>
                  <w14:solidFill>
                    <w14:schemeClr w14:val="tx1"/>
                  </w14:solidFill>
                </w14:textFill>
              </w:rPr>
              <w:t xml:space="preserve">按照四班三运转的模式，提供详细的值班安排表</w:t>
            </w:r>
            <w:r>
              <w:rPr>
                <w:rFonts w:hint="eastAsia" w:ascii="宋体" w:hAnsi="宋体" w:cs="宋体"/>
                <w:color w:val="000000" w:themeColor="text1"/>
                <w:sz w:val="24"/>
                <w:szCs w:val="24"/>
                <w:lang w:val="zh-CN"/>
                <w14:textFill>
                  <w14:solidFill>
                    <w14:schemeClr w14:val="tx1"/>
                  </w14:solidFill>
                </w14:textFill>
              </w:rPr>
              <w:t xml:space="preserve">比如主管、财务、救援、保管等，并提供岗位职责，</w:t>
            </w:r>
            <w:r>
              <w:rPr>
                <w:rFonts w:hint="eastAsia" w:ascii="宋体" w:hAnsi="宋体" w:cs="宋体"/>
                <w:color w:val="000000" w:themeColor="text1"/>
                <w:sz w:val="24"/>
                <w:szCs w:val="24"/>
                <w14:textFill>
                  <w14:solidFill>
                    <w14:schemeClr w14:val="tx1"/>
                  </w14:solidFill>
                </w14:textFill>
              </w:rPr>
              <w:t xml:space="preserve">满分10分。</w:t>
            </w:r>
            <w:r/>
          </w:p>
          <w:p>
            <w:pPr>
              <w:jc w:val="left"/>
              <w:spacing w:line="300" w:lineRule="exact"/>
              <w:rPr>
                <w:rFonts w:hint="eastAsia"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方案完整、思路清晰明了、合理、可实施性强得10分；</w:t>
            </w:r>
            <w:r/>
          </w:p>
          <w:p>
            <w:pPr>
              <w:jc w:val="left"/>
              <w:spacing w:line="300" w:lineRule="exact"/>
              <w:rPr>
                <w:rFonts w:hint="eastAsia"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方案较完整、具有一定可实施性得7分；</w:t>
            </w:r>
            <w:r/>
          </w:p>
          <w:p>
            <w:pPr>
              <w:jc w:val="left"/>
              <w:spacing w:line="300" w:lineRule="exact"/>
              <w:rPr>
                <w:rFonts w:hint="eastAsia"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方案基本完整、可操作性一般的得4分；</w:t>
            </w:r>
            <w:r/>
          </w:p>
          <w:p>
            <w:pPr>
              <w:jc w:val="left"/>
              <w:spacing w:line="300" w:lineRule="exact"/>
              <w:rPr>
                <w:rFonts w:hint="eastAsia" w:cs="宋体" w:asciiTheme="minorEastAsia" w:hAnsiTheme="minorEastAsia" w:eastAsiaTheme="minorEastAsia"/>
                <w:color w:val="000000" w:themeColor="text1"/>
                <w:sz w:val="24"/>
                <w:szCs w:val="24"/>
                <w:lang w:val="zh-CN"/>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方案不完整、可操作性差的得1分；</w:t>
            </w:r>
            <w:r/>
          </w:p>
          <w:p>
            <w:pPr>
              <w:spacing w:line="276" w:lineRule="auto"/>
              <w:rPr>
                <w:rFonts w:hint="eastAsia"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未提供不得分。</w:t>
            </w:r>
            <w:r/>
          </w:p>
        </w:tc>
        <w:tc>
          <w:tcPr>
            <w:tcW w:w="499" w:type="pct"/>
            <w:vAlign w:val="center"/>
            <w:textDirection w:val="lrTb"/>
            <w:noWrap w:val="false"/>
          </w:tcPr>
          <w:p>
            <w:pPr>
              <w:ind w:left="-29" w:right="-20"/>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10</w:t>
            </w:r>
            <w:r/>
          </w:p>
        </w:tc>
      </w:tr>
      <w:tr>
        <w:trPr>
          <w:cantSplit/>
          <w:trHeight w:val="787"/>
          <w:tblHeader/>
        </w:trPr>
        <w:tc>
          <w:tcPr>
            <w:tcW w:w="340" w:type="pct"/>
            <w:textDirection w:val="lrTb"/>
            <w:noWrap w:val="false"/>
          </w:tcPr>
          <w:p>
            <w:pPr>
              <w:jc w:val="center"/>
              <w:spacing w:before="120" w:line="276" w:lineRule="auto"/>
              <w:tabs>
                <w:tab w:val="left" w:pos="567" w:leader="none"/>
              </w:tabs>
              <w:rPr>
                <w:rFonts w:hint="eastAsia"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r>
            <w:r/>
          </w:p>
        </w:tc>
        <w:tc>
          <w:tcPr>
            <w:tcW w:w="360" w:type="pct"/>
            <w:textDirection w:val="lrTb"/>
            <w:noWrap w:val="false"/>
          </w:tcPr>
          <w:p>
            <w:pPr>
              <w:jc w:val="center"/>
              <w:spacing w:before="120" w:line="276" w:lineRule="auto"/>
              <w:tabs>
                <w:tab w:val="left" w:pos="567" w:leader="none"/>
              </w:tabs>
              <w:rPr>
                <w:rFonts w:hint="eastAsia"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r>
            <w:r/>
          </w:p>
        </w:tc>
        <w:tc>
          <w:tcPr>
            <w:tcW w:w="511" w:type="pct"/>
            <w:vAlign w:val="center"/>
            <w:textDirection w:val="lrTb"/>
            <w:noWrap w:val="false"/>
          </w:tcPr>
          <w:p>
            <w:pPr>
              <w:jc w:val="center"/>
              <w:spacing w:before="120" w:line="276" w:lineRule="auto"/>
              <w:tabs>
                <w:tab w:val="left" w:pos="567" w:leader="none"/>
              </w:tabs>
              <w:rPr>
                <w:rFonts w:hint="eastAsia"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r>
            <w:r/>
          </w:p>
        </w:tc>
        <w:tc>
          <w:tcPr>
            <w:tcW w:w="3290" w:type="pct"/>
            <w:vAlign w:val="center"/>
            <w:textDirection w:val="lrTb"/>
            <w:noWrap w:val="false"/>
          </w:tcPr>
          <w:p>
            <w:pPr>
              <w:jc w:val="left"/>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r>
            <w:r/>
          </w:p>
        </w:tc>
        <w:tc>
          <w:tcPr>
            <w:tcW w:w="499" w:type="pct"/>
            <w:vAlign w:val="center"/>
            <w:textDirection w:val="lrTb"/>
            <w:noWrap w:val="false"/>
          </w:tcPr>
          <w:p>
            <w:pPr>
              <w:ind w:left="-29" w:right="-20"/>
              <w:jc w:val="center"/>
              <w:spacing w:line="276"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fldChar w:fldCharType="begin"/>
            </w:r>
            <w:r>
              <w:rPr>
                <w:rFonts w:hint="eastAsia" w:asciiTheme="minorEastAsia" w:hAnsiTheme="minorEastAsia" w:eastAsiaTheme="minorEastAsia"/>
                <w:color w:val="000000" w:themeColor="text1"/>
                <w:sz w:val="24"/>
                <w:szCs w:val="24"/>
                <w14:textFill>
                  <w14:solidFill>
                    <w14:schemeClr w14:val="tx1"/>
                  </w14:solidFill>
                </w14:textFill>
              </w:rPr>
              <w:instrText xml:space="preserve"> =SUM(ABOVE) </w:instrText>
            </w:r>
            <w:r>
              <w:rPr>
                <w:rFonts w:hint="eastAsia" w:asciiTheme="minorEastAsia" w:hAnsiTheme="minorEastAsia" w:eastAsiaTheme="minorEastAsia"/>
                <w:color w:val="000000" w:themeColor="text1"/>
                <w:sz w:val="24"/>
                <w:szCs w:val="24"/>
                <w14:textFill>
                  <w14:solidFill>
                    <w14:schemeClr w14:val="tx1"/>
                  </w14:solidFill>
                </w14:textFill>
              </w:rPr>
              <w:fldChar w:fldCharType="separate"/>
            </w:r>
            <w:r>
              <w:rPr>
                <w:rFonts w:hint="eastAsia" w:asciiTheme="minorEastAsia" w:hAnsiTheme="minorEastAsia" w:eastAsiaTheme="minorEastAsia"/>
                <w:color w:val="000000" w:themeColor="text1"/>
                <w:sz w:val="24"/>
                <w:szCs w:val="24"/>
                <w14:textFill>
                  <w14:solidFill>
                    <w14:schemeClr w14:val="tx1"/>
                  </w14:solidFill>
                </w14:textFill>
              </w:rPr>
              <w:t xml:space="preserve">100</w:t>
            </w:r>
            <w:r>
              <w:rPr>
                <w:rFonts w:hint="eastAsia" w:asciiTheme="minorEastAsia" w:hAnsiTheme="minorEastAsia" w:eastAsiaTheme="minorEastAsia"/>
                <w:color w:val="000000" w:themeColor="text1"/>
                <w:sz w:val="24"/>
                <w:szCs w:val="24"/>
                <w14:textFill>
                  <w14:solidFill>
                    <w14:schemeClr w14:val="tx1"/>
                  </w14:solidFill>
                </w14:textFill>
              </w:rPr>
              <w:fldChar w:fldCharType="end"/>
            </w:r>
            <w:r/>
          </w:p>
        </w:tc>
      </w:tr>
    </w:tbl>
    <w:p>
      <w:pPr>
        <w:ind w:firstLine="440"/>
        <w:jc w:val="left"/>
        <w:spacing w:line="48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r>
      <w:r/>
    </w:p>
    <w:p>
      <w:pPr>
        <w:ind w:firstLine="440"/>
        <w:jc w:val="left"/>
        <w:spacing w:line="48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r>
      <w:r/>
    </w:p>
    <w:p>
      <w:pPr>
        <w:ind w:firstLine="440"/>
        <w:spacing w:line="440" w:lineRule="exact"/>
        <w:rPr>
          <w:rFonts w:hint="eastAsia" w:ascii="宋体" w:hAnsi="宋体"/>
          <w:b/>
          <w:bCs/>
          <w:color w:val="000000" w:themeColor="text1"/>
          <w:sz w:val="24"/>
          <w:szCs w:val="24"/>
          <w14:textFill>
            <w14:solidFill>
              <w14:schemeClr w14:val="tx1"/>
            </w14:solidFill>
          </w14:textFill>
        </w:rPr>
      </w:pPr>
      <w:r/>
      <w:bookmarkStart w:id="168" w:name="_Toc32256"/>
      <w:r>
        <w:rPr>
          <w:rFonts w:hint="eastAsia" w:ascii="宋体" w:hAnsi="宋体"/>
          <w:b/>
          <w:bCs/>
          <w:color w:val="000000" w:themeColor="text1"/>
          <w:sz w:val="24"/>
          <w:szCs w:val="24"/>
          <w14:textFill>
            <w14:solidFill>
              <w14:schemeClr w14:val="tx1"/>
            </w14:solidFill>
          </w14:textFill>
        </w:rPr>
        <w:t xml:space="preserve">1. 评标方法</w:t>
      </w:r>
      <w:r/>
    </w:p>
    <w:p>
      <w:pPr>
        <w:ind w:firstLine="440"/>
        <w:spacing w:line="440" w:lineRule="exact"/>
        <w:rPr>
          <w:rFonts w:hint="eastAsia" w:ascii="宋体" w:hAnsi="宋体"/>
          <w:b/>
          <w:bCs/>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本次评标采用综合评分法。评标委员会对满足招标文件实质性要求的投标文件，按照本章规定的评分标准进行打分，并按得分由高到低顺序推荐中标候选人或者经采购人委托直接确定中标人。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宋体" w:hAnsi="宋体"/>
          <w:b/>
          <w:bCs/>
          <w:color w:val="000000" w:themeColor="text1"/>
          <w:sz w:val="22"/>
          <w14:textFill>
            <w14:solidFill>
              <w14:schemeClr w14:val="tx1"/>
            </w14:solidFill>
          </w14:textFill>
        </w:rPr>
        <w:t xml:space="preserve">本项目共分为六个采购包，供应商可以投一个或多个采购包，但仅允许中一个采购包。评标按采购包序号顺序进行，先评审并确定采购包1中标人（或第一中标候选人），该投标供应商在其他采购包的投标文件直接判定为无效投标，不再进入其他采购包评审，以此类推。</w:t>
      </w:r>
      <w:r/>
    </w:p>
    <w:p>
      <w:pPr>
        <w:ind w:firstLine="440"/>
        <w:spacing w:line="44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2. 评审标准</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2.1 资格评审标准</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2.1.1资格评审标准：见评标办法前附表。</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2.2 符合性评审标准</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2.2.1符合性检查标准：见评标办法前附表。</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2.3 分值构成与评分标准</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2.3.1 分值构成：见评标办法前附表；</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2.3.2 评分标准：见评标办法前附表。</w:t>
      </w:r>
      <w:r/>
    </w:p>
    <w:p>
      <w:pPr>
        <w:ind w:firstLine="440"/>
        <w:spacing w:line="44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3. 评标程序</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3.1 符合性评审</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3.1.1评标委员会依据本章规定的评审标准对投标文件进行符合性检查。有一项不符合评审标准的，作无效投标文件处理。</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3.1.2 投标文件报价出现前后不一致的，除招标文件另有规定外，按照下列规定修正：</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（1）投标文件中开标一览表内容与投标文件中相应内容不一致的，以开标一览表为准；</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（2）大写金额和小写金额不一致的，以大写金额为准；</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（3）单价金额小数点或者百分比有明显错位的，以开标一览表的总价为准，并修改单价；</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（4）总价金额与按单价汇总金额不一致的，以单价金额计算结果为准。</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同时出现两种以上不一致的，按照前款规定的顺序修正。修正后的报价经供应商加盖公章，或者由法定代表人或其授权的代表签字确认后产生约束力，并以修正的价格进行评审。供应商不确认的，其投标无效。</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3.2 比较和评价</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3.2.1 评标委员会各成员按本章规定的量化因素和分值，独立对符合性评审合格的每个供应商的投标文件进行评价，并汇总每个供应商的得分。</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3.2.2 各供应商得分取评标委员会各成员独立评分的平均值。分值计算保留小数点后两位，小数点后第三位“四舍五入”。</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3.2.3 评标委员会认为供应商的报价明显低于其他通过符合性审查供应商的报价，有可能影响产品质量、服务或者不能诚信履约的，应当要求其在评标现场合理的时间内提供书面说明，必要时提交相关证明材料；供应商不能证明其报价合理性的，评标委员会应当将其作为无效投标处理。</w:t>
      </w:r>
      <w:r/>
    </w:p>
    <w:p>
      <w:pPr>
        <w:ind w:firstLine="440"/>
        <w:spacing w:line="440" w:lineRule="exact"/>
        <w:rPr>
          <w:rFonts w:hint="eastAsia" w:ascii="宋体" w:hAnsi="宋体"/>
          <w:color w:val="000000" w:themeColor="text1"/>
          <w:sz w:val="22"/>
          <w14:textFill>
            <w14:solidFill>
              <w14:schemeClr w14:val="tx1"/>
            </w14:solidFill>
          </w14:textFill>
        </w:rPr>
      </w:pPr>
      <w:r/>
      <w:bookmarkStart w:id="169" w:name="OLE_LINK5"/>
      <w:r>
        <w:rPr>
          <w:rFonts w:hint="eastAsia" w:ascii="宋体" w:hAnsi="宋体"/>
          <w:color w:val="000000" w:themeColor="text1"/>
          <w:sz w:val="22"/>
          <w14:textFill>
            <w14:solidFill>
              <w14:schemeClr w14:val="tx1"/>
            </w14:solidFill>
          </w14:textFill>
        </w:rPr>
        <w:t xml:space="preserve">3.2.4</w:t>
      </w:r>
      <w:bookmarkEnd w:id="169"/>
      <w:r>
        <w:rPr>
          <w:rFonts w:hint="eastAsia" w:ascii="宋体" w:hAnsi="宋体"/>
          <w:color w:val="000000" w:themeColor="text1"/>
          <w:sz w:val="22"/>
          <w14:textFill>
            <w14:solidFill>
              <w14:schemeClr w14:val="tx1"/>
            </w14:solidFill>
          </w14:textFill>
        </w:rPr>
        <w:t xml:space="preserve"> 异常低价处理</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3.2.4.1评审过程中出现下列情形之一的，评审委员会应当启动异常低价投标（响应）审查程序：</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（1）投标(响应)报价低于全部通过符合性审查供应商投标(响应)报价平均值50%的，即投标(响应)报价＜全部通过符合性审查供应商投标(响应)报价平均值×50%;</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（2）投标(响应)报价低于通过符合性审查的次低报价供应商投标(响应)报价50%的，即投标(响应)报价＜通过符合性审查的次低报价供应商投标(响应)报价×50%;</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（3）投标(响应)报价低于采购项目最高限价45%的，即投标(响应)报价＜采购项目最高限价×45%;</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（4）评审委员会基于专业判断，认为供应商报价过低，有可能影响产品质量或者不能诚信履约的其他情形。</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3.2.4.2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提交。其中，属于第3项情形，供应商已随投标(响应)文件一并提交相关书面说明及必要的证明材料的，在评审现场可不再重复提交。</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3.3 澄清和补正</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3.3.1 对投标文件中含义不明确、同类问题表述不一致或者有明显文字和算术错误的内容，评标委员会通过“苏采云”系统要求供应商作出必要的澄清、说明或者纠正。在评标期间，请供应商保持在线。</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3.3.2供应商的澄清、说明或者补正应当采用通过“苏采云”系统（使用“CA数字证书”,加盖电子签章）形式。供应商没有在规定的回复时间内作出必要的澄清、说明或者补正，评标委员会将认为供应商拒绝作出必要的澄清、说明或者补正，并承担相应的后果和法律责任。</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特别说明：“苏采云”系统通过“江苏省政府采购一体化不见面开标大厅”提醒供应商。供应商自行查看，供应商因自身原因不及时查看导致没收到信息，“苏采云”系统不承担任何责任。</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3.3.3 评标委员会不接受供应商主动提出的澄清、说明或补正。</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3.3.4 凡超出招标文件规定的或给采购人带来未曾要求的利益的变化、偏差或其他因素在评标时不予考虑。</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3.4 违法违规情形</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3.4.1有下列情形之一的，属于供应商相互串通投标，其投标无效：</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（1）供应商之间协商投标报价等投标文件的实质性内容；</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（2）供应商之间约定中标人；</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（3）供应商之间约定部分供应商放弃投标或者中标，其投标无效：</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（4）属于同一集团、协会、商会等组织成员的供应商按照该组织要求协同投标；</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（5）供应商之间为谋取中标或者排斥特定供应商而采取的其他联合行动。</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3.4.2 有下列情形之一的，视为供应商相互串通投标：</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（1）不同供应商的投标文件由同一单位或者个人编制；</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（2）不同供应商委托同一单位或者个人办理投标事宜；</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（3）不同供应商的投标文件载明的项目管理成员或者联系人员为同一人；</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（4）不同供应商的投标文件异常一致或者投标报价呈规律性差异；</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（5）不同供应商的投标文件相互混装；</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（6）不同供应商的投标保证金从同一单位或者个人的账户转出；</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（7）不同供应商上传电子投标（响应）文件所使用的公网IP地址一致的；</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（8）不同供应商编制、上传电子投标（响应）文件所使用终端设备的MAC地址、硬件识别码等设备信息一致的；</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（9）不同供应商电子投标（响应）文件对应的标书制作工具客户端标识码、文件创建标识码一致的。</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3.4.3 供应商有下列情形之一的，属于供应商弄虚作假的行为，其投标无效：</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（1）使用伪造、变造的许可证件；</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（2）提供虚假的财务状况或者业绩；</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（3）提供虚假的项目负责人或者主要技术人员简历、劳动关系证明；</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（4）提供虚假的信用状况；</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（5）其他弄虚作假的行为。</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3.5 评标结果</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3.5.1 评标委员会按照得分由高到低的顺序推荐中标候选人，并标明排序。</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3.5.2 对于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如按上述办法认定后的合格供应商数量少于3家的，将予以废标。</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3.5.3 评标委员会完成评标后，应当向采购人提交评标报告。</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3.5.4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t xml:space="preserve">声明：当出现损害国家和采购人利益情况时，采购人、本公司有选择或拒绝任何供应商的权利，并对所采取的行为不主动说明原因。</w:t>
      </w:r>
      <w:r/>
    </w:p>
    <w:p>
      <w:pPr>
        <w:jc w:val="center"/>
        <w:keepLines/>
        <w:keepNext/>
        <w:spacing w:before="340" w:after="20"/>
        <w:rPr>
          <w:rFonts w:hint="eastAsia" w:ascii="宋体" w:hAnsi="宋体" w:cs="微软雅黑"/>
          <w:color w:val="000000" w:themeColor="text1"/>
          <w:sz w:val="36"/>
          <w:szCs w:val="36"/>
          <w14:textFill>
            <w14:solidFill>
              <w14:schemeClr w14:val="tx1"/>
            </w14:solidFill>
          </w14:textFill>
        </w:rPr>
        <w:outlineLvl w:val="0"/>
      </w:pPr>
      <w:r>
        <w:rPr>
          <w:rFonts w:ascii="宋体" w:hAnsi="宋体" w:cs="微软雅黑"/>
          <w:color w:val="000000" w:themeColor="text1"/>
          <w:sz w:val="36"/>
          <w:szCs w:val="36"/>
          <w14:textFill>
            <w14:solidFill>
              <w14:schemeClr w14:val="tx1"/>
            </w14:solidFill>
          </w14:textFill>
        </w:rPr>
        <w:br w:type="page" w:clear="all"/>
      </w:r>
      <w:bookmarkStart w:id="170" w:name="_Toc129099953"/>
      <w:r>
        <w:rPr>
          <w:rFonts w:hint="eastAsia" w:ascii="宋体" w:hAnsi="宋体" w:cs="微软雅黑"/>
          <w:color w:val="000000" w:themeColor="text1"/>
          <w:sz w:val="36"/>
          <w:szCs w:val="36"/>
          <w14:textFill>
            <w14:solidFill>
              <w14:schemeClr w14:val="tx1"/>
            </w14:solidFill>
          </w14:textFill>
        </w:rPr>
        <w:t xml:space="preserve">第五章 合同格式及条款</w:t>
      </w:r>
      <w:bookmarkEnd w:id="168"/>
      <w:r/>
      <w:bookmarkEnd w:id="170"/>
      <w:r/>
      <w:r/>
    </w:p>
    <w:p>
      <w:pPr>
        <w:jc w:val="center"/>
        <w:spacing w:line="500" w:lineRule="exact"/>
        <w:rPr>
          <w:rFonts w:hint="eastAsia" w:ascii="宋体" w:hAnsi="宋体" w:cs="宋体"/>
          <w:color w:val="000000" w:themeColor="text1"/>
          <w:sz w:val="22"/>
          <w14:textFill>
            <w14:solidFill>
              <w14:schemeClr w14:val="tx1"/>
            </w14:solidFill>
          </w14:textFill>
        </w:rPr>
      </w:pPr>
      <w:r>
        <w:rPr>
          <w:rFonts w:hint="eastAsia" w:ascii="宋体" w:hAnsi="宋体" w:cs="宋体"/>
          <w:b/>
          <w:bCs/>
          <w:color w:val="000000" w:themeColor="text1"/>
          <w:sz w:val="22"/>
          <w14:textFill>
            <w14:solidFill>
              <w14:schemeClr w14:val="tx1"/>
            </w14:solidFill>
          </w14:textFill>
        </w:rPr>
        <w:t xml:space="preserve">（此为合同参考格式</w:t>
      </w:r>
      <w:r>
        <w:rPr>
          <w:rFonts w:hint="eastAsia" w:ascii="宋体" w:hAnsi="宋体" w:cs="宋体"/>
          <w:color w:val="000000" w:themeColor="text1"/>
          <w:sz w:val="22"/>
          <w14:textFill>
            <w14:solidFill>
              <w14:schemeClr w14:val="tx1"/>
            </w14:solidFill>
          </w14:textFill>
        </w:rPr>
        <w:t xml:space="preserve">）</w:t>
      </w:r>
      <w:r/>
    </w:p>
    <w:p>
      <w:pPr>
        <w:jc w:val="center"/>
        <w:spacing w:line="360" w:lineRule="auto"/>
        <w:rPr>
          <w:rFonts w:hint="eastAsia" w:ascii="宋体" w:hAnsi="宋体" w:cs="仿宋_GB2312"/>
          <w:b/>
          <w:bCs/>
          <w:color w:val="000000" w:themeColor="text1"/>
          <w:sz w:val="24"/>
          <w:szCs w:val="24"/>
          <w:u w:val="single"/>
          <w14:textFill>
            <w14:solidFill>
              <w14:schemeClr w14:val="tx1"/>
            </w14:solidFill>
          </w14:textFill>
        </w:rPr>
      </w:pPr>
      <w:r>
        <w:rPr>
          <w:rFonts w:hint="eastAsia" w:ascii="宋体" w:hAnsi="宋体" w:cs="仿宋_GB2312"/>
          <w:b/>
          <w:bCs/>
          <w:color w:val="000000" w:themeColor="text1"/>
          <w:sz w:val="24"/>
          <w:szCs w:val="24"/>
          <w:u w:val="single"/>
          <w14:textFill>
            <w14:solidFill>
              <w14:schemeClr w14:val="tx1"/>
            </w14:solidFill>
          </w14:textFill>
        </w:rPr>
      </w:r>
      <w:r/>
    </w:p>
    <w:p>
      <w:pPr>
        <w:jc w:val="center"/>
        <w:spacing w:line="360" w:lineRule="auto"/>
        <w:rPr>
          <w:rFonts w:hint="eastAsia" w:ascii="宋体" w:hAnsi="宋体" w:cs="仿宋_GB2312"/>
          <w:b/>
          <w:bCs/>
          <w:color w:val="000000" w:themeColor="text1"/>
          <w:sz w:val="24"/>
          <w:szCs w:val="24"/>
          <w:u w:val="single"/>
          <w14:textFill>
            <w14:solidFill>
              <w14:schemeClr w14:val="tx1"/>
            </w14:solidFill>
          </w14:textFill>
        </w:rPr>
      </w:pPr>
      <w:r>
        <w:rPr>
          <w:rFonts w:hint="eastAsia" w:ascii="宋体" w:hAnsi="宋体" w:cs="仿宋_GB2312"/>
          <w:b/>
          <w:bCs/>
          <w:color w:val="000000" w:themeColor="text1"/>
          <w:sz w:val="24"/>
          <w:szCs w:val="24"/>
          <w:u w:val="single"/>
          <w14:textFill>
            <w14:solidFill>
              <w14:schemeClr w14:val="tx1"/>
            </w14:solidFill>
          </w14:textFill>
        </w:rPr>
      </w:r>
      <w:r/>
    </w:p>
    <w:p>
      <w:pPr>
        <w:jc w:val="center"/>
        <w:spacing w:line="360" w:lineRule="auto"/>
        <w:rPr>
          <w:rFonts w:hint="eastAsia" w:ascii="宋体" w:hAnsi="宋体" w:cs="仿宋_GB2312"/>
          <w:b/>
          <w:bCs/>
          <w:color w:val="000000" w:themeColor="text1"/>
          <w:sz w:val="24"/>
          <w:szCs w:val="24"/>
          <w:u w:val="single"/>
          <w14:textFill>
            <w14:solidFill>
              <w14:schemeClr w14:val="tx1"/>
            </w14:solidFill>
          </w14:textFill>
        </w:rPr>
      </w:pPr>
      <w:r>
        <w:rPr>
          <w:rFonts w:hint="eastAsia" w:ascii="宋体" w:hAnsi="宋体" w:cs="仿宋_GB2312"/>
          <w:b/>
          <w:bCs/>
          <w:color w:val="000000" w:themeColor="text1"/>
          <w:sz w:val="24"/>
          <w:szCs w:val="24"/>
          <w:u w:val="single"/>
          <w14:textFill>
            <w14:solidFill>
              <w14:schemeClr w14:val="tx1"/>
            </w14:solidFill>
          </w14:textFill>
        </w:rPr>
      </w:r>
      <w:r/>
    </w:p>
    <w:p>
      <w:pPr>
        <w:jc w:val="center"/>
        <w:spacing w:line="360" w:lineRule="auto"/>
        <w:rPr>
          <w:rFonts w:hint="eastAsia" w:ascii="宋体" w:hAnsi="宋体"/>
          <w:b/>
          <w:bCs/>
          <w:color w:val="000000" w:themeColor="text1"/>
          <w:sz w:val="24"/>
          <w:szCs w:val="24"/>
          <w14:textFill>
            <w14:solidFill>
              <w14:schemeClr w14:val="tx1"/>
            </w14:solidFill>
          </w14:textFill>
        </w:rPr>
      </w:pPr>
      <w:r>
        <w:rPr>
          <w:rFonts w:hint="eastAsia" w:ascii="宋体" w:hAnsi="宋体" w:cs="仿宋_GB2312"/>
          <w:b/>
          <w:bCs/>
          <w:color w:val="000000" w:themeColor="text1"/>
          <w:sz w:val="24"/>
          <w:szCs w:val="24"/>
          <w:u w:val="single"/>
          <w14:textFill>
            <w14:solidFill>
              <w14:schemeClr w14:val="tx1"/>
            </w14:solidFill>
          </w14:textFill>
        </w:rPr>
        <w:t xml:space="preserve"> 交管大队涉案车辆拖移、停放保管服务项目 </w:t>
      </w:r>
      <w:r/>
    </w:p>
    <w:p>
      <w:pPr>
        <w:ind w:firstLine="2645"/>
        <w:spacing w:line="360" w:lineRule="auto"/>
        <w:rPr>
          <w:rFonts w:hint="eastAsia" w:ascii="宋体" w:hAnsi="宋体" w:cs="仿宋_GB2312"/>
          <w:b/>
          <w:bCs/>
          <w:color w:val="000000" w:themeColor="text1"/>
          <w:sz w:val="24"/>
          <w:szCs w:val="24"/>
          <w:u w:val="single"/>
          <w14:textFill>
            <w14:solidFill>
              <w14:schemeClr w14:val="tx1"/>
            </w14:solidFill>
          </w14:textFill>
        </w:rPr>
      </w:pPr>
      <w:r>
        <w:rPr>
          <w:rFonts w:hint="eastAsia" w:ascii="宋体" w:hAnsi="宋体" w:cs="仿宋_GB2312"/>
          <w:b/>
          <w:bCs/>
          <w:color w:val="000000" w:themeColor="text1"/>
          <w:sz w:val="24"/>
          <w:szCs w:val="24"/>
          <w14:textFill>
            <w14:solidFill>
              <w14:schemeClr w14:val="tx1"/>
            </w14:solidFill>
          </w14:textFill>
        </w:rPr>
        <w:t xml:space="preserve">项目编号：</w:t>
      </w:r>
      <w:r>
        <w:rPr>
          <w:rFonts w:hint="eastAsia" w:ascii="宋体" w:hAnsi="宋体" w:cs="仿宋_GB2312"/>
          <w:b/>
          <w:bCs/>
          <w:color w:val="000000" w:themeColor="text1"/>
          <w:sz w:val="24"/>
          <w:szCs w:val="24"/>
          <w:u w:val="single"/>
          <w14:textFill>
            <w14:solidFill>
              <w14:schemeClr w14:val="tx1"/>
            </w14:solidFill>
          </w14:textFill>
        </w:rPr>
        <w:t xml:space="preserve"> </w:t>
      </w:r>
      <w:r>
        <w:rPr>
          <w:rFonts w:hint="eastAsia" w:ascii="宋体" w:hAnsi="宋体" w:cs="仿宋_GB2312"/>
          <w:b/>
          <w:bCs/>
          <w:color w:val="000000" w:themeColor="text1"/>
          <w:sz w:val="24"/>
          <w:szCs w:val="24"/>
          <w:u w:val="single"/>
          <w:lang w:eastAsia="zh-CN"/>
          <w14:textFill>
            <w14:solidFill>
              <w14:schemeClr w14:val="tx1"/>
            </w14:solidFill>
          </w14:textFill>
        </w:rPr>
        <w:t xml:space="preserve">JSZC-321282-TZHR-G2026-0001</w:t>
      </w:r>
      <w:r>
        <w:rPr>
          <w:rFonts w:hint="eastAsia" w:ascii="宋体" w:hAnsi="宋体" w:cs="仿宋_GB2312"/>
          <w:b/>
          <w:bCs/>
          <w:color w:val="000000" w:themeColor="text1"/>
          <w:sz w:val="24"/>
          <w:szCs w:val="24"/>
          <w:u w:val="single"/>
          <w14:textFill>
            <w14:solidFill>
              <w14:schemeClr w14:val="tx1"/>
            </w14:solidFill>
          </w14:textFill>
        </w:rPr>
        <w:t xml:space="preserve"> </w:t>
      </w:r>
      <w:r/>
    </w:p>
    <w:p>
      <w:pPr>
        <w:jc w:val="center"/>
        <w:spacing w:line="360" w:lineRule="auto"/>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r>
      <w:r/>
    </w:p>
    <w:p>
      <w:pPr>
        <w:jc w:val="center"/>
        <w:spacing w:line="360" w:lineRule="auto"/>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r>
      <w:r/>
    </w:p>
    <w:p>
      <w:pPr>
        <w:jc w:val="center"/>
        <w:spacing w:line="360" w:lineRule="auto"/>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r>
      <w:r/>
    </w:p>
    <w:p>
      <w:pPr>
        <w:spacing w:line="360" w:lineRule="auto"/>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r>
      <w:r/>
    </w:p>
    <w:p>
      <w:pPr>
        <w:ind w:firstLine="1542"/>
        <w:spacing w:line="360" w:lineRule="auto"/>
        <w:rPr>
          <w:rFonts w:hint="eastAsia" w:ascii="宋体" w:hAnsi="宋体"/>
          <w:b/>
          <w:bCs/>
          <w:color w:val="000000" w:themeColor="text1"/>
          <w:sz w:val="24"/>
          <w:szCs w:val="24"/>
          <w14:textFill>
            <w14:solidFill>
              <w14:schemeClr w14:val="tx1"/>
            </w14:solidFill>
          </w14:textFill>
        </w:rPr>
      </w:pPr>
      <w:r>
        <w:rPr>
          <w:rFonts w:hint="eastAsia" w:ascii="宋体" w:hAnsi="宋体" w:cs="仿宋_GB2312"/>
          <w:b/>
          <w:bCs/>
          <w:color w:val="000000" w:themeColor="text1"/>
          <w:sz w:val="24"/>
          <w:szCs w:val="24"/>
          <w14:textFill>
            <w14:solidFill>
              <w14:schemeClr w14:val="tx1"/>
            </w14:solidFill>
          </w14:textFill>
        </w:rPr>
        <w:t xml:space="preserve">合同号：</w:t>
      </w:r>
      <w:r/>
    </w:p>
    <w:p>
      <w:pPr>
        <w:ind w:firstLine="1542"/>
        <w:spacing w:line="360" w:lineRule="auto"/>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r>
      <w:r/>
    </w:p>
    <w:p>
      <w:pPr>
        <w:ind w:firstLine="1542"/>
        <w:spacing w:line="360" w:lineRule="auto"/>
        <w:rPr>
          <w:rFonts w:hint="eastAsia" w:ascii="宋体" w:hAnsi="宋体" w:cs="仿宋_GB2312"/>
          <w:b/>
          <w:bCs/>
          <w:color w:val="000000" w:themeColor="text1"/>
          <w:sz w:val="24"/>
          <w:szCs w:val="24"/>
          <w14:textFill>
            <w14:solidFill>
              <w14:schemeClr w14:val="tx1"/>
            </w14:solidFill>
          </w14:textFill>
        </w:rPr>
      </w:pPr>
      <w:r>
        <w:rPr>
          <w:rFonts w:hint="eastAsia" w:ascii="宋体" w:hAnsi="宋体" w:cs="仿宋_GB2312"/>
          <w:b/>
          <w:bCs/>
          <w:color w:val="000000" w:themeColor="text1"/>
          <w:sz w:val="24"/>
          <w:szCs w:val="24"/>
          <w14:textFill>
            <w14:solidFill>
              <w14:schemeClr w14:val="tx1"/>
            </w14:solidFill>
          </w14:textFill>
        </w:rPr>
        <w:t xml:space="preserve">项目名称： 交管大队涉案车辆拖移、停放保管服务项目</w:t>
      </w:r>
      <w:r>
        <w:rPr>
          <w:rFonts w:ascii="宋体" w:hAnsi="宋体" w:cs="仿宋_GB2312"/>
          <w:b/>
          <w:bCs/>
          <w:color w:val="000000" w:themeColor="text1"/>
          <w:sz w:val="24"/>
          <w:szCs w:val="24"/>
          <w14:textFill>
            <w14:solidFill>
              <w14:schemeClr w14:val="tx1"/>
            </w14:solidFill>
          </w14:textFill>
        </w:rPr>
        <w:t xml:space="preserve"> </w:t>
      </w:r>
      <w:r/>
    </w:p>
    <w:p>
      <w:pPr>
        <w:ind w:firstLine="1542"/>
        <w:spacing w:line="360" w:lineRule="auto"/>
        <w:rPr>
          <w:rFonts w:hint="eastAsia" w:ascii="宋体" w:hAnsi="宋体" w:cs="仿宋_GB2312"/>
          <w:b/>
          <w:bCs/>
          <w:color w:val="000000" w:themeColor="text1"/>
          <w:sz w:val="24"/>
          <w:szCs w:val="24"/>
          <w14:textFill>
            <w14:solidFill>
              <w14:schemeClr w14:val="tx1"/>
            </w14:solidFill>
          </w14:textFill>
        </w:rPr>
      </w:pPr>
      <w:r>
        <w:rPr>
          <w:rFonts w:hint="eastAsia" w:ascii="宋体" w:hAnsi="宋体" w:cs="仿宋_GB2312"/>
          <w:b/>
          <w:bCs/>
          <w:color w:val="000000" w:themeColor="text1"/>
          <w:sz w:val="24"/>
          <w:szCs w:val="24"/>
          <w14:textFill>
            <w14:solidFill>
              <w14:schemeClr w14:val="tx1"/>
            </w14:solidFill>
          </w14:textFill>
        </w:rPr>
      </w:r>
      <w:r/>
    </w:p>
    <w:p>
      <w:pPr>
        <w:ind w:firstLine="1542"/>
        <w:spacing w:line="360" w:lineRule="auto"/>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r>
      <w:r/>
    </w:p>
    <w:p>
      <w:pPr>
        <w:ind w:firstLine="1542"/>
        <w:spacing w:line="360" w:lineRule="auto"/>
        <w:rPr>
          <w:rFonts w:hint="eastAsia" w:ascii="宋体" w:hAnsi="宋体" w:cs="仿宋_GB2312"/>
          <w:b/>
          <w:bCs/>
          <w:color w:val="000000" w:themeColor="text1"/>
          <w:sz w:val="24"/>
          <w:szCs w:val="24"/>
          <w14:textFill>
            <w14:solidFill>
              <w14:schemeClr w14:val="tx1"/>
            </w14:solidFill>
          </w14:textFill>
        </w:rPr>
      </w:pPr>
      <w:r>
        <w:rPr>
          <w:rFonts w:hint="eastAsia" w:ascii="宋体" w:hAnsi="宋体" w:cs="仿宋_GB2312"/>
          <w:b/>
          <w:bCs/>
          <w:color w:val="000000" w:themeColor="text1"/>
          <w:sz w:val="24"/>
          <w:szCs w:val="24"/>
          <w14:textFill>
            <w14:solidFill>
              <w14:schemeClr w14:val="tx1"/>
            </w14:solidFill>
          </w14:textFill>
        </w:rPr>
        <w:t xml:space="preserve">采购人：靖江市公安局</w:t>
      </w:r>
      <w:r/>
    </w:p>
    <w:p>
      <w:pPr>
        <w:ind w:firstLine="1542"/>
        <w:spacing w:line="360" w:lineRule="auto"/>
        <w:rPr>
          <w:rFonts w:hint="eastAsia" w:ascii="宋体" w:hAnsi="宋体" w:cs="仿宋_GB2312"/>
          <w:b/>
          <w:bCs/>
          <w:color w:val="000000" w:themeColor="text1"/>
          <w:sz w:val="24"/>
          <w:szCs w:val="24"/>
          <w14:textFill>
            <w14:solidFill>
              <w14:schemeClr w14:val="tx1"/>
            </w14:solidFill>
          </w14:textFill>
        </w:rPr>
      </w:pPr>
      <w:r>
        <w:rPr>
          <w:rFonts w:hint="eastAsia" w:ascii="宋体" w:hAnsi="宋体" w:cs="仿宋_GB2312"/>
          <w:b/>
          <w:bCs/>
          <w:color w:val="000000" w:themeColor="text1"/>
          <w:sz w:val="24"/>
          <w:szCs w:val="24"/>
          <w14:textFill>
            <w14:solidFill>
              <w14:schemeClr w14:val="tx1"/>
            </w14:solidFill>
          </w14:textFill>
        </w:rPr>
      </w:r>
      <w:r/>
    </w:p>
    <w:p>
      <w:pPr>
        <w:ind w:firstLine="1542"/>
        <w:spacing w:line="360" w:lineRule="auto"/>
        <w:rPr>
          <w:rFonts w:hint="eastAsia" w:ascii="宋体" w:hAnsi="宋体" w:cs="仿宋_GB2312"/>
          <w:b/>
          <w:bCs/>
          <w:color w:val="000000" w:themeColor="text1"/>
          <w:sz w:val="24"/>
          <w:szCs w:val="24"/>
          <w14:textFill>
            <w14:solidFill>
              <w14:schemeClr w14:val="tx1"/>
            </w14:solidFill>
          </w14:textFill>
        </w:rPr>
      </w:pPr>
      <w:r>
        <w:rPr>
          <w:rFonts w:hint="eastAsia" w:ascii="宋体" w:hAnsi="宋体" w:cs="仿宋_GB2312"/>
          <w:b/>
          <w:bCs/>
          <w:color w:val="000000" w:themeColor="text1"/>
          <w:sz w:val="24"/>
          <w:szCs w:val="24"/>
          <w14:textFill>
            <w14:solidFill>
              <w14:schemeClr w14:val="tx1"/>
            </w14:solidFill>
          </w14:textFill>
        </w:rPr>
        <w:t xml:space="preserve">供应商：</w:t>
      </w:r>
      <w:r>
        <w:rPr>
          <w:rFonts w:ascii="宋体" w:hAnsi="宋体" w:cs="仿宋_GB2312"/>
          <w:b/>
          <w:bCs/>
          <w:color w:val="000000" w:themeColor="text1"/>
          <w:sz w:val="24"/>
          <w:szCs w:val="24"/>
          <w14:textFill>
            <w14:solidFill>
              <w14:schemeClr w14:val="tx1"/>
            </w14:solidFill>
          </w14:textFill>
        </w:rPr>
        <w:t xml:space="preserve"> </w:t>
      </w:r>
      <w:r/>
    </w:p>
    <w:p>
      <w:pPr>
        <w:ind w:firstLine="1542"/>
        <w:spacing w:line="360" w:lineRule="auto"/>
        <w:rPr>
          <w:rFonts w:hint="eastAsia" w:ascii="宋体" w:hAnsi="宋体" w:cs="仿宋_GB2312"/>
          <w:b/>
          <w:bCs/>
          <w:color w:val="000000" w:themeColor="text1"/>
          <w:sz w:val="24"/>
          <w:szCs w:val="24"/>
          <w14:textFill>
            <w14:solidFill>
              <w14:schemeClr w14:val="tx1"/>
            </w14:solidFill>
          </w14:textFill>
        </w:rPr>
      </w:pPr>
      <w:r>
        <w:rPr>
          <w:rFonts w:hint="eastAsia" w:ascii="宋体" w:hAnsi="宋体" w:cs="仿宋_GB2312"/>
          <w:b/>
          <w:bCs/>
          <w:color w:val="000000" w:themeColor="text1"/>
          <w:sz w:val="24"/>
          <w:szCs w:val="24"/>
          <w14:textFill>
            <w14:solidFill>
              <w14:schemeClr w14:val="tx1"/>
            </w14:solidFill>
          </w14:textFill>
        </w:rPr>
      </w:r>
      <w:r/>
    </w:p>
    <w:p>
      <w:pPr>
        <w:ind w:firstLine="1542"/>
        <w:spacing w:line="360" w:lineRule="auto"/>
        <w:rPr>
          <w:rFonts w:hint="eastAsia" w:ascii="宋体" w:hAnsi="宋体"/>
          <w:b/>
          <w:bCs/>
          <w:color w:val="000000" w:themeColor="text1"/>
          <w:sz w:val="24"/>
          <w:szCs w:val="24"/>
          <w14:textFill>
            <w14:solidFill>
              <w14:schemeClr w14:val="tx1"/>
            </w14:solidFill>
          </w14:textFill>
        </w:rPr>
      </w:pPr>
      <w:r>
        <w:rPr>
          <w:rFonts w:hint="eastAsia" w:ascii="宋体" w:hAnsi="宋体" w:cs="仿宋_GB2312"/>
          <w:b/>
          <w:bCs/>
          <w:color w:val="000000" w:themeColor="text1"/>
          <w:sz w:val="24"/>
          <w:szCs w:val="24"/>
          <w14:textFill>
            <w14:solidFill>
              <w14:schemeClr w14:val="tx1"/>
            </w14:solidFill>
          </w14:textFill>
        </w:rPr>
        <w:t xml:space="preserve">签署日期：       年</w:t>
      </w:r>
      <w:r>
        <w:rPr>
          <w:rFonts w:ascii="宋体" w:hAnsi="宋体" w:cs="仿宋_GB2312"/>
          <w:b/>
          <w:bCs/>
          <w:color w:val="000000" w:themeColor="text1"/>
          <w:sz w:val="24"/>
          <w:szCs w:val="24"/>
          <w14:textFill>
            <w14:solidFill>
              <w14:schemeClr w14:val="tx1"/>
            </w14:solidFill>
          </w14:textFill>
        </w:rPr>
        <w:t xml:space="preserve">  </w:t>
      </w:r>
      <w:r>
        <w:rPr>
          <w:rFonts w:hint="eastAsia" w:ascii="宋体" w:hAnsi="宋体" w:cs="仿宋_GB2312"/>
          <w:b/>
          <w:bCs/>
          <w:color w:val="000000" w:themeColor="text1"/>
          <w:sz w:val="24"/>
          <w:szCs w:val="24"/>
          <w14:textFill>
            <w14:solidFill>
              <w14:schemeClr w14:val="tx1"/>
            </w14:solidFill>
          </w14:textFill>
        </w:rPr>
        <w:t xml:space="preserve">月</w:t>
      </w:r>
      <w:r>
        <w:rPr>
          <w:rFonts w:ascii="宋体" w:hAnsi="宋体" w:cs="仿宋_GB2312"/>
          <w:b/>
          <w:bCs/>
          <w:color w:val="000000" w:themeColor="text1"/>
          <w:sz w:val="24"/>
          <w:szCs w:val="24"/>
          <w14:textFill>
            <w14:solidFill>
              <w14:schemeClr w14:val="tx1"/>
            </w14:solidFill>
          </w14:textFill>
        </w:rPr>
        <w:t xml:space="preserve">  </w:t>
      </w:r>
      <w:r>
        <w:rPr>
          <w:rFonts w:hint="eastAsia" w:ascii="宋体" w:hAnsi="宋体" w:cs="仿宋_GB2312"/>
          <w:b/>
          <w:bCs/>
          <w:color w:val="000000" w:themeColor="text1"/>
          <w:sz w:val="24"/>
          <w:szCs w:val="24"/>
          <w14:textFill>
            <w14:solidFill>
              <w14:schemeClr w14:val="tx1"/>
            </w14:solidFill>
          </w14:textFill>
        </w:rPr>
        <w:t xml:space="preserve">日</w:t>
      </w:r>
      <w:r/>
    </w:p>
    <w:p>
      <w:pPr>
        <w:pStyle w:val="659"/>
        <w:jc w:val="center"/>
        <w:spacing w:line="240" w:lineRule="auto"/>
        <w:rPr>
          <w:rFonts w:hint="eastAsia" w:ascii="宋体" w:hAnsi="宋体"/>
          <w:color w:val="000000" w:themeColor="text1"/>
          <w14:textFill>
            <w14:solidFill>
              <w14:schemeClr w14:val="tx1"/>
            </w14:solidFill>
          </w14:textFill>
        </w:rPr>
      </w:pPr>
      <w:r>
        <w:rPr>
          <w:rFonts w:ascii="宋体" w:hAnsi="宋体"/>
          <w:color w:val="000000" w:themeColor="text1"/>
          <w:sz w:val="24"/>
          <w:szCs w:val="24"/>
          <w14:textFill>
            <w14:solidFill>
              <w14:schemeClr w14:val="tx1"/>
            </w14:solidFill>
          </w14:textFill>
        </w:rPr>
        <w:br w:type="page" w:clear="all"/>
      </w:r>
      <w:r>
        <w:rPr>
          <w:rFonts w:hint="eastAsia" w:ascii="宋体" w:hAnsi="宋体"/>
          <w:b w:val="0"/>
          <w:bCs w:val="0"/>
          <w:color w:val="000000" w:themeColor="text1"/>
          <w14:textFill>
            <w14:solidFill>
              <w14:schemeClr w14:val="tx1"/>
            </w14:solidFill>
          </w14:textFill>
        </w:rPr>
        <w:t xml:space="preserve">合同主要条款</w:t>
      </w:r>
      <w:r/>
    </w:p>
    <w:p>
      <w:pPr>
        <w:jc w:val="center"/>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s="仿宋_GB2312"/>
          <w:color w:val="000000" w:themeColor="text1"/>
          <w:sz w:val="24"/>
          <w:szCs w:val="24"/>
          <w14:textFill>
            <w14:solidFill>
              <w14:schemeClr w14:val="tx1"/>
            </w14:solidFill>
          </w14:textFill>
        </w:rPr>
        <w:t xml:space="preserve">                                            </w:t>
      </w:r>
      <w:r/>
    </w:p>
    <w:p>
      <w:pPr>
        <w:pStyle w:val="1045"/>
        <w:ind w:firstLine="480"/>
        <w:spacing w:before="0" w:after="3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委托方(以下简称甲方）： </w:t>
      </w:r>
      <w:r>
        <w:rPr>
          <w:rFonts w:hint="eastAsia" w:ascii="宋体" w:hAnsi="宋体" w:eastAsia="宋体" w:cs="仿宋"/>
          <w:b/>
          <w:color w:val="000000" w:themeColor="text1"/>
          <w:spacing w:val="0"/>
          <w:sz w:val="24"/>
          <w:szCs w:val="24"/>
          <w:lang w:val="zh-CN"/>
          <w14:textFill>
            <w14:solidFill>
              <w14:schemeClr w14:val="tx1"/>
            </w14:solidFill>
          </w14:textFill>
        </w:rPr>
        <w:t xml:space="preserve">靖江市公安局</w:t>
      </w:r>
      <w:r/>
    </w:p>
    <w:p>
      <w:pPr>
        <w:ind w:firstLine="480"/>
        <w:spacing w:line="440" w:lineRule="exact"/>
        <w:rPr>
          <w:rFonts w:hint="eastAsia" w:ascii="宋体" w:hAnsi="宋体" w:cs="仿宋"/>
          <w:color w:val="000000" w:themeColor="text1"/>
          <w:sz w:val="24"/>
          <w:szCs w:val="21"/>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被委托方（以下简称乙方)：</w:t>
      </w:r>
      <w:r>
        <w:rPr>
          <w:rFonts w:hint="eastAsia" w:ascii="宋体" w:hAnsi="宋体" w:cs="仿宋"/>
          <w:b/>
          <w:color w:val="000000" w:themeColor="text1"/>
          <w:sz w:val="24"/>
          <w:lang w:val="zh-CN"/>
          <w14:textFill>
            <w14:solidFill>
              <w14:schemeClr w14:val="tx1"/>
            </w14:solidFill>
          </w14:textFill>
        </w:rPr>
        <w:t xml:space="preserve"> </w:t>
      </w:r>
      <w:r/>
    </w:p>
    <w:p>
      <w:pPr>
        <w:ind w:firstLine="480"/>
        <w:jc w:val="left"/>
        <w:spacing w:line="440" w:lineRule="exact"/>
        <w:rPr>
          <w:rFonts w:hint="eastAsia"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根据交管大队涉案车辆拖移、停放保管服务项目（编号</w:t>
      </w:r>
      <w:r>
        <w:rPr>
          <w:rFonts w:hint="eastAsia" w:ascii="宋体" w:hAnsi="宋体" w:cs="仿宋"/>
          <w:color w:val="000000" w:themeColor="text1"/>
          <w:sz w:val="24"/>
          <w:lang w:eastAsia="zh-CN"/>
          <w14:textFill>
            <w14:solidFill>
              <w14:schemeClr w14:val="tx1"/>
            </w14:solidFill>
          </w14:textFill>
        </w:rPr>
        <w:t xml:space="preserve">JSZC-321282-TZHR-G2026-0001</w:t>
      </w:r>
      <w:r>
        <w:rPr>
          <w:rFonts w:hint="eastAsia" w:ascii="宋体" w:hAnsi="宋体" w:cs="仿宋"/>
          <w:color w:val="000000" w:themeColor="text1"/>
          <w:sz w:val="24"/>
          <w:lang w:val="zh-CN"/>
          <w14:textFill>
            <w14:solidFill>
              <w14:schemeClr w14:val="tx1"/>
            </w14:solidFill>
          </w14:textFill>
        </w:rPr>
        <w:t xml:space="preserve">）的相关要求，为依法保障被扣留、扣押、拖移车辆当事人（以下简称当事人）的合法权益，规范涉案车辆拖移费用（以下简称拖车费）、停车保管费（以下简称停车费）以及交通事故施救费（以下简称施救费）的收取，根据中华人民共和国相关法律法规的规定，甲乙双方就车辆停放保管以及相关费用支付等事宜，签订本合同，双方共同遵守：</w:t>
      </w:r>
      <w:r/>
    </w:p>
    <w:p>
      <w:pPr>
        <w:pStyle w:val="1045"/>
        <w:ind w:left="40" w:right="20" w:firstLine="482"/>
        <w:jc w:val="left"/>
        <w:spacing w:before="0" w:line="440" w:lineRule="exact"/>
        <w:shd w:val="clear" w:color="auto" w:fill="auto"/>
        <w:rPr>
          <w:rFonts w:hint="eastAsia" w:ascii="宋体" w:hAnsi="宋体" w:eastAsia="宋体" w:cs="仿宋"/>
          <w:color w:val="000000" w:themeColor="text1"/>
          <w:sz w:val="24"/>
          <w:szCs w:val="24"/>
          <w:lang w:val="zh-CN"/>
          <w14:textFill>
            <w14:solidFill>
              <w14:schemeClr w14:val="tx1"/>
            </w14:solidFill>
          </w14:textFill>
        </w:rPr>
      </w:pPr>
      <w:r>
        <w:rPr>
          <w:rFonts w:hint="eastAsia" w:ascii="宋体" w:hAnsi="宋体" w:eastAsia="宋体" w:cs="仿宋"/>
          <w:b/>
          <w:bCs/>
          <w:color w:val="000000" w:themeColor="text1"/>
          <w:spacing w:val="0"/>
          <w:sz w:val="24"/>
          <w:szCs w:val="24"/>
          <w:lang w:val="zh-CN"/>
          <w14:textFill>
            <w14:solidFill>
              <w14:schemeClr w14:val="tx1"/>
            </w14:solidFill>
          </w14:textFill>
        </w:rPr>
        <w:t xml:space="preserve">一、委托停放保管车辆范围：</w:t>
      </w:r>
      <w:r>
        <w:rPr>
          <w:rFonts w:hint="eastAsia" w:ascii="宋体" w:hAnsi="宋体" w:eastAsia="宋体" w:cs="仿宋"/>
          <w:color w:val="000000" w:themeColor="text1"/>
          <w:sz w:val="24"/>
          <w:szCs w:val="24"/>
          <w:lang w:val="zh-CN"/>
          <w14:textFill>
            <w14:solidFill>
              <w14:schemeClr w14:val="tx1"/>
            </w14:solidFill>
          </w14:textFill>
        </w:rPr>
        <w:t xml:space="preserve">甲方委托乙方停放保管因交通事故、交通违法以及其它法定情形由甲方交管大队</w:t>
      </w:r>
      <w:r>
        <w:rPr>
          <w:rFonts w:hint="eastAsia" w:ascii="宋体" w:hAnsi="宋体" w:eastAsia="宋体" w:cs="仿宋"/>
          <w:color w:val="000000" w:themeColor="text1"/>
          <w:sz w:val="24"/>
          <w:szCs w:val="24"/>
          <w:u w:val="single"/>
          <w:lang w:val="zh-CN"/>
          <w14:textFill>
            <w14:solidFill>
              <w14:schemeClr w14:val="tx1"/>
            </w14:solidFill>
          </w14:textFill>
        </w:rPr>
        <w:t xml:space="preserve">  </w:t>
      </w:r>
      <w:r>
        <w:rPr>
          <w:rFonts w:ascii="宋体" w:hAnsi="宋体" w:eastAsia="宋体" w:cs="仿宋"/>
          <w:color w:val="000000" w:themeColor="text1"/>
          <w:sz w:val="24"/>
          <w:szCs w:val="24"/>
          <w:u w:val="single"/>
          <w:lang w:val="zh-CN"/>
          <w14:textFill>
            <w14:solidFill>
              <w14:schemeClr w14:val="tx1"/>
            </w14:solidFill>
          </w14:textFill>
        </w:rPr>
        <w:t xml:space="preserve">   </w:t>
      </w:r>
      <w:r>
        <w:rPr>
          <w:rFonts w:hint="eastAsia" w:ascii="宋体" w:hAnsi="宋体" w:eastAsia="宋体" w:cs="仿宋"/>
          <w:color w:val="000000" w:themeColor="text1"/>
          <w:sz w:val="24"/>
          <w:szCs w:val="24"/>
          <w:u w:val="single"/>
          <w:lang w:val="zh-CN"/>
          <w14:textFill>
            <w14:solidFill>
              <w14:schemeClr w14:val="tx1"/>
            </w14:solidFill>
          </w14:textFill>
        </w:rPr>
        <w:t xml:space="preserve"> </w:t>
      </w:r>
      <w:r>
        <w:rPr>
          <w:rFonts w:hint="eastAsia" w:ascii="宋体" w:hAnsi="宋体" w:eastAsia="宋体" w:cs="仿宋"/>
          <w:color w:val="000000" w:themeColor="text1"/>
          <w:sz w:val="24"/>
          <w:szCs w:val="24"/>
          <w:lang w:val="zh-CN"/>
          <w14:textFill>
            <w14:solidFill>
              <w14:schemeClr w14:val="tx1"/>
            </w14:solidFill>
          </w14:textFill>
        </w:rPr>
        <w:t xml:space="preserve">扣留、扣押、拖移的车辆。乙方协助甲方交通事故救援清障、拖移扣留、扣押车辆区域以上述中队管辖辖区范围为准。重大交通事故扣留车辆按照事故发生地所在辖区中队委托的停车场拖移停放保管。</w:t>
      </w:r>
      <w:r/>
    </w:p>
    <w:p>
      <w:pPr>
        <w:pStyle w:val="1045"/>
        <w:ind w:left="40" w:right="20" w:firstLine="482"/>
        <w:jc w:val="left"/>
        <w:spacing w:before="0" w:line="440" w:lineRule="exact"/>
        <w:shd w:val="clear" w:color="auto" w:fill="auto"/>
        <w:rPr>
          <w:rFonts w:hint="eastAsia" w:ascii="宋体" w:hAnsi="宋体" w:eastAsia="宋体" w:cs="仿宋"/>
          <w:color w:val="000000" w:themeColor="text1"/>
          <w:sz w:val="24"/>
          <w:szCs w:val="24"/>
          <w:lang w:val="zh-CN"/>
          <w14:textFill>
            <w14:solidFill>
              <w14:schemeClr w14:val="tx1"/>
            </w14:solidFill>
          </w14:textFill>
        </w:rPr>
      </w:pPr>
      <w:r>
        <w:rPr>
          <w:rFonts w:hint="eastAsia" w:ascii="宋体" w:hAnsi="宋体" w:eastAsia="宋体" w:cs="仿宋"/>
          <w:b/>
          <w:bCs/>
          <w:color w:val="000000" w:themeColor="text1"/>
          <w:spacing w:val="0"/>
          <w:sz w:val="24"/>
          <w:szCs w:val="24"/>
          <w:lang w:val="zh-CN"/>
          <w14:textFill>
            <w14:solidFill>
              <w14:schemeClr w14:val="tx1"/>
            </w14:solidFill>
          </w14:textFill>
        </w:rPr>
        <w:t xml:space="preserve">二、甲方向乙方支付的费用，</w:t>
      </w:r>
      <w:r>
        <w:rPr>
          <w:rFonts w:hint="eastAsia" w:ascii="宋体" w:hAnsi="宋体" w:eastAsia="宋体" w:cs="仿宋"/>
          <w:b/>
          <w:bCs/>
          <w:color w:val="000000" w:themeColor="text1"/>
          <w:sz w:val="24"/>
          <w:szCs w:val="24"/>
          <w:lang w:val="zh-CN"/>
          <w14:textFill>
            <w14:solidFill>
              <w14:schemeClr w14:val="tx1"/>
            </w14:solidFill>
          </w14:textFill>
        </w:rPr>
        <w:t xml:space="preserve">包括：</w:t>
      </w:r>
      <w:r/>
    </w:p>
    <w:p>
      <w:pPr>
        <w:pStyle w:val="1045"/>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1、甲方依法扣留、扣押的</w:t>
      </w:r>
      <w:r>
        <w:rPr>
          <w:rFonts w:hint="eastAsia" w:ascii="宋体" w:hAnsi="宋体" w:eastAsia="宋体" w:cs="仿宋"/>
          <w:color w:val="000000" w:themeColor="text1"/>
          <w:sz w:val="24"/>
          <w:lang w:val="zh-CN"/>
          <w14:textFill>
            <w14:solidFill>
              <w14:schemeClr w14:val="tx1"/>
            </w14:solidFill>
          </w14:textFill>
        </w:rPr>
        <w:t xml:space="preserve">交通事故</w:t>
      </w:r>
      <w:r>
        <w:rPr>
          <w:rFonts w:hint="eastAsia" w:ascii="宋体" w:hAnsi="宋体" w:eastAsia="宋体" w:cs="仿宋"/>
          <w:color w:val="000000" w:themeColor="text1"/>
          <w:spacing w:val="0"/>
          <w:sz w:val="24"/>
          <w:szCs w:val="24"/>
          <w:lang w:val="zh-CN"/>
          <w14:textFill>
            <w14:solidFill>
              <w14:schemeClr w14:val="tx1"/>
            </w14:solidFill>
          </w14:textFill>
        </w:rPr>
        <w:t xml:space="preserve">车辆的停放保管费用（规定期限内的）；</w:t>
      </w:r>
      <w:r/>
    </w:p>
    <w:p>
      <w:pPr>
        <w:pStyle w:val="1045"/>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2、甲方依法扣留、扣押的除违停被拖移以外的其它交通违法车辆的停放保管费用（规定期限内的）；</w:t>
      </w:r>
      <w:r/>
    </w:p>
    <w:p>
      <w:pPr>
        <w:pStyle w:val="1045"/>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3、甲方因依法扣留、扣押车辆而产生的拖移费用（无人认领的除外）。 </w:t>
      </w:r>
      <w:r/>
    </w:p>
    <w:p>
      <w:pPr>
        <w:pStyle w:val="1045"/>
        <w:ind w:left="40" w:right="20" w:firstLine="482"/>
        <w:jc w:val="left"/>
        <w:spacing w:before="0" w:line="440" w:lineRule="exact"/>
        <w:shd w:val="clear" w:color="auto" w:fill="auto"/>
        <w:rPr>
          <w:rFonts w:hint="eastAsia" w:ascii="宋体" w:hAnsi="宋体" w:eastAsia="宋体" w:cs="仿宋"/>
          <w:b/>
          <w:bCs/>
          <w:color w:val="000000" w:themeColor="text1"/>
          <w:spacing w:val="0"/>
          <w:sz w:val="24"/>
          <w:szCs w:val="24"/>
          <w:lang w:val="zh-CN"/>
          <w14:textFill>
            <w14:solidFill>
              <w14:schemeClr w14:val="tx1"/>
            </w14:solidFill>
          </w14:textFill>
        </w:rPr>
      </w:pPr>
      <w:r>
        <w:rPr>
          <w:rFonts w:hint="eastAsia" w:ascii="宋体" w:hAnsi="宋体" w:eastAsia="宋体" w:cs="仿宋"/>
          <w:b/>
          <w:bCs/>
          <w:color w:val="000000" w:themeColor="text1"/>
          <w:spacing w:val="0"/>
          <w:sz w:val="24"/>
          <w:szCs w:val="24"/>
          <w:lang w:val="zh-CN"/>
          <w14:textFill>
            <w14:solidFill>
              <w14:schemeClr w14:val="tx1"/>
            </w14:solidFill>
          </w14:textFill>
        </w:rPr>
        <w:t xml:space="preserve">三、甲方向乙方支付的费用，不包括</w:t>
      </w:r>
      <w:r>
        <w:rPr>
          <w:rFonts w:hint="eastAsia" w:ascii="宋体" w:hAnsi="宋体" w:eastAsia="宋体" w:cs="仿宋"/>
          <w:color w:val="000000" w:themeColor="text1"/>
          <w:spacing w:val="0"/>
          <w:sz w:val="24"/>
          <w:szCs w:val="24"/>
          <w:lang w:val="zh-CN"/>
          <w14:textFill>
            <w14:solidFill>
              <w14:schemeClr w14:val="tx1"/>
            </w14:solidFill>
          </w14:textFill>
        </w:rPr>
        <w:t xml:space="preserve">：</w:t>
      </w:r>
      <w:r/>
    </w:p>
    <w:p>
      <w:pPr>
        <w:pStyle w:val="1045"/>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1、违法停放车辆被拖移至乙方产生的停放保管费用；</w:t>
      </w:r>
      <w:r/>
    </w:p>
    <w:p>
      <w:pPr>
        <w:pStyle w:val="1045"/>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2、当事人未按甲方通知要求，逾期领取车辆产生的停放保管费用。</w:t>
      </w:r>
      <w:r/>
    </w:p>
    <w:p>
      <w:pPr>
        <w:pStyle w:val="1045"/>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3、发生交通事故，因当事人无法自行清除而由乙方排除妨碍而产生的施救费。</w:t>
      </w:r>
      <w:r/>
    </w:p>
    <w:p>
      <w:pPr>
        <w:pStyle w:val="1045"/>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4、滞留乙方场内无人认领车辆已超过规定期限的停放保管费用和施救费用。</w:t>
      </w:r>
      <w:r/>
    </w:p>
    <w:p>
      <w:pPr>
        <w:pStyle w:val="1045"/>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5、货车因超限超载被扣留、扣押产生的停车保管费（其他行政部门经费保障，不得向当事人收取）。</w:t>
      </w:r>
      <w:r/>
    </w:p>
    <w:p>
      <w:pPr>
        <w:pStyle w:val="1045"/>
        <w:ind w:left="40" w:right="20" w:firstLine="482"/>
        <w:jc w:val="left"/>
        <w:spacing w:before="0" w:line="440" w:lineRule="exact"/>
        <w:shd w:val="clear" w:color="auto" w:fill="auto"/>
        <w:rPr>
          <w:rFonts w:hint="eastAsia" w:ascii="宋体" w:hAnsi="宋体" w:eastAsia="宋体" w:cs="仿宋"/>
          <w:b/>
          <w:bCs/>
          <w:color w:val="000000" w:themeColor="text1"/>
          <w:spacing w:val="0"/>
          <w:sz w:val="24"/>
          <w:szCs w:val="24"/>
          <w:lang w:val="zh-CN"/>
          <w14:textFill>
            <w14:solidFill>
              <w14:schemeClr w14:val="tx1"/>
            </w14:solidFill>
          </w14:textFill>
        </w:rPr>
      </w:pPr>
      <w:r>
        <w:rPr>
          <w:rFonts w:hint="eastAsia" w:ascii="宋体" w:hAnsi="宋体" w:eastAsia="宋体" w:cs="仿宋"/>
          <w:b/>
          <w:bCs/>
          <w:color w:val="000000" w:themeColor="text1"/>
          <w:spacing w:val="0"/>
          <w:sz w:val="24"/>
          <w:szCs w:val="24"/>
          <w:lang w:val="zh-CN"/>
          <w14:textFill>
            <w14:solidFill>
              <w14:schemeClr w14:val="tx1"/>
            </w14:solidFill>
          </w14:textFill>
        </w:rPr>
        <w:t xml:space="preserve">四、费用支付标准方式及相关情形</w:t>
      </w:r>
      <w:r/>
    </w:p>
    <w:p>
      <w:pPr>
        <w:pStyle w:val="1045"/>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由甲方承担费用的，按照公告的的结算和收费标准（详见附件1、附件2），双方逐月计算金额，按季结算支付。（由甲方承担的拖车费按照附件</w:t>
      </w:r>
      <w:r>
        <w:rPr>
          <w:rFonts w:hint="eastAsia" w:ascii="宋体" w:hAnsi="宋体" w:eastAsia="宋体" w:cs="仿宋"/>
          <w:color w:val="000000" w:themeColor="text1"/>
          <w:spacing w:val="0"/>
          <w:sz w:val="24"/>
          <w:szCs w:val="24"/>
          <w14:textFill>
            <w14:solidFill>
              <w14:schemeClr w14:val="tx1"/>
            </w14:solidFill>
          </w14:textFill>
        </w:rPr>
        <w:t xml:space="preserve">2中不同车型的起步价结算，不计距离、不发时段</w:t>
      </w:r>
      <w:r>
        <w:rPr>
          <w:rFonts w:hint="eastAsia" w:ascii="宋体" w:hAnsi="宋体" w:eastAsia="宋体" w:cs="仿宋"/>
          <w:color w:val="000000" w:themeColor="text1"/>
          <w:spacing w:val="0"/>
          <w:sz w:val="24"/>
          <w:szCs w:val="24"/>
          <w:lang w:val="zh-CN"/>
          <w14:textFill>
            <w14:solidFill>
              <w14:schemeClr w14:val="tx1"/>
            </w14:solidFill>
          </w14:textFill>
        </w:rPr>
        <w:t xml:space="preserve">）</w:t>
      </w:r>
      <w:r/>
    </w:p>
    <w:p>
      <w:pPr>
        <w:pStyle w:val="1045"/>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由当事人自行承担费用的，乙方也应按照附件</w:t>
      </w:r>
      <w:r>
        <w:rPr>
          <w:rFonts w:hint="eastAsia" w:ascii="宋体" w:hAnsi="宋体" w:eastAsia="宋体" w:cs="仿宋"/>
          <w:color w:val="000000" w:themeColor="text1"/>
          <w:spacing w:val="0"/>
          <w:sz w:val="24"/>
          <w:szCs w:val="24"/>
          <w14:textFill>
            <w14:solidFill>
              <w14:schemeClr w14:val="tx1"/>
            </w14:solidFill>
          </w14:textFill>
        </w:rPr>
        <w:t xml:space="preserve">1、附件2的</w:t>
      </w:r>
      <w:r>
        <w:rPr>
          <w:rFonts w:hint="eastAsia" w:ascii="宋体" w:hAnsi="宋体" w:eastAsia="宋体" w:cs="仿宋"/>
          <w:color w:val="000000" w:themeColor="text1"/>
          <w:spacing w:val="0"/>
          <w:sz w:val="24"/>
          <w:szCs w:val="24"/>
          <w:lang w:val="zh-CN"/>
          <w14:textFill>
            <w14:solidFill>
              <w14:schemeClr w14:val="tx1"/>
            </w14:solidFill>
          </w14:textFill>
        </w:rPr>
        <w:t xml:space="preserve">收费标准规范向当事人收取。按如下情形予以约定：</w:t>
      </w:r>
      <w:r/>
    </w:p>
    <w:p>
      <w:pPr>
        <w:pStyle w:val="1045"/>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1、停车费情形</w:t>
      </w:r>
      <w:r/>
    </w:p>
    <w:p>
      <w:pPr>
        <w:pStyle w:val="1045"/>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（1）当事人及时领取车辆的，停车费由甲方承担，按实际天数计算。</w:t>
      </w:r>
      <w:r/>
    </w:p>
    <w:p>
      <w:pPr>
        <w:pStyle w:val="1045"/>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（2）当事人逾期领取车辆的，自领取车辆之日的次日起产生的停车费由当事人自行承担。以甲方开具的领取车辆通知单或书面出具的领取车辆文书日期为准。</w:t>
      </w:r>
      <w:r/>
    </w:p>
    <w:p>
      <w:pPr>
        <w:pStyle w:val="1045"/>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（3）因违停被清障拖移的，停车费自拖移至乙方场内之日起至当事人领取车辆之日止，期间停车费由当事人自行承担。</w:t>
      </w:r>
      <w:r/>
    </w:p>
    <w:p>
      <w:pPr>
        <w:pStyle w:val="1045"/>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（4）发生交通事故被扣留扣押的，自扣留扣押之日起至甲方开具领取车辆通知书之日止，期间停车费由甲方承担。无人认领的按特殊情形处理。</w:t>
      </w:r>
      <w:r/>
    </w:p>
    <w:p>
      <w:pPr>
        <w:pStyle w:val="1045"/>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（5）无人认领（含放弃领取）的，甲方承担规定期限内的停车费，超出部分甲方不予承担，按特殊情形处置。</w:t>
      </w:r>
      <w:r/>
    </w:p>
    <w:p>
      <w:pPr>
        <w:pStyle w:val="1045"/>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上述规定期限具体为：交通违法扣留规定期限按照法律规定执行，但最长不得超过30日；不需要检验鉴定的交通事故车辆扣留扣押规定期限最长不超过15日，需要检验鉴定的交通事故车辆扣留扣押规定期限最长不超过45日。以甲方开具的行政强制措施凭证、领取车辆通知单或书面出具的领取车辆文书日期为准，在规定期限内按实结算；超过规定期限的，按规定期限结算。 </w:t>
      </w:r>
      <w:r/>
    </w:p>
    <w:p>
      <w:pPr>
        <w:pStyle w:val="1045"/>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2、拖车费情形</w:t>
      </w:r>
      <w:r/>
    </w:p>
    <w:p>
      <w:pPr>
        <w:pStyle w:val="1045"/>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因交通违法、交通事故因证据收集需要以及违停，被甲方扣留、扣押以及清障拖移而产生的拖车费，有人领取车辆的，由甲方承担；无人认领（含当事人放弃领取）的，按特殊情形处置。乙方未使用拖车拖移车辆甲方不予支付拖车费，乙方亦不得向当事人收取拖车费用。但是对于无法拖移的货车及其它大型车辆，乙方帮助甲方扣留扣押的，甲方按200元/辆次予以结算。</w:t>
      </w:r>
      <w:r/>
    </w:p>
    <w:p>
      <w:pPr>
        <w:pStyle w:val="1045"/>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需要检验鉴定的车辆由乙方配合送检，对实际动用拖车拖移送检的，以公示的收费标准（附件2），</w:t>
      </w:r>
      <w:r>
        <w:rPr>
          <w:rFonts w:hint="eastAsia" w:ascii="宋体" w:hAnsi="宋体" w:eastAsia="宋体" w:cs="仿宋"/>
          <w:color w:val="000000" w:themeColor="text1"/>
          <w:spacing w:val="0"/>
          <w:sz w:val="24"/>
          <w:szCs w:val="24"/>
          <w14:textFill>
            <w14:solidFill>
              <w14:schemeClr w14:val="tx1"/>
            </w14:solidFill>
          </w14:textFill>
        </w:rPr>
        <w:t xml:space="preserve">按辆次计费结算（按起步价计费，不计距离）。对于无法拖移的货车及其它大型车辆，乙方帮助甲方送检的，甲方按200元/辆次予以结算，</w:t>
      </w:r>
      <w:r>
        <w:rPr>
          <w:rFonts w:hint="eastAsia" w:ascii="宋体" w:hAnsi="宋体" w:eastAsia="宋体" w:cs="仿宋"/>
          <w:color w:val="000000" w:themeColor="text1"/>
          <w:spacing w:val="0"/>
          <w:sz w:val="24"/>
          <w:szCs w:val="24"/>
          <w:lang w:val="zh-CN"/>
          <w14:textFill>
            <w14:solidFill>
              <w14:schemeClr w14:val="tx1"/>
            </w14:solidFill>
          </w14:textFill>
        </w:rPr>
        <w:t xml:space="preserve">乙方亦不得再向当事人收取拖车费。</w:t>
      </w:r>
      <w:r/>
    </w:p>
    <w:p>
      <w:pPr>
        <w:pStyle w:val="1045"/>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3、施救费情形</w:t>
      </w:r>
      <w:r/>
    </w:p>
    <w:p>
      <w:pPr>
        <w:pStyle w:val="1045"/>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对于不需要扣留扣押的交通事故车辆，因情形必要或当事人无法及时排除妨碍，而由乙方动用拖车、吊车、叉车等救援设备予以施救的施救费由当事人自行承担。需要扣留扣押的交通事故车辆，拖车费由甲方承担，其余排除妨碍产生的施救费由当事人承担。</w:t>
      </w:r>
      <w:r/>
    </w:p>
    <w:p>
      <w:pPr>
        <w:pStyle w:val="1045"/>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4、特殊情形</w:t>
      </w:r>
      <w:r/>
    </w:p>
    <w:p>
      <w:pPr>
        <w:pStyle w:val="1045"/>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无人认领（含当事人放弃领取）滞留乙方场内车辆产生的超过规定期限的停车费、拖车费和施救费为特殊情形，甲方在定期清理处置该类车辆后，以物价部门认定的车辆评估残值按辆次统计汇总报财政部门审批同意后，报支费用予以折抵，其余部分乙方自行承担。</w:t>
      </w:r>
      <w:r/>
    </w:p>
    <w:p>
      <w:pPr>
        <w:pStyle w:val="1045"/>
        <w:ind w:left="40" w:right="20" w:firstLine="482"/>
        <w:jc w:val="left"/>
        <w:spacing w:before="0" w:line="440" w:lineRule="exact"/>
        <w:shd w:val="clear" w:color="auto" w:fill="auto"/>
        <w:rPr>
          <w:rFonts w:hint="eastAsia" w:ascii="宋体" w:hAnsi="宋体" w:eastAsia="宋体" w:cs="仿宋"/>
          <w:b/>
          <w:bCs/>
          <w:color w:val="000000" w:themeColor="text1"/>
          <w:spacing w:val="0"/>
          <w:sz w:val="24"/>
          <w:szCs w:val="24"/>
          <w:lang w:val="zh-CN"/>
          <w14:textFill>
            <w14:solidFill>
              <w14:schemeClr w14:val="tx1"/>
            </w14:solidFill>
          </w14:textFill>
        </w:rPr>
      </w:pPr>
      <w:r>
        <w:rPr>
          <w:rFonts w:hint="eastAsia" w:ascii="宋体" w:hAnsi="宋体" w:eastAsia="宋体" w:cs="仿宋"/>
          <w:b/>
          <w:bCs/>
          <w:color w:val="000000" w:themeColor="text1"/>
          <w:spacing w:val="0"/>
          <w:sz w:val="24"/>
          <w:szCs w:val="24"/>
          <w:lang w:val="zh-CN"/>
          <w14:textFill>
            <w14:solidFill>
              <w14:schemeClr w14:val="tx1"/>
            </w14:solidFill>
          </w14:textFill>
        </w:rPr>
        <w:t xml:space="preserve">五、本协议有效期间为：</w:t>
      </w:r>
      <w:r/>
    </w:p>
    <w:p>
      <w:pPr>
        <w:pStyle w:val="1045"/>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有效期为</w:t>
      </w:r>
      <w:r>
        <w:rPr>
          <w:rFonts w:hint="eastAsia" w:ascii="宋体" w:hAnsi="宋体" w:eastAsia="宋体" w:cs="仿宋"/>
          <w:color w:val="000000" w:themeColor="text1"/>
          <w:spacing w:val="0"/>
          <w:sz w:val="24"/>
          <w:szCs w:val="24"/>
          <w:u w:val="single"/>
          <w:lang w:val="zh-CN"/>
          <w14:textFill>
            <w14:solidFill>
              <w14:schemeClr w14:val="tx1"/>
            </w14:solidFill>
          </w14:textFill>
        </w:rPr>
        <w:t xml:space="preserve">  </w:t>
      </w:r>
      <w:r>
        <w:rPr>
          <w:rFonts w:ascii="宋体" w:hAnsi="宋体" w:eastAsia="宋体" w:cs="仿宋"/>
          <w:color w:val="000000" w:themeColor="text1"/>
          <w:spacing w:val="0"/>
          <w:sz w:val="24"/>
          <w:szCs w:val="24"/>
          <w:u w:val="single"/>
          <w:lang w:val="zh-CN"/>
          <w14:textFill>
            <w14:solidFill>
              <w14:schemeClr w14:val="tx1"/>
            </w14:solidFill>
          </w14:textFill>
        </w:rPr>
        <w:t xml:space="preserve">  </w:t>
      </w:r>
      <w:r>
        <w:rPr>
          <w:rFonts w:hint="eastAsia" w:ascii="宋体" w:hAnsi="宋体" w:eastAsia="宋体" w:cs="仿宋"/>
          <w:color w:val="000000" w:themeColor="text1"/>
          <w:spacing w:val="0"/>
          <w:sz w:val="24"/>
          <w:szCs w:val="24"/>
          <w:lang w:val="zh-CN"/>
          <w14:textFill>
            <w14:solidFill>
              <w14:schemeClr w14:val="tx1"/>
            </w14:solidFill>
          </w14:textFill>
        </w:rPr>
        <w:t xml:space="preserve">年，自 </w:t>
      </w:r>
      <w:r>
        <w:rPr>
          <w:rFonts w:hint="eastAsia" w:ascii="宋体" w:hAnsi="宋体" w:eastAsia="宋体" w:cs="仿宋"/>
          <w:color w:val="000000" w:themeColor="text1"/>
          <w:spacing w:val="0"/>
          <w:sz w:val="24"/>
          <w:szCs w:val="24"/>
          <w:u w:val="single"/>
          <w:lang w:val="zh-CN"/>
          <w14:textFill>
            <w14:solidFill>
              <w14:schemeClr w14:val="tx1"/>
            </w14:solidFill>
          </w14:textFill>
        </w:rPr>
        <w:t xml:space="preserve"> </w:t>
      </w:r>
      <w:r>
        <w:rPr>
          <w:rFonts w:ascii="宋体" w:hAnsi="宋体" w:eastAsia="宋体" w:cs="仿宋"/>
          <w:color w:val="000000" w:themeColor="text1"/>
          <w:spacing w:val="0"/>
          <w:sz w:val="24"/>
          <w:szCs w:val="24"/>
          <w:u w:val="single"/>
          <w:lang w:val="zh-CN"/>
          <w14:textFill>
            <w14:solidFill>
              <w14:schemeClr w14:val="tx1"/>
            </w14:solidFill>
          </w14:textFill>
        </w:rPr>
        <w:t xml:space="preserve">  </w:t>
      </w:r>
      <w:r>
        <w:rPr>
          <w:rFonts w:hint="eastAsia" w:ascii="宋体" w:hAnsi="宋体" w:eastAsia="宋体" w:cs="仿宋"/>
          <w:color w:val="000000" w:themeColor="text1"/>
          <w:spacing w:val="0"/>
          <w:sz w:val="24"/>
          <w:szCs w:val="24"/>
          <w:u w:val="single"/>
          <w:lang w:val="zh-CN"/>
          <w14:textFill>
            <w14:solidFill>
              <w14:schemeClr w14:val="tx1"/>
            </w14:solidFill>
          </w14:textFill>
        </w:rPr>
        <w:t xml:space="preserve"> </w:t>
      </w:r>
      <w:r>
        <w:rPr>
          <w:rFonts w:hint="eastAsia" w:ascii="宋体" w:hAnsi="宋体" w:eastAsia="宋体" w:cs="仿宋"/>
          <w:color w:val="000000" w:themeColor="text1"/>
          <w:spacing w:val="0"/>
          <w:sz w:val="24"/>
          <w:szCs w:val="24"/>
          <w:lang w:val="zh-CN"/>
          <w14:textFill>
            <w14:solidFill>
              <w14:schemeClr w14:val="tx1"/>
            </w14:solidFill>
          </w14:textFill>
        </w:rPr>
        <w:t xml:space="preserve">年</w:t>
      </w:r>
      <w:r>
        <w:rPr>
          <w:rFonts w:ascii="宋体" w:hAnsi="宋体" w:eastAsia="宋体" w:cs="仿宋"/>
          <w:color w:val="000000" w:themeColor="text1"/>
          <w:spacing w:val="0"/>
          <w:sz w:val="24"/>
          <w:szCs w:val="24"/>
          <w:u w:val="single"/>
          <w:lang w:val="zh-CN"/>
          <w14:textFill>
            <w14:solidFill>
              <w14:schemeClr w14:val="tx1"/>
            </w14:solidFill>
          </w14:textFill>
        </w:rPr>
        <w:t xml:space="preserve">   </w:t>
      </w:r>
      <w:r>
        <w:rPr>
          <w:rFonts w:hint="eastAsia" w:ascii="宋体" w:hAnsi="宋体" w:eastAsia="宋体" w:cs="仿宋"/>
          <w:color w:val="000000" w:themeColor="text1"/>
          <w:spacing w:val="0"/>
          <w:sz w:val="24"/>
          <w:szCs w:val="24"/>
          <w:lang w:val="zh-CN"/>
          <w14:textFill>
            <w14:solidFill>
              <w14:schemeClr w14:val="tx1"/>
            </w14:solidFill>
          </w14:textFill>
        </w:rPr>
        <w:t xml:space="preserve">月</w:t>
      </w:r>
      <w:r>
        <w:rPr>
          <w:rFonts w:hint="eastAsia" w:ascii="宋体" w:hAnsi="宋体" w:eastAsia="宋体" w:cs="仿宋"/>
          <w:color w:val="000000" w:themeColor="text1"/>
          <w:spacing w:val="0"/>
          <w:sz w:val="24"/>
          <w:szCs w:val="24"/>
          <w:u w:val="single"/>
          <w:lang w:val="zh-CN"/>
          <w14:textFill>
            <w14:solidFill>
              <w14:schemeClr w14:val="tx1"/>
            </w14:solidFill>
          </w14:textFill>
        </w:rPr>
        <w:t xml:space="preserve"> </w:t>
      </w:r>
      <w:r>
        <w:rPr>
          <w:rFonts w:ascii="宋体" w:hAnsi="宋体" w:eastAsia="宋体" w:cs="仿宋"/>
          <w:color w:val="000000" w:themeColor="text1"/>
          <w:spacing w:val="0"/>
          <w:sz w:val="24"/>
          <w:szCs w:val="24"/>
          <w:u w:val="single"/>
          <w:lang w:val="zh-CN"/>
          <w14:textFill>
            <w14:solidFill>
              <w14:schemeClr w14:val="tx1"/>
            </w14:solidFill>
          </w14:textFill>
        </w:rPr>
        <w:t xml:space="preserve">   </w:t>
      </w:r>
      <w:r>
        <w:rPr>
          <w:rFonts w:hint="eastAsia" w:ascii="宋体" w:hAnsi="宋体" w:eastAsia="宋体" w:cs="仿宋"/>
          <w:color w:val="000000" w:themeColor="text1"/>
          <w:spacing w:val="0"/>
          <w:sz w:val="24"/>
          <w:szCs w:val="24"/>
          <w:lang w:val="zh-CN"/>
          <w14:textFill>
            <w14:solidFill>
              <w14:schemeClr w14:val="tx1"/>
            </w14:solidFill>
          </w14:textFill>
        </w:rPr>
        <w:t xml:space="preserve"> 日起至</w:t>
      </w:r>
      <w:r>
        <w:rPr>
          <w:rFonts w:ascii="宋体" w:hAnsi="宋体" w:eastAsia="宋体" w:cs="仿宋"/>
          <w:color w:val="000000" w:themeColor="text1"/>
          <w:spacing w:val="0"/>
          <w:sz w:val="24"/>
          <w:szCs w:val="24"/>
          <w:u w:val="single"/>
          <w:lang w:val="zh-CN"/>
          <w14:textFill>
            <w14:solidFill>
              <w14:schemeClr w14:val="tx1"/>
            </w14:solidFill>
          </w14:textFill>
        </w:rPr>
        <w:t xml:space="preserve">     </w:t>
      </w:r>
      <w:r>
        <w:rPr>
          <w:rFonts w:hint="eastAsia" w:ascii="宋体" w:hAnsi="宋体" w:eastAsia="宋体" w:cs="仿宋"/>
          <w:color w:val="000000" w:themeColor="text1"/>
          <w:spacing w:val="0"/>
          <w:sz w:val="24"/>
          <w:szCs w:val="24"/>
          <w:lang w:val="zh-CN"/>
          <w14:textFill>
            <w14:solidFill>
              <w14:schemeClr w14:val="tx1"/>
            </w14:solidFill>
          </w14:textFill>
        </w:rPr>
        <w:t xml:space="preserve"> 年</w:t>
      </w:r>
      <w:r>
        <w:rPr>
          <w:rFonts w:ascii="宋体" w:hAnsi="宋体" w:eastAsia="宋体" w:cs="仿宋"/>
          <w:color w:val="000000" w:themeColor="text1"/>
          <w:spacing w:val="0"/>
          <w:sz w:val="24"/>
          <w:szCs w:val="24"/>
          <w:u w:val="single"/>
          <w:lang w:val="zh-CN"/>
          <w14:textFill>
            <w14:solidFill>
              <w14:schemeClr w14:val="tx1"/>
            </w14:solidFill>
          </w14:textFill>
        </w:rPr>
        <w:t xml:space="preserve">   </w:t>
      </w:r>
      <w:r>
        <w:rPr>
          <w:rFonts w:hint="eastAsia" w:ascii="宋体" w:hAnsi="宋体" w:eastAsia="宋体" w:cs="仿宋"/>
          <w:color w:val="000000" w:themeColor="text1"/>
          <w:spacing w:val="0"/>
          <w:sz w:val="24"/>
          <w:szCs w:val="24"/>
          <w:u w:val="single"/>
          <w:lang w:val="zh-CN"/>
          <w14:textFill>
            <w14:solidFill>
              <w14:schemeClr w14:val="tx1"/>
            </w14:solidFill>
          </w14:textFill>
        </w:rPr>
        <w:t xml:space="preserve"> </w:t>
      </w:r>
      <w:r>
        <w:rPr>
          <w:rFonts w:hint="eastAsia" w:ascii="宋体" w:hAnsi="宋体" w:eastAsia="宋体" w:cs="仿宋"/>
          <w:color w:val="000000" w:themeColor="text1"/>
          <w:spacing w:val="0"/>
          <w:sz w:val="24"/>
          <w:szCs w:val="24"/>
          <w:lang w:val="zh-CN"/>
          <w14:textFill>
            <w14:solidFill>
              <w14:schemeClr w14:val="tx1"/>
            </w14:solidFill>
          </w14:textFill>
        </w:rPr>
        <w:t xml:space="preserve">月</w:t>
      </w:r>
      <w:r>
        <w:rPr>
          <w:rFonts w:ascii="宋体" w:hAnsi="宋体" w:eastAsia="宋体" w:cs="仿宋"/>
          <w:color w:val="000000" w:themeColor="text1"/>
          <w:spacing w:val="0"/>
          <w:sz w:val="24"/>
          <w:szCs w:val="24"/>
          <w:u w:val="single"/>
          <w:lang w:val="zh-CN"/>
          <w14:textFill>
            <w14:solidFill>
              <w14:schemeClr w14:val="tx1"/>
            </w14:solidFill>
          </w14:textFill>
        </w:rPr>
        <w:t xml:space="preserve">   </w:t>
      </w:r>
      <w:r>
        <w:rPr>
          <w:rFonts w:hint="eastAsia" w:ascii="宋体" w:hAnsi="宋体" w:eastAsia="宋体" w:cs="仿宋"/>
          <w:color w:val="000000" w:themeColor="text1"/>
          <w:spacing w:val="0"/>
          <w:sz w:val="24"/>
          <w:szCs w:val="24"/>
          <w:lang w:val="zh-CN"/>
          <w14:textFill>
            <w14:solidFill>
              <w14:schemeClr w14:val="tx1"/>
            </w14:solidFill>
          </w14:textFill>
        </w:rPr>
        <w:t xml:space="preserve">日止。</w:t>
      </w:r>
      <w:r/>
    </w:p>
    <w:p>
      <w:pPr>
        <w:pStyle w:val="1045"/>
        <w:ind w:left="40" w:right="20" w:firstLine="482"/>
        <w:jc w:val="left"/>
        <w:spacing w:before="0" w:line="440" w:lineRule="exact"/>
        <w:shd w:val="clear" w:color="auto" w:fill="auto"/>
        <w:rPr>
          <w:rFonts w:hint="eastAsia" w:ascii="宋体" w:hAnsi="宋体" w:eastAsia="宋体" w:cs="仿宋"/>
          <w:b/>
          <w:color w:val="000000" w:themeColor="text1"/>
          <w:spacing w:val="0"/>
          <w:sz w:val="24"/>
          <w:szCs w:val="24"/>
          <w:lang w:val="zh-CN"/>
          <w14:textFill>
            <w14:solidFill>
              <w14:schemeClr w14:val="tx1"/>
            </w14:solidFill>
          </w14:textFill>
        </w:rPr>
      </w:pPr>
      <w:r>
        <w:rPr>
          <w:rFonts w:hint="eastAsia" w:ascii="宋体" w:hAnsi="宋体" w:eastAsia="宋体" w:cs="仿宋"/>
          <w:b/>
          <w:color w:val="000000" w:themeColor="text1"/>
          <w:spacing w:val="0"/>
          <w:sz w:val="24"/>
          <w:szCs w:val="24"/>
          <w:lang w:val="zh-CN"/>
          <w14:textFill>
            <w14:solidFill>
              <w14:schemeClr w14:val="tx1"/>
            </w14:solidFill>
          </w14:textFill>
        </w:rPr>
        <w:t xml:space="preserve">六、乙方应满足的相关条件</w:t>
      </w:r>
      <w:r/>
    </w:p>
    <w:p>
      <w:pPr>
        <w:ind w:firstLine="480"/>
        <w:spacing w:line="440" w:lineRule="exact"/>
        <w:rPr>
          <w:rFonts w:hint="eastAsia" w:ascii="宋体" w:hAnsi="宋体" w:cs="仿宋"/>
          <w:color w:val="000000" w:themeColor="text1"/>
          <w:sz w:val="24"/>
          <w:szCs w:val="21"/>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（一）硬件设施</w:t>
      </w:r>
      <w:r/>
    </w:p>
    <w:p>
      <w:pPr>
        <w:ind w:firstLine="480"/>
        <w:spacing w:line="440" w:lineRule="exact"/>
        <w:rPr>
          <w:rFonts w:hint="eastAsia"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1、具有专门的办公场所和不低于2000平方米的停车场地，停车场地相对封闭，便于车辆停放的管理；停车场内区域划分明确、合理， 应能够按照不同车型分类停放，做到整齐有序，便于清理和统计；</w:t>
      </w:r>
      <w:r/>
    </w:p>
    <w:p>
      <w:pPr>
        <w:ind w:firstLine="480"/>
        <w:spacing w:line="440" w:lineRule="exact"/>
        <w:rPr>
          <w:rFonts w:hint="eastAsia"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2、车辆停放区域应设置遮阴棚等车辆保管设施，做到妥善保管；同时配备灭火器、消防栓等基本的治安防范、消防设施，确保停放车辆的安全；</w:t>
      </w:r>
      <w:r/>
    </w:p>
    <w:p>
      <w:pPr>
        <w:ind w:firstLine="480"/>
        <w:spacing w:line="440" w:lineRule="exact"/>
        <w:rPr>
          <w:rFonts w:hint="eastAsia"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3</w:t>
      </w:r>
      <w:r>
        <w:rPr>
          <w:rFonts w:hint="eastAsia" w:ascii="宋体" w:hAnsi="宋体" w:cs="仿宋"/>
          <w:color w:val="000000" w:themeColor="text1"/>
          <w:sz w:val="24"/>
          <w:lang w:val="zh-CN"/>
          <w14:textFill>
            <w14:solidFill>
              <w14:schemeClr w14:val="tx1"/>
            </w14:solidFill>
          </w14:textFill>
        </w:rPr>
        <w:t xml:space="preserve">、作为治超站（点）的停车场，除配备相应的称重设备外，应能满足重载半挂车的停放，场内应至少可容纳2-3辆重型半挂车进出，同时应建立相应的驳载和仓储区域；应具备相应的驳载设备和人员，仓储区域应有相应的防雨、防火和防盗等防护设施，确保物资的安全；</w:t>
      </w:r>
      <w:r/>
    </w:p>
    <w:p>
      <w:pPr>
        <w:ind w:firstLine="480"/>
        <w:spacing w:line="420" w:lineRule="exact"/>
        <w:rPr>
          <w:rFonts w:hint="eastAsia"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4</w:t>
      </w:r>
      <w:r>
        <w:rPr>
          <w:rFonts w:hint="eastAsia" w:ascii="宋体" w:hAnsi="宋体" w:cs="仿宋"/>
          <w:color w:val="000000" w:themeColor="text1"/>
          <w:sz w:val="24"/>
          <w:lang w:val="zh-CN"/>
          <w14:textFill>
            <w14:solidFill>
              <w14:schemeClr w14:val="tx1"/>
            </w14:solidFill>
          </w14:textFill>
        </w:rPr>
        <w:t xml:space="preserve">、应配备至少1辆专用清障车及相应的清障设施，且车辆检验、保险等手续齐全，车辆安全技术状况良好；车辆除交强险外，还要购买不少于100万元的第三者责任险，救援随车装备配备齐全：警示标志、反光锥捅、枕木、拖车辅助轮等。</w:t>
      </w:r>
      <w:r/>
    </w:p>
    <w:p>
      <w:pPr>
        <w:ind w:firstLine="480"/>
        <w:spacing w:line="420" w:lineRule="exact"/>
        <w:widowControl/>
        <w:rPr>
          <w:rFonts w:hint="eastAsia" w:ascii="宋体" w:hAnsi="宋体" w:cs="宋体"/>
          <w:color w:val="000000" w:themeColor="text1"/>
          <w:sz w:val="24"/>
          <w:lang w:val="zh-CN"/>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5</w:t>
      </w:r>
      <w:r>
        <w:rPr>
          <w:rFonts w:hint="eastAsia" w:ascii="宋体" w:hAnsi="宋体" w:cs="仿宋"/>
          <w:color w:val="000000" w:themeColor="text1"/>
          <w:sz w:val="24"/>
          <w:lang w:val="zh-CN"/>
          <w14:textFill>
            <w14:solidFill>
              <w14:schemeClr w14:val="tx1"/>
            </w14:solidFill>
          </w14:textFill>
        </w:rPr>
        <w:t xml:space="preserve">、场内应安装视频监控，应有互联网连接端口，保证监控设施能接入公安部门的监管平台，便于监管。</w:t>
      </w:r>
      <w:r>
        <w:rPr>
          <w:rFonts w:hint="eastAsia" w:ascii="宋体" w:hAnsi="宋体" w:cs="宋体"/>
          <w:color w:val="000000" w:themeColor="text1"/>
          <w:sz w:val="24"/>
          <w:lang w:val="zh-CN"/>
          <w14:textFill>
            <w14:solidFill>
              <w14:schemeClr w14:val="tx1"/>
            </w14:solidFill>
          </w14:textFill>
        </w:rPr>
        <w:t xml:space="preserve">所有监控视频资料保存不少于</w:t>
      </w:r>
      <w:r>
        <w:rPr>
          <w:rFonts w:hint="eastAsia" w:ascii="宋体" w:hAnsi="宋体" w:cs="宋体"/>
          <w:color w:val="000000" w:themeColor="text1"/>
          <w:sz w:val="24"/>
          <w14:textFill>
            <w14:solidFill>
              <w14:schemeClr w14:val="tx1"/>
            </w14:solidFill>
          </w14:textFill>
        </w:rPr>
        <w:t xml:space="preserve">3个月</w:t>
      </w:r>
      <w:r>
        <w:rPr>
          <w:rFonts w:hint="eastAsia" w:ascii="宋体" w:hAnsi="宋体" w:cs="宋体"/>
          <w:color w:val="000000" w:themeColor="text1"/>
          <w:sz w:val="24"/>
          <w:lang w:val="zh-CN"/>
          <w14:textFill>
            <w14:solidFill>
              <w14:schemeClr w14:val="tx1"/>
            </w14:solidFill>
          </w14:textFill>
        </w:rPr>
        <w:t xml:space="preserve">，能进行回放。</w:t>
      </w:r>
      <w:r/>
    </w:p>
    <w:p>
      <w:pPr>
        <w:ind w:firstLine="480"/>
        <w:spacing w:line="440" w:lineRule="exact"/>
        <w:rPr>
          <w:rFonts w:hint="eastAsia"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（二）软件设施</w:t>
      </w:r>
      <w:r/>
    </w:p>
    <w:p>
      <w:pPr>
        <w:ind w:firstLine="480"/>
        <w:spacing w:line="440" w:lineRule="exact"/>
        <w:rPr>
          <w:rFonts w:hint="eastAsia"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1、具备停车场资质，提供有效的营业执照等资质文件；</w:t>
      </w:r>
      <w:r/>
    </w:p>
    <w:p>
      <w:pPr>
        <w:ind w:firstLine="480"/>
        <w:spacing w:line="440" w:lineRule="exact"/>
        <w:rPr>
          <w:rFonts w:hint="eastAsia"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2、停车场企业法人、负责人或管理人信用良好，无刑事犯罪记录；停车场用人管理符合劳动部门的规定，无劳资纠纷；</w:t>
      </w:r>
      <w:r/>
    </w:p>
    <w:p>
      <w:pPr>
        <w:ind w:firstLine="480"/>
        <w:spacing w:line="440" w:lineRule="exact"/>
        <w:rPr>
          <w:rFonts w:hint="eastAsia"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3、停车场方有较好的风险承担能力，场内财物及工作人员应投保相关意外保险；</w:t>
      </w:r>
      <w:r/>
    </w:p>
    <w:p>
      <w:pPr>
        <w:ind w:firstLine="480"/>
        <w:spacing w:line="440" w:lineRule="exact"/>
        <w:rPr>
          <w:rFonts w:hint="eastAsia"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4、应有专人做好车辆的进、出登记；认真按管理部门的要求做好车辆的保管登记工作，场内有专人做好防火、防盗等安全工作；</w:t>
      </w:r>
      <w:r/>
    </w:p>
    <w:p>
      <w:pPr>
        <w:ind w:firstLine="480"/>
        <w:spacing w:line="440" w:lineRule="exact"/>
        <w:rPr>
          <w:rFonts w:hint="eastAsia"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5、工作人员应做到着装统一、管理规范，安全防护设备齐全；应定期组织相关人员进行学习、培训，不断提高相关人员的业务技能；</w:t>
      </w:r>
      <w:r/>
    </w:p>
    <w:p>
      <w:pPr>
        <w:ind w:firstLine="480"/>
        <w:spacing w:line="440" w:lineRule="exact"/>
        <w:rPr>
          <w:rFonts w:hint="eastAsia"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6、在接到指派指令后，应能在20分钟内到达指令地点；按照规范要求完成车辆入库停放工作。</w:t>
      </w:r>
      <w:r/>
    </w:p>
    <w:p>
      <w:pPr>
        <w:ind w:firstLine="480"/>
        <w:spacing w:line="440" w:lineRule="exact"/>
        <w:rPr>
          <w:rFonts w:hint="eastAsia"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（三）交通事故抢险施救</w:t>
      </w:r>
      <w:r/>
    </w:p>
    <w:p>
      <w:pPr>
        <w:ind w:firstLine="480"/>
        <w:spacing w:line="440" w:lineRule="exact"/>
        <w:rPr>
          <w:rFonts w:hint="eastAsia"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1、应配备足够的事故抢险装备，包括车辆、能及时联系到叉车、吊车等专用清障设备，满足事故抢险的要求；</w:t>
      </w:r>
      <w:r/>
    </w:p>
    <w:p>
      <w:pPr>
        <w:ind w:firstLine="480"/>
        <w:spacing w:line="440" w:lineRule="exact"/>
        <w:rPr>
          <w:rFonts w:hint="eastAsia"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2、事故抢险救援人员应配备充足，按照服务1个基层中队为基数，每班次应配备不少于2名事故抢险人员，按照四班三运转的工作模式，确保事故抢险施救及时、规范；</w:t>
      </w:r>
      <w:r/>
    </w:p>
    <w:p>
      <w:pPr>
        <w:ind w:firstLine="480"/>
        <w:spacing w:line="440" w:lineRule="exact"/>
        <w:rPr>
          <w:rFonts w:hint="eastAsia"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3、应具备良好的风险承担能力，场地及人员应额外投保相关保险；</w:t>
      </w:r>
      <w:r/>
    </w:p>
    <w:p>
      <w:pPr>
        <w:ind w:firstLine="480"/>
        <w:spacing w:line="440" w:lineRule="exact"/>
        <w:rPr>
          <w:rFonts w:hint="eastAsia"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4、事故车辆的停放应与交通违法车辆分开停放，对涉及关键证据的车辆应有条件能封闭保存；</w:t>
      </w:r>
      <w:r/>
    </w:p>
    <w:p>
      <w:pPr>
        <w:ind w:firstLine="480"/>
        <w:spacing w:line="440" w:lineRule="exact"/>
        <w:rPr>
          <w:rFonts w:hint="eastAsia"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5、事故抢险车辆应配备足够的安全防护装备，包括反光锥筒、警示灯、灭火器等；</w:t>
      </w:r>
      <w:r/>
    </w:p>
    <w:p>
      <w:pPr>
        <w:ind w:firstLine="480"/>
        <w:spacing w:line="440" w:lineRule="exact"/>
        <w:rPr>
          <w:rFonts w:hint="eastAsia"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6、事故抢险人员应接受过系统专业的安全作业培训，具备一定的事故抢险、专业施救等工作经验，能较好地按规范要求开展事故抢险作业。</w:t>
      </w:r>
      <w:r/>
    </w:p>
    <w:p>
      <w:pPr>
        <w:pStyle w:val="755"/>
        <w:ind w:left="1" w:firstLine="480"/>
        <w:spacing w:line="440" w:lineRule="exact"/>
        <w:rPr>
          <w:rFonts w:hint="eastAsia"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（四）</w:t>
      </w:r>
      <w:r>
        <w:rPr>
          <w:rFonts w:hint="eastAsia" w:ascii="宋体" w:hAnsi="宋体" w:cs="仿宋"/>
          <w:color w:val="000000" w:themeColor="text1"/>
          <w:sz w:val="24"/>
          <w:lang w:val="zh-CN"/>
          <w14:textFill>
            <w14:solidFill>
              <w14:schemeClr w14:val="tx1"/>
            </w14:solidFill>
          </w14:textFill>
        </w:rPr>
        <w:t xml:space="preserve">其它要求</w:t>
      </w:r>
      <w:r/>
    </w:p>
    <w:p>
      <w:pPr>
        <w:pStyle w:val="755"/>
        <w:ind w:left="1" w:firstLine="480"/>
        <w:spacing w:line="440" w:lineRule="exact"/>
        <w:rPr>
          <w:rFonts w:hint="eastAsia"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1、乙方应严格规范保管涉案车辆，如发生被保管涉案车辆损毁、丢失的，由乙方负责照价赔偿；</w:t>
      </w:r>
      <w:r/>
    </w:p>
    <w:p>
      <w:pPr>
        <w:pStyle w:val="755"/>
        <w:ind w:left="1" w:firstLine="480"/>
        <w:spacing w:line="440" w:lineRule="exact"/>
        <w:rPr>
          <w:rFonts w:hint="eastAsia"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2、若甲方上级部门有新的规范、标准，乙方应服从甲方指挥安排。</w:t>
      </w:r>
      <w:r/>
    </w:p>
    <w:p>
      <w:pPr>
        <w:pStyle w:val="755"/>
        <w:ind w:left="1" w:firstLine="480"/>
        <w:spacing w:line="440" w:lineRule="exact"/>
        <w:rPr>
          <w:rFonts w:hint="eastAsia"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3、乙方如因管理运转不当导致无法继续保管、拖移涉案车辆的，期间公安机关拖移、保管涉案车辆产生的费用由乙方承担；</w:t>
      </w:r>
      <w:r/>
    </w:p>
    <w:p>
      <w:pPr>
        <w:pStyle w:val="755"/>
        <w:ind w:left="1" w:firstLine="480"/>
        <w:spacing w:line="440" w:lineRule="exact"/>
        <w:rPr>
          <w:rFonts w:hint="eastAsia" w:ascii="宋体" w:hAnsi="宋体" w:cs="仿宋"/>
          <w:b/>
          <w:bCs/>
          <w:color w:val="000000" w:themeColor="text1"/>
          <w:sz w:val="24"/>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4、乙方每天应安排不少于</w:t>
      </w:r>
      <w:r>
        <w:rPr>
          <w:rFonts w:hint="eastAsia" w:ascii="宋体" w:hAnsi="宋体" w:cs="仿宋"/>
          <w:color w:val="000000" w:themeColor="text1"/>
          <w:sz w:val="24"/>
          <w14:textFill>
            <w14:solidFill>
              <w14:schemeClr w14:val="tx1"/>
            </w14:solidFill>
          </w14:textFill>
        </w:rPr>
        <w:t xml:space="preserve">3</w:t>
      </w:r>
      <w:r>
        <w:rPr>
          <w:rFonts w:hint="eastAsia" w:ascii="宋体" w:hAnsi="宋体" w:cs="仿宋"/>
          <w:color w:val="000000" w:themeColor="text1"/>
          <w:sz w:val="24"/>
          <w:lang w:val="zh-CN"/>
          <w14:textFill>
            <w14:solidFill>
              <w14:schemeClr w14:val="tx1"/>
            </w14:solidFill>
          </w14:textFill>
        </w:rPr>
        <w:t xml:space="preserve">组</w:t>
      </w:r>
      <w:r>
        <w:rPr>
          <w:rFonts w:hint="eastAsia" w:ascii="宋体" w:hAnsi="宋体" w:cs="仿宋"/>
          <w:color w:val="000000" w:themeColor="text1"/>
          <w:sz w:val="24"/>
          <w14:textFill>
            <w14:solidFill>
              <w14:schemeClr w14:val="tx1"/>
            </w14:solidFill>
          </w14:textFill>
        </w:rPr>
        <w:t xml:space="preserve">6</w:t>
      </w:r>
      <w:r>
        <w:rPr>
          <w:rFonts w:hint="eastAsia" w:ascii="宋体" w:hAnsi="宋体" w:cs="仿宋"/>
          <w:color w:val="000000" w:themeColor="text1"/>
          <w:sz w:val="24"/>
          <w:lang w:val="zh-CN"/>
          <w14:textFill>
            <w14:solidFill>
              <w14:schemeClr w14:val="tx1"/>
            </w14:solidFill>
          </w14:textFill>
        </w:rPr>
        <w:t xml:space="preserve">人的救援拖移值班力量，24小时值守，随叫随到服务，接到指令及时响应现场处置要求；安排专人值守，能及时响应当事人取车要求。</w:t>
      </w:r>
      <w:r>
        <w:rPr>
          <w:rFonts w:hint="eastAsia" w:ascii="宋体" w:hAnsi="宋体" w:cs="仿宋"/>
          <w:bCs/>
          <w:color w:val="000000" w:themeColor="text1"/>
          <w:sz w:val="24"/>
          <w14:textFill>
            <w14:solidFill>
              <w14:schemeClr w14:val="tx1"/>
            </w14:solidFill>
          </w14:textFill>
        </w:rPr>
        <w:t xml:space="preserve">所有服务人员须缴纳最低100万的意外保险。</w:t>
      </w:r>
      <w:r/>
    </w:p>
    <w:p>
      <w:pPr>
        <w:pStyle w:val="755"/>
        <w:ind w:left="1" w:firstLine="480"/>
        <w:spacing w:line="440" w:lineRule="exact"/>
        <w:rPr>
          <w:rFonts w:hint="eastAsia" w:ascii="宋体" w:hAnsi="宋体" w:cs="仿宋"/>
          <w:b/>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5、遵守公安机关涉案车辆停车管理的其他有关规定，具体内容由甲方负责解释。</w:t>
      </w:r>
      <w:r/>
    </w:p>
    <w:p>
      <w:pPr>
        <w:pStyle w:val="1045"/>
        <w:ind w:left="40" w:right="20" w:firstLine="482"/>
        <w:jc w:val="left"/>
        <w:spacing w:before="0" w:line="440" w:lineRule="exact"/>
        <w:shd w:val="clear" w:color="auto" w:fill="auto"/>
        <w:rPr>
          <w:rFonts w:hint="eastAsia" w:ascii="宋体" w:hAnsi="宋体" w:eastAsia="宋体" w:cs="仿宋"/>
          <w:b/>
          <w:bCs/>
          <w:color w:val="000000" w:themeColor="text1"/>
          <w:spacing w:val="0"/>
          <w:sz w:val="24"/>
          <w:szCs w:val="24"/>
          <w:lang w:val="zh-CN"/>
          <w14:textFill>
            <w14:solidFill>
              <w14:schemeClr w14:val="tx1"/>
            </w14:solidFill>
          </w14:textFill>
        </w:rPr>
      </w:pPr>
      <w:r>
        <w:rPr>
          <w:rFonts w:hint="eastAsia" w:ascii="宋体" w:hAnsi="宋体" w:eastAsia="宋体" w:cs="仿宋"/>
          <w:b/>
          <w:bCs/>
          <w:color w:val="000000" w:themeColor="text1"/>
          <w:spacing w:val="0"/>
          <w:sz w:val="24"/>
          <w:szCs w:val="24"/>
          <w:lang w:val="zh-CN"/>
          <w14:textFill>
            <w14:solidFill>
              <w14:schemeClr w14:val="tx1"/>
            </w14:solidFill>
          </w14:textFill>
        </w:rPr>
        <w:t xml:space="preserve">七、甲乙双方的权利和义务：</w:t>
      </w:r>
      <w:r/>
    </w:p>
    <w:p>
      <w:pPr>
        <w:pStyle w:val="1045"/>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1、乙方应具备停车场资质，具备一定面积的停车场地，有必要的防火、防盗、防水等安全设施，配备抢险施救拖移车辆、设备、人员。</w:t>
      </w:r>
      <w:r/>
    </w:p>
    <w:p>
      <w:pPr>
        <w:pStyle w:val="1045"/>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2、乙方应明确专人做好停放车辆的登记、发还和计费核算工作，保证停车场24小时有专人看守，并确保甲方委托停放保管的车辆有序、完好。如在乙方保管期间发生损坏、缺失、盗用,由乙方负责赔偿，损失金额以靖江市物价部门认证的价格或法院裁判确定的价格为准。</w:t>
      </w:r>
      <w:r/>
    </w:p>
    <w:p>
      <w:pPr>
        <w:pStyle w:val="1045"/>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3、甲方依法扣留扣押车辆，并在法律规定的期限内及时向当事人开具《领取车辆通知书》，乙方凭《领取车辆通知书》核对相关证件后向当事人发还车辆。</w:t>
      </w:r>
      <w:r/>
    </w:p>
    <w:p>
      <w:pPr>
        <w:pStyle w:val="1045"/>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4、由甲方承担的费用，乙方严禁向相关当事人收取。甲方定期对乙方进行检查、监督，发现有违规收取费用的情况，有权督促乙方退费并向当事人做好解释，赔礼道歉工作，乙方应无条件服从。</w:t>
      </w:r>
      <w:r/>
    </w:p>
    <w:p>
      <w:pPr>
        <w:pStyle w:val="1045"/>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5、如乙方存在乱收费等违约情形，甲方有权要求乙方按每次</w:t>
      </w:r>
      <w:r>
        <w:rPr>
          <w:rFonts w:hint="eastAsia" w:ascii="宋体" w:hAnsi="宋体" w:eastAsia="宋体" w:cs="仿宋"/>
          <w:color w:val="000000" w:themeColor="text1"/>
          <w:sz w:val="24"/>
          <w:lang w:val="zh-CN"/>
          <w14:textFill>
            <w14:solidFill>
              <w14:schemeClr w14:val="tx1"/>
            </w14:solidFill>
          </w14:textFill>
        </w:rPr>
        <w:t xml:space="preserve">1000元承担违约金，违约金无需通知乙方，甲方可以从乙方</w:t>
      </w:r>
      <w:r>
        <w:rPr>
          <w:rFonts w:hint="eastAsia" w:ascii="宋体" w:hAnsi="宋体" w:eastAsia="宋体" w:cs="仿宋"/>
          <w:color w:val="000000" w:themeColor="text1"/>
          <w:sz w:val="24"/>
          <w14:textFill>
            <w14:solidFill>
              <w14:schemeClr w14:val="tx1"/>
            </w14:solidFill>
          </w14:textFill>
        </w:rPr>
        <w:t xml:space="preserve">结算费用中直接</w:t>
      </w:r>
      <w:r>
        <w:rPr>
          <w:rFonts w:hint="eastAsia" w:ascii="宋体" w:hAnsi="宋体" w:eastAsia="宋体" w:cs="仿宋"/>
          <w:color w:val="000000" w:themeColor="text1"/>
          <w:sz w:val="24"/>
          <w:lang w:val="zh-CN"/>
          <w14:textFill>
            <w14:solidFill>
              <w14:schemeClr w14:val="tx1"/>
            </w14:solidFill>
          </w14:textFill>
        </w:rPr>
        <w:t xml:space="preserve">扣除</w:t>
      </w:r>
      <w:r>
        <w:rPr>
          <w:rFonts w:hint="eastAsia" w:ascii="宋体" w:hAnsi="宋体" w:eastAsia="宋体" w:cs="仿宋"/>
          <w:color w:val="000000" w:themeColor="text1"/>
          <w:spacing w:val="0"/>
          <w:sz w:val="24"/>
          <w:szCs w:val="24"/>
          <w:lang w:val="zh-CN"/>
          <w14:textFill>
            <w14:solidFill>
              <w14:schemeClr w14:val="tx1"/>
            </w14:solidFill>
          </w14:textFill>
        </w:rPr>
        <w:t xml:space="preserve">；如乙方存在多次违约情形的，甲方有权单方解除合同。</w:t>
      </w:r>
      <w:r/>
    </w:p>
    <w:p>
      <w:pPr>
        <w:pStyle w:val="755"/>
        <w:ind w:left="1" w:firstLine="480"/>
        <w:spacing w:line="440" w:lineRule="exact"/>
        <w:rPr>
          <w:rFonts w:hint="eastAsia" w:ascii="宋体" w:hAnsi="宋体" w:cs="仿宋"/>
          <w:color w:val="000000" w:themeColor="text1"/>
          <w:sz w:val="24"/>
          <w:szCs w:val="18"/>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6、乙方应在醒目位置标示服务项目、法定收费标准和监督电话，按照公示标准收费，并使用法定票据。</w:t>
      </w:r>
      <w:r/>
    </w:p>
    <w:p>
      <w:pPr>
        <w:pStyle w:val="1045"/>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7、乙方应建立车辆进出场保管台帐，每月统计汇总结算费用报甲方审核，经甲方审核确认后，按季度开票保支。 </w:t>
      </w:r>
      <w:r/>
    </w:p>
    <w:p>
      <w:pPr>
        <w:pStyle w:val="1045"/>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8、乙方对超过规定期限的车辆要定期统计汇总并书面上报甲方属地中队，甲方及时对该类车辆予以清理报废处置，乙方应服从并配合甲方做好该项工作。</w:t>
      </w:r>
      <w:r/>
    </w:p>
    <w:p>
      <w:pPr>
        <w:pStyle w:val="1045"/>
        <w:ind w:left="40" w:right="20" w:firstLine="48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9、由当事人承担的费用，乙方应提前告知当事人收费标准，规范收取；双方有争议的，应友好协商解决。 </w:t>
      </w:r>
      <w:r/>
    </w:p>
    <w:p>
      <w:pPr>
        <w:ind w:firstLine="482"/>
        <w:spacing w:line="440" w:lineRule="exact"/>
        <w:rPr>
          <w:rFonts w:hint="eastAsia" w:ascii="宋体" w:hAnsi="宋体" w:cs="仿宋"/>
          <w:b/>
          <w:color w:val="000000" w:themeColor="text1"/>
          <w:sz w:val="24"/>
          <w:szCs w:val="24"/>
          <w:lang w:val="zh-CN"/>
          <w14:textFill>
            <w14:solidFill>
              <w14:schemeClr w14:val="tx1"/>
            </w14:solidFill>
          </w14:textFill>
        </w:rPr>
      </w:pPr>
      <w:r>
        <w:rPr>
          <w:rFonts w:hint="eastAsia" w:ascii="宋体" w:hAnsi="宋体" w:cs="仿宋"/>
          <w:b/>
          <w:color w:val="000000" w:themeColor="text1"/>
          <w:sz w:val="24"/>
          <w:szCs w:val="24"/>
          <w:lang w:val="zh-CN"/>
          <w14:textFill>
            <w14:solidFill>
              <w14:schemeClr w14:val="tx1"/>
            </w14:solidFill>
          </w14:textFill>
        </w:rPr>
        <w:t xml:space="preserve">八、合同的终止和解除</w:t>
      </w:r>
      <w:r/>
    </w:p>
    <w:p>
      <w:pPr>
        <w:ind w:firstLine="480"/>
        <w:spacing w:line="440" w:lineRule="exact"/>
        <w:rPr>
          <w:rFonts w:hint="eastAsia" w:ascii="宋体" w:hAnsi="宋体" w:cs="仿宋"/>
          <w:color w:val="000000" w:themeColor="text1"/>
          <w:sz w:val="24"/>
          <w:szCs w:val="24"/>
          <w:lang w:val="zh-CN"/>
          <w14:textFill>
            <w14:solidFill>
              <w14:schemeClr w14:val="tx1"/>
            </w14:solidFill>
          </w14:textFill>
        </w:rPr>
      </w:pPr>
      <w:r>
        <w:rPr>
          <w:rFonts w:hint="eastAsia" w:ascii="宋体" w:hAnsi="宋体" w:cs="仿宋"/>
          <w:color w:val="000000" w:themeColor="text1"/>
          <w:sz w:val="24"/>
          <w:szCs w:val="24"/>
          <w:lang w:val="zh-CN"/>
          <w14:textFill>
            <w14:solidFill>
              <w14:schemeClr w14:val="tx1"/>
            </w14:solidFill>
          </w14:textFill>
        </w:rPr>
        <w:t xml:space="preserve">1、服务期期满后，合同自行终止。</w:t>
      </w:r>
      <w:r/>
    </w:p>
    <w:p>
      <w:pPr>
        <w:ind w:firstLine="480"/>
        <w:spacing w:line="440" w:lineRule="exact"/>
        <w:rPr>
          <w:rFonts w:hint="eastAsia" w:ascii="宋体" w:hAnsi="宋体" w:cs="仿宋"/>
          <w:color w:val="000000" w:themeColor="text1"/>
          <w:sz w:val="24"/>
          <w:szCs w:val="24"/>
          <w:lang w:val="zh-CN"/>
          <w14:textFill>
            <w14:solidFill>
              <w14:schemeClr w14:val="tx1"/>
            </w14:solidFill>
          </w14:textFill>
        </w:rPr>
      </w:pPr>
      <w:r>
        <w:rPr>
          <w:rFonts w:hint="eastAsia" w:ascii="宋体" w:hAnsi="宋体" w:cs="仿宋"/>
          <w:color w:val="000000" w:themeColor="text1"/>
          <w:sz w:val="24"/>
          <w:szCs w:val="24"/>
          <w:lang w:val="zh-CN"/>
          <w14:textFill>
            <w14:solidFill>
              <w14:schemeClr w14:val="tx1"/>
            </w14:solidFill>
          </w14:textFill>
        </w:rPr>
        <w:t xml:space="preserve">2、甲方和乙方协商一致，可以解除合同。</w:t>
      </w:r>
      <w:r/>
    </w:p>
    <w:p>
      <w:pPr>
        <w:ind w:firstLine="480"/>
        <w:spacing w:line="440" w:lineRule="exact"/>
        <w:rPr>
          <w:rFonts w:hint="eastAsia" w:ascii="宋体" w:hAnsi="宋体" w:cs="仿宋"/>
          <w:color w:val="000000" w:themeColor="text1"/>
          <w:sz w:val="24"/>
          <w:szCs w:val="24"/>
          <w:lang w:val="zh-CN"/>
          <w14:textFill>
            <w14:solidFill>
              <w14:schemeClr w14:val="tx1"/>
            </w14:solidFill>
          </w14:textFill>
        </w:rPr>
      </w:pPr>
      <w:r>
        <w:rPr>
          <w:rFonts w:hint="eastAsia" w:ascii="宋体" w:hAnsi="宋体" w:cs="仿宋"/>
          <w:color w:val="000000" w:themeColor="text1"/>
          <w:sz w:val="24"/>
          <w:szCs w:val="24"/>
          <w:lang w:val="zh-CN"/>
          <w14:textFill>
            <w14:solidFill>
              <w14:schemeClr w14:val="tx1"/>
            </w14:solidFill>
          </w14:textFill>
        </w:rPr>
        <w:t xml:space="preserve">3、有下列情况之一，合同双方可以解除合同：</w:t>
      </w:r>
      <w:r/>
    </w:p>
    <w:p>
      <w:pPr>
        <w:ind w:firstLine="480"/>
        <w:spacing w:line="440" w:lineRule="exact"/>
        <w:rPr>
          <w:rFonts w:hint="eastAsia" w:ascii="宋体" w:hAnsi="宋体" w:cs="仿宋"/>
          <w:color w:val="000000" w:themeColor="text1"/>
          <w:sz w:val="24"/>
          <w:szCs w:val="24"/>
          <w:lang w:val="zh-CN"/>
          <w14:textFill>
            <w14:solidFill>
              <w14:schemeClr w14:val="tx1"/>
            </w14:solidFill>
          </w14:textFill>
        </w:rPr>
      </w:pPr>
      <w:r>
        <w:rPr>
          <w:rFonts w:hint="eastAsia" w:ascii="宋体" w:hAnsi="宋体" w:cs="仿宋"/>
          <w:color w:val="000000" w:themeColor="text1"/>
          <w:sz w:val="24"/>
          <w:szCs w:val="24"/>
          <w:lang w:val="zh-CN"/>
          <w14:textFill>
            <w14:solidFill>
              <w14:schemeClr w14:val="tx1"/>
            </w14:solidFill>
          </w14:textFill>
        </w:rPr>
        <w:t xml:space="preserve">(1)因不可抗力致使不能实现合同目的，未受不可抗力影响的一方有权解除合同；</w:t>
      </w:r>
      <w:r/>
    </w:p>
    <w:p>
      <w:pPr>
        <w:ind w:firstLine="480"/>
        <w:spacing w:line="440" w:lineRule="exact"/>
        <w:rPr>
          <w:rFonts w:hint="eastAsia" w:ascii="宋体" w:hAnsi="宋体" w:cs="仿宋"/>
          <w:color w:val="000000" w:themeColor="text1"/>
          <w:sz w:val="24"/>
          <w:szCs w:val="24"/>
          <w:lang w:val="zh-CN"/>
          <w14:textFill>
            <w14:solidFill>
              <w14:schemeClr w14:val="tx1"/>
            </w14:solidFill>
          </w14:textFill>
        </w:rPr>
      </w:pPr>
      <w:r>
        <w:rPr>
          <w:rFonts w:hint="eastAsia" w:ascii="宋体" w:hAnsi="宋体" w:cs="仿宋"/>
          <w:color w:val="000000" w:themeColor="text1"/>
          <w:sz w:val="24"/>
          <w:szCs w:val="24"/>
          <w:lang w:val="zh-CN"/>
          <w14:textFill>
            <w14:solidFill>
              <w14:schemeClr w14:val="tx1"/>
            </w14:solidFill>
          </w14:textFill>
        </w:rPr>
        <w:t xml:space="preserve">(2)因合同一方违约导致合同不能履行，另一方有权解除合同。</w:t>
      </w:r>
      <w:r/>
    </w:p>
    <w:p>
      <w:pPr>
        <w:ind w:firstLine="480"/>
        <w:spacing w:line="440" w:lineRule="exact"/>
        <w:rPr>
          <w:rFonts w:hint="eastAsia" w:ascii="宋体" w:hAnsi="宋体" w:cs="仿宋"/>
          <w:color w:val="000000" w:themeColor="text1"/>
          <w:sz w:val="24"/>
          <w:szCs w:val="24"/>
          <w:lang w:val="zh-CN"/>
          <w14:textFill>
            <w14:solidFill>
              <w14:schemeClr w14:val="tx1"/>
            </w14:solidFill>
          </w14:textFill>
        </w:rPr>
      </w:pPr>
      <w:r>
        <w:rPr>
          <w:rFonts w:hint="eastAsia" w:ascii="宋体" w:hAnsi="宋体" w:cs="仿宋"/>
          <w:color w:val="000000" w:themeColor="text1"/>
          <w:sz w:val="24"/>
          <w:szCs w:val="24"/>
          <w:lang w:val="zh-CN"/>
          <w14:textFill>
            <w14:solidFill>
              <w14:schemeClr w14:val="tx1"/>
            </w14:solidFill>
          </w14:textFill>
        </w:rPr>
        <w:t xml:space="preserve">4、有权解除合同的一方，应当在违约事实或不可抗力发生之后书面通知提出解除合同，合同在书面通知到达对方时解除。</w:t>
      </w:r>
      <w:r/>
    </w:p>
    <w:p>
      <w:pPr>
        <w:pStyle w:val="1046"/>
        <w:spacing w:line="440" w:lineRule="exact"/>
        <w:rPr>
          <w:rFonts w:hint="eastAsia"/>
          <w:color w:val="000000" w:themeColor="text1"/>
          <w:lang w:val="zh-CN"/>
          <w14:textFill>
            <w14:solidFill>
              <w14:schemeClr w14:val="tx1"/>
            </w14:solidFill>
          </w14:textFill>
        </w:rPr>
      </w:pPr>
      <w:r>
        <w:rPr>
          <w:rFonts w:hint="eastAsia" w:cs="仿宋"/>
          <w:color w:val="000000" w:themeColor="text1"/>
          <w:lang w:val="zh-CN"/>
          <w14:textFill>
            <w14:solidFill>
              <w14:schemeClr w14:val="tx1"/>
            </w14:solidFill>
          </w14:textFill>
        </w:rPr>
        <w:t xml:space="preserve">5、乙方如因管理运转不当导致无法继续保管、拖移涉案车辆的，需提前书面通知甲方，甲方有权终止并变更合同。</w:t>
      </w:r>
      <w:r/>
    </w:p>
    <w:p>
      <w:pPr>
        <w:pStyle w:val="1046"/>
        <w:spacing w:line="440" w:lineRule="exact"/>
        <w:rPr>
          <w:rFonts w:hint="eastAsia"/>
          <w:color w:val="000000" w:themeColor="text1"/>
          <w:lang w:val="zh-CN"/>
          <w14:textFill>
            <w14:solidFill>
              <w14:schemeClr w14:val="tx1"/>
            </w14:solidFill>
          </w14:textFill>
        </w:rPr>
      </w:pPr>
      <w:r>
        <w:rPr>
          <w:rFonts w:hint="eastAsia" w:cs="仿宋"/>
          <w:color w:val="000000" w:themeColor="text1"/>
          <w:szCs w:val="24"/>
          <w:lang w:val="zh-CN"/>
          <w14:textFill>
            <w14:solidFill>
              <w14:schemeClr w14:val="tx1"/>
            </w14:solidFill>
          </w14:textFill>
        </w:rPr>
        <w:t xml:space="preserve">6、实施过程中委托服务实际产生费用结算以不得超过采购项目整体预算为原则，如超过采购项目整体预算甲方有权单方解除合同，重新组织招标采购。</w:t>
      </w:r>
      <w:r/>
    </w:p>
    <w:p>
      <w:pPr>
        <w:ind w:firstLine="480"/>
        <w:spacing w:line="440" w:lineRule="exact"/>
        <w:rPr>
          <w:rFonts w:hint="eastAsia" w:ascii="宋体" w:hAnsi="宋体" w:cs="仿宋"/>
          <w:color w:val="000000" w:themeColor="text1"/>
          <w:sz w:val="24"/>
          <w:szCs w:val="24"/>
          <w:lang w:val="zh-CN"/>
          <w14:textFill>
            <w14:solidFill>
              <w14:schemeClr w14:val="tx1"/>
            </w14:solidFill>
          </w14:textFill>
        </w:rPr>
      </w:pPr>
      <w:r>
        <w:rPr>
          <w:rFonts w:hint="eastAsia" w:ascii="宋体" w:hAnsi="宋体" w:cs="仿宋"/>
          <w:color w:val="000000" w:themeColor="text1"/>
          <w:sz w:val="24"/>
          <w:szCs w:val="24"/>
          <w:lang w:val="zh-CN"/>
          <w14:textFill>
            <w14:solidFill>
              <w14:schemeClr w14:val="tx1"/>
            </w14:solidFill>
          </w14:textFill>
        </w:rPr>
        <w:t xml:space="preserve">7、如果乙方在合同期内出现下列现象之一的，甲方有权单方解除合同，并视情况轻重，取消乙方下一轮参加交管部门类似项目投标的资格：</w:t>
      </w:r>
      <w:r/>
    </w:p>
    <w:p>
      <w:pPr>
        <w:ind w:firstLine="480"/>
        <w:spacing w:line="440" w:lineRule="exact"/>
        <w:rPr>
          <w:rFonts w:hint="eastAsia" w:ascii="宋体" w:hAnsi="宋体" w:cs="仿宋"/>
          <w:color w:val="000000" w:themeColor="text1"/>
          <w:sz w:val="24"/>
          <w:szCs w:val="24"/>
          <w:lang w:val="zh-CN"/>
          <w14:textFill>
            <w14:solidFill>
              <w14:schemeClr w14:val="tx1"/>
            </w14:solidFill>
          </w14:textFill>
        </w:rPr>
      </w:pPr>
      <w:r>
        <w:rPr>
          <w:rFonts w:hint="eastAsia" w:ascii="宋体" w:hAnsi="宋体" w:cs="仿宋"/>
          <w:color w:val="000000" w:themeColor="text1"/>
          <w:sz w:val="24"/>
          <w:szCs w:val="24"/>
          <w:lang w:val="zh-CN"/>
          <w14:textFill>
            <w14:solidFill>
              <w14:schemeClr w14:val="tx1"/>
            </w14:solidFill>
          </w14:textFill>
        </w:rPr>
        <w:t xml:space="preserve">(1)服务过程中，新闻媒体曝光及群众投诉经查属实且有责任，造成严重后果的；</w:t>
      </w:r>
      <w:r/>
    </w:p>
    <w:p>
      <w:pPr>
        <w:ind w:firstLine="480"/>
        <w:spacing w:line="440" w:lineRule="exact"/>
        <w:rPr>
          <w:rFonts w:hint="eastAsia" w:ascii="宋体" w:hAnsi="宋体" w:cs="仿宋"/>
          <w:color w:val="000000" w:themeColor="text1"/>
          <w:sz w:val="24"/>
          <w:szCs w:val="24"/>
          <w:lang w:val="zh-CN"/>
          <w14:textFill>
            <w14:solidFill>
              <w14:schemeClr w14:val="tx1"/>
            </w14:solidFill>
          </w14:textFill>
        </w:rPr>
      </w:pPr>
      <w:r>
        <w:rPr>
          <w:rFonts w:hint="eastAsia" w:ascii="宋体" w:hAnsi="宋体" w:cs="仿宋"/>
          <w:color w:val="000000" w:themeColor="text1"/>
          <w:sz w:val="24"/>
          <w:szCs w:val="24"/>
          <w:lang w:val="zh-CN"/>
          <w14:textFill>
            <w14:solidFill>
              <w14:schemeClr w14:val="tx1"/>
            </w14:solidFill>
          </w14:textFill>
        </w:rPr>
        <w:t xml:space="preserve">(2)突发事件（如灾害性天气）或重大突发事件期间，无故不执行指令性任务或未按相关要求、标准完成任务的；</w:t>
      </w:r>
      <w:r/>
    </w:p>
    <w:p>
      <w:pPr>
        <w:ind w:firstLine="480"/>
        <w:spacing w:line="440" w:lineRule="exact"/>
        <w:rPr>
          <w:rFonts w:hint="eastAsia" w:ascii="宋体" w:hAnsi="宋体" w:cs="仿宋"/>
          <w:color w:val="000000" w:themeColor="text1"/>
          <w:sz w:val="24"/>
          <w:szCs w:val="24"/>
          <w:lang w:val="zh-CN"/>
          <w14:textFill>
            <w14:solidFill>
              <w14:schemeClr w14:val="tx1"/>
            </w14:solidFill>
          </w14:textFill>
        </w:rPr>
      </w:pPr>
      <w:r>
        <w:rPr>
          <w:rFonts w:hint="eastAsia" w:ascii="宋体" w:hAnsi="宋体" w:cs="仿宋"/>
          <w:color w:val="000000" w:themeColor="text1"/>
          <w:sz w:val="24"/>
          <w:szCs w:val="24"/>
          <w:lang w:val="zh-CN"/>
          <w14:textFill>
            <w14:solidFill>
              <w14:schemeClr w14:val="tx1"/>
            </w14:solidFill>
          </w14:textFill>
        </w:rPr>
        <w:t xml:space="preserve">(3)未经甲方同意，擅自将合同转让或进行分包的；</w:t>
      </w:r>
      <w:r/>
    </w:p>
    <w:p>
      <w:pPr>
        <w:pStyle w:val="1046"/>
        <w:ind w:firstLine="480"/>
        <w:spacing w:line="440" w:lineRule="exact"/>
        <w:rPr>
          <w:rFonts w:hint="eastAsia" w:cs="仿宋"/>
          <w:color w:val="000000" w:themeColor="text1"/>
          <w:szCs w:val="24"/>
          <w:lang w:val="zh-CN"/>
          <w14:textFill>
            <w14:solidFill>
              <w14:schemeClr w14:val="tx1"/>
            </w14:solidFill>
          </w14:textFill>
        </w:rPr>
      </w:pPr>
      <w:r>
        <w:rPr>
          <w:rFonts w:hint="eastAsia" w:cs="仿宋"/>
          <w:color w:val="000000" w:themeColor="text1"/>
          <w:szCs w:val="24"/>
          <w:lang w:val="zh-CN"/>
          <w14:textFill>
            <w14:solidFill>
              <w14:schemeClr w14:val="tx1"/>
            </w14:solidFill>
          </w14:textFill>
        </w:rPr>
        <w:t xml:space="preserve">(4)服务过程中违约情形多次发生的或者经书面通知仍不整改的；</w:t>
      </w:r>
      <w:r/>
    </w:p>
    <w:p>
      <w:pPr>
        <w:pStyle w:val="1046"/>
        <w:ind w:firstLine="480"/>
        <w:spacing w:line="440" w:lineRule="exact"/>
        <w:rPr>
          <w:rFonts w:hint="eastAsia" w:cs="仿宋"/>
          <w:color w:val="000000" w:themeColor="text1"/>
          <w:szCs w:val="24"/>
          <w:lang w:val="zh-CN"/>
          <w14:textFill>
            <w14:solidFill>
              <w14:schemeClr w14:val="tx1"/>
            </w14:solidFill>
          </w14:textFill>
        </w:rPr>
      </w:pPr>
      <w:r>
        <w:rPr>
          <w:rFonts w:hint="eastAsia" w:cs="仿宋"/>
          <w:color w:val="000000" w:themeColor="text1"/>
          <w:szCs w:val="24"/>
          <w:lang w:val="zh-CN"/>
          <w14:textFill>
            <w14:solidFill>
              <w14:schemeClr w14:val="tx1"/>
            </w14:solidFill>
          </w14:textFill>
        </w:rPr>
        <w:t xml:space="preserve">(5)</w:t>
      </w:r>
      <w:r>
        <w:rPr>
          <w:rFonts w:hint="eastAsia" w:cs="仿宋"/>
          <w:color w:val="000000" w:themeColor="text1"/>
          <w:lang w:val="zh-CN"/>
          <w14:textFill>
            <w14:solidFill>
              <w14:schemeClr w14:val="tx1"/>
            </w14:solidFill>
          </w14:textFill>
        </w:rPr>
        <w:t xml:space="preserve">乙方无故不听从甲方指挥，不及时拖移涉案车辆的，经书面通知仍不整改的；</w:t>
      </w:r>
      <w:r/>
    </w:p>
    <w:p>
      <w:pPr>
        <w:pStyle w:val="1046"/>
        <w:ind w:firstLine="480"/>
        <w:spacing w:line="440" w:lineRule="exact"/>
        <w:rPr>
          <w:rFonts w:hint="eastAsia"/>
          <w:color w:val="000000" w:themeColor="text1"/>
          <w:szCs w:val="24"/>
          <w:lang w:val="zh-CN"/>
          <w14:textFill>
            <w14:solidFill>
              <w14:schemeClr w14:val="tx1"/>
            </w14:solidFill>
          </w14:textFill>
        </w:rPr>
      </w:pPr>
      <w:r>
        <w:rPr>
          <w:rFonts w:hint="eastAsia" w:cs="仿宋"/>
          <w:color w:val="000000" w:themeColor="text1"/>
          <w:szCs w:val="24"/>
          <w:lang w:val="zh-CN"/>
          <w14:textFill>
            <w14:solidFill>
              <w14:schemeClr w14:val="tx1"/>
            </w14:solidFill>
          </w14:textFill>
        </w:rPr>
        <w:t xml:space="preserve">(6)其他重大违规现象。</w:t>
      </w:r>
      <w:r/>
    </w:p>
    <w:p>
      <w:pPr>
        <w:pStyle w:val="1045"/>
        <w:ind w:left="40" w:right="20" w:firstLine="482"/>
        <w:jc w:val="left"/>
        <w:spacing w:before="0" w:line="440" w:lineRule="exact"/>
        <w:shd w:val="clear" w:color="auto" w:fill="auto"/>
        <w:rPr>
          <w:rFonts w:hint="eastAsia" w:ascii="宋体" w:hAnsi="宋体" w:eastAsia="宋体" w:cs="仿宋"/>
          <w:b/>
          <w:bCs/>
          <w:color w:val="000000" w:themeColor="text1"/>
          <w:spacing w:val="0"/>
          <w:sz w:val="24"/>
          <w:szCs w:val="24"/>
          <w:lang w:val="zh-CN"/>
          <w14:textFill>
            <w14:solidFill>
              <w14:schemeClr w14:val="tx1"/>
            </w14:solidFill>
          </w14:textFill>
        </w:rPr>
      </w:pPr>
      <w:r>
        <w:rPr>
          <w:rFonts w:hint="eastAsia" w:ascii="宋体" w:hAnsi="宋体" w:eastAsia="宋体" w:cs="仿宋"/>
          <w:b/>
          <w:bCs/>
          <w:color w:val="000000" w:themeColor="text1"/>
          <w:spacing w:val="0"/>
          <w:sz w:val="24"/>
          <w:szCs w:val="24"/>
          <w:lang w:val="zh-CN"/>
          <w14:textFill>
            <w14:solidFill>
              <w14:schemeClr w14:val="tx1"/>
            </w14:solidFill>
          </w14:textFill>
        </w:rPr>
        <w:t xml:space="preserve">九、其他</w:t>
      </w:r>
      <w:r/>
    </w:p>
    <w:p>
      <w:pPr>
        <w:pStyle w:val="671"/>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1、乙方所有服务人员的人身安全均由乙方承担，发生任何意外情况与甲方无关。</w:t>
      </w:r>
      <w:r/>
    </w:p>
    <w:p>
      <w:pPr>
        <w:pStyle w:val="671"/>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2、涉及危化品的车辆统一停放至专业停车场停放保管；涉及超限超载车辆统一停放至符合条件的超限超载联合治超站（点）停放保管。</w:t>
      </w:r>
      <w:r/>
    </w:p>
    <w:p>
      <w:pPr>
        <w:pStyle w:val="671"/>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3、招标文件、投标文件、合同条款及中标通知书，乙方在投标、评标过程中所作其它有关承诺、声明、书面澄清等均为合同不可分割的部分，与主合同具有同等法律效力。</w:t>
      </w:r>
      <w:r/>
    </w:p>
    <w:p>
      <w:pPr>
        <w:pStyle w:val="671"/>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4、本合同履行如有异议，解释权归甲方。合同一式伍份，甲、乙方各执二份、其余存档，经甲、乙双方代表签字盖章后生效。</w:t>
      </w:r>
      <w:r/>
    </w:p>
    <w:p>
      <w:pPr>
        <w:pStyle w:val="671"/>
        <w:spacing w:line="440" w:lineRule="exac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1045"/>
        <w:ind w:left="621" w:hanging="600"/>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甲方单位名称：（印章)                    乙方单位名称：（印章)</w:t>
      </w:r>
      <w:r/>
    </w:p>
    <w:p>
      <w:pPr>
        <w:pStyle w:val="1045"/>
        <w:ind w:left="621" w:hanging="600"/>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单位地址：                              单位地址：</w:t>
      </w:r>
      <w:r/>
    </w:p>
    <w:p>
      <w:pPr>
        <w:pStyle w:val="1045"/>
        <w:ind w:firstLine="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法定代表人：                            法定代表人：</w:t>
      </w:r>
      <w:r/>
    </w:p>
    <w:p>
      <w:pPr>
        <w:pStyle w:val="1045"/>
        <w:ind w:firstLine="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委托代理人：                            委托代理人：</w:t>
      </w:r>
      <w:r/>
    </w:p>
    <w:p>
      <w:pPr>
        <w:pStyle w:val="1045"/>
        <w:ind w:firstLine="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联系电话：                               联系电话：</w:t>
      </w:r>
      <w:r/>
    </w:p>
    <w:p>
      <w:pPr>
        <w:pStyle w:val="1045"/>
        <w:ind w:left="210" w:firstLine="720"/>
        <w:jc w:val="left"/>
        <w:spacing w:before="0" w:line="440" w:lineRule="exact"/>
        <w:shd w:val="clear" w:color="auto" w:fill="auto"/>
        <w:rPr>
          <w:rFonts w:hint="eastAsia" w:ascii="宋体" w:hAnsi="宋体" w:eastAsia="宋体" w:cs="仿宋"/>
          <w:color w:val="000000" w:themeColor="text1"/>
          <w:spacing w:val="0"/>
          <w:sz w:val="24"/>
          <w:szCs w:val="24"/>
          <w:lang w:val="zh-CN"/>
          <w14:textFill>
            <w14:solidFill>
              <w14:schemeClr w14:val="tx1"/>
            </w14:solidFill>
          </w14:textFill>
        </w:rPr>
      </w:pPr>
      <w:r>
        <w:rPr>
          <w:rFonts w:hint="eastAsia" w:ascii="宋体" w:hAnsi="宋体" w:eastAsia="宋体" w:cs="仿宋"/>
          <w:color w:val="000000" w:themeColor="text1"/>
          <w:spacing w:val="0"/>
          <w:sz w:val="24"/>
          <w:szCs w:val="24"/>
          <w:lang w:val="zh-CN"/>
          <w14:textFill>
            <w14:solidFill>
              <w14:schemeClr w14:val="tx1"/>
            </w14:solidFill>
          </w14:textFill>
        </w:rPr>
        <w:t xml:space="preserve">年  月  日                              年   月   日</w:t>
      </w:r>
      <w:r/>
    </w:p>
    <w:p>
      <w:pPr>
        <w:spacing w:line="440" w:lineRule="exact"/>
        <w:rPr>
          <w:rFonts w:hint="eastAsia" w:ascii="宋体" w:hAnsi="宋体"/>
          <w:b/>
          <w:bCs/>
          <w:color w:val="000000" w:themeColor="text1"/>
          <w:sz w:val="36"/>
          <w:szCs w:val="40"/>
          <w14:textFill>
            <w14:solidFill>
              <w14:schemeClr w14:val="tx1"/>
            </w14:solidFill>
          </w14:textFill>
        </w:rPr>
      </w:pPr>
      <w:r>
        <w:rPr>
          <w:rFonts w:hint="eastAsia" w:ascii="宋体" w:hAnsi="宋体"/>
          <w:b/>
          <w:bCs/>
          <w:color w:val="000000" w:themeColor="text1"/>
          <w:sz w:val="36"/>
          <w:szCs w:val="40"/>
          <w14:textFill>
            <w14:solidFill>
              <w14:schemeClr w14:val="tx1"/>
            </w14:solidFill>
          </w14:textFill>
        </w:rPr>
      </w:r>
      <w:r/>
    </w:p>
    <w:p>
      <w:pPr>
        <w:jc w:val="center"/>
        <w:rPr>
          <w:rFonts w:hint="eastAsia" w:ascii="宋体" w:hAnsi="宋体"/>
          <w:b/>
          <w:bCs/>
          <w:color w:val="000000" w:themeColor="text1"/>
          <w:sz w:val="36"/>
          <w:szCs w:val="40"/>
          <w14:textFill>
            <w14:solidFill>
              <w14:schemeClr w14:val="tx1"/>
            </w14:solidFill>
          </w14:textFill>
        </w:rPr>
      </w:pPr>
      <w:r>
        <w:rPr>
          <w:rFonts w:hint="eastAsia" w:ascii="宋体" w:hAnsi="宋体"/>
          <w:b/>
          <w:bCs/>
          <w:color w:val="000000" w:themeColor="text1"/>
          <w:sz w:val="36"/>
          <w:szCs w:val="40"/>
          <w14:textFill>
            <w14:solidFill>
              <w14:schemeClr w14:val="tx1"/>
            </w14:solidFill>
          </w14:textFill>
        </w:rPr>
      </w:r>
      <w:r/>
    </w:p>
    <w:p>
      <w:pPr>
        <w:jc w:val="center"/>
        <w:rPr>
          <w:rFonts w:hint="eastAsia" w:ascii="宋体" w:hAnsi="宋体"/>
          <w:b/>
          <w:bCs/>
          <w:color w:val="000000" w:themeColor="text1"/>
          <w:sz w:val="36"/>
          <w:szCs w:val="40"/>
          <w14:textFill>
            <w14:solidFill>
              <w14:schemeClr w14:val="tx1"/>
            </w14:solidFill>
          </w14:textFill>
        </w:rPr>
      </w:pPr>
      <w:r>
        <w:rPr>
          <w:rFonts w:hint="eastAsia" w:ascii="宋体" w:hAnsi="宋体"/>
          <w:b/>
          <w:bCs/>
          <w:color w:val="000000" w:themeColor="text1"/>
          <w:sz w:val="36"/>
          <w:szCs w:val="40"/>
          <w14:textFill>
            <w14:solidFill>
              <w14:schemeClr w14:val="tx1"/>
            </w14:solidFill>
          </w14:textFill>
        </w:rPr>
      </w:r>
      <w:r/>
    </w:p>
    <w:p>
      <w:pPr>
        <w:jc w:val="center"/>
        <w:rPr>
          <w:rFonts w:hint="eastAsia" w:ascii="宋体" w:hAnsi="宋体"/>
          <w:b/>
          <w:bCs/>
          <w:color w:val="000000" w:themeColor="text1"/>
          <w:sz w:val="36"/>
          <w:szCs w:val="40"/>
          <w14:textFill>
            <w14:solidFill>
              <w14:schemeClr w14:val="tx1"/>
            </w14:solidFill>
          </w14:textFill>
        </w:rPr>
      </w:pPr>
      <w:r>
        <w:rPr>
          <w:rFonts w:hint="eastAsia" w:ascii="宋体" w:hAnsi="宋体"/>
          <w:b/>
          <w:bCs/>
          <w:color w:val="000000" w:themeColor="text1"/>
          <w:sz w:val="36"/>
          <w:szCs w:val="40"/>
          <w14:textFill>
            <w14:solidFill>
              <w14:schemeClr w14:val="tx1"/>
            </w14:solidFill>
          </w14:textFill>
        </w:rPr>
      </w:r>
      <w:r/>
    </w:p>
    <w:p>
      <w:pPr>
        <w:jc w:val="center"/>
        <w:keepLines/>
        <w:keepNext/>
        <w:spacing w:line="360" w:lineRule="auto"/>
        <w:rPr>
          <w:rFonts w:hint="eastAsia" w:cs="微软雅黑" w:asciiTheme="minorEastAsia" w:hAnsiTheme="minorEastAsia" w:eastAsiaTheme="minorEastAsia"/>
          <w:color w:val="000000" w:themeColor="text1"/>
          <w:sz w:val="36"/>
          <w:szCs w:val="36"/>
          <w14:textFill>
            <w14:solidFill>
              <w14:schemeClr w14:val="tx1"/>
            </w14:solidFill>
          </w14:textFill>
        </w:rPr>
        <w:outlineLvl w:val="0"/>
      </w:pPr>
      <w:r>
        <w:rPr>
          <w:rFonts w:ascii="宋体" w:hAnsi="宋体"/>
          <w:b/>
          <w:bCs/>
          <w:color w:val="000000" w:themeColor="text1"/>
          <w:sz w:val="36"/>
          <w:szCs w:val="40"/>
          <w14:textFill>
            <w14:solidFill>
              <w14:schemeClr w14:val="tx1"/>
            </w14:solidFill>
          </w14:textFill>
        </w:rPr>
        <w:br w:type="page" w:clear="all"/>
      </w:r>
      <w:bookmarkStart w:id="171" w:name="_Toc129099954"/>
      <w:r/>
      <w:bookmarkStart w:id="172" w:name="_Toc25476"/>
      <w:r>
        <w:rPr>
          <w:rFonts w:hint="eastAsia" w:cs="微软雅黑" w:asciiTheme="minorEastAsia" w:hAnsiTheme="minorEastAsia" w:eastAsiaTheme="minorEastAsia"/>
          <w:color w:val="000000" w:themeColor="text1"/>
          <w:sz w:val="36"/>
          <w:szCs w:val="36"/>
          <w14:textFill>
            <w14:solidFill>
              <w14:schemeClr w14:val="tx1"/>
            </w14:solidFill>
          </w14:textFill>
        </w:rPr>
        <w:t xml:space="preserve">第六章 项目采购需求</w:t>
      </w:r>
      <w:bookmarkEnd w:id="171"/>
      <w:r/>
      <w:bookmarkEnd w:id="172"/>
      <w:r/>
      <w:r/>
    </w:p>
    <w:p>
      <w:pPr>
        <w:ind w:firstLine="480"/>
        <w:jc w:val="left"/>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bookmarkStart w:id="173" w:name="_Hlk111209970"/>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为规范靖江市公安局交管部门交通违法、交通事故车辆停放管理，做好交</w:t>
      </w: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通违法车辆的清障拖移以及对交通事故车辆救援施救工作。根据《中华人民共和国行政强制法》、《中华人民共和国道路交通安全法》、《中华人民共和国政府采购法》等有关法律、法规，结合工作实际，通过政府采购，确定交管涉案车辆定点停车场。根据法律法规和公安部规章的规定，公安交管部门依法扣押的交通事故车辆和交通违法车辆，作为涉案车辆，应按规定停放或拖移停放至指定停车场。此次招标通过政府购买服务的形式，确定合格的社会化综合停车场用于涉案车辆停放；同时协助交管部门做好对涉案车辆的清障拖移工作以及对发生交通事故车辆的救援施救工作。</w:t>
      </w:r>
      <w:r/>
    </w:p>
    <w:p>
      <w:pPr>
        <w:pStyle w:val="1045"/>
        <w:ind w:firstLine="480"/>
        <w:spacing w:before="0" w:line="360" w:lineRule="auto"/>
        <w:shd w:val="clear" w:color="auto" w:fill="auto"/>
        <w:rPr>
          <w:rFonts w:hint="eastAsia" w:cs="仿宋" w:asciiTheme="minorEastAsia" w:hAnsiTheme="minorEastAsia" w:eastAsiaTheme="minorEastAsia"/>
          <w:b/>
          <w:bCs/>
          <w:color w:val="000000" w:themeColor="text1"/>
          <w:spacing w:val="0"/>
          <w:sz w:val="24"/>
          <w:szCs w:val="24"/>
          <w14:textFill>
            <w14:solidFill>
              <w14:schemeClr w14:val="tx1"/>
            </w14:solidFill>
          </w14:textFill>
        </w:rPr>
      </w:pPr>
      <w:r>
        <w:rPr>
          <w:rFonts w:hint="eastAsia" w:cs="仿宋" w:asciiTheme="minorEastAsia" w:hAnsiTheme="minorEastAsia" w:eastAsiaTheme="minorEastAsia"/>
          <w:b/>
          <w:bCs/>
          <w:color w:val="000000" w:themeColor="text1"/>
          <w:spacing w:val="0"/>
          <w:sz w:val="24"/>
          <w:szCs w:val="24"/>
          <w:lang w:val="zh-CN"/>
          <w14:textFill>
            <w14:solidFill>
              <w14:schemeClr w14:val="tx1"/>
            </w14:solidFill>
          </w14:textFill>
        </w:rPr>
        <w:t xml:space="preserve">一、</w:t>
      </w:r>
      <w:r>
        <w:rPr>
          <w:rFonts w:hint="eastAsia" w:cs="仿宋" w:asciiTheme="minorEastAsia" w:hAnsiTheme="minorEastAsia" w:eastAsiaTheme="minorEastAsia"/>
          <w:b/>
          <w:bCs/>
          <w:color w:val="000000" w:themeColor="text1"/>
          <w:spacing w:val="0"/>
          <w:sz w:val="24"/>
          <w:szCs w:val="24"/>
          <w14:textFill>
            <w14:solidFill>
              <w14:schemeClr w14:val="tx1"/>
            </w14:solidFill>
          </w14:textFill>
        </w:rPr>
        <w:t xml:space="preserve">项目概况</w:t>
      </w:r>
      <w:r/>
    </w:p>
    <w:p>
      <w:pPr>
        <w:ind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本着服务群众，方便群众、规范执法的宗旨，结合交管部门9个辖区中队管辖范围，分以下六个采购包，①采购包1：预算金额24.22万元（区域：斜桥中队、西来中队）；②采购包2：预算金额24.22万元（区域：新桥中队、生祠中队）；③采购包3：预算金额22.95万元（区域：城区三中队、八圩中队）；④采购包4：预算金额21.68万元（区域：城区二中队）；⑤采购包5：预算金额20.4万元（区域：城区一中队）；⑥采购包6：预算金额14.03万元（区域：孤山中队）。</w:t>
      </w:r>
      <w:r>
        <w:rPr>
          <w:rFonts w:hint="eastAsia" w:cs="仿宋" w:asciiTheme="minorEastAsia" w:hAnsiTheme="minorEastAsia" w:eastAsiaTheme="minorEastAsia"/>
          <w:b/>
          <w:bCs/>
          <w:color w:val="000000" w:themeColor="text1"/>
          <w:sz w:val="24"/>
          <w:szCs w:val="24"/>
          <w:lang w:val="zh-CN"/>
          <w14:textFill>
            <w14:solidFill>
              <w14:schemeClr w14:val="tx1"/>
            </w14:solidFill>
          </w14:textFill>
        </w:rPr>
        <w:t xml:space="preserve">本项目共分为六个采购包，供应商可以投一个或多个采购包，但仅允许中一个采购包。评标按采购包序号顺序进行，先评审并确定采购包1中标人（或第一中标候选人），该投标供应商在其他采购包的投标文件直接判定为无效投标，不再进入其他采购包评审，以此类推。因无法预测每个采购包的实际结算金额，最终结算按实结算，</w:t>
      </w:r>
      <w:r>
        <w:rPr>
          <w:rFonts w:hint="eastAsia" w:cs="仿宋" w:asciiTheme="minorEastAsia" w:hAnsiTheme="minorEastAsia" w:eastAsiaTheme="minorEastAsia"/>
          <w:b/>
          <w:bCs/>
          <w:color w:val="000000" w:themeColor="text1"/>
          <w:sz w:val="24"/>
          <w:szCs w:val="24"/>
          <w:lang w:val="zh-CN"/>
          <w14:textFill>
            <w14:solidFill>
              <w14:schemeClr w14:val="tx1"/>
            </w14:solidFill>
          </w14:textFill>
        </w:rPr>
        <w:t xml:space="preserve">但所有采购包的结算总价不得超过127.5万元。</w:t>
      </w:r>
      <w:r/>
    </w:p>
    <w:p>
      <w:pPr>
        <w:ind w:firstLine="480"/>
        <w:spacing w:line="360" w:lineRule="auto"/>
        <w:rPr>
          <w:rFonts w:hint="eastAsia" w:cs="仿宋" w:asciiTheme="minorEastAsia" w:hAnsiTheme="minorEastAsia" w:eastAsiaTheme="minorEastAsia"/>
          <w:b/>
          <w:bCs/>
          <w:color w:val="000000" w:themeColor="text1"/>
          <w:sz w:val="24"/>
          <w:szCs w:val="24"/>
          <w:lang w:val="zh-CN"/>
          <w14:textFill>
            <w14:solidFill>
              <w14:schemeClr w14:val="tx1"/>
            </w14:solidFill>
          </w14:textFill>
        </w:rPr>
      </w:pPr>
      <w:r>
        <w:rPr>
          <w:rFonts w:hint="eastAsia" w:cs="仿宋" w:asciiTheme="minorEastAsia" w:hAnsiTheme="minorEastAsia" w:eastAsiaTheme="minorEastAsia"/>
          <w:b/>
          <w:bCs/>
          <w:color w:val="000000" w:themeColor="text1"/>
          <w:sz w:val="24"/>
          <w:szCs w:val="24"/>
          <w:lang w:val="zh-CN"/>
          <w14:textFill>
            <w14:solidFill>
              <w14:schemeClr w14:val="tx1"/>
            </w14:solidFill>
          </w14:textFill>
        </w:rPr>
        <w:t xml:space="preserve">合同履行期限：一年；</w:t>
      </w:r>
      <w:r/>
    </w:p>
    <w:p>
      <w:pPr>
        <w:ind w:firstLine="480"/>
        <w:spacing w:line="360" w:lineRule="auto"/>
        <w:rPr>
          <w:rFonts w:hint="eastAsia" w:cs="仿宋" w:asciiTheme="minorEastAsia" w:hAnsiTheme="minorEastAsia" w:eastAsiaTheme="minorEastAsia"/>
          <w:b/>
          <w:bCs/>
          <w:color w:val="000000" w:themeColor="text1"/>
          <w:sz w:val="24"/>
          <w:szCs w:val="24"/>
          <w:lang w:val="zh-CN"/>
          <w14:textFill>
            <w14:solidFill>
              <w14:schemeClr w14:val="tx1"/>
            </w14:solidFill>
          </w14:textFill>
        </w:rPr>
      </w:pPr>
      <w:r>
        <w:rPr>
          <w:rFonts w:hint="eastAsia" w:cs="仿宋" w:asciiTheme="minorEastAsia" w:hAnsiTheme="minorEastAsia" w:eastAsiaTheme="minorEastAsia"/>
          <w:b/>
          <w:bCs/>
          <w:color w:val="000000" w:themeColor="text1"/>
          <w:sz w:val="24"/>
          <w:szCs w:val="24"/>
          <w:lang w:val="zh-CN"/>
          <w14:textFill>
            <w14:solidFill>
              <w14:schemeClr w14:val="tx1"/>
            </w14:solidFill>
          </w14:textFill>
        </w:rPr>
        <w:t xml:space="preserve">本项目（是/否）接受联合体投标：否。</w:t>
      </w:r>
      <w:bookmarkEnd w:id="173"/>
      <w:r/>
    </w:p>
    <w:p>
      <w:pPr>
        <w:ind w:firstLine="480"/>
        <w:spacing w:line="360" w:lineRule="auto"/>
        <w:rPr>
          <w:rFonts w:hint="eastAsia" w:cs="仿宋" w:asciiTheme="minorEastAsia" w:hAnsiTheme="minorEastAsia" w:eastAsiaTheme="minorEastAsia"/>
          <w:b/>
          <w:bCs/>
          <w:color w:val="000000" w:themeColor="text1"/>
          <w:sz w:val="24"/>
          <w:szCs w:val="24"/>
          <w:lang w:val="zh-CN"/>
          <w14:textFill>
            <w14:solidFill>
              <w14:schemeClr w14:val="tx1"/>
            </w14:solidFill>
          </w14:textFill>
        </w:rPr>
      </w:pPr>
      <w:r/>
      <w:bookmarkStart w:id="174" w:name="_Toc129099955"/>
      <w:r>
        <w:rPr>
          <w:rFonts w:hint="eastAsia" w:cs="仿宋" w:asciiTheme="minorEastAsia" w:hAnsiTheme="minorEastAsia" w:eastAsiaTheme="minorEastAsia"/>
          <w:b/>
          <w:bCs/>
          <w:color w:val="000000" w:themeColor="text1"/>
          <w:sz w:val="24"/>
          <w:szCs w:val="24"/>
          <w:lang w:val="zh-CN"/>
          <w14:textFill>
            <w14:solidFill>
              <w14:schemeClr w14:val="tx1"/>
            </w14:solidFill>
          </w14:textFill>
        </w:rPr>
        <w:t xml:space="preserve">二、涉案车辆停车场为综合停车场是指 </w:t>
      </w:r>
      <w:r/>
    </w:p>
    <w:p>
      <w:pPr>
        <w:ind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在满足具有能停放保管一般交通违法车辆的软硬件条件时，还要具备交通事故抢险条件的停车场。</w:t>
      </w:r>
      <w:r/>
    </w:p>
    <w:p>
      <w:pPr>
        <w:ind w:firstLine="480"/>
        <w:spacing w:line="360" w:lineRule="auto"/>
        <w:rPr>
          <w:rFonts w:hint="eastAsia" w:cs="仿宋" w:asciiTheme="minorEastAsia" w:hAnsiTheme="minorEastAsia" w:eastAsiaTheme="minorEastAsia"/>
          <w:b/>
          <w:bCs/>
          <w:color w:val="000000" w:themeColor="text1"/>
          <w:sz w:val="24"/>
          <w:szCs w:val="24"/>
          <w:lang w:val="zh-CN"/>
          <w14:textFill>
            <w14:solidFill>
              <w14:schemeClr w14:val="tx1"/>
            </w14:solidFill>
          </w14:textFill>
        </w:rPr>
      </w:pPr>
      <w:r>
        <w:rPr>
          <w:rFonts w:hint="eastAsia" w:cs="仿宋" w:asciiTheme="minorEastAsia" w:hAnsiTheme="minorEastAsia" w:eastAsiaTheme="minorEastAsia"/>
          <w:b/>
          <w:bCs/>
          <w:color w:val="000000" w:themeColor="text1"/>
          <w:sz w:val="24"/>
          <w:szCs w:val="24"/>
          <w:lang w:val="zh-CN"/>
          <w14:textFill>
            <w14:solidFill>
              <w14:schemeClr w14:val="tx1"/>
            </w14:solidFill>
          </w14:textFill>
        </w:rPr>
        <w:t xml:space="preserve">三、综合停车场应具备如下条件</w:t>
      </w:r>
      <w:r/>
    </w:p>
    <w:p>
      <w:pPr>
        <w:ind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（一）硬件设施</w:t>
      </w:r>
      <w:r/>
    </w:p>
    <w:p>
      <w:pPr>
        <w:ind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1、具有专门的办公场所和不低于2000平发米的停车场地，停车场地相对封闭，便于车辆停放的管理；停车场内区域划分明确、合理， 应能够按照不同车型分类停放，做到整齐有序，便于清理和统计；</w:t>
      </w:r>
      <w:r/>
    </w:p>
    <w:p>
      <w:pPr>
        <w:ind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2、车辆停放区域应设置遮阴棚等车辆保管设施，做到妥善保管；同时配备灭火器、消防栓等基本的治安防范、消防设施，确保停放车辆的安全；</w:t>
      </w:r>
      <w:r/>
    </w:p>
    <w:p>
      <w:pPr>
        <w:ind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w:t>
      </w: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作为治超站、点的停车场，应能满足重载半挂车的停放，场内应至少可容纳2-3辆重型半挂车进出，同时应建立相应的驳载和仓储区域；应具备相应的驳载设备和人员，仓储区域应有相应的防雨、防火和防盗等防护设施，确保物资的安全；</w:t>
      </w:r>
      <w:r/>
    </w:p>
    <w:p>
      <w:pPr>
        <w:ind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4</w:t>
      </w: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应配备至少1辆专用清障车及相应的清障设施，且车辆检验、保险等手续齐全，车辆安全技术状况良好；车辆购买交强险外，还要有不少于100万元的第三者责任险，救援随车装备配备齐全：警示标志、反光锥捅、枕木、拖车辅助轮等。</w:t>
      </w:r>
      <w:r/>
    </w:p>
    <w:p>
      <w:pPr>
        <w:ind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w:t>
      </w: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、场内应安装视频监控，应有互联网连接端口，保证监控设施能接入公安部门的监管平台，便于监管。</w:t>
      </w:r>
      <w:r/>
    </w:p>
    <w:p>
      <w:pPr>
        <w:ind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（二）软件设施</w:t>
      </w:r>
      <w:r/>
    </w:p>
    <w:p>
      <w:pPr>
        <w:ind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1、具备停车场资质，提供有效的营业执照等资质文件；</w:t>
      </w:r>
      <w:r/>
    </w:p>
    <w:p>
      <w:pPr>
        <w:ind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2、停车场企业法人、负责人或管理人信用良好，无刑事犯罪记录；停车场用人管理符合劳动部门的规定，无劳资纠纷；</w:t>
      </w:r>
      <w:r/>
    </w:p>
    <w:p>
      <w:pPr>
        <w:ind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3、停车场方有较好的风险承担能力，场内财物及工作人员应投保相关意外保险；</w:t>
      </w:r>
      <w:r/>
    </w:p>
    <w:p>
      <w:pPr>
        <w:ind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4、应有专人做好车辆的进、出登记；认真按管理部门的要求做好车辆的保管登记工作，场内有专人做好防火、防盗等安全工作；</w:t>
      </w:r>
      <w:r/>
    </w:p>
    <w:p>
      <w:pPr>
        <w:ind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5、工作人员应做到服装统一、管理规范，安全防护设备齐全；应定期组织相关人员进行学习、培训，不断提高相关人员的业务技能；</w:t>
      </w:r>
      <w:r/>
    </w:p>
    <w:p>
      <w:pPr>
        <w:ind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6、在接到指派指令后，应能在20分钟内到达指令地点；按照规范要求完成车辆入库停放工作。</w:t>
      </w:r>
      <w:r/>
    </w:p>
    <w:p>
      <w:pPr>
        <w:ind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在以上应具备一般性停车场的条件情况下，还应具备以下条件：</w:t>
      </w:r>
      <w:r/>
    </w:p>
    <w:p>
      <w:pPr>
        <w:ind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1、应配备足够的事故抢险装备，包括车辆、能及时联系到叉车、吊车等专用清障设备，满足事故抢险的要求；</w:t>
      </w:r>
      <w:r/>
    </w:p>
    <w:p>
      <w:pPr>
        <w:ind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2、事故抢险救援人员应配备充足，按照服务1个基层中队为基数，每班次应配备不少于2名事故抢险人员，按照四班三运转的工作模式，确保事故抢险施救及时、规范；</w:t>
      </w:r>
      <w:r/>
    </w:p>
    <w:p>
      <w:pPr>
        <w:ind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3、应具备良好的风险承担能力，场地及人员应额外投保相关保险；</w:t>
      </w:r>
      <w:r/>
    </w:p>
    <w:p>
      <w:pPr>
        <w:ind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4、事故车辆的停放应与交通违法车辆分开停放，对涉及关键证据的车辆应有条件能封闭保存；</w:t>
      </w:r>
      <w:r/>
    </w:p>
    <w:p>
      <w:pPr>
        <w:ind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5、事故抢险车辆应配备足够的安全防护装备，包括反光锥筒、警示灯、灭火器等；</w:t>
      </w:r>
      <w:r/>
    </w:p>
    <w:p>
      <w:pPr>
        <w:ind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6、事故抢险人员应接受过系统专业的安全作业培训，具备一定的事故抢险、专业施救等工作经验，能较好地按规范要求开展事故抢险作业。</w:t>
      </w:r>
      <w:r/>
    </w:p>
    <w:p>
      <w:pPr>
        <w:ind w:firstLine="480"/>
        <w:spacing w:line="360" w:lineRule="auto"/>
        <w:rPr>
          <w:rFonts w:hint="eastAsia" w:cs="仿宋" w:asciiTheme="minorEastAsia" w:hAnsiTheme="minorEastAsia" w:eastAsiaTheme="minorEastAsia"/>
          <w:b/>
          <w:bCs/>
          <w:color w:val="000000" w:themeColor="text1"/>
          <w:sz w:val="24"/>
          <w:szCs w:val="24"/>
          <w:lang w:val="zh-CN"/>
          <w14:textFill>
            <w14:solidFill>
              <w14:schemeClr w14:val="tx1"/>
            </w14:solidFill>
          </w14:textFill>
        </w:rPr>
      </w:pPr>
      <w:r>
        <w:rPr>
          <w:rFonts w:hint="eastAsia" w:cs="仿宋" w:asciiTheme="minorEastAsia" w:hAnsiTheme="minorEastAsia" w:eastAsiaTheme="minorEastAsia"/>
          <w:b/>
          <w:bCs/>
          <w:color w:val="000000" w:themeColor="text1"/>
          <w:sz w:val="24"/>
          <w:szCs w:val="24"/>
          <w:lang w:val="zh-CN"/>
          <w14:textFill>
            <w14:solidFill>
              <w14:schemeClr w14:val="tx1"/>
            </w14:solidFill>
          </w14:textFill>
        </w:rPr>
        <w:t xml:space="preserve">四、委托停放保管车辆范围</w:t>
      </w:r>
      <w:r/>
    </w:p>
    <w:p>
      <w:pPr>
        <w:ind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停放保管因交通事故、交通违法以及其它法定情形由交管部门扣留、扣押、拖移的车辆。</w:t>
      </w:r>
      <w:r/>
    </w:p>
    <w:p>
      <w:pPr>
        <w:ind w:firstLine="480"/>
        <w:spacing w:line="360" w:lineRule="auto"/>
        <w:rPr>
          <w:rFonts w:hint="eastAsia" w:cs="仿宋" w:asciiTheme="minorEastAsia" w:hAnsiTheme="minorEastAsia" w:eastAsiaTheme="minorEastAsia"/>
          <w:b/>
          <w:bCs/>
          <w:color w:val="000000" w:themeColor="text1"/>
          <w:sz w:val="24"/>
          <w:szCs w:val="24"/>
          <w:lang w:val="zh-CN"/>
          <w14:textFill>
            <w14:solidFill>
              <w14:schemeClr w14:val="tx1"/>
            </w14:solidFill>
          </w14:textFill>
        </w:rPr>
      </w:pPr>
      <w:r>
        <w:rPr>
          <w:rFonts w:hint="eastAsia" w:cs="仿宋" w:asciiTheme="minorEastAsia" w:hAnsiTheme="minorEastAsia" w:eastAsiaTheme="minorEastAsia"/>
          <w:b/>
          <w:bCs/>
          <w:color w:val="000000" w:themeColor="text1"/>
          <w:sz w:val="24"/>
          <w:szCs w:val="24"/>
          <w:lang w:val="zh-CN"/>
          <w14:textFill>
            <w14:solidFill>
              <w14:schemeClr w14:val="tx1"/>
            </w14:solidFill>
          </w14:textFill>
        </w:rPr>
        <w:t xml:space="preserve">五、交管部门应支付的费用</w:t>
      </w:r>
      <w:r/>
    </w:p>
    <w:p>
      <w:pPr>
        <w:ind w:left="40" w:right="20" w:firstLine="480"/>
        <w:jc w:val="left"/>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1、甲方依法扣留、扣押的</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交通违法及交通</w:t>
      </w: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事故车辆的停放保管费用；</w:t>
      </w:r>
      <w:r/>
    </w:p>
    <w:p>
      <w:pPr>
        <w:ind w:left="40" w:right="20" w:firstLine="480"/>
        <w:jc w:val="left"/>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2、甲方因依法扣留、扣押车辆而产生的拖移费用；</w:t>
      </w:r>
      <w:r/>
    </w:p>
    <w:p>
      <w:pPr>
        <w:ind w:left="40" w:right="20" w:firstLine="480"/>
        <w:jc w:val="left"/>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3、甲方依法扣留、扣押的除违停以外的其它交通违法车辆的停放保管费用。</w:t>
      </w:r>
      <w:r/>
    </w:p>
    <w:p>
      <w:pPr>
        <w:ind w:left="1"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六、由停车场与当事人协商收取的费用</w:t>
      </w:r>
      <w:r/>
    </w:p>
    <w:p>
      <w:pPr>
        <w:ind w:left="1"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1、违法停放车辆被拖移至停车场产生的停放保管费用；</w:t>
      </w:r>
      <w:r/>
    </w:p>
    <w:p>
      <w:pPr>
        <w:ind w:left="1"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2、当事人未按交管部门通知要求，逾期领取车辆产生的停放保管费用；</w:t>
      </w:r>
      <w:r/>
    </w:p>
    <w:p>
      <w:pPr>
        <w:ind w:left="1" w:firstLine="48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w:t>
      </w: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当事人发生交通事故，因排除妨碍而产生的施救费。</w:t>
      </w:r>
      <w:r/>
    </w:p>
    <w:p>
      <w:pPr>
        <w:ind w:left="1" w:firstLine="480"/>
        <w:spacing w:line="360" w:lineRule="auto"/>
        <w:rPr>
          <w:rFonts w:hint="eastAsia" w:cs="仿宋" w:asciiTheme="minorEastAsia" w:hAnsiTheme="minorEastAsia" w:eastAsiaTheme="minorEastAsia"/>
          <w:b/>
          <w:bCs/>
          <w:color w:val="000000" w:themeColor="text1"/>
          <w:sz w:val="24"/>
          <w:szCs w:val="24"/>
          <w:lang w:val="zh-CN"/>
          <w14:textFill>
            <w14:solidFill>
              <w14:schemeClr w14:val="tx1"/>
            </w14:solidFill>
          </w14:textFill>
        </w:rPr>
      </w:pPr>
      <w:r>
        <w:rPr>
          <w:rFonts w:hint="eastAsia" w:cs="仿宋" w:asciiTheme="minorEastAsia" w:hAnsiTheme="minorEastAsia" w:eastAsiaTheme="minorEastAsia"/>
          <w:b/>
          <w:bCs/>
          <w:color w:val="000000" w:themeColor="text1"/>
          <w:sz w:val="24"/>
          <w:szCs w:val="24"/>
          <w:lang w:val="zh-CN"/>
          <w14:textFill>
            <w14:solidFill>
              <w14:schemeClr w14:val="tx1"/>
            </w14:solidFill>
          </w14:textFill>
        </w:rPr>
        <w:t xml:space="preserve">七、费用支付的例外情形</w:t>
      </w:r>
      <w:r/>
    </w:p>
    <w:p>
      <w:pPr>
        <w:ind w:left="1"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当事人逾期未接受处理或无人认领的车辆从逾期之日起的超期停放保管费用。</w:t>
      </w:r>
      <w:r/>
    </w:p>
    <w:p>
      <w:pPr>
        <w:ind w:left="1" w:firstLine="480"/>
        <w:spacing w:line="360" w:lineRule="auto"/>
        <w:rPr>
          <w:rFonts w:hint="eastAsia" w:cs="仿宋" w:asciiTheme="minorEastAsia" w:hAnsiTheme="minorEastAsia" w:eastAsiaTheme="minorEastAsia"/>
          <w:b/>
          <w:bCs/>
          <w:color w:val="000000" w:themeColor="text1"/>
          <w:sz w:val="24"/>
          <w:szCs w:val="24"/>
          <w:lang w:val="zh-CN"/>
          <w14:textFill>
            <w14:solidFill>
              <w14:schemeClr w14:val="tx1"/>
            </w14:solidFill>
          </w14:textFill>
        </w:rPr>
      </w:pPr>
      <w:r>
        <w:rPr>
          <w:rFonts w:hint="eastAsia" w:cs="仿宋" w:asciiTheme="minorEastAsia" w:hAnsiTheme="minorEastAsia" w:eastAsiaTheme="minorEastAsia"/>
          <w:b/>
          <w:bCs/>
          <w:color w:val="000000" w:themeColor="text1"/>
          <w:sz w:val="24"/>
          <w:szCs w:val="24"/>
          <w:lang w:val="zh-CN"/>
          <w14:textFill>
            <w14:solidFill>
              <w14:schemeClr w14:val="tx1"/>
            </w14:solidFill>
          </w14:textFill>
        </w:rPr>
        <w:t xml:space="preserve">八、费用支付标准及支付方式</w:t>
      </w:r>
      <w:r/>
    </w:p>
    <w:p>
      <w:pPr>
        <w:ind w:left="1"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合同签订后，预付合同金额的10%，交管大队按照《泰州市市区机动车停车场服务收费管理办法》中规定的收费标准*（1-中标优惠率），向停车场支付拖移、停放保管费用，双方逐月结算确定金额，按季度支付，最后一次结算扣除预付款。</w:t>
      </w:r>
      <w:r/>
    </w:p>
    <w:p>
      <w:pPr>
        <w:ind w:left="1" w:firstLine="480"/>
        <w:spacing w:line="360" w:lineRule="auto"/>
        <w:rPr>
          <w:rFonts w:hint="eastAsia" w:cs="仿宋" w:asciiTheme="minorEastAsia" w:hAnsiTheme="minorEastAsia" w:eastAsiaTheme="minorEastAsia"/>
          <w:b/>
          <w:bCs/>
          <w:color w:val="000000" w:themeColor="text1"/>
          <w:sz w:val="24"/>
          <w:szCs w:val="24"/>
          <w:lang w:val="zh-CN"/>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t xml:space="preserve">九、</w:t>
      </w:r>
      <w:r>
        <w:rPr>
          <w:rFonts w:hint="eastAsia" w:cs="仿宋" w:asciiTheme="minorEastAsia" w:hAnsiTheme="minorEastAsia" w:eastAsiaTheme="minorEastAsia"/>
          <w:b/>
          <w:bCs/>
          <w:color w:val="000000" w:themeColor="text1"/>
          <w:sz w:val="24"/>
          <w:szCs w:val="24"/>
          <w:lang w:val="zh-CN"/>
          <w14:textFill>
            <w14:solidFill>
              <w14:schemeClr w14:val="tx1"/>
            </w14:solidFill>
          </w14:textFill>
        </w:rPr>
        <w:t xml:space="preserve">其他要求：</w:t>
      </w:r>
      <w:r/>
    </w:p>
    <w:p>
      <w:pPr>
        <w:ind w:left="1"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1、涉案车辆停车场应严格规范保管涉案车辆，如发生被保管涉案车辆损毁、丢失的，由停车场负责照价赔偿；</w:t>
      </w:r>
      <w:r/>
    </w:p>
    <w:p>
      <w:pPr>
        <w:ind w:left="1"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2、交管部门建立对涉案车辆拖移及停放保管考核制度，涉案车辆停车场应服从公安民警指挥安排，若公安交管上级部门有新的规范、标准，涉案车辆停车场应无条件服从安排。若涉案车辆停车场无故不听从交管部门指挥，不及时拖移涉案车辆的，经书面通知仍不整改的，予以中止合同；发现有乱收费造成投诉的，经查实的发现一次扣除1000元，如投诉达到3次，采购人有权提前终止合同，列入黑名单，以后不得参与涉案车辆停车场招标活动。中标停车场如因管理运转不当导致无法继续保管、拖移涉案车辆的，期间公安机关拖移、保管涉案车辆产生的费用由供应商承担；</w:t>
      </w:r>
      <w:r/>
    </w:p>
    <w:p>
      <w:pPr>
        <w:ind w:left="1" w:firstLine="48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3、涉案车辆停车场应在醒目位置标示服务项目、法定收费标准和监督电话，按照公示标准收费，并使用统一法定票据。交管依法扣留、扣押车辆期间不得向当事人收取拖移、停车保管费用，经通知逾期未取车的，逾期停放的保管费用由当事人承担；禁止超标准及巧立名目乱收费；</w:t>
      </w:r>
      <w:r/>
    </w:p>
    <w:p>
      <w:pPr>
        <w:ind w:left="1" w:firstLine="480"/>
        <w:spacing w:line="360" w:lineRule="auto"/>
        <w:rPr>
          <w:rFonts w:hint="eastAsia"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4、涉案车辆停车场每天应安排不少于</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3</w:t>
      </w: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组</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6</w:t>
      </w: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人的救援拖移值班力量，24小时值守，随叫随到服务，接到指令及时响应现场处置要求；安排专人值守，能及时响应当事人取车要求。</w:t>
      </w:r>
      <w:r>
        <w:rPr>
          <w:rFonts w:hint="eastAsia" w:cs="仿宋" w:asciiTheme="minorEastAsia" w:hAnsiTheme="minorEastAsia" w:eastAsiaTheme="minorEastAsia"/>
          <w:b/>
          <w:bCs/>
          <w:color w:val="000000" w:themeColor="text1"/>
          <w:sz w:val="24"/>
          <w:szCs w:val="24"/>
          <w14:textFill>
            <w14:solidFill>
              <w14:schemeClr w14:val="tx1"/>
            </w14:solidFill>
          </w14:textFill>
        </w:rPr>
        <w:t xml:space="preserve">所有服务人员须缴纳最低100万的意外保险。</w:t>
      </w:r>
      <w:r/>
    </w:p>
    <w:p>
      <w:pPr>
        <w:ind w:left="1" w:firstLine="480"/>
        <w:spacing w:line="360" w:lineRule="auto"/>
        <w:rPr>
          <w:rFonts w:hint="eastAsia" w:cs="仿宋" w:asciiTheme="minorEastAsia" w:hAnsiTheme="minorEastAsia" w:eastAsiaTheme="minorEastAsia"/>
          <w:b/>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5、未建成停放非机动车、摩托车及轿车等厂房或大棚等遮蔽设施的，要有合理规划与承诺，在中标后</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7</w:t>
      </w: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日内建成。</w:t>
      </w:r>
      <w:r/>
    </w:p>
    <w:p>
      <w:pPr>
        <w:ind w:left="1" w:firstLine="480"/>
        <w:spacing w:line="360" w:lineRule="auto"/>
        <w:rPr>
          <w:rFonts w:hint="eastAsia" w:cs="仿宋" w:asciiTheme="minorEastAsia" w:hAnsiTheme="minorEastAsia" w:eastAsiaTheme="minorEastAsia"/>
          <w:b/>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t xml:space="preserve">6、遵守公安机关涉案车辆停车场其他有关规定，具体内容由靖江市公安局负责解释。</w:t>
      </w:r>
      <w:r/>
    </w:p>
    <w:p>
      <w:pPr>
        <w:ind w:right="240" w:firstLine="480"/>
        <w:spacing w:line="360" w:lineRule="auto"/>
        <w:rPr>
          <w:rFonts w:hint="eastAsia"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t xml:space="preserve">十、结算标准</w:t>
      </w:r>
      <w:r/>
    </w:p>
    <w:p>
      <w:pPr>
        <w:ind w:right="240" w:firstLine="480"/>
        <w:spacing w:line="360" w:lineRule="auto"/>
        <w:rPr>
          <w:rFonts w:hint="eastAsia" w:cs="宋体" w:asciiTheme="minorEastAsia" w:hAnsiTheme="minorEastAsia" w:eastAsiaTheme="minorEastAsia"/>
          <w:color w:val="000000" w:themeColor="text1"/>
          <w:spacing w:val="20"/>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1、停放保管费用。</w:t>
      </w:r>
      <w:bookmarkStart w:id="175" w:name="_Hlk201677232"/>
      <w:r>
        <w:rPr>
          <w:rFonts w:hint="eastAsia" w:cs="仿宋" w:asciiTheme="minorEastAsia" w:hAnsiTheme="minorEastAsia" w:eastAsiaTheme="minorEastAsia"/>
          <w:color w:val="000000" w:themeColor="text1"/>
          <w:sz w:val="24"/>
          <w:szCs w:val="24"/>
          <w14:textFill>
            <w14:solidFill>
              <w14:schemeClr w14:val="tx1"/>
            </w14:solidFill>
          </w14:textFill>
        </w:rPr>
        <w:t xml:space="preserve">参照《泰州市市区机动车停车场服务收费管理办法》中规定的收费</w:t>
      </w:r>
      <w:bookmarkEnd w:id="175"/>
      <w:r>
        <w:rPr>
          <w:rFonts w:hint="eastAsia" w:cs="仿宋" w:asciiTheme="minorEastAsia" w:hAnsiTheme="minorEastAsia" w:eastAsiaTheme="minorEastAsia"/>
          <w:color w:val="000000" w:themeColor="text1"/>
          <w:sz w:val="24"/>
          <w:szCs w:val="24"/>
          <w14:textFill>
            <w14:solidFill>
              <w14:schemeClr w14:val="tx1"/>
            </w14:solidFill>
          </w14:textFill>
        </w:rPr>
        <w:t xml:space="preserve">车型、收费标准按辆次、停放天数、按实结算。</w:t>
      </w:r>
      <w:r>
        <w:rPr>
          <w:rFonts w:hint="eastAsia" w:cs="宋体" w:asciiTheme="minorEastAsia" w:hAnsiTheme="minorEastAsia" w:eastAsiaTheme="minorEastAsia"/>
          <w:color w:val="000000" w:themeColor="text1"/>
          <w:spacing w:val="20"/>
          <w:sz w:val="24"/>
          <w:szCs w:val="24"/>
          <w14:textFill>
            <w14:solidFill>
              <w14:schemeClr w14:val="tx1"/>
            </w14:solidFill>
          </w14:textFill>
        </w:rPr>
        <w:t xml:space="preserve">　</w:t>
      </w:r>
      <w:r/>
    </w:p>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（一）车型分类：</w:t>
      </w:r>
      <w:r/>
    </w:p>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（1）小（微）型车：小轿车，吉普车，核定乘客人数小于等于9人或车长小于6米的小（微）型客车，总质量小于4.5吨或车长小于6米的轻（微）型货车；</w:t>
      </w:r>
      <w:r/>
    </w:p>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（2）中型车：核定乘客人数为10—19人或车长大于等于6米小于9米的中型客车，总质量大于等于4.5吨小于12吨或车长大于等于6米小于9米的中型货车；</w:t>
      </w:r>
      <w:r/>
    </w:p>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（3）大型车：核定乘客人数为20—45人或车长不小于9米的大型客车，总质量不小于12吨或车长不小于9米的货车。</w:t>
      </w:r>
      <w:r/>
    </w:p>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（4）其它型车：</w:t>
      </w:r>
      <w:r/>
    </w:p>
    <w:p>
      <w:pPr>
        <w:ind w:right="240" w:firstLine="48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①三轮机动车：包括三轮摩托车（含客、货运车辆）、三轮电动车（含客、货运车辆）、机动残疾人专用三轮车；</w:t>
      </w:r>
      <w:r/>
    </w:p>
    <w:p>
      <w:pPr>
        <w:ind w:right="240" w:firstLine="48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②二轮机动车：包括二轮摩托车、二轮电动车</w:t>
      </w:r>
      <w:r/>
    </w:p>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（二）停放服务收费标准</w:t>
      </w:r>
      <w:r/>
    </w:p>
    <w:tbl>
      <w:tblPr>
        <w:tblStyle w:val="669"/>
        <w:tblW w:w="86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065"/>
        <w:gridCol w:w="4620"/>
      </w:tblGrid>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065" w:type="dxa"/>
            <w:vAlign w:val="center"/>
            <w:textDirection w:val="lrTb"/>
            <w:noWrap w:val="false"/>
          </w:tcPr>
          <w:p>
            <w:pPr>
              <w:ind w:right="240"/>
              <w:jc w:val="center"/>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车 型</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620" w:type="dxa"/>
            <w:vAlign w:val="center"/>
            <w:textDirection w:val="lrTb"/>
            <w:noWrap w:val="false"/>
          </w:tcPr>
          <w:p>
            <w:pPr>
              <w:ind w:right="240"/>
              <w:jc w:val="center"/>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收费标准（元/辆.天）</w:t>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065" w:type="dxa"/>
            <w:vAlign w:val="center"/>
            <w:textDirection w:val="lrTb"/>
            <w:noWrap w:val="false"/>
          </w:tcPr>
          <w:p>
            <w:pPr>
              <w:ind w:right="240"/>
              <w:jc w:val="center"/>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小型车</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620" w:type="dxa"/>
            <w:vAlign w:val="center"/>
            <w:textDirection w:val="lrTb"/>
            <w:noWrap w:val="false"/>
          </w:tcPr>
          <w:p>
            <w:pPr>
              <w:ind w:right="240"/>
              <w:jc w:val="center"/>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15</w:t>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065" w:type="dxa"/>
            <w:vAlign w:val="center"/>
            <w:textDirection w:val="lrTb"/>
            <w:noWrap w:val="false"/>
          </w:tcPr>
          <w:p>
            <w:pPr>
              <w:ind w:right="240"/>
              <w:jc w:val="center"/>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中型车</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620" w:type="dxa"/>
            <w:vAlign w:val="center"/>
            <w:textDirection w:val="lrTb"/>
            <w:noWrap w:val="false"/>
          </w:tcPr>
          <w:p>
            <w:pPr>
              <w:ind w:right="240"/>
              <w:jc w:val="center"/>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20</w:t>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065" w:type="dxa"/>
            <w:vAlign w:val="center"/>
            <w:textDirection w:val="lrTb"/>
            <w:noWrap w:val="false"/>
          </w:tcPr>
          <w:p>
            <w:pPr>
              <w:ind w:right="240"/>
              <w:jc w:val="center"/>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大型车</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620" w:type="dxa"/>
            <w:vAlign w:val="center"/>
            <w:textDirection w:val="lrTb"/>
            <w:noWrap w:val="false"/>
          </w:tcPr>
          <w:p>
            <w:pPr>
              <w:ind w:right="240"/>
              <w:jc w:val="center"/>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25</w:t>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065" w:type="dxa"/>
            <w:vAlign w:val="center"/>
            <w:textDirection w:val="lrTb"/>
            <w:noWrap w:val="false"/>
          </w:tcPr>
          <w:p>
            <w:pPr>
              <w:ind w:right="240"/>
              <w:jc w:val="center"/>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三轮机动车（含三轮电动车）</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620" w:type="dxa"/>
            <w:vAlign w:val="center"/>
            <w:textDirection w:val="lrTb"/>
            <w:noWrap w:val="false"/>
          </w:tcPr>
          <w:p>
            <w:pPr>
              <w:ind w:right="240"/>
              <w:jc w:val="center"/>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w:t>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065" w:type="dxa"/>
            <w:vAlign w:val="center"/>
            <w:textDirection w:val="lrTb"/>
            <w:noWrap w:val="false"/>
          </w:tcPr>
          <w:p>
            <w:pPr>
              <w:ind w:right="240"/>
              <w:jc w:val="center"/>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二轮摩托车（含二轮电动车）</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620" w:type="dxa"/>
            <w:vAlign w:val="center"/>
            <w:textDirection w:val="lrTb"/>
            <w:noWrap w:val="false"/>
          </w:tcPr>
          <w:p>
            <w:pPr>
              <w:ind w:right="240"/>
              <w:jc w:val="center"/>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4</w:t>
            </w:r>
            <w:r/>
          </w:p>
        </w:tc>
      </w:tr>
    </w:tbl>
    <w:p>
      <w:pPr>
        <w:ind w:right="240" w:firstLine="465"/>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备注：</w:t>
      </w:r>
      <w:r/>
    </w:p>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1、以零点为界，停放不满24小时按24小时计费；</w:t>
      </w:r>
      <w:r/>
    </w:p>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2、因扣留、扣押车辆产生的拖移费用，由甲方承担的，参照《泰州市车辆救援服务收费管理实施细则》中规定的车辆救援基本服务收费指导标准，每辆次按起步价计费，不计距离，不分时段。</w:t>
      </w:r>
      <w:r/>
    </w:p>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3、交通事故施救费，由当事人承担。涉案停车场参照《泰州市车辆救援服务收费管理实施细则》（详见附件）中规定的车辆救援基本服务收费指导标准规范收费。</w:t>
      </w:r>
      <w:r/>
    </w:p>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4、停车收费价格如遇有政府定价、政府指导价调整的，按最新政策实施时间和标准实施。</w:t>
      </w:r>
      <w:r/>
    </w:p>
    <w:p>
      <w:pPr>
        <w:ind w:right="240"/>
        <w:spacing w:line="360" w:lineRule="auto"/>
        <w:rPr>
          <w:rFonts w:hint="eastAsia"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r>
      <w:r/>
    </w:p>
    <w:p>
      <w:pPr>
        <w:ind w:right="240"/>
        <w:spacing w:line="360" w:lineRule="auto"/>
        <w:rPr>
          <w:rFonts w:hint="eastAsia"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t xml:space="preserve">附件</w:t>
      </w:r>
      <w:r/>
    </w:p>
    <w:p>
      <w:pPr>
        <w:ind w:right="240" w:firstLine="1968"/>
        <w:spacing w:line="360" w:lineRule="auto"/>
        <w:rPr>
          <w:rFonts w:hint="eastAsia"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t xml:space="preserve">原泰州市社会救援机构车辆救援基本服务收费指导标准</w:t>
      </w:r>
      <w:r/>
    </w:p>
    <w:tbl>
      <w:tblPr>
        <w:tblStyle w:val="669"/>
        <w:tblW w:w="0" w:type="auto"/>
        <w:tblCellSpacing w:w="0"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858"/>
        <w:gridCol w:w="3523"/>
        <w:gridCol w:w="1649"/>
        <w:gridCol w:w="1962"/>
        <w:gridCol w:w="1189"/>
      </w:tblGrid>
      <w:tr>
        <w:trPr>
          <w:tblCellSpacing w:w="0" w:type="dxa"/>
        </w:trPr>
        <w:tc>
          <w:tcPr>
            <w:tcBorders>
              <w:top w:val="single" w:color="000000" w:sz="6" w:space="0"/>
              <w:left w:val="single" w:color="000000" w:sz="6" w:space="0"/>
              <w:bottom w:val="single" w:color="000000" w:sz="6" w:space="0"/>
              <w:right w:val="single" w:color="000000" w:sz="6" w:space="0"/>
            </w:tcBorders>
            <w:tcW w:w="91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服务项目</w:t>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故 障 车 型</w:t>
            </w:r>
            <w:r/>
          </w:p>
        </w:tc>
        <w:tc>
          <w:tcPr>
            <w:tcBorders>
              <w:top w:val="single" w:color="000000" w:sz="6" w:space="0"/>
              <w:left w:val="single" w:color="000000" w:sz="6" w:space="0"/>
              <w:bottom w:val="single" w:color="000000" w:sz="6" w:space="0"/>
              <w:right w:val="single" w:color="000000" w:sz="6" w:space="0"/>
            </w:tcBorders>
            <w:tcW w:w="181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起步价</w:t>
            </w:r>
            <w:r/>
          </w:p>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（5公里以内)</w:t>
            </w:r>
            <w:r/>
          </w:p>
        </w:tc>
        <w:tc>
          <w:tcPr>
            <w:tcBorders>
              <w:top w:val="single" w:color="000000" w:sz="6" w:space="0"/>
              <w:left w:val="single" w:color="000000" w:sz="6" w:space="0"/>
              <w:bottom w:val="single" w:color="000000" w:sz="6" w:space="0"/>
              <w:right w:val="single" w:color="000000" w:sz="6" w:space="0"/>
            </w:tcBorders>
            <w:tcW w:w="2160"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车公里单价</w:t>
            </w:r>
            <w:r/>
          </w:p>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（超5公里加收）</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备注</w:t>
            </w:r>
            <w:r/>
          </w:p>
        </w:tc>
      </w:tr>
      <w:tr>
        <w:trPr>
          <w:cantSplit/>
          <w:tblCellSpacing w:w="0" w:type="dxa"/>
        </w:trPr>
        <w:tc>
          <w:tcPr>
            <w:tcBorders>
              <w:top w:val="single" w:color="000000" w:sz="6" w:space="0"/>
              <w:left w:val="single" w:color="000000" w:sz="6" w:space="0"/>
              <w:bottom w:val="single" w:color="000000" w:sz="6" w:space="0"/>
              <w:right w:val="single" w:color="000000" w:sz="6" w:space="0"/>
            </w:tcBorders>
            <w:tcW w:w="915" w:type="dxa"/>
            <w:vAlign w:val="center"/>
            <w:vMerge w:val="restart"/>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拖车</w:t>
            </w:r>
            <w:r/>
          </w:p>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作业</w:t>
            </w:r>
            <w:r/>
          </w:p>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服务费</w:t>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货车≤2吨，轿车、面包车7座以下</w:t>
            </w:r>
            <w:r/>
          </w:p>
        </w:tc>
        <w:tc>
          <w:tcPr>
            <w:tcBorders>
              <w:top w:val="single" w:color="000000" w:sz="6" w:space="0"/>
              <w:left w:val="single" w:color="000000" w:sz="6" w:space="0"/>
              <w:bottom w:val="single" w:color="000000" w:sz="6" w:space="0"/>
              <w:right w:val="single" w:color="000000" w:sz="6" w:space="0"/>
            </w:tcBorders>
            <w:tcW w:w="181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200元/车.次</w:t>
            </w:r>
            <w:r/>
          </w:p>
        </w:tc>
        <w:tc>
          <w:tcPr>
            <w:tcBorders>
              <w:top w:val="single" w:color="000000" w:sz="6" w:space="0"/>
              <w:left w:val="single" w:color="000000" w:sz="6" w:space="0"/>
              <w:bottom w:val="single" w:color="000000" w:sz="6" w:space="0"/>
              <w:right w:val="single" w:color="000000" w:sz="6" w:space="0"/>
            </w:tcBorders>
            <w:tcW w:w="2160"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5元/车.公里</w:t>
            </w:r>
            <w:r/>
          </w:p>
        </w:tc>
        <w:tc>
          <w:tcPr>
            <w:tcBorders>
              <w:top w:val="single" w:color="000000" w:sz="6" w:space="0"/>
              <w:left w:val="single" w:color="000000" w:sz="6" w:space="0"/>
              <w:bottom w:val="single" w:color="000000" w:sz="6" w:space="0"/>
              <w:right w:val="single" w:color="000000" w:sz="6" w:space="0"/>
            </w:tcBorders>
            <w:tcW w:w="1260" w:type="dxa"/>
            <w:vAlign w:val="center"/>
            <w:vMerge w:val="restart"/>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车公里单价计费需故障发生地至拖达指定停车地点里程超过5公里时方可加收。</w:t>
            </w:r>
            <w:r/>
          </w:p>
        </w:tc>
      </w:tr>
      <w:tr>
        <w:trPr>
          <w:cantSplit/>
          <w:tblCellSpacing w:w="0" w:type="dxa"/>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2吨＜货车≤5吨，客车8－19座</w:t>
            </w:r>
            <w:r/>
          </w:p>
        </w:tc>
        <w:tc>
          <w:tcPr>
            <w:tcBorders>
              <w:top w:val="single" w:color="000000" w:sz="6" w:space="0"/>
              <w:left w:val="single" w:color="000000" w:sz="6" w:space="0"/>
              <w:bottom w:val="single" w:color="000000" w:sz="6" w:space="0"/>
              <w:right w:val="single" w:color="000000" w:sz="6" w:space="0"/>
            </w:tcBorders>
            <w:tcW w:w="181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250 元/车.次</w:t>
            </w:r>
            <w:r/>
          </w:p>
        </w:tc>
        <w:tc>
          <w:tcPr>
            <w:tcBorders>
              <w:top w:val="single" w:color="000000" w:sz="6" w:space="0"/>
              <w:left w:val="single" w:color="000000" w:sz="6" w:space="0"/>
              <w:bottom w:val="single" w:color="000000" w:sz="6" w:space="0"/>
              <w:right w:val="single" w:color="000000" w:sz="6" w:space="0"/>
            </w:tcBorders>
            <w:tcW w:w="2160"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5元/车.公里</w:t>
            </w:r>
            <w:r/>
          </w:p>
        </w:tc>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r>
      <w:tr>
        <w:trPr>
          <w:cantSplit/>
          <w:tblCellSpacing w:w="0" w:type="dxa"/>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5吨＜货车≤10吨，客车20－39座</w:t>
            </w:r>
            <w:r/>
          </w:p>
        </w:tc>
        <w:tc>
          <w:tcPr>
            <w:tcBorders>
              <w:top w:val="single" w:color="000000" w:sz="6" w:space="0"/>
              <w:left w:val="single" w:color="000000" w:sz="6" w:space="0"/>
              <w:bottom w:val="single" w:color="000000" w:sz="6" w:space="0"/>
              <w:right w:val="single" w:color="000000" w:sz="6" w:space="0"/>
            </w:tcBorders>
            <w:tcW w:w="181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280 元/车.次</w:t>
            </w:r>
            <w:r/>
          </w:p>
        </w:tc>
        <w:tc>
          <w:tcPr>
            <w:tcBorders>
              <w:top w:val="single" w:color="000000" w:sz="6" w:space="0"/>
              <w:left w:val="single" w:color="000000" w:sz="6" w:space="0"/>
              <w:bottom w:val="single" w:color="000000" w:sz="6" w:space="0"/>
              <w:right w:val="single" w:color="000000" w:sz="6" w:space="0"/>
            </w:tcBorders>
            <w:tcW w:w="2160"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10元/车.公里</w:t>
            </w:r>
            <w:r/>
          </w:p>
        </w:tc>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r>
      <w:tr>
        <w:trPr>
          <w:cantSplit/>
          <w:tblCellSpacing w:w="0" w:type="dxa"/>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10吨＜货车≤15吨，客车 ≥40座</w:t>
            </w:r>
            <w:r/>
          </w:p>
        </w:tc>
        <w:tc>
          <w:tcPr>
            <w:tcBorders>
              <w:top w:val="single" w:color="000000" w:sz="6" w:space="0"/>
              <w:left w:val="single" w:color="000000" w:sz="6" w:space="0"/>
              <w:bottom w:val="single" w:color="000000" w:sz="6" w:space="0"/>
              <w:right w:val="single" w:color="000000" w:sz="6" w:space="0"/>
            </w:tcBorders>
            <w:tcW w:w="181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300元/车.次</w:t>
            </w:r>
            <w:r/>
          </w:p>
        </w:tc>
        <w:tc>
          <w:tcPr>
            <w:tcBorders>
              <w:top w:val="single" w:color="000000" w:sz="6" w:space="0"/>
              <w:left w:val="single" w:color="000000" w:sz="6" w:space="0"/>
              <w:bottom w:val="single" w:color="000000" w:sz="6" w:space="0"/>
              <w:right w:val="single" w:color="000000" w:sz="6" w:space="0"/>
            </w:tcBorders>
            <w:tcW w:w="2160"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10元/车.公里</w:t>
            </w:r>
            <w:r/>
          </w:p>
        </w:tc>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r>
      <w:tr>
        <w:trPr>
          <w:cantSplit/>
          <w:tblCellSpacing w:w="0" w:type="dxa"/>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15吨＜货车≤35吨</w:t>
            </w:r>
            <w:r/>
          </w:p>
        </w:tc>
        <w:tc>
          <w:tcPr>
            <w:tcBorders>
              <w:top w:val="single" w:color="000000" w:sz="6" w:space="0"/>
              <w:left w:val="single" w:color="000000" w:sz="6" w:space="0"/>
              <w:bottom w:val="single" w:color="000000" w:sz="6" w:space="0"/>
              <w:right w:val="single" w:color="000000" w:sz="6" w:space="0"/>
            </w:tcBorders>
            <w:tcW w:w="181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400元/车.次</w:t>
            </w:r>
            <w:r/>
          </w:p>
        </w:tc>
        <w:tc>
          <w:tcPr>
            <w:tcBorders>
              <w:top w:val="single" w:color="000000" w:sz="6" w:space="0"/>
              <w:left w:val="single" w:color="000000" w:sz="6" w:space="0"/>
              <w:bottom w:val="single" w:color="000000" w:sz="6" w:space="0"/>
              <w:right w:val="single" w:color="000000" w:sz="6" w:space="0"/>
            </w:tcBorders>
            <w:tcW w:w="2160"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15元/车.公里</w:t>
            </w:r>
            <w:r/>
          </w:p>
        </w:tc>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r>
      <w:tr>
        <w:trPr>
          <w:cantSplit/>
          <w:tblCellSpacing w:w="0" w:type="dxa"/>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货车＞35吨</w:t>
            </w:r>
            <w:r/>
          </w:p>
        </w:tc>
        <w:tc>
          <w:tcPr>
            <w:tcBorders>
              <w:top w:val="single" w:color="000000" w:sz="6" w:space="0"/>
              <w:left w:val="single" w:color="000000" w:sz="6" w:space="0"/>
              <w:bottom w:val="single" w:color="000000" w:sz="6" w:space="0"/>
              <w:right w:val="single" w:color="000000" w:sz="6" w:space="0"/>
            </w:tcBorders>
            <w:tcW w:w="181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500元/车.次</w:t>
            </w:r>
            <w:r/>
          </w:p>
        </w:tc>
        <w:tc>
          <w:tcPr>
            <w:tcBorders>
              <w:top w:val="single" w:color="000000" w:sz="6" w:space="0"/>
              <w:left w:val="single" w:color="000000" w:sz="6" w:space="0"/>
              <w:bottom w:val="single" w:color="000000" w:sz="6" w:space="0"/>
              <w:right w:val="single" w:color="000000" w:sz="6" w:space="0"/>
            </w:tcBorders>
            <w:tcW w:w="2160"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20元/车.公里</w:t>
            </w:r>
            <w:r/>
          </w:p>
        </w:tc>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r>
      <w:tr>
        <w:trPr>
          <w:cantSplit/>
          <w:tblCellSpacing w:w="0" w:type="dxa"/>
        </w:trPr>
        <w:tc>
          <w:tcPr>
            <w:tcBorders>
              <w:top w:val="single" w:color="000000" w:sz="6" w:space="0"/>
              <w:left w:val="single" w:color="000000" w:sz="6" w:space="0"/>
              <w:bottom w:val="single" w:color="000000" w:sz="6" w:space="0"/>
              <w:right w:val="single" w:color="000000" w:sz="6" w:space="0"/>
            </w:tcBorders>
            <w:tcW w:w="91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平板车运输服务费</w:t>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≥15吨，40英尺集装箱车</w:t>
            </w:r>
            <w:r/>
          </w:p>
        </w:tc>
        <w:tc>
          <w:tcPr>
            <w:tcBorders>
              <w:top w:val="single" w:color="000000" w:sz="6" w:space="0"/>
              <w:left w:val="single" w:color="000000" w:sz="6" w:space="0"/>
              <w:bottom w:val="single" w:color="000000" w:sz="6" w:space="0"/>
              <w:right w:val="single" w:color="000000" w:sz="6" w:space="0"/>
            </w:tcBorders>
            <w:tcW w:w="181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500元/车.次</w:t>
            </w:r>
            <w:r/>
          </w:p>
        </w:tc>
        <w:tc>
          <w:tcPr>
            <w:tcBorders>
              <w:top w:val="single" w:color="000000" w:sz="6" w:space="0"/>
              <w:left w:val="single" w:color="000000" w:sz="6" w:space="0"/>
              <w:bottom w:val="single" w:color="000000" w:sz="6" w:space="0"/>
              <w:right w:val="single" w:color="000000" w:sz="6" w:space="0"/>
            </w:tcBorders>
            <w:tcW w:w="2160"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15元/车.公里</w:t>
            </w:r>
            <w:r/>
          </w:p>
        </w:tc>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r>
      <w:tr>
        <w:trPr>
          <w:cantSplit/>
          <w:tblCellSpacing w:w="0" w:type="dxa"/>
        </w:trPr>
        <w:tc>
          <w:tcPr>
            <w:tcBorders>
              <w:top w:val="single" w:color="000000" w:sz="6" w:space="0"/>
              <w:left w:val="single" w:color="000000" w:sz="6" w:space="0"/>
              <w:bottom w:val="single" w:color="000000" w:sz="6" w:space="0"/>
              <w:right w:val="single" w:color="000000" w:sz="6" w:space="0"/>
            </w:tcBorders>
            <w:tcW w:w="915" w:type="dxa"/>
            <w:vAlign w:val="center"/>
            <w:vMerge w:val="restart"/>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吊车作业服务费</w:t>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货车≤2吨，轿车、面包车7座以下</w:t>
            </w:r>
            <w:r/>
          </w:p>
        </w:tc>
        <w:tc>
          <w:tcPr>
            <w:gridSpan w:val="2"/>
            <w:tcBorders>
              <w:top w:val="single" w:color="000000" w:sz="6" w:space="0"/>
              <w:left w:val="single" w:color="000000" w:sz="6" w:space="0"/>
              <w:bottom w:val="single" w:color="000000" w:sz="6" w:space="0"/>
              <w:right w:val="single" w:color="000000" w:sz="6" w:space="0"/>
            </w:tcBorders>
            <w:tcW w:w="3975" w:type="dxa"/>
            <w:vAlign w:val="center"/>
            <w:vMerge w:val="restart"/>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600元/台班</w:t>
            </w:r>
            <w:r/>
          </w:p>
        </w:tc>
        <w:tc>
          <w:tcPr>
            <w:tcBorders>
              <w:top w:val="single" w:color="000000" w:sz="6" w:space="0"/>
              <w:left w:val="single" w:color="000000" w:sz="6" w:space="0"/>
              <w:bottom w:val="single" w:color="000000" w:sz="6" w:space="0"/>
              <w:right w:val="single" w:color="000000" w:sz="6" w:space="0"/>
            </w:tcBorders>
            <w:tcW w:w="1260" w:type="dxa"/>
            <w:vAlign w:val="center"/>
            <w:vMerge w:val="restart"/>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吊车往返行驶不得收费。</w:t>
            </w:r>
            <w:r/>
          </w:p>
        </w:tc>
      </w:tr>
      <w:tr>
        <w:trPr>
          <w:cantSplit/>
          <w:tblCellSpacing w:w="0" w:type="dxa"/>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2吨＜货车≤5吨，客车8－19座</w:t>
            </w:r>
            <w:r/>
          </w:p>
        </w:tc>
        <w:tc>
          <w:tcPr>
            <w:gridSpan w:val="2"/>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r>
      <w:tr>
        <w:trPr>
          <w:cantSplit/>
          <w:tblCellSpacing w:w="0" w:type="dxa"/>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5吨＜货车≤10吨，客车20－39座</w:t>
            </w:r>
            <w:r/>
          </w:p>
        </w:tc>
        <w:tc>
          <w:tcPr>
            <w:gridSpan w:val="2"/>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800元/台班</w:t>
            </w:r>
            <w:r/>
          </w:p>
        </w:tc>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r>
      <w:tr>
        <w:trPr>
          <w:cantSplit/>
          <w:tblCellSpacing w:w="0" w:type="dxa"/>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10吨＜货车≤15吨，客车 ≥40座</w:t>
            </w:r>
            <w:r/>
          </w:p>
        </w:tc>
        <w:tc>
          <w:tcPr>
            <w:gridSpan w:val="2"/>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1000元/台班</w:t>
            </w:r>
            <w:r/>
          </w:p>
        </w:tc>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r>
      <w:tr>
        <w:trPr>
          <w:cantSplit/>
          <w:tblCellSpacing w:w="0" w:type="dxa"/>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15吨＜货车≤35吨</w:t>
            </w:r>
            <w:r/>
          </w:p>
        </w:tc>
        <w:tc>
          <w:tcPr>
            <w:gridSpan w:val="2"/>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1500元/台班</w:t>
            </w:r>
            <w:r/>
          </w:p>
        </w:tc>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r>
      <w:tr>
        <w:trPr>
          <w:cantSplit/>
          <w:tblCellSpacing w:w="0" w:type="dxa"/>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货车＞35吨</w:t>
            </w:r>
            <w:r/>
          </w:p>
        </w:tc>
        <w:tc>
          <w:tcPr>
            <w:gridSpan w:val="2"/>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2000元/台班</w:t>
            </w:r>
            <w:r/>
          </w:p>
        </w:tc>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r>
      <w:tr>
        <w:trPr>
          <w:cantSplit/>
          <w:tblCellSpacing w:w="0" w:type="dxa"/>
        </w:trPr>
        <w:tc>
          <w:tcPr>
            <w:tcBorders>
              <w:top w:val="single" w:color="000000" w:sz="6" w:space="0"/>
              <w:left w:val="single" w:color="000000" w:sz="6" w:space="0"/>
              <w:bottom w:val="single" w:color="000000" w:sz="6" w:space="0"/>
              <w:right w:val="single" w:color="000000" w:sz="6" w:space="0"/>
            </w:tcBorders>
            <w:tcW w:w="915" w:type="dxa"/>
            <w:vAlign w:val="center"/>
            <w:vMerge w:val="restart"/>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拖车作业</w:t>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三轮摩托车、三轮电瓶车</w:t>
            </w:r>
            <w:r/>
          </w:p>
        </w:tc>
        <w:tc>
          <w:tcPr>
            <w:gridSpan w:val="2"/>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80元/车次</w:t>
            </w:r>
            <w:r/>
          </w:p>
        </w:tc>
        <w:tc>
          <w:tcPr>
            <w:tcBorders>
              <w:top w:val="single" w:color="000000" w:sz="6" w:space="0"/>
              <w:left w:val="single" w:color="000000" w:sz="6" w:space="0"/>
              <w:bottom w:val="single" w:color="000000" w:sz="6" w:space="0"/>
              <w:right w:val="single" w:color="000000" w:sz="6" w:space="0"/>
            </w:tcBorders>
            <w:tcW w:w="1260" w:type="dxa"/>
            <w:vAlign w:val="center"/>
            <w:vMerge w:val="restart"/>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w:t>
            </w:r>
            <w:r/>
          </w:p>
        </w:tc>
      </w:tr>
      <w:tr>
        <w:trPr>
          <w:cantSplit/>
          <w:tblCellSpacing w:w="0" w:type="dxa"/>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二轮摩托车、电瓶车</w:t>
            </w:r>
            <w:r/>
          </w:p>
        </w:tc>
        <w:tc>
          <w:tcPr>
            <w:gridSpan w:val="2"/>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50元/车次</w:t>
            </w:r>
            <w:r/>
          </w:p>
        </w:tc>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r>
            <w:r/>
          </w:p>
        </w:tc>
      </w:tr>
    </w:tbl>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说明：1、不足1公里按“四舍五入”取证，以公里计价。</w:t>
      </w:r>
      <w:r/>
    </w:p>
    <w:p>
      <w:pPr>
        <w:ind w:right="240" w:firstLine="72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2、拖移载货车的拖车服务费加收50%。</w:t>
      </w:r>
      <w:r/>
    </w:p>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3、对请求清障车辆救援，清障车辆已到达现场，因车主原因不需要清障服务时，按相应车型基价标准的50％收取。</w:t>
      </w:r>
      <w:r/>
    </w:p>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4、对装运易燃、易爆、危险物品车辆进行清障施救的，可在上述收费基础上加收30％。</w:t>
      </w:r>
      <w:r/>
    </w:p>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5、需2台以上吊车同时作业的，按不同车类型同时收费。</w:t>
      </w:r>
      <w:r/>
    </w:p>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6、夜间救援（当日20时至次日6时）可在上述收费基础上加收20%。</w:t>
      </w:r>
      <w:r/>
    </w:p>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7、使用叉车等其他车辆救援时，收费标准分别按不超过上述相应标准，由双方协商确定。</w:t>
      </w:r>
      <w:r/>
    </w:p>
    <w:p>
      <w:pPr>
        <w:ind w:right="240"/>
        <w:spacing w:line="360" w:lineRule="auto"/>
        <w:rPr>
          <w:rFonts w:hint="eastAsia"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8、1个台班按8小时计算，不足0.5个台班，按0.5个台班计算费用，超过0.5个台班按1个台班计费，超过1个台班的，超过部分按0.5个台班计算费用，依次类推。</w:t>
      </w:r>
      <w:r/>
    </w:p>
    <w:p>
      <w:pPr>
        <w:ind w:right="240"/>
        <w:spacing w:line="360" w:lineRule="auto"/>
        <w:rPr>
          <w:rFonts w:hint="eastAsia" w:cs="仿宋" w:asciiTheme="minorEastAsia" w:hAnsiTheme="minorEastAsia" w:eastAsiaTheme="minorEastAsia"/>
          <w:color w:val="000000" w:themeColor="text1"/>
          <w:sz w:val="24"/>
          <w:szCs w:val="24"/>
          <w:lang w:val="zh-CN"/>
          <w14:textFill>
            <w14:solidFill>
              <w14:schemeClr w14:val="tx1"/>
            </w14:solidFill>
          </w14:textFill>
        </w:rPr>
      </w:pPr>
      <w:r>
        <w:rPr>
          <w:rFonts w:hint="eastAsia" w:cs="仿宋" w:asciiTheme="minorEastAsia" w:hAnsiTheme="minorEastAsia" w:eastAsiaTheme="minorEastAsia"/>
          <w:color w:val="000000" w:themeColor="text1"/>
          <w:sz w:val="24"/>
          <w:szCs w:val="24"/>
          <w:lang w:val="zh-CN"/>
          <w14:textFill>
            <w14:solidFill>
              <w14:schemeClr w14:val="tx1"/>
            </w14:solidFill>
          </w14:textFill>
        </w:rPr>
      </w:r>
      <w:r/>
    </w:p>
    <w:p>
      <w:pPr>
        <w:ind w:right="240"/>
        <w:spacing w:line="360" w:lineRule="auto"/>
        <w:rPr>
          <w:rFonts w:hint="eastAsia"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t xml:space="preserve">注：</w:t>
      </w:r>
      <w:r/>
    </w:p>
    <w:p>
      <w:pPr>
        <w:ind w:right="240"/>
        <w:spacing w:line="360" w:lineRule="auto"/>
        <w:rPr>
          <w:rFonts w:hint="eastAsia"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t xml:space="preserve">1.中标后7日内采购人根据投标人的投标文件内容验收合格后方可签订合同，如中标候选人未能按相关要求或与投标文件内容不相符的，采购人有权废除该中标资格，由下一名供应商中标或重新招标。</w:t>
      </w:r>
      <w:r/>
    </w:p>
    <w:p>
      <w:pPr>
        <w:spacing w:line="360" w:lineRule="auto"/>
        <w:rPr>
          <w:rFonts w:hint="eastAsia"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t xml:space="preserve">2.合同期满后，所有暂扣车辆须按采购人要求，在10个日历天内移至采购人指定地点，否则如造成损失的均由其承担。</w:t>
      </w:r>
      <w:r/>
    </w:p>
    <w:p>
      <w:pPr>
        <w:jc w:val="left"/>
        <w:widowControl/>
        <w:rPr>
          <w:rStyle w:val="894"/>
          <w:rFonts w:hint="eastAsia" w:ascii="宋体" w:hAnsi="宋体"/>
          <w:color w:val="000000" w:themeColor="text1"/>
          <w:sz w:val="36"/>
          <w:szCs w:val="36"/>
          <w14:textFill>
            <w14:solidFill>
              <w14:schemeClr w14:val="tx1"/>
            </w14:solidFill>
          </w14:textFill>
        </w:rPr>
      </w:pPr>
      <w:r>
        <w:rPr>
          <w:rStyle w:val="894"/>
          <w:rFonts w:hint="eastAsia" w:ascii="宋体" w:hAnsi="宋体"/>
          <w:color w:val="000000" w:themeColor="text1"/>
          <w:sz w:val="36"/>
          <w:szCs w:val="36"/>
          <w14:textFill>
            <w14:solidFill>
              <w14:schemeClr w14:val="tx1"/>
            </w14:solidFill>
          </w14:textFill>
        </w:rPr>
        <w:br w:type="page" w:clear="all"/>
      </w:r>
      <w:r/>
    </w:p>
    <w:p>
      <w:pPr>
        <w:jc w:val="center"/>
        <w:spacing w:line="360" w:lineRule="auto"/>
        <w:rPr>
          <w:rFonts w:hint="eastAsia" w:ascii="宋体" w:hAnsi="宋体" w:cs="微软雅黑"/>
          <w:b/>
          <w:bCs/>
          <w:color w:val="000000" w:themeColor="text1"/>
          <w:sz w:val="36"/>
          <w:szCs w:val="36"/>
          <w14:textFill>
            <w14:solidFill>
              <w14:schemeClr w14:val="tx1"/>
            </w14:solidFill>
          </w14:textFill>
        </w:rPr>
      </w:pPr>
      <w:r>
        <w:rPr>
          <w:rStyle w:val="894"/>
          <w:rFonts w:hint="eastAsia" w:ascii="宋体" w:hAnsi="宋体"/>
          <w:color w:val="000000" w:themeColor="text1"/>
          <w:sz w:val="36"/>
          <w:szCs w:val="36"/>
          <w14:textFill>
            <w14:solidFill>
              <w14:schemeClr w14:val="tx1"/>
            </w14:solidFill>
          </w14:textFill>
        </w:rPr>
        <w:t xml:space="preserve">第七章 </w:t>
      </w:r>
      <w:bookmarkEnd w:id="174"/>
      <w:r/>
      <w:bookmarkStart w:id="176" w:name="_Toc129099956"/>
      <w:r>
        <w:rPr>
          <w:rFonts w:hint="eastAsia" w:ascii="宋体" w:hAnsi="宋体" w:cs="微软雅黑"/>
          <w:b/>
          <w:bCs/>
          <w:color w:val="000000" w:themeColor="text1"/>
          <w:sz w:val="36"/>
          <w:szCs w:val="36"/>
          <w14:textFill>
            <w14:solidFill>
              <w14:schemeClr w14:val="tx1"/>
            </w14:solidFill>
          </w14:textFill>
        </w:rPr>
        <w:t xml:space="preserve">投标文件格式</w:t>
      </w:r>
      <w:bookmarkEnd w:id="176"/>
      <w:r/>
      <w:r/>
    </w:p>
    <w:p>
      <w:pPr>
        <w:jc w:val="left"/>
        <w:spacing w:line="360" w:lineRule="auto"/>
        <w:rPr>
          <w:rFonts w:hint="eastAsia" w:ascii="宋体" w:hAnsi="宋体"/>
          <w:b/>
          <w:color w:val="000000" w:themeColor="text1"/>
          <w:sz w:val="32"/>
          <w14:textFill>
            <w14:solidFill>
              <w14:schemeClr w14:val="tx1"/>
            </w14:solidFill>
          </w14:textFill>
        </w:rPr>
      </w:pPr>
      <w:r/>
      <w:bookmarkStart w:id="177" w:name="_Toc3586"/>
      <w:r>
        <w:rPr>
          <w:rFonts w:hint="eastAsia" w:ascii="宋体" w:hAnsi="宋体"/>
          <w:b/>
          <w:bCs/>
          <w:color w:val="000000" w:themeColor="text1"/>
          <w:sz w:val="32"/>
          <w:szCs w:val="32"/>
          <w14:textFill>
            <w14:solidFill>
              <w14:schemeClr w14:val="tx1"/>
            </w14:solidFill>
          </w14:textFill>
        </w:rPr>
        <w:t xml:space="preserve">封面</w:t>
      </w:r>
      <w:r/>
    </w:p>
    <w:p>
      <w:pPr>
        <w:jc w:val="right"/>
        <w:spacing w:line="360" w:lineRule="auto"/>
        <w:rPr>
          <w:rFonts w:hint="eastAsia" w:ascii="宋体" w:hAnsi="宋体"/>
          <w:b/>
          <w:color w:val="000000" w:themeColor="text1"/>
          <w:sz w:val="32"/>
          <w14:textFill>
            <w14:solidFill>
              <w14:schemeClr w14:val="tx1"/>
            </w14:solidFill>
          </w14:textFill>
        </w:rPr>
      </w:pPr>
      <w:r>
        <w:rPr>
          <w:rFonts w:hint="eastAsia" w:ascii="宋体" w:hAnsi="宋体"/>
          <w:b/>
          <w:color w:val="000000" w:themeColor="text1"/>
          <w:sz w:val="32"/>
          <w14:textFill>
            <w14:solidFill>
              <w14:schemeClr w14:val="tx1"/>
            </w14:solidFill>
          </w14:textFill>
        </w:rPr>
        <w:t xml:space="preserve">正本（副本）</w:t>
      </w:r>
      <w:r/>
    </w:p>
    <w:p>
      <w:pPr>
        <w:jc w:val="center"/>
        <w:rPr>
          <w:rFonts w:hint="eastAsia" w:ascii="宋体" w:hAnsi="宋体"/>
          <w:b/>
          <w:color w:val="000000" w:themeColor="text1"/>
          <w:sz w:val="32"/>
          <w:szCs w:val="36"/>
          <w14:textFill>
            <w14:solidFill>
              <w14:schemeClr w14:val="tx1"/>
            </w14:solidFill>
          </w14:textFill>
        </w:rPr>
      </w:pPr>
      <w:r>
        <w:rPr>
          <w:rFonts w:hint="eastAsia" w:ascii="宋体" w:hAnsi="宋体"/>
          <w:b/>
          <w:color w:val="000000" w:themeColor="text1"/>
          <w:sz w:val="32"/>
          <w:szCs w:val="36"/>
          <w14:textFill>
            <w14:solidFill>
              <w14:schemeClr w14:val="tx1"/>
            </w14:solidFill>
          </w14:textFill>
        </w:rPr>
      </w:r>
      <w:r/>
    </w:p>
    <w:p>
      <w:pPr>
        <w:jc w:val="center"/>
        <w:rPr>
          <w:rFonts w:hint="eastAsia" w:ascii="宋体" w:hAnsi="宋体"/>
          <w:color w:val="000000" w:themeColor="text1"/>
          <w:sz w:val="56"/>
          <w:szCs w:val="56"/>
          <w14:textFill>
            <w14:solidFill>
              <w14:schemeClr w14:val="tx1"/>
            </w14:solidFill>
          </w14:textFill>
        </w:rPr>
      </w:pPr>
      <w:r>
        <w:rPr>
          <w:rFonts w:hint="eastAsia" w:ascii="宋体" w:hAnsi="宋体"/>
          <w:b/>
          <w:color w:val="000000" w:themeColor="text1"/>
          <w:sz w:val="44"/>
          <w:szCs w:val="48"/>
          <w14:textFill>
            <w14:solidFill>
              <w14:schemeClr w14:val="tx1"/>
            </w14:solidFill>
          </w14:textFill>
        </w:rPr>
        <w:t xml:space="preserve"> 交管大队涉案车辆拖移、停放保管服务项目</w:t>
      </w:r>
      <w:r/>
    </w:p>
    <w:p>
      <w:pPr>
        <w:jc w:val="center"/>
        <w:spacing w:line="360" w:lineRule="auto"/>
        <w:rPr>
          <w:rFonts w:hint="eastAsia" w:ascii="宋体" w:hAnsi="宋体"/>
          <w:color w:val="000000" w:themeColor="text1"/>
          <w:sz w:val="72"/>
          <w:szCs w:val="72"/>
          <w14:textFill>
            <w14:solidFill>
              <w14:schemeClr w14:val="tx1"/>
            </w14:solidFill>
          </w14:textFill>
        </w:rPr>
      </w:pPr>
      <w:r>
        <w:rPr>
          <w:rFonts w:hint="eastAsia" w:ascii="宋体" w:hAnsi="宋体"/>
          <w:color w:val="000000" w:themeColor="text1"/>
          <w:sz w:val="72"/>
          <w:szCs w:val="72"/>
          <w14:textFill>
            <w14:solidFill>
              <w14:schemeClr w14:val="tx1"/>
            </w14:solidFill>
          </w14:textFill>
        </w:rPr>
      </w:r>
      <w:r/>
    </w:p>
    <w:p>
      <w:pPr>
        <w:spacing w:line="360" w:lineRule="auto"/>
        <w:rPr>
          <w:rFonts w:hint="eastAsia" w:ascii="宋体" w:hAnsi="宋体"/>
          <w:color w:val="000000" w:themeColor="text1"/>
          <w:sz w:val="72"/>
          <w:szCs w:val="72"/>
          <w14:textFill>
            <w14:solidFill>
              <w14:schemeClr w14:val="tx1"/>
            </w14:solidFill>
          </w14:textFill>
        </w:rPr>
      </w:pPr>
      <w:r>
        <w:rPr>
          <w:rFonts w:hint="eastAsia" w:ascii="宋体" w:hAnsi="宋体"/>
          <w:color w:val="000000" w:themeColor="text1"/>
          <w:sz w:val="72"/>
          <w:szCs w:val="72"/>
          <w14:textFill>
            <w14:solidFill>
              <w14:schemeClr w14:val="tx1"/>
            </w14:solidFill>
          </w14:textFill>
        </w:rPr>
      </w:r>
      <w:r/>
    </w:p>
    <w:p>
      <w:pPr>
        <w:jc w:val="center"/>
        <w:spacing w:line="360" w:lineRule="auto"/>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72"/>
          <w:szCs w:val="72"/>
          <w14:textFill>
            <w14:solidFill>
              <w14:schemeClr w14:val="tx1"/>
            </w14:solidFill>
          </w14:textFill>
        </w:rPr>
        <w:t xml:space="preserve">投 标 文 件</w:t>
      </w:r>
      <w:r/>
    </w:p>
    <w:p>
      <w:pPr>
        <w:ind w:firstLine="1540"/>
        <w:jc w:val="left"/>
        <w:spacing w:line="360" w:lineRule="auto"/>
        <w:rPr>
          <w:rFonts w:hint="eastAsia" w:ascii="宋体" w:hAnsi="宋体"/>
          <w:color w:val="000000" w:themeColor="text1"/>
          <w:sz w:val="28"/>
          <w:szCs w:val="28"/>
          <w:u w:val="single"/>
          <w14:textFill>
            <w14:solidFill>
              <w14:schemeClr w14:val="tx1"/>
            </w14:solidFill>
          </w14:textFill>
        </w:rPr>
      </w:pPr>
      <w:r>
        <w:rPr>
          <w:rFonts w:hint="eastAsia" w:ascii="宋体" w:hAnsi="宋体"/>
          <w:color w:val="000000" w:themeColor="text1"/>
          <w:sz w:val="28"/>
          <w:szCs w:val="28"/>
          <w:u w:val="single"/>
          <w14:textFill>
            <w14:solidFill>
              <w14:schemeClr w14:val="tx1"/>
            </w14:solidFill>
          </w14:textFill>
        </w:rPr>
      </w:r>
      <w:r/>
    </w:p>
    <w:p>
      <w:pPr>
        <w:ind w:firstLine="980"/>
        <w:jc w:val="left"/>
        <w:spacing w:line="360" w:lineRule="auto"/>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r>
      <w:r/>
    </w:p>
    <w:p>
      <w:pPr>
        <w:ind w:firstLine="980"/>
        <w:jc w:val="left"/>
        <w:spacing w:line="360" w:lineRule="auto"/>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r>
      <w:r/>
    </w:p>
    <w:p>
      <w:pPr>
        <w:ind w:firstLine="980"/>
        <w:jc w:val="left"/>
        <w:spacing w:line="360" w:lineRule="auto"/>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r>
      <w:r/>
    </w:p>
    <w:p>
      <w:pPr>
        <w:spacing w:after="120"/>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spacing w:after="120"/>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r>
      <w:r/>
    </w:p>
    <w:p>
      <w:pPr>
        <w:ind w:firstLine="980"/>
        <w:jc w:val="left"/>
        <w:spacing w:line="360" w:lineRule="auto"/>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投标人名称：</w:t>
      </w:r>
      <w:r>
        <w:rPr>
          <w:rFonts w:hint="eastAsia" w:ascii="宋体" w:hAnsi="宋体"/>
          <w:color w:val="000000" w:themeColor="text1"/>
          <w:sz w:val="28"/>
          <w:szCs w:val="28"/>
          <w:u w:val="single"/>
          <w14:textFill>
            <w14:solidFill>
              <w14:schemeClr w14:val="tx1"/>
            </w14:solidFill>
          </w14:textFill>
        </w:rPr>
        <w:t xml:space="preserve">                              </w:t>
      </w:r>
      <w:r>
        <w:rPr>
          <w:rFonts w:hint="eastAsia" w:ascii="宋体" w:hAnsi="宋体"/>
          <w:color w:val="000000" w:themeColor="text1"/>
          <w:sz w:val="28"/>
          <w:szCs w:val="28"/>
          <w14:textFill>
            <w14:solidFill>
              <w14:schemeClr w14:val="tx1"/>
            </w14:solidFill>
          </w14:textFill>
        </w:rPr>
        <w:t xml:space="preserve">（公章）</w:t>
      </w:r>
      <w:r/>
    </w:p>
    <w:p>
      <w:pPr>
        <w:ind w:firstLine="980"/>
        <w:jc w:val="left"/>
        <w:spacing w:line="360" w:lineRule="auto"/>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r>
      <w:r/>
    </w:p>
    <w:p>
      <w:pPr>
        <w:jc w:val="center"/>
        <w:spacing w:line="360" w:lineRule="auto"/>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   日期：   年  月   日</w:t>
      </w:r>
      <w:r/>
    </w:p>
    <w:p>
      <w:pPr>
        <w:jc w:val="center"/>
        <w:spacing w:line="360" w:lineRule="auto"/>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br w:type="page" w:clear="all"/>
      </w:r>
      <w:r/>
    </w:p>
    <w:p>
      <w:pPr>
        <w:numPr>
          <w:ilvl w:val="0"/>
          <w:numId w:val="3"/>
        </w:numPr>
        <w:jc w:val="center"/>
        <w:spacing w:line="360" w:lineRule="auto"/>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基本目录</w:t>
      </w:r>
      <w:r/>
    </w:p>
    <w:p>
      <w:pPr>
        <w:jc w:val="center"/>
        <w:spacing w:line="360" w:lineRule="auto"/>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（一）投标函</w:t>
      </w:r>
      <w:r/>
    </w:p>
    <w:p>
      <w:pPr>
        <w:ind w:firstLine="440"/>
        <w:spacing w:line="52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致： </w:t>
      </w:r>
      <w:r>
        <w:rPr>
          <w:rFonts w:hint="eastAsia" w:ascii="宋体" w:hAnsi="宋体" w:cs="宋体"/>
          <w:color w:val="000000" w:themeColor="text1"/>
          <w:sz w:val="22"/>
          <w:u w:val="single"/>
          <w14:textFill>
            <w14:solidFill>
              <w14:schemeClr w14:val="tx1"/>
            </w14:solidFill>
          </w14:textFill>
        </w:rPr>
        <w:t xml:space="preserve">     （采购人名称）      </w:t>
      </w:r>
      <w:r>
        <w:rPr>
          <w:rFonts w:hint="eastAsia" w:ascii="宋体" w:hAnsi="宋体" w:cs="宋体"/>
          <w:color w:val="000000" w:themeColor="text1"/>
          <w:sz w:val="22"/>
          <w14:textFill>
            <w14:solidFill>
              <w14:schemeClr w14:val="tx1"/>
            </w14:solidFill>
          </w14:textFill>
        </w:rPr>
        <w:t xml:space="preserve">   </w:t>
      </w:r>
      <w:r>
        <w:rPr>
          <w:rFonts w:hint="eastAsia" w:ascii="宋体" w:hAnsi="宋体" w:cs="宋体"/>
          <w:color w:val="000000" w:themeColor="text1"/>
          <w:sz w:val="22"/>
          <w14:textFill>
            <w14:solidFill>
              <w14:schemeClr w14:val="tx1"/>
            </w14:solidFill>
          </w14:textFill>
        </w:rPr>
        <w:tab/>
      </w:r>
      <w:r/>
    </w:p>
    <w:p>
      <w:pPr>
        <w:numPr>
          <w:ilvl w:val="0"/>
          <w:numId w:val="4"/>
        </w:numPr>
        <w:ind w:firstLine="440"/>
        <w:spacing w:line="44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我方已仔细研究</w:t>
      </w:r>
      <w:r>
        <w:rPr>
          <w:rFonts w:hint="eastAsia" w:ascii="宋体" w:hAnsi="宋体" w:cs="宋体"/>
          <w:color w:val="000000" w:themeColor="text1"/>
          <w:sz w:val="22"/>
          <w:u w:val="single"/>
          <w14:textFill>
            <w14:solidFill>
              <w14:schemeClr w14:val="tx1"/>
            </w14:solidFill>
          </w14:textFill>
        </w:rPr>
        <w:t xml:space="preserve">  （采购项目名称）  </w:t>
      </w:r>
      <w:r>
        <w:rPr>
          <w:rFonts w:hint="eastAsia" w:ascii="宋体" w:hAnsi="宋体" w:cs="宋体"/>
          <w:color w:val="000000" w:themeColor="text1"/>
          <w:sz w:val="22"/>
          <w14:textFill>
            <w14:solidFill>
              <w14:schemeClr w14:val="tx1"/>
            </w14:solidFill>
          </w14:textFill>
        </w:rPr>
        <w:t xml:space="preserve"> 招标文件的全部内容，在考察项目现场后，愿意以《开标一览表》中的投标总价，按招标文件的规定履行合同责任和义务。</w:t>
      </w:r>
      <w:r/>
    </w:p>
    <w:p>
      <w:pPr>
        <w:ind w:firstLine="440"/>
        <w:spacing w:line="44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2.我方承诺在招标文件规定的投标有效期内不修改、撤销投标文件。</w:t>
      </w:r>
      <w:r/>
    </w:p>
    <w:p>
      <w:pPr>
        <w:ind w:firstLine="440"/>
        <w:spacing w:line="44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3.如我方中标，我方承诺：</w:t>
      </w:r>
      <w:r/>
    </w:p>
    <w:p>
      <w:pPr>
        <w:ind w:firstLine="440"/>
        <w:spacing w:line="44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（1）在收到中标通知书后，在中标通知书规定的期限内与你方签订合同；</w:t>
      </w:r>
      <w:r/>
    </w:p>
    <w:p>
      <w:pPr>
        <w:ind w:firstLine="440"/>
        <w:spacing w:line="44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（2）在签订合同时不向你方提出附加条件；</w:t>
      </w:r>
      <w:r/>
    </w:p>
    <w:p>
      <w:pPr>
        <w:ind w:firstLine="440"/>
        <w:spacing w:line="44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（3）按照招标文件要求提交履约保证金；</w:t>
      </w:r>
      <w:r/>
    </w:p>
    <w:p>
      <w:pPr>
        <w:ind w:firstLine="440"/>
        <w:spacing w:line="44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（4）在合同约定的期限完成合同规定的全部义务。</w:t>
      </w:r>
      <w:r/>
    </w:p>
    <w:p>
      <w:pPr>
        <w:ind w:firstLine="440"/>
        <w:spacing w:line="440" w:lineRule="exact"/>
        <w:rPr>
          <w:rFonts w:hint="eastAsia"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t xml:space="preserve">4</w:t>
      </w:r>
      <w:r>
        <w:rPr>
          <w:rFonts w:hint="eastAsia" w:ascii="宋体" w:hAnsi="宋体" w:cs="宋体"/>
          <w:color w:val="000000" w:themeColor="text1"/>
          <w:sz w:val="22"/>
          <w14:textFill>
            <w14:solidFill>
              <w14:schemeClr w14:val="tx1"/>
            </w14:solidFill>
          </w14:textFill>
        </w:rPr>
        <w:t xml:space="preserve">.在合同协议书正式签署生效之前，本投标函连同你方的中标通知书将构成我们双方之间共同遵守的文件，对双方具有约束力。</w:t>
      </w:r>
      <w:r/>
    </w:p>
    <w:p>
      <w:pPr>
        <w:ind w:firstLine="440"/>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r>
      <w:r/>
    </w:p>
    <w:p>
      <w:pPr>
        <w:ind w:firstLine="440"/>
        <w:spacing w:line="440" w:lineRule="exact"/>
        <w:rPr>
          <w:rFonts w:hint="eastAsia" w:ascii="宋体" w:hAnsi="宋体" w:cs="宋体"/>
          <w:bCs/>
          <w:color w:val="000000" w:themeColor="text1"/>
          <w:sz w:val="22"/>
          <w14:textFill>
            <w14:solidFill>
              <w14:schemeClr w14:val="tx1"/>
            </w14:solidFill>
          </w14:textFill>
        </w:rPr>
      </w:pPr>
      <w:r>
        <w:rPr>
          <w:rFonts w:hint="eastAsia" w:ascii="宋体" w:hAnsi="宋体" w:cs="宋体"/>
          <w:bCs/>
          <w:color w:val="000000" w:themeColor="text1"/>
          <w:sz w:val="22"/>
          <w14:textFill>
            <w14:solidFill>
              <w14:schemeClr w14:val="tx1"/>
            </w14:solidFill>
          </w14:textFill>
        </w:rPr>
      </w:r>
      <w:r/>
    </w:p>
    <w:p>
      <w:pPr>
        <w:ind w:firstLine="4180"/>
        <w:spacing w:line="480" w:lineRule="exact"/>
        <w:rPr>
          <w:rFonts w:hint="eastAsia" w:ascii="宋体" w:hAnsi="宋体" w:cs="宋体"/>
          <w:bCs/>
          <w:color w:val="000000" w:themeColor="text1"/>
          <w:sz w:val="22"/>
          <w14:textFill>
            <w14:solidFill>
              <w14:schemeClr w14:val="tx1"/>
            </w14:solidFill>
          </w14:textFill>
        </w:rPr>
      </w:pPr>
      <w:r>
        <w:rPr>
          <w:rFonts w:hint="eastAsia" w:ascii="宋体" w:hAnsi="宋体" w:cs="宋体"/>
          <w:bCs/>
          <w:color w:val="000000" w:themeColor="text1"/>
          <w:sz w:val="22"/>
          <w14:textFill>
            <w14:solidFill>
              <w14:schemeClr w14:val="tx1"/>
            </w14:solidFill>
          </w14:textFill>
        </w:rPr>
      </w:r>
      <w:r/>
    </w:p>
    <w:p>
      <w:pPr>
        <w:ind w:firstLine="4180"/>
        <w:spacing w:line="480" w:lineRule="exact"/>
        <w:rPr>
          <w:rFonts w:hint="eastAsia" w:ascii="宋体" w:hAnsi="宋体" w:cs="宋体"/>
          <w:bCs/>
          <w:color w:val="000000" w:themeColor="text1"/>
          <w:sz w:val="22"/>
          <w14:textFill>
            <w14:solidFill>
              <w14:schemeClr w14:val="tx1"/>
            </w14:solidFill>
          </w14:textFill>
        </w:rPr>
      </w:pPr>
      <w:r>
        <w:rPr>
          <w:rFonts w:hint="eastAsia" w:ascii="宋体" w:hAnsi="宋体" w:cs="宋体"/>
          <w:bCs/>
          <w:color w:val="000000" w:themeColor="text1"/>
          <w:sz w:val="22"/>
          <w14:textFill>
            <w14:solidFill>
              <w14:schemeClr w14:val="tx1"/>
            </w14:solidFill>
          </w14:textFill>
        </w:rPr>
      </w:r>
      <w:r/>
    </w:p>
    <w:p>
      <w:pPr>
        <w:spacing w:after="120"/>
        <w:rPr>
          <w:rFonts w:hint="eastAsia" w:ascii="宋体" w:hAnsi="宋体" w:cs="宋体"/>
          <w:bCs/>
          <w:color w:val="000000" w:themeColor="text1"/>
          <w:sz w:val="22"/>
          <w14:textFill>
            <w14:solidFill>
              <w14:schemeClr w14:val="tx1"/>
            </w14:solidFill>
          </w14:textFill>
        </w:rPr>
      </w:pPr>
      <w:r>
        <w:rPr>
          <w:rFonts w:hint="eastAsia" w:ascii="宋体" w:hAnsi="宋体" w:cs="宋体"/>
          <w:bCs/>
          <w:color w:val="000000" w:themeColor="text1"/>
          <w:sz w:val="22"/>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ind w:firstLine="4180"/>
        <w:spacing w:line="480" w:lineRule="exact"/>
        <w:rPr>
          <w:rFonts w:hint="eastAsia" w:ascii="宋体" w:hAnsi="宋体" w:cs="宋体"/>
          <w:bCs/>
          <w:color w:val="000000" w:themeColor="text1"/>
          <w:sz w:val="22"/>
          <w14:textFill>
            <w14:solidFill>
              <w14:schemeClr w14:val="tx1"/>
            </w14:solidFill>
          </w14:textFill>
        </w:rPr>
      </w:pPr>
      <w:r>
        <w:rPr>
          <w:rFonts w:hint="eastAsia" w:ascii="宋体" w:hAnsi="宋体" w:cs="宋体"/>
          <w:bCs/>
          <w:color w:val="000000" w:themeColor="text1"/>
          <w:sz w:val="22"/>
          <w14:textFill>
            <w14:solidFill>
              <w14:schemeClr w14:val="tx1"/>
            </w14:solidFill>
          </w14:textFill>
        </w:rPr>
      </w:r>
      <w:r/>
    </w:p>
    <w:p>
      <w:pPr>
        <w:jc w:val="right"/>
        <w:spacing w:line="480" w:lineRule="exact"/>
        <w:rPr>
          <w:rFonts w:hint="eastAsia" w:ascii="宋体" w:hAnsi="宋体" w:cs="宋体"/>
          <w:bCs/>
          <w:color w:val="000000" w:themeColor="text1"/>
          <w:sz w:val="22"/>
          <w14:textFill>
            <w14:solidFill>
              <w14:schemeClr w14:val="tx1"/>
            </w14:solidFill>
          </w14:textFill>
        </w:rPr>
      </w:pPr>
      <w:r>
        <w:rPr>
          <w:rFonts w:hint="eastAsia" w:ascii="宋体" w:hAnsi="宋体" w:cs="宋体"/>
          <w:bCs/>
          <w:color w:val="000000" w:themeColor="text1"/>
          <w:sz w:val="22"/>
          <w14:textFill>
            <w14:solidFill>
              <w14:schemeClr w14:val="tx1"/>
            </w14:solidFill>
          </w14:textFill>
        </w:rPr>
        <w:t xml:space="preserve">投标人名称：</w:t>
      </w:r>
      <w:r>
        <w:rPr>
          <w:rFonts w:hint="eastAsia" w:ascii="宋体" w:hAnsi="宋体" w:cs="宋体"/>
          <w:bCs/>
          <w:color w:val="000000" w:themeColor="text1"/>
          <w:sz w:val="22"/>
          <w:u w:val="single"/>
          <w14:textFill>
            <w14:solidFill>
              <w14:schemeClr w14:val="tx1"/>
            </w14:solidFill>
          </w14:textFill>
        </w:rPr>
        <w:t xml:space="preserve">                              </w:t>
      </w:r>
      <w:r>
        <w:rPr>
          <w:rFonts w:hint="eastAsia" w:ascii="宋体" w:hAnsi="宋体" w:cs="宋体"/>
          <w:bCs/>
          <w:color w:val="000000" w:themeColor="text1"/>
          <w:sz w:val="22"/>
          <w14:textFill>
            <w14:solidFill>
              <w14:schemeClr w14:val="tx1"/>
            </w14:solidFill>
          </w14:textFill>
        </w:rPr>
        <w:t xml:space="preserve">（电子签章）</w:t>
      </w:r>
      <w:r/>
    </w:p>
    <w:p>
      <w:pPr>
        <w:spacing w:after="120"/>
        <w:rPr>
          <w:rFonts w:hint="eastAsia" w:ascii="宋体" w:hAnsi="宋体"/>
          <w:color w:val="000000" w:themeColor="text1"/>
          <w:sz w:val="20"/>
          <w:szCs w:val="24"/>
          <w14:textFill>
            <w14:solidFill>
              <w14:schemeClr w14:val="tx1"/>
            </w14:solidFill>
          </w14:textFill>
        </w:rPr>
      </w:pPr>
      <w:r>
        <w:rPr>
          <w:rFonts w:hint="eastAsia" w:ascii="宋体" w:hAnsi="宋体"/>
          <w:color w:val="000000" w:themeColor="text1"/>
          <w:sz w:val="20"/>
          <w:szCs w:val="24"/>
          <w14:textFill>
            <w14:solidFill>
              <w14:schemeClr w14:val="tx1"/>
            </w14:solidFill>
          </w14:textFill>
        </w:rPr>
      </w:r>
      <w:r/>
    </w:p>
    <w:p>
      <w:pPr>
        <w:jc w:val="right"/>
        <w:spacing w:line="440" w:lineRule="exact"/>
        <w:rPr>
          <w:rFonts w:hint="eastAsia" w:ascii="宋体" w:hAnsi="宋体" w:cs="宋体"/>
          <w:bCs/>
          <w:color w:val="000000" w:themeColor="text1"/>
          <w:sz w:val="22"/>
          <w14:textFill>
            <w14:solidFill>
              <w14:schemeClr w14:val="tx1"/>
            </w14:solidFill>
          </w14:textFill>
        </w:rPr>
      </w:pPr>
      <w:r>
        <w:rPr>
          <w:rFonts w:hint="eastAsia" w:ascii="宋体" w:hAnsi="宋体" w:cs="宋体"/>
          <w:bCs/>
          <w:color w:val="000000" w:themeColor="text1"/>
          <w:sz w:val="22"/>
          <w14:textFill>
            <w14:solidFill>
              <w14:schemeClr w14:val="tx1"/>
            </w14:solidFill>
          </w14:textFill>
        </w:rPr>
        <w:t xml:space="preserve">法定代表人或其委托代理人： </w:t>
      </w:r>
      <w:r>
        <w:rPr>
          <w:rFonts w:hint="eastAsia" w:ascii="宋体" w:hAnsi="宋体" w:cs="宋体"/>
          <w:bCs/>
          <w:color w:val="000000" w:themeColor="text1"/>
          <w:sz w:val="22"/>
          <w:u w:val="single"/>
          <w14:textFill>
            <w14:solidFill>
              <w14:schemeClr w14:val="tx1"/>
            </w14:solidFill>
          </w14:textFill>
        </w:rPr>
        <w:t xml:space="preserve">        </w:t>
      </w:r>
      <w:r>
        <w:rPr>
          <w:rFonts w:hint="eastAsia" w:ascii="宋体" w:hAnsi="宋体" w:cs="宋体"/>
          <w:bCs/>
          <w:color w:val="000000" w:themeColor="text1"/>
          <w:sz w:val="22"/>
          <w14:textFill>
            <w14:solidFill>
              <w14:schemeClr w14:val="tx1"/>
            </w14:solidFill>
          </w14:textFill>
        </w:rPr>
        <w:t xml:space="preserve">（电子签章或签名）</w:t>
      </w:r>
      <w:r/>
    </w:p>
    <w:p>
      <w:pPr>
        <w:spacing w:after="120"/>
        <w:rPr>
          <w:rFonts w:hint="eastAsia" w:ascii="宋体" w:hAnsi="宋体"/>
          <w:color w:val="000000" w:themeColor="text1"/>
          <w:sz w:val="20"/>
          <w:szCs w:val="24"/>
          <w14:textFill>
            <w14:solidFill>
              <w14:schemeClr w14:val="tx1"/>
            </w14:solidFill>
          </w14:textFill>
        </w:rPr>
      </w:pPr>
      <w:r>
        <w:rPr>
          <w:rFonts w:hint="eastAsia" w:ascii="宋体" w:hAnsi="宋体"/>
          <w:color w:val="000000" w:themeColor="text1"/>
          <w:sz w:val="20"/>
          <w:szCs w:val="24"/>
          <w14:textFill>
            <w14:solidFill>
              <w14:schemeClr w14:val="tx1"/>
            </w14:solidFill>
          </w14:textFill>
        </w:rPr>
      </w:r>
      <w:r/>
    </w:p>
    <w:p>
      <w:pPr>
        <w:jc w:val="right"/>
        <w:spacing w:line="440" w:lineRule="exact"/>
        <w:rPr>
          <w:rFonts w:hint="eastAsia" w:ascii="宋体" w:hAnsi="宋体"/>
          <w:color w:val="000000" w:themeColor="text1"/>
          <w:sz w:val="22"/>
          <w14:textFill>
            <w14:solidFill>
              <w14:schemeClr w14:val="tx1"/>
            </w14:solidFill>
          </w14:textFill>
        </w:rPr>
      </w:pPr>
      <w:r>
        <w:rPr>
          <w:rFonts w:hint="eastAsia" w:ascii="宋体" w:hAnsi="宋体" w:cs="宋体"/>
          <w:bCs/>
          <w:color w:val="000000" w:themeColor="text1"/>
          <w:sz w:val="22"/>
          <w14:textFill>
            <w14:solidFill>
              <w14:schemeClr w14:val="tx1"/>
            </w14:solidFill>
          </w14:textFill>
        </w:rPr>
        <w:t xml:space="preserve"> </w:t>
      </w:r>
      <w:r>
        <w:rPr>
          <w:rFonts w:ascii="宋体" w:hAnsi="宋体"/>
          <w:color w:val="000000" w:themeColor="text1"/>
          <w:sz w:val="22"/>
          <w:u w:val="single"/>
          <w14:textFill>
            <w14:solidFill>
              <w14:schemeClr w14:val="tx1"/>
            </w14:solidFill>
          </w14:textFill>
        </w:rPr>
        <w:t xml:space="preserve">         </w:t>
      </w:r>
      <w:r>
        <w:rPr>
          <w:rFonts w:ascii="宋体" w:hAnsi="宋体"/>
          <w:color w:val="000000" w:themeColor="text1"/>
          <w:sz w:val="22"/>
          <w14:textFill>
            <w14:solidFill>
              <w14:schemeClr w14:val="tx1"/>
            </w14:solidFill>
          </w14:textFill>
        </w:rPr>
        <w:t xml:space="preserve">年</w:t>
      </w:r>
      <w:r>
        <w:rPr>
          <w:rFonts w:ascii="宋体" w:hAnsi="宋体"/>
          <w:color w:val="000000" w:themeColor="text1"/>
          <w:sz w:val="22"/>
          <w:u w:val="single"/>
          <w14:textFill>
            <w14:solidFill>
              <w14:schemeClr w14:val="tx1"/>
            </w14:solidFill>
          </w14:textFill>
        </w:rPr>
        <w:t xml:space="preserve">   </w:t>
      </w:r>
      <w:r>
        <w:rPr>
          <w:rFonts w:ascii="宋体" w:hAnsi="宋体"/>
          <w:color w:val="000000" w:themeColor="text1"/>
          <w:sz w:val="22"/>
          <w14:textFill>
            <w14:solidFill>
              <w14:schemeClr w14:val="tx1"/>
            </w14:solidFill>
          </w14:textFill>
        </w:rPr>
        <w:t xml:space="preserve">月</w:t>
      </w:r>
      <w:r>
        <w:rPr>
          <w:rFonts w:ascii="宋体" w:hAnsi="宋体"/>
          <w:color w:val="000000" w:themeColor="text1"/>
          <w:sz w:val="22"/>
          <w:u w:val="single"/>
          <w14:textFill>
            <w14:solidFill>
              <w14:schemeClr w14:val="tx1"/>
            </w14:solidFill>
          </w14:textFill>
        </w:rPr>
        <w:t xml:space="preserve">   </w:t>
      </w:r>
      <w:r>
        <w:rPr>
          <w:rFonts w:ascii="宋体" w:hAnsi="宋体"/>
          <w:color w:val="000000" w:themeColor="text1"/>
          <w:sz w:val="22"/>
          <w14:textFill>
            <w14:solidFill>
              <w14:schemeClr w14:val="tx1"/>
            </w14:solidFill>
          </w14:textFill>
        </w:rPr>
        <w:t xml:space="preserve">日</w:t>
      </w:r>
      <w:r/>
    </w:p>
    <w:p>
      <w:pPr>
        <w:jc w:val="right"/>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jc w:val="center"/>
        <w:spacing w:before="320" w:line="360" w:lineRule="auto"/>
        <w:rPr>
          <w:rFonts w:hint="eastAsia" w:ascii="宋体" w:hAnsi="宋体" w:cs="宋体"/>
          <w:b/>
          <w:color w:val="000000" w:themeColor="text1"/>
          <w:sz w:val="32"/>
          <w14:textFill>
            <w14:solidFill>
              <w14:schemeClr w14:val="tx1"/>
            </w14:solidFill>
          </w14:textFill>
        </w:rPr>
        <w:outlineLvl w:val="3"/>
      </w:pPr>
      <w:r>
        <w:rPr>
          <w:rFonts w:hint="eastAsia" w:ascii="宋体" w:hAnsi="宋体" w:cs="宋体"/>
          <w:b/>
          <w:color w:val="000000" w:themeColor="text1"/>
          <w:sz w:val="32"/>
          <w14:textFill>
            <w14:solidFill>
              <w14:schemeClr w14:val="tx1"/>
            </w14:solidFill>
          </w14:textFill>
        </w:rPr>
        <w:t xml:space="preserve">（二）开标一览表</w:t>
      </w:r>
      <w:r/>
    </w:p>
    <w:tbl>
      <w:tblPr>
        <w:tblStyle w:val="669"/>
        <w:tblW w:w="9345" w:type="dxa"/>
        <w:tblInd w:w="4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34"/>
        <w:gridCol w:w="7111"/>
      </w:tblGrid>
      <w:tr>
        <w:trPr>
          <w:trHeight w:val="802"/>
        </w:trPr>
        <w:tc>
          <w:tcPr>
            <w:tcW w:w="2234" w:type="dxa"/>
            <w:vAlign w:val="center"/>
            <w:textDirection w:val="lrTb"/>
            <w:noWrap w:val="false"/>
          </w:tcPr>
          <w:p>
            <w:pPr>
              <w:jc w:val="cente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项目名称</w:t>
            </w:r>
            <w:r/>
          </w:p>
        </w:tc>
        <w:tc>
          <w:tcPr>
            <w:tcW w:w="7111" w:type="dxa"/>
            <w:vAlign w:val="center"/>
            <w:textDirection w:val="lrTb"/>
            <w:noWrap w:val="false"/>
          </w:tcPr>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r>
      <w:tr>
        <w:trPr>
          <w:trHeight w:val="802"/>
        </w:trPr>
        <w:tc>
          <w:tcPr>
            <w:tcW w:w="2234" w:type="dxa"/>
            <w:vAlign w:val="center"/>
            <w:textDirection w:val="lrTb"/>
            <w:noWrap w:val="false"/>
          </w:tcPr>
          <w:p>
            <w:pPr>
              <w:jc w:val="cente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项目编号</w:t>
            </w:r>
            <w:r/>
          </w:p>
        </w:tc>
        <w:tc>
          <w:tcPr>
            <w:tcW w:w="7111" w:type="dxa"/>
            <w:vAlign w:val="center"/>
            <w:textDirection w:val="lrTb"/>
            <w:noWrap w:val="false"/>
          </w:tcPr>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r>
      <w:tr>
        <w:trPr>
          <w:trHeight w:val="802"/>
        </w:trPr>
        <w:tc>
          <w:tcPr>
            <w:tcW w:w="2234" w:type="dxa"/>
            <w:vAlign w:val="center"/>
            <w:textDirection w:val="lrTb"/>
            <w:noWrap w:val="false"/>
          </w:tcPr>
          <w:p>
            <w:pPr>
              <w:jc w:val="cente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投标优惠率</w:t>
            </w:r>
            <w:r/>
          </w:p>
        </w:tc>
        <w:tc>
          <w:tcPr>
            <w:tcW w:w="7111" w:type="dxa"/>
            <w:vAlign w:val="center"/>
            <w:textDirection w:val="lrTb"/>
            <w:noWrap w:val="false"/>
          </w:tcPr>
          <w:p>
            <w:pPr>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p>
        </w:tc>
      </w:tr>
      <w:tr>
        <w:trPr>
          <w:trHeight w:val="865"/>
        </w:trPr>
        <w:tc>
          <w:tcPr>
            <w:tcW w:w="2234" w:type="dxa"/>
            <w:vAlign w:val="center"/>
            <w:textDirection w:val="lrTb"/>
            <w:noWrap w:val="false"/>
          </w:tcPr>
          <w:p>
            <w:pPr>
              <w:jc w:val="cente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其他说明</w:t>
            </w:r>
            <w:r/>
          </w:p>
        </w:tc>
        <w:tc>
          <w:tcPr>
            <w:tcW w:w="7111" w:type="dxa"/>
            <w:vAlign w:val="center"/>
            <w:textDirection w:val="lrTb"/>
            <w:noWrap w:val="false"/>
          </w:tcPr>
          <w:p>
            <w:pPr>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最终结算价格按照《泰州市市区机动车停车场服务收费管理办法》中规定的收费标准*（1-中标优惠率）</w:t>
            </w:r>
            <w:r/>
          </w:p>
        </w:tc>
      </w:tr>
    </w:tbl>
    <w:p>
      <w:pPr>
        <w:jc w:val="center"/>
        <w:spacing w:before="320" w:line="360" w:lineRule="auto"/>
        <w:rPr>
          <w:rFonts w:hint="eastAsia" w:ascii="宋体" w:hAnsi="宋体" w:cs="宋体"/>
          <w:b/>
          <w:color w:val="000000" w:themeColor="text1"/>
          <w:sz w:val="24"/>
          <w:szCs w:val="24"/>
          <w14:textFill>
            <w14:solidFill>
              <w14:schemeClr w14:val="tx1"/>
            </w14:solidFill>
          </w14:textFill>
        </w:rPr>
        <w:outlineLvl w:val="3"/>
      </w:pPr>
      <w:r>
        <w:rPr>
          <w:rFonts w:hint="eastAsia" w:ascii="宋体" w:hAnsi="宋体" w:cs="宋体"/>
          <w:b/>
          <w:color w:val="000000" w:themeColor="text1"/>
          <w:sz w:val="24"/>
          <w:szCs w:val="24"/>
          <w14:textFill>
            <w14:solidFill>
              <w14:schemeClr w14:val="tx1"/>
            </w14:solidFill>
          </w14:textFill>
        </w:rPr>
      </w:r>
      <w:r/>
    </w:p>
    <w:p>
      <w:pPr>
        <w:jc w:val="center"/>
        <w:spacing w:before="320" w:line="360" w:lineRule="auto"/>
        <w:rPr>
          <w:rFonts w:hint="eastAsia" w:ascii="宋体" w:hAnsi="宋体" w:cs="宋体"/>
          <w:b/>
          <w:color w:val="000000" w:themeColor="text1"/>
          <w:sz w:val="24"/>
          <w:szCs w:val="24"/>
          <w14:textFill>
            <w14:solidFill>
              <w14:schemeClr w14:val="tx1"/>
            </w14:solidFill>
          </w14:textFill>
        </w:rPr>
        <w:outlineLvl w:val="3"/>
      </w:pPr>
      <w:r>
        <w:rPr>
          <w:rFonts w:hint="eastAsia" w:ascii="宋体" w:hAnsi="宋体" w:cs="宋体"/>
          <w:b/>
          <w:color w:val="000000" w:themeColor="text1"/>
          <w:sz w:val="24"/>
          <w:szCs w:val="24"/>
          <w14:textFill>
            <w14:solidFill>
              <w14:schemeClr w14:val="tx1"/>
            </w14:solidFill>
          </w14:textFill>
        </w:rPr>
      </w:r>
      <w:r/>
    </w:p>
    <w:p>
      <w:pPr>
        <w:jc w:val="center"/>
        <w:spacing w:before="320" w:line="360" w:lineRule="auto"/>
        <w:rPr>
          <w:rFonts w:hint="eastAsia" w:ascii="宋体" w:hAnsi="宋体" w:cs="宋体"/>
          <w:b/>
          <w:color w:val="000000" w:themeColor="text1"/>
          <w:sz w:val="24"/>
          <w:szCs w:val="24"/>
          <w14:textFill>
            <w14:solidFill>
              <w14:schemeClr w14:val="tx1"/>
            </w14:solidFill>
          </w14:textFill>
        </w:rPr>
        <w:outlineLvl w:val="3"/>
      </w:pPr>
      <w:r>
        <w:rPr>
          <w:rFonts w:hint="eastAsia" w:ascii="宋体" w:hAnsi="宋体" w:cs="宋体"/>
          <w:b/>
          <w:color w:val="000000" w:themeColor="text1"/>
          <w:sz w:val="24"/>
          <w:szCs w:val="24"/>
          <w14:textFill>
            <w14:solidFill>
              <w14:schemeClr w14:val="tx1"/>
            </w14:solidFill>
          </w14:textFill>
        </w:rPr>
      </w:r>
      <w:r/>
    </w:p>
    <w:p>
      <w:pPr>
        <w:jc w:val="right"/>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投标人名称：</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 xml:space="preserve">（电子签章）</w:t>
      </w:r>
      <w:r/>
    </w:p>
    <w:p>
      <w:pPr>
        <w:spacing w:after="12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right"/>
        <w:spacing w:line="440" w:lineRule="exact"/>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法定代表人或其委托代理人： </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 xml:space="preserve">（电子签章或签名）</w:t>
      </w:r>
      <w:r/>
    </w:p>
    <w:p>
      <w:pPr>
        <w:spacing w:after="12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right"/>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年</w:t>
      </w:r>
      <w:r>
        <w:rPr>
          <w:rFonts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月</w:t>
      </w:r>
      <w:r>
        <w:rPr>
          <w:rFonts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日</w:t>
      </w:r>
      <w:r/>
    </w:p>
    <w:p>
      <w:pPr>
        <w:jc w:val="right"/>
        <w:spacing w:line="440" w:lineRule="exact"/>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r>
      <w:r/>
    </w:p>
    <w:p>
      <w:pPr>
        <w:jc w:val="center"/>
        <w:spacing w:before="320" w:line="360" w:lineRule="auto"/>
        <w:rPr>
          <w:rFonts w:hint="eastAsia" w:ascii="宋体" w:hAnsi="宋体"/>
          <w:b/>
          <w:color w:val="000000" w:themeColor="text1"/>
          <w:sz w:val="20"/>
          <w14:textFill>
            <w14:solidFill>
              <w14:schemeClr w14:val="tx1"/>
            </w14:solidFill>
          </w14:textFill>
        </w:rPr>
        <w:outlineLvl w:val="3"/>
      </w:pPr>
      <w:r>
        <w:rPr>
          <w:rFonts w:hint="eastAsia" w:ascii="宋体" w:hAnsi="宋体"/>
          <w:b/>
          <w:color w:val="000000" w:themeColor="text1"/>
          <w:sz w:val="20"/>
          <w14:textFill>
            <w14:solidFill>
              <w14:schemeClr w14:val="tx1"/>
            </w14:solidFill>
          </w14:textFill>
        </w:rPr>
      </w:r>
      <w:r/>
    </w:p>
    <w:p>
      <w:pPr>
        <w:jc w:val="center"/>
        <w:spacing w:before="320" w:line="360" w:lineRule="auto"/>
        <w:rPr>
          <w:rFonts w:hint="eastAsia" w:ascii="宋体" w:hAnsi="宋体"/>
          <w:b/>
          <w:color w:val="000000" w:themeColor="text1"/>
          <w:sz w:val="20"/>
          <w14:textFill>
            <w14:solidFill>
              <w14:schemeClr w14:val="tx1"/>
            </w14:solidFill>
          </w14:textFill>
        </w:rPr>
        <w:outlineLvl w:val="3"/>
      </w:pPr>
      <w:r>
        <w:rPr>
          <w:rFonts w:hint="eastAsia" w:ascii="宋体" w:hAnsi="宋体"/>
          <w:b/>
          <w:color w:val="000000" w:themeColor="text1"/>
          <w:sz w:val="20"/>
          <w14:textFill>
            <w14:solidFill>
              <w14:schemeClr w14:val="tx1"/>
            </w14:solidFill>
          </w14:textFill>
        </w:rPr>
      </w:r>
      <w:r/>
    </w:p>
    <w:p>
      <w:pPr>
        <w:jc w:val="center"/>
        <w:spacing w:before="320" w:line="360" w:lineRule="auto"/>
        <w:rPr>
          <w:rFonts w:hint="eastAsia" w:ascii="宋体" w:hAnsi="宋体"/>
          <w:b/>
          <w:color w:val="000000" w:themeColor="text1"/>
          <w:sz w:val="20"/>
          <w14:textFill>
            <w14:solidFill>
              <w14:schemeClr w14:val="tx1"/>
            </w14:solidFill>
          </w14:textFill>
        </w:rPr>
        <w:outlineLvl w:val="3"/>
      </w:pPr>
      <w:r>
        <w:rPr>
          <w:rFonts w:hint="eastAsia" w:ascii="宋体" w:hAnsi="宋体"/>
          <w:b/>
          <w:color w:val="000000" w:themeColor="text1"/>
          <w:sz w:val="20"/>
          <w14:textFill>
            <w14:solidFill>
              <w14:schemeClr w14:val="tx1"/>
            </w14:solidFill>
          </w14:textFill>
        </w:rPr>
      </w:r>
      <w:r/>
    </w:p>
    <w:p>
      <w:pPr>
        <w:jc w:val="center"/>
        <w:spacing w:before="320" w:line="360" w:lineRule="auto"/>
        <w:rPr>
          <w:rFonts w:hint="eastAsia" w:ascii="宋体" w:hAnsi="宋体"/>
          <w:b/>
          <w:color w:val="000000" w:themeColor="text1"/>
          <w:sz w:val="20"/>
          <w14:textFill>
            <w14:solidFill>
              <w14:schemeClr w14:val="tx1"/>
            </w14:solidFill>
          </w14:textFill>
        </w:rPr>
        <w:outlineLvl w:val="3"/>
      </w:pPr>
      <w:r>
        <w:rPr>
          <w:rFonts w:hint="eastAsia" w:ascii="宋体" w:hAnsi="宋体"/>
          <w:b/>
          <w:color w:val="000000" w:themeColor="text1"/>
          <w:sz w:val="20"/>
          <w14:textFill>
            <w14:solidFill>
              <w14:schemeClr w14:val="tx1"/>
            </w14:solidFill>
          </w14:textFill>
        </w:rPr>
      </w:r>
      <w:r/>
    </w:p>
    <w:p>
      <w:pPr>
        <w:jc w:val="center"/>
        <w:spacing w:before="320" w:line="360" w:lineRule="auto"/>
        <w:rPr>
          <w:rFonts w:hint="eastAsia" w:ascii="宋体" w:hAnsi="宋体"/>
          <w:b/>
          <w:color w:val="000000" w:themeColor="text1"/>
          <w:sz w:val="20"/>
          <w14:textFill>
            <w14:solidFill>
              <w14:schemeClr w14:val="tx1"/>
            </w14:solidFill>
          </w14:textFill>
        </w:rPr>
        <w:outlineLvl w:val="3"/>
      </w:pPr>
      <w:r>
        <w:rPr>
          <w:rFonts w:hint="eastAsia" w:ascii="宋体" w:hAnsi="宋体"/>
          <w:b/>
          <w:color w:val="000000" w:themeColor="text1"/>
          <w:sz w:val="20"/>
          <w14:textFill>
            <w14:solidFill>
              <w14:schemeClr w14:val="tx1"/>
            </w14:solidFill>
          </w14:textFill>
        </w:rPr>
      </w:r>
      <w:r/>
    </w:p>
    <w:p>
      <w:pPr>
        <w:jc w:val="center"/>
        <w:spacing w:before="320" w:line="360" w:lineRule="auto"/>
        <w:rPr>
          <w:rFonts w:hint="eastAsia" w:ascii="宋体" w:hAnsi="宋体"/>
          <w:b/>
          <w:color w:val="000000" w:themeColor="text1"/>
          <w:sz w:val="20"/>
          <w14:textFill>
            <w14:solidFill>
              <w14:schemeClr w14:val="tx1"/>
            </w14:solidFill>
          </w14:textFill>
        </w:rPr>
        <w:outlineLvl w:val="3"/>
      </w:pPr>
      <w:r>
        <w:rPr>
          <w:rFonts w:hint="eastAsia" w:ascii="宋体" w:hAnsi="宋体"/>
          <w:b/>
          <w:color w:val="000000" w:themeColor="text1"/>
          <w:sz w:val="20"/>
          <w14:textFill>
            <w14:solidFill>
              <w14:schemeClr w14:val="tx1"/>
            </w14:solidFill>
          </w14:textFill>
        </w:rPr>
      </w:r>
      <w:r/>
    </w:p>
    <w:p>
      <w:pPr>
        <w:jc w:val="center"/>
        <w:spacing w:before="320" w:line="360" w:lineRule="auto"/>
        <w:rPr>
          <w:rFonts w:hint="eastAsia" w:ascii="宋体" w:hAnsi="宋体" w:cs="宋体"/>
          <w:b/>
          <w:color w:val="000000" w:themeColor="text1"/>
          <w:sz w:val="32"/>
          <w14:textFill>
            <w14:solidFill>
              <w14:schemeClr w14:val="tx1"/>
            </w14:solidFill>
          </w14:textFill>
        </w:rPr>
        <w:outlineLvl w:val="3"/>
      </w:pPr>
      <w:r>
        <w:rPr>
          <w:rFonts w:ascii="宋体" w:hAnsi="宋体" w:cs="黑体"/>
          <w:bCs/>
          <w:color w:val="000000" w:themeColor="text1"/>
          <w:sz w:val="32"/>
          <w14:textFill>
            <w14:solidFill>
              <w14:schemeClr w14:val="tx1"/>
            </w14:solidFill>
          </w14:textFill>
        </w:rPr>
        <w:br w:type="page" w:clear="all"/>
      </w:r>
      <w:r>
        <w:rPr>
          <w:rFonts w:hint="eastAsia" w:ascii="宋体" w:hAnsi="宋体" w:cs="黑体"/>
          <w:bCs/>
          <w:color w:val="000000" w:themeColor="text1"/>
          <w:sz w:val="32"/>
          <w14:textFill>
            <w14:solidFill>
              <w14:schemeClr w14:val="tx1"/>
            </w14:solidFill>
          </w14:textFill>
        </w:rPr>
        <w:t xml:space="preserve">二、资格证明文件</w:t>
      </w:r>
      <w:r/>
    </w:p>
    <w:p>
      <w:pPr>
        <w:ind w:left="420"/>
        <w:jc w:val="center"/>
        <w:spacing w:line="360" w:lineRule="auto"/>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（一）独立承担民事行为的能力证明</w:t>
      </w:r>
      <w:r/>
    </w:p>
    <w:p>
      <w:pPr>
        <w:pStyle w:val="674"/>
        <w:spacing w:line="360" w:lineRule="auto"/>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r>
      <w:r/>
    </w:p>
    <w:tbl>
      <w:tblPr>
        <w:tblStyle w:val="6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85"/>
      </w:tblGrid>
      <w:tr>
        <w:trPr>
          <w:jc w:val="center"/>
          <w:trHeight w:val="3094"/>
        </w:trPr>
        <w:tc>
          <w:tcPr>
            <w:tcW w:w="4685" w:type="dxa"/>
            <w:vAlign w:val="center"/>
            <w:textDirection w:val="lrTb"/>
            <w:noWrap w:val="false"/>
          </w:tcPr>
          <w:p>
            <w:pPr>
              <w:pStyle w:val="674"/>
              <w:jc w:val="center"/>
              <w:spacing w:line="360" w:lineRule="auto"/>
              <w:rPr>
                <w:rFonts w:hint="eastAsia" w:ascii="宋体" w:hAnsi="宋体" w:cs="宋体"/>
                <w:b/>
                <w:bCs/>
                <w:color w:val="000000" w:themeColor="text1"/>
                <w:sz w:val="24"/>
                <w:szCs w:val="28"/>
                <w14:textFill>
                  <w14:solidFill>
                    <w14:schemeClr w14:val="tx1"/>
                  </w14:solidFill>
                </w14:textFill>
              </w:rPr>
            </w:pPr>
            <w:r>
              <w:rPr>
                <w:rFonts w:hint="eastAsia" w:ascii="宋体" w:hAnsi="宋体" w:cs="宋体"/>
                <w:b/>
                <w:bCs/>
                <w:color w:val="000000" w:themeColor="text1"/>
                <w:sz w:val="24"/>
                <w:szCs w:val="21"/>
                <w14:textFill>
                  <w14:solidFill>
                    <w14:schemeClr w14:val="tx1"/>
                  </w14:solidFill>
                </w14:textFill>
              </w:rPr>
              <w:t xml:space="preserve">提供营业执照或事业单位法人证书原件扫描件</w:t>
            </w:r>
            <w:r/>
          </w:p>
        </w:tc>
      </w:tr>
    </w:tbl>
    <w:p>
      <w:pPr>
        <w:pStyle w:val="674"/>
        <w:spacing w:line="360" w:lineRule="auto"/>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r>
      <w:r/>
    </w:p>
    <w:p>
      <w:pPr>
        <w:ind w:left="42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left="42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left="42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left="42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left="42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left="42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left="42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left="42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left="42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left="42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left="42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left="42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left="420"/>
        <w:jc w:val="center"/>
        <w:spacing w:line="360" w:lineRule="auto"/>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r>
      <w:r/>
    </w:p>
    <w:p>
      <w:pPr>
        <w:ind w:left="420"/>
        <w:jc w:val="center"/>
        <w:spacing w:line="360" w:lineRule="auto"/>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r>
      <w:r/>
    </w:p>
    <w:p>
      <w:pPr>
        <w:ind w:left="420"/>
        <w:jc w:val="center"/>
        <w:spacing w:line="360" w:lineRule="auto"/>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r>
      <w:r/>
    </w:p>
    <w:p>
      <w:pPr>
        <w:ind w:left="420"/>
        <w:jc w:val="center"/>
        <w:spacing w:line="360" w:lineRule="auto"/>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r>
      <w:r/>
    </w:p>
    <w:p>
      <w:pPr>
        <w:ind w:left="420"/>
        <w:jc w:val="center"/>
        <w:spacing w:line="360" w:lineRule="auto"/>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r>
      <w:r/>
    </w:p>
    <w:p>
      <w:pPr>
        <w:ind w:left="420"/>
        <w:jc w:val="center"/>
        <w:spacing w:line="360" w:lineRule="auto"/>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r>
      <w:r/>
    </w:p>
    <w:p>
      <w:pPr>
        <w:ind w:left="420"/>
        <w:jc w:val="center"/>
        <w:spacing w:line="360" w:lineRule="auto"/>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（二）资格条件承诺书</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致：</w:t>
      </w:r>
      <w:r>
        <w:rPr>
          <w:rFonts w:hint="eastAsia" w:ascii="宋体" w:hAnsi="宋体" w:cs="宋体"/>
          <w:color w:val="000000" w:themeColor="text1"/>
          <w:sz w:val="24"/>
          <w:u w:val="single"/>
          <w14:textFill>
            <w14:solidFill>
              <w14:schemeClr w14:val="tx1"/>
            </w14:solidFill>
          </w14:textFill>
        </w:rPr>
        <w:t xml:space="preserve">      （采购人名称）    </w:t>
      </w:r>
      <w:r>
        <w:rPr>
          <w:rFonts w:hint="eastAsia" w:ascii="宋体" w:hAnsi="宋体" w:cs="宋体"/>
          <w:color w:val="000000" w:themeColor="text1"/>
          <w:sz w:val="24"/>
          <w:u w:val="single"/>
          <w14:textFill>
            <w14:solidFill>
              <w14:schemeClr w14:val="tx1"/>
            </w14:solidFill>
          </w14:textFill>
        </w:rPr>
        <w:tab/>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我单位</w:t>
      </w:r>
      <w:r>
        <w:rPr>
          <w:rFonts w:hint="eastAsia" w:ascii="宋体" w:hAnsi="宋体" w:cs="宋体"/>
          <w:color w:val="000000" w:themeColor="text1"/>
          <w:sz w:val="22"/>
          <w:u w:val="single"/>
          <w14:textFill>
            <w14:solidFill>
              <w14:schemeClr w14:val="tx1"/>
            </w14:solidFill>
          </w14:textFill>
        </w:rPr>
        <w:t xml:space="preserve">      （供应商名称）     </w:t>
      </w:r>
      <w:r>
        <w:rPr>
          <w:rFonts w:hint="eastAsia" w:ascii="宋体" w:hAnsi="宋体" w:cs="宋体"/>
          <w:color w:val="000000" w:themeColor="text1"/>
          <w:sz w:val="22"/>
          <w14:textFill>
            <w14:solidFill>
              <w14:schemeClr w14:val="tx1"/>
            </w14:solidFill>
          </w14:textFill>
        </w:rPr>
        <w:t xml:space="preserve">已详细阅读了</w:t>
      </w:r>
      <w:r>
        <w:rPr>
          <w:rFonts w:hint="eastAsia" w:ascii="宋体" w:hAnsi="宋体" w:cs="宋体"/>
          <w:color w:val="000000" w:themeColor="text1"/>
          <w:sz w:val="22"/>
          <w:u w:val="single"/>
          <w14:textFill>
            <w14:solidFill>
              <w14:schemeClr w14:val="tx1"/>
            </w14:solidFill>
          </w14:textFill>
        </w:rPr>
        <w:t xml:space="preserve">              </w:t>
      </w:r>
      <w:r>
        <w:rPr>
          <w:rFonts w:hint="eastAsia" w:ascii="宋体" w:hAnsi="宋体" w:cs="宋体"/>
          <w:color w:val="000000" w:themeColor="text1"/>
          <w:sz w:val="22"/>
          <w14:textFill>
            <w14:solidFill>
              <w14:schemeClr w14:val="tx1"/>
            </w14:solidFill>
          </w14:textFill>
        </w:rPr>
        <w:t xml:space="preserve">项目招标文件，我单位在此郑重承诺如下：</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1</w:t>
      </w:r>
      <w:r>
        <w:rPr>
          <w:rFonts w:ascii="宋体" w:hAnsi="宋体" w:cs="宋体"/>
          <w:color w:val="000000" w:themeColor="text1"/>
          <w:sz w:val="22"/>
          <w14:textFill>
            <w14:solidFill>
              <w14:schemeClr w14:val="tx1"/>
            </w14:solidFill>
          </w14:textFill>
        </w:rPr>
        <w:t xml:space="preserve">.</w:t>
      </w:r>
      <w:r>
        <w:rPr>
          <w:rFonts w:hint="eastAsia" w:ascii="宋体" w:hAnsi="宋体" w:cs="宋体"/>
          <w:color w:val="000000" w:themeColor="text1"/>
          <w:sz w:val="22"/>
          <w14:textFill>
            <w14:solidFill>
              <w14:schemeClr w14:val="tx1"/>
            </w14:solidFill>
          </w14:textFill>
        </w:rPr>
        <w:t xml:space="preserve"> 我单位具有良好的商业信誉和健全的财务会计制度；</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2</w:t>
      </w:r>
      <w:r>
        <w:rPr>
          <w:rFonts w:ascii="宋体" w:hAnsi="宋体" w:cs="宋体"/>
          <w:color w:val="000000" w:themeColor="text1"/>
          <w:sz w:val="22"/>
          <w14:textFill>
            <w14:solidFill>
              <w14:schemeClr w14:val="tx1"/>
            </w14:solidFill>
          </w14:textFill>
        </w:rPr>
        <w:t xml:space="preserve">.</w:t>
      </w:r>
      <w:r>
        <w:rPr>
          <w:rFonts w:hint="eastAsia" w:ascii="宋体" w:hAnsi="宋体" w:cs="宋体"/>
          <w:color w:val="000000" w:themeColor="text1"/>
          <w:sz w:val="22"/>
          <w14:textFill>
            <w14:solidFill>
              <w14:schemeClr w14:val="tx1"/>
            </w14:solidFill>
          </w14:textFill>
        </w:rPr>
        <w:t xml:space="preserve"> 我单位具有履行合同所必需的设备和专业技术能力；</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w:t>
      </w:r>
      <w:r>
        <w:rPr>
          <w:rFonts w:ascii="宋体" w:hAnsi="宋体" w:cs="宋体"/>
          <w:color w:val="000000" w:themeColor="text1"/>
          <w:sz w:val="22"/>
          <w14:textFill>
            <w14:solidFill>
              <w14:schemeClr w14:val="tx1"/>
            </w14:solidFill>
          </w14:textFill>
        </w:rPr>
        <w:t xml:space="preserve">.</w:t>
      </w:r>
      <w:r>
        <w:rPr>
          <w:rFonts w:hint="eastAsia" w:ascii="宋体" w:hAnsi="宋体" w:cs="宋体"/>
          <w:color w:val="000000" w:themeColor="text1"/>
          <w:sz w:val="22"/>
          <w14:textFill>
            <w14:solidFill>
              <w14:schemeClr w14:val="tx1"/>
            </w14:solidFill>
          </w14:textFill>
        </w:rPr>
        <w:t xml:space="preserve"> 我单位有依法缴纳税收和社会保障资金的良好记录；</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4</w:t>
      </w:r>
      <w:r>
        <w:rPr>
          <w:rFonts w:ascii="宋体" w:hAnsi="宋体" w:cs="宋体"/>
          <w:color w:val="000000" w:themeColor="text1"/>
          <w:sz w:val="22"/>
          <w14:textFill>
            <w14:solidFill>
              <w14:schemeClr w14:val="tx1"/>
            </w14:solidFill>
          </w14:textFill>
        </w:rPr>
        <w:t xml:space="preserve">.</w:t>
      </w:r>
      <w:r>
        <w:rPr>
          <w:rFonts w:hint="eastAsia" w:ascii="宋体" w:hAnsi="宋体" w:cs="宋体"/>
          <w:color w:val="000000" w:themeColor="text1"/>
          <w:sz w:val="22"/>
          <w14:textFill>
            <w14:solidFill>
              <w14:schemeClr w14:val="tx1"/>
            </w14:solidFill>
          </w14:textFill>
        </w:rPr>
        <w:t xml:space="preserve"> 我单位参加政府采购活动前三年内，在经营活动中没有重大违法记录；</w:t>
      </w:r>
      <w:r/>
    </w:p>
    <w:p>
      <w:pPr>
        <w:ind w:firstLine="44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以上承诺内容真实准确，若有不实，自愿承担相应的法律责任。</w:t>
      </w:r>
      <w:r/>
    </w:p>
    <w:p>
      <w:pPr>
        <w:ind w:left="42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left="42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left="42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left="42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left="42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jc w:val="right"/>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供应商名称：</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 xml:space="preserve">（电子签章）</w:t>
      </w:r>
      <w:r/>
    </w:p>
    <w:p>
      <w:pPr>
        <w:jc w:val="righ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 </w:t>
      </w:r>
      <w:r>
        <w:rPr>
          <w:rFonts w:ascii="宋体" w:hAnsi="宋体" w:cs="宋体"/>
          <w:bCs/>
          <w:color w:val="000000" w:themeColor="text1"/>
          <w:sz w:val="24"/>
          <w:szCs w:val="24"/>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 xml:space="preserve">法定代表人或其委托代理人： </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 xml:space="preserve">（电子签章</w:t>
      </w:r>
      <w:r>
        <w:rPr>
          <w:rFonts w:hint="eastAsia" w:ascii="宋体" w:hAnsi="宋体"/>
          <w:color w:val="000000" w:themeColor="text1"/>
          <w:spacing w:val="20"/>
          <w:sz w:val="24"/>
          <w14:textFill>
            <w14:solidFill>
              <w14:schemeClr w14:val="tx1"/>
            </w14:solidFill>
          </w14:textFill>
        </w:rPr>
        <w:t xml:space="preserve">或签字</w:t>
      </w:r>
      <w:r>
        <w:rPr>
          <w:rFonts w:hint="eastAsia" w:ascii="宋体" w:hAnsi="宋体" w:cs="宋体"/>
          <w:bCs/>
          <w:color w:val="000000" w:themeColor="text1"/>
          <w:sz w:val="24"/>
          <w:szCs w:val="24"/>
          <w14:textFill>
            <w14:solidFill>
              <w14:schemeClr w14:val="tx1"/>
            </w14:solidFill>
          </w14:textFill>
        </w:rPr>
        <w:t xml:space="preserve">）</w:t>
      </w:r>
      <w:r/>
    </w:p>
    <w:p>
      <w:pPr>
        <w:jc w:val="right"/>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p>
      <w:pPr>
        <w:jc w:val="righ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年</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月</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日</w:t>
      </w:r>
      <w:r/>
    </w:p>
    <w:p>
      <w:pPr>
        <w:ind w:left="42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left="42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left="42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left="42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left="42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left="42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left="42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jc w:val="center"/>
        <w:spacing w:after="240" w:line="360" w:lineRule="auto"/>
        <w:rPr>
          <w:rFonts w:hint="eastAsia"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br w:type="page" w:clear="all"/>
      </w:r>
      <w:r>
        <w:rPr>
          <w:rFonts w:ascii="宋体" w:hAnsi="宋体" w:cs="宋体"/>
          <w:b/>
          <w:bCs/>
          <w:color w:val="000000" w:themeColor="text1"/>
          <w:sz w:val="28"/>
          <w:szCs w:val="28"/>
          <w14:textFill>
            <w14:solidFill>
              <w14:schemeClr w14:val="tx1"/>
            </w14:solidFill>
          </w14:textFill>
        </w:rPr>
        <w:t xml:space="preserve">（</w:t>
      </w:r>
      <w:r>
        <w:rPr>
          <w:rFonts w:hint="eastAsia" w:ascii="宋体" w:hAnsi="宋体" w:cs="宋体"/>
          <w:b/>
          <w:bCs/>
          <w:color w:val="000000" w:themeColor="text1"/>
          <w:sz w:val="28"/>
          <w:szCs w:val="28"/>
          <w14:textFill>
            <w14:solidFill>
              <w14:schemeClr w14:val="tx1"/>
            </w14:solidFill>
          </w14:textFill>
        </w:rPr>
        <w:t xml:space="preserve">三</w:t>
      </w:r>
      <w:r>
        <w:rPr>
          <w:rFonts w:ascii="宋体" w:hAnsi="宋体" w:cs="宋体"/>
          <w:b/>
          <w:bCs/>
          <w:color w:val="000000" w:themeColor="text1"/>
          <w:sz w:val="28"/>
          <w:szCs w:val="28"/>
          <w14:textFill>
            <w14:solidFill>
              <w14:schemeClr w14:val="tx1"/>
            </w14:solidFill>
          </w14:textFill>
        </w:rPr>
        <w:t xml:space="preserve">）</w:t>
      </w:r>
      <w:r>
        <w:rPr>
          <w:rFonts w:hint="eastAsia" w:ascii="宋体" w:hAnsi="宋体" w:cs="宋体"/>
          <w:b/>
          <w:bCs/>
          <w:color w:val="000000" w:themeColor="text1"/>
          <w:sz w:val="28"/>
          <w:szCs w:val="28"/>
          <w14:textFill>
            <w14:solidFill>
              <w14:schemeClr w14:val="tx1"/>
            </w14:solidFill>
          </w14:textFill>
        </w:rPr>
        <w:t xml:space="preserve">承诺书</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致：</w:t>
      </w:r>
      <w:r>
        <w:rPr>
          <w:rFonts w:hint="eastAsia" w:ascii="宋体" w:hAnsi="宋体" w:cs="宋体"/>
          <w:color w:val="000000" w:themeColor="text1"/>
          <w:sz w:val="24"/>
          <w:u w:val="single"/>
          <w14:textFill>
            <w14:solidFill>
              <w14:schemeClr w14:val="tx1"/>
            </w14:solidFill>
          </w14:textFill>
        </w:rPr>
        <w:t xml:space="preserve">      （采购人名称）    </w:t>
      </w:r>
      <w:r>
        <w:rPr>
          <w:rFonts w:hint="eastAsia" w:ascii="宋体" w:hAnsi="宋体" w:cs="宋体"/>
          <w:color w:val="000000" w:themeColor="text1"/>
          <w:sz w:val="24"/>
          <w:u w:val="single"/>
          <w14:textFill>
            <w14:solidFill>
              <w14:schemeClr w14:val="tx1"/>
            </w14:solidFill>
          </w14:textFill>
        </w:rPr>
        <w:tab/>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我单位 </w:t>
      </w:r>
      <w:r>
        <w:rPr>
          <w:rFonts w:hint="eastAsia" w:ascii="宋体" w:hAnsi="宋体" w:cs="宋体"/>
          <w:color w:val="000000" w:themeColor="text1"/>
          <w:sz w:val="24"/>
          <w:u w:val="single"/>
          <w14:textFill>
            <w14:solidFill>
              <w14:schemeClr w14:val="tx1"/>
            </w14:solidFill>
          </w14:textFill>
        </w:rPr>
        <w:t xml:space="preserve">  （供应商名称）</w:t>
      </w:r>
      <w:r>
        <w:rPr>
          <w:rFonts w:hint="eastAsia" w:ascii="宋体" w:hAnsi="宋体" w:cs="宋体"/>
          <w:color w:val="000000" w:themeColor="text1"/>
          <w:sz w:val="24"/>
          <w14:textFill>
            <w14:solidFill>
              <w14:schemeClr w14:val="tx1"/>
            </w14:solidFill>
          </w14:textFill>
        </w:rPr>
        <w:t xml:space="preserve">已详细阅读了</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项目招标文件，自愿参加本次投标，我单位在此郑重承诺：投标截止日当日，我单位不得存在下列情形之一：</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1.为本项目提供整体设计、规范编制或者项目管理、监理、检测等服务的供应商；</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2.单位负责人为同一人或者存在直接控股、管理关系的不同供应商；</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3.在“信用中国”网站（www.creditchina.gov.cn）中被列入失信惩戒对象、重大税收违法案件当事人名单；</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4.在“中国政府采购网”（www.ccgp.gov.cn）中未被列入政府采购严重违法失信行为记录名单。</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以上承诺如有虚假，我单位将无条件接受采购人及政府采购监督部门的处罚；给采购人造成损失的，依法承担赔偿责任。</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674"/>
        <w:spacing w:line="360" w:lineRule="auto"/>
        <w:rPr>
          <w:rFonts w:hint="eastAsia" w:ascii="宋体" w:hAns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right"/>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供应商名称：</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 xml:space="preserve">（电子签章）</w:t>
      </w:r>
      <w:r/>
    </w:p>
    <w:p>
      <w:pPr>
        <w:jc w:val="right"/>
        <w:spacing w:line="360" w:lineRule="auto"/>
        <w:rPr>
          <w:rFonts w:hint="eastAsia" w:ascii="宋体" w:hAnsi="宋体" w:cs="宋体"/>
          <w:color w:val="000000" w:themeColor="text1"/>
          <w:sz w:val="28"/>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法定代表人或其委托代理人： </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 xml:space="preserve">（电子签章</w:t>
      </w:r>
      <w:r>
        <w:rPr>
          <w:rFonts w:hint="eastAsia" w:ascii="宋体" w:hAnsi="宋体"/>
          <w:color w:val="000000" w:themeColor="text1"/>
          <w:spacing w:val="20"/>
          <w:sz w:val="24"/>
          <w14:textFill>
            <w14:solidFill>
              <w14:schemeClr w14:val="tx1"/>
            </w14:solidFill>
          </w14:textFill>
        </w:rPr>
        <w:t xml:space="preserve">或签字</w:t>
      </w:r>
      <w:r>
        <w:rPr>
          <w:rFonts w:hint="eastAsia" w:ascii="宋体" w:hAnsi="宋体" w:cs="宋体"/>
          <w:bCs/>
          <w:color w:val="000000" w:themeColor="text1"/>
          <w:sz w:val="24"/>
          <w14:textFill>
            <w14:solidFill>
              <w14:schemeClr w14:val="tx1"/>
            </w14:solidFill>
          </w14:textFill>
        </w:rPr>
        <w:t xml:space="preserve">）</w:t>
      </w:r>
      <w:r/>
    </w:p>
    <w:p>
      <w:pPr>
        <w:jc w:val="righ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年</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月</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日</w:t>
      </w:r>
      <w:r/>
    </w:p>
    <w:p>
      <w:pPr>
        <w:jc w:val="right"/>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jc w:val="right"/>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jc w:val="right"/>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firstLine="528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firstLine="5280"/>
        <w:spacing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pStyle w:val="674"/>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jc w:val="center"/>
        <w:spacing w:line="360" w:lineRule="auto"/>
        <w:rPr>
          <w:rFonts w:hint="eastAsia"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br w:type="page" w:clear="all"/>
      </w:r>
      <w:r>
        <w:rPr>
          <w:rFonts w:hint="eastAsia" w:ascii="宋体" w:hAnsi="宋体" w:cs="宋体"/>
          <w:b/>
          <w:bCs/>
          <w:color w:val="000000" w:themeColor="text1"/>
          <w:sz w:val="28"/>
          <w:szCs w:val="28"/>
          <w14:textFill>
            <w14:solidFill>
              <w14:schemeClr w14:val="tx1"/>
            </w14:solidFill>
          </w14:textFill>
        </w:rPr>
        <w:t xml:space="preserve">（四）声明函（如有）</w:t>
      </w:r>
      <w:r/>
    </w:p>
    <w:p>
      <w:pPr>
        <w:spacing w:after="320" w:line="360" w:lineRule="auto"/>
        <w:rPr>
          <w:rFonts w:hint="eastAsia" w:ascii="宋体" w:hAnsi="宋体" w:cs="宋体"/>
          <w:b/>
          <w:bCs/>
          <w:color w:val="000000" w:themeColor="text1"/>
          <w:sz w:val="28"/>
          <w:szCs w:val="28"/>
          <w14:textFill>
            <w14:solidFill>
              <w14:schemeClr w14:val="tx1"/>
            </w14:solidFill>
          </w14:textFill>
        </w:rPr>
      </w:pPr>
      <w:r/>
      <w:bookmarkStart w:id="178" w:name="_Hlk110869052"/>
      <w:r>
        <w:rPr>
          <w:rFonts w:ascii="宋体" w:hAnsi="宋体" w:cs="宋体"/>
          <w:b/>
          <w:bCs/>
          <w:color w:val="000000" w:themeColor="text1"/>
          <w:sz w:val="28"/>
          <w:szCs w:val="28"/>
          <w14:textFill>
            <w14:solidFill>
              <w14:schemeClr w14:val="tx1"/>
            </w14:solidFill>
          </w14:textFill>
        </w:rPr>
        <w:t xml:space="preserve">4-1</w:t>
      </w:r>
      <w:r>
        <w:rPr>
          <w:rFonts w:hint="eastAsia" w:ascii="宋体" w:hAnsi="宋体" w:cs="宋体"/>
          <w:b/>
          <w:bCs/>
          <w:color w:val="000000" w:themeColor="text1"/>
          <w:sz w:val="28"/>
          <w:szCs w:val="28"/>
          <w14:textFill>
            <w14:solidFill>
              <w14:schemeClr w14:val="tx1"/>
            </w14:solidFill>
          </w14:textFill>
        </w:rPr>
        <w:t xml:space="preserve">中小企业声明函</w:t>
      </w:r>
      <w:bookmarkEnd w:id="178"/>
      <w:r>
        <w:rPr>
          <w:rFonts w:hint="eastAsia" w:ascii="宋体" w:hAnsi="宋体" w:cs="宋体"/>
          <w:b/>
          <w:bCs/>
          <w:color w:val="000000" w:themeColor="text1"/>
          <w:sz w:val="28"/>
          <w:szCs w:val="28"/>
          <w14:textFill>
            <w14:solidFill>
              <w14:schemeClr w14:val="tx1"/>
            </w14:solidFill>
          </w14:textFill>
        </w:rPr>
        <w:t xml:space="preserve">（服务）</w:t>
      </w:r>
      <w:r/>
    </w:p>
    <w:p>
      <w:pPr>
        <w:ind w:firstLine="480"/>
        <w:jc w:val="left"/>
        <w:spacing w:line="360" w:lineRule="auto"/>
        <w:rPr>
          <w:rFonts w:hint="eastAsia" w:ascii="宋体" w:hAnsi="宋体" w:cs="宋体"/>
          <w:color w:val="000000" w:themeColor="text1"/>
          <w:sz w:val="24"/>
          <w:szCs w:val="24"/>
          <w:lang w:val="zh-CN" w:bidi="zh-CN"/>
          <w14:textFill>
            <w14:solidFill>
              <w14:schemeClr w14:val="tx1"/>
            </w14:solidFill>
          </w14:textFill>
        </w:rPr>
      </w:pPr>
      <w:r>
        <w:rPr>
          <w:rFonts w:hint="eastAsia" w:ascii="宋体" w:hAnsi="宋体" w:cs="宋体"/>
          <w:color w:val="000000" w:themeColor="text1"/>
          <w:sz w:val="24"/>
          <w:szCs w:val="24"/>
          <w:lang w:val="zh-CN" w:bidi="zh-CN"/>
          <w14:textFill>
            <w14:solidFill>
              <w14:schemeClr w14:val="tx1"/>
            </w14:solidFill>
          </w14:textFill>
        </w:rPr>
        <w:t xml:space="preserve">本公司（联合体）郑重声明，根据《政府采购促进中小企业发展管理办法》（财库﹝</w:t>
      </w:r>
      <w:r>
        <w:rPr>
          <w:rFonts w:ascii="宋体" w:hAnsi="宋体" w:cs="宋体"/>
          <w:color w:val="000000" w:themeColor="text1"/>
          <w:sz w:val="24"/>
          <w:szCs w:val="24"/>
          <w:lang w:val="zh-CN" w:bidi="zh-CN"/>
          <w14:textFill>
            <w14:solidFill>
              <w14:schemeClr w14:val="tx1"/>
            </w14:solidFill>
          </w14:textFill>
        </w:rPr>
        <w:t xml:space="preserve">2020﹞46 号）的规定，本公司</w:t>
      </w:r>
      <w:r>
        <w:rPr>
          <w:rFonts w:hint="eastAsia" w:ascii="宋体" w:hAnsi="宋体" w:cs="宋体"/>
          <w:color w:val="000000" w:themeColor="text1"/>
          <w:sz w:val="24"/>
          <w:szCs w:val="24"/>
          <w:lang w:val="zh-CN" w:bidi="zh-CN"/>
          <w14:textFill>
            <w14:solidFill>
              <w14:schemeClr w14:val="tx1"/>
            </w14:solidFill>
          </w14:textFill>
        </w:rPr>
        <w:t xml:space="preserve">（联合体）参加</w:t>
      </w:r>
      <w:r>
        <w:rPr>
          <w:rFonts w:ascii="宋体" w:hAnsi="宋体" w:cs="宋体"/>
          <w:color w:val="000000" w:themeColor="text1"/>
          <w:sz w:val="24"/>
          <w:szCs w:val="24"/>
          <w:lang w:val="zh-CN" w:bidi="zh-CN"/>
          <w14:textFill>
            <w14:solidFill>
              <w14:schemeClr w14:val="tx1"/>
            </w14:solidFill>
          </w14:textFill>
        </w:rPr>
        <w:t xml:space="preserve"> </w:t>
      </w:r>
      <w:r>
        <w:rPr>
          <w:rFonts w:ascii="宋体" w:hAnsi="宋体" w:cs="宋体"/>
          <w:color w:val="000000" w:themeColor="text1"/>
          <w:sz w:val="24"/>
          <w:szCs w:val="24"/>
          <w:u w:val="single"/>
          <w:lang w:val="zh-CN" w:bidi="zh-CN"/>
          <w14:textFill>
            <w14:solidFill>
              <w14:schemeClr w14:val="tx1"/>
            </w14:solidFill>
          </w14:textFill>
        </w:rPr>
        <w:t xml:space="preserve">（单位名称）</w:t>
      </w:r>
      <w:r>
        <w:rPr>
          <w:rFonts w:ascii="宋体" w:hAnsi="宋体" w:cs="宋体"/>
          <w:color w:val="000000" w:themeColor="text1"/>
          <w:sz w:val="24"/>
          <w:szCs w:val="24"/>
          <w:lang w:val="zh-CN" w:bidi="zh-CN"/>
          <w14:textFill>
            <w14:solidFill>
              <w14:schemeClr w14:val="tx1"/>
            </w14:solidFill>
          </w14:textFill>
        </w:rPr>
        <w:t xml:space="preserve"> 的 </w:t>
      </w:r>
      <w:r>
        <w:rPr>
          <w:rFonts w:ascii="宋体" w:hAnsi="宋体" w:cs="宋体"/>
          <w:color w:val="000000" w:themeColor="text1"/>
          <w:sz w:val="24"/>
          <w:szCs w:val="24"/>
          <w:u w:val="single"/>
          <w:lang w:val="zh-CN" w:bidi="zh-CN"/>
          <w14:textFill>
            <w14:solidFill>
              <w14:schemeClr w14:val="tx1"/>
            </w14:solidFill>
          </w14:textFill>
        </w:rPr>
        <w:t xml:space="preserve">（项目名称）</w:t>
      </w:r>
      <w:r>
        <w:rPr>
          <w:rFonts w:ascii="宋体" w:hAnsi="宋体" w:cs="宋体"/>
          <w:color w:val="000000" w:themeColor="text1"/>
          <w:sz w:val="24"/>
          <w:szCs w:val="24"/>
          <w:lang w:val="zh-CN" w:bidi="zh-CN"/>
          <w14:textFill>
            <w14:solidFill>
              <w14:schemeClr w14:val="tx1"/>
            </w14:solidFill>
          </w14:textFill>
        </w:rPr>
        <w:t xml:space="preserve"> 采购活动，</w:t>
      </w:r>
      <w:r>
        <w:rPr>
          <w:rFonts w:hint="eastAsia" w:ascii="宋体" w:hAnsi="宋体" w:cs="宋体"/>
          <w:color w:val="000000" w:themeColor="text1"/>
          <w:sz w:val="24"/>
          <w:szCs w:val="24"/>
          <w:lang w:val="zh-CN" w:bidi="zh-CN"/>
          <w14:textFill>
            <w14:solidFill>
              <w14:schemeClr w14:val="tx1"/>
            </w14:solidFill>
          </w14:textFill>
        </w:rPr>
        <w:t xml:space="preserve">服务全部由符合政策要求的中小企业承接。相关企业（含联合体中的中小企业、签订分包意向协议的中小企业）的具体情况如下：</w:t>
      </w:r>
      <w:r/>
    </w:p>
    <w:p>
      <w:pPr>
        <w:ind w:firstLine="480"/>
        <w:jc w:val="left"/>
        <w:spacing w:line="360" w:lineRule="auto"/>
        <w:rPr>
          <w:rFonts w:hint="eastAsia" w:ascii="宋体" w:hAnsi="宋体" w:cs="宋体"/>
          <w:color w:val="000000" w:themeColor="text1"/>
          <w:sz w:val="24"/>
          <w:szCs w:val="24"/>
          <w:lang w:val="zh-CN" w:bidi="zh-CN"/>
          <w14:textFill>
            <w14:solidFill>
              <w14:schemeClr w14:val="tx1"/>
            </w14:solidFill>
          </w14:textFill>
        </w:rPr>
      </w:pPr>
      <w:r>
        <w:rPr>
          <w:rFonts w:hint="eastAsia" w:ascii="宋体" w:hAnsi="宋体" w:cs="宋体"/>
          <w:color w:val="000000" w:themeColor="text1"/>
          <w:sz w:val="24"/>
          <w:szCs w:val="24"/>
          <w:lang w:val="zh-CN" w:bidi="zh-CN"/>
          <w14:textFill>
            <w14:solidFill>
              <w14:schemeClr w14:val="tx1"/>
            </w14:solidFill>
          </w14:textFill>
        </w:rPr>
      </w:r>
      <w:r/>
    </w:p>
    <w:p>
      <w:pPr>
        <w:ind w:firstLine="480"/>
        <w:jc w:val="left"/>
        <w:spacing w:line="360" w:lineRule="auto"/>
        <w:rPr>
          <w:rFonts w:hint="eastAsia" w:ascii="宋体" w:hAnsi="宋体" w:cs="宋体"/>
          <w:color w:val="000000" w:themeColor="text1"/>
          <w:sz w:val="24"/>
          <w:szCs w:val="24"/>
          <w:lang w:val="zh-CN" w:bidi="zh-CN"/>
          <w14:textFill>
            <w14:solidFill>
              <w14:schemeClr w14:val="tx1"/>
            </w14:solidFill>
          </w14:textFill>
        </w:rPr>
      </w:pPr>
      <w:r/>
      <w:bookmarkStart w:id="179" w:name="_Hlk200377677"/>
      <w:r>
        <w:rPr>
          <w:rFonts w:hint="eastAsia" w:ascii="宋体" w:hAnsi="宋体" w:cs="宋体"/>
          <w:color w:val="000000" w:themeColor="text1"/>
          <w:sz w:val="24"/>
          <w:szCs w:val="24"/>
          <w:lang w:val="zh-CN" w:bidi="zh-CN"/>
          <w14:textFill>
            <w14:solidFill>
              <w14:schemeClr w14:val="tx1"/>
            </w14:solidFill>
          </w14:textFill>
        </w:rPr>
        <w:t xml:space="preserve">1.</w:t>
      </w:r>
      <w:r>
        <w:rPr>
          <w:rFonts w:ascii="宋体" w:hAnsi="宋体" w:cs="宋体"/>
          <w:i/>
          <w:iCs/>
          <w:color w:val="000000" w:themeColor="text1"/>
          <w:sz w:val="24"/>
          <w:szCs w:val="24"/>
          <w:u w:val="single"/>
          <w:lang w:val="zh-CN" w:bidi="zh-CN"/>
          <w14:textFill>
            <w14:solidFill>
              <w14:schemeClr w14:val="tx1"/>
            </w14:solidFill>
          </w14:textFill>
        </w:rPr>
        <w:t xml:space="preserve">（标的名称）</w:t>
      </w:r>
      <w:r>
        <w:rPr>
          <w:rFonts w:ascii="宋体" w:hAnsi="宋体" w:cs="宋体"/>
          <w:color w:val="000000" w:themeColor="text1"/>
          <w:sz w:val="24"/>
          <w:szCs w:val="24"/>
          <w:u w:val="single"/>
          <w:lang w:val="zh-CN" w:bidi="zh-CN"/>
          <w14:textFill>
            <w14:solidFill>
              <w14:schemeClr w14:val="tx1"/>
            </w14:solidFill>
          </w14:textFill>
        </w:rPr>
        <w:t xml:space="preserve"> </w:t>
      </w:r>
      <w:r>
        <w:rPr>
          <w:rFonts w:ascii="宋体" w:hAnsi="宋体" w:cs="宋体"/>
          <w:color w:val="000000" w:themeColor="text1"/>
          <w:sz w:val="24"/>
          <w:szCs w:val="24"/>
          <w:lang w:val="zh-CN" w:bidi="zh-CN"/>
          <w14:textFill>
            <w14:solidFill>
              <w14:schemeClr w14:val="tx1"/>
            </w14:solidFill>
          </w14:textFill>
        </w:rPr>
        <w:t xml:space="preserve">，属于 </w:t>
      </w:r>
      <w:r>
        <w:rPr>
          <w:rFonts w:ascii="宋体" w:hAnsi="宋体" w:cs="宋体"/>
          <w:i/>
          <w:iCs/>
          <w:color w:val="000000" w:themeColor="text1"/>
          <w:sz w:val="24"/>
          <w:szCs w:val="24"/>
          <w:u w:val="single"/>
          <w:lang w:val="zh-CN" w:bidi="zh-CN"/>
          <w14:textFill>
            <w14:solidFill>
              <w14:schemeClr w14:val="tx1"/>
            </w14:solidFill>
          </w14:textFill>
        </w:rPr>
        <w:t xml:space="preserve">（</w:t>
      </w:r>
      <w:r>
        <w:rPr>
          <w:rFonts w:hint="eastAsia" w:ascii="宋体" w:hAnsi="宋体" w:cs="宋体"/>
          <w:i/>
          <w:iCs/>
          <w:color w:val="000000" w:themeColor="text1"/>
          <w:sz w:val="24"/>
          <w:szCs w:val="24"/>
          <w:u w:val="single"/>
          <w:lang w:val="zh-CN" w:bidi="zh-CN"/>
          <w14:textFill>
            <w14:solidFill>
              <w14:schemeClr w14:val="tx1"/>
            </w14:solidFill>
          </w14:textFill>
        </w:rPr>
        <w:t xml:space="preserve">其他未列明行业</w:t>
      </w:r>
      <w:r>
        <w:rPr>
          <w:rFonts w:ascii="宋体" w:hAnsi="宋体" w:cs="宋体"/>
          <w:i/>
          <w:iCs/>
          <w:color w:val="000000" w:themeColor="text1"/>
          <w:sz w:val="24"/>
          <w:szCs w:val="24"/>
          <w:u w:val="single"/>
          <w:lang w:val="zh-CN" w:bidi="zh-CN"/>
          <w14:textFill>
            <w14:solidFill>
              <w14:schemeClr w14:val="tx1"/>
            </w14:solidFill>
          </w14:textFill>
        </w:rPr>
        <w:t xml:space="preserve">）</w:t>
      </w:r>
      <w:r>
        <w:rPr>
          <w:rFonts w:ascii="宋体" w:hAnsi="宋体" w:cs="宋体"/>
          <w:color w:val="000000" w:themeColor="text1"/>
          <w:sz w:val="24"/>
          <w:szCs w:val="24"/>
          <w:lang w:val="zh-CN" w:bidi="zh-CN"/>
          <w14:textFill>
            <w14:solidFill>
              <w14:schemeClr w14:val="tx1"/>
            </w14:solidFill>
          </w14:textFill>
        </w:rPr>
        <w:t xml:space="preserve"> ；</w:t>
      </w:r>
      <w:r>
        <w:rPr>
          <w:rFonts w:hint="eastAsia" w:ascii="宋体" w:hAnsi="宋体" w:cs="宋体"/>
          <w:color w:val="000000" w:themeColor="text1"/>
          <w:sz w:val="24"/>
          <w:szCs w:val="24"/>
          <w:lang w:val="zh-CN" w:bidi="zh-CN"/>
          <w14:textFill>
            <w14:solidFill>
              <w14:schemeClr w14:val="tx1"/>
            </w14:solidFill>
          </w14:textFill>
        </w:rPr>
        <w:t xml:space="preserve">承接企业为</w:t>
      </w:r>
      <w:r>
        <w:rPr>
          <w:rFonts w:ascii="宋体" w:hAnsi="宋体" w:cs="宋体"/>
          <w:color w:val="000000" w:themeColor="text1"/>
          <w:sz w:val="24"/>
          <w:szCs w:val="24"/>
          <w:lang w:val="zh-CN" w:bidi="zh-CN"/>
          <w14:textFill>
            <w14:solidFill>
              <w14:schemeClr w14:val="tx1"/>
            </w14:solidFill>
          </w14:textFill>
        </w:rPr>
        <w:t xml:space="preserve"> </w:t>
      </w:r>
      <w:r>
        <w:rPr>
          <w:rFonts w:ascii="宋体" w:hAnsi="宋体" w:cs="宋体"/>
          <w:i/>
          <w:iCs/>
          <w:color w:val="000000" w:themeColor="text1"/>
          <w:sz w:val="24"/>
          <w:szCs w:val="24"/>
          <w:u w:val="single"/>
          <w:lang w:val="zh-CN" w:bidi="zh-CN"/>
          <w14:textFill>
            <w14:solidFill>
              <w14:schemeClr w14:val="tx1"/>
            </w14:solidFill>
          </w14:textFill>
        </w:rPr>
        <w:t xml:space="preserve">（企业名称）</w:t>
      </w:r>
      <w:r>
        <w:rPr>
          <w:rFonts w:ascii="宋体" w:hAnsi="宋体" w:cs="宋体"/>
          <w:color w:val="000000" w:themeColor="text1"/>
          <w:sz w:val="24"/>
          <w:szCs w:val="24"/>
          <w:lang w:val="zh-CN" w:bidi="zh-CN"/>
          <w14:textFill>
            <w14:solidFill>
              <w14:schemeClr w14:val="tx1"/>
            </w14:solidFill>
          </w14:textFill>
        </w:rPr>
        <w:t xml:space="preserve">  ，从业人员</w:t>
      </w:r>
      <w:r>
        <w:rPr>
          <w:rFonts w:hint="eastAsia" w:ascii="宋体" w:hAnsi="宋体" w:cs="宋体"/>
          <w:color w:val="000000" w:themeColor="text1"/>
          <w:sz w:val="24"/>
          <w:szCs w:val="24"/>
          <w:u w:val="single"/>
          <w:lang w:val="zh-CN" w:bidi="zh-CN"/>
          <w14:textFill>
            <w14:solidFill>
              <w14:schemeClr w14:val="tx1"/>
            </w14:solidFill>
          </w14:textFill>
        </w:rPr>
        <w:t xml:space="preserve"> </w:t>
      </w:r>
      <w:r>
        <w:rPr>
          <w:rFonts w:ascii="宋体" w:hAnsi="宋体" w:cs="宋体"/>
          <w:color w:val="000000" w:themeColor="text1"/>
          <w:sz w:val="24"/>
          <w:szCs w:val="24"/>
          <w:u w:val="single"/>
          <w:lang w:val="zh-CN" w:bidi="zh-CN"/>
          <w14:textFill>
            <w14:solidFill>
              <w14:schemeClr w14:val="tx1"/>
            </w14:solidFill>
          </w14:textFill>
        </w:rPr>
        <w:t xml:space="preserve">     </w:t>
      </w:r>
      <w:r>
        <w:rPr>
          <w:rFonts w:ascii="宋体" w:hAnsi="宋体" w:cs="宋体"/>
          <w:color w:val="000000" w:themeColor="text1"/>
          <w:sz w:val="24"/>
          <w:szCs w:val="24"/>
          <w:lang w:val="zh-CN" w:bidi="zh-CN"/>
          <w14:textFill>
            <w14:solidFill>
              <w14:schemeClr w14:val="tx1"/>
            </w14:solidFill>
          </w14:textFill>
        </w:rPr>
        <w:t xml:space="preserve"> 人，营业</w:t>
      </w:r>
      <w:r>
        <w:rPr>
          <w:rFonts w:hint="eastAsia" w:ascii="宋体" w:hAnsi="宋体" w:cs="宋体"/>
          <w:color w:val="000000" w:themeColor="text1"/>
          <w:sz w:val="24"/>
          <w:szCs w:val="24"/>
          <w:lang w:val="zh-CN" w:bidi="zh-CN"/>
          <w14:textFill>
            <w14:solidFill>
              <w14:schemeClr w14:val="tx1"/>
            </w14:solidFill>
          </w14:textFill>
        </w:rPr>
        <w:t xml:space="preserve">收入为</w:t>
      </w:r>
      <w:r>
        <w:rPr>
          <w:rFonts w:hint="eastAsia" w:ascii="宋体" w:hAnsi="宋体" w:cs="宋体"/>
          <w:color w:val="000000" w:themeColor="text1"/>
          <w:sz w:val="24"/>
          <w:szCs w:val="24"/>
          <w:u w:val="single"/>
          <w:lang w:val="zh-CN" w:bidi="zh-CN"/>
          <w14:textFill>
            <w14:solidFill>
              <w14:schemeClr w14:val="tx1"/>
            </w14:solidFill>
          </w14:textFill>
        </w:rPr>
        <w:t xml:space="preserve"> </w:t>
      </w:r>
      <w:r>
        <w:rPr>
          <w:rFonts w:ascii="宋体" w:hAnsi="宋体" w:cs="宋体"/>
          <w:color w:val="000000" w:themeColor="text1"/>
          <w:sz w:val="24"/>
          <w:szCs w:val="24"/>
          <w:u w:val="single"/>
          <w:lang w:val="zh-CN" w:bidi="zh-CN"/>
          <w14:textFill>
            <w14:solidFill>
              <w14:schemeClr w14:val="tx1"/>
            </w14:solidFill>
          </w14:textFill>
        </w:rPr>
        <w:t xml:space="preserve">     </w:t>
      </w:r>
      <w:r>
        <w:rPr>
          <w:rFonts w:ascii="宋体" w:hAnsi="宋体" w:cs="宋体"/>
          <w:color w:val="000000" w:themeColor="text1"/>
          <w:sz w:val="24"/>
          <w:szCs w:val="24"/>
          <w:lang w:val="zh-CN" w:bidi="zh-CN"/>
          <w14:textFill>
            <w14:solidFill>
              <w14:schemeClr w14:val="tx1"/>
            </w14:solidFill>
          </w14:textFill>
        </w:rPr>
        <w:t xml:space="preserve">万元，资产总额为 </w:t>
      </w:r>
      <w:r>
        <w:rPr>
          <w:rFonts w:hint="eastAsia" w:ascii="宋体" w:hAnsi="宋体" w:cs="宋体"/>
          <w:color w:val="000000" w:themeColor="text1"/>
          <w:sz w:val="24"/>
          <w:szCs w:val="24"/>
          <w:u w:val="single"/>
          <w:lang w:val="zh-CN" w:bidi="zh-CN"/>
          <w14:textFill>
            <w14:solidFill>
              <w14:schemeClr w14:val="tx1"/>
            </w14:solidFill>
          </w14:textFill>
        </w:rPr>
        <w:t xml:space="preserve"> </w:t>
      </w:r>
      <w:r>
        <w:rPr>
          <w:rFonts w:ascii="宋体" w:hAnsi="宋体" w:cs="宋体"/>
          <w:color w:val="000000" w:themeColor="text1"/>
          <w:sz w:val="24"/>
          <w:szCs w:val="24"/>
          <w:u w:val="single"/>
          <w:lang w:val="zh-CN" w:bidi="zh-CN"/>
          <w14:textFill>
            <w14:solidFill>
              <w14:schemeClr w14:val="tx1"/>
            </w14:solidFill>
          </w14:textFill>
        </w:rPr>
        <w:t xml:space="preserve">     </w:t>
      </w:r>
      <w:r>
        <w:rPr>
          <w:rFonts w:ascii="宋体" w:hAnsi="宋体" w:cs="宋体"/>
          <w:color w:val="000000" w:themeColor="text1"/>
          <w:sz w:val="24"/>
          <w:szCs w:val="24"/>
          <w:lang w:val="zh-CN" w:bidi="zh-CN"/>
          <w14:textFill>
            <w14:solidFill>
              <w14:schemeClr w14:val="tx1"/>
            </w14:solidFill>
          </w14:textFill>
        </w:rPr>
        <w:t xml:space="preserve">万元</w:t>
      </w:r>
      <w:r>
        <w:rPr>
          <w:rFonts w:ascii="宋体" w:hAnsi="宋体" w:cs="宋体"/>
          <w:color w:val="000000" w:themeColor="text1"/>
          <w:sz w:val="24"/>
          <w:szCs w:val="24"/>
          <w:vertAlign w:val="superscript"/>
          <w:lang w:val="zh-CN" w:bidi="zh-CN"/>
          <w14:textFill>
            <w14:solidFill>
              <w14:schemeClr w14:val="tx1"/>
            </w14:solidFill>
          </w14:textFill>
        </w:rPr>
        <w:t xml:space="preserve">1</w:t>
      </w:r>
      <w:r>
        <w:rPr>
          <w:rFonts w:ascii="宋体" w:hAnsi="宋体" w:cs="宋体"/>
          <w:color w:val="000000" w:themeColor="text1"/>
          <w:sz w:val="24"/>
          <w:szCs w:val="24"/>
          <w:lang w:val="zh-CN" w:bidi="zh-CN"/>
          <w14:textFill>
            <w14:solidFill>
              <w14:schemeClr w14:val="tx1"/>
            </w14:solidFill>
          </w14:textFill>
        </w:rPr>
        <w:t xml:space="preserve"> ，属于 </w:t>
      </w:r>
      <w:r>
        <w:rPr>
          <w:rFonts w:ascii="宋体" w:hAnsi="宋体" w:cs="宋体"/>
          <w:i/>
          <w:iCs/>
          <w:color w:val="000000" w:themeColor="text1"/>
          <w:sz w:val="24"/>
          <w:szCs w:val="24"/>
          <w:u w:val="single"/>
          <w:lang w:val="zh-CN" w:bidi="zh-CN"/>
          <w14:textFill>
            <w14:solidFill>
              <w14:schemeClr w14:val="tx1"/>
            </w14:solidFill>
          </w14:textFill>
        </w:rPr>
        <w:t xml:space="preserve">（中型企业、</w:t>
      </w:r>
      <w:r>
        <w:rPr>
          <w:rFonts w:hint="eastAsia" w:ascii="宋体" w:hAnsi="宋体" w:cs="宋体"/>
          <w:i/>
          <w:iCs/>
          <w:color w:val="000000" w:themeColor="text1"/>
          <w:sz w:val="24"/>
          <w:szCs w:val="24"/>
          <w:u w:val="single"/>
          <w:lang w:val="zh-CN" w:bidi="zh-CN"/>
          <w14:textFill>
            <w14:solidFill>
              <w14:schemeClr w14:val="tx1"/>
            </w14:solidFill>
          </w14:textFill>
        </w:rPr>
        <w:t xml:space="preserve">小型企业、微型企业）</w:t>
      </w:r>
      <w:r>
        <w:rPr>
          <w:rFonts w:ascii="宋体" w:hAnsi="宋体" w:cs="宋体"/>
          <w:i/>
          <w:iCs/>
          <w:color w:val="000000" w:themeColor="text1"/>
          <w:sz w:val="24"/>
          <w:szCs w:val="24"/>
          <w:u w:val="single"/>
          <w:lang w:val="zh-CN" w:bidi="zh-CN"/>
          <w14:textFill>
            <w14:solidFill>
              <w14:schemeClr w14:val="tx1"/>
            </w14:solidFill>
          </w14:textFill>
        </w:rPr>
        <w:t xml:space="preserve"> </w:t>
      </w:r>
      <w:r>
        <w:rPr>
          <w:rFonts w:ascii="宋体" w:hAnsi="宋体" w:cs="宋体"/>
          <w:color w:val="000000" w:themeColor="text1"/>
          <w:sz w:val="24"/>
          <w:szCs w:val="24"/>
          <w:lang w:val="zh-CN" w:bidi="zh-CN"/>
          <w14:textFill>
            <w14:solidFill>
              <w14:schemeClr w14:val="tx1"/>
            </w14:solidFill>
          </w14:textFill>
        </w:rPr>
        <w:t xml:space="preserve">；</w:t>
      </w:r>
      <w:bookmarkEnd w:id="179"/>
      <w:r/>
      <w:r/>
    </w:p>
    <w:p>
      <w:pPr>
        <w:ind w:firstLine="480"/>
        <w:jc w:val="left"/>
        <w:spacing w:line="360" w:lineRule="auto"/>
        <w:rPr>
          <w:rFonts w:hint="eastAsia" w:ascii="宋体" w:hAnsi="宋体" w:cs="宋体"/>
          <w:color w:val="000000" w:themeColor="text1"/>
          <w:sz w:val="24"/>
          <w:szCs w:val="24"/>
          <w:lang w:val="zh-CN" w:bidi="zh-CN"/>
          <w14:textFill>
            <w14:solidFill>
              <w14:schemeClr w14:val="tx1"/>
            </w14:solidFill>
          </w14:textFill>
        </w:rPr>
      </w:pPr>
      <w:r>
        <w:rPr>
          <w:rFonts w:hint="eastAsia" w:ascii="宋体" w:hAnsi="宋体" w:cs="宋体"/>
          <w:color w:val="000000" w:themeColor="text1"/>
          <w:sz w:val="24"/>
          <w:szCs w:val="24"/>
          <w:lang w:val="zh-CN" w:bidi="zh-CN"/>
          <w14:textFill>
            <w14:solidFill>
              <w14:schemeClr w14:val="tx1"/>
            </w14:solidFill>
          </w14:textFill>
        </w:rPr>
      </w:r>
      <w:r/>
    </w:p>
    <w:p>
      <w:pPr>
        <w:ind w:firstLine="480"/>
        <w:jc w:val="left"/>
        <w:spacing w:line="360" w:lineRule="auto"/>
        <w:rPr>
          <w:rFonts w:hint="eastAsia" w:ascii="宋体" w:hAnsi="宋体" w:cs="宋体"/>
          <w:color w:val="000000" w:themeColor="text1"/>
          <w:sz w:val="24"/>
          <w:szCs w:val="24"/>
          <w:lang w:val="zh-CN" w:bidi="zh-CN"/>
          <w14:textFill>
            <w14:solidFill>
              <w14:schemeClr w14:val="tx1"/>
            </w14:solidFill>
          </w14:textFill>
        </w:rPr>
      </w:pPr>
      <w:r>
        <w:rPr>
          <w:rFonts w:hint="eastAsia" w:ascii="宋体" w:hAnsi="宋体" w:cs="宋体"/>
          <w:color w:val="000000" w:themeColor="text1"/>
          <w:sz w:val="24"/>
          <w:szCs w:val="24"/>
          <w:lang w:val="zh-CN" w:bidi="zh-CN"/>
          <w14:textFill>
            <w14:solidFill>
              <w14:schemeClr w14:val="tx1"/>
            </w14:solidFill>
          </w14:textFill>
        </w:rPr>
        <w:t xml:space="preserve">2.</w:t>
      </w:r>
      <w:r>
        <w:rPr>
          <w:rFonts w:ascii="宋体" w:hAnsi="宋体" w:cs="宋体"/>
          <w:i/>
          <w:iCs/>
          <w:color w:val="000000" w:themeColor="text1"/>
          <w:sz w:val="24"/>
          <w:szCs w:val="24"/>
          <w:u w:val="single"/>
          <w:lang w:val="zh-CN" w:bidi="zh-CN"/>
          <w14:textFill>
            <w14:solidFill>
              <w14:schemeClr w14:val="tx1"/>
            </w14:solidFill>
          </w14:textFill>
        </w:rPr>
        <w:t xml:space="preserve">（标的名称）</w:t>
      </w:r>
      <w:r>
        <w:rPr>
          <w:rFonts w:ascii="宋体" w:hAnsi="宋体" w:cs="宋体"/>
          <w:color w:val="000000" w:themeColor="text1"/>
          <w:sz w:val="24"/>
          <w:szCs w:val="24"/>
          <w:u w:val="single"/>
          <w:lang w:val="zh-CN" w:bidi="zh-CN"/>
          <w14:textFill>
            <w14:solidFill>
              <w14:schemeClr w14:val="tx1"/>
            </w14:solidFill>
          </w14:textFill>
        </w:rPr>
        <w:t xml:space="preserve"> </w:t>
      </w:r>
      <w:r>
        <w:rPr>
          <w:rFonts w:ascii="宋体" w:hAnsi="宋体" w:cs="宋体"/>
          <w:color w:val="000000" w:themeColor="text1"/>
          <w:sz w:val="24"/>
          <w:szCs w:val="24"/>
          <w:lang w:val="zh-CN" w:bidi="zh-CN"/>
          <w14:textFill>
            <w14:solidFill>
              <w14:schemeClr w14:val="tx1"/>
            </w14:solidFill>
          </w14:textFill>
        </w:rPr>
        <w:t xml:space="preserve">，属于 </w:t>
      </w:r>
      <w:r>
        <w:rPr>
          <w:rFonts w:hint="eastAsia" w:ascii="宋体" w:hAnsi="宋体" w:cs="宋体"/>
          <w:i/>
          <w:iCs/>
          <w:color w:val="000000" w:themeColor="text1"/>
          <w:sz w:val="24"/>
          <w:szCs w:val="24"/>
          <w:u w:val="single"/>
          <w:lang w:val="zh-CN" w:bidi="zh-CN"/>
          <w14:textFill>
            <w14:solidFill>
              <w14:schemeClr w14:val="tx1"/>
            </w14:solidFill>
          </w14:textFill>
        </w:rPr>
        <w:t xml:space="preserve">  （采购文件规定的行业）  </w:t>
      </w:r>
      <w:r>
        <w:rPr>
          <w:rFonts w:ascii="宋体" w:hAnsi="宋体" w:cs="宋体"/>
          <w:color w:val="000000" w:themeColor="text1"/>
          <w:sz w:val="24"/>
          <w:szCs w:val="24"/>
          <w:lang w:val="zh-CN" w:bidi="zh-CN"/>
          <w14:textFill>
            <w14:solidFill>
              <w14:schemeClr w14:val="tx1"/>
            </w14:solidFill>
          </w14:textFill>
        </w:rPr>
        <w:t xml:space="preserve"> ；</w:t>
      </w:r>
      <w:r>
        <w:rPr>
          <w:rFonts w:hint="eastAsia" w:ascii="宋体" w:hAnsi="宋体" w:cs="宋体"/>
          <w:color w:val="000000" w:themeColor="text1"/>
          <w:sz w:val="24"/>
          <w:szCs w:val="24"/>
          <w:lang w:val="zh-CN" w:bidi="zh-CN"/>
          <w14:textFill>
            <w14:solidFill>
              <w14:schemeClr w14:val="tx1"/>
            </w14:solidFill>
          </w14:textFill>
        </w:rPr>
        <w:t xml:space="preserve">承接企业为</w:t>
      </w:r>
      <w:r>
        <w:rPr>
          <w:rFonts w:ascii="宋体" w:hAnsi="宋体" w:cs="宋体"/>
          <w:color w:val="000000" w:themeColor="text1"/>
          <w:sz w:val="24"/>
          <w:szCs w:val="24"/>
          <w:lang w:val="zh-CN" w:bidi="zh-CN"/>
          <w14:textFill>
            <w14:solidFill>
              <w14:schemeClr w14:val="tx1"/>
            </w14:solidFill>
          </w14:textFill>
        </w:rPr>
        <w:t xml:space="preserve"> </w:t>
      </w:r>
      <w:r>
        <w:rPr>
          <w:rFonts w:ascii="宋体" w:hAnsi="宋体" w:cs="宋体"/>
          <w:i/>
          <w:iCs/>
          <w:color w:val="000000" w:themeColor="text1"/>
          <w:sz w:val="24"/>
          <w:szCs w:val="24"/>
          <w:u w:val="single"/>
          <w:lang w:val="zh-CN" w:bidi="zh-CN"/>
          <w14:textFill>
            <w14:solidFill>
              <w14:schemeClr w14:val="tx1"/>
            </w14:solidFill>
          </w14:textFill>
        </w:rPr>
        <w:t xml:space="preserve">（企业名称）</w:t>
      </w:r>
      <w:r>
        <w:rPr>
          <w:rFonts w:ascii="宋体" w:hAnsi="宋体" w:cs="宋体"/>
          <w:color w:val="000000" w:themeColor="text1"/>
          <w:sz w:val="24"/>
          <w:szCs w:val="24"/>
          <w:lang w:val="zh-CN" w:bidi="zh-CN"/>
          <w14:textFill>
            <w14:solidFill>
              <w14:schemeClr w14:val="tx1"/>
            </w14:solidFill>
          </w14:textFill>
        </w:rPr>
        <w:t xml:space="preserve">  ，从业人员</w:t>
      </w:r>
      <w:r>
        <w:rPr>
          <w:rFonts w:hint="eastAsia" w:ascii="宋体" w:hAnsi="宋体" w:cs="宋体"/>
          <w:color w:val="000000" w:themeColor="text1"/>
          <w:sz w:val="24"/>
          <w:szCs w:val="24"/>
          <w:u w:val="single"/>
          <w:lang w:val="zh-CN" w:bidi="zh-CN"/>
          <w14:textFill>
            <w14:solidFill>
              <w14:schemeClr w14:val="tx1"/>
            </w14:solidFill>
          </w14:textFill>
        </w:rPr>
        <w:t xml:space="preserve"> </w:t>
      </w:r>
      <w:r>
        <w:rPr>
          <w:rFonts w:ascii="宋体" w:hAnsi="宋体" w:cs="宋体"/>
          <w:color w:val="000000" w:themeColor="text1"/>
          <w:sz w:val="24"/>
          <w:szCs w:val="24"/>
          <w:u w:val="single"/>
          <w:lang w:val="zh-CN" w:bidi="zh-CN"/>
          <w14:textFill>
            <w14:solidFill>
              <w14:schemeClr w14:val="tx1"/>
            </w14:solidFill>
          </w14:textFill>
        </w:rPr>
        <w:t xml:space="preserve">     </w:t>
      </w:r>
      <w:r>
        <w:rPr>
          <w:rFonts w:ascii="宋体" w:hAnsi="宋体" w:cs="宋体"/>
          <w:color w:val="000000" w:themeColor="text1"/>
          <w:sz w:val="24"/>
          <w:szCs w:val="24"/>
          <w:lang w:val="zh-CN" w:bidi="zh-CN"/>
          <w14:textFill>
            <w14:solidFill>
              <w14:schemeClr w14:val="tx1"/>
            </w14:solidFill>
          </w14:textFill>
        </w:rPr>
        <w:t xml:space="preserve"> 人，营业</w:t>
      </w:r>
      <w:r>
        <w:rPr>
          <w:rFonts w:hint="eastAsia" w:ascii="宋体" w:hAnsi="宋体" w:cs="宋体"/>
          <w:color w:val="000000" w:themeColor="text1"/>
          <w:sz w:val="24"/>
          <w:szCs w:val="24"/>
          <w:lang w:val="zh-CN" w:bidi="zh-CN"/>
          <w14:textFill>
            <w14:solidFill>
              <w14:schemeClr w14:val="tx1"/>
            </w14:solidFill>
          </w14:textFill>
        </w:rPr>
        <w:t xml:space="preserve">收入为</w:t>
      </w:r>
      <w:r>
        <w:rPr>
          <w:rFonts w:hint="eastAsia" w:ascii="宋体" w:hAnsi="宋体" w:cs="宋体"/>
          <w:color w:val="000000" w:themeColor="text1"/>
          <w:sz w:val="24"/>
          <w:szCs w:val="24"/>
          <w:u w:val="single"/>
          <w:lang w:val="zh-CN" w:bidi="zh-CN"/>
          <w14:textFill>
            <w14:solidFill>
              <w14:schemeClr w14:val="tx1"/>
            </w14:solidFill>
          </w14:textFill>
        </w:rPr>
        <w:t xml:space="preserve"> </w:t>
      </w:r>
      <w:r>
        <w:rPr>
          <w:rFonts w:ascii="宋体" w:hAnsi="宋体" w:cs="宋体"/>
          <w:color w:val="000000" w:themeColor="text1"/>
          <w:sz w:val="24"/>
          <w:szCs w:val="24"/>
          <w:u w:val="single"/>
          <w:lang w:val="zh-CN" w:bidi="zh-CN"/>
          <w14:textFill>
            <w14:solidFill>
              <w14:schemeClr w14:val="tx1"/>
            </w14:solidFill>
          </w14:textFill>
        </w:rPr>
        <w:t xml:space="preserve">     </w:t>
      </w:r>
      <w:r>
        <w:rPr>
          <w:rFonts w:ascii="宋体" w:hAnsi="宋体" w:cs="宋体"/>
          <w:color w:val="000000" w:themeColor="text1"/>
          <w:sz w:val="24"/>
          <w:szCs w:val="24"/>
          <w:lang w:val="zh-CN" w:bidi="zh-CN"/>
          <w14:textFill>
            <w14:solidFill>
              <w14:schemeClr w14:val="tx1"/>
            </w14:solidFill>
          </w14:textFill>
        </w:rPr>
        <w:t xml:space="preserve">万元，资产总额为 </w:t>
      </w:r>
      <w:r>
        <w:rPr>
          <w:rFonts w:hint="eastAsia" w:ascii="宋体" w:hAnsi="宋体" w:cs="宋体"/>
          <w:color w:val="000000" w:themeColor="text1"/>
          <w:sz w:val="24"/>
          <w:szCs w:val="24"/>
          <w:u w:val="single"/>
          <w:lang w:val="zh-CN" w:bidi="zh-CN"/>
          <w14:textFill>
            <w14:solidFill>
              <w14:schemeClr w14:val="tx1"/>
            </w14:solidFill>
          </w14:textFill>
        </w:rPr>
        <w:t xml:space="preserve"> </w:t>
      </w:r>
      <w:r>
        <w:rPr>
          <w:rFonts w:ascii="宋体" w:hAnsi="宋体" w:cs="宋体"/>
          <w:color w:val="000000" w:themeColor="text1"/>
          <w:sz w:val="24"/>
          <w:szCs w:val="24"/>
          <w:u w:val="single"/>
          <w:lang w:val="zh-CN" w:bidi="zh-CN"/>
          <w14:textFill>
            <w14:solidFill>
              <w14:schemeClr w14:val="tx1"/>
            </w14:solidFill>
          </w14:textFill>
        </w:rPr>
        <w:t xml:space="preserve">     </w:t>
      </w:r>
      <w:r>
        <w:rPr>
          <w:rFonts w:ascii="宋体" w:hAnsi="宋体" w:cs="宋体"/>
          <w:color w:val="000000" w:themeColor="text1"/>
          <w:sz w:val="24"/>
          <w:szCs w:val="24"/>
          <w:lang w:val="zh-CN" w:bidi="zh-CN"/>
          <w14:textFill>
            <w14:solidFill>
              <w14:schemeClr w14:val="tx1"/>
            </w14:solidFill>
          </w14:textFill>
        </w:rPr>
        <w:t xml:space="preserve">万元</w:t>
      </w:r>
      <w:r>
        <w:rPr>
          <w:rFonts w:ascii="宋体" w:hAnsi="宋体" w:cs="宋体"/>
          <w:color w:val="000000" w:themeColor="text1"/>
          <w:sz w:val="24"/>
          <w:szCs w:val="24"/>
          <w:vertAlign w:val="superscript"/>
          <w:lang w:val="zh-CN" w:bidi="zh-CN"/>
          <w14:textFill>
            <w14:solidFill>
              <w14:schemeClr w14:val="tx1"/>
            </w14:solidFill>
          </w14:textFill>
        </w:rPr>
        <w:t xml:space="preserve">1</w:t>
      </w:r>
      <w:r>
        <w:rPr>
          <w:rFonts w:ascii="宋体" w:hAnsi="宋体" w:cs="宋体"/>
          <w:color w:val="000000" w:themeColor="text1"/>
          <w:sz w:val="24"/>
          <w:szCs w:val="24"/>
          <w:lang w:val="zh-CN" w:bidi="zh-CN"/>
          <w14:textFill>
            <w14:solidFill>
              <w14:schemeClr w14:val="tx1"/>
            </w14:solidFill>
          </w14:textFill>
        </w:rPr>
        <w:t xml:space="preserve"> ，属于 </w:t>
      </w:r>
      <w:r>
        <w:rPr>
          <w:rFonts w:ascii="宋体" w:hAnsi="宋体" w:cs="宋体"/>
          <w:i/>
          <w:iCs/>
          <w:color w:val="000000" w:themeColor="text1"/>
          <w:sz w:val="24"/>
          <w:szCs w:val="24"/>
          <w:u w:val="single"/>
          <w:lang w:val="zh-CN" w:bidi="zh-CN"/>
          <w14:textFill>
            <w14:solidFill>
              <w14:schemeClr w14:val="tx1"/>
            </w14:solidFill>
          </w14:textFill>
        </w:rPr>
        <w:t xml:space="preserve">（中型企业、</w:t>
      </w:r>
      <w:r>
        <w:rPr>
          <w:rFonts w:hint="eastAsia" w:ascii="宋体" w:hAnsi="宋体" w:cs="宋体"/>
          <w:i/>
          <w:iCs/>
          <w:color w:val="000000" w:themeColor="text1"/>
          <w:sz w:val="24"/>
          <w:szCs w:val="24"/>
          <w:u w:val="single"/>
          <w:lang w:val="zh-CN" w:bidi="zh-CN"/>
          <w14:textFill>
            <w14:solidFill>
              <w14:schemeClr w14:val="tx1"/>
            </w14:solidFill>
          </w14:textFill>
        </w:rPr>
        <w:t xml:space="preserve">小型企业、微型企业）</w:t>
      </w:r>
      <w:r>
        <w:rPr>
          <w:rFonts w:ascii="宋体" w:hAnsi="宋体" w:cs="宋体"/>
          <w:i/>
          <w:iCs/>
          <w:color w:val="000000" w:themeColor="text1"/>
          <w:sz w:val="24"/>
          <w:szCs w:val="24"/>
          <w:u w:val="single"/>
          <w:lang w:val="zh-CN" w:bidi="zh-CN"/>
          <w14:textFill>
            <w14:solidFill>
              <w14:schemeClr w14:val="tx1"/>
            </w14:solidFill>
          </w14:textFill>
        </w:rPr>
        <w:t xml:space="preserve"> </w:t>
      </w:r>
      <w:r>
        <w:rPr>
          <w:rFonts w:ascii="宋体" w:hAnsi="宋体" w:cs="宋体"/>
          <w:color w:val="000000" w:themeColor="text1"/>
          <w:sz w:val="24"/>
          <w:szCs w:val="24"/>
          <w:lang w:val="zh-CN" w:bidi="zh-CN"/>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szCs w:val="24"/>
          <w:lang w:val="zh-CN" w:bidi="zh-CN"/>
          <w14:textFill>
            <w14:solidFill>
              <w14:schemeClr w14:val="tx1"/>
            </w14:solidFill>
          </w14:textFill>
        </w:rPr>
      </w:pPr>
      <w:r>
        <w:rPr>
          <w:rFonts w:ascii="宋体" w:hAnsi="宋体" w:cs="宋体"/>
          <w:color w:val="000000" w:themeColor="text1"/>
          <w:sz w:val="24"/>
          <w:szCs w:val="24"/>
          <w:lang w:val="zh-CN" w:bidi="zh-CN"/>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szCs w:val="24"/>
          <w:lang w:val="zh-CN" w:bidi="zh-CN"/>
          <w14:textFill>
            <w14:solidFill>
              <w14:schemeClr w14:val="tx1"/>
            </w14:solidFill>
          </w14:textFill>
        </w:rPr>
      </w:pPr>
      <w:r>
        <w:rPr>
          <w:rFonts w:hint="eastAsia" w:ascii="宋体" w:hAnsi="宋体" w:cs="宋体"/>
          <w:color w:val="000000" w:themeColor="text1"/>
          <w:sz w:val="24"/>
          <w:szCs w:val="24"/>
          <w:lang w:val="zh-CN" w:bidi="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jc w:val="left"/>
        <w:spacing w:line="360" w:lineRule="auto"/>
        <w:rPr>
          <w:rFonts w:hint="eastAsia" w:ascii="宋体" w:hAnsi="宋体" w:cs="宋体"/>
          <w:color w:val="000000" w:themeColor="text1"/>
          <w:sz w:val="24"/>
          <w:szCs w:val="24"/>
          <w:lang w:val="zh-CN" w:bidi="zh-CN"/>
          <w14:textFill>
            <w14:solidFill>
              <w14:schemeClr w14:val="tx1"/>
            </w14:solidFill>
          </w14:textFill>
        </w:rPr>
      </w:pPr>
      <w:r>
        <w:rPr>
          <w:rFonts w:hint="eastAsia" w:ascii="宋体" w:hAnsi="宋体" w:cs="宋体"/>
          <w:color w:val="000000" w:themeColor="text1"/>
          <w:sz w:val="24"/>
          <w:szCs w:val="24"/>
          <w:lang w:val="zh-CN" w:bidi="zh-CN"/>
          <w14:textFill>
            <w14:solidFill>
              <w14:schemeClr w14:val="tx1"/>
            </w14:solidFill>
          </w14:textFill>
        </w:rPr>
        <w:t xml:space="preserve">本企业对上述声明内容的真实性负责。如有虚假，将依法承担相应责任。</w:t>
      </w:r>
      <w:r/>
    </w:p>
    <w:p>
      <w:pPr>
        <w:ind w:firstLine="480"/>
        <w:jc w:val="left"/>
        <w:spacing w:line="360" w:lineRule="auto"/>
        <w:rPr>
          <w:rFonts w:hint="eastAsia" w:ascii="宋体" w:hAnsi="宋体" w:cs="宋体"/>
          <w:color w:val="000000" w:themeColor="text1"/>
          <w:sz w:val="24"/>
          <w:szCs w:val="24"/>
          <w:lang w:val="zh-CN" w:bidi="zh-CN"/>
          <w14:textFill>
            <w14:solidFill>
              <w14:schemeClr w14:val="tx1"/>
            </w14:solidFill>
          </w14:textFill>
        </w:rPr>
      </w:pPr>
      <w:r>
        <w:rPr>
          <w:rFonts w:hint="eastAsia" w:ascii="宋体" w:hAnsi="宋体" w:cs="宋体"/>
          <w:color w:val="000000" w:themeColor="text1"/>
          <w:sz w:val="24"/>
          <w:szCs w:val="24"/>
          <w:lang w:val="zh-CN" w:bidi="zh-CN"/>
          <w14:textFill>
            <w14:solidFill>
              <w14:schemeClr w14:val="tx1"/>
            </w14:solidFill>
          </w14:textFill>
        </w:rPr>
      </w:r>
      <w:r/>
    </w:p>
    <w:p>
      <w:pPr>
        <w:ind w:firstLine="480"/>
        <w:jc w:val="left"/>
        <w:spacing w:line="360" w:lineRule="auto"/>
        <w:rPr>
          <w:rFonts w:hint="eastAsia" w:ascii="宋体" w:hAnsi="宋体" w:cs="宋体"/>
          <w:color w:val="000000" w:themeColor="text1"/>
          <w:sz w:val="24"/>
          <w:szCs w:val="24"/>
          <w:lang w:val="zh-CN" w:bidi="zh-CN"/>
          <w14:textFill>
            <w14:solidFill>
              <w14:schemeClr w14:val="tx1"/>
            </w14:solidFill>
          </w14:textFill>
        </w:rPr>
      </w:pPr>
      <w:r>
        <w:rPr>
          <w:rFonts w:hint="eastAsia" w:ascii="宋体" w:hAnsi="宋体" w:cs="宋体"/>
          <w:color w:val="000000" w:themeColor="text1"/>
          <w:sz w:val="24"/>
          <w:szCs w:val="24"/>
          <w:lang w:val="zh-CN" w:bidi="zh-CN"/>
          <w14:textFill>
            <w14:solidFill>
              <w14:schemeClr w14:val="tx1"/>
            </w14:solidFill>
          </w14:textFill>
        </w:rPr>
      </w:r>
      <w:r/>
    </w:p>
    <w:p>
      <w:pPr>
        <w:ind w:firstLine="5040"/>
        <w:jc w:val="left"/>
        <w:spacing w:line="360" w:lineRule="auto"/>
        <w:rPr>
          <w:rFonts w:hint="eastAsia" w:ascii="宋体" w:hAnsi="宋体" w:cs="宋体"/>
          <w:color w:val="000000" w:themeColor="text1"/>
          <w:sz w:val="24"/>
          <w:szCs w:val="24"/>
          <w:lang w:val="zh-CN" w:bidi="zh-CN"/>
          <w14:textFill>
            <w14:solidFill>
              <w14:schemeClr w14:val="tx1"/>
            </w14:solidFill>
          </w14:textFill>
        </w:rPr>
      </w:pPr>
      <w:r>
        <w:rPr>
          <w:rFonts w:hint="eastAsia" w:ascii="宋体" w:hAnsi="宋体" w:cs="宋体"/>
          <w:color w:val="000000" w:themeColor="text1"/>
          <w:sz w:val="24"/>
          <w:szCs w:val="24"/>
          <w:lang w:val="zh-CN" w:bidi="zh-CN"/>
          <w14:textFill>
            <w14:solidFill>
              <w14:schemeClr w14:val="tx1"/>
            </w14:solidFill>
          </w14:textFill>
        </w:rPr>
        <w:t xml:space="preserve">企业名称（盖章）：</w:t>
      </w:r>
      <w:r/>
    </w:p>
    <w:p>
      <w:pPr>
        <w:ind w:firstLine="5040"/>
        <w:jc w:val="left"/>
        <w:spacing w:line="360" w:lineRule="auto"/>
        <w:rPr>
          <w:rFonts w:hint="eastAsia" w:ascii="宋体" w:hAnsi="宋体" w:cs="宋体"/>
          <w:color w:val="000000" w:themeColor="text1"/>
          <w:sz w:val="24"/>
          <w:szCs w:val="24"/>
          <w:lang w:val="zh-CN" w:bidi="zh-CN"/>
          <w14:textFill>
            <w14:solidFill>
              <w14:schemeClr w14:val="tx1"/>
            </w14:solidFill>
          </w14:textFill>
        </w:rPr>
      </w:pPr>
      <w:r>
        <w:rPr>
          <w:rFonts w:hint="eastAsia" w:ascii="宋体" w:hAnsi="宋体" w:cs="宋体"/>
          <w:color w:val="000000" w:themeColor="text1"/>
          <w:sz w:val="24"/>
          <w:szCs w:val="24"/>
          <w:lang w:val="zh-CN" w:bidi="zh-CN"/>
          <w14:textFill>
            <w14:solidFill>
              <w14:schemeClr w14:val="tx1"/>
            </w14:solidFill>
          </w14:textFill>
        </w:rPr>
        <w:t xml:space="preserve">日</w:t>
      </w:r>
      <w:r>
        <w:rPr>
          <w:rFonts w:ascii="宋体" w:hAnsi="宋体" w:cs="宋体"/>
          <w:color w:val="000000" w:themeColor="text1"/>
          <w:sz w:val="24"/>
          <w:szCs w:val="24"/>
          <w:lang w:val="zh-CN" w:bidi="zh-CN"/>
          <w14:textFill>
            <w14:solidFill>
              <w14:schemeClr w14:val="tx1"/>
            </w14:solidFill>
          </w14:textFill>
        </w:rPr>
        <w:t xml:space="preserve"> 期：</w:t>
      </w:r>
      <w:r/>
    </w:p>
    <w:p>
      <w:pPr>
        <w:ind w:firstLine="480"/>
        <w:jc w:val="left"/>
        <w:spacing w:line="360" w:lineRule="auto"/>
        <w:rPr>
          <w:rFonts w:hint="eastAsia" w:ascii="宋体" w:hAnsi="宋体" w:cs="宋体"/>
          <w:color w:val="000000" w:themeColor="text1"/>
          <w:sz w:val="24"/>
          <w:szCs w:val="24"/>
          <w:lang w:val="zh-CN" w:bidi="zh-CN"/>
          <w14:textFill>
            <w14:solidFill>
              <w14:schemeClr w14:val="tx1"/>
            </w14:solidFill>
          </w14:textFill>
        </w:rPr>
      </w:pPr>
      <w:r>
        <w:rPr>
          <w:rFonts w:hint="eastAsia" w:ascii="宋体" w:hAnsi="宋体" w:cs="宋体"/>
          <w:color w:val="000000" w:themeColor="text1"/>
          <w:sz w:val="24"/>
          <w:szCs w:val="24"/>
          <w:lang w:val="zh-CN" w:bidi="zh-CN"/>
          <w14:textFill>
            <w14:solidFill>
              <w14:schemeClr w14:val="tx1"/>
            </w14:solidFill>
          </w14:textFill>
        </w:rPr>
      </w:r>
      <w:r/>
    </w:p>
    <w:p>
      <w:pPr>
        <w:ind w:firstLine="480"/>
        <w:jc w:val="left"/>
        <w:spacing w:line="360" w:lineRule="auto"/>
        <w:rPr>
          <w:rFonts w:hint="eastAsia" w:ascii="宋体" w:hAnsi="宋体" w:cs="宋体"/>
          <w:color w:val="000000" w:themeColor="text1"/>
          <w:sz w:val="24"/>
          <w:szCs w:val="24"/>
          <w:lang w:val="zh-CN" w:bidi="zh-CN"/>
          <w14:textFill>
            <w14:solidFill>
              <w14:schemeClr w14:val="tx1"/>
            </w14:solidFill>
          </w14:textFill>
        </w:rPr>
      </w:pPr>
      <w:r>
        <w:rPr>
          <w:rFonts w:hint="eastAsia" w:ascii="宋体" w:hAnsi="宋体" w:cs="宋体"/>
          <w:color w:val="000000" w:themeColor="text1"/>
          <w:sz w:val="24"/>
          <w:szCs w:val="24"/>
          <w:lang w:val="zh-CN" w:bidi="zh-CN"/>
          <w14:textFill>
            <w14:solidFill>
              <w14:schemeClr w14:val="tx1"/>
            </w14:solidFill>
          </w14:textFill>
        </w:rPr>
        <w:t xml:space="preserve"> </w:t>
      </w:r>
      <w:r>
        <w:rPr>
          <w:rFonts w:hint="eastAsia" w:ascii="宋体" w:hAnsi="宋体" w:cs="宋体"/>
          <w:color w:val="000000" w:themeColor="text1"/>
          <w:sz w:val="24"/>
          <w:szCs w:val="24"/>
          <w:u w:val="single"/>
          <w:lang w:val="zh-CN" w:bidi="zh-CN"/>
          <w14:textFill>
            <w14:solidFill>
              <w14:schemeClr w14:val="tx1"/>
            </w14:solidFill>
          </w14:textFill>
        </w:rPr>
        <w:t xml:space="preserve">                         </w:t>
      </w:r>
      <w:r>
        <w:rPr>
          <w:rFonts w:hint="eastAsia" w:ascii="宋体" w:hAnsi="宋体" w:cs="宋体"/>
          <w:color w:val="000000" w:themeColor="text1"/>
          <w:sz w:val="24"/>
          <w:szCs w:val="24"/>
          <w:lang w:val="zh-CN" w:bidi="zh-CN"/>
          <w14:textFill>
            <w14:solidFill>
              <w14:schemeClr w14:val="tx1"/>
            </w14:solidFill>
          </w14:textFill>
        </w:rPr>
        <w:t xml:space="preserve"> </w:t>
      </w:r>
      <w:r/>
    </w:p>
    <w:p>
      <w:pPr>
        <w:ind w:firstLine="480"/>
        <w:jc w:val="left"/>
        <w:spacing w:line="360" w:lineRule="auto"/>
        <w:rPr>
          <w:rFonts w:hint="eastAsia" w:ascii="宋体" w:hAnsi="宋体" w:cs="宋体"/>
          <w:color w:val="000000" w:themeColor="text1"/>
          <w:sz w:val="24"/>
          <w:szCs w:val="24"/>
          <w:lang w:val="zh-CN" w:bidi="zh-CN"/>
          <w14:textFill>
            <w14:solidFill>
              <w14:schemeClr w14:val="tx1"/>
            </w14:solidFill>
          </w14:textFill>
        </w:rPr>
      </w:pPr>
      <w:r>
        <w:rPr>
          <w:rFonts w:ascii="宋体" w:hAnsi="宋体" w:cs="宋体"/>
          <w:color w:val="000000" w:themeColor="text1"/>
          <w:sz w:val="24"/>
          <w:szCs w:val="24"/>
          <w:vertAlign w:val="superscript"/>
          <w:lang w:val="zh-CN" w:bidi="zh-CN"/>
          <w14:textFill>
            <w14:solidFill>
              <w14:schemeClr w14:val="tx1"/>
            </w14:solidFill>
          </w14:textFill>
        </w:rPr>
        <w:t xml:space="preserve">1</w:t>
      </w:r>
      <w:r>
        <w:rPr>
          <w:rFonts w:hint="eastAsia" w:ascii="宋体" w:hAnsi="宋体" w:cs="宋体"/>
          <w:color w:val="000000" w:themeColor="text1"/>
          <w:sz w:val="24"/>
          <w:szCs w:val="24"/>
          <w:lang w:val="zh-CN" w:bidi="zh-CN"/>
          <w14:textFill>
            <w14:solidFill>
              <w14:schemeClr w14:val="tx1"/>
            </w14:solidFill>
          </w14:textFill>
        </w:rPr>
        <w:t xml:space="preserve">从业人员、营业收入、资产总额填报上一年度数据，无上一年度数据的新成立企业可不填报。 </w:t>
      </w:r>
      <w:r/>
    </w:p>
    <w:p>
      <w:pPr>
        <w:ind w:firstLine="4560"/>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p>
      <w:pPr>
        <w:pStyle w:val="674"/>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p>
      <w:pPr>
        <w:pStyle w:val="674"/>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p>
      <w:pPr>
        <w:spacing w:after="240" w:line="360" w:lineRule="auto"/>
        <w:rPr>
          <w:rFonts w:hint="eastAsia"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br w:type="page" w:clear="all"/>
      </w:r>
      <w:r>
        <w:rPr>
          <w:rFonts w:ascii="宋体" w:hAnsi="宋体" w:cs="宋体"/>
          <w:b/>
          <w:bCs/>
          <w:color w:val="000000" w:themeColor="text1"/>
          <w:sz w:val="28"/>
          <w:szCs w:val="28"/>
          <w14:textFill>
            <w14:solidFill>
              <w14:schemeClr w14:val="tx1"/>
            </w14:solidFill>
          </w14:textFill>
        </w:rPr>
        <w:t xml:space="preserve">4-2 </w:t>
      </w:r>
      <w:r>
        <w:rPr>
          <w:rFonts w:hint="eastAsia" w:ascii="宋体" w:hAnsi="宋体" w:cs="宋体"/>
          <w:b/>
          <w:bCs/>
          <w:color w:val="000000" w:themeColor="text1"/>
          <w:sz w:val="28"/>
          <w:szCs w:val="28"/>
          <w14:textFill>
            <w14:solidFill>
              <w14:schemeClr w14:val="tx1"/>
            </w14:solidFill>
          </w14:textFill>
        </w:rPr>
        <w:t xml:space="preserve">残疾人福利性单位声明函</w:t>
      </w:r>
      <w:r/>
    </w:p>
    <w:p>
      <w:pPr>
        <w:ind w:firstLine="480"/>
        <w:jc w:val="left"/>
        <w:spacing w:line="360" w:lineRule="auto"/>
        <w:rPr>
          <w:rFonts w:hint="eastAsia"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themeColor="text1"/>
          <w:sz w:val="24"/>
          <w:u w:val="single"/>
          <w:shd w:val="clear" w:color="auto" w:fill="ffffff"/>
          <w14:textFill>
            <w14:solidFill>
              <w14:schemeClr w14:val="tx1"/>
            </w14:solidFill>
          </w14:textFill>
        </w:rPr>
        <w:t xml:space="preserve">             </w:t>
      </w:r>
      <w:r>
        <w:rPr>
          <w:rFonts w:hint="eastAsia" w:ascii="宋体" w:hAnsi="宋体" w:cs="宋体"/>
          <w:color w:val="000000" w:themeColor="text1"/>
          <w:sz w:val="24"/>
          <w:shd w:val="clear" w:color="auto" w:fill="ffffff"/>
          <w14:textFill>
            <w14:solidFill>
              <w14:schemeClr w14:val="tx1"/>
            </w14:solidFill>
          </w14:textFill>
        </w:rPr>
        <w:t xml:space="preserve">单位的</w:t>
      </w:r>
      <w:r>
        <w:rPr>
          <w:rFonts w:hint="eastAsia" w:ascii="宋体" w:hAnsi="宋体" w:cs="宋体"/>
          <w:color w:val="000000" w:themeColor="text1"/>
          <w:sz w:val="24"/>
          <w:u w:val="single"/>
          <w:shd w:val="clear" w:color="auto" w:fill="ffffff"/>
          <w14:textFill>
            <w14:solidFill>
              <w14:schemeClr w14:val="tx1"/>
            </w14:solidFill>
          </w14:textFill>
        </w:rPr>
        <w:t xml:space="preserve">          </w:t>
      </w:r>
      <w:r>
        <w:rPr>
          <w:rFonts w:hint="eastAsia" w:ascii="宋体" w:hAnsi="宋体" w:cs="宋体"/>
          <w:color w:val="000000" w:themeColor="text1"/>
          <w:sz w:val="24"/>
          <w:shd w:val="clear" w:color="auto" w:fill="ffffff"/>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ind w:firstLine="480"/>
        <w:jc w:val="left"/>
        <w:spacing w:line="360" w:lineRule="auto"/>
        <w:rPr>
          <w:rFonts w:hint="eastAsia" w:ascii="宋体" w:hAnsi="宋体" w:cs="宋体"/>
          <w:color w:val="000000" w:themeColor="text1"/>
          <w:sz w:val="22"/>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 xml:space="preserve">本单位对上述声明的真实性负责。如有虚假，将依法承担相应责任</w:t>
      </w:r>
      <w:r>
        <w:rPr>
          <w:rFonts w:hint="eastAsia" w:ascii="宋体" w:hAnsi="宋体" w:cs="宋体"/>
          <w:color w:val="000000" w:themeColor="text1"/>
          <w:sz w:val="22"/>
          <w:shd w:val="clear" w:color="auto" w:fill="ffffff"/>
          <w14:textFill>
            <w14:solidFill>
              <w14:schemeClr w14:val="tx1"/>
            </w14:solidFill>
          </w14:textFill>
        </w:rPr>
        <w:t xml:space="preserve">。</w:t>
      </w:r>
      <w:r/>
    </w:p>
    <w:p>
      <w:pPr>
        <w:ind w:firstLine="440"/>
        <w:jc w:val="left"/>
        <w:spacing w:line="360" w:lineRule="auto"/>
        <w:rPr>
          <w:rFonts w:hint="eastAsia" w:ascii="宋体" w:hAnsi="宋体" w:cs="宋体"/>
          <w:color w:val="000000" w:themeColor="text1"/>
          <w:sz w:val="22"/>
          <w:shd w:val="clear" w:color="auto" w:fill="ffffff"/>
          <w14:textFill>
            <w14:solidFill>
              <w14:schemeClr w14:val="tx1"/>
            </w14:solidFill>
          </w14:textFill>
        </w:rPr>
      </w:pPr>
      <w:r>
        <w:rPr>
          <w:rFonts w:hint="eastAsia" w:ascii="宋体" w:hAnsi="宋体" w:cs="宋体"/>
          <w:color w:val="000000" w:themeColor="text1"/>
          <w:sz w:val="22"/>
          <w:shd w:val="clear" w:color="auto" w:fill="ffffff"/>
          <w14:textFill>
            <w14:solidFill>
              <w14:schemeClr w14:val="tx1"/>
            </w14:solidFill>
          </w14:textFill>
        </w:rPr>
      </w:r>
      <w:r/>
    </w:p>
    <w:p>
      <w:pPr>
        <w:pStyle w:val="674"/>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ind w:firstLine="440"/>
        <w:jc w:val="left"/>
        <w:spacing w:line="360" w:lineRule="auto"/>
        <w:rPr>
          <w:rFonts w:hint="eastAsia" w:ascii="宋体" w:hAnsi="宋体" w:cs="宋体"/>
          <w:color w:val="000000" w:themeColor="text1"/>
          <w:sz w:val="22"/>
          <w:shd w:val="clear" w:color="auto" w:fill="ffffff"/>
          <w14:textFill>
            <w14:solidFill>
              <w14:schemeClr w14:val="tx1"/>
            </w14:solidFill>
          </w14:textFill>
        </w:rPr>
      </w:pPr>
      <w:r>
        <w:rPr>
          <w:rFonts w:hint="eastAsia" w:ascii="宋体" w:hAnsi="宋体" w:cs="宋体"/>
          <w:color w:val="000000" w:themeColor="text1"/>
          <w:sz w:val="22"/>
          <w:shd w:val="clear" w:color="auto" w:fill="ffffff"/>
          <w14:textFill>
            <w14:solidFill>
              <w14:schemeClr w14:val="tx1"/>
            </w14:solidFill>
          </w14:textFill>
        </w:rPr>
      </w:r>
      <w:r/>
    </w:p>
    <w:p>
      <w:pPr>
        <w:jc w:val="right"/>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供应商名称：</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 xml:space="preserve">（电子签章）</w:t>
      </w:r>
      <w:r/>
    </w:p>
    <w:p>
      <w:pPr>
        <w:jc w:val="right"/>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p>
      <w:pPr>
        <w:jc w:val="right"/>
        <w:spacing w:line="360" w:lineRule="auto"/>
        <w:rPr>
          <w:rFonts w:hint="eastAsia" w:ascii="宋体" w:hAnsi="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年</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月</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w:t>
      </w:r>
      <w:r/>
    </w:p>
    <w:p>
      <w:pPr>
        <w:jc w:val="righ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jc w:val="right"/>
        <w:spacing w:line="360" w:lineRule="auto"/>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r>
      <w:r/>
    </w:p>
    <w:p>
      <w:pPr>
        <w:jc w:val="right"/>
        <w:spacing w:line="360" w:lineRule="auto"/>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r>
      <w:r/>
    </w:p>
    <w:p>
      <w:pPr>
        <w:jc w:val="right"/>
        <w:spacing w:line="360" w:lineRule="auto"/>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r>
      <w:r/>
    </w:p>
    <w:p>
      <w:pPr>
        <w:jc w:val="right"/>
        <w:spacing w:line="360" w:lineRule="auto"/>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r>
      <w:r/>
    </w:p>
    <w:p>
      <w:pPr>
        <w:jc w:val="right"/>
        <w:spacing w:line="360" w:lineRule="auto"/>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r>
      <w:r/>
    </w:p>
    <w:p>
      <w:pPr>
        <w:jc w:val="right"/>
        <w:spacing w:line="360" w:lineRule="auto"/>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r>
      <w:r/>
    </w:p>
    <w:p>
      <w:pPr>
        <w:jc w:val="right"/>
        <w:spacing w:line="360" w:lineRule="auto"/>
        <w:rPr>
          <w:rFonts w:hint="eastAsia" w:ascii="宋体" w:hAnsi="宋体"/>
          <w:color w:val="000000" w:themeColor="text1"/>
          <w:sz w:val="22"/>
          <w14:textFill>
            <w14:solidFill>
              <w14:schemeClr w14:val="tx1"/>
            </w14:solidFill>
          </w14:textFill>
        </w:rPr>
      </w:pPr>
      <w:r>
        <w:rPr>
          <w:rFonts w:hint="eastAsia" w:ascii="宋体" w:hAnsi="宋体"/>
          <w:color w:val="000000" w:themeColor="text1"/>
          <w:sz w:val="22"/>
          <w14:textFill>
            <w14:solidFill>
              <w14:schemeClr w14:val="tx1"/>
            </w14:solidFill>
          </w14:textFill>
        </w:rPr>
      </w:r>
      <w:r/>
    </w:p>
    <w:p>
      <w:pPr>
        <w:pStyle w:val="933"/>
        <w:spacing w:line="360" w:lineRule="exact"/>
        <w:rPr>
          <w:b/>
          <w:color w:val="000000" w:themeColor="text1"/>
          <w:sz w:val="28"/>
          <w:szCs w:val="28"/>
          <w14:textFill>
            <w14:solidFill>
              <w14:schemeClr w14:val="tx1"/>
            </w14:solidFill>
          </w14:textFill>
        </w:rPr>
        <w:outlineLvl w:val="1"/>
      </w:pPr>
      <w:r>
        <w:rPr>
          <w:b/>
          <w:bCs/>
          <w:color w:val="000000" w:themeColor="text1"/>
          <w:sz w:val="28"/>
          <w:szCs w:val="28"/>
          <w14:textFill>
            <w14:solidFill>
              <w14:schemeClr w14:val="tx1"/>
            </w14:solidFill>
          </w14:textFill>
        </w:rPr>
        <w:br w:type="page" w:clear="all"/>
      </w:r>
      <w:r>
        <w:rPr>
          <w:rFonts w:hint="default"/>
          <w:b/>
          <w:color w:val="000000" w:themeColor="text1"/>
          <w:sz w:val="28"/>
          <w:szCs w:val="28"/>
          <w14:textFill>
            <w14:solidFill>
              <w14:schemeClr w14:val="tx1"/>
            </w14:solidFill>
          </w14:textFill>
        </w:rPr>
        <w:t xml:space="preserve">4</w:t>
      </w:r>
      <w:r>
        <w:rPr>
          <w:b/>
          <w:color w:val="000000" w:themeColor="text1"/>
          <w:sz w:val="28"/>
          <w:szCs w:val="28"/>
          <w14:textFill>
            <w14:solidFill>
              <w14:schemeClr w14:val="tx1"/>
            </w14:solidFill>
          </w14:textFill>
        </w:rPr>
        <w:t xml:space="preserve">-3 监狱和戒毒企业（监狱企业）声明函</w:t>
      </w:r>
      <w:r/>
    </w:p>
    <w:p>
      <w:pPr>
        <w:pStyle w:val="933"/>
        <w:ind w:firstLine="480"/>
        <w:spacing w:line="500" w:lineRule="exact"/>
        <w:rPr>
          <w:bCs/>
          <w:color w:val="000000" w:themeColor="text1"/>
          <w:sz w:val="24"/>
          <w14:textFill>
            <w14:solidFill>
              <w14:schemeClr w14:val="tx1"/>
            </w14:solidFill>
          </w14:textFill>
        </w:rPr>
      </w:pPr>
      <w:r>
        <w:rPr>
          <w:bCs/>
          <w:color w:val="000000" w:themeColor="text1"/>
          <w:sz w:val="24"/>
          <w14:textFill>
            <w14:solidFill>
              <w14:schemeClr w14:val="tx1"/>
            </w14:solidFill>
          </w14:textFill>
        </w:rPr>
      </w:r>
      <w:r/>
    </w:p>
    <w:p>
      <w:pPr>
        <w:pStyle w:val="933"/>
        <w:ind w:firstLine="840"/>
        <w:spacing w:line="30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本公司郑重声明，根据财政部《关于政府采购支持监狱企业发展有关问题的通知》（财库[2014]68号）的规定，本公司为符合条件的监狱和戒毒企业（监狱企业），且单位参加</w:t>
      </w:r>
      <w:r>
        <w:rPr>
          <w:bCs/>
          <w:color w:val="000000" w:themeColor="text1"/>
          <w:sz w:val="24"/>
          <w:u w:val="single"/>
          <w14:textFill>
            <w14:solidFill>
              <w14:schemeClr w14:val="tx1"/>
            </w14:solidFill>
          </w14:textFill>
        </w:rPr>
        <w:t xml:space="preserve">　　　　　</w:t>
      </w:r>
      <w:r>
        <w:rPr>
          <w:bCs/>
          <w:color w:val="000000" w:themeColor="text1"/>
          <w:sz w:val="24"/>
          <w14:textFill>
            <w14:solidFill>
              <w14:schemeClr w14:val="tx1"/>
            </w14:solidFill>
          </w14:textFill>
        </w:rPr>
        <w:t xml:space="preserve">单位的项目采购活动提供本单位制造的货物（由本单位承担工程/提供服务），或者提供其他监狱和戒毒企业（监狱企业）制造的货物（不包括使用非监狱和戒毒企业（监狱企业）注册商标的货物/服务）。</w:t>
      </w:r>
      <w:r/>
    </w:p>
    <w:p>
      <w:pPr>
        <w:pStyle w:val="933"/>
        <w:ind w:firstLine="480"/>
        <w:spacing w:line="30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本公司对上述声明的真实性负责。如有虚假，将依法承担相应责任。</w:t>
      </w:r>
      <w:r/>
    </w:p>
    <w:p>
      <w:pPr>
        <w:pStyle w:val="933"/>
        <w:spacing w:line="30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r>
      <w:r/>
    </w:p>
    <w:p>
      <w:pPr>
        <w:pStyle w:val="933"/>
        <w:spacing w:line="30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r>
      <w:r/>
    </w:p>
    <w:p>
      <w:pPr>
        <w:jc w:val="right"/>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供应商名称：</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 xml:space="preserve">（电子签章）</w:t>
      </w:r>
      <w:r/>
    </w:p>
    <w:p>
      <w:pPr>
        <w:jc w:val="right"/>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p>
      <w:pPr>
        <w:jc w:val="right"/>
        <w:spacing w:line="360" w:lineRule="auto"/>
        <w:rPr>
          <w:rFonts w:hint="eastAsia" w:ascii="宋体" w:hAnsi="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年</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月</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w:t>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933"/>
        <w:rPr>
          <w:color w:val="000000" w:themeColor="text1"/>
          <w14:textFill>
            <w14:solidFill>
              <w14:schemeClr w14:val="tx1"/>
            </w14:solidFill>
          </w14:textFill>
        </w:rPr>
      </w:pPr>
      <w:r>
        <w:rPr>
          <w:color w:val="000000" w:themeColor="text1"/>
          <w14:textFill>
            <w14:solidFill>
              <w14:schemeClr w14:val="tx1"/>
            </w14:solidFill>
          </w14:textFill>
        </w:rPr>
      </w:r>
      <w:r/>
    </w:p>
    <w:p>
      <w:pPr>
        <w:pStyle w:val="933"/>
        <w:jc w:val="left"/>
        <w:spacing w:line="500" w:lineRule="exact"/>
        <w:rPr>
          <w:b/>
          <w:color w:val="000000" w:themeColor="text1"/>
          <w:sz w:val="28"/>
          <w:szCs w:val="28"/>
          <w14:textFill>
            <w14:solidFill>
              <w14:schemeClr w14:val="tx1"/>
            </w14:solidFill>
          </w14:textFill>
        </w:rPr>
        <w:outlineLvl w:val="1"/>
      </w:pPr>
      <w:r>
        <w:rPr>
          <w:rFonts w:hint="default"/>
          <w:b/>
          <w:color w:val="000000" w:themeColor="text1"/>
          <w:sz w:val="28"/>
          <w:szCs w:val="28"/>
          <w14:textFill>
            <w14:solidFill>
              <w14:schemeClr w14:val="tx1"/>
            </w14:solidFill>
          </w14:textFill>
        </w:rPr>
        <w:t xml:space="preserve">4</w:t>
      </w:r>
      <w:r>
        <w:rPr>
          <w:b/>
          <w:color w:val="000000" w:themeColor="text1"/>
          <w:sz w:val="28"/>
          <w:szCs w:val="28"/>
          <w14:textFill>
            <w14:solidFill>
              <w14:schemeClr w14:val="tx1"/>
            </w14:solidFill>
          </w14:textFill>
        </w:rPr>
        <w:t xml:space="preserve">-4 退役军人企业声明函</w:t>
      </w:r>
      <w:r/>
    </w:p>
    <w:p>
      <w:pPr>
        <w:pStyle w:val="933"/>
        <w:spacing w:line="500" w:lineRule="exact"/>
        <w:rPr>
          <w:bCs/>
          <w:color w:val="000000" w:themeColor="text1"/>
          <w:sz w:val="24"/>
          <w:u w:val="single"/>
          <w14:textFill>
            <w14:solidFill>
              <w14:schemeClr w14:val="tx1"/>
            </w14:solidFill>
          </w14:textFill>
        </w:rPr>
      </w:pPr>
      <w:r>
        <w:rPr>
          <w:bCs/>
          <w:color w:val="000000" w:themeColor="text1"/>
          <w:sz w:val="24"/>
          <w:u w:val="single"/>
          <w14:textFill>
            <w14:solidFill>
              <w14:schemeClr w14:val="tx1"/>
            </w14:solidFill>
          </w14:textFill>
        </w:rPr>
      </w:r>
      <w:r/>
    </w:p>
    <w:p>
      <w:pPr>
        <w:pStyle w:val="933"/>
        <w:spacing w:line="500" w:lineRule="exact"/>
        <w:rPr>
          <w:bCs/>
          <w:color w:val="000000" w:themeColor="text1"/>
          <w:sz w:val="24"/>
          <w:u w:val="single"/>
          <w14:textFill>
            <w14:solidFill>
              <w14:schemeClr w14:val="tx1"/>
            </w14:solidFill>
          </w14:textFill>
        </w:rPr>
      </w:pPr>
      <w:r>
        <w:rPr>
          <w:bCs/>
          <w:color w:val="000000" w:themeColor="text1"/>
          <w:sz w:val="24"/>
          <w:u w:val="single"/>
          <w14:textFill>
            <w14:solidFill>
              <w14:schemeClr w14:val="tx1"/>
            </w14:solidFill>
          </w14:textFill>
        </w:rPr>
        <w:t xml:space="preserve">                      ：</w:t>
      </w:r>
      <w:r/>
    </w:p>
    <w:p>
      <w:pPr>
        <w:pStyle w:val="1038"/>
        <w:ind w:firstLine="48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933"/>
        <w:ind w:firstLine="480"/>
        <w:spacing w:line="30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本公司郑重声明，根据</w:t>
      </w:r>
      <w:r>
        <w:rPr>
          <w:color w:val="000000" w:themeColor="text1"/>
          <w:sz w:val="24"/>
          <w:lang w:val="zh-CN"/>
          <w14:textFill>
            <w14:solidFill>
              <w14:schemeClr w14:val="tx1"/>
            </w14:solidFill>
          </w14:textFill>
        </w:rPr>
        <w:t xml:space="preserve">《关于促进新时代退役军人就业创业工作的意见》（退役军人发[2018]26号）</w:t>
      </w:r>
      <w:r>
        <w:rPr>
          <w:bCs/>
          <w:color w:val="000000" w:themeColor="text1"/>
          <w:sz w:val="24"/>
          <w14:textFill>
            <w14:solidFill>
              <w14:schemeClr w14:val="tx1"/>
            </w14:solidFill>
          </w14:textFill>
        </w:rPr>
        <w:t xml:space="preserve">的规定，本公司为符合条件的</w:t>
      </w:r>
      <w:r>
        <w:rPr>
          <w:color w:val="000000" w:themeColor="text1"/>
          <w:sz w:val="24"/>
          <w:lang w:val="zh-CN"/>
          <w14:textFill>
            <w14:solidFill>
              <w14:schemeClr w14:val="tx1"/>
            </w14:solidFill>
          </w14:textFill>
        </w:rPr>
        <w:t xml:space="preserve">退役军人企业</w:t>
      </w:r>
      <w:r>
        <w:rPr>
          <w:bCs/>
          <w:color w:val="000000" w:themeColor="text1"/>
          <w:sz w:val="24"/>
          <w14:textFill>
            <w14:solidFill>
              <w14:schemeClr w14:val="tx1"/>
            </w14:solidFill>
          </w14:textFill>
        </w:rPr>
        <w:t xml:space="preserve">，且单位参加</w:t>
      </w:r>
      <w:r>
        <w:rPr>
          <w:bCs/>
          <w:color w:val="000000" w:themeColor="text1"/>
          <w:sz w:val="24"/>
          <w:u w:val="single"/>
          <w14:textFill>
            <w14:solidFill>
              <w14:schemeClr w14:val="tx1"/>
            </w14:solidFill>
          </w14:textFill>
        </w:rPr>
        <w:t xml:space="preserve">　   　</w:t>
      </w:r>
      <w:r>
        <w:rPr>
          <w:bCs/>
          <w:color w:val="000000" w:themeColor="text1"/>
          <w:sz w:val="24"/>
          <w14:textFill>
            <w14:solidFill>
              <w14:schemeClr w14:val="tx1"/>
            </w14:solidFill>
          </w14:textFill>
        </w:rPr>
        <w:t xml:space="preserve">单位的项目采购活动提供本单位制造的货物（由本单位承担工程/提供服务），或者提供其他</w:t>
      </w:r>
      <w:r>
        <w:rPr>
          <w:color w:val="000000" w:themeColor="text1"/>
          <w:sz w:val="24"/>
          <w:lang w:val="zh-CN"/>
          <w14:textFill>
            <w14:solidFill>
              <w14:schemeClr w14:val="tx1"/>
            </w14:solidFill>
          </w14:textFill>
        </w:rPr>
        <w:t xml:space="preserve">退役军人</w:t>
      </w:r>
      <w:r>
        <w:rPr>
          <w:bCs/>
          <w:color w:val="000000" w:themeColor="text1"/>
          <w:sz w:val="24"/>
          <w14:textFill>
            <w14:solidFill>
              <w14:schemeClr w14:val="tx1"/>
            </w14:solidFill>
          </w14:textFill>
        </w:rPr>
        <w:t xml:space="preserve">企业制造的货物（不包括使用非</w:t>
      </w:r>
      <w:r>
        <w:rPr>
          <w:color w:val="000000" w:themeColor="text1"/>
          <w:sz w:val="24"/>
          <w:lang w:val="zh-CN"/>
          <w14:textFill>
            <w14:solidFill>
              <w14:schemeClr w14:val="tx1"/>
            </w14:solidFill>
          </w14:textFill>
        </w:rPr>
        <w:t xml:space="preserve">退役军人</w:t>
      </w:r>
      <w:r>
        <w:rPr>
          <w:bCs/>
          <w:color w:val="000000" w:themeColor="text1"/>
          <w:sz w:val="24"/>
          <w14:textFill>
            <w14:solidFill>
              <w14:schemeClr w14:val="tx1"/>
            </w14:solidFill>
          </w14:textFill>
        </w:rPr>
        <w:t xml:space="preserve">企业注册商标的货物/服务）。</w:t>
      </w:r>
      <w:r/>
    </w:p>
    <w:p>
      <w:pPr>
        <w:pStyle w:val="933"/>
        <w:ind w:firstLine="480"/>
        <w:spacing w:line="30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本公司对上述声明的真实性负责。如有虚假，将依法承担相应责任。</w:t>
      </w:r>
      <w:r/>
    </w:p>
    <w:p>
      <w:pPr>
        <w:pStyle w:val="933"/>
        <w:spacing w:line="30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r>
      <w:r/>
    </w:p>
    <w:p>
      <w:pPr>
        <w:pStyle w:val="933"/>
        <w:spacing w:line="30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r>
      <w:r/>
    </w:p>
    <w:p>
      <w:pPr>
        <w:jc w:val="right"/>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供应商名称：</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 xml:space="preserve">（电子签章）</w:t>
      </w:r>
      <w:r/>
    </w:p>
    <w:p>
      <w:pPr>
        <w:jc w:val="right"/>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p>
      <w:pPr>
        <w:jc w:val="right"/>
        <w:spacing w:line="360" w:lineRule="auto"/>
        <w:rPr>
          <w:rFonts w:hint="eastAsia" w:ascii="宋体" w:hAnsi="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年</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月</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w:t>
      </w:r>
      <w:r/>
    </w:p>
    <w:p>
      <w:pPr>
        <w:jc w:val="center"/>
        <w:spacing w:after="320"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674"/>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jc w:val="left"/>
        <w:rPr>
          <w:rFonts w:hint="eastAsia" w:ascii="宋体" w:hAnsi="宋体" w:cs="宋体"/>
          <w:b/>
          <w:bCs/>
          <w:color w:val="000000" w:themeColor="text1"/>
          <w:sz w:val="28"/>
          <w:szCs w:val="28"/>
          <w:lang w:val="zh-CN" w:bidi="zh-CN"/>
          <w14:textFill>
            <w14:solidFill>
              <w14:schemeClr w14:val="tx1"/>
            </w14:solidFill>
          </w14:textFill>
        </w:rPr>
      </w:pPr>
      <w:r>
        <w:rPr>
          <w:rFonts w:hint="eastAsia" w:ascii="宋体" w:hAnsi="宋体" w:cs="宋体"/>
          <w:b/>
          <w:bCs/>
          <w:color w:val="000000" w:themeColor="text1"/>
          <w:sz w:val="28"/>
          <w:szCs w:val="28"/>
          <w:lang w:val="zh-CN" w:bidi="zh-CN"/>
          <w14:textFill>
            <w14:solidFill>
              <w14:schemeClr w14:val="tx1"/>
            </w14:solidFill>
          </w14:textFill>
        </w:rPr>
      </w:r>
      <w:r/>
    </w:p>
    <w:p>
      <w:pPr>
        <w:jc w:val="left"/>
        <w:rPr>
          <w:rFonts w:hint="eastAsia" w:ascii="宋体" w:hAnsi="宋体" w:cs="宋体"/>
          <w:b/>
          <w:bCs/>
          <w:color w:val="000000" w:themeColor="text1"/>
          <w:sz w:val="28"/>
          <w:szCs w:val="28"/>
          <w:lang w:val="zh-CN" w:bidi="zh-CN"/>
          <w14:textFill>
            <w14:solidFill>
              <w14:schemeClr w14:val="tx1"/>
            </w14:solidFill>
          </w14:textFill>
        </w:rPr>
      </w:pPr>
      <w:r>
        <w:rPr>
          <w:rFonts w:hint="eastAsia" w:ascii="宋体" w:hAnsi="宋体" w:cs="宋体"/>
          <w:b/>
          <w:bCs/>
          <w:color w:val="000000" w:themeColor="text1"/>
          <w:sz w:val="28"/>
          <w:szCs w:val="28"/>
          <w:lang w:val="zh-CN" w:bidi="zh-CN"/>
          <w14:textFill>
            <w14:solidFill>
              <w14:schemeClr w14:val="tx1"/>
            </w14:solidFill>
          </w14:textFill>
        </w:rPr>
      </w:r>
      <w:r/>
    </w:p>
    <w:p>
      <w:pPr>
        <w:jc w:val="left"/>
        <w:rPr>
          <w:rFonts w:hint="eastAsia" w:ascii="宋体" w:hAnsi="宋体" w:cs="宋体"/>
          <w:b/>
          <w:bCs/>
          <w:color w:val="000000" w:themeColor="text1"/>
          <w:sz w:val="28"/>
          <w:szCs w:val="28"/>
          <w:lang w:val="zh-CN" w:bidi="zh-CN"/>
          <w14:textFill>
            <w14:solidFill>
              <w14:schemeClr w14:val="tx1"/>
            </w14:solidFill>
          </w14:textFill>
        </w:rPr>
      </w:pPr>
      <w:r>
        <w:rPr>
          <w:rFonts w:hint="eastAsia" w:ascii="宋体" w:hAnsi="宋体" w:cs="宋体"/>
          <w:b/>
          <w:bCs/>
          <w:color w:val="000000" w:themeColor="text1"/>
          <w:sz w:val="28"/>
          <w:szCs w:val="28"/>
          <w:lang w:val="zh-CN" w:bidi="zh-CN"/>
          <w14:textFill>
            <w14:solidFill>
              <w14:schemeClr w14:val="tx1"/>
            </w14:solidFill>
          </w14:textFill>
        </w:rPr>
        <w:t xml:space="preserve">4-5</w:t>
      </w:r>
      <w:r>
        <w:rPr>
          <w:rFonts w:hint="eastAsia" w:ascii="宋体" w:hAnsi="宋体" w:cs="宋体"/>
          <w:b/>
          <w:color w:val="000000" w:themeColor="text1"/>
          <w:sz w:val="28"/>
          <w:szCs w:val="28"/>
          <w:lang w:val="zh-CN" w:bidi="zh-CN"/>
          <w14:textFill>
            <w14:solidFill>
              <w14:schemeClr w14:val="tx1"/>
            </w14:solidFill>
          </w14:textFill>
        </w:rPr>
        <w:t xml:space="preserve">关于符合本国产品标准的声明函（本项目不适用）</w:t>
      </w:r>
      <w:r/>
    </w:p>
    <w:p>
      <w:pPr>
        <w:jc w:val="center"/>
        <w:rPr>
          <w:rFonts w:hint="eastAsia" w:ascii="宋体" w:hAnsi="宋体" w:cs="宋体"/>
          <w:b/>
          <w:color w:val="000000" w:themeColor="text1"/>
          <w:sz w:val="28"/>
          <w:szCs w:val="28"/>
          <w:lang w:val="zh-CN" w:bidi="zh-CN"/>
          <w14:textFill>
            <w14:solidFill>
              <w14:schemeClr w14:val="tx1"/>
            </w14:solidFill>
          </w14:textFill>
        </w:rPr>
      </w:pPr>
      <w:r>
        <w:rPr>
          <w:rFonts w:hint="eastAsia" w:ascii="宋体" w:hAnsi="宋体" w:cs="宋体"/>
          <w:b/>
          <w:color w:val="000000" w:themeColor="text1"/>
          <w:sz w:val="28"/>
          <w:szCs w:val="28"/>
          <w:lang w:val="zh-CN" w:bidi="zh-CN"/>
          <w14:textFill>
            <w14:solidFill>
              <w14:schemeClr w14:val="tx1"/>
            </w14:solidFill>
          </w14:textFill>
        </w:rPr>
      </w:r>
      <w:r/>
    </w:p>
    <w:p>
      <w:pPr>
        <w:jc w:val="center"/>
        <w:rPr>
          <w:rFonts w:hint="eastAsia" w:ascii="宋体" w:hAnsi="宋体" w:cs="宋体"/>
          <w:color w:val="000000" w:themeColor="text1"/>
          <w:sz w:val="28"/>
          <w:szCs w:val="28"/>
          <w:lang w:val="zh-CN" w:bidi="zh-CN"/>
          <w14:textFill>
            <w14:solidFill>
              <w14:schemeClr w14:val="tx1"/>
            </w14:solidFill>
          </w14:textFill>
        </w:rPr>
      </w:pPr>
      <w:r>
        <w:rPr>
          <w:rFonts w:hint="eastAsia" w:ascii="宋体" w:hAnsi="宋体" w:cs="宋体"/>
          <w:b/>
          <w:color w:val="000000" w:themeColor="text1"/>
          <w:sz w:val="28"/>
          <w:szCs w:val="28"/>
          <w:lang w:val="zh-CN" w:bidi="zh-CN"/>
          <w14:textFill>
            <w14:solidFill>
              <w14:schemeClr w14:val="tx1"/>
            </w14:solidFill>
          </w14:textFill>
        </w:rPr>
        <w:t xml:space="preserve">关于符合本国产品标准的声明函（采购包号：**）</w:t>
      </w:r>
      <w:r/>
    </w:p>
    <w:p>
      <w:pPr>
        <w:ind w:firstLine="420"/>
        <w:jc w:val="left"/>
        <w:spacing w:line="0" w:lineRule="atLeast"/>
        <w:rPr>
          <w:rFonts w:hint="eastAsia" w:ascii="宋体" w:hAnsi="宋体" w:cs="宋体"/>
          <w:color w:val="000000" w:themeColor="text1"/>
          <w:sz w:val="22"/>
          <w:lang w:val="zh-CN" w:bidi="zh-CN"/>
          <w14:textFill>
            <w14:solidFill>
              <w14:schemeClr w14:val="tx1"/>
            </w14:solidFill>
          </w14:textFill>
        </w:rPr>
      </w:pPr>
      <w:r>
        <w:rPr>
          <w:rFonts w:hint="eastAsia" w:ascii="宋体" w:hAnsi="宋体" w:cs="宋体"/>
          <w:color w:val="000000" w:themeColor="text1"/>
          <w:sz w:val="22"/>
          <w:lang w:val="zh-CN" w:bidi="zh-CN"/>
          <w14:textFill>
            <w14:solidFill>
              <w14:schemeClr w14:val="tx1"/>
            </w14:solidFill>
          </w14:textFill>
        </w:rPr>
      </w:r>
      <w:r/>
    </w:p>
    <w:p>
      <w:pPr>
        <w:ind w:firstLine="420"/>
        <w:jc w:val="left"/>
        <w:spacing w:line="360" w:lineRule="auto"/>
        <w:widowControl/>
        <w:rPr>
          <w:rFonts w:hint="eastAsia" w:ascii="宋体" w:hAnsi="宋体" w:cs="宋体"/>
          <w:color w:val="000000" w:themeColor="text1"/>
          <w:sz w:val="22"/>
          <w:lang w:val="zh-CN" w:bidi="zh-CN"/>
          <w14:textFill>
            <w14:solidFill>
              <w14:schemeClr w14:val="tx1"/>
            </w14:solidFill>
          </w14:textFill>
        </w:rPr>
      </w:pPr>
      <w:r>
        <w:rPr>
          <w:rFonts w:hint="eastAsia" w:ascii="宋体" w:hAnsi="宋体" w:cs="宋体"/>
          <w:color w:val="000000" w:themeColor="text1"/>
          <w:sz w:val="22"/>
          <w:lang w:val="zh-CN" w:bidi="zh-CN"/>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line="360" w:lineRule="auto"/>
        <w:widowControl/>
        <w:rPr>
          <w:rFonts w:hint="eastAsia" w:ascii="宋体" w:hAnsi="宋体" w:cs="宋体"/>
          <w:color w:val="000000" w:themeColor="text1"/>
          <w:sz w:val="22"/>
          <w:lang w:val="zh-CN" w:bidi="zh-CN"/>
          <w14:textFill>
            <w14:solidFill>
              <w14:schemeClr w14:val="tx1"/>
            </w14:solidFill>
          </w14:textFill>
        </w:rPr>
      </w:pPr>
      <w:r>
        <w:rPr>
          <w:rFonts w:ascii="宋体" w:hAnsi="宋体" w:cs="宋体"/>
          <w:color w:val="000000" w:themeColor="text1"/>
          <w:sz w:val="24"/>
          <w:lang w:val="zh-CN" w:bidi="zh-CN"/>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1111885</wp:posOffset>
                </wp:positionH>
                <wp:positionV relativeFrom="paragraph">
                  <wp:posOffset>587375</wp:posOffset>
                </wp:positionV>
                <wp:extent cx="876300" cy="120015"/>
                <wp:effectExtent l="0" t="0" r="0" b="0"/>
                <wp:wrapNone/>
                <wp:docPr id="2" name="任意多边形: 形状 203661887"/>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2336;o:allowoverlap:true;o:allowincell:true;mso-position-horizontal-relative:text;margin-left:87.5pt;mso-position-horizontal:absolute;mso-position-vertical-relative:text;margin-top:46.2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000000" w:themeColor="text1"/>
          <w:sz w:val="24"/>
          <w:lang w:val="zh-CN" w:bidi="zh-CN"/>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41910</wp:posOffset>
                </wp:positionH>
                <wp:positionV relativeFrom="paragraph">
                  <wp:posOffset>548005</wp:posOffset>
                </wp:positionV>
                <wp:extent cx="816610" cy="147320"/>
                <wp:effectExtent l="0" t="0" r="0" b="0"/>
                <wp:wrapNone/>
                <wp:docPr id="3" name="任意多边形: 形状 38997907"/>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8480;o:allowoverlap:true;o:allowincell:true;mso-position-horizontal-relative:text;margin-left:3.3pt;mso-position-horizontal:absolute;mso-position-vertical-relative:text;margin-top:43.1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000000" w:themeColor="text1"/>
          <w:sz w:val="24"/>
          <w:lang w:val="zh-CN" w:bidi="zh-CN"/>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3782695</wp:posOffset>
                </wp:positionH>
                <wp:positionV relativeFrom="paragraph">
                  <wp:posOffset>287020</wp:posOffset>
                </wp:positionV>
                <wp:extent cx="816610" cy="103505"/>
                <wp:effectExtent l="0" t="0" r="0" b="0"/>
                <wp:wrapNone/>
                <wp:docPr id="4" name="任意多边形: 形状 603183352"/>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71552;o:allowoverlap:true;o:allowincell:true;mso-position-horizontal-relative:text;margin-left:297.8pt;mso-position-horizontal:absolute;mso-position-vertical-relative:text;margin-top:22.6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000000" w:themeColor="text1"/>
          <w:sz w:val="24"/>
          <w:lang w:val="zh-CN" w:bidi="zh-CN"/>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2747645</wp:posOffset>
                </wp:positionH>
                <wp:positionV relativeFrom="paragraph">
                  <wp:posOffset>312420</wp:posOffset>
                </wp:positionV>
                <wp:extent cx="816610" cy="103505"/>
                <wp:effectExtent l="0" t="0" r="0" b="0"/>
                <wp:wrapNone/>
                <wp:docPr id="5" name="任意多边形: 形状 933240106"/>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1312;o:allowoverlap:true;o:allowincell:true;mso-position-horizontal-relative:text;margin-left:216.3pt;mso-position-horizontal:absolute;mso-position-vertical-relative:text;margin-top:24.6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000000" w:themeColor="text1"/>
          <w:sz w:val="24"/>
          <w:lang w:val="zh-CN" w:bidi="zh-CN"/>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1711960</wp:posOffset>
                </wp:positionH>
                <wp:positionV relativeFrom="paragraph">
                  <wp:posOffset>309880</wp:posOffset>
                </wp:positionV>
                <wp:extent cx="816610" cy="76200"/>
                <wp:effectExtent l="0" t="0" r="0" b="0"/>
                <wp:wrapNone/>
                <wp:docPr id="6" name="任意多边形: 形状 2050317731"/>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134.8pt;mso-position-horizontal:absolute;mso-position-vertical-relative:text;margin-top:24.4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000000" w:themeColor="text1"/>
          <w:sz w:val="24"/>
          <w:lang w:val="zh-CN" w:bidi="zh-CN"/>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4410710</wp:posOffset>
                </wp:positionH>
                <wp:positionV relativeFrom="paragraph">
                  <wp:posOffset>45720</wp:posOffset>
                </wp:positionV>
                <wp:extent cx="577215" cy="92075"/>
                <wp:effectExtent l="0" t="0" r="0" b="0"/>
                <wp:wrapNone/>
                <wp:docPr id="7" name="任意多边形: 形状 7"/>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7456;o:allowoverlap:true;o:allowincell:true;mso-position-horizontal-relative:text;margin-left:347.3pt;mso-position-horizontal:absolute;mso-position-vertical-relative:text;margin-top:3.6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themeColor="text1"/>
          <w:sz w:val="22"/>
          <w:shd w:val="clear" w:color="auto" w:fill="ffffff"/>
          <w:lang w:val="zh-CN" w:bidi="zh-CN"/>
          <w14:textFill>
            <w14:solidFill>
              <w14:schemeClr w14:val="tx1"/>
            </w14:solidFill>
          </w14:textFill>
        </w:rPr>
        <w:t xml:space="preserve">1.</w:t>
      </w:r>
      <w:r>
        <w:rPr>
          <w:rFonts w:hint="eastAsia" w:ascii="宋体" w:hAnsi="宋体" w:cs="宋体"/>
          <w:color w:val="000000" w:themeColor="text1"/>
          <w:sz w:val="22"/>
          <w:szCs w:val="24"/>
          <w:u w:val="single"/>
          <w:shd w:val="clear" w:color="auto" w:fill="ffffff"/>
          <w:lang w:val="zh-CN" w:bidi="zh-CN"/>
          <w14:textFill>
            <w14:solidFill>
              <w14:schemeClr w14:val="tx1"/>
            </w14:solidFill>
          </w14:textFill>
        </w:rPr>
        <w:t xml:space="preserve">（产品名称1）</w:t>
      </w:r>
      <w:r>
        <w:rPr>
          <w:rFonts w:hint="eastAsia" w:ascii="宋体" w:hAnsi="宋体" w:cs="宋体"/>
          <w:color w:val="000000" w:themeColor="text1"/>
          <w:sz w:val="22"/>
          <w:szCs w:val="24"/>
          <w:shd w:val="clear" w:color="auto" w:fill="ffffff"/>
          <w:vertAlign w:val="superscript"/>
          <w:lang w:val="zh-CN" w:bidi="zh-CN"/>
          <w14:textFill>
            <w14:solidFill>
              <w14:schemeClr w14:val="tx1"/>
            </w14:solidFill>
          </w14:textFill>
        </w:rPr>
        <w:t xml:space="preserve">1</w:t>
      </w:r>
      <w:r>
        <w:rPr>
          <w:rFonts w:hint="eastAsia" w:ascii="宋体" w:hAnsi="宋体" w:cs="宋体"/>
          <w:color w:val="000000" w:themeColor="text1"/>
          <w:sz w:val="22"/>
          <w:shd w:val="clear" w:color="auto" w:fill="ffffff"/>
          <w:lang w:val="zh-CN" w:bidi="zh-CN"/>
          <w14:textFill>
            <w14:solidFill>
              <w14:schemeClr w14:val="tx1"/>
            </w14:solidFill>
          </w14:textFill>
        </w:rPr>
        <w:t xml:space="preserve">，生产厂为</w:t>
      </w:r>
      <w:r>
        <w:rPr>
          <w:rFonts w:hint="eastAsia" w:ascii="宋体" w:hAnsi="宋体" w:cs="宋体"/>
          <w:color w:val="000000" w:themeColor="text1"/>
          <w:sz w:val="22"/>
          <w:szCs w:val="24"/>
          <w:u w:val="single"/>
          <w:shd w:val="clear" w:color="auto" w:fill="ffffff"/>
          <w:lang w:val="zh-CN" w:bidi="zh-CN"/>
          <w14:textFill>
            <w14:solidFill>
              <w14:schemeClr w14:val="tx1"/>
            </w14:solidFill>
          </w14:textFill>
        </w:rPr>
        <w:t xml:space="preserve">（厂名）</w:t>
      </w:r>
      <w:r>
        <w:rPr>
          <w:rFonts w:hint="eastAsia" w:ascii="宋体" w:hAnsi="宋体" w:cs="宋体"/>
          <w:color w:val="000000" w:themeColor="text1"/>
          <w:sz w:val="22"/>
          <w:szCs w:val="24"/>
          <w:shd w:val="clear" w:color="auto" w:fill="ffffff"/>
          <w:vertAlign w:val="superscript"/>
          <w:lang w:val="zh-CN" w:bidi="zh-CN"/>
          <w14:textFill>
            <w14:solidFill>
              <w14:schemeClr w14:val="tx1"/>
            </w14:solidFill>
          </w14:textFill>
        </w:rPr>
        <w:t xml:space="preserve">2</w:t>
      </w:r>
      <w:r>
        <w:rPr>
          <w:rFonts w:hint="eastAsia" w:ascii="宋体" w:hAnsi="宋体" w:cs="宋体"/>
          <w:color w:val="000000" w:themeColor="text1"/>
          <w:sz w:val="22"/>
          <w:shd w:val="clear" w:color="auto" w:fill="ffffff"/>
          <w:lang w:val="zh-CN" w:bidi="zh-CN"/>
          <w14:textFill>
            <w14:solidFill>
              <w14:schemeClr w14:val="tx1"/>
            </w14:solidFill>
          </w14:textFill>
        </w:rPr>
        <w:t xml:space="preserve">，厂址为</w:t>
      </w:r>
      <w:r>
        <w:rPr>
          <w:rFonts w:hint="eastAsia" w:ascii="宋体" w:hAnsi="宋体" w:cs="宋体"/>
          <w:color w:val="000000" w:themeColor="text1"/>
          <w:sz w:val="22"/>
          <w:szCs w:val="24"/>
          <w:u w:val="single"/>
          <w:shd w:val="clear" w:color="auto" w:fill="ffffff"/>
          <w:lang w:val="zh-CN" w:bidi="zh-CN"/>
          <w14:textFill>
            <w14:solidFill>
              <w14:schemeClr w14:val="tx1"/>
            </w14:solidFill>
          </w14:textFill>
        </w:rPr>
        <w:t xml:space="preserve">（生产厂址）</w:t>
      </w:r>
      <w:r>
        <w:rPr>
          <w:rFonts w:hint="eastAsia" w:ascii="宋体" w:hAnsi="宋体" w:cs="宋体"/>
          <w:color w:val="000000" w:themeColor="text1"/>
          <w:sz w:val="22"/>
          <w:shd w:val="clear" w:color="auto" w:fill="ffffff"/>
          <w:lang w:val="zh-CN" w:bidi="zh-CN"/>
          <w14:textFill>
            <w14:solidFill>
              <w14:schemeClr w14:val="tx1"/>
            </w14:solidFill>
          </w14:textFill>
        </w:rPr>
        <w:t xml:space="preserve">。</w:t>
      </w:r>
      <w:r>
        <w:rPr>
          <w:rFonts w:hint="eastAsia" w:ascii="宋体" w:hAnsi="宋体" w:cs="宋体"/>
          <w:color w:val="000000" w:themeColor="text1"/>
          <w:sz w:val="22"/>
          <w:u w:val="single"/>
          <w:shd w:val="clear" w:color="auto" w:fill="ffffff"/>
          <w:lang w:val="zh-CN" w:bidi="zh-CN"/>
          <w14:textFill>
            <w14:solidFill>
              <w14:schemeClr w14:val="tx1"/>
            </w14:solidFill>
          </w14:textFill>
        </w:rPr>
        <w:t xml:space="preserve"> </w:t>
      </w:r>
      <w:r>
        <w:rPr>
          <w:rFonts w:hint="eastAsia" w:ascii="宋体" w:hAnsi="宋体" w:cs="宋体"/>
          <w:color w:val="000000" w:themeColor="text1"/>
          <w:sz w:val="22"/>
          <w:szCs w:val="24"/>
          <w:u w:val="single"/>
          <w:shd w:val="clear" w:color="auto" w:fill="ffffff"/>
          <w:lang w:val="zh-CN" w:bidi="zh-CN"/>
          <w14:textFill>
            <w14:solidFill>
              <w14:schemeClr w14:val="tx1"/>
            </w14:solidFill>
          </w14:textFill>
        </w:rPr>
        <w:t xml:space="preserve">（产品名称1） </w:t>
      </w:r>
      <w:r>
        <w:rPr>
          <w:rFonts w:hint="eastAsia" w:ascii="宋体" w:hAnsi="宋体" w:cs="宋体"/>
          <w:color w:val="000000" w:themeColor="text1"/>
          <w:sz w:val="22"/>
          <w:shd w:val="clear" w:color="auto" w:fill="ffffff"/>
          <w:lang w:val="zh-CN" w:bidi="zh-CN"/>
          <w14:textFill>
            <w14:solidFill>
              <w14:schemeClr w14:val="tx1"/>
            </w14:solidFill>
          </w14:textFill>
        </w:rPr>
        <w:t xml:space="preserve">的中国境内生产的组件成本占比≥</w:t>
      </w:r>
      <w:r>
        <w:rPr>
          <w:rFonts w:hint="eastAsia" w:ascii="宋体" w:hAnsi="宋体" w:cs="宋体"/>
          <w:color w:val="000000" w:themeColor="text1"/>
          <w:sz w:val="22"/>
          <w:szCs w:val="24"/>
          <w:u w:val="single"/>
          <w:shd w:val="clear" w:color="auto" w:fill="ffffff"/>
          <w:lang w:val="zh-CN" w:bidi="zh-CN"/>
          <w14:textFill>
            <w14:solidFill>
              <w14:schemeClr w14:val="tx1"/>
            </w14:solidFill>
          </w14:textFill>
        </w:rPr>
        <w:t xml:space="preserve">（规定比例）</w:t>
      </w:r>
      <w:r>
        <w:rPr>
          <w:rFonts w:hint="eastAsia" w:ascii="宋体" w:hAnsi="宋体" w:cs="宋体"/>
          <w:color w:val="000000" w:themeColor="text1"/>
          <w:sz w:val="22"/>
          <w:szCs w:val="24"/>
          <w:shd w:val="clear" w:color="auto" w:fill="ffffff"/>
          <w:vertAlign w:val="superscript"/>
          <w:lang w:val="zh-CN" w:bidi="zh-CN"/>
          <w14:textFill>
            <w14:solidFill>
              <w14:schemeClr w14:val="tx1"/>
            </w14:solidFill>
          </w14:textFill>
        </w:rPr>
        <w:t xml:space="preserve">3</w:t>
      </w:r>
      <w:r>
        <w:rPr>
          <w:rFonts w:hint="eastAsia" w:ascii="宋体" w:hAnsi="宋体" w:cs="宋体"/>
          <w:color w:val="000000" w:themeColor="text1"/>
          <w:sz w:val="22"/>
          <w:shd w:val="clear" w:color="auto" w:fill="ffffff"/>
          <w:lang w:val="zh-CN" w:bidi="zh-CN"/>
          <w14:textFill>
            <w14:solidFill>
              <w14:schemeClr w14:val="tx1"/>
            </w14:solidFill>
          </w14:textFill>
        </w:rPr>
        <w:t xml:space="preserve">。</w:t>
      </w:r>
      <w:r>
        <w:rPr>
          <w:rFonts w:hint="eastAsia" w:ascii="宋体" w:hAnsi="宋体" w:cs="宋体"/>
          <w:color w:val="000000" w:themeColor="text1"/>
          <w:sz w:val="22"/>
          <w:szCs w:val="24"/>
          <w:u w:val="single"/>
          <w:shd w:val="clear" w:color="auto" w:fill="ffffff"/>
          <w:lang w:val="zh-CN" w:bidi="zh-CN"/>
          <w14:textFill>
            <w14:solidFill>
              <w14:schemeClr w14:val="tx1"/>
            </w14:solidFill>
          </w14:textFill>
        </w:rPr>
        <w:t xml:space="preserve">（产品名称1）</w:t>
      </w:r>
      <w:r>
        <w:rPr>
          <w:rFonts w:hint="eastAsia" w:ascii="宋体" w:hAnsi="宋体" w:cs="宋体"/>
          <w:color w:val="000000" w:themeColor="text1"/>
          <w:sz w:val="22"/>
          <w:shd w:val="clear" w:color="auto" w:fill="ffffff"/>
          <w:lang w:val="zh-CN" w:bidi="zh-CN"/>
          <w14:textFill>
            <w14:solidFill>
              <w14:schemeClr w14:val="tx1"/>
            </w14:solidFill>
          </w14:textFill>
        </w:rPr>
        <w:t xml:space="preserve">的</w:t>
      </w:r>
      <w:r>
        <w:rPr>
          <w:rFonts w:hint="eastAsia" w:ascii="宋体" w:hAnsi="宋体" w:cs="宋体"/>
          <w:color w:val="000000" w:themeColor="text1"/>
          <w:sz w:val="22"/>
          <w:szCs w:val="24"/>
          <w:u w:val="single"/>
          <w:shd w:val="clear" w:color="auto" w:fill="ffffff"/>
          <w:lang w:val="zh-CN" w:bidi="zh-CN"/>
          <w14:textFill>
            <w14:solidFill>
              <w14:schemeClr w14:val="tx1"/>
            </w14:solidFill>
          </w14:textFill>
        </w:rPr>
        <w:t xml:space="preserve">（关键组件）</w:t>
      </w:r>
      <w:r>
        <w:rPr>
          <w:rFonts w:hint="eastAsia" w:ascii="宋体" w:hAnsi="宋体" w:cs="宋体"/>
          <w:color w:val="000000" w:themeColor="text1"/>
          <w:sz w:val="22"/>
          <w:szCs w:val="24"/>
          <w:shd w:val="clear" w:color="auto" w:fill="ffffff"/>
          <w:vertAlign w:val="superscript"/>
          <w:lang w:val="zh-CN" w:bidi="zh-CN"/>
          <w14:textFill>
            <w14:solidFill>
              <w14:schemeClr w14:val="tx1"/>
            </w14:solidFill>
          </w14:textFill>
        </w:rPr>
        <w:t xml:space="preserve">4</w:t>
      </w:r>
      <w:r>
        <w:rPr>
          <w:rFonts w:hint="eastAsia" w:ascii="宋体" w:hAnsi="宋体" w:cs="宋体"/>
          <w:color w:val="000000" w:themeColor="text1"/>
          <w:sz w:val="22"/>
          <w:shd w:val="clear" w:color="auto" w:fill="ffffff"/>
          <w:lang w:val="zh-CN" w:bidi="zh-CN"/>
          <w14:textFill>
            <w14:solidFill>
              <w14:schemeClr w14:val="tx1"/>
            </w14:solidFill>
          </w14:textFill>
        </w:rPr>
        <w:t xml:space="preserve">在中国境内生产。</w:t>
      </w:r>
      <w:r>
        <w:rPr>
          <w:rFonts w:hint="eastAsia" w:ascii="宋体" w:hAnsi="宋体" w:cs="宋体"/>
          <w:color w:val="000000" w:themeColor="text1"/>
          <w:sz w:val="22"/>
          <w:szCs w:val="24"/>
          <w:u w:val="single"/>
          <w:shd w:val="clear" w:color="auto" w:fill="ffffff"/>
          <w:lang w:val="zh-CN" w:bidi="zh-CN"/>
          <w14:textFill>
            <w14:solidFill>
              <w14:schemeClr w14:val="tx1"/>
            </w14:solidFill>
          </w14:textFill>
        </w:rPr>
        <w:t xml:space="preserve">（产品名称1）</w:t>
      </w:r>
      <w:r>
        <w:rPr>
          <w:rFonts w:hint="eastAsia" w:ascii="宋体" w:hAnsi="宋体" w:cs="宋体"/>
          <w:color w:val="000000" w:themeColor="text1"/>
          <w:sz w:val="22"/>
          <w:shd w:val="clear" w:color="auto" w:fill="ffffff"/>
          <w:lang w:val="zh-CN" w:bidi="zh-CN"/>
          <w14:textFill>
            <w14:solidFill>
              <w14:schemeClr w14:val="tx1"/>
            </w14:solidFill>
          </w14:textFill>
        </w:rPr>
        <w:t xml:space="preserve">的</w:t>
      </w:r>
      <w:r>
        <w:rPr>
          <w:rFonts w:hint="eastAsia" w:ascii="宋体" w:hAnsi="宋体" w:cs="宋体"/>
          <w:color w:val="000000" w:themeColor="text1"/>
          <w:sz w:val="22"/>
          <w:szCs w:val="24"/>
          <w:u w:val="single"/>
          <w:shd w:val="clear" w:color="auto" w:fill="ffffff"/>
          <w:lang w:val="zh-CN" w:bidi="zh-CN"/>
          <w14:textFill>
            <w14:solidFill>
              <w14:schemeClr w14:val="tx1"/>
            </w14:solidFill>
          </w14:textFill>
        </w:rPr>
        <w:t xml:space="preserve">（关键工序）</w:t>
      </w:r>
      <w:r>
        <w:rPr>
          <w:rFonts w:hint="eastAsia" w:ascii="宋体" w:hAnsi="宋体" w:cs="宋体"/>
          <w:color w:val="000000" w:themeColor="text1"/>
          <w:sz w:val="22"/>
          <w:szCs w:val="24"/>
          <w:shd w:val="clear" w:color="auto" w:fill="ffffff"/>
          <w:vertAlign w:val="superscript"/>
          <w:lang w:val="zh-CN" w:bidi="zh-CN"/>
          <w14:textFill>
            <w14:solidFill>
              <w14:schemeClr w14:val="tx1"/>
            </w14:solidFill>
          </w14:textFill>
        </w:rPr>
        <w:t xml:space="preserve">5</w:t>
      </w:r>
      <w:r>
        <w:rPr>
          <w:rFonts w:hint="eastAsia" w:ascii="宋体" w:hAnsi="宋体" w:cs="宋体"/>
          <w:color w:val="000000" w:themeColor="text1"/>
          <w:sz w:val="22"/>
          <w:shd w:val="clear" w:color="auto" w:fill="ffffff"/>
          <w:lang w:val="zh-CN" w:bidi="zh-CN"/>
          <w14:textFill>
            <w14:solidFill>
              <w14:schemeClr w14:val="tx1"/>
            </w14:solidFill>
          </w14:textFill>
        </w:rPr>
        <w:t xml:space="preserve">在中国境内完成。</w:t>
      </w:r>
      <w:r/>
    </w:p>
    <w:p>
      <w:pPr>
        <w:ind w:firstLine="420"/>
        <w:jc w:val="left"/>
        <w:spacing w:line="360" w:lineRule="auto"/>
        <w:widowControl/>
        <w:rPr>
          <w:rFonts w:hint="eastAsia" w:ascii="宋体" w:hAnsi="宋体" w:cs="宋体"/>
          <w:color w:val="000000" w:themeColor="text1"/>
          <w:sz w:val="22"/>
          <w:lang w:val="zh-CN" w:bidi="zh-CN"/>
          <w14:textFill>
            <w14:solidFill>
              <w14:schemeClr w14:val="tx1"/>
            </w14:solidFill>
          </w14:textFill>
        </w:rPr>
      </w:pPr>
      <w:r>
        <w:rPr>
          <w:rFonts w:ascii="宋体" w:hAnsi="宋体" w:cs="宋体"/>
          <w:color w:val="000000" w:themeColor="text1"/>
          <w:sz w:val="24"/>
          <w:lang w:val="zh-CN" w:bidi="zh-CN"/>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-140970</wp:posOffset>
                </wp:positionH>
                <wp:positionV relativeFrom="paragraph">
                  <wp:posOffset>569595</wp:posOffset>
                </wp:positionV>
                <wp:extent cx="821690" cy="102870"/>
                <wp:effectExtent l="0" t="0" r="0" b="0"/>
                <wp:wrapNone/>
                <wp:docPr id="8" name="任意多边形: 形状 8"/>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6432;o:allowoverlap:true;o:allowincell:true;mso-position-horizontal-relative:text;margin-left:-11.1pt;mso-position-horizontal:absolute;mso-position-vertical-relative:text;margin-top:44.8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000000" w:themeColor="text1"/>
          <w:sz w:val="24"/>
          <w:lang w:val="zh-CN" w:bidi="zh-CN"/>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743585</wp:posOffset>
                </wp:positionH>
                <wp:positionV relativeFrom="paragraph">
                  <wp:posOffset>588010</wp:posOffset>
                </wp:positionV>
                <wp:extent cx="908685" cy="140970"/>
                <wp:effectExtent l="0" t="0" r="0" b="0"/>
                <wp:wrapNone/>
                <wp:docPr id="9" name="任意多边形: 形状 9"/>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5408;o:allowoverlap:true;o:allowincell:true;mso-position-horizontal-relative:text;margin-left:58.5pt;mso-position-horizontal:absolute;mso-position-vertical-relative:text;margin-top:46.3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000000" w:themeColor="text1"/>
          <w:sz w:val="24"/>
          <w:lang w:val="zh-CN" w:bidi="zh-CN"/>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3516630</wp:posOffset>
                </wp:positionH>
                <wp:positionV relativeFrom="paragraph">
                  <wp:posOffset>326390</wp:posOffset>
                </wp:positionV>
                <wp:extent cx="718185" cy="97790"/>
                <wp:effectExtent l="0" t="0" r="0" b="0"/>
                <wp:wrapNone/>
                <wp:docPr id="10" name="任意多边形: 形状 10"/>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70528;o:allowoverlap:true;o:allowincell:true;mso-position-horizontal-relative:text;margin-left:276.9pt;mso-position-horizontal:absolute;mso-position-vertical-relative:text;margin-top:25.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000000" w:themeColor="text1"/>
          <w:sz w:val="24"/>
          <w:lang w:val="zh-CN" w:bidi="zh-CN"/>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2385060</wp:posOffset>
                </wp:positionH>
                <wp:positionV relativeFrom="paragraph">
                  <wp:posOffset>318135</wp:posOffset>
                </wp:positionV>
                <wp:extent cx="849630" cy="120015"/>
                <wp:effectExtent l="0" t="0" r="0" b="0"/>
                <wp:wrapNone/>
                <wp:docPr id="11" name="任意多边形: 形状 11"/>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4384;o:allowoverlap:true;o:allowincell:true;mso-position-horizontal-relative:text;margin-left:187.8pt;mso-position-horizontal:absolute;mso-position-vertical-relative:text;margin-top:25.0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000000" w:themeColor="text1"/>
          <w:sz w:val="24"/>
          <w:lang w:val="zh-CN" w:bidi="zh-CN"/>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1414780</wp:posOffset>
                </wp:positionH>
                <wp:positionV relativeFrom="paragraph">
                  <wp:posOffset>286385</wp:posOffset>
                </wp:positionV>
                <wp:extent cx="843915" cy="125730"/>
                <wp:effectExtent l="0" t="0" r="0" b="0"/>
                <wp:wrapNone/>
                <wp:docPr id="12" name="任意多边形: 形状 12"/>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3360;o:allowoverlap:true;o:allowincell:true;mso-position-horizontal-relative:text;margin-left:111.4pt;mso-position-horizontal:absolute;mso-position-vertical-relative:text;margin-top:22.5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color w:val="000000" w:themeColor="text1"/>
          <w:sz w:val="24"/>
          <w:lang w:val="zh-CN" w:bidi="zh-CN"/>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4221480</wp:posOffset>
                </wp:positionH>
                <wp:positionV relativeFrom="paragraph">
                  <wp:posOffset>30480</wp:posOffset>
                </wp:positionV>
                <wp:extent cx="718185" cy="97790"/>
                <wp:effectExtent l="0" t="0" r="0" b="0"/>
                <wp:wrapNone/>
                <wp:docPr id="13" name="任意多边形: 形状 13"/>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332.4pt;mso-position-horizontal:absolute;mso-position-vertical-relative:text;margin-top:2.4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themeColor="text1"/>
          <w:sz w:val="22"/>
          <w:shd w:val="clear" w:color="auto" w:fill="ffffff"/>
          <w:lang w:val="zh-CN" w:bidi="zh-CN"/>
          <w14:textFill>
            <w14:solidFill>
              <w14:schemeClr w14:val="tx1"/>
            </w14:solidFill>
          </w14:textFill>
        </w:rPr>
        <w:t xml:space="preserve">2.</w:t>
      </w:r>
      <w:r>
        <w:rPr>
          <w:rFonts w:hint="eastAsia" w:ascii="宋体" w:hAnsi="宋体" w:cs="宋体"/>
          <w:color w:val="000000" w:themeColor="text1"/>
          <w:sz w:val="22"/>
          <w:szCs w:val="24"/>
          <w:u w:val="single"/>
          <w:shd w:val="clear" w:color="auto" w:fill="ffffff"/>
          <w:lang w:val="zh-CN" w:bidi="zh-CN"/>
          <w14:textFill>
            <w14:solidFill>
              <w14:schemeClr w14:val="tx1"/>
            </w14:solidFill>
          </w14:textFill>
        </w:rPr>
        <w:t xml:space="preserve">（产品名称2）</w:t>
      </w:r>
      <w:r>
        <w:rPr>
          <w:rFonts w:hint="eastAsia" w:ascii="宋体" w:hAnsi="宋体" w:cs="宋体"/>
          <w:color w:val="000000" w:themeColor="text1"/>
          <w:sz w:val="22"/>
          <w:shd w:val="clear" w:color="auto" w:fill="ffffff"/>
          <w:lang w:val="zh-CN" w:bidi="zh-CN"/>
          <w14:textFill>
            <w14:solidFill>
              <w14:schemeClr w14:val="tx1"/>
            </w14:solidFill>
          </w14:textFill>
        </w:rPr>
        <w:t xml:space="preserve">，生产厂为</w:t>
      </w:r>
      <w:r>
        <w:rPr>
          <w:rFonts w:hint="eastAsia" w:ascii="宋体" w:hAnsi="宋体" w:cs="宋体"/>
          <w:color w:val="000000" w:themeColor="text1"/>
          <w:sz w:val="22"/>
          <w:szCs w:val="24"/>
          <w:u w:val="single"/>
          <w:shd w:val="clear" w:color="auto" w:fill="ffffff"/>
          <w:lang w:val="zh-CN" w:bidi="zh-CN"/>
          <w14:textFill>
            <w14:solidFill>
              <w14:schemeClr w14:val="tx1"/>
            </w14:solidFill>
          </w14:textFill>
        </w:rPr>
        <w:t xml:space="preserve">（厂名）</w:t>
      </w:r>
      <w:r>
        <w:rPr>
          <w:rFonts w:hint="eastAsia" w:ascii="宋体" w:hAnsi="宋体" w:cs="宋体"/>
          <w:color w:val="000000" w:themeColor="text1"/>
          <w:sz w:val="22"/>
          <w:shd w:val="clear" w:color="auto" w:fill="ffffff"/>
          <w:lang w:val="zh-CN" w:bidi="zh-CN"/>
          <w14:textFill>
            <w14:solidFill>
              <w14:schemeClr w14:val="tx1"/>
            </w14:solidFill>
          </w14:textFill>
        </w:rPr>
        <w:t xml:space="preserve">，厂址为</w:t>
      </w:r>
      <w:r>
        <w:rPr>
          <w:rFonts w:hint="eastAsia" w:ascii="宋体" w:hAnsi="宋体" w:cs="宋体"/>
          <w:color w:val="000000" w:themeColor="text1"/>
          <w:sz w:val="22"/>
          <w:szCs w:val="24"/>
          <w:u w:val="single"/>
          <w:shd w:val="clear" w:color="auto" w:fill="ffffff"/>
          <w:lang w:val="zh-CN" w:bidi="zh-CN"/>
          <w14:textFill>
            <w14:solidFill>
              <w14:schemeClr w14:val="tx1"/>
            </w14:solidFill>
          </w14:textFill>
        </w:rPr>
        <w:t xml:space="preserve">（生产厂址）</w:t>
      </w:r>
      <w:r>
        <w:rPr>
          <w:rFonts w:hint="eastAsia" w:ascii="宋体" w:hAnsi="宋体" w:cs="宋体"/>
          <w:color w:val="000000" w:themeColor="text1"/>
          <w:sz w:val="22"/>
          <w:shd w:val="clear" w:color="auto" w:fill="ffffff"/>
          <w:lang w:val="zh-CN" w:bidi="zh-CN"/>
          <w14:textFill>
            <w14:solidFill>
              <w14:schemeClr w14:val="tx1"/>
            </w14:solidFill>
          </w14:textFill>
        </w:rPr>
        <w:t xml:space="preserve">。</w:t>
      </w:r>
      <w:r>
        <w:rPr>
          <w:rFonts w:hint="eastAsia" w:ascii="宋体" w:hAnsi="宋体" w:cs="宋体"/>
          <w:color w:val="000000" w:themeColor="text1"/>
          <w:sz w:val="22"/>
          <w:szCs w:val="24"/>
          <w:u w:val="single"/>
          <w:shd w:val="clear" w:color="auto" w:fill="ffffff"/>
          <w:lang w:val="zh-CN" w:bidi="zh-CN"/>
          <w14:textFill>
            <w14:solidFill>
              <w14:schemeClr w14:val="tx1"/>
            </w14:solidFill>
          </w14:textFill>
        </w:rPr>
        <w:t xml:space="preserve">（产品名称2）</w:t>
      </w:r>
      <w:r>
        <w:rPr>
          <w:rFonts w:hint="eastAsia" w:ascii="宋体" w:hAnsi="宋体" w:cs="宋体"/>
          <w:color w:val="000000" w:themeColor="text1"/>
          <w:sz w:val="22"/>
          <w:shd w:val="clear" w:color="auto" w:fill="ffffff"/>
          <w:lang w:val="zh-CN" w:bidi="zh-CN"/>
          <w14:textFill>
            <w14:solidFill>
              <w14:schemeClr w14:val="tx1"/>
            </w14:solidFill>
          </w14:textFill>
        </w:rPr>
        <w:t xml:space="preserve">的中国境内生产的组件成本占比≥</w:t>
      </w:r>
      <w:r>
        <w:rPr>
          <w:rFonts w:hint="eastAsia" w:ascii="宋体" w:hAnsi="宋体" w:cs="宋体"/>
          <w:color w:val="000000" w:themeColor="text1"/>
          <w:sz w:val="22"/>
          <w:szCs w:val="24"/>
          <w:u w:val="single"/>
          <w:shd w:val="clear" w:color="auto" w:fill="ffffff"/>
          <w:lang w:val="zh-CN" w:bidi="zh-CN"/>
          <w14:textFill>
            <w14:solidFill>
              <w14:schemeClr w14:val="tx1"/>
            </w14:solidFill>
          </w14:textFill>
        </w:rPr>
        <w:t xml:space="preserve">（规定比例）</w:t>
      </w:r>
      <w:r>
        <w:rPr>
          <w:rFonts w:hint="eastAsia" w:ascii="宋体" w:hAnsi="宋体" w:cs="宋体"/>
          <w:color w:val="000000" w:themeColor="text1"/>
          <w:sz w:val="22"/>
          <w:shd w:val="clear" w:color="auto" w:fill="ffffff"/>
          <w:lang w:val="zh-CN" w:bidi="zh-CN"/>
          <w14:textFill>
            <w14:solidFill>
              <w14:schemeClr w14:val="tx1"/>
            </w14:solidFill>
          </w14:textFill>
        </w:rPr>
        <w:t xml:space="preserve">。</w:t>
      </w:r>
      <w:r>
        <w:rPr>
          <w:rFonts w:hint="eastAsia" w:ascii="宋体" w:hAnsi="宋体" w:cs="宋体"/>
          <w:color w:val="000000" w:themeColor="text1"/>
          <w:sz w:val="22"/>
          <w:szCs w:val="24"/>
          <w:u w:val="single"/>
          <w:shd w:val="clear" w:color="auto" w:fill="ffffff"/>
          <w:lang w:val="zh-CN" w:bidi="zh-CN"/>
          <w14:textFill>
            <w14:solidFill>
              <w14:schemeClr w14:val="tx1"/>
            </w14:solidFill>
          </w14:textFill>
        </w:rPr>
        <w:t xml:space="preserve">（产品名称2）</w:t>
      </w:r>
      <w:r>
        <w:rPr>
          <w:rFonts w:hint="eastAsia" w:ascii="宋体" w:hAnsi="宋体" w:cs="宋体"/>
          <w:color w:val="000000" w:themeColor="text1"/>
          <w:sz w:val="22"/>
          <w:shd w:val="clear" w:color="auto" w:fill="ffffff"/>
          <w:lang w:val="zh-CN" w:bidi="zh-CN"/>
          <w14:textFill>
            <w14:solidFill>
              <w14:schemeClr w14:val="tx1"/>
            </w14:solidFill>
          </w14:textFill>
        </w:rPr>
        <w:t xml:space="preserve">的</w:t>
      </w:r>
      <w:r>
        <w:rPr>
          <w:rFonts w:hint="eastAsia" w:ascii="宋体" w:hAnsi="宋体" w:cs="宋体"/>
          <w:color w:val="000000" w:themeColor="text1"/>
          <w:sz w:val="22"/>
          <w:szCs w:val="24"/>
          <w:u w:val="single"/>
          <w:shd w:val="clear" w:color="auto" w:fill="ffffff"/>
          <w:lang w:val="zh-CN" w:bidi="zh-CN"/>
          <w14:textFill>
            <w14:solidFill>
              <w14:schemeClr w14:val="tx1"/>
            </w14:solidFill>
          </w14:textFill>
        </w:rPr>
        <w:t xml:space="preserve">（关键组件）</w:t>
      </w:r>
      <w:r>
        <w:rPr>
          <w:rFonts w:hint="eastAsia" w:ascii="宋体" w:hAnsi="宋体" w:cs="宋体"/>
          <w:color w:val="000000" w:themeColor="text1"/>
          <w:sz w:val="22"/>
          <w:shd w:val="clear" w:color="auto" w:fill="ffffff"/>
          <w:lang w:val="zh-CN" w:bidi="zh-CN"/>
          <w14:textFill>
            <w14:solidFill>
              <w14:schemeClr w14:val="tx1"/>
            </w14:solidFill>
          </w14:textFill>
        </w:rPr>
        <w:t xml:space="preserve">在中国境内生产。</w:t>
      </w:r>
      <w:r>
        <w:rPr>
          <w:rFonts w:hint="eastAsia" w:ascii="宋体" w:hAnsi="宋体" w:cs="宋体"/>
          <w:color w:val="000000" w:themeColor="text1"/>
          <w:sz w:val="22"/>
          <w:szCs w:val="24"/>
          <w:u w:val="single"/>
          <w:shd w:val="clear" w:color="auto" w:fill="ffffff"/>
          <w:lang w:val="zh-CN" w:bidi="zh-CN"/>
          <w14:textFill>
            <w14:solidFill>
              <w14:schemeClr w14:val="tx1"/>
            </w14:solidFill>
          </w14:textFill>
        </w:rPr>
        <w:t xml:space="preserve">（产品名称1）</w:t>
      </w:r>
      <w:r>
        <w:rPr>
          <w:rFonts w:hint="eastAsia" w:ascii="宋体" w:hAnsi="宋体" w:cs="宋体"/>
          <w:color w:val="000000" w:themeColor="text1"/>
          <w:sz w:val="22"/>
          <w:shd w:val="clear" w:color="auto" w:fill="ffffff"/>
          <w:lang w:val="zh-CN" w:bidi="zh-CN"/>
          <w14:textFill>
            <w14:solidFill>
              <w14:schemeClr w14:val="tx1"/>
            </w14:solidFill>
          </w14:textFill>
        </w:rPr>
        <w:t xml:space="preserve">的</w:t>
      </w:r>
      <w:r>
        <w:rPr>
          <w:rFonts w:hint="eastAsia" w:ascii="宋体" w:hAnsi="宋体" w:cs="宋体"/>
          <w:color w:val="000000" w:themeColor="text1"/>
          <w:sz w:val="22"/>
          <w:szCs w:val="24"/>
          <w:u w:val="single"/>
          <w:shd w:val="clear" w:color="auto" w:fill="ffffff"/>
          <w:lang w:val="zh-CN" w:bidi="zh-CN"/>
          <w14:textFill>
            <w14:solidFill>
              <w14:schemeClr w14:val="tx1"/>
            </w14:solidFill>
          </w14:textFill>
        </w:rPr>
        <w:t xml:space="preserve">（关键工序）</w:t>
      </w:r>
      <w:r>
        <w:rPr>
          <w:rFonts w:hint="eastAsia" w:ascii="宋体" w:hAnsi="宋体" w:cs="宋体"/>
          <w:color w:val="000000" w:themeColor="text1"/>
          <w:sz w:val="22"/>
          <w:shd w:val="clear" w:color="auto" w:fill="ffffff"/>
          <w:lang w:val="zh-CN" w:bidi="zh-CN"/>
          <w14:textFill>
            <w14:solidFill>
              <w14:schemeClr w14:val="tx1"/>
            </w14:solidFill>
          </w14:textFill>
        </w:rPr>
        <w:t xml:space="preserve">在中国境内完成。</w:t>
      </w:r>
      <w:r/>
    </w:p>
    <w:p>
      <w:pPr>
        <w:ind w:firstLine="420"/>
        <w:jc w:val="left"/>
        <w:spacing w:line="360" w:lineRule="auto"/>
        <w:widowControl/>
        <w:rPr>
          <w:rFonts w:hint="eastAsia" w:ascii="宋体" w:hAnsi="宋体" w:cs="宋体"/>
          <w:color w:val="000000" w:themeColor="text1"/>
          <w:sz w:val="22"/>
          <w:lang w:val="zh-CN" w:bidi="zh-CN"/>
          <w14:textFill>
            <w14:solidFill>
              <w14:schemeClr w14:val="tx1"/>
            </w14:solidFill>
          </w14:textFill>
        </w:rPr>
      </w:pPr>
      <w:r>
        <w:rPr>
          <w:rFonts w:hint="eastAsia" w:ascii="宋体" w:hAnsi="宋体" w:cs="宋体"/>
          <w:color w:val="000000" w:themeColor="text1"/>
          <w:sz w:val="22"/>
          <w:shd w:val="clear" w:color="auto" w:fill="ffffff"/>
          <w:lang w:val="zh-CN" w:bidi="zh-CN"/>
          <w14:textFill>
            <w14:solidFill>
              <w14:schemeClr w14:val="tx1"/>
            </w14:solidFill>
          </w14:textFill>
        </w:rPr>
        <w:t xml:space="preserve">……</w:t>
      </w:r>
      <w:r/>
    </w:p>
    <w:p>
      <w:pPr>
        <w:ind w:firstLine="420"/>
        <w:jc w:val="left"/>
        <w:spacing w:line="360" w:lineRule="auto"/>
        <w:widowControl/>
        <w:rPr>
          <w:rFonts w:hint="eastAsia" w:ascii="宋体" w:hAnsi="宋体" w:cs="宋体"/>
          <w:color w:val="000000" w:themeColor="text1"/>
          <w:sz w:val="22"/>
          <w:lang w:val="zh-CN" w:bidi="zh-CN"/>
          <w14:textFill>
            <w14:solidFill>
              <w14:schemeClr w14:val="tx1"/>
            </w14:solidFill>
          </w14:textFill>
        </w:rPr>
      </w:pPr>
      <w:r>
        <w:rPr>
          <w:rFonts w:hint="eastAsia" w:ascii="宋体" w:hAnsi="宋体" w:cs="宋体"/>
          <w:color w:val="000000" w:themeColor="text1"/>
          <w:sz w:val="22"/>
          <w:shd w:val="clear" w:color="auto" w:fill="ffffff"/>
          <w:lang w:val="zh-CN" w:bidi="zh-CN"/>
          <w14:textFill>
            <w14:solidFill>
              <w14:schemeClr w14:val="tx1"/>
            </w14:solidFill>
          </w14:textFill>
        </w:rPr>
        <w:t xml:space="preserve">本公司（单位）对上述声明内容的真实性负责。如有虚假，愿承担相应法律责任。</w:t>
      </w:r>
      <w:r/>
    </w:p>
    <w:p>
      <w:pPr>
        <w:jc w:val="left"/>
        <w:spacing w:line="360" w:lineRule="auto"/>
        <w:widowControl/>
        <w:rPr>
          <w:rFonts w:hint="eastAsia" w:ascii="宋体" w:hAnsi="宋体" w:cs="宋体"/>
          <w:color w:val="000000" w:themeColor="text1"/>
          <w:sz w:val="22"/>
          <w:lang w:val="zh-CN" w:bidi="zh-CN"/>
          <w14:textFill>
            <w14:solidFill>
              <w14:schemeClr w14:val="tx1"/>
            </w14:solidFill>
          </w14:textFill>
        </w:rPr>
      </w:pPr>
      <w:r>
        <w:rPr>
          <w:rFonts w:hint="eastAsia" w:ascii="宋体" w:hAnsi="宋体" w:cs="宋体"/>
          <w:color w:val="000000" w:themeColor="text1"/>
          <w:sz w:val="22"/>
          <w:lang w:val="zh-CN" w:bidi="zh-CN"/>
          <w14:textFill>
            <w14:solidFill>
              <w14:schemeClr w14:val="tx1"/>
            </w14:solidFill>
          </w14:textFill>
        </w:rPr>
      </w:r>
      <w:r/>
    </w:p>
    <w:p>
      <w:pPr>
        <w:ind w:right="480" w:firstLine="3410"/>
        <w:jc w:val="left"/>
        <w:spacing w:line="360" w:lineRule="auto"/>
        <w:widowControl/>
        <w:rPr>
          <w:rFonts w:hint="eastAsia" w:ascii="宋体" w:hAnsi="宋体" w:cs="宋体"/>
          <w:color w:val="000000" w:themeColor="text1"/>
          <w:sz w:val="22"/>
          <w:shd w:val="clear" w:color="auto" w:fill="ffffff"/>
          <w:lang w:val="zh-CN" w:bidi="zh-CN"/>
          <w14:textFill>
            <w14:solidFill>
              <w14:schemeClr w14:val="tx1"/>
            </w14:solidFill>
          </w14:textFill>
        </w:rPr>
      </w:pPr>
      <w:r>
        <w:rPr>
          <w:rFonts w:hint="eastAsia" w:ascii="宋体" w:hAnsi="宋体" w:cs="宋体"/>
          <w:color w:val="000000" w:themeColor="text1"/>
          <w:sz w:val="22"/>
          <w:shd w:val="clear" w:color="auto" w:fill="ffffff"/>
          <w:lang w:val="zh-CN" w:bidi="zh-CN"/>
          <w14:textFill>
            <w14:solidFill>
              <w14:schemeClr w14:val="tx1"/>
            </w14:solidFill>
          </w14:textFill>
        </w:rPr>
      </w:r>
      <w:r/>
    </w:p>
    <w:p>
      <w:pPr>
        <w:ind w:right="480" w:firstLine="4840"/>
        <w:jc w:val="left"/>
        <w:spacing w:line="360" w:lineRule="auto"/>
        <w:widowControl/>
        <w:rPr>
          <w:rFonts w:hint="eastAsia" w:ascii="宋体" w:hAnsi="宋体" w:cs="宋体"/>
          <w:color w:val="000000" w:themeColor="text1"/>
          <w:sz w:val="22"/>
          <w:lang w:val="zh-CN" w:bidi="zh-CN"/>
          <w14:textFill>
            <w14:solidFill>
              <w14:schemeClr w14:val="tx1"/>
            </w14:solidFill>
          </w14:textFill>
        </w:rPr>
      </w:pPr>
      <w:r>
        <w:rPr>
          <w:rFonts w:hint="eastAsia" w:ascii="宋体" w:hAnsi="宋体" w:cs="宋体"/>
          <w:color w:val="000000" w:themeColor="text1"/>
          <w:sz w:val="22"/>
          <w:shd w:val="clear" w:color="auto" w:fill="ffffff"/>
          <w:lang w:val="zh-CN" w:bidi="zh-CN"/>
          <w14:textFill>
            <w14:solidFill>
              <w14:schemeClr w14:val="tx1"/>
            </w14:solidFill>
          </w14:textFill>
        </w:rPr>
        <w:t xml:space="preserve">公司（单位）名称（盖章）：　        </w:t>
      </w:r>
      <w:r/>
    </w:p>
    <w:p>
      <w:pPr>
        <w:jc w:val="center"/>
        <w:spacing w:line="360" w:lineRule="auto"/>
        <w:widowControl/>
        <w:rPr>
          <w:rFonts w:hint="eastAsia" w:ascii="宋体" w:hAnsi="宋体" w:cs="宋体"/>
          <w:color w:val="000000" w:themeColor="text1"/>
          <w:sz w:val="22"/>
          <w:lang w:val="zh-CN" w:bidi="zh-CN"/>
          <w14:textFill>
            <w14:solidFill>
              <w14:schemeClr w14:val="tx1"/>
            </w14:solidFill>
          </w14:textFill>
        </w:rPr>
      </w:pPr>
      <w:r>
        <w:rPr>
          <w:rFonts w:hint="eastAsia" w:ascii="宋体" w:hAnsi="宋体" w:cs="宋体"/>
          <w:color w:val="000000" w:themeColor="text1"/>
          <w:sz w:val="22"/>
          <w:shd w:val="clear" w:color="auto" w:fill="ffffff"/>
          <w:lang w:val="zh-CN" w:bidi="zh-CN"/>
          <w14:textFill>
            <w14:solidFill>
              <w14:schemeClr w14:val="tx1"/>
            </w14:solidFill>
          </w14:textFill>
        </w:rPr>
        <w:t xml:space="preserve">                              日期：　   年　  月　  日         </w:t>
      </w:r>
      <w:r/>
    </w:p>
    <w:p>
      <w:pPr>
        <w:jc w:val="left"/>
        <w:spacing w:line="360" w:lineRule="auto"/>
        <w:widowControl/>
        <w:rPr>
          <w:rFonts w:hint="eastAsia" w:ascii="宋体" w:hAnsi="宋体" w:cs="宋体"/>
          <w:color w:val="000000" w:themeColor="text1"/>
          <w:sz w:val="22"/>
          <w:lang w:val="zh-CN" w:bidi="zh-CN"/>
          <w14:textFill>
            <w14:solidFill>
              <w14:schemeClr w14:val="tx1"/>
            </w14:solidFill>
          </w14:textFill>
        </w:rPr>
      </w:pPr>
      <w:r>
        <w:rPr>
          <w:rFonts w:hint="eastAsia" w:ascii="宋体" w:hAnsi="宋体" w:cs="宋体"/>
          <w:color w:val="000000" w:themeColor="text1"/>
          <w:sz w:val="22"/>
          <w:shd w:val="clear" w:color="auto" w:fill="ffffff"/>
          <w:lang w:val="zh-CN" w:bidi="zh-CN"/>
          <w14:textFill>
            <w14:solidFill>
              <w14:schemeClr w14:val="tx1"/>
            </w14:solidFill>
          </w14:textFill>
        </w:rPr>
        <w:t xml:space="preserve">__________________</w:t>
      </w:r>
      <w:r/>
    </w:p>
    <w:p>
      <w:pPr>
        <w:jc w:val="left"/>
        <w:spacing w:line="360" w:lineRule="auto"/>
        <w:widowControl/>
        <w:rPr>
          <w:rFonts w:hint="eastAsia" w:ascii="宋体" w:hAnsi="宋体" w:cs="宋体"/>
          <w:color w:val="000000" w:themeColor="text1"/>
          <w:sz w:val="22"/>
          <w:lang w:val="zh-CN" w:bidi="zh-CN"/>
          <w14:textFill>
            <w14:solidFill>
              <w14:schemeClr w14:val="tx1"/>
            </w14:solidFill>
          </w14:textFill>
        </w:rPr>
      </w:pPr>
      <w:r>
        <w:rPr>
          <w:rFonts w:hint="eastAsia" w:ascii="宋体" w:hAnsi="宋体" w:cs="宋体"/>
          <w:color w:val="000000" w:themeColor="text1"/>
          <w:sz w:val="22"/>
          <w:shd w:val="clear" w:color="auto" w:fill="ffffff"/>
          <w:lang w:val="zh-CN" w:bidi="zh-CN"/>
          <w14:textFill>
            <w14:solidFill>
              <w14:schemeClr w14:val="tx1"/>
            </w14:solidFill>
          </w14:textFill>
        </w:rPr>
        <w:t xml:space="preserve">1.产品如有型号，请在“产品名称”栏一并填写。</w:t>
      </w:r>
      <w:r/>
    </w:p>
    <w:p>
      <w:pPr>
        <w:jc w:val="left"/>
        <w:spacing w:line="360" w:lineRule="auto"/>
        <w:widowControl/>
        <w:rPr>
          <w:rFonts w:hint="eastAsia" w:ascii="宋体" w:hAnsi="宋体" w:cs="宋体"/>
          <w:color w:val="000000" w:themeColor="text1"/>
          <w:sz w:val="22"/>
          <w:lang w:val="zh-CN" w:bidi="zh-CN"/>
          <w14:textFill>
            <w14:solidFill>
              <w14:schemeClr w14:val="tx1"/>
            </w14:solidFill>
          </w14:textFill>
        </w:rPr>
      </w:pPr>
      <w:r>
        <w:rPr>
          <w:rFonts w:hint="eastAsia" w:ascii="宋体" w:hAnsi="宋体" w:cs="宋体"/>
          <w:color w:val="000000" w:themeColor="text1"/>
          <w:sz w:val="22"/>
          <w:shd w:val="clear" w:color="auto" w:fill="ffffff"/>
          <w:lang w:val="zh-CN" w:bidi="zh-CN"/>
          <w14:textFill>
            <w14:solidFill>
              <w14:schemeClr w14:val="tx1"/>
            </w14:solidFill>
          </w14:textFill>
        </w:rPr>
        <w:t xml:space="preserve">2.生产厂名与厂址应与生产厂营业执照载明的相关信息保持一致。</w:t>
      </w:r>
      <w:r/>
    </w:p>
    <w:p>
      <w:pPr>
        <w:jc w:val="left"/>
        <w:spacing w:line="360" w:lineRule="auto"/>
        <w:widowControl/>
        <w:rPr>
          <w:rFonts w:hint="eastAsia" w:ascii="宋体" w:hAnsi="宋体" w:cs="宋体"/>
          <w:color w:val="000000" w:themeColor="text1"/>
          <w:sz w:val="22"/>
          <w:lang w:val="zh-CN" w:bidi="zh-CN"/>
          <w14:textFill>
            <w14:solidFill>
              <w14:schemeClr w14:val="tx1"/>
            </w14:solidFill>
          </w14:textFill>
        </w:rPr>
      </w:pPr>
      <w:r>
        <w:rPr>
          <w:rFonts w:hint="eastAsia" w:ascii="宋体" w:hAnsi="宋体" w:cs="宋体"/>
          <w:color w:val="000000" w:themeColor="text1"/>
          <w:sz w:val="22"/>
          <w:shd w:val="clear" w:color="auto" w:fill="ffffff"/>
          <w:lang w:val="zh-CN" w:bidi="zh-CN"/>
          <w14:textFill>
            <w14:solidFill>
              <w14:schemeClr w14:val="tx1"/>
            </w14:solidFill>
          </w14:textFill>
        </w:rPr>
        <w:t xml:space="preserve">3.该产品的中国境内生产的组件成本占比相关要求实施前，“规定比例”栏可不填，下同。</w:t>
      </w:r>
      <w:r/>
    </w:p>
    <w:p>
      <w:pPr>
        <w:jc w:val="left"/>
        <w:spacing w:line="360" w:lineRule="auto"/>
        <w:widowControl/>
        <w:rPr>
          <w:rFonts w:hint="eastAsia" w:ascii="宋体" w:hAnsi="宋体" w:cs="宋体"/>
          <w:color w:val="000000" w:themeColor="text1"/>
          <w:sz w:val="22"/>
          <w:lang w:val="zh-CN" w:bidi="zh-CN"/>
          <w14:textFill>
            <w14:solidFill>
              <w14:schemeClr w14:val="tx1"/>
            </w14:solidFill>
          </w14:textFill>
        </w:rPr>
      </w:pPr>
      <w:r>
        <w:rPr>
          <w:rFonts w:hint="eastAsia" w:ascii="宋体" w:hAnsi="宋体" w:cs="宋体"/>
          <w:color w:val="000000" w:themeColor="text1"/>
          <w:sz w:val="22"/>
          <w:shd w:val="clear" w:color="auto" w:fill="ffffff"/>
          <w:lang w:val="zh-CN" w:bidi="zh-CN"/>
          <w14:textFill>
            <w14:solidFill>
              <w14:schemeClr w14:val="tx1"/>
            </w14:solidFill>
          </w14:textFill>
        </w:rPr>
        <w:t xml:space="preserve">4.该产品的关键组件要求实施前，“关键组件”栏可不填，下同。</w:t>
      </w:r>
      <w:r/>
    </w:p>
    <w:p>
      <w:pPr>
        <w:jc w:val="left"/>
        <w:spacing w:line="360" w:lineRule="auto"/>
        <w:widowControl/>
        <w:rPr>
          <w:rFonts w:hint="eastAsia" w:ascii="宋体" w:hAnsi="宋体" w:cs="宋体"/>
          <w:color w:val="000000" w:themeColor="text1"/>
          <w:sz w:val="22"/>
          <w:shd w:val="clear" w:color="auto" w:fill="ffffff"/>
          <w:lang w:val="zh-CN" w:bidi="zh-CN"/>
          <w14:textFill>
            <w14:solidFill>
              <w14:schemeClr w14:val="tx1"/>
            </w14:solidFill>
          </w14:textFill>
        </w:rPr>
      </w:pPr>
      <w:r>
        <w:rPr>
          <w:rFonts w:hint="eastAsia" w:ascii="宋体" w:hAnsi="宋体" w:cs="宋体"/>
          <w:color w:val="000000" w:themeColor="text1"/>
          <w:sz w:val="22"/>
          <w:shd w:val="clear" w:color="auto" w:fill="ffffff"/>
          <w:lang w:val="zh-CN" w:bidi="zh-CN"/>
          <w14:textFill>
            <w14:solidFill>
              <w14:schemeClr w14:val="tx1"/>
            </w14:solidFill>
          </w14:textFill>
        </w:rPr>
        <w:t xml:space="preserve">5.该产品的关键工序要求实施前，“关键工序”栏可不填，下同。</w:t>
      </w:r>
      <w:r/>
    </w:p>
    <w:p>
      <w:pPr>
        <w:jc w:val="left"/>
        <w:spacing w:line="360" w:lineRule="auto"/>
        <w:widowControl/>
        <w:rPr>
          <w:rFonts w:hint="eastAsia" w:ascii="宋体" w:hAnsi="宋体" w:cs="宋体"/>
          <w:color w:val="000000" w:themeColor="text1"/>
          <w:sz w:val="22"/>
          <w:shd w:val="clear" w:color="auto" w:fill="ffffff"/>
          <w:lang w:val="zh-CN" w:bidi="zh-CN"/>
          <w14:textFill>
            <w14:solidFill>
              <w14:schemeClr w14:val="tx1"/>
            </w14:solidFill>
          </w14:textFill>
        </w:rPr>
      </w:pPr>
      <w:r>
        <w:rPr>
          <w:rFonts w:hint="eastAsia" w:ascii="宋体" w:hAnsi="宋体" w:cs="宋体"/>
          <w:color w:val="000000" w:themeColor="text1"/>
          <w:sz w:val="22"/>
          <w:shd w:val="clear" w:color="auto" w:fill="ffffff"/>
          <w:lang w:val="zh-CN" w:bidi="zh-CN"/>
          <w14:textFill>
            <w14:solidFill>
              <w14:schemeClr w14:val="tx1"/>
            </w14:solidFill>
          </w14:textFill>
        </w:rPr>
        <w:t xml:space="preserve">6.用斜线划除的地方无需填写。</w:t>
      </w:r>
      <w:r/>
    </w:p>
    <w:p>
      <w:pPr>
        <w:pStyle w:val="674"/>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674"/>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jc w:val="center"/>
        <w:spacing w:line="360" w:lineRule="auto"/>
        <w:rPr>
          <w:rFonts w:hint="eastAsia" w:ascii="宋体" w:hAnsi="宋体" w:cs="黑体"/>
          <w:color w:val="000000" w:themeColor="text1"/>
          <w:sz w:val="32"/>
          <w:szCs w:val="32"/>
          <w14:textFill>
            <w14:solidFill>
              <w14:schemeClr w14:val="tx1"/>
            </w14:solidFill>
          </w14:textFill>
        </w:rPr>
      </w:pPr>
      <w:r>
        <w:rPr>
          <w:rFonts w:ascii="宋体" w:hAnsi="宋体" w:cs="宋体"/>
          <w:b/>
          <w:color w:val="000000" w:themeColor="text1"/>
          <w:sz w:val="32"/>
          <w14:textFill>
            <w14:solidFill>
              <w14:schemeClr w14:val="tx1"/>
            </w14:solidFill>
          </w14:textFill>
        </w:rPr>
        <w:br w:type="page" w:clear="all"/>
      </w:r>
      <w:r>
        <w:rPr>
          <w:rFonts w:hint="eastAsia" w:ascii="宋体" w:hAnsi="宋体" w:cs="宋体"/>
          <w:b/>
          <w:color w:val="000000" w:themeColor="text1"/>
          <w:sz w:val="32"/>
          <w14:textFill>
            <w14:solidFill>
              <w14:schemeClr w14:val="tx1"/>
            </w14:solidFill>
          </w14:textFill>
        </w:rPr>
        <w:t xml:space="preserve">三、</w:t>
      </w:r>
      <w:r>
        <w:rPr>
          <w:rFonts w:hint="eastAsia" w:ascii="宋体" w:hAnsi="宋体" w:cs="黑体"/>
          <w:color w:val="000000" w:themeColor="text1"/>
          <w:sz w:val="32"/>
          <w:szCs w:val="32"/>
          <w14:textFill>
            <w14:solidFill>
              <w14:schemeClr w14:val="tx1"/>
            </w14:solidFill>
          </w14:textFill>
        </w:rPr>
        <w:t xml:space="preserve">符合证明文件</w:t>
      </w:r>
      <w:r/>
    </w:p>
    <w:p>
      <w:pPr>
        <w:jc w:val="center"/>
        <w:spacing w:before="320" w:line="360" w:lineRule="auto"/>
        <w:rPr>
          <w:rFonts w:hint="eastAsia" w:ascii="宋体" w:hAnsi="宋体" w:cs="宋体"/>
          <w:b/>
          <w:color w:val="000000" w:themeColor="text1"/>
          <w:sz w:val="32"/>
          <w14:textFill>
            <w14:solidFill>
              <w14:schemeClr w14:val="tx1"/>
            </w14:solidFill>
          </w14:textFill>
        </w:rPr>
        <w:outlineLvl w:val="3"/>
      </w:pPr>
      <w:r>
        <w:rPr>
          <w:rFonts w:hint="eastAsia" w:ascii="宋体" w:hAnsi="宋体" w:cs="宋体"/>
          <w:b/>
          <w:color w:val="000000" w:themeColor="text1"/>
          <w:sz w:val="32"/>
          <w14:textFill>
            <w14:solidFill>
              <w14:schemeClr w14:val="tx1"/>
            </w14:solidFill>
          </w14:textFill>
        </w:rPr>
        <w:t xml:space="preserve">（一）法定代表人身份证明或授权委托书</w:t>
      </w:r>
      <w:r/>
    </w:p>
    <w:p>
      <w:pPr>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p>
      <w:pPr>
        <w:jc w:val="center"/>
        <w:spacing w:before="160" w:line="400" w:lineRule="exact"/>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法定代表人身份证明</w:t>
      </w:r>
      <w:r/>
    </w:p>
    <w:p>
      <w:pPr>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ind w:firstLine="440"/>
        <w:spacing w:line="560" w:lineRule="exact"/>
        <w:rPr>
          <w:rFonts w:hint="eastAsia" w:ascii="宋体" w:hAnsi="宋体" w:cs="宋体"/>
          <w:color w:val="000000" w:themeColor="text1"/>
          <w:sz w:val="22"/>
          <w:u w:val="single"/>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投标人名称：</w:t>
      </w:r>
      <w:r>
        <w:rPr>
          <w:rFonts w:hint="eastAsia" w:ascii="宋体" w:hAnsi="宋体" w:cs="宋体"/>
          <w:color w:val="000000" w:themeColor="text1"/>
          <w:sz w:val="22"/>
          <w:u w:val="single"/>
          <w14:textFill>
            <w14:solidFill>
              <w14:schemeClr w14:val="tx1"/>
            </w14:solidFill>
          </w14:textFill>
        </w:rPr>
        <w:t xml:space="preserve">                               </w:t>
      </w:r>
      <w:r/>
    </w:p>
    <w:p>
      <w:pPr>
        <w:ind w:firstLine="440"/>
        <w:spacing w:line="560" w:lineRule="exact"/>
        <w:rPr>
          <w:rFonts w:hint="eastAsia" w:ascii="宋体" w:hAnsi="宋体" w:cs="宋体"/>
          <w:b/>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法定代表人姓名：</w:t>
      </w:r>
      <w:r>
        <w:rPr>
          <w:rFonts w:hint="eastAsia" w:ascii="宋体" w:hAnsi="宋体" w:cs="宋体"/>
          <w:color w:val="000000" w:themeColor="text1"/>
          <w:sz w:val="22"/>
          <w:u w:val="single"/>
          <w14:textFill>
            <w14:solidFill>
              <w14:schemeClr w14:val="tx1"/>
            </w14:solidFill>
          </w14:textFill>
        </w:rPr>
        <w:t xml:space="preserve">              </w:t>
      </w:r>
      <w:r/>
    </w:p>
    <w:p>
      <w:pPr>
        <w:ind w:firstLine="440"/>
        <w:spacing w:line="560" w:lineRule="exact"/>
        <w:rPr>
          <w:rFonts w:hint="eastAsia" w:ascii="宋体" w:hAnsi="宋体" w:cs="宋体"/>
          <w:color w:val="000000" w:themeColor="text1"/>
          <w:sz w:val="22"/>
          <w:u w:val="single"/>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系</w:t>
      </w:r>
      <w:r>
        <w:rPr>
          <w:rFonts w:hint="eastAsia" w:ascii="宋体" w:hAnsi="宋体" w:cs="宋体"/>
          <w:color w:val="000000" w:themeColor="text1"/>
          <w:sz w:val="22"/>
          <w:u w:val="single"/>
          <w14:textFill>
            <w14:solidFill>
              <w14:schemeClr w14:val="tx1"/>
            </w14:solidFill>
          </w14:textFill>
        </w:rPr>
        <w:t xml:space="preserve">                          </w:t>
      </w:r>
      <w:r>
        <w:rPr>
          <w:rFonts w:hint="eastAsia" w:ascii="宋体" w:hAnsi="宋体" w:cs="宋体"/>
          <w:color w:val="000000" w:themeColor="text1"/>
          <w:sz w:val="22"/>
          <w14:textFill>
            <w14:solidFill>
              <w14:schemeClr w14:val="tx1"/>
            </w14:solidFill>
          </w14:textFill>
        </w:rPr>
        <w:t xml:space="preserve">（投标人名称）的法定代表人。</w:t>
      </w:r>
      <w:r/>
    </w:p>
    <w:p>
      <w:pPr>
        <w:ind w:firstLine="440"/>
        <w:spacing w:line="5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firstLine="440"/>
        <w:spacing w:line="5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特此证明。</w:t>
      </w:r>
      <w:r/>
    </w:p>
    <w:p>
      <w:pPr>
        <w:ind w:firstLine="440"/>
        <w:spacing w:line="5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附：法定代表人身份证原件扫描件。</w:t>
      </w:r>
      <w:r/>
    </w:p>
    <w:p>
      <w:pPr>
        <w:spacing w:line="5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spacing w:after="120"/>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spacing w:after="120"/>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spacing w:after="120"/>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spacing w:after="120"/>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left="5830" w:hanging="1760"/>
        <w:spacing w:line="5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投标人名称：</w:t>
      </w:r>
      <w:r>
        <w:rPr>
          <w:rFonts w:hint="eastAsia" w:ascii="宋体" w:hAnsi="宋体" w:cs="宋体"/>
          <w:color w:val="000000" w:themeColor="text1"/>
          <w:sz w:val="22"/>
          <w:u w:val="single"/>
          <w14:textFill>
            <w14:solidFill>
              <w14:schemeClr w14:val="tx1"/>
            </w14:solidFill>
          </w14:textFill>
        </w:rPr>
        <w:t xml:space="preserve">                </w:t>
      </w:r>
      <w:r>
        <w:rPr>
          <w:rFonts w:hint="eastAsia" w:ascii="宋体" w:hAnsi="宋体" w:cs="宋体"/>
          <w:color w:val="000000" w:themeColor="text1"/>
          <w:sz w:val="22"/>
          <w14:textFill>
            <w14:solidFill>
              <w14:schemeClr w14:val="tx1"/>
            </w14:solidFill>
          </w14:textFill>
        </w:rPr>
        <w:t xml:space="preserve">（电子签章）</w:t>
      </w:r>
      <w:r/>
    </w:p>
    <w:p>
      <w:pPr>
        <w:ind w:firstLine="4400"/>
        <w:spacing w:line="500" w:lineRule="exact"/>
        <w:rPr>
          <w:rFonts w:hint="eastAsia" w:ascii="宋体" w:hAnsi="宋体" w:cs="宋体"/>
          <w:color w:val="000000" w:themeColor="text1"/>
          <w:sz w:val="22"/>
          <w:u w:val="single"/>
          <w14:textFill>
            <w14:solidFill>
              <w14:schemeClr w14:val="tx1"/>
            </w14:solidFill>
          </w14:textFill>
        </w:rPr>
      </w:pPr>
      <w:r>
        <w:rPr>
          <w:rFonts w:hint="eastAsia" w:ascii="宋体" w:hAnsi="宋体" w:cs="宋体"/>
          <w:color w:val="000000" w:themeColor="text1"/>
          <w:sz w:val="22"/>
          <w:u w:val="single"/>
          <w14:textFill>
            <w14:solidFill>
              <w14:schemeClr w14:val="tx1"/>
            </w14:solidFill>
          </w14:textFill>
        </w:rPr>
        <w:t xml:space="preserve">           </w:t>
      </w:r>
      <w:r>
        <w:rPr>
          <w:rFonts w:hint="eastAsia" w:ascii="宋体" w:hAnsi="宋体" w:cs="宋体"/>
          <w:color w:val="000000" w:themeColor="text1"/>
          <w:sz w:val="22"/>
          <w14:textFill>
            <w14:solidFill>
              <w14:schemeClr w14:val="tx1"/>
            </w14:solidFill>
          </w14:textFill>
        </w:rPr>
        <w:t xml:space="preserve">年</w:t>
      </w:r>
      <w:r>
        <w:rPr>
          <w:rFonts w:hint="eastAsia" w:ascii="宋体" w:hAnsi="宋体" w:cs="宋体"/>
          <w:color w:val="000000" w:themeColor="text1"/>
          <w:sz w:val="22"/>
          <w:u w:val="single"/>
          <w14:textFill>
            <w14:solidFill>
              <w14:schemeClr w14:val="tx1"/>
            </w14:solidFill>
          </w14:textFill>
        </w:rPr>
        <w:t xml:space="preserve">   </w:t>
      </w:r>
      <w:r>
        <w:rPr>
          <w:rFonts w:hint="eastAsia" w:ascii="宋体" w:hAnsi="宋体" w:cs="宋体"/>
          <w:color w:val="000000" w:themeColor="text1"/>
          <w:sz w:val="22"/>
          <w14:textFill>
            <w14:solidFill>
              <w14:schemeClr w14:val="tx1"/>
            </w14:solidFill>
          </w14:textFill>
        </w:rPr>
        <w:t xml:space="preserve">月</w:t>
      </w:r>
      <w:r>
        <w:rPr>
          <w:rFonts w:hint="eastAsia" w:ascii="宋体" w:hAnsi="宋体" w:cs="宋体"/>
          <w:color w:val="000000" w:themeColor="text1"/>
          <w:sz w:val="22"/>
          <w:u w:val="single"/>
          <w14:textFill>
            <w14:solidFill>
              <w14:schemeClr w14:val="tx1"/>
            </w14:solidFill>
          </w14:textFill>
        </w:rPr>
        <w:t xml:space="preserve">   </w:t>
      </w:r>
      <w:r>
        <w:rPr>
          <w:rFonts w:hint="eastAsia" w:ascii="宋体" w:hAnsi="宋体" w:cs="宋体"/>
          <w:color w:val="000000" w:themeColor="text1"/>
          <w:sz w:val="22"/>
          <w14:textFill>
            <w14:solidFill>
              <w14:schemeClr w14:val="tx1"/>
            </w14:solidFill>
          </w14:textFill>
        </w:rPr>
        <w:t xml:space="preserve">日</w:t>
      </w:r>
      <w:r/>
    </w:p>
    <w:p>
      <w:pPr>
        <w:spacing w:line="4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spacing w:line="4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spacing w:line="4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spacing w:line="4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spacing w:line="4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spacing w:line="4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spacing w:after="120"/>
        <w:rPr>
          <w:rFonts w:hint="eastAsia" w:ascii="宋体" w:hAnsi="宋体"/>
          <w:color w:val="000000" w:themeColor="text1"/>
          <w:sz w:val="20"/>
          <w:szCs w:val="24"/>
          <w14:textFill>
            <w14:solidFill>
              <w14:schemeClr w14:val="tx1"/>
            </w14:solidFill>
          </w14:textFill>
        </w:rPr>
      </w:pPr>
      <w:r>
        <w:rPr>
          <w:rFonts w:hint="eastAsia" w:ascii="宋体" w:hAnsi="宋体"/>
          <w:color w:val="000000" w:themeColor="text1"/>
          <w:sz w:val="20"/>
          <w:szCs w:val="24"/>
          <w14:textFill>
            <w14:solidFill>
              <w14:schemeClr w14:val="tx1"/>
            </w14:solidFill>
          </w14:textFill>
        </w:rPr>
      </w:r>
      <w:r/>
    </w:p>
    <w:p>
      <w:pPr>
        <w:spacing w:after="120"/>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spacing w:after="120"/>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spacing w:after="120"/>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spacing w:line="400" w:lineRule="exact"/>
        <w:rPr>
          <w:rFonts w:hint="eastAsia" w:ascii="宋体" w:hAnsi="宋体" w:cs="宋体"/>
          <w:b/>
          <w:color w:val="000000" w:themeColor="text1"/>
          <w:sz w:val="20"/>
          <w14:textFill>
            <w14:solidFill>
              <w14:schemeClr w14:val="tx1"/>
            </w14:solidFill>
          </w14:textFill>
        </w:rPr>
      </w:pPr>
      <w:r>
        <w:rPr>
          <w:rFonts w:hint="eastAsia" w:ascii="宋体" w:hAnsi="宋体" w:cs="宋体"/>
          <w:b/>
          <w:color w:val="000000" w:themeColor="text1"/>
          <w:sz w:val="20"/>
          <w14:textFill>
            <w14:solidFill>
              <w14:schemeClr w14:val="tx1"/>
            </w14:solidFill>
          </w14:textFill>
        </w:rPr>
      </w:r>
      <w:r/>
    </w:p>
    <w:p>
      <w:pPr>
        <w:jc w:val="center"/>
        <w:spacing w:line="400" w:lineRule="exact"/>
        <w:rPr>
          <w:rFonts w:hint="eastAsia" w:ascii="宋体" w:hAnsi="宋体" w:cs="宋体"/>
          <w:b/>
          <w:color w:val="000000" w:themeColor="text1"/>
          <w:sz w:val="20"/>
          <w14:textFill>
            <w14:solidFill>
              <w14:schemeClr w14:val="tx1"/>
            </w14:solidFill>
          </w14:textFill>
        </w:rPr>
      </w:pPr>
      <w:r>
        <w:rPr>
          <w:rFonts w:hint="eastAsia" w:ascii="宋体" w:hAnsi="宋体" w:cs="宋体"/>
          <w:b/>
          <w:color w:val="000000" w:themeColor="text1"/>
          <w:sz w:val="20"/>
          <w14:textFill>
            <w14:solidFill>
              <w14:schemeClr w14:val="tx1"/>
            </w14:solidFill>
          </w14:textFill>
        </w:rPr>
      </w:r>
      <w:r/>
    </w:p>
    <w:p>
      <w:pPr>
        <w:jc w:val="center"/>
        <w:spacing w:line="400" w:lineRule="exact"/>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授权委托书</w:t>
      </w:r>
      <w:r/>
    </w:p>
    <w:p>
      <w:pPr>
        <w:ind w:firstLine="480"/>
        <w:spacing w:line="5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firstLine="480"/>
        <w:spacing w:line="5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本人</w:t>
      </w:r>
      <w:r>
        <w:rPr>
          <w:rFonts w:hint="eastAsia" w:ascii="宋体" w:hAnsi="宋体" w:cs="宋体"/>
          <w:color w:val="000000" w:themeColor="text1"/>
          <w:sz w:val="22"/>
          <w:u w:val="single"/>
          <w14:textFill>
            <w14:solidFill>
              <w14:schemeClr w14:val="tx1"/>
            </w14:solidFill>
          </w14:textFill>
        </w:rPr>
        <w:t xml:space="preserve">         </w:t>
      </w:r>
      <w:r>
        <w:rPr>
          <w:rFonts w:hint="eastAsia" w:ascii="宋体" w:hAnsi="宋体" w:cs="宋体"/>
          <w:color w:val="000000" w:themeColor="text1"/>
          <w:sz w:val="22"/>
          <w14:textFill>
            <w14:solidFill>
              <w14:schemeClr w14:val="tx1"/>
            </w14:solidFill>
          </w14:textFill>
        </w:rPr>
        <w:t xml:space="preserve">（姓名）系</w:t>
      </w:r>
      <w:r>
        <w:rPr>
          <w:rFonts w:hint="eastAsia" w:ascii="宋体" w:hAnsi="宋体" w:cs="宋体"/>
          <w:color w:val="000000" w:themeColor="text1"/>
          <w:sz w:val="22"/>
          <w:u w:val="single"/>
          <w14:textFill>
            <w14:solidFill>
              <w14:schemeClr w14:val="tx1"/>
            </w14:solidFill>
          </w14:textFill>
        </w:rPr>
        <w:t xml:space="preserve">                                </w:t>
      </w:r>
      <w:r>
        <w:rPr>
          <w:rFonts w:hint="eastAsia" w:ascii="宋体" w:hAnsi="宋体" w:cs="宋体"/>
          <w:color w:val="000000" w:themeColor="text1"/>
          <w:sz w:val="22"/>
          <w14:textFill>
            <w14:solidFill>
              <w14:schemeClr w14:val="tx1"/>
            </w14:solidFill>
          </w14:textFill>
        </w:rPr>
        <w:t xml:space="preserve">（投标人名称）的法定代表人，现委托</w:t>
      </w:r>
      <w:r>
        <w:rPr>
          <w:rFonts w:hint="eastAsia" w:ascii="宋体" w:hAnsi="宋体" w:cs="宋体"/>
          <w:color w:val="000000" w:themeColor="text1"/>
          <w:sz w:val="22"/>
          <w:u w:val="single"/>
          <w14:textFill>
            <w14:solidFill>
              <w14:schemeClr w14:val="tx1"/>
            </w14:solidFill>
          </w14:textFill>
        </w:rPr>
        <w:t xml:space="preserve">                </w:t>
      </w:r>
      <w:r>
        <w:rPr>
          <w:rFonts w:hint="eastAsia" w:ascii="宋体" w:hAnsi="宋体" w:cs="宋体"/>
          <w:color w:val="000000" w:themeColor="text1"/>
          <w:sz w:val="22"/>
          <w14:textFill>
            <w14:solidFill>
              <w14:schemeClr w14:val="tx1"/>
            </w14:solidFill>
          </w14:textFill>
        </w:rPr>
        <w:t xml:space="preserve">（姓名）为我方代理人。代理人根据授权，以我方名义签署、澄清、说明、补正、提交、撤回、修改</w:t>
      </w:r>
      <w:r>
        <w:rPr>
          <w:rFonts w:hint="eastAsia" w:ascii="宋体" w:hAnsi="宋体" w:cs="宋体"/>
          <w:color w:val="000000" w:themeColor="text1"/>
          <w:sz w:val="22"/>
          <w:u w:val="single"/>
          <w14:textFill>
            <w14:solidFill>
              <w14:schemeClr w14:val="tx1"/>
            </w14:solidFill>
          </w14:textFill>
        </w:rPr>
        <w:t xml:space="preserve">      （项目名称）    </w:t>
      </w:r>
      <w:r>
        <w:rPr>
          <w:rFonts w:hint="eastAsia" w:ascii="宋体" w:hAnsi="宋体" w:cs="宋体"/>
          <w:color w:val="000000" w:themeColor="text1"/>
          <w:sz w:val="22"/>
          <w14:textFill>
            <w14:solidFill>
              <w14:schemeClr w14:val="tx1"/>
            </w14:solidFill>
          </w14:textFill>
        </w:rPr>
        <w:t xml:space="preserve">投标文件、签订合同和处理有关事宜，其法律后果由我方承担。</w:t>
      </w:r>
      <w:r/>
    </w:p>
    <w:p>
      <w:pPr>
        <w:ind w:firstLine="480"/>
        <w:spacing w:line="5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委托期限：</w:t>
      </w:r>
      <w:r>
        <w:rPr>
          <w:rFonts w:hint="eastAsia" w:ascii="宋体" w:hAnsi="宋体" w:cs="宋体"/>
          <w:color w:val="000000" w:themeColor="text1"/>
          <w:sz w:val="22"/>
          <w:u w:val="single"/>
          <w14:textFill>
            <w14:solidFill>
              <w14:schemeClr w14:val="tx1"/>
            </w14:solidFill>
          </w14:textFill>
        </w:rPr>
        <w:t xml:space="preserve"> 自本委托书签署之日起至投标有效期期满 </w:t>
      </w:r>
      <w:r>
        <w:rPr>
          <w:rFonts w:hint="eastAsia" w:ascii="宋体" w:hAnsi="宋体" w:cs="宋体"/>
          <w:color w:val="000000" w:themeColor="text1"/>
          <w:sz w:val="22"/>
          <w14:textFill>
            <w14:solidFill>
              <w14:schemeClr w14:val="tx1"/>
            </w14:solidFill>
          </w14:textFill>
        </w:rPr>
        <w:t xml:space="preserve">。</w:t>
      </w:r>
      <w:r/>
    </w:p>
    <w:p>
      <w:pPr>
        <w:ind w:firstLine="480"/>
        <w:spacing w:line="5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代理人无转委托权。</w:t>
      </w:r>
      <w:r/>
    </w:p>
    <w:p>
      <w:pPr>
        <w:ind w:firstLine="480"/>
        <w:spacing w:line="5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附：法定代表人身份证原件扫描件及委托代理人身份证原件扫描件。</w:t>
      </w:r>
      <w:r/>
    </w:p>
    <w:p>
      <w:pPr>
        <w:ind w:firstLine="480"/>
        <w:spacing w:line="5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firstLine="480"/>
        <w:spacing w:line="5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firstLine="480"/>
        <w:spacing w:line="5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firstLine="480"/>
        <w:spacing w:line="5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firstLine="3780"/>
        <w:spacing w:line="5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投标人名称：</w:t>
      </w:r>
      <w:r>
        <w:rPr>
          <w:rFonts w:hint="eastAsia" w:ascii="宋体" w:hAnsi="宋体" w:cs="宋体"/>
          <w:color w:val="000000" w:themeColor="text1"/>
          <w:sz w:val="22"/>
          <w:u w:val="single"/>
          <w14:textFill>
            <w14:solidFill>
              <w14:schemeClr w14:val="tx1"/>
            </w14:solidFill>
          </w14:textFill>
        </w:rPr>
        <w:t xml:space="preserve">                  </w:t>
      </w:r>
      <w:r>
        <w:rPr>
          <w:rFonts w:hint="eastAsia" w:ascii="宋体" w:hAnsi="宋体" w:cs="宋体"/>
          <w:color w:val="000000" w:themeColor="text1"/>
          <w:sz w:val="22"/>
          <w14:textFill>
            <w14:solidFill>
              <w14:schemeClr w14:val="tx1"/>
            </w14:solidFill>
          </w14:textFill>
        </w:rPr>
        <w:t xml:space="preserve">（电子签章）</w:t>
      </w:r>
      <w:r/>
    </w:p>
    <w:p>
      <w:pPr>
        <w:ind w:firstLine="3780"/>
        <w:spacing w:line="5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法定代表人：</w:t>
      </w:r>
      <w:r>
        <w:rPr>
          <w:rFonts w:hint="eastAsia" w:ascii="宋体" w:hAnsi="宋体" w:cs="宋体"/>
          <w:color w:val="000000" w:themeColor="text1"/>
          <w:sz w:val="22"/>
          <w:u w:val="single"/>
          <w14:textFill>
            <w14:solidFill>
              <w14:schemeClr w14:val="tx1"/>
            </w14:solidFill>
          </w14:textFill>
        </w:rPr>
        <w:t xml:space="preserve">                  </w:t>
      </w:r>
      <w:r>
        <w:rPr>
          <w:rFonts w:hint="eastAsia" w:ascii="宋体" w:hAnsi="宋体" w:cs="宋体"/>
          <w:color w:val="000000" w:themeColor="text1"/>
          <w:sz w:val="22"/>
          <w14:textFill>
            <w14:solidFill>
              <w14:schemeClr w14:val="tx1"/>
            </w14:solidFill>
          </w14:textFill>
        </w:rPr>
        <w:t xml:space="preserve">（</w:t>
      </w:r>
      <w:r>
        <w:rPr>
          <w:rFonts w:hint="eastAsia" w:ascii="宋体" w:hAnsi="宋体" w:cs="宋体"/>
          <w:bCs/>
          <w:color w:val="000000" w:themeColor="text1"/>
          <w:sz w:val="22"/>
          <w14:textFill>
            <w14:solidFill>
              <w14:schemeClr w14:val="tx1"/>
            </w14:solidFill>
          </w14:textFill>
        </w:rPr>
        <w:t xml:space="preserve">电子签章或签名</w:t>
      </w:r>
      <w:r>
        <w:rPr>
          <w:rFonts w:hint="eastAsia" w:ascii="宋体" w:hAnsi="宋体" w:cs="宋体"/>
          <w:color w:val="000000" w:themeColor="text1"/>
          <w:sz w:val="22"/>
          <w14:textFill>
            <w14:solidFill>
              <w14:schemeClr w14:val="tx1"/>
            </w14:solidFill>
          </w14:textFill>
        </w:rPr>
        <w:t xml:space="preserve">）</w:t>
      </w:r>
      <w:r/>
    </w:p>
    <w:p>
      <w:pPr>
        <w:ind w:firstLine="3780"/>
        <w:spacing w:line="500" w:lineRule="exact"/>
        <w:rPr>
          <w:rFonts w:hint="eastAsia" w:ascii="宋体" w:hAnsi="宋体" w:cs="宋体"/>
          <w:color w:val="000000" w:themeColor="text1"/>
          <w:sz w:val="22"/>
          <w:u w:val="single"/>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身份证号码：</w:t>
      </w:r>
      <w:r>
        <w:rPr>
          <w:rFonts w:hint="eastAsia" w:ascii="宋体" w:hAnsi="宋体" w:cs="宋体"/>
          <w:color w:val="000000" w:themeColor="text1"/>
          <w:sz w:val="22"/>
          <w:u w:val="single"/>
          <w14:textFill>
            <w14:solidFill>
              <w14:schemeClr w14:val="tx1"/>
            </w14:solidFill>
          </w14:textFill>
        </w:rPr>
        <w:t xml:space="preserve">                   </w:t>
      </w:r>
      <w:r/>
    </w:p>
    <w:p>
      <w:pPr>
        <w:ind w:firstLine="3780"/>
        <w:spacing w:line="5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委托代理人：</w:t>
      </w:r>
      <w:r>
        <w:rPr>
          <w:rFonts w:hint="eastAsia" w:ascii="宋体" w:hAnsi="宋体" w:cs="宋体"/>
          <w:color w:val="000000" w:themeColor="text1"/>
          <w:sz w:val="22"/>
          <w:u w:val="single"/>
          <w14:textFill>
            <w14:solidFill>
              <w14:schemeClr w14:val="tx1"/>
            </w14:solidFill>
          </w14:textFill>
        </w:rPr>
        <w:t xml:space="preserve">                  </w:t>
      </w:r>
      <w:r>
        <w:rPr>
          <w:rFonts w:hint="eastAsia" w:ascii="宋体" w:hAnsi="宋体" w:cs="宋体"/>
          <w:color w:val="000000" w:themeColor="text1"/>
          <w:sz w:val="22"/>
          <w14:textFill>
            <w14:solidFill>
              <w14:schemeClr w14:val="tx1"/>
            </w14:solidFill>
          </w14:textFill>
        </w:rPr>
        <w:t xml:space="preserve">（</w:t>
      </w:r>
      <w:r>
        <w:rPr>
          <w:rFonts w:hint="eastAsia" w:ascii="宋体" w:hAnsi="宋体" w:cs="宋体"/>
          <w:bCs/>
          <w:color w:val="000000" w:themeColor="text1"/>
          <w:sz w:val="22"/>
          <w14:textFill>
            <w14:solidFill>
              <w14:schemeClr w14:val="tx1"/>
            </w14:solidFill>
          </w14:textFill>
        </w:rPr>
        <w:t xml:space="preserve">电子签章或签名</w:t>
      </w:r>
      <w:r>
        <w:rPr>
          <w:rFonts w:hint="eastAsia" w:ascii="宋体" w:hAnsi="宋体" w:cs="宋体"/>
          <w:color w:val="000000" w:themeColor="text1"/>
          <w:sz w:val="22"/>
          <w14:textFill>
            <w14:solidFill>
              <w14:schemeClr w14:val="tx1"/>
            </w14:solidFill>
          </w14:textFill>
        </w:rPr>
        <w:t xml:space="preserve">）</w:t>
      </w:r>
      <w:r/>
    </w:p>
    <w:p>
      <w:pPr>
        <w:ind w:firstLine="3780"/>
        <w:spacing w:line="500" w:lineRule="exact"/>
        <w:rPr>
          <w:rFonts w:hint="eastAsia" w:ascii="宋体" w:hAnsi="宋体" w:cs="宋体"/>
          <w:color w:val="000000" w:themeColor="text1"/>
          <w:sz w:val="22"/>
          <w:u w:val="single"/>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身份证号码：</w:t>
      </w:r>
      <w:r>
        <w:rPr>
          <w:rFonts w:hint="eastAsia" w:ascii="宋体" w:hAnsi="宋体" w:cs="宋体"/>
          <w:color w:val="000000" w:themeColor="text1"/>
          <w:sz w:val="22"/>
          <w:u w:val="single"/>
          <w14:textFill>
            <w14:solidFill>
              <w14:schemeClr w14:val="tx1"/>
            </w14:solidFill>
          </w14:textFill>
        </w:rPr>
        <w:t xml:space="preserve">                         </w:t>
      </w:r>
      <w:r/>
    </w:p>
    <w:p>
      <w:pPr>
        <w:ind w:firstLine="5500"/>
        <w:spacing w:line="500" w:lineRule="exact"/>
        <w:rPr>
          <w:rFonts w:hint="eastAsia" w:ascii="宋体" w:hAnsi="宋体" w:cs="宋体"/>
          <w:color w:val="000000" w:themeColor="text1"/>
          <w:sz w:val="22"/>
          <w:u w:val="single"/>
          <w14:textFill>
            <w14:solidFill>
              <w14:schemeClr w14:val="tx1"/>
            </w14:solidFill>
          </w14:textFill>
        </w:rPr>
      </w:pPr>
      <w:r>
        <w:rPr>
          <w:rFonts w:hint="eastAsia" w:ascii="宋体" w:hAnsi="宋体" w:cs="宋体"/>
          <w:color w:val="000000" w:themeColor="text1"/>
          <w:sz w:val="22"/>
          <w:u w:val="single"/>
          <w14:textFill>
            <w14:solidFill>
              <w14:schemeClr w14:val="tx1"/>
            </w14:solidFill>
          </w14:textFill>
        </w:rPr>
        <w:t xml:space="preserve">         </w:t>
      </w:r>
      <w:r>
        <w:rPr>
          <w:rFonts w:hint="eastAsia" w:ascii="宋体" w:hAnsi="宋体" w:cs="宋体"/>
          <w:color w:val="000000" w:themeColor="text1"/>
          <w:sz w:val="22"/>
          <w14:textFill>
            <w14:solidFill>
              <w14:schemeClr w14:val="tx1"/>
            </w14:solidFill>
          </w14:textFill>
        </w:rPr>
        <w:t xml:space="preserve">年</w:t>
      </w:r>
      <w:r>
        <w:rPr>
          <w:rFonts w:hint="eastAsia" w:ascii="宋体" w:hAnsi="宋体" w:cs="宋体"/>
          <w:color w:val="000000" w:themeColor="text1"/>
          <w:sz w:val="22"/>
          <w:u w:val="single"/>
          <w14:textFill>
            <w14:solidFill>
              <w14:schemeClr w14:val="tx1"/>
            </w14:solidFill>
          </w14:textFill>
        </w:rPr>
        <w:t xml:space="preserve">   </w:t>
      </w:r>
      <w:r>
        <w:rPr>
          <w:rFonts w:hint="eastAsia" w:ascii="宋体" w:hAnsi="宋体" w:cs="宋体"/>
          <w:color w:val="000000" w:themeColor="text1"/>
          <w:sz w:val="22"/>
          <w14:textFill>
            <w14:solidFill>
              <w14:schemeClr w14:val="tx1"/>
            </w14:solidFill>
          </w14:textFill>
        </w:rPr>
        <w:t xml:space="preserve">月</w:t>
      </w:r>
      <w:r>
        <w:rPr>
          <w:rFonts w:hint="eastAsia" w:ascii="宋体" w:hAnsi="宋体" w:cs="宋体"/>
          <w:color w:val="000000" w:themeColor="text1"/>
          <w:sz w:val="22"/>
          <w:u w:val="single"/>
          <w14:textFill>
            <w14:solidFill>
              <w14:schemeClr w14:val="tx1"/>
            </w14:solidFill>
          </w14:textFill>
        </w:rPr>
        <w:t xml:space="preserve">   </w:t>
      </w:r>
      <w:r>
        <w:rPr>
          <w:rFonts w:hint="eastAsia" w:ascii="宋体" w:hAnsi="宋体" w:cs="宋体"/>
          <w:color w:val="000000" w:themeColor="text1"/>
          <w:sz w:val="22"/>
          <w14:textFill>
            <w14:solidFill>
              <w14:schemeClr w14:val="tx1"/>
            </w14:solidFill>
          </w14:textFill>
        </w:rPr>
        <w:t xml:space="preserve">日</w:t>
      </w:r>
      <w:r/>
    </w:p>
    <w:p>
      <w:pPr>
        <w:ind w:firstLine="480"/>
        <w:spacing w:line="40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ind w:firstLine="442"/>
        <w:spacing w:line="400" w:lineRule="exact"/>
        <w:rPr>
          <w:rFonts w:hint="eastAsia" w:ascii="宋体" w:hAnsi="宋体"/>
          <w:b/>
          <w:color w:val="000000" w:themeColor="text1"/>
          <w:sz w:val="22"/>
          <w14:textFill>
            <w14:solidFill>
              <w14:schemeClr w14:val="tx1"/>
            </w14:solidFill>
          </w14:textFill>
        </w:rPr>
      </w:pPr>
      <w:r>
        <w:rPr>
          <w:rFonts w:hint="eastAsia" w:ascii="宋体" w:hAnsi="宋体"/>
          <w:b/>
          <w:color w:val="000000" w:themeColor="text1"/>
          <w:sz w:val="22"/>
          <w14:textFill>
            <w14:solidFill>
              <w14:schemeClr w14:val="tx1"/>
            </w14:solidFill>
          </w14:textFill>
        </w:rPr>
      </w:r>
      <w:r/>
    </w:p>
    <w:p>
      <w:pPr>
        <w:ind w:firstLine="442"/>
        <w:spacing w:line="400" w:lineRule="exact"/>
        <w:rPr>
          <w:rFonts w:hint="eastAsia" w:ascii="宋体" w:hAnsi="宋体"/>
          <w:b/>
          <w:color w:val="000000" w:themeColor="text1"/>
          <w:sz w:val="22"/>
          <w14:textFill>
            <w14:solidFill>
              <w14:schemeClr w14:val="tx1"/>
            </w14:solidFill>
          </w14:textFill>
        </w:rPr>
      </w:pPr>
      <w:r>
        <w:rPr>
          <w:rFonts w:hint="eastAsia" w:ascii="宋体" w:hAnsi="宋体"/>
          <w:b/>
          <w:color w:val="000000" w:themeColor="text1"/>
          <w:sz w:val="22"/>
          <w14:textFill>
            <w14:solidFill>
              <w14:schemeClr w14:val="tx1"/>
            </w14:solidFill>
          </w14:textFill>
        </w:rPr>
      </w:r>
      <w:r/>
    </w:p>
    <w:p>
      <w:pPr>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p>
      <w:pPr>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p>
      <w:pPr>
        <w:spacing w:after="120"/>
        <w:rPr>
          <w:rFonts w:hint="eastAsia" w:ascii="宋体" w:hAnsi="宋体"/>
          <w:color w:val="000000" w:themeColor="text1"/>
          <w:sz w:val="20"/>
          <w:szCs w:val="24"/>
          <w14:textFill>
            <w14:solidFill>
              <w14:schemeClr w14:val="tx1"/>
            </w14:solidFill>
          </w14:textFill>
        </w:rPr>
      </w:pPr>
      <w:r>
        <w:rPr>
          <w:rFonts w:hint="eastAsia" w:ascii="宋体" w:hAnsi="宋体"/>
          <w:color w:val="000000" w:themeColor="text1"/>
          <w:sz w:val="20"/>
          <w:szCs w:val="24"/>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jc w:val="center"/>
        <w:spacing w:line="440" w:lineRule="exact"/>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jc w:val="center"/>
        <w:spacing w:line="440" w:lineRule="exact"/>
        <w:rPr>
          <w:rFonts w:hint="eastAsia" w:ascii="宋体" w:hAnsi="宋体" w:cs="宋体"/>
          <w:b/>
          <w:bCs/>
          <w:color w:val="000000" w:themeColor="text1"/>
          <w:sz w:val="32"/>
          <w:szCs w:val="32"/>
          <w14:textFill>
            <w14:solidFill>
              <w14:schemeClr w14:val="tx1"/>
            </w14:solidFill>
          </w14:textFill>
        </w:rPr>
      </w:pPr>
      <w:r>
        <w:rPr>
          <w:rFonts w:ascii="宋体" w:hAnsi="宋体" w:cs="宋体"/>
          <w:b/>
          <w:bCs/>
          <w:color w:val="000000" w:themeColor="text1"/>
          <w:sz w:val="32"/>
          <w:szCs w:val="32"/>
          <w14:textFill>
            <w14:solidFill>
              <w14:schemeClr w14:val="tx1"/>
            </w14:solidFill>
          </w14:textFill>
        </w:rPr>
        <w:br w:type="page" w:clear="all"/>
      </w:r>
      <w:r>
        <w:rPr>
          <w:rFonts w:hint="eastAsia" w:ascii="宋体" w:hAnsi="宋体" w:cs="宋体"/>
          <w:b/>
          <w:bCs/>
          <w:color w:val="000000" w:themeColor="text1"/>
          <w:sz w:val="32"/>
          <w:szCs w:val="32"/>
          <w14:textFill>
            <w14:solidFill>
              <w14:schemeClr w14:val="tx1"/>
            </w14:solidFill>
          </w14:textFill>
        </w:rPr>
        <w:t xml:space="preserve">（二）商务条款响应表</w:t>
      </w:r>
      <w:r/>
    </w:p>
    <w:p>
      <w:pPr>
        <w:pStyle w:val="671"/>
        <w:ind w:firstLine="424"/>
        <w:spacing w:line="360" w:lineRule="auto"/>
        <w:tabs>
          <w:tab w:val="left" w:pos="7020"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项目名称：</w:t>
      </w:r>
      <w:r>
        <w:rPr>
          <w:rFonts w:hint="eastAsia" w:ascii="宋体" w:hAnsi="宋体"/>
          <w:color w:val="000000" w:themeColor="text1"/>
          <w:sz w:val="24"/>
          <w14:textFill>
            <w14:solidFill>
              <w14:schemeClr w14:val="tx1"/>
            </w14:solidFill>
          </w14:textFill>
        </w:rPr>
        <w:tab/>
      </w:r>
      <w:r/>
    </w:p>
    <w:p>
      <w:pPr>
        <w:pStyle w:val="671"/>
        <w:ind w:firstLine="424"/>
        <w:spacing w:line="360" w:lineRule="auto"/>
        <w:tabs>
          <w:tab w:val="left" w:pos="7020"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招标编号：</w:t>
      </w:r>
      <w:r/>
    </w:p>
    <w:tbl>
      <w:tblPr>
        <w:tblStyle w:val="669"/>
        <w:tblW w:w="8978" w:type="dxa"/>
        <w:tblInd w:w="19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620"/>
        <w:gridCol w:w="3993"/>
        <w:gridCol w:w="1276"/>
        <w:gridCol w:w="1392"/>
      </w:tblGrid>
      <w:tr>
        <w:trPr>
          <w:cantSplit/>
          <w:trHeight w:val="539"/>
        </w:trPr>
        <w:tc>
          <w:tcPr>
            <w:tcW w:w="697"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序号</w:t>
            </w:r>
            <w:r/>
          </w:p>
        </w:tc>
        <w:tc>
          <w:tcPr>
            <w:tcW w:w="1620"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主要商务条款</w:t>
            </w:r>
            <w:r/>
          </w:p>
        </w:tc>
        <w:tc>
          <w:tcPr>
            <w:tcW w:w="3993"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招标文件要求</w:t>
            </w:r>
            <w:r/>
          </w:p>
        </w:tc>
        <w:tc>
          <w:tcPr>
            <w:tcW w:w="1276"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投标文件响应</w:t>
            </w:r>
            <w:r/>
          </w:p>
        </w:tc>
        <w:tc>
          <w:tcPr>
            <w:tcW w:w="1392"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偏离情况</w:t>
            </w:r>
            <w:r/>
          </w:p>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（正/负/无）</w:t>
            </w:r>
            <w:r/>
          </w:p>
        </w:tc>
      </w:tr>
      <w:tr>
        <w:trPr>
          <w:trHeight w:val="723"/>
        </w:trPr>
        <w:tc>
          <w:tcPr>
            <w:tcW w:w="697"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c>
          <w:tcPr>
            <w:tcW w:w="1620"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合同履行期限</w:t>
            </w:r>
            <w:r/>
          </w:p>
        </w:tc>
        <w:tc>
          <w:tcPr>
            <w:tcW w:w="3993"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一年</w:t>
            </w:r>
            <w:r/>
          </w:p>
        </w:tc>
        <w:tc>
          <w:tcPr>
            <w:tcW w:w="1276"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c>
          <w:tcPr>
            <w:tcW w:w="1392"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r>
      <w:tr>
        <w:trPr>
          <w:trHeight w:val="832"/>
        </w:trPr>
        <w:tc>
          <w:tcPr>
            <w:tcW w:w="697"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p>
        </w:tc>
        <w:tc>
          <w:tcPr>
            <w:tcW w:w="1620"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投标有效期</w:t>
            </w:r>
            <w:r/>
          </w:p>
        </w:tc>
        <w:tc>
          <w:tcPr>
            <w:tcW w:w="3993" w:type="dxa"/>
            <w:vAlign w:val="center"/>
            <w:textDirection w:val="lrTb"/>
            <w:noWrap w:val="false"/>
          </w:tcPr>
          <w:p>
            <w:pPr>
              <w:jc w:val="center"/>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u w:val="single"/>
                <w14:textFill>
                  <w14:solidFill>
                    <w14:schemeClr w14:val="tx1"/>
                  </w14:solidFill>
                </w14:textFill>
              </w:rPr>
              <w:t xml:space="preserve">9</w:t>
            </w:r>
            <w:r>
              <w:rPr>
                <w:rFonts w:ascii="宋体" w:hAnsi="宋体" w:cs="宋体"/>
                <w:bCs/>
                <w:color w:val="000000" w:themeColor="text1"/>
                <w:sz w:val="24"/>
                <w:szCs w:val="24"/>
                <w:u w:val="single"/>
                <w14:textFill>
                  <w14:solidFill>
                    <w14:schemeClr w14:val="tx1"/>
                  </w14:solidFill>
                </w14:textFill>
              </w:rPr>
              <w:t xml:space="preserve">0</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日</w:t>
            </w:r>
            <w:r/>
          </w:p>
        </w:tc>
        <w:tc>
          <w:tcPr>
            <w:tcW w:w="1276" w:type="dxa"/>
            <w:vAlign w:val="center"/>
            <w:textDirection w:val="lrTb"/>
            <w:noWrap w:val="false"/>
          </w:tcPr>
          <w:p>
            <w:pPr>
              <w:jc w:val="left"/>
              <w:widowControl/>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r>
            <w:r/>
          </w:p>
        </w:tc>
        <w:tc>
          <w:tcPr>
            <w:tcW w:w="1392"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r>
      <w:tr>
        <w:trPr>
          <w:trHeight w:val="1534"/>
        </w:trPr>
        <w:tc>
          <w:tcPr>
            <w:tcW w:w="697"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w:t>
            </w:r>
            <w:r/>
          </w:p>
        </w:tc>
        <w:tc>
          <w:tcPr>
            <w:tcW w:w="1620"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付款方式</w:t>
            </w:r>
            <w:r/>
          </w:p>
        </w:tc>
        <w:tc>
          <w:tcPr>
            <w:tcW w:w="3993" w:type="dxa"/>
            <w:vAlign w:val="center"/>
            <w:textDirection w:val="lrTb"/>
            <w:noWrap w:val="false"/>
          </w:tcPr>
          <w:p>
            <w:pPr>
              <w:jc w:val="lef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合同签订后，预付合同金额的10%，交管大队按照《泰州市市区机动车停车场服务收费管理办法》中规定的收费标准*（1-中标优惠率），向停车场支付拖移、停放保管费用，双方逐月结算确定金额，按季度支付，最后一次结算扣除预付款。</w:t>
            </w:r>
            <w:r/>
          </w:p>
        </w:tc>
        <w:tc>
          <w:tcPr>
            <w:tcW w:w="1276"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c>
          <w:tcPr>
            <w:tcW w:w="1392"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r>
      <w:tr>
        <w:trPr>
          <w:trHeight w:val="2392"/>
        </w:trPr>
        <w:tc>
          <w:tcPr>
            <w:tcW w:w="697"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w:t>
            </w:r>
            <w:r/>
          </w:p>
        </w:tc>
        <w:tc>
          <w:tcPr>
            <w:tcW w:w="1620"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合同签订</w:t>
            </w:r>
            <w:r/>
          </w:p>
        </w:tc>
        <w:tc>
          <w:tcPr>
            <w:tcW w:w="3993" w:type="dxa"/>
            <w:vAlign w:val="center"/>
            <w:textDirection w:val="lrTb"/>
            <w:noWrap w:val="false"/>
          </w:tcPr>
          <w:p>
            <w:pPr>
              <w:jc w:val="lef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中标后7日内采购人根据投标人的投标文件内容验收合格后方可签订合同，如中标候选人未能按相关要求或与投标文件内容不相符的，采购人有权废除该中标资格，由下一名供应商中标或重新招标。</w:t>
            </w:r>
            <w:r/>
          </w:p>
        </w:tc>
        <w:tc>
          <w:tcPr>
            <w:tcW w:w="1276"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c>
          <w:tcPr>
            <w:tcW w:w="1392"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r>
      <w:tr>
        <w:trPr>
          <w:trHeight w:val="1562"/>
        </w:trPr>
        <w:tc>
          <w:tcPr>
            <w:tcW w:w="697"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w:t>
            </w:r>
            <w:r/>
          </w:p>
        </w:tc>
        <w:tc>
          <w:tcPr>
            <w:tcW w:w="1620"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其他要求</w:t>
            </w:r>
            <w:r/>
          </w:p>
        </w:tc>
        <w:tc>
          <w:tcPr>
            <w:tcW w:w="3993" w:type="dxa"/>
            <w:vAlign w:val="center"/>
            <w:textDirection w:val="lrTb"/>
            <w:noWrap w:val="false"/>
          </w:tcPr>
          <w:p>
            <w:pPr>
              <w:jc w:val="lef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合同期满后，所有暂扣车辆须按采购人要求，在10个日历天内移至采购人指定地点，否则如造成损失的均由其承担。</w:t>
            </w:r>
            <w:r/>
          </w:p>
        </w:tc>
        <w:tc>
          <w:tcPr>
            <w:tcW w:w="1276"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c>
          <w:tcPr>
            <w:tcW w:w="1392"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r>
      <w:tr>
        <w:trPr>
          <w:trHeight w:val="1135"/>
        </w:trPr>
        <w:tc>
          <w:tcPr>
            <w:tcW w:w="697"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w:t>
            </w:r>
            <w:r/>
          </w:p>
        </w:tc>
        <w:tc>
          <w:tcPr>
            <w:tcW w:w="1620"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采购需求</w:t>
            </w:r>
            <w:r/>
          </w:p>
        </w:tc>
        <w:tc>
          <w:tcPr>
            <w:tcW w:w="3993" w:type="dxa"/>
            <w:vAlign w:val="center"/>
            <w:textDirection w:val="lrTb"/>
            <w:noWrap w:val="false"/>
          </w:tcPr>
          <w:p>
            <w:pPr>
              <w:jc w:val="lef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满足招标文件中“第六章 项目采购需求”全部条款</w:t>
            </w:r>
            <w:r/>
          </w:p>
        </w:tc>
        <w:tc>
          <w:tcPr>
            <w:tcW w:w="1276"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c>
          <w:tcPr>
            <w:tcW w:w="1392" w:type="dxa"/>
            <w:vAlign w:val="center"/>
            <w:textDirection w:val="lrTb"/>
            <w:noWrap w:val="false"/>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r>
    </w:tbl>
    <w:p>
      <w:pPr>
        <w:jc w:val="center"/>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r>
      <w:r/>
    </w:p>
    <w:p>
      <w:pPr>
        <w:jc w:val="right"/>
        <w:spacing w:line="560" w:lineRule="atLeast"/>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投标人名称：</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 xml:space="preserve">（电子签章）</w:t>
      </w:r>
      <w:r/>
    </w:p>
    <w:p>
      <w:pPr>
        <w:jc w:val="right"/>
        <w:spacing w:line="560" w:lineRule="atLeast"/>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法定代表人或其授权代表： </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 xml:space="preserve">（电子签章或签名）</w:t>
      </w:r>
      <w:r/>
    </w:p>
    <w:p>
      <w:pPr>
        <w:jc w:val="right"/>
        <w:spacing w:line="560" w:lineRule="atLeast"/>
        <w:rPr>
          <w:rFonts w:hint="eastAsia"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年</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月</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日</w:t>
      </w:r>
      <w:r/>
    </w:p>
    <w:p>
      <w:pPr>
        <w:jc w:val="right"/>
        <w:spacing w:line="44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jc w:val="center"/>
        <w:widowControl/>
        <w:rPr>
          <w:rFonts w:hint="eastAsia" w:ascii="宋体" w:hAnsi="宋体" w:cs="黑体"/>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br w:type="page" w:clear="all"/>
      </w:r>
      <w:r>
        <w:rPr>
          <w:rFonts w:hint="eastAsia" w:ascii="宋体" w:hAnsi="宋体" w:cs="黑体"/>
          <w:color w:val="000000" w:themeColor="text1"/>
          <w:sz w:val="32"/>
          <w:szCs w:val="32"/>
          <w14:textFill>
            <w14:solidFill>
              <w14:schemeClr w14:val="tx1"/>
            </w14:solidFill>
          </w14:textFill>
        </w:rPr>
        <w:t xml:space="preserve">四、综合评审评分项</w:t>
      </w:r>
      <w:r/>
    </w:p>
    <w:p>
      <w:pPr>
        <w:jc w:val="center"/>
        <w:spacing w:after="120"/>
        <w:rPr>
          <w:rFonts w:hint="eastAsia" w:ascii="宋体" w:hAnsi="宋体"/>
          <w:b/>
          <w:bCs/>
          <w:color w:val="000000" w:themeColor="text1"/>
          <w:sz w:val="28"/>
          <w:szCs w:val="36"/>
          <w14:textFill>
            <w14:solidFill>
              <w14:schemeClr w14:val="tx1"/>
            </w14:solidFill>
          </w14:textFill>
        </w:rPr>
      </w:pPr>
      <w:r>
        <w:rPr>
          <w:rFonts w:hint="eastAsia" w:ascii="宋体" w:hAnsi="宋体"/>
          <w:b/>
          <w:bCs/>
          <w:color w:val="000000" w:themeColor="text1"/>
          <w:sz w:val="28"/>
          <w:szCs w:val="36"/>
          <w14:textFill>
            <w14:solidFill>
              <w14:schemeClr w14:val="tx1"/>
            </w14:solidFill>
          </w14:textFill>
        </w:rPr>
        <w:t xml:space="preserve">（一）类似业绩一览表</w:t>
      </w:r>
      <w:r/>
    </w:p>
    <w:p>
      <w:pPr>
        <w:pStyle w:val="671"/>
        <w:ind w:firstLine="424"/>
        <w:spacing w:line="276" w:lineRule="auto"/>
        <w:tabs>
          <w:tab w:val="left" w:pos="7020" w:leader="none"/>
        </w:tabs>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项目名称：</w:t>
      </w:r>
      <w:r>
        <w:rPr>
          <w:rFonts w:hint="eastAsia" w:ascii="宋体" w:hAnsi="宋体"/>
          <w:color w:val="000000" w:themeColor="text1"/>
          <w14:textFill>
            <w14:solidFill>
              <w14:schemeClr w14:val="tx1"/>
            </w14:solidFill>
          </w14:textFill>
        </w:rPr>
        <w:tab/>
      </w:r>
      <w:r/>
    </w:p>
    <w:p>
      <w:pPr>
        <w:pStyle w:val="671"/>
        <w:ind w:firstLine="424"/>
        <w:spacing w:line="276" w:lineRule="auto"/>
        <w:tabs>
          <w:tab w:val="left" w:pos="7020" w:leader="none"/>
        </w:tabs>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招标编号：</w:t>
      </w:r>
      <w:r/>
    </w:p>
    <w:tbl>
      <w:tblPr>
        <w:tblStyle w:val="669"/>
        <w:tblW w:w="5000" w:type="pct"/>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54" w:type="dxa"/>
          <w:top w:w="0" w:type="dxa"/>
          <w:right w:w="54" w:type="dxa"/>
          <w:bottom w:w="0" w:type="dxa"/>
        </w:tblCellMar>
        <w:tblLook w:val="04A0" w:firstRow="1" w:lastRow="0" w:firstColumn="1" w:lastColumn="0" w:noHBand="0" w:noVBand="1"/>
      </w:tblPr>
      <w:tblGrid>
        <w:gridCol w:w="1663"/>
        <w:gridCol w:w="1691"/>
        <w:gridCol w:w="1550"/>
        <w:gridCol w:w="1363"/>
        <w:gridCol w:w="1469"/>
        <w:gridCol w:w="1523"/>
      </w:tblGrid>
      <w:tr>
        <w:trPr>
          <w:cantSplit/>
          <w:jc w:val="center"/>
          <w:trHeight w:val="600"/>
        </w:trPr>
        <w:tc>
          <w:tcPr>
            <w:tcBorders>
              <w:top w:val="single" w:color="000000" w:sz="4" w:space="0"/>
            </w:tcBorders>
            <w:tcW w:w="898" w:type="pct"/>
            <w:vAlign w:val="center"/>
            <w:textDirection w:val="lrTb"/>
            <w:noWrap w:val="false"/>
          </w:tcPr>
          <w:p>
            <w:pPr>
              <w:ind w:firstLine="316"/>
              <w:spacing w:line="276" w:lineRule="auto"/>
              <w:rPr>
                <w:rFonts w:hint="eastAsia" w:ascii="宋体" w:hAnsi="宋体" w:cs="Arial"/>
                <w:b/>
                <w:color w:val="000000" w:themeColor="text1"/>
                <w14:textFill>
                  <w14:solidFill>
                    <w14:schemeClr w14:val="tx1"/>
                  </w14:solidFill>
                </w14:textFill>
              </w:rPr>
            </w:pPr>
            <w:r>
              <w:rPr>
                <w:rFonts w:hint="eastAsia" w:ascii="宋体" w:hAnsi="宋体" w:cs="Arial"/>
                <w:b/>
                <w:color w:val="000000" w:themeColor="text1"/>
                <w14:textFill>
                  <w14:solidFill>
                    <w14:schemeClr w14:val="tx1"/>
                  </w14:solidFill>
                </w14:textFill>
              </w:rPr>
              <w:t xml:space="preserve">年份</w:t>
            </w:r>
            <w:r/>
          </w:p>
        </w:tc>
        <w:tc>
          <w:tcPr>
            <w:tcW w:w="913" w:type="pct"/>
            <w:vAlign w:val="center"/>
            <w:textDirection w:val="lrTb"/>
            <w:noWrap w:val="false"/>
          </w:tcPr>
          <w:p>
            <w:pPr>
              <w:jc w:val="center"/>
              <w:spacing w:line="276" w:lineRule="auto"/>
              <w:rPr>
                <w:rFonts w:hint="eastAsia" w:ascii="宋体" w:hAnsi="宋体" w:cs="Arial"/>
                <w:b/>
                <w:color w:val="000000" w:themeColor="text1"/>
                <w14:textFill>
                  <w14:solidFill>
                    <w14:schemeClr w14:val="tx1"/>
                  </w14:solidFill>
                </w14:textFill>
              </w:rPr>
            </w:pPr>
            <w:r>
              <w:rPr>
                <w:rFonts w:hint="eastAsia" w:ascii="宋体" w:hAnsi="宋体" w:cs="Arial"/>
                <w:b/>
                <w:color w:val="000000" w:themeColor="text1"/>
                <w14:textFill>
                  <w14:solidFill>
                    <w14:schemeClr w14:val="tx1"/>
                  </w14:solidFill>
                </w14:textFill>
              </w:rPr>
              <w:t xml:space="preserve">单位名称</w:t>
            </w:r>
            <w:r/>
          </w:p>
        </w:tc>
        <w:tc>
          <w:tcPr>
            <w:tcW w:w="837" w:type="pct"/>
            <w:vAlign w:val="center"/>
            <w:textDirection w:val="lrTb"/>
            <w:noWrap w:val="false"/>
          </w:tcPr>
          <w:p>
            <w:pPr>
              <w:jc w:val="center"/>
              <w:spacing w:line="276" w:lineRule="auto"/>
              <w:rPr>
                <w:rFonts w:hint="eastAsia" w:ascii="宋体" w:hAnsi="宋体" w:cs="Arial"/>
                <w:b/>
                <w:color w:val="000000" w:themeColor="text1"/>
                <w14:textFill>
                  <w14:solidFill>
                    <w14:schemeClr w14:val="tx1"/>
                  </w14:solidFill>
                </w14:textFill>
              </w:rPr>
            </w:pPr>
            <w:r>
              <w:rPr>
                <w:rFonts w:ascii="宋体" w:hAnsi="宋体" w:cs="Arial"/>
                <w:b/>
                <w:color w:val="000000" w:themeColor="text1"/>
                <w14:textFill>
                  <w14:solidFill>
                    <w14:schemeClr w14:val="tx1"/>
                  </w14:solidFill>
                </w14:textFill>
              </w:rPr>
              <w:t xml:space="preserve">项目名称</w:t>
            </w:r>
            <w:r/>
          </w:p>
        </w:tc>
        <w:tc>
          <w:tcPr>
            <w:tcW w:w="736" w:type="pct"/>
            <w:vAlign w:val="center"/>
            <w:textDirection w:val="lrTb"/>
            <w:noWrap w:val="false"/>
          </w:tcPr>
          <w:p>
            <w:pPr>
              <w:jc w:val="center"/>
              <w:spacing w:line="276" w:lineRule="auto"/>
              <w:rPr>
                <w:rFonts w:hint="eastAsia" w:ascii="宋体" w:hAnsi="宋体" w:cs="Arial"/>
                <w:b/>
                <w:color w:val="000000" w:themeColor="text1"/>
                <w14:textFill>
                  <w14:solidFill>
                    <w14:schemeClr w14:val="tx1"/>
                  </w14:solidFill>
                </w14:textFill>
              </w:rPr>
            </w:pPr>
            <w:r>
              <w:rPr>
                <w:rFonts w:hint="eastAsia" w:ascii="宋体" w:hAnsi="宋体" w:cs="Arial"/>
                <w:b/>
                <w:color w:val="000000" w:themeColor="text1"/>
                <w14:textFill>
                  <w14:solidFill>
                    <w14:schemeClr w14:val="tx1"/>
                  </w14:solidFill>
                </w14:textFill>
              </w:rPr>
              <w:t xml:space="preserve">中标</w:t>
            </w:r>
            <w:r>
              <w:rPr>
                <w:rFonts w:ascii="宋体" w:hAnsi="宋体" w:cs="Arial"/>
                <w:b/>
                <w:color w:val="000000" w:themeColor="text1"/>
                <w14:textFill>
                  <w14:solidFill>
                    <w14:schemeClr w14:val="tx1"/>
                  </w14:solidFill>
                </w14:textFill>
              </w:rPr>
              <w:t xml:space="preserve">时间</w:t>
            </w:r>
            <w:r/>
          </w:p>
        </w:tc>
        <w:tc>
          <w:tcPr>
            <w:tcW w:w="793" w:type="pct"/>
            <w:vAlign w:val="center"/>
            <w:textDirection w:val="lrTb"/>
            <w:noWrap w:val="false"/>
          </w:tcPr>
          <w:p>
            <w:pPr>
              <w:ind w:firstLine="105"/>
              <w:spacing w:line="276" w:lineRule="auto"/>
              <w:rPr>
                <w:rFonts w:hint="eastAsia" w:ascii="宋体" w:hAnsi="宋体" w:cs="Arial"/>
                <w:b/>
                <w:color w:val="000000" w:themeColor="text1"/>
                <w14:textFill>
                  <w14:solidFill>
                    <w14:schemeClr w14:val="tx1"/>
                  </w14:solidFill>
                </w14:textFill>
              </w:rPr>
            </w:pPr>
            <w:r>
              <w:rPr>
                <w:rFonts w:ascii="宋体" w:hAnsi="宋体" w:cs="Arial"/>
                <w:b/>
                <w:color w:val="000000" w:themeColor="text1"/>
                <w14:textFill>
                  <w14:solidFill>
                    <w14:schemeClr w14:val="tx1"/>
                  </w14:solidFill>
                </w14:textFill>
              </w:rPr>
              <w:t xml:space="preserve">合同金额</w:t>
            </w:r>
            <w:r/>
          </w:p>
        </w:tc>
        <w:tc>
          <w:tcPr>
            <w:tcBorders>
              <w:left w:val="single" w:color="000000" w:sz="4" w:space="0"/>
            </w:tcBorders>
            <w:tcW w:w="822" w:type="pct"/>
            <w:vAlign w:val="center"/>
            <w:textDirection w:val="lrTb"/>
            <w:noWrap w:val="false"/>
          </w:tcPr>
          <w:p>
            <w:pPr>
              <w:spacing w:line="276" w:lineRule="auto"/>
              <w:rPr>
                <w:rFonts w:hint="eastAsia" w:ascii="宋体" w:hAnsi="宋体" w:cs="Arial"/>
                <w:b/>
                <w:color w:val="000000" w:themeColor="text1"/>
                <w14:textFill>
                  <w14:solidFill>
                    <w14:schemeClr w14:val="tx1"/>
                  </w14:solidFill>
                </w14:textFill>
              </w:rPr>
            </w:pPr>
            <w:r>
              <w:rPr>
                <w:rFonts w:hint="eastAsia" w:ascii="宋体" w:hAnsi="宋体" w:cs="Arial"/>
                <w:b/>
                <w:color w:val="000000" w:themeColor="text1"/>
                <w14:textFill>
                  <w14:solidFill>
                    <w14:schemeClr w14:val="tx1"/>
                  </w14:solidFill>
                </w14:textFill>
              </w:rPr>
              <w:t xml:space="preserve">   备注</w:t>
            </w:r>
            <w:r/>
          </w:p>
        </w:tc>
      </w:tr>
      <w:tr>
        <w:trPr>
          <w:cantSplit/>
          <w:jc w:val="center"/>
          <w:trHeight w:val="600"/>
        </w:trPr>
        <w:tc>
          <w:tcPr>
            <w:tcW w:w="898"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W w:w="913"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W w:w="837"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W w:w="736"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W w:w="793"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left w:val="single" w:color="000000" w:sz="4" w:space="0"/>
            </w:tcBorders>
            <w:tcW w:w="822"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r>
      <w:tr>
        <w:trPr>
          <w:cantSplit/>
          <w:jc w:val="center"/>
          <w:trHeight w:val="600"/>
        </w:trPr>
        <w:tc>
          <w:tcPr>
            <w:tcW w:w="898"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W w:w="913"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W w:w="837"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W w:w="736"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W w:w="793"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left w:val="single" w:color="000000" w:sz="4" w:space="0"/>
            </w:tcBorders>
            <w:tcW w:w="822"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r>
      <w:tr>
        <w:trPr>
          <w:cantSplit/>
          <w:jc w:val="center"/>
          <w:trHeight w:val="600"/>
        </w:trPr>
        <w:tc>
          <w:tcPr>
            <w:tcW w:w="898"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W w:w="913"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W w:w="837"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W w:w="736"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W w:w="793"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left w:val="single" w:color="000000" w:sz="4" w:space="0"/>
            </w:tcBorders>
            <w:tcW w:w="822"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r>
      <w:tr>
        <w:trPr>
          <w:cantSplit/>
          <w:jc w:val="center"/>
          <w:trHeight w:val="600"/>
        </w:trPr>
        <w:tc>
          <w:tcPr>
            <w:tcW w:w="898"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right w:val="single" w:color="000000" w:sz="4" w:space="0"/>
            </w:tcBorders>
            <w:tcW w:w="913"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left w:val="single" w:color="000000" w:sz="4" w:space="0"/>
            </w:tcBorders>
            <w:tcW w:w="837"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W w:w="736"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W w:w="793"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left w:val="single" w:color="000000" w:sz="4" w:space="0"/>
            </w:tcBorders>
            <w:tcW w:w="822"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r>
      <w:tr>
        <w:trPr>
          <w:cantSplit/>
          <w:jc w:val="center"/>
          <w:trHeight w:val="600"/>
        </w:trPr>
        <w:tc>
          <w:tcPr>
            <w:tcBorders>
              <w:right w:val="single" w:color="000000" w:sz="4" w:space="0"/>
            </w:tcBorders>
            <w:tcW w:w="898" w:type="pct"/>
            <w:vAlign w:val="center"/>
            <w:textDirection w:val="lrTb"/>
            <w:noWrap w:val="false"/>
          </w:tcPr>
          <w:p>
            <w:pP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left w:val="single" w:color="000000" w:sz="4" w:space="0"/>
              <w:right w:val="single" w:color="000000" w:sz="4" w:space="0"/>
            </w:tcBorders>
            <w:tcW w:w="913" w:type="pct"/>
            <w:vAlign w:val="center"/>
            <w:textDirection w:val="lrTb"/>
            <w:noWrap w:val="false"/>
          </w:tcPr>
          <w:p>
            <w:pP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left w:val="single" w:color="000000" w:sz="4" w:space="0"/>
              <w:right w:val="single" w:color="000000" w:sz="4" w:space="0"/>
            </w:tcBorders>
            <w:tcW w:w="837" w:type="pct"/>
            <w:vAlign w:val="center"/>
            <w:textDirection w:val="lrTb"/>
            <w:noWrap w:val="false"/>
          </w:tcPr>
          <w:p>
            <w:pP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left w:val="single" w:color="000000" w:sz="4" w:space="0"/>
              <w:right w:val="single" w:color="000000" w:sz="4" w:space="0"/>
            </w:tcBorders>
            <w:tcW w:w="736" w:type="pct"/>
            <w:vAlign w:val="center"/>
            <w:textDirection w:val="lrTb"/>
            <w:noWrap w:val="false"/>
          </w:tcPr>
          <w:p>
            <w:pP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left w:val="single" w:color="000000" w:sz="4" w:space="0"/>
              <w:right w:val="single" w:color="000000" w:sz="4" w:space="0"/>
            </w:tcBorders>
            <w:tcW w:w="793" w:type="pct"/>
            <w:vAlign w:val="center"/>
            <w:textDirection w:val="lrTb"/>
            <w:noWrap w:val="false"/>
          </w:tcPr>
          <w:p>
            <w:pP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 </w:t>
            </w:r>
            <w:r/>
          </w:p>
        </w:tc>
        <w:tc>
          <w:tcPr>
            <w:tcBorders>
              <w:left w:val="single" w:color="000000" w:sz="4" w:space="0"/>
            </w:tcBorders>
            <w:tcW w:w="822" w:type="pct"/>
            <w:vAlign w:val="center"/>
            <w:textDirection w:val="lrTb"/>
            <w:noWrap w:val="false"/>
          </w:tcPr>
          <w:p>
            <w:pP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r>
      <w:tr>
        <w:trPr>
          <w:cantSplit/>
          <w:jc w:val="center"/>
          <w:trHeight w:val="600"/>
        </w:trPr>
        <w:tc>
          <w:tcPr>
            <w:tcW w:w="898" w:type="pct"/>
            <w:vAlign w:val="center"/>
            <w:textDirection w:val="lrTb"/>
            <w:noWrap w:val="false"/>
          </w:tcPr>
          <w:p>
            <w:pP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W w:w="913" w:type="pct"/>
            <w:vAlign w:val="center"/>
            <w:textDirection w:val="lrTb"/>
            <w:noWrap w:val="false"/>
          </w:tcPr>
          <w:p>
            <w:pP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W w:w="837" w:type="pct"/>
            <w:vAlign w:val="center"/>
            <w:textDirection w:val="lrTb"/>
            <w:noWrap w:val="false"/>
          </w:tcPr>
          <w:p>
            <w:pP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W w:w="736" w:type="pct"/>
            <w:vAlign w:val="center"/>
            <w:textDirection w:val="lrTb"/>
            <w:noWrap w:val="false"/>
          </w:tcPr>
          <w:p>
            <w:pP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right w:val="single" w:color="000000" w:sz="4" w:space="0"/>
            </w:tcBorders>
            <w:tcW w:w="793" w:type="pct"/>
            <w:vAlign w:val="center"/>
            <w:textDirection w:val="lrTb"/>
            <w:noWrap w:val="false"/>
          </w:tcPr>
          <w:p>
            <w:pP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left w:val="single" w:color="000000" w:sz="4" w:space="0"/>
            </w:tcBorders>
            <w:tcW w:w="822" w:type="pct"/>
            <w:vAlign w:val="center"/>
            <w:textDirection w:val="lrTb"/>
            <w:noWrap w:val="false"/>
          </w:tcPr>
          <w:p>
            <w:pP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r>
      <w:tr>
        <w:trPr>
          <w:cantSplit/>
          <w:jc w:val="center"/>
          <w:trHeight w:val="600"/>
        </w:trPr>
        <w:tc>
          <w:tcPr>
            <w:tcW w:w="898"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W w:w="913"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W w:w="837"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W w:w="736"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right w:val="single" w:color="000000" w:sz="4" w:space="0"/>
            </w:tcBorders>
            <w:tcW w:w="793"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left w:val="single" w:color="000000" w:sz="4" w:space="0"/>
            </w:tcBorders>
            <w:tcW w:w="822"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r>
      <w:tr>
        <w:trPr>
          <w:cantSplit/>
          <w:jc w:val="center"/>
          <w:trHeight w:val="600"/>
        </w:trPr>
        <w:tc>
          <w:tcPr>
            <w:tcW w:w="898"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W w:w="913"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W w:w="837"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W w:w="736"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right w:val="single" w:color="000000" w:sz="4" w:space="0"/>
            </w:tcBorders>
            <w:tcW w:w="793"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left w:val="single" w:color="000000" w:sz="4" w:space="0"/>
            </w:tcBorders>
            <w:tcW w:w="822"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r>
      <w:tr>
        <w:trPr>
          <w:cantSplit/>
          <w:jc w:val="center"/>
          <w:trHeight w:val="510"/>
        </w:trPr>
        <w:tc>
          <w:tcPr>
            <w:tcBorders>
              <w:bottom w:val="single" w:color="000000" w:sz="4" w:space="0"/>
            </w:tcBorders>
            <w:tcW w:w="898"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bottom w:val="single" w:color="000000" w:sz="4" w:space="0"/>
            </w:tcBorders>
            <w:tcW w:w="913"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bottom w:val="single" w:color="000000" w:sz="4" w:space="0"/>
            </w:tcBorders>
            <w:tcW w:w="837"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bottom w:val="single" w:color="000000" w:sz="4" w:space="0"/>
            </w:tcBorders>
            <w:tcW w:w="736"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bottom w:val="single" w:color="000000" w:sz="4" w:space="0"/>
              <w:right w:val="single" w:color="000000" w:sz="4" w:space="0"/>
            </w:tcBorders>
            <w:tcW w:w="793"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left w:val="single" w:color="000000" w:sz="4" w:space="0"/>
              <w:bottom w:val="single" w:color="000000" w:sz="4" w:space="0"/>
            </w:tcBorders>
            <w:tcW w:w="822"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r>
      <w:tr>
        <w:trPr>
          <w:cantSplit/>
          <w:jc w:val="center"/>
          <w:trHeight w:val="615"/>
        </w:trPr>
        <w:tc>
          <w:tcPr>
            <w:tcBorders>
              <w:top w:val="single" w:color="000000" w:sz="4" w:space="0"/>
              <w:bottom w:val="single" w:color="000000" w:sz="4" w:space="0"/>
            </w:tcBorders>
            <w:tcW w:w="898"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top w:val="single" w:color="000000" w:sz="4" w:space="0"/>
              <w:bottom w:val="single" w:color="000000" w:sz="4" w:space="0"/>
            </w:tcBorders>
            <w:tcW w:w="913"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top w:val="single" w:color="000000" w:sz="4" w:space="0"/>
              <w:bottom w:val="single" w:color="000000" w:sz="4" w:space="0"/>
            </w:tcBorders>
            <w:tcW w:w="837"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top w:val="single" w:color="000000" w:sz="4" w:space="0"/>
              <w:bottom w:val="single" w:color="000000" w:sz="4" w:space="0"/>
            </w:tcBorders>
            <w:tcW w:w="736"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top w:val="single" w:color="000000" w:sz="4" w:space="0"/>
              <w:bottom w:val="single" w:color="000000" w:sz="4" w:space="0"/>
              <w:right w:val="single" w:color="000000" w:sz="4" w:space="0"/>
            </w:tcBorders>
            <w:tcW w:w="793"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top w:val="single" w:color="000000" w:sz="4" w:space="0"/>
              <w:left w:val="single" w:color="000000" w:sz="4" w:space="0"/>
              <w:bottom w:val="single" w:color="000000" w:sz="4" w:space="0"/>
            </w:tcBorders>
            <w:tcW w:w="822"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r>
      <w:tr>
        <w:trPr>
          <w:cantSplit/>
          <w:jc w:val="center"/>
          <w:trHeight w:val="615"/>
        </w:trPr>
        <w:tc>
          <w:tcPr>
            <w:tcBorders>
              <w:top w:val="single" w:color="000000" w:sz="4" w:space="0"/>
              <w:bottom w:val="single" w:color="000000" w:sz="4" w:space="0"/>
            </w:tcBorders>
            <w:tcW w:w="898"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top w:val="single" w:color="000000" w:sz="4" w:space="0"/>
              <w:bottom w:val="single" w:color="000000" w:sz="4" w:space="0"/>
            </w:tcBorders>
            <w:tcW w:w="913"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top w:val="single" w:color="000000" w:sz="4" w:space="0"/>
              <w:bottom w:val="single" w:color="000000" w:sz="4" w:space="0"/>
            </w:tcBorders>
            <w:tcW w:w="837"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top w:val="single" w:color="000000" w:sz="4" w:space="0"/>
              <w:bottom w:val="single" w:color="000000" w:sz="4" w:space="0"/>
            </w:tcBorders>
            <w:tcW w:w="736"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top w:val="single" w:color="000000" w:sz="4" w:space="0"/>
              <w:bottom w:val="single" w:color="000000" w:sz="4" w:space="0"/>
              <w:right w:val="single" w:color="000000" w:sz="4" w:space="0"/>
            </w:tcBorders>
            <w:tcW w:w="793"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top w:val="single" w:color="000000" w:sz="4" w:space="0"/>
              <w:left w:val="single" w:color="000000" w:sz="4" w:space="0"/>
              <w:bottom w:val="single" w:color="000000" w:sz="4" w:space="0"/>
            </w:tcBorders>
            <w:tcW w:w="822"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r>
      <w:tr>
        <w:trPr>
          <w:cantSplit/>
          <w:jc w:val="center"/>
          <w:trHeight w:val="450"/>
        </w:trPr>
        <w:tc>
          <w:tcPr>
            <w:tcBorders>
              <w:top w:val="single" w:color="000000" w:sz="4" w:space="0"/>
              <w:bottom w:val="single" w:color="000000" w:sz="4" w:space="0"/>
            </w:tcBorders>
            <w:tcW w:w="898"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top w:val="single" w:color="000000" w:sz="4" w:space="0"/>
              <w:bottom w:val="single" w:color="000000" w:sz="4" w:space="0"/>
            </w:tcBorders>
            <w:tcW w:w="913"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top w:val="single" w:color="000000" w:sz="4" w:space="0"/>
              <w:bottom w:val="single" w:color="000000" w:sz="4" w:space="0"/>
            </w:tcBorders>
            <w:tcW w:w="837"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top w:val="single" w:color="000000" w:sz="4" w:space="0"/>
              <w:bottom w:val="single" w:color="000000" w:sz="4" w:space="0"/>
            </w:tcBorders>
            <w:tcW w:w="736"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top w:val="single" w:color="000000" w:sz="4" w:space="0"/>
              <w:bottom w:val="single" w:color="000000" w:sz="4" w:space="0"/>
              <w:right w:val="single" w:color="000000" w:sz="4" w:space="0"/>
            </w:tcBorders>
            <w:tcW w:w="793"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top w:val="single" w:color="000000" w:sz="4" w:space="0"/>
              <w:left w:val="single" w:color="000000" w:sz="4" w:space="0"/>
              <w:bottom w:val="single" w:color="000000" w:sz="4" w:space="0"/>
            </w:tcBorders>
            <w:tcW w:w="822"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r>
      <w:tr>
        <w:trPr>
          <w:cantSplit/>
          <w:jc w:val="center"/>
          <w:trHeight w:val="435"/>
        </w:trPr>
        <w:tc>
          <w:tcPr>
            <w:tcBorders>
              <w:top w:val="single" w:color="000000" w:sz="4" w:space="0"/>
            </w:tcBorders>
            <w:tcW w:w="898"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top w:val="single" w:color="000000" w:sz="4" w:space="0"/>
            </w:tcBorders>
            <w:tcW w:w="913"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top w:val="single" w:color="000000" w:sz="4" w:space="0"/>
            </w:tcBorders>
            <w:tcW w:w="837"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top w:val="single" w:color="000000" w:sz="4" w:space="0"/>
            </w:tcBorders>
            <w:tcW w:w="736"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top w:val="single" w:color="000000" w:sz="4" w:space="0"/>
              <w:right w:val="single" w:color="000000" w:sz="4" w:space="0"/>
            </w:tcBorders>
            <w:tcW w:w="793"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c>
          <w:tcPr>
            <w:tcBorders>
              <w:top w:val="single" w:color="000000" w:sz="4" w:space="0"/>
              <w:left w:val="single" w:color="000000" w:sz="4" w:space="0"/>
            </w:tcBorders>
            <w:tcW w:w="822" w:type="pct"/>
            <w:vAlign w:val="center"/>
            <w:textDirection w:val="lrTb"/>
            <w:noWrap w:val="false"/>
          </w:tcPr>
          <w:p>
            <w:pPr>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r>
    </w:tbl>
    <w:p>
      <w:pPr>
        <w:spacing w:line="276" w:lineRule="auto"/>
        <w:tabs>
          <w:tab w:val="left" w:pos="555" w:leader="none"/>
          <w:tab w:val="left" w:pos="2214" w:leader="none"/>
          <w:tab w:val="left" w:pos="3774" w:leader="none"/>
          <w:tab w:val="left" w:pos="4854" w:leader="none"/>
          <w:tab w:val="left" w:pos="5934" w:leader="none"/>
          <w:tab w:val="left" w:pos="7014" w:leader="none"/>
          <w:tab w:val="left" w:pos="8214" w:leader="none"/>
          <w:tab w:val="left" w:pos="10134" w:leader="none"/>
          <w:tab w:val="left" w:pos="11124" w:leader="none"/>
        </w:tabs>
        <w:rPr>
          <w:rFonts w:hint="eastAsia" w:ascii="宋体" w:hAnsi="宋体" w:cs="Arial"/>
          <w:color w:val="000000" w:themeColor="text1"/>
          <w:sz w:val="24"/>
          <w14:textFill>
            <w14:solidFill>
              <w14:schemeClr w14:val="tx1"/>
            </w14:solidFill>
          </w14:textFill>
        </w:rPr>
      </w:pPr>
      <w:r>
        <w:rPr>
          <w:rFonts w:hint="eastAsia" w:ascii="宋体" w:hAnsi="宋体" w:cs="Arial"/>
          <w:color w:val="000000" w:themeColor="text1"/>
          <w:sz w:val="24"/>
          <w14:textFill>
            <w14:solidFill>
              <w14:schemeClr w14:val="tx1"/>
            </w14:solidFill>
          </w14:textFill>
        </w:rPr>
        <w:t xml:space="preserve">注：以上业绩需按“第四章 评标办法”提供证明材料。</w:t>
      </w:r>
      <w:r/>
    </w:p>
    <w:p>
      <w:pPr>
        <w:ind w:left="360"/>
        <w:jc w:val="center"/>
        <w:spacing w:line="276" w:lineRule="auto"/>
        <w:rPr>
          <w:rFonts w:hint="eastAsia" w:ascii="宋体" w:hAnsi="宋体" w:cs="Arial"/>
          <w:color w:val="000000" w:themeColor="text1"/>
          <w:sz w:val="24"/>
          <w14:textFill>
            <w14:solidFill>
              <w14:schemeClr w14:val="tx1"/>
            </w14:solidFill>
          </w14:textFill>
        </w:rPr>
      </w:pPr>
      <w:r>
        <w:rPr>
          <w:rFonts w:hint="eastAsia" w:ascii="宋体" w:hAnsi="宋体" w:cs="Arial"/>
          <w:color w:val="000000" w:themeColor="text1"/>
          <w:sz w:val="24"/>
          <w14:textFill>
            <w14:solidFill>
              <w14:schemeClr w14:val="tx1"/>
            </w14:solidFill>
          </w14:textFill>
        </w:rPr>
      </w:r>
      <w:r/>
    </w:p>
    <w:p>
      <w:pPr>
        <w:ind w:left="360"/>
        <w:jc w:val="center"/>
        <w:spacing w:line="276"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p>
      <w:pPr>
        <w:ind w:firstLine="480"/>
        <w:jc w:val="left"/>
        <w:spacing w:line="276"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投标人名称：</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（电子签章）</w:t>
      </w:r>
      <w:r/>
    </w:p>
    <w:p>
      <w:pPr>
        <w:ind w:firstLine="480"/>
        <w:jc w:val="left"/>
        <w:spacing w:line="276" w:lineRule="auto"/>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法定代表人或授权代表（电子签章或签名）：</w:t>
      </w:r>
      <w:r>
        <w:rPr>
          <w:rFonts w:hint="eastAsia" w:ascii="宋体" w:hAnsi="宋体"/>
          <w:color w:val="000000" w:themeColor="text1"/>
          <w:sz w:val="24"/>
          <w:u w:val="single"/>
          <w14:textFill>
            <w14:solidFill>
              <w14:schemeClr w14:val="tx1"/>
            </w14:solidFill>
          </w14:textFill>
        </w:rPr>
        <w:t xml:space="preserve">            </w:t>
      </w:r>
      <w:r/>
    </w:p>
    <w:p>
      <w:pPr>
        <w:ind w:firstLine="480"/>
        <w:jc w:val="left"/>
        <w:spacing w:line="276" w:lineRule="auto"/>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投标日期：</w:t>
      </w:r>
      <w:r>
        <w:rPr>
          <w:rFonts w:hint="eastAsia" w:ascii="宋体" w:hAnsi="宋体"/>
          <w:color w:val="000000" w:themeColor="text1"/>
          <w:sz w:val="24"/>
          <w:u w:val="single"/>
          <w14:textFill>
            <w14:solidFill>
              <w14:schemeClr w14:val="tx1"/>
            </w14:solidFill>
          </w14:textFill>
        </w:rPr>
        <w:t xml:space="preserve">                </w:t>
      </w:r>
      <w:r/>
    </w:p>
    <w:p>
      <w:pPr>
        <w:jc w:val="center"/>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jc w:val="center"/>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jc w:val="center"/>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jc w:val="center"/>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jc w:val="center"/>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jc w:val="center"/>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jc w:val="center"/>
        <w:spacing w:after="120"/>
        <w:rPr>
          <w:rFonts w:hint="eastAsia" w:ascii="宋体" w:hAnsi="宋体"/>
          <w:b/>
          <w:bCs/>
          <w:color w:val="000000" w:themeColor="text1"/>
          <w:sz w:val="28"/>
          <w:szCs w:val="36"/>
          <w14:textFill>
            <w14:solidFill>
              <w14:schemeClr w14:val="tx1"/>
            </w14:solidFill>
          </w14:textFill>
        </w:rPr>
      </w:pPr>
      <w:r>
        <w:rPr>
          <w:rFonts w:hint="eastAsia" w:ascii="宋体" w:hAnsi="宋体"/>
          <w:b/>
          <w:bCs/>
          <w:color w:val="000000" w:themeColor="text1"/>
          <w:sz w:val="28"/>
          <w:szCs w:val="36"/>
          <w14:textFill>
            <w14:solidFill>
              <w14:schemeClr w14:val="tx1"/>
            </w14:solidFill>
          </w14:textFill>
        </w:rPr>
        <w:t xml:space="preserve">（二）拟投入本项目组人员一览表</w:t>
      </w:r>
      <w:r/>
    </w:p>
    <w:p>
      <w:pPr>
        <w:pStyle w:val="671"/>
        <w:ind w:firstLine="424"/>
        <w:spacing w:line="276" w:lineRule="auto"/>
        <w:tabs>
          <w:tab w:val="left" w:pos="7020" w:leader="none"/>
        </w:tabs>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项目名称：</w:t>
      </w:r>
      <w:r>
        <w:rPr>
          <w:rFonts w:hint="eastAsia" w:ascii="宋体" w:hAnsi="宋体"/>
          <w:color w:val="000000" w:themeColor="text1"/>
          <w14:textFill>
            <w14:solidFill>
              <w14:schemeClr w14:val="tx1"/>
            </w14:solidFill>
          </w14:textFill>
        </w:rPr>
        <w:tab/>
      </w:r>
      <w:r/>
    </w:p>
    <w:p>
      <w:pPr>
        <w:pStyle w:val="671"/>
        <w:ind w:firstLine="424"/>
        <w:spacing w:line="276" w:lineRule="auto"/>
        <w:tabs>
          <w:tab w:val="left" w:pos="7020" w:leader="none"/>
        </w:tabs>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招标编号：</w:t>
      </w:r>
      <w:r/>
    </w:p>
    <w:tbl>
      <w:tblPr>
        <w:tblStyle w:val="669"/>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10"/>
        <w:gridCol w:w="1341"/>
        <w:gridCol w:w="885"/>
        <w:gridCol w:w="750"/>
        <w:gridCol w:w="796"/>
        <w:gridCol w:w="753"/>
        <w:gridCol w:w="1381"/>
        <w:gridCol w:w="1243"/>
        <w:gridCol w:w="1490"/>
      </w:tblGrid>
      <w:tr>
        <w:trPr>
          <w:trHeight w:val="851"/>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项目组所任职务</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姓名</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性别</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年龄</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职称</w:t>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专业/资格</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从事本工作时间</w:t>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典型业务</w:t>
            </w:r>
            <w:r/>
          </w:p>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与技术专长</w:t>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684"/>
              <w:jc w:val="center"/>
              <w:spacing w:line="276"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bl>
    <w:p>
      <w:pPr>
        <w:jc w:val="center"/>
        <w:spacing w:line="276" w:lineRule="auto"/>
        <w:rPr>
          <w:rFonts w:hint="eastAsia" w:ascii="宋体" w:hAnsi="宋体" w:cs="Arial"/>
          <w:b/>
          <w:bCs/>
          <w:color w:val="000000" w:themeColor="text1"/>
          <w:sz w:val="28"/>
          <w14:textFill>
            <w14:solidFill>
              <w14:schemeClr w14:val="tx1"/>
            </w14:solidFill>
          </w14:textFill>
        </w:rPr>
      </w:pPr>
      <w:r>
        <w:rPr>
          <w:rFonts w:hint="eastAsia" w:ascii="宋体" w:hAnsi="宋体" w:cs="Arial"/>
          <w:b/>
          <w:bCs/>
          <w:color w:val="000000" w:themeColor="text1"/>
          <w:sz w:val="28"/>
          <w14:textFill>
            <w14:solidFill>
              <w14:schemeClr w14:val="tx1"/>
            </w14:solidFill>
          </w14:textFill>
        </w:rPr>
      </w:r>
      <w:r/>
    </w:p>
    <w:p>
      <w:pPr>
        <w:ind w:firstLine="480"/>
        <w:jc w:val="left"/>
        <w:spacing w:line="276"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投标人名称：</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（电子签章）</w:t>
      </w:r>
      <w:r/>
    </w:p>
    <w:p>
      <w:pPr>
        <w:ind w:firstLine="480"/>
        <w:jc w:val="left"/>
        <w:spacing w:line="276" w:lineRule="auto"/>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法定代表人或授权代表（电子签章或签名）：</w:t>
      </w:r>
      <w:r>
        <w:rPr>
          <w:rFonts w:hint="eastAsia" w:ascii="宋体" w:hAnsi="宋体"/>
          <w:color w:val="000000" w:themeColor="text1"/>
          <w:sz w:val="24"/>
          <w:u w:val="single"/>
          <w14:textFill>
            <w14:solidFill>
              <w14:schemeClr w14:val="tx1"/>
            </w14:solidFill>
          </w14:textFill>
        </w:rPr>
        <w:t xml:space="preserve">            </w:t>
      </w:r>
      <w:r/>
    </w:p>
    <w:p>
      <w:pPr>
        <w:ind w:firstLine="480"/>
        <w:jc w:val="left"/>
        <w:spacing w:line="276" w:lineRule="auto"/>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投标日期：</w:t>
      </w:r>
      <w:r>
        <w:rPr>
          <w:rFonts w:hint="eastAsia" w:ascii="宋体" w:hAnsi="宋体"/>
          <w:color w:val="000000" w:themeColor="text1"/>
          <w:sz w:val="24"/>
          <w:u w:val="single"/>
          <w14:textFill>
            <w14:solidFill>
              <w14:schemeClr w14:val="tx1"/>
            </w14:solidFill>
          </w14:textFill>
        </w:rPr>
        <w:t xml:space="preserve">                </w:t>
      </w:r>
      <w:r/>
    </w:p>
    <w:p>
      <w:pPr>
        <w:jc w:val="center"/>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jc w:val="center"/>
        <w:rPr>
          <w:rFonts w:hint="eastAsia" w:ascii="宋体" w:hAnsi="宋体" w:cs="宋体"/>
          <w:b/>
          <w:bCs/>
          <w:color w:val="000000" w:themeColor="text1"/>
          <w:sz w:val="32"/>
          <w:szCs w:val="32"/>
          <w14:textFill>
            <w14:solidFill>
              <w14:schemeClr w14:val="tx1"/>
            </w14:solidFill>
          </w14:textFill>
        </w:rPr>
      </w:pPr>
      <w:r>
        <w:rPr>
          <w:rFonts w:ascii="宋体" w:hAnsi="宋体" w:cs="宋体"/>
          <w:b/>
          <w:bCs/>
          <w:color w:val="000000" w:themeColor="text1"/>
          <w:sz w:val="32"/>
          <w:szCs w:val="32"/>
          <w14:textFill>
            <w14:solidFill>
              <w14:schemeClr w14:val="tx1"/>
            </w14:solidFill>
          </w14:textFill>
        </w:rPr>
        <w:br w:type="page" w:clear="all"/>
      </w:r>
      <w:r>
        <w:rPr>
          <w:rFonts w:hint="eastAsia" w:ascii="宋体" w:hAnsi="宋体" w:cs="宋体"/>
          <w:b/>
          <w:bCs/>
          <w:color w:val="000000" w:themeColor="text1"/>
          <w:sz w:val="32"/>
          <w:szCs w:val="32"/>
          <w14:textFill>
            <w14:solidFill>
              <w14:schemeClr w14:val="tx1"/>
            </w14:solidFill>
          </w14:textFill>
        </w:rPr>
        <w:t xml:space="preserve">（三）服务方案</w:t>
      </w:r>
      <w:r/>
    </w:p>
    <w:p>
      <w:pPr>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spacing w:after="120"/>
        <w:rPr>
          <w:rFonts w:hint="eastAsia" w:ascii="宋体" w:hAnsi="宋体"/>
          <w:color w:val="000000" w:themeColor="text1"/>
          <w:sz w:val="20"/>
          <w:szCs w:val="24"/>
          <w14:textFill>
            <w14:solidFill>
              <w14:schemeClr w14:val="tx1"/>
            </w14:solidFill>
          </w14:textFill>
        </w:rPr>
      </w:pPr>
      <w:r>
        <w:rPr>
          <w:rFonts w:hint="eastAsia" w:ascii="宋体" w:hAnsi="宋体"/>
          <w:color w:val="000000" w:themeColor="text1"/>
          <w:sz w:val="20"/>
          <w:szCs w:val="24"/>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spacing w:after="120"/>
        <w:rPr>
          <w:rFonts w:hint="eastAsia" w:ascii="宋体" w:hAnsi="宋体"/>
          <w:color w:val="000000" w:themeColor="text1"/>
          <w:sz w:val="20"/>
          <w:szCs w:val="24"/>
          <w14:textFill>
            <w14:solidFill>
              <w14:schemeClr w14:val="tx1"/>
            </w14:solidFill>
          </w14:textFill>
        </w:rPr>
      </w:pPr>
      <w:r>
        <w:rPr>
          <w:rFonts w:hint="eastAsia" w:ascii="宋体" w:hAnsi="宋体"/>
          <w:color w:val="000000" w:themeColor="text1"/>
          <w:sz w:val="20"/>
          <w:szCs w:val="24"/>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spacing w:after="120"/>
        <w:rPr>
          <w:rFonts w:hint="eastAsia" w:ascii="宋体" w:hAnsi="宋体"/>
          <w:color w:val="000000" w:themeColor="text1"/>
          <w:sz w:val="20"/>
          <w:szCs w:val="24"/>
          <w14:textFill>
            <w14:solidFill>
              <w14:schemeClr w14:val="tx1"/>
            </w14:solidFill>
          </w14:textFill>
        </w:rPr>
      </w:pPr>
      <w:r>
        <w:rPr>
          <w:rFonts w:hint="eastAsia" w:ascii="宋体" w:hAnsi="宋体"/>
          <w:color w:val="000000" w:themeColor="text1"/>
          <w:sz w:val="20"/>
          <w:szCs w:val="24"/>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jc w:val="center"/>
        <w:rPr>
          <w:rFonts w:hint="eastAsia" w:ascii="宋体" w:hAnsi="宋体"/>
          <w:color w:val="000000" w:themeColor="text1"/>
          <w14:textFill>
            <w14:solidFill>
              <w14:schemeClr w14:val="tx1"/>
            </w14:solidFill>
          </w14:textFill>
        </w:rPr>
      </w:pPr>
      <w:r>
        <w:rPr>
          <w:rFonts w:ascii="宋体" w:hAnsi="宋体"/>
          <w:b/>
          <w:bCs/>
          <w:color w:val="000000" w:themeColor="text1"/>
          <w:sz w:val="32"/>
          <w:szCs w:val="32"/>
          <w14:textFill>
            <w14:solidFill>
              <w14:schemeClr w14:val="tx1"/>
            </w14:solidFill>
          </w14:textFill>
        </w:rPr>
        <w:br w:type="page" w:clear="all"/>
      </w:r>
      <w:r>
        <w:rPr>
          <w:rFonts w:hint="eastAsia" w:ascii="宋体" w:hAnsi="宋体"/>
          <w:b/>
          <w:bCs/>
          <w:color w:val="000000" w:themeColor="text1"/>
          <w:sz w:val="32"/>
          <w:szCs w:val="32"/>
          <w14:textFill>
            <w14:solidFill>
              <w14:schemeClr w14:val="tx1"/>
            </w14:solidFill>
          </w14:textFill>
        </w:rPr>
        <w:t xml:space="preserve">（四）供应商认为需提供的其他资料（如有）</w:t>
      </w:r>
      <w:bookmarkEnd w:id="177"/>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spacing w:after="120"/>
        <w:rPr>
          <w:rFonts w:hint="eastAsia" w:ascii="宋体" w:hAnsi="宋体"/>
          <w:color w:val="000000" w:themeColor="text1"/>
          <w:sz w:val="20"/>
          <w:szCs w:val="24"/>
          <w14:textFill>
            <w14:solidFill>
              <w14:schemeClr w14:val="tx1"/>
            </w14:solidFill>
          </w14:textFill>
        </w:rPr>
      </w:pPr>
      <w:r>
        <w:rPr>
          <w:rFonts w:hint="eastAsia" w:ascii="宋体" w:hAnsi="宋体"/>
          <w:color w:val="000000" w:themeColor="text1"/>
          <w:sz w:val="20"/>
          <w:szCs w:val="24"/>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sectPr>
      <w:footerReference w:type="default" r:id="rId11"/>
      <w:footnotePr/>
      <w:endnotePr/>
      <w:type w:val="nextPage"/>
      <w:pgSz w:w="11906" w:h="16838" w:orient="portrait"/>
      <w:pgMar w:top="1497" w:right="1179" w:bottom="1043" w:left="1576" w:header="851" w:footer="65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方正小标宋简体">
    <w:panose1 w:val="020B0503020202020204"/>
  </w:font>
  <w:font w:name="Symbol">
    <w:panose1 w:val="05050102010706020507"/>
  </w:font>
  <w:font w:name="Wingdings">
    <w:panose1 w:val="05000000000000000000"/>
  </w:font>
  <w:font w:name="MingLiU">
    <w:panose1 w:val="02020500000000000000"/>
  </w:font>
  <w:font w:name="楷体_GB2312">
    <w:panose1 w:val="02010609060101010101"/>
  </w:font>
  <w:font w:name="Courier New">
    <w:panose1 w:val="02070309020205020404"/>
  </w:font>
  <w:font w:name="等线 Light">
    <w:panose1 w:val="02010600030101010101"/>
  </w:font>
  <w:font w:name="仿宋">
    <w:panose1 w:val="02010609060101010101"/>
  </w:font>
  <w:font w:name="iconfont">
    <w:panose1 w:val="020B0503020202020204"/>
  </w:font>
  <w:font w:name="等线">
    <w:panose1 w:val="02010600030101010101"/>
  </w:font>
  <w:font w:name="Cambria">
    <w:panose1 w:val="02040503050406030204"/>
  </w:font>
  <w:font w:name="黑体">
    <w:panose1 w:val="02010609060101010101"/>
  </w:font>
  <w:font w:name="Arial">
    <w:panose1 w:val="020B0604020202020204"/>
  </w:font>
  <w:font w:name="Calibri">
    <w:panose1 w:val="020F0502020204030204"/>
  </w:font>
  <w:font w:name="微软雅黑">
    <w:panose1 w:val="020B0503020204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02661817"/>
      <w:docPartObj>
        <w:docPartGallery w:val="autotext"/>
      </w:docPartObj>
      <w:rPr/>
    </w:sdtPr>
    <w:sdtContent>
      <w:p>
        <w:pPr>
          <w:pStyle w:val="685"/>
          <w:jc w:val="center"/>
        </w:pPr>
        <w:r>
          <w:fldChar w:fldCharType="begin"/>
        </w:r>
        <w:r>
          <w:instrText xml:space="preserve">PAGE   \* MERGEFORMAT</w:instrText>
        </w:r>
        <w:r>
          <w:fldChar w:fldCharType="separate"/>
        </w:r>
        <w:r>
          <w:rPr>
            <w:lang w:val="zh-CN"/>
          </w:rPr>
          <w:t xml:space="preserve">2</w:t>
        </w:r>
        <w:r>
          <w:fldChar w:fldCharType="end"/>
        </w:r>
        <w:r/>
      </w:p>
    </w:sdtContent>
  </w:sdt>
  <w:p>
    <w:pPr>
      <w:pStyle w:val="68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jc w:val="center"/>
    </w:pPr>
    <w:r>
      <w:fldChar w:fldCharType="begin"/>
    </w:r>
    <w:r>
      <w:instrText xml:space="preserve">PAGE   \* MERGEFORMAT</w:instrText>
    </w:r>
    <w:r>
      <w:fldChar w:fldCharType="separate"/>
    </w:r>
    <w:r>
      <w:rPr>
        <w:lang w:val="zh-CN"/>
      </w:rPr>
      <w:t xml:space="preserve">2</w:t>
    </w:r>
    <w:r>
      <w:fldChar w:fldCharType="end"/>
    </w:r>
    <w:r/>
  </w:p>
  <w:p>
    <w:pPr>
      <w:pStyle w:val="6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20" w:hanging="72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chineseCounting"/>
      <w:isLgl w:val="false"/>
      <w:suff w:val="nothing"/>
      <w:lvlText w:val="%1、"/>
      <w:lvlJc w:val="left"/>
      <w:pPr>
        <w:ind w:left="-23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59">
    <w:name w:val="Heading 1"/>
    <w:basedOn w:val="658"/>
    <w:next w:val="658"/>
    <w:link w:val="894"/>
    <w:uiPriority w:val="0"/>
    <w:qFormat/>
    <w:pPr>
      <w:keepLines/>
      <w:keepNext/>
      <w:spacing w:before="340" w:after="330" w:line="578" w:lineRule="auto"/>
      <w:outlineLvl w:val="0"/>
    </w:pPr>
    <w:rPr>
      <w:rFonts w:ascii="Times New Roman" w:hAnsi="Times New Roman"/>
      <w:b/>
      <w:bCs/>
      <w:sz w:val="44"/>
      <w:szCs w:val="44"/>
    </w:rPr>
  </w:style>
  <w:style w:type="paragraph" w:styleId="660">
    <w:name w:val="Heading 2"/>
    <w:basedOn w:val="658"/>
    <w:next w:val="658"/>
    <w:link w:val="895"/>
    <w:uiPriority w:val="9"/>
    <w:qFormat/>
    <w:pPr>
      <w:keepLines/>
      <w:keepNext/>
      <w:spacing w:before="260" w:after="260" w:line="416" w:lineRule="auto"/>
      <w:outlineLvl w:val="1"/>
    </w:pPr>
    <w:rPr>
      <w:rFonts w:ascii="Arial" w:hAnsi="Arial" w:eastAsia="黑体"/>
      <w:b/>
      <w:bCs/>
      <w:sz w:val="32"/>
      <w:szCs w:val="32"/>
    </w:rPr>
  </w:style>
  <w:style w:type="paragraph" w:styleId="661">
    <w:name w:val="Heading 3"/>
    <w:basedOn w:val="658"/>
    <w:next w:val="658"/>
    <w:link w:val="896"/>
    <w:uiPriority w:val="0"/>
    <w:qFormat/>
    <w:pPr>
      <w:ind w:firstLine="137"/>
      <w:keepLines/>
      <w:keepNext/>
      <w:spacing w:before="20" w:after="20" w:line="415" w:lineRule="auto"/>
      <w:outlineLvl w:val="2"/>
    </w:pPr>
    <w:rPr>
      <w:rFonts w:ascii="Times New Roman" w:hAnsi="黑体" w:eastAsia="黑体"/>
      <w:sz w:val="24"/>
      <w:szCs w:val="20"/>
    </w:rPr>
  </w:style>
  <w:style w:type="paragraph" w:styleId="662">
    <w:name w:val="Heading 4"/>
    <w:basedOn w:val="658"/>
    <w:next w:val="658"/>
    <w:link w:val="897"/>
    <w:uiPriority w:val="1"/>
    <w:qFormat/>
    <w:pPr>
      <w:keepLines/>
      <w:keepNext/>
      <w:spacing w:before="280" w:after="290" w:line="376" w:lineRule="auto"/>
      <w:outlineLvl w:val="3"/>
    </w:pPr>
    <w:rPr>
      <w:rFonts w:ascii="Cambria" w:hAnsi="Cambria"/>
      <w:b/>
      <w:bCs/>
      <w:sz w:val="28"/>
      <w:szCs w:val="28"/>
    </w:rPr>
  </w:style>
  <w:style w:type="paragraph" w:styleId="663">
    <w:name w:val="Heading 5"/>
    <w:basedOn w:val="658"/>
    <w:next w:val="658"/>
    <w:link w:val="750"/>
    <w:uiPriority w:val="9"/>
    <w:unhideWhenUsed/>
    <w:qFormat/>
    <w:pPr>
      <w:keepLines/>
      <w:keepNext/>
      <w:spacing w:before="320" w:after="200"/>
      <w:outlineLvl w:val="4"/>
    </w:pPr>
    <w:rPr>
      <w:rFonts w:ascii="Arial" w:hAnsi="Arial" w:eastAsia="Arial" w:cs="Arial"/>
      <w:b/>
      <w:bCs/>
      <w:sz w:val="24"/>
      <w:szCs w:val="24"/>
    </w:rPr>
  </w:style>
  <w:style w:type="paragraph" w:styleId="664">
    <w:name w:val="Heading 6"/>
    <w:basedOn w:val="658"/>
    <w:next w:val="658"/>
    <w:link w:val="751"/>
    <w:uiPriority w:val="9"/>
    <w:unhideWhenUsed/>
    <w:qFormat/>
    <w:pPr>
      <w:keepLines/>
      <w:keepNext/>
      <w:spacing w:before="320" w:after="200"/>
      <w:outlineLvl w:val="5"/>
    </w:pPr>
    <w:rPr>
      <w:rFonts w:ascii="Arial" w:hAnsi="Arial" w:eastAsia="Arial" w:cs="Arial"/>
      <w:b/>
      <w:bCs/>
      <w:sz w:val="22"/>
    </w:rPr>
  </w:style>
  <w:style w:type="paragraph" w:styleId="665">
    <w:name w:val="Heading 7"/>
    <w:basedOn w:val="658"/>
    <w:next w:val="658"/>
    <w:link w:val="752"/>
    <w:uiPriority w:val="9"/>
    <w:unhideWhenUsed/>
    <w:qFormat/>
    <w:pPr>
      <w:keepLines/>
      <w:keepNext/>
      <w:spacing w:before="320" w:after="200"/>
      <w:outlineLvl w:val="6"/>
    </w:pPr>
    <w:rPr>
      <w:rFonts w:ascii="Arial" w:hAnsi="Arial" w:eastAsia="Arial" w:cs="Arial"/>
      <w:b/>
      <w:bCs/>
      <w:i/>
      <w:iCs/>
      <w:sz w:val="22"/>
    </w:rPr>
  </w:style>
  <w:style w:type="paragraph" w:styleId="666">
    <w:name w:val="Heading 8"/>
    <w:basedOn w:val="658"/>
    <w:next w:val="658"/>
    <w:link w:val="753"/>
    <w:uiPriority w:val="9"/>
    <w:unhideWhenUsed/>
    <w:qFormat/>
    <w:pPr>
      <w:keepLines/>
      <w:keepNext/>
      <w:spacing w:before="320" w:after="200"/>
      <w:outlineLvl w:val="7"/>
    </w:pPr>
    <w:rPr>
      <w:rFonts w:ascii="Arial" w:hAnsi="Arial" w:eastAsia="Arial" w:cs="Arial"/>
      <w:i/>
      <w:iCs/>
      <w:sz w:val="22"/>
    </w:rPr>
  </w:style>
  <w:style w:type="paragraph" w:styleId="667">
    <w:name w:val="Heading 9"/>
    <w:basedOn w:val="658"/>
    <w:next w:val="658"/>
    <w:link w:val="754"/>
    <w:uiPriority w:val="9"/>
    <w:unhideWhenUsed/>
    <w:qFormat/>
    <w:pPr>
      <w:keepLines/>
      <w:keepNext/>
      <w:spacing w:before="320" w:after="200"/>
      <w:outlineLvl w:val="8"/>
    </w:pPr>
    <w:rPr>
      <w:rFonts w:ascii="Arial" w:hAnsi="Arial" w:eastAsia="Arial" w:cs="Arial"/>
      <w:i/>
      <w:iCs/>
      <w:szCs w:val="21"/>
    </w:rPr>
  </w:style>
  <w:style w:type="character" w:styleId="668" w:default="1">
    <w:name w:val="Default Paragraph Font"/>
    <w:uiPriority w:val="1"/>
    <w:semiHidden/>
    <w:unhideWhenUsed/>
    <w:qFormat/>
  </w:style>
  <w:style w:type="table" w:styleId="669" w:default="1">
    <w:name w:val="Normal Table"/>
    <w:uiPriority w:val="99"/>
    <w:semiHidden/>
    <w:unhideWhenUsed/>
    <w:tblPr>
      <w:tblCellMar>
        <w:left w:w="108" w:type="dxa"/>
        <w:top w:w="0" w:type="dxa"/>
        <w:right w:w="108" w:type="dxa"/>
        <w:bottom w:w="0" w:type="dxa"/>
      </w:tblCellMar>
    </w:tblPr>
  </w:style>
  <w:style w:type="paragraph" w:styleId="670">
    <w:name w:val="toc 7"/>
    <w:basedOn w:val="658"/>
    <w:next w:val="658"/>
    <w:uiPriority w:val="39"/>
    <w:qFormat/>
    <w:pPr>
      <w:ind w:left="2520"/>
    </w:pPr>
    <w:rPr>
      <w:rFonts w:ascii="Times New Roman" w:hAnsi="Times New Roman"/>
      <w:szCs w:val="24"/>
    </w:rPr>
  </w:style>
  <w:style w:type="paragraph" w:styleId="671">
    <w:name w:val="Normal Indent"/>
    <w:basedOn w:val="658"/>
    <w:link w:val="898"/>
    <w:uiPriority w:val="0"/>
    <w:qFormat/>
    <w:pPr>
      <w:ind w:firstLine="420"/>
    </w:pPr>
    <w:rPr>
      <w:rFonts w:ascii="Times New Roman" w:hAnsi="Times New Roman"/>
      <w:szCs w:val="24"/>
    </w:rPr>
  </w:style>
  <w:style w:type="paragraph" w:styleId="672">
    <w:name w:val="Caption"/>
    <w:basedOn w:val="658"/>
    <w:next w:val="658"/>
    <w:uiPriority w:val="35"/>
    <w:semiHidden/>
    <w:unhideWhenUsed/>
    <w:qFormat/>
    <w:pPr>
      <w:spacing w:line="276" w:lineRule="auto"/>
    </w:pPr>
    <w:rPr>
      <w:b/>
      <w:bCs/>
      <w:color w:val="4f81bd"/>
      <w:sz w:val="18"/>
      <w:szCs w:val="18"/>
    </w:rPr>
  </w:style>
  <w:style w:type="paragraph" w:styleId="673">
    <w:name w:val="annotation text"/>
    <w:basedOn w:val="658"/>
    <w:link w:val="899"/>
    <w:uiPriority w:val="0"/>
    <w:qFormat/>
    <w:pPr>
      <w:jc w:val="left"/>
    </w:pPr>
    <w:rPr>
      <w:rFonts w:ascii="Times New Roman" w:hAnsi="Times New Roman"/>
      <w:sz w:val="20"/>
      <w:szCs w:val="24"/>
    </w:rPr>
  </w:style>
  <w:style w:type="paragraph" w:styleId="674">
    <w:name w:val="Body Text"/>
    <w:basedOn w:val="658"/>
    <w:next w:val="658"/>
    <w:link w:val="900"/>
    <w:uiPriority w:val="0"/>
    <w:qFormat/>
    <w:pPr>
      <w:spacing w:after="120"/>
    </w:pPr>
    <w:rPr>
      <w:rFonts w:ascii="Times New Roman" w:hAnsi="Times New Roman"/>
      <w:sz w:val="20"/>
      <w:szCs w:val="24"/>
    </w:rPr>
  </w:style>
  <w:style w:type="paragraph" w:styleId="675">
    <w:name w:val="Body Text Indent"/>
    <w:basedOn w:val="658"/>
    <w:next w:val="676"/>
    <w:link w:val="901"/>
    <w:uiPriority w:val="0"/>
    <w:qFormat/>
    <w:pPr>
      <w:ind w:left="420"/>
      <w:spacing w:after="120"/>
    </w:pPr>
    <w:rPr>
      <w:rFonts w:ascii="Times New Roman" w:hAnsi="Times New Roman"/>
      <w:szCs w:val="21"/>
    </w:rPr>
  </w:style>
  <w:style w:type="paragraph" w:styleId="676">
    <w:name w:val="envelope return"/>
    <w:basedOn w:val="658"/>
    <w:uiPriority w:val="99"/>
    <w:unhideWhenUsed/>
    <w:qFormat/>
    <w:rPr>
      <w:rFonts w:ascii="等线 Light" w:hAnsi="等线 Light" w:eastAsia="等线 Light"/>
    </w:rPr>
  </w:style>
  <w:style w:type="paragraph" w:styleId="677">
    <w:name w:val="toc 5"/>
    <w:basedOn w:val="658"/>
    <w:next w:val="658"/>
    <w:uiPriority w:val="39"/>
    <w:qFormat/>
    <w:pPr>
      <w:ind w:left="1680"/>
    </w:pPr>
    <w:rPr>
      <w:rFonts w:ascii="Times New Roman" w:hAnsi="Times New Roman"/>
      <w:szCs w:val="24"/>
    </w:rPr>
  </w:style>
  <w:style w:type="paragraph" w:styleId="678">
    <w:name w:val="toc 3"/>
    <w:basedOn w:val="658"/>
    <w:next w:val="658"/>
    <w:uiPriority w:val="39"/>
    <w:qFormat/>
    <w:pPr>
      <w:ind w:left="840"/>
    </w:pPr>
    <w:rPr>
      <w:rFonts w:ascii="Times New Roman" w:hAnsi="Times New Roman"/>
      <w:szCs w:val="24"/>
    </w:rPr>
  </w:style>
  <w:style w:type="paragraph" w:styleId="679">
    <w:name w:val="Plain Text"/>
    <w:basedOn w:val="658"/>
    <w:link w:val="902"/>
    <w:uiPriority w:val="0"/>
    <w:qFormat/>
    <w:rPr>
      <w:rFonts w:ascii="宋体" w:hAnsi="Courier New"/>
      <w:sz w:val="20"/>
      <w:szCs w:val="20"/>
    </w:rPr>
  </w:style>
  <w:style w:type="paragraph" w:styleId="680">
    <w:name w:val="toc 8"/>
    <w:basedOn w:val="658"/>
    <w:next w:val="658"/>
    <w:uiPriority w:val="39"/>
    <w:qFormat/>
    <w:pPr>
      <w:ind w:left="2940"/>
    </w:pPr>
    <w:rPr>
      <w:rFonts w:ascii="Times New Roman" w:hAnsi="Times New Roman"/>
      <w:szCs w:val="24"/>
    </w:rPr>
  </w:style>
  <w:style w:type="paragraph" w:styleId="681">
    <w:name w:val="Date"/>
    <w:basedOn w:val="658"/>
    <w:next w:val="658"/>
    <w:link w:val="903"/>
    <w:uiPriority w:val="0"/>
    <w:qFormat/>
    <w:rPr>
      <w:rFonts w:ascii="宋体" w:hAnsi="宋体" w:eastAsia="楷体_GB2312"/>
      <w:sz w:val="24"/>
      <w:szCs w:val="20"/>
    </w:rPr>
  </w:style>
  <w:style w:type="paragraph" w:styleId="682">
    <w:name w:val="Body Text Indent 2"/>
    <w:basedOn w:val="658"/>
    <w:link w:val="904"/>
    <w:uiPriority w:val="99"/>
    <w:unhideWhenUsed/>
    <w:qFormat/>
    <w:pPr>
      <w:ind w:left="420"/>
      <w:spacing w:after="120" w:line="480" w:lineRule="auto"/>
    </w:pPr>
  </w:style>
  <w:style w:type="paragraph" w:styleId="683">
    <w:name w:val="endnote text"/>
    <w:basedOn w:val="658"/>
    <w:link w:val="892"/>
    <w:uiPriority w:val="99"/>
    <w:semiHidden/>
    <w:unhideWhenUsed/>
    <w:qFormat/>
    <w:rPr>
      <w:sz w:val="20"/>
    </w:rPr>
  </w:style>
  <w:style w:type="paragraph" w:styleId="684">
    <w:name w:val="Balloon Text"/>
    <w:basedOn w:val="658"/>
    <w:link w:val="905"/>
    <w:uiPriority w:val="0"/>
    <w:qFormat/>
    <w:rPr>
      <w:rFonts w:ascii="Times New Roman" w:hAnsi="Times New Roman"/>
      <w:sz w:val="18"/>
      <w:szCs w:val="18"/>
    </w:rPr>
  </w:style>
  <w:style w:type="paragraph" w:styleId="685">
    <w:name w:val="Footer"/>
    <w:basedOn w:val="658"/>
    <w:link w:val="906"/>
    <w:uiPriority w:val="99"/>
    <w:qFormat/>
    <w:pPr>
      <w:jc w:val="left"/>
      <w:tabs>
        <w:tab w:val="center" w:pos="4153" w:leader="none"/>
        <w:tab w:val="right" w:pos="8306" w:leader="none"/>
      </w:tabs>
    </w:pPr>
    <w:rPr>
      <w:rFonts w:ascii="Times New Roman" w:hAnsi="Times New Roman"/>
      <w:sz w:val="18"/>
      <w:szCs w:val="20"/>
    </w:rPr>
  </w:style>
  <w:style w:type="paragraph" w:styleId="686">
    <w:name w:val="Header"/>
    <w:basedOn w:val="658"/>
    <w:link w:val="907"/>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687">
    <w:name w:val="toc 1"/>
    <w:basedOn w:val="658"/>
    <w:next w:val="658"/>
    <w:uiPriority w:val="39"/>
    <w:qFormat/>
    <w:rPr>
      <w:rFonts w:ascii="Times New Roman" w:hAnsi="Times New Roman"/>
      <w:szCs w:val="24"/>
    </w:rPr>
  </w:style>
  <w:style w:type="paragraph" w:styleId="688">
    <w:name w:val="toc 4"/>
    <w:basedOn w:val="658"/>
    <w:next w:val="658"/>
    <w:uiPriority w:val="39"/>
    <w:qFormat/>
    <w:pPr>
      <w:ind w:left="1260"/>
    </w:pPr>
    <w:rPr>
      <w:rFonts w:ascii="Times New Roman" w:hAnsi="Times New Roman"/>
      <w:szCs w:val="24"/>
    </w:rPr>
  </w:style>
  <w:style w:type="paragraph" w:styleId="689">
    <w:name w:val="Subtitle"/>
    <w:basedOn w:val="658"/>
    <w:next w:val="658"/>
    <w:link w:val="758"/>
    <w:uiPriority w:val="11"/>
    <w:qFormat/>
    <w:pPr>
      <w:spacing w:before="200" w:after="200"/>
    </w:pPr>
    <w:rPr>
      <w:sz w:val="24"/>
      <w:szCs w:val="24"/>
    </w:rPr>
  </w:style>
  <w:style w:type="paragraph" w:styleId="690">
    <w:name w:val="footnote text"/>
    <w:basedOn w:val="658"/>
    <w:link w:val="908"/>
    <w:uiPriority w:val="0"/>
    <w:qFormat/>
    <w:pPr>
      <w:jc w:val="left"/>
    </w:pPr>
    <w:rPr>
      <w:rFonts w:ascii="Times New Roman" w:hAnsi="Times New Roman"/>
      <w:sz w:val="18"/>
      <w:szCs w:val="18"/>
    </w:rPr>
  </w:style>
  <w:style w:type="paragraph" w:styleId="691">
    <w:name w:val="toc 6"/>
    <w:basedOn w:val="658"/>
    <w:next w:val="658"/>
    <w:uiPriority w:val="39"/>
    <w:qFormat/>
    <w:pPr>
      <w:ind w:left="2100"/>
    </w:pPr>
    <w:rPr>
      <w:rFonts w:ascii="Times New Roman" w:hAnsi="Times New Roman"/>
      <w:szCs w:val="24"/>
    </w:rPr>
  </w:style>
  <w:style w:type="paragraph" w:styleId="692">
    <w:name w:val="table of figures"/>
    <w:basedOn w:val="658"/>
    <w:next w:val="658"/>
    <w:uiPriority w:val="99"/>
    <w:unhideWhenUsed/>
    <w:qFormat/>
  </w:style>
  <w:style w:type="paragraph" w:styleId="693">
    <w:name w:val="toc 2"/>
    <w:basedOn w:val="658"/>
    <w:next w:val="658"/>
    <w:uiPriority w:val="39"/>
    <w:qFormat/>
    <w:pPr>
      <w:ind w:left="420"/>
    </w:pPr>
    <w:rPr>
      <w:rFonts w:ascii="Times New Roman" w:hAnsi="Times New Roman"/>
      <w:szCs w:val="24"/>
    </w:rPr>
  </w:style>
  <w:style w:type="paragraph" w:styleId="694">
    <w:name w:val="toc 9"/>
    <w:basedOn w:val="658"/>
    <w:next w:val="658"/>
    <w:uiPriority w:val="39"/>
    <w:qFormat/>
    <w:pPr>
      <w:ind w:left="3360"/>
    </w:pPr>
    <w:rPr>
      <w:rFonts w:ascii="Times New Roman" w:hAnsi="Times New Roman"/>
      <w:szCs w:val="24"/>
    </w:rPr>
  </w:style>
  <w:style w:type="paragraph" w:styleId="695">
    <w:name w:val="HTML Preformatted"/>
    <w:basedOn w:val="658"/>
    <w:link w:val="1042"/>
    <w:uiPriority w:val="0"/>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cs="宋体"/>
      <w:sz w:val="24"/>
      <w:szCs w:val="24"/>
    </w:rPr>
  </w:style>
  <w:style w:type="paragraph" w:styleId="696">
    <w:name w:val="Normal (Web)"/>
    <w:basedOn w:val="658"/>
    <w:uiPriority w:val="0"/>
    <w:qFormat/>
    <w:pPr>
      <w:jc w:val="left"/>
      <w:spacing w:beforeAutospacing="1" w:afterAutospacing="1"/>
    </w:pPr>
    <w:rPr>
      <w:rFonts w:ascii="Times New Roman" w:hAnsi="Times New Roman"/>
      <w:sz w:val="24"/>
      <w:szCs w:val="24"/>
    </w:rPr>
  </w:style>
  <w:style w:type="paragraph" w:styleId="697">
    <w:name w:val="Title"/>
    <w:basedOn w:val="658"/>
    <w:next w:val="658"/>
    <w:link w:val="757"/>
    <w:uiPriority w:val="10"/>
    <w:qFormat/>
    <w:pPr>
      <w:contextualSpacing/>
      <w:spacing w:before="300" w:after="200"/>
    </w:pPr>
    <w:rPr>
      <w:sz w:val="48"/>
      <w:szCs w:val="48"/>
    </w:rPr>
  </w:style>
  <w:style w:type="paragraph" w:styleId="698">
    <w:name w:val="annotation subject"/>
    <w:basedOn w:val="673"/>
    <w:next w:val="673"/>
    <w:link w:val="909"/>
    <w:uiPriority w:val="0"/>
    <w:qFormat/>
    <w:rPr>
      <w:b/>
      <w:bCs/>
    </w:rPr>
  </w:style>
  <w:style w:type="paragraph" w:styleId="699">
    <w:name w:val="Body Text First Indent"/>
    <w:basedOn w:val="674"/>
    <w:link w:val="910"/>
    <w:uiPriority w:val="99"/>
    <w:unhideWhenUsed/>
    <w:qFormat/>
    <w:pPr>
      <w:ind w:firstLine="420"/>
    </w:pPr>
    <w:rPr>
      <w:rFonts w:ascii="Calibri" w:hAnsi="Calibri"/>
      <w:sz w:val="21"/>
      <w:szCs w:val="22"/>
    </w:rPr>
  </w:style>
  <w:style w:type="table" w:styleId="700">
    <w:name w:val="Table Grid"/>
    <w:basedOn w:val="66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1">
    <w:name w:val="Strong"/>
    <w:uiPriority w:val="0"/>
    <w:qFormat/>
    <w:rPr>
      <w:b/>
      <w:sz w:val="24"/>
      <w:szCs w:val="24"/>
    </w:rPr>
  </w:style>
  <w:style w:type="character" w:styleId="702">
    <w:name w:val="endnote reference"/>
    <w:uiPriority w:val="99"/>
    <w:semiHidden/>
    <w:unhideWhenUsed/>
    <w:qFormat/>
    <w:rPr>
      <w:vertAlign w:val="superscript"/>
    </w:rPr>
  </w:style>
  <w:style w:type="character" w:styleId="703">
    <w:name w:val="page number"/>
    <w:uiPriority w:val="0"/>
    <w:qFormat/>
  </w:style>
  <w:style w:type="character" w:styleId="704">
    <w:name w:val="FollowedHyperlink"/>
    <w:uiPriority w:val="0"/>
    <w:qFormat/>
    <w:rPr>
      <w:color w:val="800080"/>
      <w:u w:val="none"/>
    </w:rPr>
  </w:style>
  <w:style w:type="character" w:styleId="705">
    <w:name w:val="Emphasis"/>
    <w:uiPriority w:val="0"/>
    <w:qFormat/>
    <w:rPr>
      <w:color w:val="cc0000"/>
      <w:sz w:val="24"/>
      <w:szCs w:val="24"/>
    </w:rPr>
  </w:style>
  <w:style w:type="character" w:styleId="706">
    <w:name w:val="HTML Definition"/>
    <w:uiPriority w:val="0"/>
    <w:qFormat/>
  </w:style>
  <w:style w:type="character" w:styleId="707">
    <w:name w:val="HTML Acronym"/>
    <w:uiPriority w:val="0"/>
    <w:qFormat/>
  </w:style>
  <w:style w:type="character" w:styleId="708">
    <w:name w:val="HTML Variable"/>
    <w:uiPriority w:val="0"/>
    <w:qFormat/>
  </w:style>
  <w:style w:type="character" w:styleId="709">
    <w:name w:val="Hyperlink"/>
    <w:uiPriority w:val="99"/>
    <w:qFormat/>
    <w:rPr>
      <w:color w:val="555555"/>
      <w:u w:val="none"/>
    </w:rPr>
  </w:style>
  <w:style w:type="character" w:styleId="710">
    <w:name w:val="HTML Code"/>
    <w:uiPriority w:val="0"/>
    <w:qFormat/>
    <w:rPr>
      <w:rFonts w:ascii="monospace" w:hAnsi="monospace" w:eastAsia="monospace" w:cs="monospace"/>
      <w:color w:val="555555"/>
      <w:sz w:val="24"/>
      <w:szCs w:val="24"/>
      <w:u w:val="none"/>
    </w:rPr>
  </w:style>
  <w:style w:type="character" w:styleId="711">
    <w:name w:val="annotation reference"/>
    <w:uiPriority w:val="0"/>
    <w:qFormat/>
    <w:rPr>
      <w:sz w:val="21"/>
      <w:szCs w:val="21"/>
    </w:rPr>
  </w:style>
  <w:style w:type="character" w:styleId="712">
    <w:name w:val="HTML Cite"/>
    <w:uiPriority w:val="0"/>
    <w:qFormat/>
  </w:style>
  <w:style w:type="character" w:styleId="713">
    <w:name w:val="footnote reference"/>
    <w:uiPriority w:val="0"/>
    <w:qFormat/>
    <w:rPr>
      <w:vertAlign w:val="superscript"/>
    </w:rPr>
  </w:style>
  <w:style w:type="character" w:styleId="714">
    <w:name w:val="HTML Keyboard"/>
    <w:uiPriority w:val="0"/>
    <w:qFormat/>
    <w:rPr>
      <w:rFonts w:ascii="monospace" w:hAnsi="monospace" w:eastAsia="monospace" w:cs="monospace"/>
      <w:sz w:val="24"/>
      <w:szCs w:val="24"/>
    </w:rPr>
  </w:style>
  <w:style w:type="character" w:styleId="715">
    <w:name w:val="HTML Sample"/>
    <w:uiPriority w:val="0"/>
    <w:qFormat/>
    <w:rPr>
      <w:rFonts w:ascii="monospace" w:hAnsi="monospace" w:eastAsia="monospace" w:cs="monospace"/>
      <w:sz w:val="24"/>
      <w:szCs w:val="24"/>
    </w:rPr>
  </w:style>
  <w:style w:type="table" w:styleId="716" w:customStyle="1">
    <w:name w:val="Plain Table 1"/>
    <w:basedOn w:val="66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customStyle="1">
    <w:name w:val="Plain Table 2"/>
    <w:basedOn w:val="66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customStyle="1">
    <w:name w:val="Plain Table 3"/>
    <w:basedOn w:val="669"/>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customStyle="1">
    <w:name w:val="Plain Table 4"/>
    <w:basedOn w:val="669"/>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customStyle="1">
    <w:name w:val="Plain Table 5"/>
    <w:basedOn w:val="669"/>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1" w:customStyle="1">
    <w:name w:val="Grid Table 1 Light"/>
    <w:basedOn w:val="669"/>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2" w:customStyle="1">
    <w:name w:val="Grid Table 2"/>
    <w:basedOn w:val="669"/>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3" w:customStyle="1">
    <w:name w:val="Grid Table 3"/>
    <w:basedOn w:val="669"/>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4"/>
    <w:basedOn w:val="669"/>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5" w:customStyle="1">
    <w:name w:val="Grid Table 5 Dark"/>
    <w:basedOn w:val="66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6" w:customStyle="1">
    <w:name w:val="Grid Table 6 Colorful"/>
    <w:basedOn w:val="669"/>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7" w:customStyle="1">
    <w:name w:val="Grid Table 7 Colorful"/>
    <w:basedOn w:val="669"/>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8" w:customStyle="1">
    <w:name w:val="List Table 1 Light"/>
    <w:basedOn w:val="669"/>
    <w:uiPriority w:val="99"/>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customStyle="1">
    <w:name w:val="List Table 2"/>
    <w:basedOn w:val="669"/>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0" w:customStyle="1">
    <w:name w:val="List Table 3"/>
    <w:basedOn w:val="669"/>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1" w:customStyle="1">
    <w:name w:val="List Table 4"/>
    <w:basedOn w:val="669"/>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2" w:customStyle="1">
    <w:name w:val="List Table 5 Dark"/>
    <w:basedOn w:val="669"/>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33" w:customStyle="1">
    <w:name w:val="List Table 6 Colorful"/>
    <w:basedOn w:val="669"/>
    <w:uiPriority w:val="99"/>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34" w:customStyle="1">
    <w:name w:val="List Table 7 Colorful"/>
    <w:basedOn w:val="669"/>
    <w:uiPriority w:val="99"/>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35" w:customStyle="1">
    <w:name w:val="TOC Heading"/>
    <w:uiPriority w:val="39"/>
    <w:unhideWhenUsed/>
    <w:rPr>
      <w:rFonts w:ascii="Times New Roman" w:hAnsi="Times New Roman" w:eastAsia="宋体" w:cs="Times New Roman"/>
      <w:lang w:val="en-US" w:eastAsia="zh-CN" w:bidi="ar-SA"/>
    </w:rPr>
  </w:style>
  <w:style w:type="character" w:styleId="736" w:customStyle="1">
    <w:name w:val="Heading 5 Char"/>
    <w:uiPriority w:val="9"/>
    <w:qFormat/>
    <w:rPr>
      <w:rFonts w:ascii="Arial" w:hAnsi="Arial" w:eastAsia="Arial" w:cs="Arial"/>
      <w:b/>
      <w:bCs/>
      <w:sz w:val="24"/>
      <w:szCs w:val="24"/>
    </w:rPr>
  </w:style>
  <w:style w:type="character" w:styleId="737" w:customStyle="1">
    <w:name w:val="Heading 6 Char"/>
    <w:uiPriority w:val="9"/>
    <w:qFormat/>
    <w:rPr>
      <w:rFonts w:ascii="Arial" w:hAnsi="Arial" w:eastAsia="Arial" w:cs="Arial"/>
      <w:b/>
      <w:bCs/>
      <w:sz w:val="22"/>
      <w:szCs w:val="22"/>
    </w:rPr>
  </w:style>
  <w:style w:type="character" w:styleId="738" w:customStyle="1">
    <w:name w:val="Heading 7 Char"/>
    <w:uiPriority w:val="9"/>
    <w:qFormat/>
    <w:rPr>
      <w:rFonts w:ascii="Arial" w:hAnsi="Arial" w:eastAsia="Arial" w:cs="Arial"/>
      <w:b/>
      <w:bCs/>
      <w:i/>
      <w:iCs/>
      <w:sz w:val="22"/>
      <w:szCs w:val="22"/>
    </w:rPr>
  </w:style>
  <w:style w:type="character" w:styleId="739" w:customStyle="1">
    <w:name w:val="Heading 8 Char"/>
    <w:uiPriority w:val="9"/>
    <w:qFormat/>
    <w:rPr>
      <w:rFonts w:ascii="Arial" w:hAnsi="Arial" w:eastAsia="Arial" w:cs="Arial"/>
      <w:i/>
      <w:iCs/>
      <w:sz w:val="22"/>
      <w:szCs w:val="22"/>
    </w:rPr>
  </w:style>
  <w:style w:type="character" w:styleId="740" w:customStyle="1">
    <w:name w:val="Heading 9 Char"/>
    <w:uiPriority w:val="9"/>
    <w:qFormat/>
    <w:rPr>
      <w:rFonts w:ascii="Arial" w:hAnsi="Arial" w:eastAsia="Arial" w:cs="Arial"/>
      <w:i/>
      <w:iCs/>
      <w:sz w:val="21"/>
      <w:szCs w:val="21"/>
    </w:rPr>
  </w:style>
  <w:style w:type="character" w:styleId="741" w:customStyle="1">
    <w:name w:val="Title Char"/>
    <w:uiPriority w:val="10"/>
    <w:qFormat/>
    <w:rPr>
      <w:sz w:val="48"/>
      <w:szCs w:val="48"/>
    </w:rPr>
  </w:style>
  <w:style w:type="character" w:styleId="742" w:customStyle="1">
    <w:name w:val="Subtitle Char"/>
    <w:uiPriority w:val="11"/>
    <w:qFormat/>
    <w:rPr>
      <w:sz w:val="24"/>
      <w:szCs w:val="24"/>
    </w:rPr>
  </w:style>
  <w:style w:type="character" w:styleId="743" w:customStyle="1">
    <w:name w:val="Quote Char"/>
    <w:uiPriority w:val="29"/>
    <w:qFormat/>
    <w:rPr>
      <w:i/>
    </w:rPr>
  </w:style>
  <w:style w:type="character" w:styleId="744" w:customStyle="1">
    <w:name w:val="Intense Quote Char"/>
    <w:uiPriority w:val="30"/>
    <w:qFormat/>
    <w:rPr>
      <w:i/>
    </w:rPr>
  </w:style>
  <w:style w:type="character" w:styleId="745" w:customStyle="1">
    <w:name w:val="Endnote Text Char"/>
    <w:uiPriority w:val="99"/>
    <w:qFormat/>
    <w:rPr>
      <w:sz w:val="20"/>
    </w:rPr>
  </w:style>
  <w:style w:type="character" w:styleId="746" w:customStyle="1">
    <w:name w:val="Heading 1 Char"/>
    <w:uiPriority w:val="9"/>
    <w:qFormat/>
    <w:rPr>
      <w:rFonts w:ascii="Arial" w:hAnsi="Arial" w:eastAsia="Arial" w:cs="Arial"/>
      <w:sz w:val="40"/>
      <w:szCs w:val="40"/>
    </w:rPr>
  </w:style>
  <w:style w:type="character" w:styleId="747" w:customStyle="1">
    <w:name w:val="Heading 2 Char"/>
    <w:uiPriority w:val="9"/>
    <w:qFormat/>
    <w:rPr>
      <w:rFonts w:ascii="Arial" w:hAnsi="Arial" w:eastAsia="Arial" w:cs="Arial"/>
      <w:sz w:val="34"/>
    </w:rPr>
  </w:style>
  <w:style w:type="character" w:styleId="748" w:customStyle="1">
    <w:name w:val="Heading 3 Char"/>
    <w:uiPriority w:val="9"/>
    <w:qFormat/>
    <w:rPr>
      <w:rFonts w:ascii="Arial" w:hAnsi="Arial" w:eastAsia="Arial" w:cs="Arial"/>
      <w:sz w:val="30"/>
      <w:szCs w:val="30"/>
    </w:rPr>
  </w:style>
  <w:style w:type="character" w:styleId="749" w:customStyle="1">
    <w:name w:val="Heading 4 Char"/>
    <w:uiPriority w:val="9"/>
    <w:qFormat/>
    <w:rPr>
      <w:rFonts w:ascii="Arial" w:hAnsi="Arial" w:eastAsia="Arial" w:cs="Arial"/>
      <w:b/>
      <w:bCs/>
      <w:sz w:val="26"/>
      <w:szCs w:val="26"/>
    </w:rPr>
  </w:style>
  <w:style w:type="character" w:styleId="750" w:customStyle="1">
    <w:name w:val="标题 5 字符"/>
    <w:link w:val="663"/>
    <w:uiPriority w:val="9"/>
    <w:qFormat/>
    <w:rPr>
      <w:rFonts w:ascii="Arial" w:hAnsi="Arial" w:eastAsia="Arial" w:cs="Arial"/>
      <w:b/>
      <w:bCs/>
      <w:sz w:val="24"/>
      <w:szCs w:val="24"/>
    </w:rPr>
  </w:style>
  <w:style w:type="character" w:styleId="751" w:customStyle="1">
    <w:name w:val="标题 6 字符"/>
    <w:link w:val="664"/>
    <w:uiPriority w:val="9"/>
    <w:qFormat/>
    <w:rPr>
      <w:rFonts w:ascii="Arial" w:hAnsi="Arial" w:eastAsia="Arial" w:cs="Arial"/>
      <w:b/>
      <w:bCs/>
      <w:sz w:val="22"/>
      <w:szCs w:val="22"/>
    </w:rPr>
  </w:style>
  <w:style w:type="character" w:styleId="752" w:customStyle="1">
    <w:name w:val="标题 7 字符"/>
    <w:link w:val="665"/>
    <w:uiPriority w:val="9"/>
    <w:qFormat/>
    <w:rPr>
      <w:rFonts w:ascii="Arial" w:hAnsi="Arial" w:eastAsia="Arial" w:cs="Arial"/>
      <w:b/>
      <w:bCs/>
      <w:i/>
      <w:iCs/>
      <w:sz w:val="22"/>
      <w:szCs w:val="22"/>
    </w:rPr>
  </w:style>
  <w:style w:type="character" w:styleId="753" w:customStyle="1">
    <w:name w:val="标题 8 字符"/>
    <w:link w:val="666"/>
    <w:uiPriority w:val="9"/>
    <w:qFormat/>
    <w:rPr>
      <w:rFonts w:ascii="Arial" w:hAnsi="Arial" w:eastAsia="Arial" w:cs="Arial"/>
      <w:i/>
      <w:iCs/>
      <w:sz w:val="22"/>
      <w:szCs w:val="22"/>
    </w:rPr>
  </w:style>
  <w:style w:type="character" w:styleId="754" w:customStyle="1">
    <w:name w:val="标题 9 字符"/>
    <w:link w:val="667"/>
    <w:uiPriority w:val="9"/>
    <w:qFormat/>
    <w:rPr>
      <w:rFonts w:ascii="Arial" w:hAnsi="Arial" w:eastAsia="Arial" w:cs="Arial"/>
      <w:i/>
      <w:iCs/>
      <w:sz w:val="21"/>
      <w:szCs w:val="21"/>
    </w:rPr>
  </w:style>
  <w:style w:type="paragraph" w:styleId="755">
    <w:name w:val="List Paragraph"/>
    <w:basedOn w:val="658"/>
    <w:uiPriority w:val="0"/>
    <w:qFormat/>
    <w:pPr>
      <w:ind w:firstLine="420"/>
    </w:pPr>
    <w:rPr>
      <w:rFonts w:ascii="Times New Roman" w:hAnsi="Times New Roman"/>
      <w:szCs w:val="24"/>
    </w:rPr>
  </w:style>
  <w:style w:type="paragraph" w:styleId="756">
    <w:name w:val="No Spacing"/>
    <w:uiPriority w:val="1"/>
    <w:qFormat/>
    <w:rPr>
      <w:rFonts w:ascii="Calibri" w:hAnsi="Calibri" w:eastAsia="宋体" w:cs="Times New Roman"/>
      <w:lang w:val="en-US" w:eastAsia="zh-CN" w:bidi="ar-SA"/>
    </w:rPr>
  </w:style>
  <w:style w:type="character" w:styleId="757" w:customStyle="1">
    <w:name w:val="标题 字符"/>
    <w:link w:val="697"/>
    <w:uiPriority w:val="10"/>
    <w:qFormat/>
    <w:rPr>
      <w:sz w:val="48"/>
      <w:szCs w:val="48"/>
    </w:rPr>
  </w:style>
  <w:style w:type="character" w:styleId="758" w:customStyle="1">
    <w:name w:val="副标题 字符"/>
    <w:link w:val="689"/>
    <w:uiPriority w:val="11"/>
    <w:qFormat/>
    <w:rPr>
      <w:sz w:val="24"/>
      <w:szCs w:val="24"/>
    </w:rPr>
  </w:style>
  <w:style w:type="paragraph" w:styleId="759">
    <w:name w:val="Quote"/>
    <w:basedOn w:val="658"/>
    <w:next w:val="658"/>
    <w:link w:val="760"/>
    <w:uiPriority w:val="29"/>
    <w:qFormat/>
    <w:pPr>
      <w:ind w:left="720" w:right="720"/>
    </w:pPr>
    <w:rPr>
      <w:i/>
    </w:rPr>
  </w:style>
  <w:style w:type="character" w:styleId="760" w:customStyle="1">
    <w:name w:val="引用 字符"/>
    <w:link w:val="759"/>
    <w:uiPriority w:val="29"/>
    <w:qFormat/>
    <w:rPr>
      <w:i/>
    </w:rPr>
  </w:style>
  <w:style w:type="paragraph" w:styleId="761">
    <w:name w:val="Intense Quote"/>
    <w:basedOn w:val="658"/>
    <w:next w:val="658"/>
    <w:link w:val="7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customStyle="1">
    <w:name w:val="明显引用 字符"/>
    <w:link w:val="761"/>
    <w:uiPriority w:val="30"/>
    <w:qFormat/>
    <w:rPr>
      <w:i/>
    </w:rPr>
  </w:style>
  <w:style w:type="character" w:styleId="763" w:customStyle="1">
    <w:name w:val="Header Char"/>
    <w:uiPriority w:val="99"/>
    <w:qFormat/>
  </w:style>
  <w:style w:type="character" w:styleId="764" w:customStyle="1">
    <w:name w:val="Footer Char"/>
    <w:uiPriority w:val="99"/>
    <w:qFormat/>
  </w:style>
  <w:style w:type="character" w:styleId="765" w:customStyle="1">
    <w:name w:val="Caption Char"/>
    <w:uiPriority w:val="99"/>
    <w:qFormat/>
  </w:style>
  <w:style w:type="table" w:styleId="76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67"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68"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69" w:customStyle="1">
    <w:name w:val="无格式表格 31"/>
    <w:uiPriority w:val="99"/>
    <w:qFormat/>
    <w:tblPr>
      <w:tblCellMar>
        <w:left w:w="0" w:type="dxa"/>
        <w:top w:w="0" w:type="dxa"/>
        <w:right w:w="0" w:type="dxa"/>
        <w:bottom w:w="0" w:type="dxa"/>
      </w:tblCellMar>
    </w:tblPr>
  </w:style>
  <w:style w:type="table" w:styleId="770" w:customStyle="1">
    <w:name w:val="无格式表格 41"/>
    <w:uiPriority w:val="99"/>
    <w:qFormat/>
    <w:tblPr>
      <w:tblCellMar>
        <w:left w:w="0" w:type="dxa"/>
        <w:top w:w="0" w:type="dxa"/>
        <w:right w:w="0" w:type="dxa"/>
        <w:bottom w:w="0" w:type="dxa"/>
      </w:tblCellMar>
    </w:tblPr>
  </w:style>
  <w:style w:type="table" w:styleId="771" w:customStyle="1">
    <w:name w:val="无格式表格 51"/>
    <w:uiPriority w:val="99"/>
    <w:qFormat/>
    <w:tblPr>
      <w:tblCellMar>
        <w:left w:w="0" w:type="dxa"/>
        <w:top w:w="0" w:type="dxa"/>
        <w:right w:w="0" w:type="dxa"/>
        <w:bottom w:w="0" w:type="dxa"/>
      </w:tblCellMar>
    </w:tblPr>
  </w:style>
  <w:style w:type="table" w:styleId="772"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7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7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7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7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7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7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79"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8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6"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8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3"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9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9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9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9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9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9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0"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7"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0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0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4"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1" w:customStyle="1">
    <w:name w:val="清单表 1 浅色1"/>
    <w:uiPriority w:val="99"/>
    <w:qFormat/>
    <w:tblPr>
      <w:tblCellMar>
        <w:left w:w="0" w:type="dxa"/>
        <w:top w:w="0" w:type="dxa"/>
        <w:right w:w="0" w:type="dxa"/>
        <w:bottom w:w="0" w:type="dxa"/>
      </w:tblCellMar>
    </w:tblPr>
  </w:style>
  <w:style w:type="table" w:styleId="822" w:customStyle="1">
    <w:name w:val="List Table 1 Light - Accent 1"/>
    <w:uiPriority w:val="99"/>
    <w:qFormat/>
    <w:tblPr>
      <w:tblCellMar>
        <w:left w:w="0" w:type="dxa"/>
        <w:top w:w="0" w:type="dxa"/>
        <w:right w:w="0" w:type="dxa"/>
        <w:bottom w:w="0" w:type="dxa"/>
      </w:tblCellMar>
    </w:tblPr>
  </w:style>
  <w:style w:type="table" w:styleId="823" w:customStyle="1">
    <w:name w:val="List Table 1 Light - Accent 2"/>
    <w:uiPriority w:val="99"/>
    <w:qFormat/>
    <w:tblPr>
      <w:tblCellMar>
        <w:left w:w="0" w:type="dxa"/>
        <w:top w:w="0" w:type="dxa"/>
        <w:right w:w="0" w:type="dxa"/>
        <w:bottom w:w="0" w:type="dxa"/>
      </w:tblCellMar>
    </w:tblPr>
  </w:style>
  <w:style w:type="table" w:styleId="824" w:customStyle="1">
    <w:name w:val="List Table 1 Light - Accent 3"/>
    <w:uiPriority w:val="99"/>
    <w:qFormat/>
    <w:tblPr>
      <w:tblCellMar>
        <w:left w:w="0" w:type="dxa"/>
        <w:top w:w="0" w:type="dxa"/>
        <w:right w:w="0" w:type="dxa"/>
        <w:bottom w:w="0" w:type="dxa"/>
      </w:tblCellMar>
    </w:tblPr>
  </w:style>
  <w:style w:type="table" w:styleId="825" w:customStyle="1">
    <w:name w:val="List Table 1 Light - Accent 4"/>
    <w:uiPriority w:val="99"/>
    <w:qFormat/>
    <w:tblPr>
      <w:tblCellMar>
        <w:left w:w="0" w:type="dxa"/>
        <w:top w:w="0" w:type="dxa"/>
        <w:right w:w="0" w:type="dxa"/>
        <w:bottom w:w="0" w:type="dxa"/>
      </w:tblCellMar>
    </w:tblPr>
  </w:style>
  <w:style w:type="table" w:styleId="826" w:customStyle="1">
    <w:name w:val="List Table 1 Light - Accent 5"/>
    <w:uiPriority w:val="99"/>
    <w:qFormat/>
    <w:tblPr>
      <w:tblCellMar>
        <w:left w:w="0" w:type="dxa"/>
        <w:top w:w="0" w:type="dxa"/>
        <w:right w:w="0" w:type="dxa"/>
        <w:bottom w:w="0" w:type="dxa"/>
      </w:tblCellMar>
    </w:tblPr>
  </w:style>
  <w:style w:type="table" w:styleId="827" w:customStyle="1">
    <w:name w:val="List Table 1 Light - Accent 6"/>
    <w:uiPriority w:val="99"/>
    <w:qFormat/>
    <w:tblPr>
      <w:tblCellMar>
        <w:left w:w="0" w:type="dxa"/>
        <w:top w:w="0" w:type="dxa"/>
        <w:right w:w="0" w:type="dxa"/>
        <w:bottom w:w="0" w:type="dxa"/>
      </w:tblCellMar>
    </w:tblPr>
  </w:style>
  <w:style w:type="table" w:styleId="828"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2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3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3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3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3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3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35"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3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3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3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3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4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4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42"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4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4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4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4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4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4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49"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5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5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5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5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5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5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56"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5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5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5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6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6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6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63"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6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6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6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6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6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6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70" w:customStyle="1">
    <w:name w:val="Lined - Accent"/>
    <w:uiPriority w:val="99"/>
    <w:qFormat/>
    <w:rPr>
      <w:color w:val="404040"/>
    </w:rPr>
    <w:tblPr>
      <w:tblCellMar>
        <w:left w:w="0" w:type="dxa"/>
        <w:top w:w="0" w:type="dxa"/>
        <w:right w:w="0" w:type="dxa"/>
        <w:bottom w:w="0" w:type="dxa"/>
      </w:tblCellMar>
    </w:tblPr>
  </w:style>
  <w:style w:type="table" w:styleId="871" w:customStyle="1">
    <w:name w:val="Lined - Accent 1"/>
    <w:uiPriority w:val="99"/>
    <w:qFormat/>
    <w:rPr>
      <w:color w:val="404040"/>
    </w:rPr>
    <w:tblPr>
      <w:tblCellMar>
        <w:left w:w="0" w:type="dxa"/>
        <w:top w:w="0" w:type="dxa"/>
        <w:right w:w="0" w:type="dxa"/>
        <w:bottom w:w="0" w:type="dxa"/>
      </w:tblCellMar>
    </w:tblPr>
  </w:style>
  <w:style w:type="table" w:styleId="872" w:customStyle="1">
    <w:name w:val="Lined - Accent 2"/>
    <w:uiPriority w:val="99"/>
    <w:qFormat/>
    <w:rPr>
      <w:color w:val="404040"/>
    </w:rPr>
    <w:tblPr>
      <w:tblCellMar>
        <w:left w:w="0" w:type="dxa"/>
        <w:top w:w="0" w:type="dxa"/>
        <w:right w:w="0" w:type="dxa"/>
        <w:bottom w:w="0" w:type="dxa"/>
      </w:tblCellMar>
    </w:tblPr>
  </w:style>
  <w:style w:type="table" w:styleId="873" w:customStyle="1">
    <w:name w:val="Lined - Accent 3"/>
    <w:uiPriority w:val="99"/>
    <w:qFormat/>
    <w:rPr>
      <w:color w:val="404040"/>
    </w:rPr>
    <w:tblPr>
      <w:tblCellMar>
        <w:left w:w="0" w:type="dxa"/>
        <w:top w:w="0" w:type="dxa"/>
        <w:right w:w="0" w:type="dxa"/>
        <w:bottom w:w="0" w:type="dxa"/>
      </w:tblCellMar>
    </w:tblPr>
  </w:style>
  <w:style w:type="table" w:styleId="874" w:customStyle="1">
    <w:name w:val="Lined - Accent 4"/>
    <w:uiPriority w:val="99"/>
    <w:qFormat/>
    <w:rPr>
      <w:color w:val="404040"/>
    </w:rPr>
    <w:tblPr>
      <w:tblCellMar>
        <w:left w:w="0" w:type="dxa"/>
        <w:top w:w="0" w:type="dxa"/>
        <w:right w:w="0" w:type="dxa"/>
        <w:bottom w:w="0" w:type="dxa"/>
      </w:tblCellMar>
    </w:tblPr>
  </w:style>
  <w:style w:type="table" w:styleId="875" w:customStyle="1">
    <w:name w:val="Lined - Accent 5"/>
    <w:uiPriority w:val="99"/>
    <w:qFormat/>
    <w:rPr>
      <w:color w:val="404040"/>
    </w:rPr>
    <w:tblPr>
      <w:tblCellMar>
        <w:left w:w="0" w:type="dxa"/>
        <w:top w:w="0" w:type="dxa"/>
        <w:right w:w="0" w:type="dxa"/>
        <w:bottom w:w="0" w:type="dxa"/>
      </w:tblCellMar>
    </w:tblPr>
  </w:style>
  <w:style w:type="table" w:styleId="876" w:customStyle="1">
    <w:name w:val="Lined - Accent 6"/>
    <w:uiPriority w:val="99"/>
    <w:qFormat/>
    <w:rPr>
      <w:color w:val="404040"/>
    </w:rPr>
    <w:tblPr>
      <w:tblCellMar>
        <w:left w:w="0" w:type="dxa"/>
        <w:top w:w="0" w:type="dxa"/>
        <w:right w:w="0" w:type="dxa"/>
        <w:bottom w:w="0" w:type="dxa"/>
      </w:tblCellMar>
    </w:tblPr>
  </w:style>
  <w:style w:type="table" w:styleId="87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7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7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80" w:customStyle="1">
    <w:name w:val="Bordered &amp; Lined - Accent 3"/>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8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8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8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8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8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8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8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8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91" w:customStyle="1">
    <w:name w:val="Footnote Text Char"/>
    <w:uiPriority w:val="99"/>
    <w:qFormat/>
    <w:rPr>
      <w:sz w:val="18"/>
    </w:rPr>
  </w:style>
  <w:style w:type="character" w:styleId="892" w:customStyle="1">
    <w:name w:val="尾注文本 字符"/>
    <w:link w:val="683"/>
    <w:uiPriority w:val="99"/>
    <w:rPr>
      <w:sz w:val="20"/>
    </w:rPr>
  </w:style>
  <w:style w:type="paragraph" w:styleId="893" w:customStyle="1">
    <w:name w:val="TOC 标题1"/>
    <w:basedOn w:val="659"/>
    <w:next w:val="658"/>
    <w:uiPriority w:val="39"/>
    <w:qFormat/>
    <w:pPr>
      <w:jc w:val="left"/>
      <w:spacing w:before="240" w:after="0" w:line="259" w:lineRule="auto"/>
      <w:widowControl/>
      <w:outlineLvl w:val="9"/>
    </w:pPr>
    <w:rPr>
      <w:rFonts w:ascii="等线 Light" w:hAnsi="等线 Light" w:eastAsia="等线 Light"/>
      <w:b w:val="0"/>
      <w:bCs w:val="0"/>
      <w:color w:val="2f5496"/>
      <w:sz w:val="32"/>
      <w:szCs w:val="32"/>
    </w:rPr>
  </w:style>
  <w:style w:type="character" w:styleId="894" w:customStyle="1">
    <w:name w:val="标题 1 字符"/>
    <w:link w:val="659"/>
    <w:uiPriority w:val="0"/>
    <w:qFormat/>
    <w:rPr>
      <w:rFonts w:ascii="Times New Roman" w:hAnsi="Times New Roman" w:eastAsia="宋体" w:cs="Times New Roman"/>
      <w:b/>
      <w:bCs/>
      <w:sz w:val="44"/>
      <w:szCs w:val="44"/>
    </w:rPr>
  </w:style>
  <w:style w:type="character" w:styleId="895" w:customStyle="1">
    <w:name w:val="标题 2 字符"/>
    <w:link w:val="660"/>
    <w:uiPriority w:val="9"/>
    <w:qFormat/>
    <w:rPr>
      <w:rFonts w:ascii="Arial" w:hAnsi="Arial" w:eastAsia="黑体" w:cs="Times New Roman"/>
      <w:b/>
      <w:bCs/>
      <w:sz w:val="32"/>
      <w:szCs w:val="32"/>
    </w:rPr>
  </w:style>
  <w:style w:type="character" w:styleId="896" w:customStyle="1">
    <w:name w:val="标题 3 字符"/>
    <w:link w:val="661"/>
    <w:uiPriority w:val="0"/>
    <w:qFormat/>
    <w:rPr>
      <w:rFonts w:ascii="Times New Roman" w:hAnsi="黑体" w:eastAsia="黑体" w:cs="Times New Roman"/>
      <w:sz w:val="24"/>
      <w:szCs w:val="20"/>
    </w:rPr>
  </w:style>
  <w:style w:type="character" w:styleId="897" w:customStyle="1">
    <w:name w:val="标题 4 字符"/>
    <w:link w:val="662"/>
    <w:uiPriority w:val="1"/>
    <w:qFormat/>
    <w:rPr>
      <w:rFonts w:ascii="Cambria" w:hAnsi="Cambria" w:eastAsia="宋体" w:cs="Times New Roman"/>
      <w:b/>
      <w:bCs/>
      <w:sz w:val="28"/>
      <w:szCs w:val="28"/>
    </w:rPr>
  </w:style>
  <w:style w:type="character" w:styleId="898" w:customStyle="1">
    <w:name w:val="正文缩进 字符"/>
    <w:link w:val="671"/>
    <w:uiPriority w:val="0"/>
    <w:qFormat/>
    <w:rPr>
      <w:rFonts w:ascii="Times New Roman" w:hAnsi="Times New Roman"/>
      <w:sz w:val="21"/>
      <w:szCs w:val="24"/>
    </w:rPr>
  </w:style>
  <w:style w:type="character" w:styleId="899" w:customStyle="1">
    <w:name w:val="批注文字 字符"/>
    <w:link w:val="673"/>
    <w:uiPriority w:val="0"/>
    <w:qFormat/>
    <w:rPr>
      <w:rFonts w:ascii="Times New Roman" w:hAnsi="Times New Roman" w:eastAsia="宋体" w:cs="Times New Roman"/>
      <w:sz w:val="20"/>
      <w:szCs w:val="24"/>
    </w:rPr>
  </w:style>
  <w:style w:type="character" w:styleId="900" w:customStyle="1">
    <w:name w:val="正文文本 字符"/>
    <w:link w:val="674"/>
    <w:uiPriority w:val="99"/>
    <w:qFormat/>
    <w:rPr>
      <w:rFonts w:ascii="Times New Roman" w:hAnsi="Times New Roman" w:eastAsia="宋体" w:cs="Times New Roman"/>
      <w:sz w:val="20"/>
      <w:szCs w:val="24"/>
    </w:rPr>
  </w:style>
  <w:style w:type="character" w:styleId="901" w:customStyle="1">
    <w:name w:val="正文文本缩进 字符1"/>
    <w:link w:val="675"/>
    <w:uiPriority w:val="0"/>
    <w:qFormat/>
    <w:rPr>
      <w:rFonts w:ascii="Times New Roman" w:hAnsi="Times New Roman"/>
      <w:sz w:val="21"/>
      <w:szCs w:val="21"/>
    </w:rPr>
  </w:style>
  <w:style w:type="character" w:styleId="902" w:customStyle="1">
    <w:name w:val="纯文本 字符"/>
    <w:link w:val="679"/>
    <w:uiPriority w:val="0"/>
    <w:qFormat/>
    <w:rPr>
      <w:rFonts w:ascii="宋体" w:hAnsi="Courier New" w:eastAsia="宋体" w:cs="Times New Roman"/>
      <w:sz w:val="20"/>
      <w:szCs w:val="20"/>
    </w:rPr>
  </w:style>
  <w:style w:type="character" w:styleId="903" w:customStyle="1">
    <w:name w:val="日期 字符"/>
    <w:link w:val="681"/>
    <w:uiPriority w:val="0"/>
    <w:qFormat/>
    <w:rPr>
      <w:rFonts w:ascii="宋体" w:hAnsi="宋体" w:eastAsia="楷体_GB2312" w:cs="Times New Roman"/>
      <w:sz w:val="24"/>
      <w:szCs w:val="20"/>
    </w:rPr>
  </w:style>
  <w:style w:type="character" w:styleId="904" w:customStyle="1">
    <w:name w:val="正文文本缩进 2 字符"/>
    <w:link w:val="682"/>
    <w:uiPriority w:val="99"/>
    <w:semiHidden/>
    <w:qFormat/>
    <w:rPr>
      <w:sz w:val="21"/>
      <w:szCs w:val="22"/>
    </w:rPr>
  </w:style>
  <w:style w:type="character" w:styleId="905" w:customStyle="1">
    <w:name w:val="批注框文本 字符"/>
    <w:link w:val="684"/>
    <w:uiPriority w:val="0"/>
    <w:qFormat/>
    <w:rPr>
      <w:rFonts w:ascii="Times New Roman" w:hAnsi="Times New Roman" w:eastAsia="宋体" w:cs="Times New Roman"/>
      <w:sz w:val="18"/>
      <w:szCs w:val="18"/>
    </w:rPr>
  </w:style>
  <w:style w:type="character" w:styleId="906" w:customStyle="1">
    <w:name w:val="页脚 字符"/>
    <w:link w:val="685"/>
    <w:uiPriority w:val="99"/>
    <w:qFormat/>
    <w:rPr>
      <w:rFonts w:ascii="Times New Roman" w:hAnsi="Times New Roman" w:eastAsia="宋体" w:cs="Times New Roman"/>
      <w:sz w:val="18"/>
      <w:szCs w:val="20"/>
    </w:rPr>
  </w:style>
  <w:style w:type="character" w:styleId="907" w:customStyle="1">
    <w:name w:val="页眉 字符"/>
    <w:link w:val="686"/>
    <w:uiPriority w:val="0"/>
    <w:qFormat/>
    <w:rPr>
      <w:rFonts w:ascii="Times New Roman" w:hAnsi="Times New Roman" w:eastAsia="宋体" w:cs="Times New Roman"/>
      <w:sz w:val="18"/>
      <w:szCs w:val="18"/>
    </w:rPr>
  </w:style>
  <w:style w:type="character" w:styleId="908" w:customStyle="1">
    <w:name w:val="脚注文本 字符"/>
    <w:link w:val="690"/>
    <w:uiPriority w:val="0"/>
    <w:qFormat/>
    <w:rPr>
      <w:rFonts w:ascii="Times New Roman" w:hAnsi="Times New Roman" w:eastAsia="宋体" w:cs="Times New Roman"/>
      <w:sz w:val="18"/>
      <w:szCs w:val="18"/>
    </w:rPr>
  </w:style>
  <w:style w:type="character" w:styleId="909" w:customStyle="1">
    <w:name w:val="批注主题 字符"/>
    <w:link w:val="698"/>
    <w:uiPriority w:val="0"/>
    <w:qFormat/>
    <w:rPr>
      <w:rFonts w:ascii="Times New Roman" w:hAnsi="Times New Roman" w:eastAsia="宋体" w:cs="Times New Roman"/>
      <w:b/>
      <w:bCs/>
      <w:sz w:val="20"/>
      <w:szCs w:val="24"/>
    </w:rPr>
  </w:style>
  <w:style w:type="character" w:styleId="910" w:customStyle="1">
    <w:name w:val="正文文本首行缩进 字符"/>
    <w:link w:val="699"/>
    <w:uiPriority w:val="99"/>
    <w:semiHidden/>
    <w:qFormat/>
    <w:rPr>
      <w:rFonts w:ascii="Times New Roman" w:hAnsi="Times New Roman" w:eastAsia="宋体" w:cs="Times New Roman"/>
      <w:sz w:val="21"/>
      <w:szCs w:val="22"/>
    </w:rPr>
  </w:style>
  <w:style w:type="paragraph" w:styleId="911" w:customStyle="1">
    <w:name w:val="段"/>
    <w:next w:val="658"/>
    <w:uiPriority w:val="0"/>
    <w:qFormat/>
    <w:pPr>
      <w:ind w:firstLine="200"/>
      <w:jc w:val="both"/>
    </w:pPr>
    <w:rPr>
      <w:rFonts w:ascii="宋体" w:hAnsi="Times New Roman" w:eastAsia="宋体" w:cs="Times New Roman"/>
      <w:sz w:val="21"/>
      <w:lang w:val="en-US" w:eastAsia="zh-CN" w:bidi="ar-SA"/>
    </w:rPr>
  </w:style>
  <w:style w:type="character" w:styleId="912" w:customStyle="1">
    <w:name w:val="place2"/>
    <w:uiPriority w:val="0"/>
    <w:qFormat/>
    <w:rPr>
      <w:rFonts w:ascii="微软雅黑" w:hAnsi="微软雅黑" w:eastAsia="微软雅黑" w:cs="微软雅黑"/>
      <w:color w:val="888888"/>
      <w:sz w:val="25"/>
      <w:szCs w:val="25"/>
    </w:rPr>
  </w:style>
  <w:style w:type="character" w:styleId="913" w:customStyle="1">
    <w:name w:val="ui-bz-bg-hover"/>
    <w:uiPriority w:val="0"/>
    <w:qFormat/>
    <w:rPr>
      <w:shd w:val="clear" w:color="auto" w:fill="000000"/>
    </w:rPr>
  </w:style>
  <w:style w:type="character" w:styleId="914" w:customStyle="1">
    <w:name w:val="font1"/>
    <w:uiPriority w:val="0"/>
    <w:qFormat/>
  </w:style>
  <w:style w:type="character" w:styleId="915" w:customStyle="1">
    <w:name w:val="place3"/>
    <w:uiPriority w:val="0"/>
    <w:qFormat/>
  </w:style>
  <w:style w:type="character" w:styleId="916" w:customStyle="1">
    <w:name w:val="bds_more1"/>
    <w:uiPriority w:val="0"/>
    <w:qFormat/>
  </w:style>
  <w:style w:type="character" w:styleId="917" w:customStyle="1">
    <w:name w:val="bds_nopic1"/>
    <w:uiPriority w:val="0"/>
    <w:qFormat/>
  </w:style>
  <w:style w:type="character" w:styleId="918" w:customStyle="1">
    <w:name w:val="redfilefwwh"/>
    <w:uiPriority w:val="0"/>
    <w:qFormat/>
    <w:rPr>
      <w:color w:val="ba2636"/>
      <w:sz w:val="18"/>
      <w:szCs w:val="18"/>
    </w:rPr>
  </w:style>
  <w:style w:type="character" w:styleId="919" w:customStyle="1">
    <w:name w:val="bds_nopic2"/>
    <w:uiPriority w:val="0"/>
    <w:qFormat/>
  </w:style>
  <w:style w:type="character" w:styleId="920" w:customStyle="1">
    <w:name w:val="top-icon"/>
    <w:uiPriority w:val="0"/>
    <w:qFormat/>
  </w:style>
  <w:style w:type="character" w:styleId="921" w:customStyle="1">
    <w:name w:val="no42"/>
    <w:uiPriority w:val="0"/>
    <w:qFormat/>
  </w:style>
  <w:style w:type="character" w:styleId="922" w:customStyle="1">
    <w:name w:val="hover"/>
    <w:uiPriority w:val="0"/>
    <w:qFormat/>
    <w:rPr>
      <w:color w:val="025291"/>
    </w:rPr>
  </w:style>
  <w:style w:type="character" w:styleId="923" w:customStyle="1">
    <w:name w:val="qxdate"/>
    <w:uiPriority w:val="0"/>
    <w:qFormat/>
    <w:rPr>
      <w:color w:val="333333"/>
      <w:sz w:val="18"/>
      <w:szCs w:val="18"/>
    </w:rPr>
  </w:style>
  <w:style w:type="character" w:styleId="924" w:customStyle="1">
    <w:name w:val="displayarti"/>
    <w:uiPriority w:val="0"/>
    <w:qFormat/>
    <w:rPr>
      <w:color w:val="ffffff"/>
      <w:shd w:val="clear" w:color="auto" w:fill="a00000"/>
    </w:rPr>
  </w:style>
  <w:style w:type="character" w:styleId="925" w:customStyle="1">
    <w:name w:val="tip7"/>
    <w:uiPriority w:val="0"/>
    <w:qFormat/>
    <w:rPr>
      <w:vanish/>
      <w:color w:val="ff0000"/>
      <w:sz w:val="18"/>
      <w:szCs w:val="18"/>
    </w:rPr>
  </w:style>
  <w:style w:type="character" w:styleId="926" w:customStyle="1">
    <w:name w:val="orange6"/>
    <w:uiPriority w:val="0"/>
    <w:qFormat/>
    <w:rPr>
      <w:color w:val="3fb58f"/>
    </w:rPr>
  </w:style>
  <w:style w:type="character" w:styleId="927" w:customStyle="1">
    <w:name w:val="ico-jiang1"/>
    <w:uiPriority w:val="0"/>
    <w:qFormat/>
  </w:style>
  <w:style w:type="character" w:styleId="928" w:customStyle="1">
    <w:name w:val="font"/>
    <w:uiPriority w:val="0"/>
    <w:qFormat/>
  </w:style>
  <w:style w:type="character" w:styleId="929" w:customStyle="1">
    <w:name w:val="prev"/>
    <w:uiPriority w:val="0"/>
    <w:qFormat/>
    <w:rPr>
      <w:color w:val="888888"/>
    </w:rPr>
  </w:style>
  <w:style w:type="character" w:styleId="930" w:customStyle="1">
    <w:name w:val="no72"/>
    <w:uiPriority w:val="0"/>
    <w:qFormat/>
  </w:style>
  <w:style w:type="character" w:styleId="931" w:customStyle="1">
    <w:name w:val="ui-bz-bg-hover1"/>
    <w:uiPriority w:val="0"/>
    <w:qFormat/>
  </w:style>
  <w:style w:type="character" w:styleId="932" w:customStyle="1">
    <w:name w:val="font31"/>
    <w:link w:val="933"/>
    <w:uiPriority w:val="0"/>
    <w:qFormat/>
    <w:rPr>
      <w:rFonts w:hint="eastAsia" w:ascii="宋体" w:hAnsi="宋体" w:eastAsia="宋体" w:cs="宋体"/>
      <w:color w:val="000000"/>
      <w:sz w:val="22"/>
      <w:szCs w:val="22"/>
      <w:u w:val="none"/>
    </w:rPr>
  </w:style>
  <w:style w:type="paragraph" w:styleId="933" w:customStyle="1">
    <w:name w:val="正文11"/>
    <w:next w:val="658"/>
    <w:link w:val="932"/>
    <w:uiPriority w:val="0"/>
    <w:qFormat/>
    <w:pPr>
      <w:jc w:val="both"/>
      <w:widowControl w:val="off"/>
    </w:pPr>
    <w:rPr>
      <w:rFonts w:hint="eastAsia" w:ascii="宋体" w:hAnsi="宋体" w:eastAsia="宋体" w:cs="宋体"/>
      <w:color w:val="000000"/>
      <w:sz w:val="22"/>
      <w:szCs w:val="22"/>
      <w:lang w:val="en-US" w:eastAsia="zh-CN" w:bidi="ar-SA"/>
    </w:rPr>
  </w:style>
  <w:style w:type="character" w:styleId="934" w:customStyle="1">
    <w:name w:val="font41"/>
    <w:uiPriority w:val="0"/>
    <w:qFormat/>
    <w:rPr>
      <w:rFonts w:hint="eastAsia" w:ascii="宋体" w:hAnsi="宋体" w:eastAsia="宋体" w:cs="宋体"/>
      <w:color w:val="000000"/>
      <w:sz w:val="22"/>
      <w:szCs w:val="22"/>
      <w:u w:val="none"/>
    </w:rPr>
  </w:style>
  <w:style w:type="character" w:styleId="935" w:customStyle="1">
    <w:name w:val="ico-jiang"/>
    <w:uiPriority w:val="0"/>
    <w:qFormat/>
  </w:style>
  <w:style w:type="character" w:styleId="936" w:customStyle="1">
    <w:name w:val="f-star"/>
    <w:uiPriority w:val="0"/>
    <w:qFormat/>
    <w:rPr>
      <w:color w:val="999999"/>
      <w:sz w:val="21"/>
      <w:szCs w:val="21"/>
    </w:rPr>
  </w:style>
  <w:style w:type="character" w:styleId="937" w:customStyle="1">
    <w:name w:val="next3"/>
    <w:uiPriority w:val="0"/>
    <w:qFormat/>
    <w:rPr>
      <w:rFonts w:hint="eastAsia" w:ascii="微软雅黑" w:hAnsi="微软雅黑" w:eastAsia="微软雅黑" w:cs="微软雅黑"/>
      <w:sz w:val="21"/>
      <w:szCs w:val="21"/>
    </w:rPr>
  </w:style>
  <w:style w:type="character" w:styleId="938" w:customStyle="1">
    <w:name w:val="bds_more"/>
    <w:uiPriority w:val="0"/>
    <w:qFormat/>
    <w:rPr>
      <w:rFonts w:hint="eastAsia" w:ascii="宋体" w:hAnsi="宋体" w:eastAsia="宋体" w:cs="宋体"/>
    </w:rPr>
  </w:style>
  <w:style w:type="character" w:styleId="939" w:customStyle="1">
    <w:name w:val="font11"/>
    <w:uiPriority w:val="0"/>
    <w:qFormat/>
    <w:rPr>
      <w:rFonts w:hint="eastAsia" w:ascii="仿宋" w:hAnsi="仿宋" w:eastAsia="仿宋" w:cs="仿宋"/>
      <w:color w:val="000000"/>
      <w:sz w:val="24"/>
      <w:szCs w:val="24"/>
      <w:u w:val="none"/>
    </w:rPr>
  </w:style>
  <w:style w:type="character" w:styleId="940" w:customStyle="1">
    <w:name w:val="redfilenumber"/>
    <w:uiPriority w:val="0"/>
    <w:qFormat/>
    <w:rPr>
      <w:color w:val="ba2636"/>
      <w:sz w:val="18"/>
      <w:szCs w:val="18"/>
    </w:rPr>
  </w:style>
  <w:style w:type="character" w:styleId="941" w:customStyle="1">
    <w:name w:val="cfdate"/>
    <w:uiPriority w:val="0"/>
    <w:qFormat/>
    <w:rPr>
      <w:color w:val="333333"/>
      <w:sz w:val="18"/>
      <w:szCs w:val="18"/>
    </w:rPr>
  </w:style>
  <w:style w:type="character" w:styleId="942" w:customStyle="1">
    <w:name w:val="next2"/>
    <w:uiPriority w:val="0"/>
    <w:qFormat/>
    <w:rPr>
      <w:color w:val="888888"/>
    </w:rPr>
  </w:style>
  <w:style w:type="character" w:styleId="943" w:customStyle="1">
    <w:name w:val="font61"/>
    <w:uiPriority w:val="0"/>
    <w:qFormat/>
    <w:rPr>
      <w:rFonts w:hint="eastAsia" w:ascii="宋体" w:hAnsi="宋体" w:eastAsia="宋体" w:cs="宋体"/>
      <w:color w:val="000000"/>
      <w:sz w:val="22"/>
      <w:szCs w:val="22"/>
      <w:u w:val="none"/>
    </w:rPr>
  </w:style>
  <w:style w:type="character" w:styleId="944" w:customStyle="1">
    <w:name w:val="bds_nopic"/>
    <w:uiPriority w:val="0"/>
    <w:qFormat/>
  </w:style>
  <w:style w:type="character" w:styleId="945" w:customStyle="1">
    <w:name w:val="laypage_curr"/>
    <w:uiPriority w:val="0"/>
    <w:qFormat/>
    <w:rPr>
      <w:color w:val="fffdf4"/>
      <w:shd w:val="clear" w:color="auto" w:fill="0b67a6"/>
    </w:rPr>
  </w:style>
  <w:style w:type="character" w:styleId="946" w:customStyle="1">
    <w:name w:val="gwds_nopic2"/>
    <w:uiPriority w:val="0"/>
    <w:qFormat/>
  </w:style>
  <w:style w:type="character" w:styleId="947" w:customStyle="1">
    <w:name w:val="no62"/>
    <w:uiPriority w:val="0"/>
    <w:qFormat/>
  </w:style>
  <w:style w:type="character" w:styleId="948" w:customStyle="1">
    <w:name w:val="font21"/>
    <w:uiPriority w:val="0"/>
    <w:qFormat/>
    <w:rPr>
      <w:rFonts w:hint="eastAsia" w:ascii="宋体" w:hAnsi="宋体" w:eastAsia="宋体" w:cs="宋体"/>
      <w:color w:val="000000"/>
      <w:sz w:val="24"/>
      <w:szCs w:val="24"/>
      <w:u w:val="none"/>
    </w:rPr>
  </w:style>
  <w:style w:type="character" w:styleId="949" w:customStyle="1">
    <w:name w:val="hover17"/>
    <w:uiPriority w:val="0"/>
    <w:qFormat/>
    <w:rPr>
      <w:color w:val="025291"/>
    </w:rPr>
  </w:style>
  <w:style w:type="character" w:styleId="950" w:customStyle="1">
    <w:name w:val="prev1"/>
    <w:uiPriority w:val="0"/>
    <w:qFormat/>
    <w:rPr>
      <w:rFonts w:ascii="微软雅黑" w:hAnsi="微软雅黑" w:eastAsia="微软雅黑" w:cs="微软雅黑"/>
      <w:sz w:val="21"/>
      <w:szCs w:val="21"/>
    </w:rPr>
  </w:style>
  <w:style w:type="character" w:styleId="951" w:customStyle="1">
    <w:name w:val="t-tag"/>
    <w:uiPriority w:val="0"/>
    <w:qFormat/>
    <w:rPr>
      <w:color w:val="ffffff"/>
      <w:sz w:val="18"/>
      <w:szCs w:val="18"/>
      <w:shd w:val="clear" w:color="auto" w:fill="fe8833"/>
    </w:rPr>
  </w:style>
  <w:style w:type="character" w:styleId="952" w:customStyle="1">
    <w:name w:val="org_name2"/>
    <w:uiPriority w:val="0"/>
    <w:qFormat/>
    <w:rPr>
      <w:color w:val="ff0000"/>
      <w:sz w:val="21"/>
      <w:szCs w:val="21"/>
    </w:rPr>
  </w:style>
  <w:style w:type="character" w:styleId="953" w:customStyle="1">
    <w:name w:val="font01"/>
    <w:uiPriority w:val="0"/>
    <w:qFormat/>
    <w:rPr>
      <w:rFonts w:hint="eastAsia" w:ascii="宋体" w:hAnsi="宋体" w:eastAsia="宋体" w:cs="宋体"/>
      <w:color w:val="000000"/>
      <w:sz w:val="22"/>
      <w:szCs w:val="22"/>
      <w:u w:val="none"/>
    </w:rPr>
  </w:style>
  <w:style w:type="character" w:styleId="954" w:customStyle="1">
    <w:name w:val="noline"/>
    <w:uiPriority w:val="0"/>
    <w:qFormat/>
  </w:style>
  <w:style w:type="character" w:styleId="955" w:customStyle="1">
    <w:name w:val="place"/>
    <w:uiPriority w:val="0"/>
    <w:qFormat/>
  </w:style>
  <w:style w:type="character" w:styleId="956" w:customStyle="1">
    <w:name w:val="place1"/>
    <w:uiPriority w:val="0"/>
    <w:qFormat/>
  </w:style>
  <w:style w:type="character" w:styleId="957" w:customStyle="1">
    <w:name w:val="no52"/>
    <w:uiPriority w:val="0"/>
    <w:qFormat/>
  </w:style>
  <w:style w:type="character" w:styleId="958" w:customStyle="1">
    <w:name w:val="my-notice1"/>
    <w:uiPriority w:val="0"/>
    <w:qFormat/>
  </w:style>
  <w:style w:type="character" w:styleId="959" w:customStyle="1">
    <w:name w:val="gjfg"/>
    <w:uiPriority w:val="0"/>
    <w:qFormat/>
  </w:style>
  <w:style w:type="character" w:styleId="960" w:customStyle="1">
    <w:name w:val="gwds_nopic1"/>
    <w:uiPriority w:val="0"/>
    <w:qFormat/>
  </w:style>
  <w:style w:type="character" w:styleId="961" w:customStyle="1">
    <w:name w:val="gwds_nopic"/>
    <w:uiPriority w:val="0"/>
    <w:qFormat/>
  </w:style>
  <w:style w:type="character" w:styleId="962" w:customStyle="1">
    <w:name w:val="bds_more2"/>
    <w:uiPriority w:val="0"/>
    <w:qFormat/>
  </w:style>
  <w:style w:type="character" w:styleId="963" w:customStyle="1">
    <w:name w:val="my-class"/>
    <w:uiPriority w:val="0"/>
    <w:qFormat/>
  </w:style>
  <w:style w:type="character" w:styleId="964" w:customStyle="1">
    <w:name w:val="hover18"/>
    <w:uiPriority w:val="0"/>
    <w:qFormat/>
    <w:rPr>
      <w:color w:val="025291"/>
    </w:rPr>
  </w:style>
  <w:style w:type="character" w:styleId="965" w:customStyle="1">
    <w:name w:val="tip6"/>
    <w:uiPriority w:val="0"/>
    <w:qFormat/>
  </w:style>
  <w:style w:type="character" w:styleId="966" w:customStyle="1">
    <w:name w:val="nth-child(1)"/>
    <w:uiPriority w:val="0"/>
    <w:qFormat/>
  </w:style>
  <w:style w:type="character" w:styleId="967" w:customStyle="1">
    <w:name w:val="nth-child(1)1"/>
    <w:uiPriority w:val="0"/>
    <w:qFormat/>
  </w:style>
  <w:style w:type="character" w:styleId="968" w:customStyle="1">
    <w:name w:val="pause-close"/>
    <w:uiPriority w:val="0"/>
    <w:qFormat/>
  </w:style>
  <w:style w:type="character" w:styleId="969" w:customStyle="1">
    <w:name w:val="before"/>
    <w:uiPriority w:val="0"/>
    <w:qFormat/>
  </w:style>
  <w:style w:type="character" w:styleId="970" w:customStyle="1">
    <w:name w:val="before1"/>
    <w:uiPriority w:val="0"/>
    <w:qFormat/>
  </w:style>
  <w:style w:type="character" w:styleId="971" w:customStyle="1">
    <w:name w:val="after2"/>
    <w:uiPriority w:val="0"/>
    <w:qFormat/>
  </w:style>
  <w:style w:type="character" w:styleId="972" w:customStyle="1">
    <w:name w:val="nth-child(2)"/>
    <w:uiPriority w:val="0"/>
    <w:qFormat/>
    <w:rPr>
      <w:b/>
      <w:sz w:val="36"/>
      <w:szCs w:val="36"/>
    </w:rPr>
  </w:style>
  <w:style w:type="character" w:styleId="973" w:customStyle="1">
    <w:name w:val="nth-child(2)1"/>
    <w:uiPriority w:val="0"/>
    <w:qFormat/>
    <w:rPr>
      <w:rFonts w:ascii="iconfont" w:hAnsi="iconfont" w:eastAsia="iconfont" w:cs="iconfont"/>
    </w:rPr>
  </w:style>
  <w:style w:type="character" w:styleId="974" w:customStyle="1">
    <w:name w:val="more1"/>
    <w:uiPriority w:val="0"/>
    <w:qFormat/>
    <w:rPr>
      <w:color w:val="666666"/>
      <w:sz w:val="18"/>
      <w:szCs w:val="18"/>
    </w:rPr>
  </w:style>
  <w:style w:type="character" w:styleId="975" w:customStyle="1">
    <w:name w:val="ing"/>
    <w:uiPriority w:val="0"/>
    <w:qFormat/>
    <w:rPr>
      <w:color w:val="00b882"/>
    </w:rPr>
  </w:style>
  <w:style w:type="character" w:styleId="976" w:customStyle="1">
    <w:name w:val="ing1"/>
    <w:uiPriority w:val="0"/>
    <w:qFormat/>
    <w:rPr>
      <w:color w:val="00b882"/>
    </w:rPr>
  </w:style>
  <w:style w:type="character" w:styleId="977" w:customStyle="1">
    <w:name w:val="bg-icon2"/>
    <w:uiPriority w:val="0"/>
    <w:qFormat/>
    <w:rPr>
      <w:color w:val="00b28e"/>
    </w:rPr>
  </w:style>
  <w:style w:type="character" w:styleId="978" w:customStyle="1">
    <w:name w:val="text6"/>
    <w:uiPriority w:val="0"/>
    <w:qFormat/>
  </w:style>
  <w:style w:type="character" w:styleId="979" w:customStyle="1">
    <w:name w:val="hover34"/>
    <w:uiPriority w:val="0"/>
    <w:qFormat/>
    <w:rPr>
      <w:color w:val="00b882"/>
      <w:u w:val="single"/>
    </w:rPr>
  </w:style>
  <w:style w:type="character" w:styleId="980" w:customStyle="1">
    <w:name w:val="hover35"/>
    <w:uiPriority w:val="0"/>
    <w:qFormat/>
    <w:rPr>
      <w:color w:val="ffffff"/>
    </w:rPr>
  </w:style>
  <w:style w:type="character" w:styleId="981" w:customStyle="1">
    <w:name w:val="icons14"/>
    <w:uiPriority w:val="0"/>
    <w:qFormat/>
  </w:style>
  <w:style w:type="character" w:styleId="982" w:customStyle="1">
    <w:name w:val="default-color"/>
    <w:uiPriority w:val="0"/>
    <w:qFormat/>
    <w:rPr>
      <w:sz w:val="24"/>
      <w:szCs w:val="24"/>
    </w:rPr>
  </w:style>
  <w:style w:type="character" w:styleId="983" w:customStyle="1">
    <w:name w:val="default-color1"/>
    <w:uiPriority w:val="0"/>
    <w:qFormat/>
  </w:style>
  <w:style w:type="character" w:styleId="984" w:customStyle="1">
    <w:name w:val="complete2"/>
    <w:uiPriority w:val="0"/>
    <w:qFormat/>
    <w:rPr>
      <w:shd w:val="clear" w:color="auto" w:fill="4bb7ce"/>
    </w:rPr>
  </w:style>
  <w:style w:type="paragraph" w:styleId="985" w:customStyle="1">
    <w:name w:val="样式 标题 3 + (中文) 黑体 小四 非加粗 段前: 7.8 磅 段后: 0 磅 行距: 固定值 20 磅"/>
    <w:basedOn w:val="661"/>
    <w:uiPriority w:val="0"/>
    <w:qFormat/>
    <w:pPr>
      <w:spacing w:before="0" w:after="0" w:line="400" w:lineRule="exact"/>
    </w:pPr>
    <w:rPr>
      <w:rFonts w:cs="宋体"/>
    </w:rPr>
  </w:style>
  <w:style w:type="paragraph" w:styleId="986"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987" w:customStyle="1">
    <w:name w:val="样式 标题 2 + Times New Roman 四号 非加粗 段前: 5 磅 段后: 0 磅 行距: 固定值 20..."/>
    <w:basedOn w:val="660"/>
    <w:uiPriority w:val="0"/>
    <w:qFormat/>
    <w:pPr>
      <w:spacing w:before="100" w:after="0" w:line="400" w:lineRule="exact"/>
    </w:pPr>
    <w:rPr>
      <w:rFonts w:ascii="Times New Roman" w:hAnsi="Times New Roman" w:cs="宋体"/>
      <w:b w:val="0"/>
      <w:bCs w:val="0"/>
      <w:sz w:val="28"/>
      <w:szCs w:val="20"/>
    </w:rPr>
  </w:style>
  <w:style w:type="paragraph" w:styleId="988" w:customStyle="1">
    <w:name w:val="样式"/>
    <w:uiPriority w:val="0"/>
    <w:qFormat/>
    <w:pPr>
      <w:widowControl w:val="off"/>
    </w:pPr>
    <w:rPr>
      <w:rFonts w:ascii="宋体" w:hAnsi="宋体" w:eastAsia="宋体" w:cs="宋体"/>
      <w:sz w:val="24"/>
      <w:szCs w:val="24"/>
      <w:lang w:val="en-US" w:eastAsia="zh-CN" w:bidi="ar-SA"/>
    </w:rPr>
  </w:style>
  <w:style w:type="paragraph" w:styleId="989" w:customStyle="1">
    <w:name w:val="纯文本1"/>
    <w:basedOn w:val="658"/>
    <w:uiPriority w:val="0"/>
    <w:qFormat/>
    <w:rPr>
      <w:rFonts w:ascii="宋体" w:hAnsi="Courier New"/>
      <w:sz w:val="28"/>
      <w:szCs w:val="24"/>
    </w:rPr>
  </w:style>
  <w:style w:type="paragraph" w:styleId="990" w:customStyle="1">
    <w:name w:val="列出段落2"/>
    <w:basedOn w:val="658"/>
    <w:uiPriority w:val="99"/>
    <w:unhideWhenUsed/>
    <w:qFormat/>
    <w:pPr>
      <w:ind w:firstLine="420"/>
    </w:pPr>
    <w:rPr>
      <w:rFonts w:ascii="Times New Roman" w:hAnsi="Times New Roman"/>
      <w:szCs w:val="24"/>
    </w:rPr>
  </w:style>
  <w:style w:type="paragraph" w:styleId="991" w:customStyle="1">
    <w:name w:val="列出段落1"/>
    <w:basedOn w:val="658"/>
    <w:uiPriority w:val="99"/>
    <w:unhideWhenUsed/>
    <w:qFormat/>
    <w:pPr>
      <w:ind w:firstLine="420"/>
    </w:pPr>
    <w:rPr>
      <w:rFonts w:ascii="Times New Roman" w:hAnsi="Times New Roman"/>
      <w:szCs w:val="24"/>
    </w:rPr>
  </w:style>
  <w:style w:type="paragraph" w:styleId="992" w:customStyle="1">
    <w:name w:val="修订1"/>
    <w:uiPriority w:val="99"/>
    <w:unhideWhenUsed/>
    <w:qFormat/>
    <w:rPr>
      <w:rFonts w:ascii="Times New Roman" w:hAnsi="Times New Roman" w:eastAsia="宋体" w:cs="Times New Roman"/>
      <w:sz w:val="21"/>
      <w:szCs w:val="24"/>
      <w:lang w:val="en-US" w:eastAsia="zh-CN" w:bidi="ar-SA"/>
    </w:rPr>
  </w:style>
  <w:style w:type="paragraph" w:styleId="993" w:customStyle="1">
    <w:name w:val="reply-text"/>
    <w:basedOn w:val="658"/>
    <w:uiPriority w:val="0"/>
    <w:qFormat/>
    <w:pPr>
      <w:ind w:right="1200"/>
      <w:jc w:val="left"/>
    </w:pPr>
    <w:rPr>
      <w:rFonts w:ascii="Times New Roman" w:hAnsi="Times New Roman"/>
      <w:szCs w:val="21"/>
    </w:rPr>
  </w:style>
  <w:style w:type="character" w:styleId="994" w:customStyle="1">
    <w:name w:val="next"/>
    <w:uiPriority w:val="0"/>
    <w:qFormat/>
    <w:rPr>
      <w:color w:val="888888"/>
    </w:rPr>
  </w:style>
  <w:style w:type="character" w:styleId="995" w:customStyle="1">
    <w:name w:val="next1"/>
    <w:uiPriority w:val="0"/>
    <w:qFormat/>
    <w:rPr>
      <w:rFonts w:ascii="微软雅黑" w:hAnsi="微软雅黑" w:eastAsia="微软雅黑" w:cs="微软雅黑"/>
      <w:sz w:val="21"/>
      <w:szCs w:val="21"/>
    </w:rPr>
  </w:style>
  <w:style w:type="character" w:styleId="996" w:customStyle="1">
    <w:name w:val="count3"/>
    <w:uiPriority w:val="0"/>
    <w:qFormat/>
  </w:style>
  <w:style w:type="character" w:styleId="997" w:customStyle="1">
    <w:name w:val="t"/>
    <w:uiPriority w:val="0"/>
    <w:qFormat/>
  </w:style>
  <w:style w:type="character" w:styleId="998" w:customStyle="1">
    <w:name w:val="lv5"/>
    <w:uiPriority w:val="0"/>
    <w:qFormat/>
  </w:style>
  <w:style w:type="character" w:styleId="999" w:customStyle="1">
    <w:name w:val="jianj"/>
    <w:uiPriority w:val="0"/>
    <w:qFormat/>
  </w:style>
  <w:style w:type="character" w:styleId="1000" w:customStyle="1">
    <w:name w:val="jianj1"/>
    <w:uiPriority w:val="0"/>
    <w:qFormat/>
  </w:style>
  <w:style w:type="character" w:styleId="1001" w:customStyle="1">
    <w:name w:val="jianj2"/>
    <w:uiPriority w:val="0"/>
    <w:qFormat/>
  </w:style>
  <w:style w:type="character" w:styleId="1002" w:customStyle="1">
    <w:name w:val="sd"/>
    <w:uiPriority w:val="0"/>
    <w:qFormat/>
  </w:style>
  <w:style w:type="character" w:styleId="1003" w:customStyle="1">
    <w:name w:val="sc"/>
    <w:uiPriority w:val="0"/>
    <w:qFormat/>
  </w:style>
  <w:style w:type="character" w:styleId="1004" w:customStyle="1">
    <w:name w:val="sc1"/>
    <w:uiPriority w:val="0"/>
    <w:qFormat/>
  </w:style>
  <w:style w:type="character" w:styleId="1005" w:customStyle="1">
    <w:name w:val="aut"/>
    <w:uiPriority w:val="0"/>
    <w:qFormat/>
  </w:style>
  <w:style w:type="character" w:styleId="1006" w:customStyle="1">
    <w:name w:val="aut1"/>
    <w:uiPriority w:val="0"/>
    <w:qFormat/>
  </w:style>
  <w:style w:type="character" w:styleId="1007" w:customStyle="1">
    <w:name w:val="dn"/>
    <w:uiPriority w:val="0"/>
    <w:qFormat/>
  </w:style>
  <w:style w:type="character" w:styleId="1008" w:customStyle="1">
    <w:name w:val="pl"/>
    <w:uiPriority w:val="0"/>
    <w:qFormat/>
  </w:style>
  <w:style w:type="character" w:styleId="1009" w:customStyle="1">
    <w:name w:val="pl1"/>
    <w:uiPriority w:val="0"/>
    <w:qFormat/>
  </w:style>
  <w:style w:type="character" w:styleId="1010" w:customStyle="1">
    <w:name w:val="jrxz"/>
    <w:uiPriority w:val="0"/>
    <w:qFormat/>
  </w:style>
  <w:style w:type="character" w:styleId="1011" w:customStyle="1">
    <w:name w:val="jrxz1"/>
    <w:uiPriority w:val="0"/>
    <w:qFormat/>
  </w:style>
  <w:style w:type="character" w:styleId="1012" w:customStyle="1">
    <w:name w:val="down14"/>
    <w:uiPriority w:val="0"/>
    <w:qFormat/>
  </w:style>
  <w:style w:type="character" w:styleId="1013" w:customStyle="1">
    <w:name w:val="down15"/>
    <w:uiPriority w:val="0"/>
    <w:qFormat/>
  </w:style>
  <w:style w:type="character" w:styleId="1014" w:customStyle="1">
    <w:name w:val="zt"/>
    <w:uiPriority w:val="0"/>
    <w:qFormat/>
  </w:style>
  <w:style w:type="character" w:styleId="1015" w:customStyle="1">
    <w:name w:val="zt1"/>
    <w:uiPriority w:val="0"/>
    <w:qFormat/>
  </w:style>
  <w:style w:type="character" w:styleId="1016" w:customStyle="1">
    <w:name w:val="time22"/>
    <w:uiPriority w:val="0"/>
    <w:qFormat/>
  </w:style>
  <w:style w:type="character" w:styleId="1017" w:customStyle="1">
    <w:name w:val="time23"/>
    <w:uiPriority w:val="0"/>
    <w:qFormat/>
  </w:style>
  <w:style w:type="character" w:styleId="1018" w:customStyle="1">
    <w:name w:val="time24"/>
    <w:uiPriority w:val="0"/>
    <w:qFormat/>
  </w:style>
  <w:style w:type="character" w:styleId="1019" w:customStyle="1">
    <w:name w:val="anz"/>
    <w:uiPriority w:val="0"/>
    <w:qFormat/>
  </w:style>
  <w:style w:type="character" w:styleId="1020" w:customStyle="1">
    <w:name w:val="anz1"/>
    <w:uiPriority w:val="0"/>
    <w:qFormat/>
  </w:style>
  <w:style w:type="character" w:styleId="1021" w:customStyle="1">
    <w:name w:val="anz2"/>
    <w:uiPriority w:val="0"/>
    <w:qFormat/>
  </w:style>
  <w:style w:type="character" w:styleId="1022" w:customStyle="1">
    <w:name w:val="jiet"/>
    <w:uiPriority w:val="0"/>
    <w:qFormat/>
  </w:style>
  <w:style w:type="character" w:styleId="1023" w:customStyle="1">
    <w:name w:val="jiet1"/>
    <w:uiPriority w:val="0"/>
    <w:qFormat/>
  </w:style>
  <w:style w:type="character" w:styleId="1024" w:customStyle="1">
    <w:name w:val="jiet2"/>
    <w:uiPriority w:val="0"/>
    <w:qFormat/>
  </w:style>
  <w:style w:type="character" w:styleId="1025" w:customStyle="1">
    <w:name w:val="lv1"/>
    <w:uiPriority w:val="0"/>
    <w:qFormat/>
  </w:style>
  <w:style w:type="character" w:styleId="1026" w:customStyle="1">
    <w:name w:val="lv2"/>
    <w:uiPriority w:val="0"/>
    <w:qFormat/>
  </w:style>
  <w:style w:type="character" w:styleId="1027" w:customStyle="1">
    <w:name w:val="lv3"/>
    <w:uiPriority w:val="0"/>
    <w:qFormat/>
  </w:style>
  <w:style w:type="character" w:styleId="1028" w:customStyle="1">
    <w:name w:val="lv4"/>
    <w:uiPriority w:val="0"/>
    <w:qFormat/>
  </w:style>
  <w:style w:type="character" w:styleId="1029" w:customStyle="1">
    <w:name w:val="disabled"/>
    <w:uiPriority w:val="0"/>
    <w:qFormat/>
    <w:rPr>
      <w:color w:val="666666"/>
      <w:shd w:val="clear" w:color="auto" w:fill="ffffff"/>
    </w:rPr>
  </w:style>
  <w:style w:type="paragraph" w:styleId="1030" w:customStyle="1">
    <w:name w:val="格式３"/>
    <w:basedOn w:val="658"/>
    <w:uiPriority w:val="0"/>
    <w:qFormat/>
    <w:pPr>
      <w:ind w:left="600" w:hanging="600"/>
      <w:spacing w:line="420" w:lineRule="exact"/>
    </w:pPr>
    <w:rPr>
      <w:rFonts w:ascii="宋体" w:hAnsi="宋体"/>
      <w:color w:val="000000"/>
      <w:sz w:val="24"/>
      <w:szCs w:val="20"/>
    </w:rPr>
  </w:style>
  <w:style w:type="character" w:styleId="1031" w:customStyle="1">
    <w:name w:val="正文文本缩进 字符"/>
    <w:uiPriority w:val="99"/>
    <w:semiHidden/>
    <w:qFormat/>
    <w:rPr>
      <w:sz w:val="21"/>
      <w:szCs w:val="22"/>
    </w:rPr>
  </w:style>
  <w:style w:type="paragraph" w:styleId="1032" w:customStyle="1">
    <w:name w:val="Body text|2"/>
    <w:basedOn w:val="658"/>
    <w:uiPriority w:val="0"/>
    <w:qFormat/>
    <w:pPr>
      <w:ind w:hanging="1580"/>
    </w:pPr>
    <w:rPr>
      <w:rFonts w:ascii="宋体" w:hAnsi="宋体" w:cs="宋体"/>
      <w:sz w:val="17"/>
      <w:szCs w:val="17"/>
      <w:lang w:val="zh-TW" w:eastAsia="zh-TW" w:bidi="zh-TW"/>
    </w:rPr>
  </w:style>
  <w:style w:type="character" w:styleId="1033" w:customStyle="1">
    <w:name w:val="未处理的提及1"/>
    <w:uiPriority w:val="99"/>
    <w:unhideWhenUsed/>
    <w:qFormat/>
    <w:rPr>
      <w:color w:val="605e5c"/>
      <w:shd w:val="clear" w:color="auto" w:fill="e1dfdd"/>
    </w:rPr>
  </w:style>
  <w:style w:type="paragraph" w:styleId="1034" w:customStyle="1">
    <w:name w:val="Other|1"/>
    <w:basedOn w:val="658"/>
    <w:uiPriority w:val="0"/>
    <w:qFormat/>
    <w:rPr>
      <w:rFonts w:ascii="宋体" w:hAnsi="宋体" w:cs="宋体"/>
      <w:sz w:val="18"/>
      <w:szCs w:val="18"/>
      <w:lang w:val="zh-TW" w:eastAsia="zh-TW" w:bidi="zh-TW"/>
    </w:rPr>
  </w:style>
  <w:style w:type="paragraph" w:styleId="1035" w:customStyle="1">
    <w:name w:val="msonospacing"/>
    <w:basedOn w:val="658"/>
    <w:uiPriority w:val="0"/>
    <w:qFormat/>
    <w:rPr>
      <w:sz w:val="20"/>
      <w:szCs w:val="20"/>
    </w:rPr>
  </w:style>
  <w:style w:type="character" w:styleId="1036" w:customStyle="1">
    <w:name w:val="正文文本 字符1"/>
    <w:uiPriority w:val="99"/>
    <w:qFormat/>
    <w:rPr>
      <w:rFonts w:ascii="Times New Roman" w:hAnsi="Times New Roman" w:eastAsia="宋体" w:cs="Times New Roman"/>
      <w:sz w:val="20"/>
      <w:szCs w:val="24"/>
    </w:rPr>
  </w:style>
  <w:style w:type="character" w:styleId="1037" w:customStyle="1">
    <w:name w:val="正文首行缩进 2 Char"/>
    <w:link w:val="1038"/>
    <w:uiPriority w:val="0"/>
    <w:qFormat/>
    <w:rPr>
      <w:sz w:val="24"/>
      <w:szCs w:val="24"/>
    </w:rPr>
  </w:style>
  <w:style w:type="paragraph" w:styleId="1038" w:customStyle="1">
    <w:name w:val="正文首行缩进 21"/>
    <w:basedOn w:val="658"/>
    <w:next w:val="933"/>
    <w:link w:val="1037"/>
    <w:uiPriority w:val="0"/>
    <w:qFormat/>
    <w:pPr>
      <w:ind w:left="420" w:firstLine="420"/>
      <w:spacing w:after="120"/>
    </w:pPr>
    <w:rPr>
      <w:sz w:val="24"/>
      <w:szCs w:val="24"/>
    </w:rPr>
  </w:style>
  <w:style w:type="table" w:styleId="1039" w:customStyle="1">
    <w:name w:val="网格型1"/>
    <w:basedOn w:val="669"/>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40" w:customStyle="1">
    <w:name w:val="普通(网站)1"/>
    <w:basedOn w:val="658"/>
    <w:uiPriority w:val="99"/>
    <w:qFormat/>
    <w:rPr>
      <w:rFonts w:ascii="Times New Roman" w:hAnsi="Times New Roman"/>
      <w:sz w:val="24"/>
      <w:szCs w:val="24"/>
    </w:rPr>
  </w:style>
  <w:style w:type="character" w:styleId="1041" w:customStyle="1">
    <w:name w:val="超链接1"/>
    <w:uiPriority w:val="99"/>
    <w:qFormat/>
    <w:rPr>
      <w:color w:val="000000"/>
      <w:u w:val="none"/>
    </w:rPr>
  </w:style>
  <w:style w:type="character" w:styleId="1042" w:customStyle="1">
    <w:name w:val="HTML 预设格式 字符"/>
    <w:link w:val="695"/>
    <w:uiPriority w:val="0"/>
    <w:qFormat/>
    <w:rPr>
      <w:rFonts w:ascii="宋体" w:hAnsi="宋体" w:cs="宋体"/>
      <w:sz w:val="24"/>
      <w:szCs w:val="24"/>
    </w:rPr>
  </w:style>
  <w:style w:type="paragraph" w:styleId="1043" w:customStyle="1">
    <w:name w:val="正文 + 宋体"/>
    <w:basedOn w:val="658"/>
    <w:uiPriority w:val="0"/>
    <w:qFormat/>
    <w:pPr>
      <w:ind w:firstLine="420"/>
      <w:spacing w:line="360" w:lineRule="auto"/>
    </w:pPr>
    <w:rPr>
      <w:szCs w:val="24"/>
    </w:rPr>
  </w:style>
  <w:style w:type="character" w:styleId="1044" w:customStyle="1">
    <w:name w:val="font51"/>
    <w:uiPriority w:val="0"/>
    <w:qFormat/>
    <w:rPr>
      <w:rFonts w:hint="eastAsia" w:ascii="宋体" w:hAnsi="宋体" w:eastAsia="宋体" w:cs="宋体"/>
      <w:color w:val="ff0000"/>
      <w:sz w:val="22"/>
      <w:szCs w:val="22"/>
      <w:u w:val="none"/>
    </w:rPr>
  </w:style>
  <w:style w:type="paragraph" w:styleId="1045" w:customStyle="1">
    <w:name w:val="正文文本2"/>
    <w:basedOn w:val="658"/>
    <w:uiPriority w:val="0"/>
    <w:qFormat/>
    <w:pPr>
      <w:ind w:hanging="280"/>
      <w:spacing w:before="240" w:line="623" w:lineRule="exact"/>
      <w:shd w:val="clear" w:color="auto" w:fill="ffffff"/>
    </w:pPr>
    <w:rPr>
      <w:rFonts w:ascii="MingLiU" w:hAnsi="MingLiU" w:eastAsia="MingLiU" w:cs="MingLiU"/>
      <w:spacing w:val="20"/>
      <w:sz w:val="28"/>
      <w:szCs w:val="28"/>
    </w:rPr>
  </w:style>
  <w:style w:type="paragraph" w:styleId="1046" w:customStyle="1">
    <w:name w:val="正文1"/>
    <w:basedOn w:val="658"/>
    <w:uiPriority w:val="0"/>
    <w:qFormat/>
    <w:pPr>
      <w:ind w:firstLine="490"/>
      <w:spacing w:line="360" w:lineRule="auto"/>
    </w:pPr>
    <w:rPr>
      <w:rFonts w:ascii="宋体" w:hAnsi="宋体"/>
      <w:sz w:val="24"/>
      <w:szCs w:val="28"/>
    </w:rPr>
  </w:style>
  <w:style w:type="numbering" w:styleId="118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1C13EA0-DD2C-46F7-BA39-B47D5AACF8C6}"/>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陆静娟</dc:creator>
  <cp:lastModifiedBy>李尧</cp:lastModifiedBy>
  <cp:revision>29</cp:revision>
  <dcterms:created xsi:type="dcterms:W3CDTF">2025-06-24T09:33:00Z</dcterms:created>
  <dcterms:modified xsi:type="dcterms:W3CDTF">2026-06-25T07:22:56Z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eyJoZGlkIjoiM2NhNjYxMmE0YmZmMjBjNjBjY2Q5ZGVhZTE1N2VkMDUiLCJ1c2VySWQiOiI3MDE2MTY0MTQifQ==</vt:lpwstr>
  </property>
  <property fmtid="{D5CDD505-2E9C-101B-9397-08002B2CF9AE}" pid="3" name="KSOProductBuildVer">
    <vt:lpwstr>2052-12.1.0.26895</vt:lpwstr>
  </property>
  <property fmtid="{D5CDD505-2E9C-101B-9397-08002B2CF9AE}" pid="4" name="ICV">
    <vt:lpwstr>01F75CD197F04899800A4A2E383E128B_13</vt:lpwstr>
  </property>
</Properties>
</file>