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rPr>
          <w:rFonts w:eastAsia="黑体"/>
          <w:b/>
          <w:bCs/>
          <w:color w:val="000000" w:themeColor="text1"/>
          <w:sz w:val="84"/>
          <w:shd w:val="clear" w:color="ffffff" w:fill="d9d9d9"/>
          <w14:textFill>
            <w14:solidFill>
              <w14:schemeClr w14:val="tx1"/>
            </w14:solidFill>
          </w14:textFill>
        </w:rPr>
      </w:pPr>
      <w:r>
        <w:rPr>
          <w:rFonts w:eastAsia="黑体"/>
          <w:b/>
          <w:bCs/>
          <w:color w:val="000000" w:themeColor="text1"/>
          <w:sz w:val="84"/>
          <w:shd w:val="clear" w:color="ffffff" w:fill="d9d9d9"/>
          <w14:textFill>
            <w14:solidFill>
              <w14:schemeClr w14:val="tx1"/>
            </w14:solidFill>
          </w14:textFill>
        </w:rPr>
      </w:r>
      <w:r/>
    </w:p>
    <w:p>
      <w:pPr>
        <w:pStyle w:val="994"/>
        <w:ind w:firstLine="0"/>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公开招标文件</w:t>
      </w:r>
      <w:r/>
    </w:p>
    <w:p>
      <w:pPr>
        <w:pStyle w:val="994"/>
        <w:ind w:firstLine="0"/>
        <w:jc w:val="center"/>
        <w:rPr>
          <w:rFonts w:ascii="黑体" w:hAnsi="华文中宋" w:eastAsia="黑体"/>
          <w:bCs/>
          <w:color w:val="000000" w:themeColor="text1"/>
          <w:spacing w:val="20"/>
          <w:sz w:val="52"/>
          <w:szCs w:val="52"/>
          <w14:textFill>
            <w14:solidFill>
              <w14:schemeClr w14:val="tx1"/>
            </w14:solidFill>
          </w14:textFill>
        </w:rPr>
      </w:pPr>
      <w:r>
        <w:rPr>
          <w:rFonts w:ascii="黑体" w:hAnsi="华文中宋" w:eastAsia="黑体"/>
          <w:bCs/>
          <w:color w:val="000000" w:themeColor="text1"/>
          <w:spacing w:val="20"/>
          <w:sz w:val="52"/>
          <w:szCs w:val="52"/>
          <w14:textFill>
            <w14:solidFill>
              <w14:schemeClr w14:val="tx1"/>
            </w14:solidFill>
          </w14:textFill>
        </w:rPr>
      </w:r>
      <w:r/>
    </w:p>
    <w:p>
      <w:pPr>
        <w:pStyle w:val="994"/>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994"/>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994"/>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项目编号：JSZC-320211-JZCG-G2026-0010</w:t>
      </w:r>
      <w:r/>
    </w:p>
    <w:p>
      <w:pPr>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项目名称：2026年滨湖法院物业管理服务</w:t>
      </w:r>
      <w:r/>
    </w:p>
    <w:p>
      <w:pPr>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 购 人：无锡市滨湖区人民法院</w:t>
      </w:r>
      <w:r/>
    </w:p>
    <w:p>
      <w:pPr>
        <w:jc w:val="center"/>
        <w:rPr>
          <w:rFonts w:ascii="黑体" w:hAnsi="华文中宋" w:eastAsia="黑体"/>
          <w:bCs/>
          <w:color w:val="000000" w:themeColor="text1"/>
          <w:sz w:val="30"/>
          <w:szCs w:val="30"/>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r>
      <w:r/>
    </w:p>
    <w:p>
      <w:pPr>
        <w:pStyle w:val="994"/>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994"/>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994"/>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994"/>
        <w:ind w:firstLine="0"/>
        <w:jc w:val="center"/>
        <w:spacing w:before="0" w:after="0"/>
        <w:rPr>
          <w:rFonts w:ascii="宋体" w:hAnsi="宋体" w:eastAsia="黑体"/>
          <w:color w:val="000000" w:themeColor="text1"/>
          <w:sz w:val="32"/>
          <w:szCs w:val="32"/>
          <w:shd w:val="clear" w:color="ffffff" w:fill="d9d9d9"/>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采购代理机构：无锡市滨湖区公共资源交易中心</w:t>
      </w:r>
      <w:r/>
    </w:p>
    <w:p>
      <w:pPr>
        <w:pStyle w:val="994"/>
        <w:ind w:firstLine="0"/>
        <w:jc w:val="center"/>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二○二六年七月</w:t>
      </w:r>
      <w:r/>
    </w:p>
    <w:p>
      <w:pPr>
        <w:pStyle w:val="994"/>
        <w:ind w:firstLine="0"/>
        <w:jc w:val="center"/>
        <w:rPr>
          <w:rFonts w:ascii="黑体" w:hAnsi="黑体" w:eastAsia="黑体"/>
          <w:color w:val="000000" w:themeColor="text1"/>
          <w:sz w:val="36"/>
          <w:szCs w:val="36"/>
          <w14:textFill>
            <w14:solidFill>
              <w14:schemeClr w14:val="tx1"/>
            </w14:solidFill>
          </w14:textFill>
        </w:rPr>
      </w:pPr>
      <w:r>
        <w:rPr>
          <w:rFonts w:ascii="黑体" w:hAnsi="华文中宋" w:eastAsia="黑体"/>
          <w:bCs/>
          <w:color w:val="000000" w:themeColor="text1"/>
          <w:sz w:val="44"/>
          <w:szCs w:val="44"/>
          <w14:textFill>
            <w14:solidFill>
              <w14:schemeClr w14:val="tx1"/>
            </w14:solidFill>
          </w14:textFill>
        </w:rP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ascii="黑体" w:hAnsi="黑体" w:eastAsia="黑体"/>
          <w:color w:val="000000" w:themeColor="text1"/>
          <w:sz w:val="36"/>
          <w:szCs w:val="36"/>
          <w14:textFill>
            <w14:solidFill>
              <w14:schemeClr w14:val="tx1"/>
            </w14:solidFill>
          </w14:textFill>
        </w:rPr>
        <w:t xml:space="preserve">总  目  录</w:t>
      </w:r>
      <w:r/>
    </w:p>
    <w:p>
      <w:pPr>
        <w:jc w:val="center"/>
        <w:spacing w:line="480" w:lineRule="auto"/>
        <w:rPr>
          <w:rFonts w:ascii="黑体" w:hAnsi="Arial" w:eastAsia="黑体"/>
          <w:color w:val="000000" w:themeColor="text1"/>
          <w:sz w:val="44"/>
          <w14:textFill>
            <w14:solidFill>
              <w14:schemeClr w14:val="tx1"/>
            </w14:solidFill>
          </w14:textFill>
        </w:rPr>
        <w:outlineLvl w:val="0"/>
      </w:pPr>
      <w:r>
        <w:rPr>
          <w:rFonts w:ascii="黑体" w:hAnsi="Arial" w:eastAsia="黑体"/>
          <w:color w:val="000000" w:themeColor="text1"/>
          <w:sz w:val="44"/>
          <w14:textFill>
            <w14:solidFill>
              <w14:schemeClr w14:val="tx1"/>
            </w14:solidFill>
          </w14:textFill>
        </w:rPr>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投标邀请</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投标人须知</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合同文本</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采购需求</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评标方法与评标标准</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投标文件内容与格式</w:t>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黑体" w:hAnsi="Showcard Gothic" w:eastAsia="黑体"/>
          <w:color w:val="000000" w:themeColor="text1"/>
          <w:sz w:val="30"/>
          <w:szCs w:val="30"/>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第一章  投标邀请</w:t>
      </w:r>
      <w:bookmarkEnd w:id="0"/>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受无锡市滨湖区人民法院的委托，无锡市滨湖区公共资源交易中心就2026年滨湖法院物业管理服务进行公开招标采购，欢迎符合条件的供应商投标。</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2026年滨湖法院物业管理服务采购项目的潜在投标人应在“江苏政府采购网”自行浏览招标文件，如有投标意向须在本招标文件有效获取期内通过登录</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下载的方式依法获取招标文件，并于</w:t>
      </w:r>
      <w:r>
        <w:rPr>
          <w:rFonts w:hint="eastAsia" w:ascii="宋体" w:hAnsi="宋体"/>
          <w:b/>
          <w:bCs/>
          <w:color w:val="0000ff"/>
          <w:sz w:val="24"/>
          <w:szCs w:val="24"/>
        </w:rPr>
        <w:t xml:space="preserve">2026年07月</w:t>
      </w:r>
      <w:r>
        <w:rPr>
          <w:rFonts w:hint="eastAsia" w:ascii="宋体" w:hAnsi="宋体"/>
          <w:b/>
          <w:bCs/>
          <w:color w:val="0000ff"/>
          <w:sz w:val="24"/>
          <w:szCs w:val="24"/>
          <w:lang w:val="en-US" w:eastAsia="zh-CN"/>
        </w:rPr>
        <w:t xml:space="preserve">29</w:t>
      </w:r>
      <w:r>
        <w:rPr>
          <w:rFonts w:hint="eastAsia" w:ascii="宋体" w:hAnsi="宋体"/>
          <w:b/>
          <w:bCs/>
          <w:color w:val="0000ff"/>
          <w:sz w:val="24"/>
          <w:szCs w:val="24"/>
        </w:rPr>
        <w:t xml:space="preserve">日</w:t>
      </w:r>
      <w:r>
        <w:rPr>
          <w:rFonts w:hint="eastAsia" w:ascii="宋体" w:hAnsi="宋体"/>
          <w:b/>
          <w:bCs/>
          <w:color w:val="000000" w:themeColor="text1"/>
          <w:sz w:val="24"/>
          <w:szCs w:val="24"/>
          <w14:textFill>
            <w14:solidFill>
              <w14:schemeClr w14:val="tx1"/>
            </w14:solidFill>
          </w14:textFill>
        </w:rPr>
        <w:t xml:space="preserve">09点30分</w:t>
      </w:r>
      <w:r>
        <w:rPr>
          <w:rFonts w:hint="eastAsia" w:ascii="宋体" w:hAnsi="宋体"/>
          <w:bCs/>
          <w:color w:val="000000" w:themeColor="text1"/>
          <w:sz w:val="24"/>
          <w:szCs w:val="24"/>
          <w14:textFill>
            <w14:solidFill>
              <w14:schemeClr w14:val="tx1"/>
            </w14:solidFill>
          </w14:textFill>
        </w:rPr>
        <w:t xml:space="preserve">（北京时间）前递交投标</w:t>
      </w:r>
      <w:r>
        <w:rPr>
          <w:rFonts w:ascii="宋体" w:hAnsi="宋体"/>
          <w:bCs/>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6" w:name="_Toc35393790"/>
      <w:r/>
      <w:bookmarkStart w:id="7" w:name="_Toc28359002"/>
      <w:r/>
      <w:bookmarkStart w:id="8" w:name="_Toc28359079"/>
      <w:r/>
      <w:bookmarkStart w:id="9" w:name="_Toc35393621"/>
      <w:r/>
      <w:bookmarkStart w:id="10" w:name="_Toc38985263"/>
      <w:r/>
      <w:bookmarkStart w:id="11" w:name="_Hlk24379207"/>
      <w:r>
        <w:rPr>
          <w:rFonts w:hint="eastAsia"/>
          <w:color w:val="000000" w:themeColor="text1"/>
          <w:sz w:val="30"/>
          <w:szCs w:val="30"/>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1.项目编号：JSZC-320211-JZCG-G2026-0010</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2.项目名称：2026年滨湖法院物业管理服务</w:t>
      </w:r>
      <w:bookmarkEnd w:id="11"/>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3.项目预算金额：143万元</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4.项目最高限价：142.5128万元</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5.采购方式：公开招标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6.采购需求：</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7.合同履行期限：</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cs="宋体" w:asciiTheme="minorEastAsia" w:hAnsiTheme="minorEastAsia"/>
          <w:sz w:val="24"/>
        </w:rPr>
      </w:pPr>
      <w:r>
        <w:rPr>
          <w:rFonts w:hint="eastAsia" w:ascii="宋体" w:hAnsi="宋体" w:cs="宋体"/>
          <w:color w:val="000000" w:themeColor="text1"/>
          <w:sz w:val="24"/>
          <w:szCs w:val="24"/>
          <w14:textFill>
            <w14:solidFill>
              <w14:schemeClr w14:val="tx1"/>
            </w14:solidFill>
          </w14:textFill>
        </w:rPr>
        <w:t xml:space="preserve">8.</w:t>
      </w:r>
      <w:r>
        <w:rPr>
          <w:rFonts w:hint="eastAsia" w:cs="宋体" w:asciiTheme="minorEastAsia" w:hAnsiTheme="minorEastAsia"/>
          <w:color w:val="000000" w:themeColor="text1"/>
          <w:sz w:val="24"/>
          <w:szCs w:val="24"/>
          <w14:textFill>
            <w14:solidFill>
              <w14:schemeClr w14:val="tx1"/>
            </w14:solidFill>
          </w14:textFill>
        </w:rPr>
        <w:t xml:space="preserve">本项目是否专门面向中小微企业：</w:t>
      </w:r>
      <w:r>
        <w:rPr>
          <w:rFonts w:hint="eastAsia" w:cs="宋体" w:asciiTheme="minorEastAsia" w:hAnsiTheme="minorEastAsia"/>
          <w:b/>
          <w:color w:val="000000" w:themeColor="text1"/>
          <w:sz w:val="24"/>
          <w:szCs w:val="24"/>
          <w14:textFill>
            <w14:solidFill>
              <w14:schemeClr w14:val="tx1"/>
            </w14:solidFill>
          </w14:textFill>
        </w:rPr>
        <w:t xml:space="preserve">是</w:t>
      </w:r>
      <w:r/>
    </w:p>
    <w:p>
      <w:pPr>
        <w:ind w:firstLine="480"/>
        <w:spacing w:line="500" w:lineRule="exact"/>
        <w:rPr>
          <w:rFonts w:cs="宋体" w:asciiTheme="minorEastAsia" w:hAnsiTheme="minorEastAsia"/>
          <w:sz w:val="24"/>
        </w:rPr>
      </w:pPr>
      <w:r>
        <w:rPr>
          <w:rFonts w:hint="eastAsia" w:ascii="宋体" w:hAnsi="宋体" w:cs="宋体"/>
          <w:color w:val="000000" w:themeColor="text1"/>
          <w:sz w:val="24"/>
          <w:szCs w:val="24"/>
          <w14:textFill>
            <w14:solidFill>
              <w14:schemeClr w14:val="tx1"/>
            </w14:solidFill>
          </w14:textFill>
        </w:rPr>
        <w:t xml:space="preserve">9.</w:t>
      </w:r>
      <w:r>
        <w:rPr>
          <w:rFonts w:hint="eastAsia" w:cs="宋体" w:asciiTheme="minorEastAsia" w:hAnsiTheme="minorEastAsia"/>
          <w:color w:val="000000" w:themeColor="text1"/>
          <w:sz w:val="24"/>
          <w:szCs w:val="24"/>
          <w14:textFill>
            <w14:solidFill>
              <w14:schemeClr w14:val="tx1"/>
            </w14:solidFill>
          </w14:textFill>
        </w:rPr>
        <w:t xml:space="preserve">本项目的所属行业：</w:t>
      </w:r>
      <w:r>
        <w:rPr>
          <w:rFonts w:hint="eastAsia" w:cs="宋体" w:asciiTheme="minorEastAsia" w:hAnsiTheme="minorEastAsia"/>
          <w:sz w:val="24"/>
        </w:rPr>
        <w:t xml:space="preserve">物业管理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10.本项目不接受联合体投标。</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12" w:name="_Toc38985264"/>
      <w:r/>
      <w:bookmarkStart w:id="13" w:name="_Toc35393622"/>
      <w:r/>
      <w:bookmarkStart w:id="14" w:name="_Toc35393791"/>
      <w:r/>
      <w:bookmarkStart w:id="15" w:name="_Toc28359080"/>
      <w:r/>
      <w:bookmarkStart w:id="16" w:name="_Toc28359003"/>
      <w:r>
        <w:rPr>
          <w:rFonts w:hint="eastAsia"/>
          <w:color w:val="000000" w:themeColor="text1"/>
          <w:sz w:val="30"/>
          <w:szCs w:val="30"/>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14:textFill>
            <w14:solidFill>
              <w14:schemeClr w14:val="tx1"/>
            </w14:solidFill>
          </w14:textFill>
        </w:rPr>
      </w:pPr>
      <w:r/>
      <w:bookmarkStart w:id="17" w:name="_Toc28359004"/>
      <w:r/>
      <w:bookmarkStart w:id="18" w:name="_Toc38985265"/>
      <w:r/>
      <w:bookmarkStart w:id="19" w:name="_Toc35393792"/>
      <w:r/>
      <w:bookmarkStart w:id="20" w:name="_Toc28359081"/>
      <w:r/>
      <w:bookmarkStart w:id="21" w:name="_Toc35393623"/>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2.1中小企业政策：本项目专门面向中小企业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3.本项目的特定资格要求：无。</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olor w:val="000000" w:themeColor="text1"/>
          <w:sz w:val="24"/>
          <w:szCs w:val="24"/>
          <w14:textFill>
            <w14:solidFill>
              <w14:schemeClr w14:val="tx1"/>
            </w14:solidFill>
          </w14:textFill>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p>
    <w:p>
      <w:pPr>
        <w:ind w:firstLine="540"/>
        <w:spacing w:line="500" w:lineRule="exact"/>
        <w:rPr>
          <w:rStyle w:val="983"/>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14:textFill>
            <w14:solidFill>
              <w14:schemeClr w14:val="tx1"/>
            </w14:solidFill>
          </w14:textFill>
        </w:rPr>
        <w:t xml:space="preserve">“江苏省政府采购（苏采云）平台”（http://jszfcg.jscz.gov.cn/jszc/login）获取</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在招标文件有效获取期限内，从</w:t>
      </w:r>
      <w:r>
        <w:rPr>
          <w:rFonts w:ascii="宋体" w:hAnsi="宋体"/>
          <w:color w:val="000000" w:themeColor="text1"/>
          <w:sz w:val="24"/>
          <w:szCs w:val="24"/>
          <w14:textFill>
            <w14:solidFill>
              <w14:schemeClr w14:val="tx1"/>
            </w14:solidFill>
          </w14:textFill>
        </w:rPr>
        <w:t xml:space="preserve">“江苏省政府采购（苏采云）平台”获取的</w:t>
      </w:r>
      <w:r>
        <w:rPr>
          <w:rFonts w:hint="eastAsia" w:ascii="宋体" w:hAnsi="宋体"/>
          <w:bCs/>
          <w:color w:val="000000" w:themeColor="text1"/>
          <w:sz w:val="24"/>
          <w:szCs w:val="24"/>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4.售价：本项目招标文件免费。</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四、提交投标文件</w:t>
      </w:r>
      <w:bookmarkEnd w:id="22"/>
      <w:r/>
      <w:bookmarkEnd w:id="23"/>
      <w:r>
        <w:rPr>
          <w:rFonts w:hint="eastAsia"/>
          <w:color w:val="000000" w:themeColor="text1"/>
          <w:sz w:val="30"/>
          <w:szCs w:val="30"/>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1.时间：</w:t>
      </w:r>
      <w:r>
        <w:rPr>
          <w:rFonts w:hint="eastAsia" w:ascii="宋体" w:hAnsi="宋体"/>
          <w:b/>
          <w:bCs/>
          <w:color w:val="0000ff"/>
          <w:sz w:val="24"/>
          <w:szCs w:val="24"/>
        </w:rPr>
        <w:t xml:space="preserve">2026年07月</w:t>
      </w:r>
      <w:r>
        <w:rPr>
          <w:rFonts w:hint="eastAsia" w:ascii="宋体" w:hAnsi="宋体"/>
          <w:b/>
          <w:bCs/>
          <w:color w:val="0000ff"/>
          <w:sz w:val="24"/>
          <w:szCs w:val="24"/>
          <w:lang w:val="en-US" w:eastAsia="zh-CN"/>
        </w:rPr>
        <w:t xml:space="preserve">29</w:t>
      </w:r>
      <w:bookmarkStart w:id="204" w:name="_GoBack"/>
      <w:r/>
      <w:bookmarkEnd w:id="204"/>
      <w:r>
        <w:rPr>
          <w:rFonts w:hint="eastAsia" w:ascii="宋体" w:hAnsi="宋体"/>
          <w:b/>
          <w:bCs/>
          <w:color w:val="0000ff"/>
          <w:sz w:val="24"/>
          <w:szCs w:val="24"/>
        </w:rPr>
        <w:t xml:space="preserve">日</w:t>
      </w:r>
      <w:r>
        <w:rPr>
          <w:rFonts w:hint="eastAsia" w:ascii="宋体" w:hAnsi="宋体"/>
          <w:b/>
          <w:color w:val="000000" w:themeColor="text1"/>
          <w:sz w:val="24"/>
          <w:szCs w:val="24"/>
          <w14:textFill>
            <w14:solidFill>
              <w14:schemeClr w14:val="tx1"/>
            </w14:solidFill>
          </w14:textFill>
        </w:rPr>
        <w:t xml:space="preserve">09点30分</w:t>
      </w:r>
      <w:r>
        <w:rPr>
          <w:rFonts w:hint="eastAsia" w:ascii="宋体" w:hAnsi="宋体"/>
          <w:bCs/>
          <w:color w:val="000000" w:themeColor="text1"/>
          <w:sz w:val="24"/>
          <w:szCs w:val="24"/>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网上开标大厅。</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27" w:name="_Toc38985267"/>
      <w:r/>
      <w:bookmarkStart w:id="28" w:name="_Toc35393625"/>
      <w:r/>
      <w:bookmarkStart w:id="29" w:name="_Toc28359084"/>
      <w:r/>
      <w:bookmarkStart w:id="30" w:name="_Toc35393794"/>
      <w:r/>
      <w:bookmarkStart w:id="31" w:name="_Toc28359007"/>
      <w:r>
        <w:rPr>
          <w:rFonts w:hint="eastAsia"/>
          <w:color w:val="000000" w:themeColor="text1"/>
          <w:sz w:val="30"/>
          <w:szCs w:val="30"/>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14:textFill>
            <w14:solidFill>
              <w14:schemeClr w14:val="tx1"/>
            </w14:solidFill>
          </w14:textFill>
        </w:rPr>
        <w:t xml:space="preserve">（招标公告及招标文件公告期限）自本公告发布之日起5个工作日。</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pStyle w:val="908"/>
        <w:ind w:firstLine="452"/>
        <w:keepLines w:val="0"/>
        <w:keepNext w:val="0"/>
        <w:spacing w:before="0" w:after="0" w:line="360" w:lineRule="auto"/>
        <w:rPr>
          <w:color w:val="000000" w:themeColor="text1"/>
          <w:sz w:val="30"/>
          <w:szCs w:val="30"/>
          <w14:textFill>
            <w14:solidFill>
              <w14:schemeClr w14:val="tx1"/>
            </w14:solidFill>
          </w14:textFill>
        </w:rPr>
      </w:pPr>
      <w:r/>
      <w:bookmarkStart w:id="35" w:name="_Toc28359085"/>
      <w:r/>
      <w:bookmarkStart w:id="36" w:name="_Toc28359008"/>
      <w:r/>
      <w:bookmarkStart w:id="37" w:name="_Toc35393627"/>
      <w:r/>
      <w:bookmarkStart w:id="38" w:name="_Toc35393796"/>
      <w:r/>
      <w:bookmarkStart w:id="39" w:name="_Toc38985269"/>
      <w:r>
        <w:rPr>
          <w:rFonts w:hint="eastAsia"/>
          <w:color w:val="000000" w:themeColor="text1"/>
          <w:sz w:val="30"/>
          <w:szCs w:val="30"/>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1.集中采购机构：</w:t>
      </w:r>
      <w:r/>
    </w:p>
    <w:p>
      <w:pPr>
        <w:ind w:firstLine="480"/>
        <w:spacing w:line="360"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项目联系人：姚坤  徐鹏飞 </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电话：0510-81173539             </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名称：无锡市滨湖区人民法院</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联系人：王申</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联系电话：0510-82211670</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14:textFill>
            <w14:solidFill>
              <w14:schemeClr w14:val="tx1"/>
            </w14:solidFill>
          </w14:textFill>
        </w:rPr>
        <w:t xml:space="preserve">联系地址：无锡市滨湖区青莲路68号</w:t>
      </w:r>
      <w:r/>
    </w:p>
    <w:p>
      <w:pPr>
        <w:pStyle w:val="908"/>
        <w:ind w:firstLine="452"/>
        <w:keepLines w:val="0"/>
        <w:keepNext w:val="0"/>
        <w:spacing w:before="0" w:after="0" w:line="360" w:lineRule="auto"/>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14:textFill>
            <w14:solidFill>
              <w14:schemeClr w14:val="tx1"/>
            </w14:solidFill>
          </w14:textFill>
        </w:rPr>
        <w:t xml:space="preserve">（以下简称</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）办理</w:t>
      </w:r>
      <w:r>
        <w:rPr>
          <w:rFonts w:hint="eastAsia" w:ascii="宋体" w:hAnsi="宋体"/>
          <w:color w:val="000000" w:themeColor="text1"/>
          <w:sz w:val="24"/>
          <w:szCs w:val="24"/>
          <w14:textFill>
            <w14:solidFill>
              <w14:schemeClr w14:val="tx1"/>
            </w14:solidFill>
          </w14:textFill>
        </w:rPr>
        <w:t xml:space="preserve">“意源”CA数字证书和“方正”电子签章</w:t>
      </w:r>
      <w:r>
        <w:rPr>
          <w:rFonts w:ascii="宋体" w:hAnsi="宋体"/>
          <w:color w:val="000000" w:themeColor="text1"/>
          <w:sz w:val="24"/>
          <w:szCs w:val="24"/>
          <w14:textFill>
            <w14:solidFill>
              <w14:schemeClr w14:val="tx1"/>
            </w14:solidFill>
          </w14:textFill>
        </w:rPr>
        <w:t xml:space="preserve">（办理地址：</w:t>
      </w:r>
      <w:r>
        <w:rPr>
          <w:rFonts w:hint="eastAsia" w:ascii="宋体" w:hAnsi="宋体"/>
          <w:color w:val="000000" w:themeColor="text1"/>
          <w:sz w:val="24"/>
          <w:szCs w:val="24"/>
          <w14:textFill>
            <w14:solidFill>
              <w14:schemeClr w14:val="tx1"/>
            </w14:solidFill>
          </w14:textFill>
        </w:rPr>
        <w:t xml:space="preserve">无锡市滨湖区观山路</w:t>
      </w:r>
      <w:r>
        <w:rPr>
          <w:rFonts w:ascii="宋体" w:hAnsi="宋体"/>
          <w:color w:val="000000" w:themeColor="text1"/>
          <w:sz w:val="24"/>
          <w:szCs w:val="24"/>
          <w14:textFill>
            <w14:solidFill>
              <w14:schemeClr w14:val="tx1"/>
            </w14:solidFill>
          </w14:textFill>
        </w:rPr>
        <w:t xml:space="preserve">199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号楼一楼</w:t>
      </w:r>
      <w:r>
        <w:rPr>
          <w:rFonts w:ascii="宋体" w:hAnsi="宋体"/>
          <w:color w:val="000000" w:themeColor="text1"/>
          <w:sz w:val="24"/>
          <w:szCs w:val="24"/>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技术服务电话：</w:t>
      </w:r>
      <w:r>
        <w:rPr>
          <w:rFonts w:hint="eastAsia" w:ascii="宋体" w:hAnsi="宋体"/>
          <w:color w:val="000000" w:themeColor="text1"/>
          <w:sz w:val="24"/>
          <w:szCs w:val="24"/>
          <w14:textFill>
            <w14:solidFill>
              <w14:schemeClr w14:val="tx1"/>
            </w14:solidFill>
          </w14:textFill>
        </w:rPr>
        <w:t xml:space="preserve">0510-81827781</w:t>
      </w:r>
      <w:r>
        <w:rPr>
          <w:rFonts w:ascii="宋体" w:hAnsi="宋体"/>
          <w:color w:val="000000" w:themeColor="text1"/>
          <w:sz w:val="24"/>
          <w:szCs w:val="24"/>
          <w14:textFill>
            <w14:solidFill>
              <w14:schemeClr w14:val="tx1"/>
            </w14:solidFill>
          </w14:textFill>
        </w:rPr>
        <w:t xml:space="preserve">（服务时间：工作日</w:t>
      </w:r>
      <w:r>
        <w:rPr>
          <w:rFonts w:hint="eastAsia" w:ascii="宋体" w:hAnsi="宋体"/>
          <w:color w:val="000000" w:themeColor="text1"/>
          <w:sz w:val="24"/>
          <w:szCs w:val="24"/>
          <w14:textFill>
            <w14:solidFill>
              <w14:schemeClr w14:val="tx1"/>
            </w14:solidFill>
          </w14:textFill>
        </w:rPr>
        <w:t xml:space="preserve"> 9:00-11:30,13:00-17:00</w:t>
      </w:r>
      <w:r>
        <w:rPr>
          <w:rFonts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完成</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账号注册</w:t>
      </w:r>
      <w:r>
        <w:rPr>
          <w:rFonts w:ascii="宋体" w:hAnsi="宋体"/>
          <w:color w:val="000000" w:themeColor="text1"/>
          <w:sz w:val="24"/>
          <w:szCs w:val="24"/>
          <w14:textFill>
            <w14:solidFill>
              <w14:schemeClr w14:val="tx1"/>
            </w14:solidFill>
          </w14:textFill>
        </w:rPr>
        <w:t xml:space="preserve">的供应商方可</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中进行CA绑定。登录</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14:textFill>
            <w14:solidFill>
              <w14:schemeClr w14:val="tx1"/>
            </w14:solidFill>
          </w14:textFill>
        </w:rPr>
        <w:t xml:space="preserve">《“苏采云”系统供应商操作手册》</w:t>
      </w:r>
      <w:r>
        <w:rPr>
          <w:rFonts w:ascii="宋体" w:hAnsi="宋体"/>
          <w:color w:val="000000" w:themeColor="text1"/>
          <w:sz w:val="24"/>
          <w:szCs w:val="24"/>
          <w14:textFill>
            <w14:solidFill>
              <w14:schemeClr w14:val="tx1"/>
            </w14:solidFill>
          </w14:textFill>
        </w:rPr>
        <w:t xml:space="preserve">（以下简称</w:t>
      </w:r>
      <w:r>
        <w:rPr>
          <w:rFonts w:hint="eastAsia" w:ascii="宋体" w:hAnsi="宋体"/>
          <w:color w:val="000000" w:themeColor="text1"/>
          <w:sz w:val="24"/>
          <w:szCs w:val="24"/>
          <w14:textFill>
            <w14:solidFill>
              <w14:schemeClr w14:val="tx1"/>
            </w14:solidFill>
          </w14:textFill>
        </w:rPr>
        <w:t xml:space="preserve">《操作手册》</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下载地址：无锡市政府采购网——资料下载——</w:t>
      </w:r>
      <w:r>
        <w:rPr>
          <w:rFonts w:hint="eastAsia" w:ascii="宋体" w:hAnsi="宋体"/>
          <w:color w:val="000000" w:themeColor="text1"/>
          <w:sz w:val="24"/>
          <w:szCs w:val="24"/>
          <w14:textFill>
            <w14:solidFill>
              <w14:schemeClr w14:val="tx1"/>
            </w14:solidFill>
          </w14:textFill>
        </w:rPr>
        <w:t xml:space="preserve">苏采云——</w:t>
      </w:r>
      <w:r>
        <w:fldChar w:fldCharType="begin"/>
      </w:r>
      <w:r>
        <w:instrText xml:space="preserve"> HYPERLINK "http://cz.wuxi.gov.cn/doc/2023/10/11/4080287.shtml" \t "_blank" \o "“苏采云”系统供应商操作手册" </w:instrText>
      </w:r>
      <w:r>
        <w:fldChar w:fldCharType="separate"/>
      </w:r>
      <w:r>
        <w:rPr>
          <w:rFonts w:hint="eastAsia" w:ascii="宋体" w:hAnsi="宋体"/>
          <w:color w:val="000000" w:themeColor="text1"/>
          <w:sz w:val="24"/>
          <w:szCs w:val="24"/>
          <w14:textFill>
            <w14:solidFill>
              <w14:schemeClr w14:val="tx1"/>
            </w14:solidFill>
          </w14:textFill>
        </w:rPr>
        <w:t xml:space="preserve">“苏采云”系统供应商操作手册</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技术支持QQ：孙先生：442456465；王先生：1476328133</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供应商可在项目</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公告附件中查看</w:t>
      </w:r>
      <w:r>
        <w:rPr>
          <w:rFonts w:hint="eastAsia" w:ascii="宋体" w:hAnsi="宋体"/>
          <w:color w:val="000000" w:themeColor="text1"/>
          <w:sz w:val="24"/>
          <w:szCs w:val="24"/>
          <w14:textFill>
            <w14:solidFill>
              <w14:schemeClr w14:val="tx1"/>
            </w14:solidFill>
          </w14:textFill>
        </w:rPr>
        <w:t xml:space="preserve">公开招标</w:t>
      </w:r>
      <w:r>
        <w:rPr>
          <w:rFonts w:ascii="宋体" w:hAnsi="宋体"/>
          <w:color w:val="000000" w:themeColor="text1"/>
          <w:sz w:val="24"/>
          <w:szCs w:val="24"/>
          <w14:textFill>
            <w14:solidFill>
              <w14:schemeClr w14:val="tx1"/>
            </w14:solidFill>
          </w14:textFill>
        </w:rPr>
        <w:t xml:space="preserve">文件，如确定参加本次</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活动，必须在</w:t>
      </w:r>
      <w:r>
        <w:rPr>
          <w:rFonts w:hint="eastAsia" w:ascii="宋体" w:hAnsi="宋体"/>
          <w:bCs/>
          <w:color w:val="000000" w:themeColor="text1"/>
          <w:sz w:val="24"/>
          <w:szCs w:val="24"/>
          <w14:textFill>
            <w14:solidFill>
              <w14:schemeClr w14:val="tx1"/>
            </w14:solidFill>
          </w14:textFill>
        </w:rPr>
        <w:t xml:space="preserve">招标文件提供期限</w:t>
      </w:r>
      <w:r>
        <w:rPr>
          <w:rFonts w:ascii="宋体" w:hAnsi="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14:textFill>
            <w14:solidFill>
              <w14:schemeClr w14:val="tx1"/>
            </w14:solidFill>
          </w14:textFill>
        </w:rPr>
        <w:t xml:space="preserve">从</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中下载文件（“项目参与”——“</w:t>
      </w:r>
      <w:r>
        <w:rPr>
          <w:rFonts w:hint="eastAsia" w:ascii="宋体" w:hAnsi="宋体"/>
          <w:color w:val="000000" w:themeColor="text1"/>
          <w:sz w:val="24"/>
          <w:szCs w:val="24"/>
          <w14:textFill>
            <w14:solidFill>
              <w14:schemeClr w14:val="tx1"/>
            </w14:solidFill>
          </w14:textFill>
        </w:rPr>
        <w:t xml:space="preserve">采购项目参与</w:t>
      </w:r>
      <w:r>
        <w:rPr>
          <w:rFonts w:ascii="宋体" w:hAnsi="宋体"/>
          <w:color w:val="000000" w:themeColor="text1"/>
          <w:sz w:val="24"/>
          <w:szCs w:val="24"/>
          <w14:textFill>
            <w14:solidFill>
              <w14:schemeClr w14:val="tx1"/>
            </w14:solidFill>
          </w14:textFill>
        </w:rPr>
        <w:t xml:space="preserve">”找到需要获取</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文件的项目，点击“我要参与”——“参与投标”</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下载文件</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），完成项目</w:t>
      </w:r>
      <w:r>
        <w:rPr>
          <w:rFonts w:hint="eastAsia" w:ascii="宋体" w:hAnsi="宋体"/>
          <w:color w:val="000000" w:themeColor="text1"/>
          <w:sz w:val="24"/>
          <w:szCs w:val="24"/>
          <w14:textFill>
            <w14:solidFill>
              <w14:schemeClr w14:val="tx1"/>
            </w14:solidFill>
          </w14:textFill>
        </w:rPr>
        <w:t xml:space="preserve">参与</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将</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w:t>
      </w:r>
      <w:r>
        <w:rPr>
          <w:rFonts w:ascii="宋体" w:hAnsi="宋体"/>
          <w:color w:val="000000" w:themeColor="text1"/>
          <w:sz w:val="24"/>
          <w:szCs w:val="24"/>
          <w14:textFill>
            <w14:solidFill>
              <w14:schemeClr w14:val="tx1"/>
            </w14:solidFill>
          </w14:textFill>
        </w:rPr>
        <w:t xml:space="preserve">下载的</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（后缀名为“.kedt”）</w:t>
      </w:r>
      <w:r>
        <w:rPr>
          <w:rFonts w:ascii="宋体" w:hAnsi="宋体"/>
          <w:color w:val="000000" w:themeColor="text1"/>
          <w:sz w:val="24"/>
          <w:szCs w:val="24"/>
          <w14:textFill>
            <w14:solidFill>
              <w14:schemeClr w14:val="tx1"/>
            </w14:solidFill>
          </w14:textFill>
        </w:rPr>
        <w:t xml:space="preserve">导入到“政府采购客户端”，离线按要求</w:t>
      </w:r>
      <w:r>
        <w:rPr>
          <w:rFonts w:hint="eastAsia" w:ascii="宋体" w:hAnsi="宋体"/>
          <w:color w:val="000000" w:themeColor="text1"/>
          <w:sz w:val="24"/>
          <w:szCs w:val="24"/>
          <w14:textFill>
            <w14:solidFill>
              <w14:schemeClr w14:val="tx1"/>
            </w14:solidFill>
          </w14:textFill>
        </w:rPr>
        <w:t xml:space="preserve">编制</w:t>
      </w:r>
      <w:r>
        <w:rPr>
          <w:rFonts w:ascii="宋体" w:hAnsi="宋体"/>
          <w:color w:val="000000" w:themeColor="text1"/>
          <w:sz w:val="24"/>
          <w:szCs w:val="24"/>
          <w14:textFill>
            <w14:solidFill>
              <w14:schemeClr w14:val="tx1"/>
            </w14:solidFill>
          </w14:textFill>
        </w:rPr>
        <w:t xml:space="preserve">并加密</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（使用“CA数字证书”），</w:t>
      </w:r>
      <w:r>
        <w:rPr>
          <w:rFonts w:ascii="宋体" w:hAnsi="宋体"/>
          <w:color w:val="000000" w:themeColor="text1"/>
          <w:sz w:val="24"/>
          <w:szCs w:val="24"/>
          <w14:textFill>
            <w14:solidFill>
              <w14:schemeClr w14:val="tx1"/>
            </w14:solidFill>
          </w14:textFill>
        </w:rPr>
        <w:t xml:space="preserve">导出加密的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（后缀名为zip，不得超过150M）并在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上传该加密的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文件，对</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文件各项内容做出实质性响应，否则其</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（三）有关本次采购的事项若存在变动或修改，敬请及时关注无锡市滨湖区公共资源交易中心在“江苏政府采购网”发布的更正公告。</w:t>
      </w:r>
      <w:r/>
    </w:p>
    <w:p>
      <w:pPr>
        <w:ind w:firstLine="480"/>
        <w:spacing w:line="5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（四）本次采购不收取投标保证金。</w:t>
      </w:r>
      <w:r/>
    </w:p>
    <w:p>
      <w:pPr>
        <w:ind w:firstLine="480"/>
        <w:spacing w:line="500" w:lineRule="exact"/>
        <w:tabs>
          <w:tab w:val="left" w:pos="900" w:leader="none"/>
        </w:tabs>
        <w:rPr>
          <w:rFonts w:ascii="宋体" w:hAnsi="宋体"/>
          <w:bCs/>
          <w:color w:val="000000" w:themeColor="text1"/>
          <w:sz w:val="24"/>
          <w:szCs w:val="24"/>
          <w:shd w:val="clear" w:color="ffffff" w:fill="d9d9d9"/>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shd w:val="clear" w:color="ffffff" w:fill="d9d9d9"/>
          <w14:textFill>
            <w14:solidFill>
              <w14:schemeClr w14:val="tx1"/>
            </w14:solidFill>
          </w14:textFill>
        </w:rPr>
        <w:br w:type="page" w:clear="all"/>
      </w:r>
      <w:bookmarkStart w:id="40" w:name="_Toc120614211"/>
      <w:r>
        <w:rPr>
          <w:rFonts w:hint="eastAsia" w:ascii="黑体" w:hAnsi="黑体" w:eastAsia="黑体"/>
          <w:color w:val="000000" w:themeColor="text1"/>
          <w:sz w:val="36"/>
          <w:szCs w:val="36"/>
          <w14:textFill>
            <w14:solidFill>
              <w14:schemeClr w14:val="tx1"/>
            </w14:solidFill>
          </w14:textFill>
        </w:rPr>
        <w:t xml:space="preserve">第二章  </w:t>
      </w:r>
      <w:bookmarkEnd w:id="1"/>
      <w:r/>
      <w:bookmarkEnd w:id="2"/>
      <w:r/>
      <w:bookmarkEnd w:id="3"/>
      <w:r/>
      <w:bookmarkEnd w:id="4"/>
      <w:r/>
      <w:bookmarkEnd w:id="5"/>
      <w:r/>
      <w:bookmarkEnd w:id="40"/>
      <w:r/>
      <w:bookmarkStart w:id="41" w:name="_Toc513029202"/>
      <w:r/>
      <w:bookmarkStart w:id="42" w:name="_Toc16938518"/>
      <w:r/>
      <w:bookmarkStart w:id="43" w:name="_Toc20823274"/>
      <w:r/>
      <w:bookmarkStart w:id="44" w:name="_Toc120614213"/>
      <w:r>
        <w:rPr>
          <w:rFonts w:hint="eastAsia" w:ascii="黑体" w:hAnsi="黑体" w:eastAsia="黑体"/>
          <w:color w:val="000000" w:themeColor="text1"/>
          <w:sz w:val="36"/>
          <w:szCs w:val="36"/>
          <w14:textFill>
            <w14:solidFill>
              <w14:schemeClr w14:val="tx1"/>
            </w14:solidFill>
          </w14:textFill>
        </w:rPr>
        <w:t xml:space="preserve">投标人须知</w:t>
      </w:r>
      <w:bookmarkEnd w:id="41"/>
      <w:r/>
      <w:bookmarkEnd w:id="42"/>
      <w:r/>
      <w:bookmarkEnd w:id="43"/>
      <w:r/>
      <w:bookmarkEnd w:id="44"/>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45" w:name="_Toc513029203"/>
      <w:r/>
      <w:bookmarkStart w:id="46" w:name="_Toc20823275"/>
      <w:r/>
      <w:bookmarkStart w:id="47" w:name="_Toc120614214"/>
      <w:r/>
      <w:bookmarkStart w:id="48" w:name="_Toc16938519"/>
      <w:r>
        <w:rPr>
          <w:rFonts w:hint="eastAsia"/>
          <w:color w:val="000000" w:themeColor="text1"/>
          <w:sz w:val="30"/>
          <w:szCs w:val="30"/>
          <w14:textFill>
            <w14:solidFill>
              <w14:schemeClr w14:val="tx1"/>
            </w14:solidFill>
          </w14:textFill>
        </w:rPr>
        <w:t xml:space="preserve">一、总则</w:t>
      </w:r>
      <w:bookmarkEnd w:id="45"/>
      <w:r/>
      <w:bookmarkEnd w:id="46"/>
      <w:r/>
      <w:bookmarkEnd w:id="47"/>
      <w:r/>
      <w:bookmarkEnd w:id="48"/>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49" w:name="_Hlt16619475"/>
      <w:r/>
      <w:bookmarkEnd w:id="49"/>
      <w:r/>
      <w:bookmarkStart w:id="50" w:name="_Toc16938520"/>
      <w:r/>
      <w:bookmarkStart w:id="51" w:name="_Toc513029204"/>
      <w:r/>
      <w:bookmarkStart w:id="52" w:name="_Toc20823276"/>
      <w:r>
        <w:rPr>
          <w:rFonts w:hint="eastAsia" w:ascii="宋体" w:hAnsi="宋体" w:eastAsia="宋体"/>
          <w:bCs w:val="0"/>
          <w:color w:val="000000" w:themeColor="text1"/>
          <w14:textFill>
            <w14:solidFill>
              <w14:schemeClr w14:val="tx1"/>
            </w14:solidFill>
          </w14:textFill>
        </w:rPr>
        <w:t xml:space="preserve">1.招标方式</w:t>
      </w:r>
      <w:bookmarkEnd w:id="50"/>
      <w:r/>
      <w:bookmarkEnd w:id="51"/>
      <w:r/>
      <w:bookmarkEnd w:id="52"/>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1.1本次招标采取公开招标方式，本招标文件仅适用于招标公告中所述项目。</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3" w:name="_Toc16938521"/>
      <w:r/>
      <w:bookmarkStart w:id="54" w:name="_Toc513029205"/>
      <w:r/>
      <w:bookmarkStart w:id="55" w:name="_Toc20823277"/>
      <w:r>
        <w:rPr>
          <w:rFonts w:hint="eastAsia" w:ascii="宋体" w:hAnsi="宋体" w:eastAsia="宋体"/>
          <w:bCs w:val="0"/>
          <w:color w:val="000000" w:themeColor="text1"/>
          <w14:textFill>
            <w14:solidFill>
              <w14:schemeClr w14:val="tx1"/>
            </w14:solidFill>
          </w14:textFill>
        </w:rPr>
        <w:t xml:space="preserve">2.</w:t>
      </w:r>
      <w:bookmarkEnd w:id="53"/>
      <w:r/>
      <w:bookmarkEnd w:id="54"/>
      <w:r/>
      <w:bookmarkEnd w:id="55"/>
      <w:r>
        <w:rPr>
          <w:rFonts w:hint="eastAsia" w:ascii="宋体" w:hAnsi="宋体" w:eastAsia="宋体"/>
          <w:bCs w:val="0"/>
          <w:color w:val="000000" w:themeColor="text1"/>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6" w:name="_Toc20823278"/>
      <w:r/>
      <w:bookmarkStart w:id="57" w:name="_Toc513029206"/>
      <w:r/>
      <w:bookmarkStart w:id="58" w:name="_Toc16938522"/>
      <w:r>
        <w:rPr>
          <w:rFonts w:hint="eastAsia" w:ascii="宋体" w:hAnsi="宋体" w:eastAsia="宋体"/>
          <w:bCs w:val="0"/>
          <w:color w:val="000000" w:themeColor="text1"/>
          <w14:textFill>
            <w14:solidFill>
              <w14:schemeClr w14:val="tx1"/>
            </w14:solidFill>
          </w14:textFill>
        </w:rPr>
        <w:t xml:space="preserve">3.适用法律</w:t>
      </w:r>
      <w:bookmarkEnd w:id="56"/>
      <w:r/>
      <w:bookmarkEnd w:id="57"/>
      <w:r/>
      <w:bookmarkEnd w:id="58"/>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3.1本次招标及由此产生的合同受中华人民共和国法律的制约和保护。</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9" w:name="_Toc513029207"/>
      <w:r/>
      <w:bookmarkStart w:id="60" w:name="_Toc462564067"/>
      <w:r/>
      <w:bookmarkStart w:id="61" w:name="_Toc20823279"/>
      <w:r/>
      <w:bookmarkStart w:id="62" w:name="_Toc16938523"/>
      <w:r>
        <w:rPr>
          <w:rFonts w:hint="eastAsia" w:ascii="宋体" w:hAnsi="宋体" w:eastAsia="宋体"/>
          <w:bCs w:val="0"/>
          <w:color w:val="000000" w:themeColor="text1"/>
          <w14:textFill>
            <w14:solidFill>
              <w14:schemeClr w14:val="tx1"/>
            </w14:solidFill>
          </w14:textFill>
        </w:rPr>
        <w:t xml:space="preserve">4.投标费用</w:t>
      </w:r>
      <w:bookmarkEnd w:id="59"/>
      <w:r/>
      <w:bookmarkEnd w:id="60"/>
      <w:r/>
      <w:bookmarkEnd w:id="61"/>
      <w:r/>
      <w:bookmarkEnd w:id="62"/>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投标人应自行承担所有与参加投标有关的费用，无论投标过程中的做法和结果如何，无锡市滨湖区公共资源交易中心（以下简称交易中心）在任何情况下均无义务和责任承担这些费用。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4.2本次招标标书工本费、中标服务费、招标文件均免费。</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t xml:space="preserve">投标人一旦参加本项目采购活动，即被认为接受了本招标文件的规定和约束。</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63" w:name="_Toc16938525"/>
      <w:r/>
      <w:bookmarkStart w:id="64" w:name="_Toc120614215"/>
      <w:r/>
      <w:bookmarkStart w:id="65" w:name="_Toc513029209"/>
      <w:r/>
      <w:bookmarkStart w:id="66" w:name="_Toc20823281"/>
      <w:r>
        <w:rPr>
          <w:rFonts w:hint="eastAsia"/>
          <w:color w:val="000000" w:themeColor="text1"/>
          <w:sz w:val="30"/>
          <w:szCs w:val="30"/>
          <w14:textFill>
            <w14:solidFill>
              <w14:schemeClr w14:val="tx1"/>
            </w14:solidFill>
          </w14:textFill>
        </w:rPr>
        <w:t xml:space="preserve">二、招标文件</w:t>
      </w:r>
      <w:bookmarkEnd w:id="63"/>
      <w:r/>
      <w:bookmarkEnd w:id="64"/>
      <w:r/>
      <w:bookmarkEnd w:id="65"/>
      <w:r/>
      <w:bookmarkEnd w:id="66"/>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67" w:name="_Toc20823282"/>
      <w:r/>
      <w:bookmarkStart w:id="68" w:name="_Toc16938526"/>
      <w:r/>
      <w:bookmarkStart w:id="69" w:name="_Toc513029210"/>
      <w:r>
        <w:rPr>
          <w:rFonts w:hint="eastAsia" w:ascii="宋体" w:hAnsi="宋体" w:eastAsia="宋体"/>
          <w:bCs w:val="0"/>
          <w:color w:val="000000" w:themeColor="text1"/>
          <w14:textFill>
            <w14:solidFill>
              <w14:schemeClr w14:val="tx1"/>
            </w14:solidFill>
          </w14:textFill>
        </w:rPr>
        <w:t xml:space="preserve">6.招标文件构成</w:t>
      </w:r>
      <w:bookmarkEnd w:id="67"/>
      <w:r/>
      <w:bookmarkEnd w:id="68"/>
      <w:r/>
      <w:bookmarkEnd w:id="69"/>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w:t>
      </w:r>
      <w:r>
        <w:rPr>
          <w:rFonts w:ascii="宋体" w:hAnsi="宋体"/>
          <w:color w:val="000000" w:themeColor="text1"/>
          <w:sz w:val="24"/>
          <w:szCs w:val="24"/>
          <w14:textFill>
            <w14:solidFill>
              <w14:schemeClr w14:val="tx1"/>
            </w14:solidFill>
          </w14:textFill>
        </w:rPr>
        <w:t xml:space="preserve">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（4）采购需求</w:t>
      </w:r>
      <w:r/>
    </w:p>
    <w:p>
      <w:pPr>
        <w:ind w:firstLine="480"/>
        <w:spacing w:line="5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请仔细检查招标文件是否齐全，如有缺漏请立即与交易中心联系解决。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70" w:name="_Toc513029211"/>
      <w:r/>
      <w:bookmarkStart w:id="71" w:name="_Toc462564070"/>
      <w:r/>
      <w:bookmarkStart w:id="72" w:name="_Toc20823283"/>
      <w:r/>
      <w:bookmarkStart w:id="73" w:name="_Toc16938527"/>
      <w:r>
        <w:rPr>
          <w:rFonts w:hint="eastAsia" w:ascii="宋体" w:hAnsi="宋体" w:eastAsia="宋体"/>
          <w:bCs w:val="0"/>
          <w:color w:val="000000" w:themeColor="text1"/>
          <w14:textFill>
            <w14:solidFill>
              <w14:schemeClr w14:val="tx1"/>
            </w14:solidFill>
          </w14:textFill>
        </w:rPr>
        <w:t xml:space="preserve">7.招标文件的澄清</w:t>
      </w:r>
      <w:bookmarkEnd w:id="70"/>
      <w:r/>
      <w:bookmarkEnd w:id="71"/>
      <w:r/>
      <w:bookmarkEnd w:id="72"/>
      <w:r/>
      <w:bookmarkEnd w:id="73"/>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74" w:name="_Toc16938528"/>
      <w:r/>
      <w:bookmarkStart w:id="75" w:name="_Toc20823284"/>
      <w:r/>
      <w:bookmarkStart w:id="76" w:name="_Toc513029212"/>
      <w:r/>
      <w:bookmarkStart w:id="77" w:name="_Toc462564071"/>
      <w:r>
        <w:rPr>
          <w:rFonts w:hint="eastAsia" w:ascii="宋体" w:hAnsi="宋体" w:eastAsia="宋体"/>
          <w:bCs w:val="0"/>
          <w:color w:val="000000" w:themeColor="text1"/>
          <w14:textFill>
            <w14:solidFill>
              <w14:schemeClr w14:val="tx1"/>
            </w14:solidFill>
          </w14:textFill>
        </w:rPr>
        <w:t xml:space="preserve">8.招标文件的修改</w:t>
      </w:r>
      <w:bookmarkEnd w:id="74"/>
      <w:r/>
      <w:bookmarkEnd w:id="75"/>
      <w:r/>
      <w:bookmarkEnd w:id="76"/>
      <w:r/>
      <w:bookmarkEnd w:id="77"/>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关注原招标公告媒体上发布的更正公告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14:textFill>
            <w14:solidFill>
              <w14:schemeClr w14:val="tx1"/>
            </w14:solidFill>
          </w14:textFill>
        </w:rPr>
        <w:t xml:space="preserve">或未全面</w:t>
      </w:r>
      <w:r>
        <w:rPr>
          <w:rFonts w:hint="eastAsia" w:ascii="宋体" w:hAnsi="宋体"/>
          <w:bCs/>
          <w:color w:val="000000" w:themeColor="text1"/>
          <w:sz w:val="24"/>
          <w:szCs w:val="24"/>
          <w14:textFill>
            <w14:solidFill>
              <w14:schemeClr w14:val="tx1"/>
            </w14:solidFill>
          </w14:textFill>
        </w:rPr>
        <w:t xml:space="preserve">关注更正公告导致其提交的投标材料不符合本项目相关招标要求，而造成的损失及风险（包括但不限于未中标）由投标人自行承担。</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78" w:name="_Toc462564072"/>
      <w:r/>
      <w:bookmarkStart w:id="79" w:name="_Toc513029213"/>
      <w:r/>
      <w:bookmarkStart w:id="80" w:name="_Toc16938529"/>
      <w:r/>
      <w:bookmarkStart w:id="81" w:name="_Toc120614216"/>
      <w:r/>
      <w:bookmarkStart w:id="82" w:name="_Toc20823285"/>
      <w:r>
        <w:rPr>
          <w:rFonts w:hint="eastAsia"/>
          <w:color w:val="000000" w:themeColor="text1"/>
          <w:sz w:val="30"/>
          <w:szCs w:val="30"/>
          <w14:textFill>
            <w14:solidFill>
              <w14:schemeClr w14:val="tx1"/>
            </w14:solidFill>
          </w14:textFill>
        </w:rPr>
        <w:t xml:space="preserve">三、投标文件的编制</w:t>
      </w:r>
      <w:bookmarkEnd w:id="78"/>
      <w:r/>
      <w:bookmarkEnd w:id="79"/>
      <w:r/>
      <w:bookmarkEnd w:id="80"/>
      <w:r/>
      <w:bookmarkEnd w:id="81"/>
      <w:r/>
      <w:bookmarkEnd w:id="82"/>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83" w:name="_Toc462564073"/>
      <w:r/>
      <w:bookmarkStart w:id="84" w:name="_Toc20823286"/>
      <w:r/>
      <w:bookmarkStart w:id="85" w:name="_Toc16938530"/>
      <w:r/>
      <w:bookmarkStart w:id="86" w:name="_Toc513029214"/>
      <w:r>
        <w:rPr>
          <w:rFonts w:hint="eastAsia" w:ascii="宋体" w:hAnsi="宋体" w:eastAsia="宋体"/>
          <w:bCs w:val="0"/>
          <w:color w:val="000000" w:themeColor="text1"/>
          <w14:textFill>
            <w14:solidFill>
              <w14:schemeClr w14:val="tx1"/>
            </w14:solidFill>
          </w14:textFill>
        </w:rPr>
        <w:t xml:space="preserve">9.投标文件的语言及度量衡单位</w:t>
      </w:r>
      <w:bookmarkEnd w:id="83"/>
      <w:r/>
      <w:bookmarkEnd w:id="84"/>
      <w:r/>
      <w:bookmarkEnd w:id="85"/>
      <w:r/>
      <w:bookmarkEnd w:id="86"/>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9.1</w:t>
      </w:r>
      <w:r>
        <w:rPr>
          <w:rFonts w:hint="eastAsia" w:ascii="宋体" w:hAnsi="宋体"/>
          <w:color w:val="000000" w:themeColor="text1"/>
          <w:sz w:val="24"/>
          <w14:textFill>
            <w14:solidFill>
              <w14:schemeClr w14:val="tx1"/>
            </w14:solidFill>
          </w14:textFill>
        </w:rPr>
        <w:t xml:space="preserve">投标人提交的投标文件以及投标人与交易中心就有关投标的所有来往通知、函件和文件均应使用</w:t>
      </w:r>
      <w:r>
        <w:rPr>
          <w:rFonts w:hint="eastAsia" w:ascii="宋体" w:hAnsi="宋体"/>
          <w:bCs/>
          <w:color w:val="000000" w:themeColor="text1"/>
          <w:sz w:val="24"/>
          <w14:textFill>
            <w14:solidFill>
              <w14:schemeClr w14:val="tx1"/>
            </w14:solidFill>
          </w14:textFill>
        </w:rPr>
        <w:t xml:space="preserve">简体中文</w:t>
      </w:r>
      <w:r>
        <w:rPr>
          <w:rFonts w:hint="eastAsia" w:ascii="宋体" w:hAnsi="宋体"/>
          <w:bCs/>
          <w:color w:val="000000" w:themeColor="text1"/>
          <w:sz w:val="24"/>
          <w:szCs w:val="24"/>
          <w14:textFill>
            <w14:solidFill>
              <w14:schemeClr w14:val="tx1"/>
            </w14:solidFill>
          </w14:textFill>
        </w:rPr>
        <w:t xml:space="preserve">（规格、型号辅助符号例外）</w:t>
      </w:r>
      <w:r>
        <w:rPr>
          <w:rFonts w:hint="eastAsia" w:ascii="宋体" w:hAnsi="宋体"/>
          <w:color w:val="000000" w:themeColor="text1"/>
          <w:sz w:val="24"/>
          <w14:textFill>
            <w14:solidFill>
              <w14:schemeClr w14:val="tx1"/>
            </w14:solidFill>
          </w14:textFill>
        </w:rPr>
        <w:t xml:space="preserve">。</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9.2</w:t>
      </w:r>
      <w:r>
        <w:rPr>
          <w:rFonts w:hint="eastAsia" w:ascii="宋体" w:hAnsi="宋体"/>
          <w:color w:val="000000" w:themeColor="text1"/>
          <w:sz w:val="24"/>
          <w14:textFill>
            <w14:solidFill>
              <w14:schemeClr w14:val="tx1"/>
            </w14:solidFill>
          </w14:textFill>
        </w:rPr>
        <w:t xml:space="preserve">除技术性能另有规定外，投标文件所使用的度量衡单位，均须采用国家法定计量单位。</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87" w:name="_Toc513029215"/>
      <w:r/>
      <w:bookmarkStart w:id="88" w:name="_Toc16938531"/>
      <w:r/>
      <w:bookmarkStart w:id="89" w:name="_Toc20823287"/>
      <w:r/>
      <w:bookmarkStart w:id="90" w:name="_Toc462564074"/>
      <w:r>
        <w:rPr>
          <w:rFonts w:hint="eastAsia" w:ascii="宋体" w:hAnsi="宋体" w:eastAsia="宋体"/>
          <w:bCs w:val="0"/>
          <w:color w:val="000000" w:themeColor="text1"/>
          <w14:textFill>
            <w14:solidFill>
              <w14:schemeClr w14:val="tx1"/>
            </w14:solidFill>
          </w14:textFill>
        </w:rPr>
        <w:t xml:space="preserve">10.投标文件构成</w:t>
      </w:r>
      <w:bookmarkEnd w:id="87"/>
      <w:r/>
      <w:bookmarkEnd w:id="88"/>
      <w:r/>
      <w:bookmarkEnd w:id="89"/>
      <w:r/>
      <w:bookmarkEnd w:id="90"/>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10.3如标书制作工具中格式和内容与招标文件不一致的，请以招标文件为准。</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91" w:name="_Hlt26670360"/>
      <w:r/>
      <w:bookmarkEnd w:id="91"/>
      <w:r/>
      <w:bookmarkStart w:id="92" w:name="_Hlt26954838"/>
      <w:r/>
      <w:bookmarkEnd w:id="92"/>
      <w:r/>
      <w:bookmarkStart w:id="93" w:name="_Hlt26668975"/>
      <w:r/>
      <w:bookmarkEnd w:id="93"/>
      <w:r/>
      <w:bookmarkStart w:id="94" w:name="_Toc49090509"/>
      <w:r/>
      <w:bookmarkStart w:id="95" w:name="_Toc14577357"/>
      <w:r/>
      <w:bookmarkStart w:id="96" w:name="_Toc513029219"/>
      <w:r/>
      <w:bookmarkStart w:id="97" w:name="_Toc14577354"/>
      <w:r/>
      <w:bookmarkStart w:id="98" w:name="_Toc513029216"/>
      <w:r/>
      <w:bookmarkStart w:id="99" w:name="_Toc49090507"/>
      <w:r>
        <w:rPr>
          <w:rFonts w:hint="eastAsia" w:ascii="宋体" w:hAnsi="宋体" w:eastAsia="宋体"/>
          <w:bCs w:val="0"/>
          <w:color w:val="000000" w:themeColor="text1"/>
          <w14:textFill>
            <w14:solidFill>
              <w14:schemeClr w14:val="tx1"/>
            </w14:solidFill>
          </w14:textFill>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ascii="宋体" w:hAnsi="宋体"/>
          <w:bCs/>
          <w:color w:val="000000" w:themeColor="text1"/>
          <w:sz w:val="24"/>
          <w14:textFill>
            <w14:solidFill>
              <w14:schemeClr w14:val="tx1"/>
            </w14:solidFill>
          </w14:textFill>
        </w:rPr>
      </w:pPr>
      <w:r/>
      <w:bookmarkStart w:id="100" w:name="_Toc14577355"/>
      <w:r/>
      <w:bookmarkStart w:id="101" w:name="_Toc49090508"/>
      <w:r>
        <w:rPr>
          <w:rFonts w:hint="eastAsia" w:ascii="宋体" w:hAnsi="宋体"/>
          <w:bCs/>
          <w:color w:val="000000" w:themeColor="text1"/>
          <w:sz w:val="24"/>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02" w:name="_Toc14577359"/>
      <w:r/>
      <w:bookmarkStart w:id="103" w:name="_Toc49090510"/>
      <w:r>
        <w:rPr>
          <w:rFonts w:hint="eastAsia" w:ascii="宋体" w:hAnsi="宋体" w:eastAsia="宋体"/>
          <w:bCs w:val="0"/>
          <w:color w:val="000000" w:themeColor="text1"/>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12.1</w:t>
      </w:r>
      <w:r>
        <w:rPr>
          <w:rFonts w:hint="eastAsia" w:ascii="宋体" w:hAnsi="宋体"/>
          <w:color w:val="000000" w:themeColor="text1"/>
          <w:sz w:val="24"/>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13.</w:t>
      </w:r>
      <w:bookmarkEnd w:id="100"/>
      <w:r/>
      <w:bookmarkEnd w:id="101"/>
      <w:r>
        <w:rPr>
          <w:rFonts w:hint="eastAsia" w:ascii="宋体" w:hAnsi="宋体" w:eastAsia="宋体"/>
          <w:bCs w:val="0"/>
          <w:color w:val="000000" w:themeColor="text1"/>
          <w14:textFill>
            <w14:solidFill>
              <w14:schemeClr w14:val="tx1"/>
            </w14:solidFill>
          </w14:textFill>
        </w:rPr>
        <w:t xml:space="preserve">分项报价表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w:t>
      </w:r>
      <w:r>
        <w:rPr>
          <w:rFonts w:hint="eastAsia" w:ascii="宋体" w:hAnsi="宋体"/>
          <w:color w:val="000000" w:themeColor="text1"/>
          <w:sz w:val="24"/>
          <w14:textFill>
            <w14:solidFill>
              <w14:schemeClr w14:val="tx1"/>
            </w14:solidFill>
          </w14:textFill>
        </w:rPr>
        <w:t xml:space="preserve">投</w:t>
      </w:r>
      <w:bookmarkStart w:id="104" w:name="_Hlt26954840"/>
      <w:r/>
      <w:bookmarkEnd w:id="104"/>
      <w:r>
        <w:rPr>
          <w:rFonts w:hint="eastAsia" w:ascii="宋体" w:hAnsi="宋体"/>
          <w:color w:val="000000" w:themeColor="text1"/>
          <w:sz w:val="24"/>
          <w14:textFill>
            <w14:solidFill>
              <w14:schemeClr w14:val="tx1"/>
            </w14:solidFill>
          </w14:textFill>
        </w:rPr>
        <w:t xml:space="preserve">标人应按照招标文件规定格式填报</w:t>
      </w:r>
      <w:bookmarkStart w:id="105" w:name="_Hlt26670399"/>
      <w:r/>
      <w:bookmarkEnd w:id="105"/>
      <w:r>
        <w:rPr>
          <w:rFonts w:hint="eastAsia" w:ascii="宋体" w:hAnsi="宋体"/>
          <w:color w:val="000000" w:themeColor="text1"/>
          <w:sz w:val="24"/>
          <w14:textFill>
            <w14:solidFill>
              <w14:schemeClr w14:val="tx1"/>
            </w14:solidFill>
          </w14:textFill>
        </w:rPr>
        <w:t xml:space="preserve">分项报价表。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w:t>
      </w:r>
      <w:r>
        <w:rPr>
          <w:rFonts w:hint="eastAsia" w:ascii="宋体" w:hAnsi="宋体"/>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 xml:space="preserve">招标文件中另有规定的按规定执行。</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06" w:name="_Hlt26954844"/>
      <w:r/>
      <w:bookmarkEnd w:id="106"/>
      <w:r/>
      <w:bookmarkStart w:id="107" w:name="_Hlt26954848"/>
      <w:r/>
      <w:bookmarkEnd w:id="107"/>
      <w:r/>
      <w:bookmarkStart w:id="108" w:name="_Hlt26954731"/>
      <w:r/>
      <w:bookmarkEnd w:id="108"/>
      <w:r/>
      <w:bookmarkStart w:id="109" w:name="_Hlt26670425"/>
      <w:r/>
      <w:bookmarkEnd w:id="109"/>
      <w:r/>
      <w:bookmarkStart w:id="110" w:name="_Hlt26954842"/>
      <w:r/>
      <w:bookmarkEnd w:id="110"/>
      <w:r/>
      <w:bookmarkStart w:id="111" w:name="_Hlt26670482"/>
      <w:r/>
      <w:bookmarkEnd w:id="111"/>
      <w:r/>
      <w:bookmarkStart w:id="112" w:name="_Hlt26670403"/>
      <w:r/>
      <w:bookmarkEnd w:id="112"/>
      <w:r/>
      <w:bookmarkStart w:id="113" w:name="_Hlt26954846"/>
      <w:r/>
      <w:bookmarkEnd w:id="113"/>
      <w:r/>
      <w:bookmarkStart w:id="114" w:name="_Hlt26670486"/>
      <w:r/>
      <w:bookmarkEnd w:id="114"/>
      <w:r/>
      <w:bookmarkStart w:id="115" w:name="_Hlt26668983"/>
      <w:r/>
      <w:bookmarkEnd w:id="115"/>
      <w:r>
        <w:rPr>
          <w:rFonts w:hint="eastAsia" w:ascii="宋体" w:hAnsi="宋体" w:eastAsia="宋体"/>
          <w:bCs w:val="0"/>
          <w:color w:val="000000" w:themeColor="text1"/>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14:textFill>
            <w14:solidFill>
              <w14:schemeClr w14:val="tx1"/>
            </w14:solidFill>
          </w14:textFill>
        </w:rPr>
      </w:pPr>
      <w:r>
        <w:rPr>
          <w:rFonts w:hint="eastAsia" w:ascii="宋体" w:hAnsi="Arial" w:cs="宋体"/>
          <w:color w:val="000000" w:themeColor="text1"/>
          <w:sz w:val="24"/>
          <w14:textFill>
            <w14:solidFill>
              <w14:schemeClr w14:val="tx1"/>
            </w14:solidFill>
          </w14:textFill>
        </w:rPr>
        <w:t xml:space="preserve">14</w:t>
      </w:r>
      <w:r>
        <w:rPr>
          <w:rFonts w:hint="eastAsia" w:ascii="宋体" w:hAnsi="Arial" w:cs="宋体"/>
          <w:color w:val="000000" w:themeColor="text1"/>
          <w:sz w:val="24"/>
          <w:lang w:val="zh-CN"/>
          <w14:textFill>
            <w14:solidFill>
              <w14:schemeClr w14:val="tx1"/>
            </w14:solidFill>
          </w14:textFill>
        </w:rPr>
        <w:t xml:space="preserve">.</w:t>
      </w:r>
      <w:r>
        <w:rPr>
          <w:rFonts w:hint="eastAsia" w:ascii="宋体" w:hAnsi="Arial" w:cs="宋体"/>
          <w:color w:val="000000" w:themeColor="text1"/>
          <w:sz w:val="24"/>
          <w14:textFill>
            <w14:solidFill>
              <w14:schemeClr w14:val="tx1"/>
            </w14:solidFill>
          </w14:textFill>
        </w:rPr>
        <w:t xml:space="preserve">1</w:t>
      </w:r>
      <w:r>
        <w:rPr>
          <w:rFonts w:hint="eastAsia" w:ascii="宋体" w:hAnsi="Arial" w:cs="宋体"/>
          <w:color w:val="000000" w:themeColor="text1"/>
          <w:sz w:val="24"/>
          <w:lang w:val="zh-CN"/>
          <w14:textFill>
            <w14:solidFill>
              <w14:schemeClr w14:val="tx1"/>
            </w14:solidFill>
          </w14:textFill>
        </w:rPr>
        <w:t xml:space="preserve">投标人可在投标文件中提供认为需要的其他技术文件或说明。</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16" w:name="_Hlt26954850"/>
      <w:r/>
      <w:bookmarkEnd w:id="116"/>
      <w:r/>
      <w:bookmarkStart w:id="117" w:name="_Hlt26954734"/>
      <w:r/>
      <w:bookmarkEnd w:id="117"/>
      <w:r/>
      <w:bookmarkStart w:id="118" w:name="_Hlt26670489"/>
      <w:r/>
      <w:bookmarkEnd w:id="118"/>
      <w:r/>
      <w:bookmarkStart w:id="119" w:name="_Toc49090511"/>
      <w:r/>
      <w:bookmarkStart w:id="120" w:name="_Toc14577360"/>
      <w:r>
        <w:rPr>
          <w:rFonts w:hint="eastAsia" w:ascii="宋体" w:hAnsi="宋体" w:eastAsia="宋体"/>
          <w:bCs w:val="0"/>
          <w:color w:val="000000" w:themeColor="text1"/>
          <w14:textFill>
            <w14:solidFill>
              <w14:schemeClr w14:val="tx1"/>
            </w14:solidFill>
          </w14:textFill>
        </w:rPr>
        <w:t xml:space="preserve">15.投标有效期</w:t>
      </w:r>
      <w:bookmarkEnd w:id="119"/>
      <w:r/>
      <w:bookmarkEnd w:id="120"/>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w:t>
      </w:r>
      <w:r>
        <w:rPr>
          <w:rFonts w:hint="eastAsia" w:ascii="宋体" w:hAnsi="宋体"/>
          <w:bCs/>
          <w:color w:val="000000" w:themeColor="text1"/>
          <w:sz w:val="24"/>
          <w14:textFill>
            <w14:solidFill>
              <w14:schemeClr w14:val="tx1"/>
            </w14:solidFill>
          </w14:textFill>
        </w:rPr>
        <w:t xml:space="preserve">投标有效期为招标文件规定的开标之日后</w:t>
      </w:r>
      <w:r>
        <w:rPr>
          <w:rFonts w:hint="eastAsia" w:ascii="宋体" w:hAnsi="宋体"/>
          <w:color w:val="000000" w:themeColor="text1"/>
          <w:sz w:val="24"/>
          <w14:textFill>
            <w14:solidFill>
              <w14:schemeClr w14:val="tx1"/>
            </w14:solidFill>
          </w14:textFill>
        </w:rPr>
        <w:t xml:space="preserve">九十（90）天</w:t>
      </w:r>
      <w:r>
        <w:rPr>
          <w:rFonts w:hint="eastAsia" w:ascii="宋体" w:hAnsi="宋体"/>
          <w:bCs/>
          <w:color w:val="000000" w:themeColor="text1"/>
          <w:sz w:val="24"/>
          <w14:textFill>
            <w14:solidFill>
              <w14:schemeClr w14:val="tx1"/>
            </w14:solidFill>
          </w14:textFill>
        </w:rPr>
        <w:t xml:space="preserve">。投标有效期比规定短的将被视为未实质性响应招标</w:t>
      </w:r>
      <w:r>
        <w:rPr>
          <w:rFonts w:ascii="宋体" w:hAnsi="宋体"/>
          <w:bCs/>
          <w:color w:val="000000" w:themeColor="text1"/>
          <w:sz w:val="24"/>
          <w14:textFill>
            <w14:solidFill>
              <w14:schemeClr w14:val="tx1"/>
            </w14:solidFill>
          </w14:textFill>
        </w:rPr>
        <w:t xml:space="preserve">文件</w:t>
      </w:r>
      <w:r>
        <w:rPr>
          <w:rFonts w:hint="eastAsia" w:ascii="宋体" w:hAnsi="宋体"/>
          <w:bCs/>
          <w:color w:val="000000" w:themeColor="text1"/>
          <w:sz w:val="24"/>
          <w14:textFill>
            <w14:solidFill>
              <w14:schemeClr w14:val="tx1"/>
            </w14:solidFill>
          </w14:textFill>
        </w:rPr>
        <w:t xml:space="preserve">而予以拒绝。</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hint="eastAsia" w:ascii="宋体" w:hAnsi="宋体"/>
          <w:bCs/>
          <w:color w:val="000000" w:themeColor="text1"/>
          <w:sz w:val="24"/>
          <w14:textFill>
            <w14:solidFill>
              <w14:schemeClr w14:val="tx1"/>
            </w14:solidFill>
          </w14:textFill>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14:textFill>
            <w14:solidFill>
              <w14:schemeClr w14:val="tx1"/>
            </w14:solidFill>
          </w14:textFill>
        </w:rPr>
        <w:t xml:space="preserve">。</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121" w:name="_Hlt26954852"/>
      <w:r/>
      <w:bookmarkEnd w:id="121"/>
      <w:r/>
      <w:bookmarkStart w:id="122" w:name="_Hlt26954739"/>
      <w:r/>
      <w:bookmarkEnd w:id="122"/>
      <w:r/>
      <w:bookmarkStart w:id="123" w:name="_Toc16938540"/>
      <w:r/>
      <w:bookmarkStart w:id="124" w:name="_Toc20823296"/>
      <w:r/>
      <w:bookmarkStart w:id="125" w:name="_Toc120614217"/>
      <w:r/>
      <w:bookmarkStart w:id="126" w:name="_Toc513029224"/>
      <w:r>
        <w:rPr>
          <w:rFonts w:hint="eastAsia"/>
          <w:color w:val="000000" w:themeColor="text1"/>
          <w:sz w:val="30"/>
          <w:szCs w:val="30"/>
          <w14:textFill>
            <w14:solidFill>
              <w14:schemeClr w14:val="tx1"/>
            </w14:solidFill>
          </w14:textFill>
        </w:rPr>
        <w:t xml:space="preserve">四、投标文件的递交</w:t>
      </w:r>
      <w:bookmarkEnd w:id="123"/>
      <w:r/>
      <w:bookmarkEnd w:id="124"/>
      <w:r/>
      <w:bookmarkEnd w:id="125"/>
      <w:r/>
      <w:bookmarkEnd w:id="126"/>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27" w:name="_Toc16938541"/>
      <w:r/>
      <w:bookmarkStart w:id="128" w:name="_Toc462564084"/>
      <w:r/>
      <w:bookmarkStart w:id="129" w:name="_Toc20823297"/>
      <w:r/>
      <w:bookmarkStart w:id="130" w:name="_Toc513029225"/>
      <w:r>
        <w:rPr>
          <w:rFonts w:hint="eastAsia" w:ascii="宋体" w:hAnsi="宋体" w:eastAsia="宋体"/>
          <w:bCs w:val="0"/>
          <w:color w:val="000000" w:themeColor="text1"/>
          <w14:textFill>
            <w14:solidFill>
              <w14:schemeClr w14:val="tx1"/>
            </w14:solidFill>
          </w14:textFill>
        </w:rPr>
        <w:t xml:space="preserve">17.投标文件</w:t>
      </w:r>
      <w:bookmarkEnd w:id="127"/>
      <w:r/>
      <w:bookmarkEnd w:id="128"/>
      <w:r/>
      <w:bookmarkEnd w:id="129"/>
      <w:r/>
      <w:bookmarkEnd w:id="130"/>
      <w:r>
        <w:rPr>
          <w:rFonts w:hint="eastAsia" w:ascii="宋体" w:hAnsi="宋体" w:eastAsia="宋体"/>
          <w:bCs w:val="0"/>
          <w:color w:val="000000" w:themeColor="text1"/>
          <w14:textFill>
            <w14:solidFill>
              <w14:schemeClr w14:val="tx1"/>
            </w14:solidFill>
          </w14:textFill>
        </w:rPr>
        <w:t xml:space="preserve">的递交</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w:t>
      </w:r>
      <w:r>
        <w:rPr>
          <w:rFonts w:hint="eastAsia" w:ascii="宋体" w:hAnsi="宋体"/>
          <w:bCs/>
          <w:color w:val="000000" w:themeColor="text1"/>
          <w:sz w:val="24"/>
          <w14:textFill>
            <w14:solidFill>
              <w14:schemeClr w14:val="tx1"/>
            </w14:solidFill>
          </w14:textFill>
        </w:rPr>
        <w:t xml:space="preserve">电子投标文件的递交</w:t>
      </w:r>
      <w:r/>
    </w:p>
    <w:p>
      <w:pPr>
        <w:pStyle w:val="1019"/>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投标人应当按照《操作手册》规定，在投标截止时间前</w:t>
      </w:r>
      <w:r>
        <w:rPr>
          <w:rFonts w:ascii="宋体" w:hAnsi="宋体"/>
          <w:bCs/>
          <w:color w:val="000000" w:themeColor="text1"/>
          <w:sz w:val="24"/>
          <w14:textFill>
            <w14:solidFill>
              <w14:schemeClr w14:val="tx1"/>
            </w14:solidFill>
          </w14:textFill>
        </w:rPr>
        <w:t xml:space="preserve">制作</w:t>
      </w:r>
      <w:r>
        <w:rPr>
          <w:rFonts w:hint="eastAsia" w:ascii="宋体" w:hAnsi="宋体"/>
          <w:bCs/>
          <w:color w:val="000000" w:themeColor="text1"/>
          <w:sz w:val="24"/>
          <w14:textFill>
            <w14:solidFill>
              <w14:schemeClr w14:val="tx1"/>
            </w14:solidFill>
          </w14:textFill>
        </w:rPr>
        <w:t xml:space="preserve">并上传电子投标文件。</w:t>
      </w:r>
      <w:bookmarkStart w:id="131" w:name="_Toc20823298"/>
      <w:r/>
      <w:bookmarkStart w:id="132" w:name="_Toc16938542"/>
      <w:r/>
      <w:bookmarkStart w:id="133" w:name="_Toc513029226"/>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18.投标截止</w:t>
      </w:r>
      <w:bookmarkEnd w:id="131"/>
      <w:r/>
      <w:bookmarkEnd w:id="132"/>
      <w:r/>
      <w:bookmarkEnd w:id="133"/>
      <w:r>
        <w:rPr>
          <w:rFonts w:hint="eastAsia" w:ascii="宋体" w:hAnsi="宋体" w:eastAsia="宋体"/>
          <w:bCs w:val="0"/>
          <w:color w:val="000000" w:themeColor="text1"/>
          <w14:textFill>
            <w14:solidFill>
              <w14:schemeClr w14:val="tx1"/>
            </w14:solidFill>
          </w14:textFill>
        </w:rPr>
        <w:t xml:space="preserve">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18.1</w:t>
      </w:r>
      <w:r>
        <w:rPr>
          <w:rFonts w:hint="eastAsia" w:ascii="宋体" w:hAnsi="宋体"/>
          <w:bCs/>
          <w:color w:val="000000" w:themeColor="text1"/>
          <w:sz w:val="24"/>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投标人应充分考虑到网络环境、网络带宽等风险因素，如因投标人自身原因造成的电子投标文件上传不成功的视作投标人未按照招标文件要求上传电子投标文件，作无效投标处理。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18.2</w:t>
      </w:r>
      <w:r>
        <w:rPr>
          <w:rFonts w:hint="eastAsia" w:ascii="宋体" w:hAnsi="宋体"/>
          <w:bCs/>
          <w:color w:val="000000" w:themeColor="text1"/>
          <w:sz w:val="24"/>
          <w14:textFill>
            <w14:solidFill>
              <w14:schemeClr w14:val="tx1"/>
            </w14:solidFill>
          </w14:textFill>
        </w:rPr>
        <w:t xml:space="preserve">交易中心可以按照规定，通过更正公告修改投标截止时间，投标人的所有权利和义务以及投标人受制的截止时间均应以延长后新的截止时间为准。</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34" w:name="_Toc20823299"/>
      <w:r/>
      <w:bookmarkStart w:id="135" w:name="_Toc16938543"/>
      <w:r/>
      <w:bookmarkStart w:id="136" w:name="_Toc513029227"/>
      <w:r>
        <w:rPr>
          <w:rFonts w:hint="eastAsia" w:ascii="宋体" w:hAnsi="宋体" w:eastAsia="宋体"/>
          <w:bCs w:val="0"/>
          <w:color w:val="000000" w:themeColor="text1"/>
          <w14:textFill>
            <w14:solidFill>
              <w14:schemeClr w14:val="tx1"/>
            </w14:solidFill>
          </w14:textFill>
        </w:rPr>
        <w:t xml:space="preserve">19.投标文件</w:t>
      </w:r>
      <w:bookmarkEnd w:id="134"/>
      <w:r/>
      <w:bookmarkEnd w:id="135"/>
      <w:r/>
      <w:bookmarkEnd w:id="136"/>
      <w:r>
        <w:rPr>
          <w:rFonts w:hint="eastAsia" w:ascii="宋体" w:hAnsi="宋体" w:eastAsia="宋体"/>
          <w:bCs w:val="0"/>
          <w:color w:val="000000" w:themeColor="text1"/>
          <w14:textFill>
            <w14:solidFill>
              <w14:schemeClr w14:val="tx1"/>
            </w14:solidFill>
          </w14:textFill>
        </w:rPr>
        <w:t xml:space="preserve">的拒收</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w:t>
      </w:r>
      <w:r>
        <w:rPr>
          <w:rFonts w:hint="eastAsia" w:ascii="宋体" w:hAnsi="宋体"/>
          <w:bCs/>
          <w:color w:val="000000" w:themeColor="text1"/>
          <w:sz w:val="24"/>
          <w14:textFill>
            <w14:solidFill>
              <w14:schemeClr w14:val="tx1"/>
            </w14:solidFill>
          </w14:textFill>
        </w:rPr>
        <w:t xml:space="preserve">交易中心拒绝接收在其规定的投标截止时间后上传的任何投标文件。</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37" w:name="_Toc16938544"/>
      <w:r/>
      <w:bookmarkStart w:id="138" w:name="_Toc20823300"/>
      <w:r/>
      <w:bookmarkStart w:id="139" w:name="_Toc513029228"/>
      <w:r>
        <w:rPr>
          <w:rFonts w:hint="eastAsia" w:ascii="宋体" w:hAnsi="宋体" w:eastAsia="宋体"/>
          <w:bCs w:val="0"/>
          <w:color w:val="000000" w:themeColor="text1"/>
          <w14:textFill>
            <w14:solidFill>
              <w14:schemeClr w14:val="tx1"/>
            </w14:solidFill>
          </w14:textFill>
        </w:rPr>
        <w:t xml:space="preserve">20.投标文件的撤回和修改</w:t>
      </w:r>
      <w:bookmarkEnd w:id="137"/>
      <w:r/>
      <w:bookmarkEnd w:id="138"/>
      <w:r/>
      <w:bookmarkEnd w:id="139"/>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w:t>
      </w:r>
      <w:r>
        <w:rPr>
          <w:rFonts w:hint="eastAsia" w:ascii="宋体" w:hAnsi="宋体"/>
          <w:bCs/>
          <w:color w:val="000000" w:themeColor="text1"/>
          <w:sz w:val="24"/>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w:t>
      </w:r>
      <w:r>
        <w:rPr>
          <w:rFonts w:hint="eastAsia" w:ascii="宋体" w:hAnsi="宋体"/>
          <w:bCs/>
          <w:color w:val="000000" w:themeColor="text1"/>
          <w:sz w:val="24"/>
          <w14:textFill>
            <w14:solidFill>
              <w14:schemeClr w14:val="tx1"/>
            </w14:solidFill>
          </w14:textFill>
        </w:rPr>
        <w:t xml:space="preserve">在投标截止时间至招标文件中规定的投标有效期满之间的这段时间内，投标人不得撤回其投标。</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140" w:name="_Toc20823301"/>
      <w:r/>
      <w:bookmarkStart w:id="141" w:name="_Toc513029229"/>
      <w:r/>
      <w:bookmarkStart w:id="142" w:name="_Toc16938545"/>
      <w:r/>
      <w:bookmarkStart w:id="143" w:name="_Toc120614218"/>
      <w:r>
        <w:rPr>
          <w:rFonts w:hint="eastAsia"/>
          <w:color w:val="000000" w:themeColor="text1"/>
          <w:sz w:val="30"/>
          <w:szCs w:val="30"/>
          <w14:textFill>
            <w14:solidFill>
              <w14:schemeClr w14:val="tx1"/>
            </w14:solidFill>
          </w14:textFill>
        </w:rPr>
        <w:t xml:space="preserve">五、开标与评标</w:t>
      </w:r>
      <w:bookmarkEnd w:id="140"/>
      <w:r/>
      <w:bookmarkEnd w:id="141"/>
      <w:r/>
      <w:bookmarkEnd w:id="142"/>
      <w:r/>
      <w:bookmarkEnd w:id="143"/>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44" w:name="_Toc16938546"/>
      <w:r/>
      <w:bookmarkStart w:id="145" w:name="_Toc20823302"/>
      <w:r/>
      <w:bookmarkStart w:id="146" w:name="_Toc513029230"/>
      <w:r>
        <w:rPr>
          <w:rFonts w:hint="eastAsia" w:ascii="宋体" w:hAnsi="宋体" w:eastAsia="宋体"/>
          <w:bCs w:val="0"/>
          <w:color w:val="000000" w:themeColor="text1"/>
          <w14:textFill>
            <w14:solidFill>
              <w14:schemeClr w14:val="tx1"/>
            </w14:solidFill>
          </w14:textFill>
        </w:rPr>
        <w:t xml:space="preserve">21.开标</w:t>
      </w:r>
      <w:bookmarkEnd w:id="144"/>
      <w:r/>
      <w:bookmarkEnd w:id="145"/>
      <w:r/>
      <w:bookmarkEnd w:id="146"/>
      <w:r/>
      <w:r/>
    </w:p>
    <w:p>
      <w:pPr>
        <w:ind w:firstLine="480"/>
        <w:spacing w:line="5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w:t>
      </w:r>
      <w:r>
        <w:rPr>
          <w:rFonts w:hint="eastAsia" w:ascii="宋体" w:hAnsi="宋体"/>
          <w:bCs/>
          <w:color w:val="000000" w:themeColor="text1"/>
          <w:sz w:val="24"/>
          <w14:textFill>
            <w14:solidFill>
              <w14:schemeClr w14:val="tx1"/>
            </w14:solidFill>
          </w14:textFill>
        </w:rPr>
        <w:t xml:space="preserve">交易中心将在招标公告中规定的时间和地点组织公开开标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21.2开标仪式由交易中心组织。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将自动对</w:t>
      </w:r>
      <w:r>
        <w:rPr>
          <w:rFonts w:ascii="宋体" w:hAnsi="宋体"/>
          <w:color w:val="000000" w:themeColor="text1"/>
          <w:sz w:val="24"/>
          <w14:textFill>
            <w14:solidFill>
              <w14:schemeClr w14:val="tx1"/>
            </w14:solidFill>
          </w14:textFill>
        </w:rPr>
        <w:t xml:space="preserve">项目进行开标，并</w:t>
      </w:r>
      <w:r>
        <w:rPr>
          <w:rFonts w:hint="eastAsia" w:ascii="宋体" w:hAnsi="宋体"/>
          <w:color w:val="000000" w:themeColor="text1"/>
          <w:sz w:val="24"/>
          <w14:textFill>
            <w14:solidFill>
              <w14:schemeClr w14:val="tx1"/>
            </w14:solidFill>
          </w14:textFill>
        </w:rPr>
        <w:t xml:space="preserve">宣布各</w:t>
      </w:r>
      <w:r>
        <w:rPr>
          <w:rFonts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名称和投标价格。</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中《开标记录表》宣布后5分钟内未提出的，视同认可开标结果。</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47" w:name="_Toc20823303"/>
      <w:r/>
      <w:bookmarkStart w:id="148" w:name="_Toc16938547"/>
      <w:r/>
      <w:bookmarkStart w:id="149" w:name="_Toc513029231"/>
      <w:r>
        <w:rPr>
          <w:rFonts w:hint="eastAsia" w:ascii="宋体" w:hAnsi="宋体" w:eastAsia="宋体"/>
          <w:bCs w:val="0"/>
          <w:color w:val="000000" w:themeColor="text1"/>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22.1开标后，交易中心将立即组织评标委员会（以下简称评委会）进行评标。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22.3评委会独立工作，负责对招标</w:t>
      </w:r>
      <w:r>
        <w:rPr>
          <w:rFonts w:hint="eastAsia" w:ascii="宋体" w:hAnsi="宋体"/>
          <w:color w:val="000000" w:themeColor="text1"/>
          <w:sz w:val="24"/>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14:textFill>
            <w14:solidFill>
              <w14:schemeClr w14:val="tx1"/>
            </w14:solidFill>
          </w14:textFill>
        </w:rPr>
        <w:t xml:space="preserve">负责评审所有投标文件并确定中标候选人。</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23.评标过程的保密与公正</w:t>
      </w:r>
      <w:bookmarkEnd w:id="147"/>
      <w:r/>
      <w:bookmarkEnd w:id="148"/>
      <w:r/>
      <w:bookmarkEnd w:id="149"/>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凡是与审查、澄清、评价和比较投标的有关资料以及授标建议等，采购人、评委、交易中心均不得向投标人或与评标无关的其他人员透露。</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交易中心和评标委员会不向未中标的投标人解释未中标原因，也不公布评标过程中的相关细节。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查看自己的评审得分及排序情况。</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50" w:name="_Toc513029232"/>
      <w:r/>
      <w:bookmarkStart w:id="151" w:name="_Toc16938548"/>
      <w:r/>
      <w:bookmarkStart w:id="152" w:name="_Toc20823304"/>
      <w:r>
        <w:rPr>
          <w:rFonts w:hint="eastAsia" w:ascii="宋体" w:hAnsi="宋体" w:eastAsia="宋体"/>
          <w:bCs w:val="0"/>
          <w:color w:val="000000" w:themeColor="text1"/>
          <w14:textFill>
            <w14:solidFill>
              <w14:schemeClr w14:val="tx1"/>
            </w14:solidFill>
          </w14:textFill>
        </w:rPr>
        <w:t xml:space="preserve">24.投标文件的澄清</w:t>
      </w:r>
      <w:bookmarkEnd w:id="150"/>
      <w:r/>
      <w:bookmarkEnd w:id="151"/>
      <w:r/>
      <w:bookmarkEnd w:id="152"/>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24.3接到评委会澄清、说明和补正要求的投标人如未按规定及时做出澄清、说明和补正，其风险由投标人自行承担。</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53" w:name="_Toc20823305"/>
      <w:r/>
      <w:bookmarkStart w:id="154" w:name="_Toc513029233"/>
      <w:r/>
      <w:bookmarkStart w:id="155" w:name="_Toc16938549"/>
      <w:r>
        <w:rPr>
          <w:rFonts w:hint="eastAsia" w:ascii="宋体" w:hAnsi="宋体" w:eastAsia="宋体"/>
          <w:bCs w:val="0"/>
          <w:color w:val="000000" w:themeColor="text1"/>
          <w14:textFill>
            <w14:solidFill>
              <w14:schemeClr w14:val="tx1"/>
            </w14:solidFill>
          </w14:textFill>
        </w:rPr>
        <w:t xml:space="preserve">25.对投标文件的初审</w:t>
      </w:r>
      <w:bookmarkEnd w:id="153"/>
      <w:r/>
      <w:bookmarkEnd w:id="154"/>
      <w:r/>
      <w:bookmarkEnd w:id="155"/>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采购人在进行资格审查的同时，将</w:t>
      </w:r>
      <w:r>
        <w:rPr>
          <w:rFonts w:hint="eastAsia" w:ascii="宋体" w:hAnsi="宋体" w:cs="宋体"/>
          <w:bCs/>
          <w:color w:val="000000" w:themeColor="text1"/>
          <w:sz w:val="24"/>
          <w:szCs w:val="24"/>
          <w14:textFill>
            <w14:solidFill>
              <w14:schemeClr w14:val="tx1"/>
            </w14:solidFill>
          </w14:textFill>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 xml:space="preserve">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中国政府采购网（www.ccgp.gov.cn）</w:t>
      </w:r>
      <w:r>
        <w:rPr>
          <w:rFonts w:hint="eastAsia" w:ascii="宋体" w:hAnsi="宋体" w:cs="宋体"/>
          <w:bCs/>
          <w:color w:val="000000" w:themeColor="text1"/>
          <w:sz w:val="24"/>
          <w:szCs w:val="24"/>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 xml:space="preserve">以确定投标供应商是否具备投标资格。</w:t>
      </w:r>
      <w:r>
        <w:rPr>
          <w:rFonts w:hint="eastAsia" w:ascii="宋体" w:hAnsi="宋体" w:cs="宋体"/>
          <w:color w:val="000000" w:themeColor="text1"/>
          <w:sz w:val="24"/>
          <w:szCs w:val="24"/>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themeColor="text1"/>
          <w:sz w:val="24"/>
          <w14:textFill>
            <w14:solidFill>
              <w14:schemeClr w14:val="tx1"/>
            </w14:solidFill>
          </w14:textFill>
        </w:rPr>
      </w:pPr>
      <w:r/>
      <w:bookmarkStart w:id="156" w:name="_Toc16938550"/>
      <w:r/>
      <w:bookmarkStart w:id="157" w:name="_Toc20823306"/>
      <w:r/>
      <w:bookmarkStart w:id="158" w:name="_Toc513029234"/>
      <w:r>
        <w:rPr>
          <w:rFonts w:hint="eastAsia" w:ascii="宋体" w:hAnsi="宋体"/>
          <w:color w:val="000000" w:themeColor="text1"/>
          <w:sz w:val="24"/>
          <w14:textFill>
            <w14:solidFill>
              <w14:schemeClr w14:val="tx1"/>
            </w14:solidFill>
          </w14:textFill>
        </w:rPr>
        <w:t xml:space="preserve">25.6投标人在开、评标全过程中应保持通讯畅通，及时登录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查阅</w:t>
      </w:r>
      <w:r>
        <w:rPr>
          <w:rFonts w:ascii="宋体" w:hAnsi="宋体"/>
          <w:color w:val="000000" w:themeColor="text1"/>
          <w:sz w:val="24"/>
          <w14:textFill>
            <w14:solidFill>
              <w14:schemeClr w14:val="tx1"/>
            </w14:solidFill>
          </w14:textFill>
        </w:rPr>
        <w:t xml:space="preserve">、答复相关</w:t>
      </w:r>
      <w:r>
        <w:rPr>
          <w:rFonts w:hint="eastAsia" w:ascii="宋体" w:hAnsi="宋体"/>
          <w:color w:val="000000" w:themeColor="text1"/>
          <w:sz w:val="24"/>
          <w14:textFill>
            <w14:solidFill>
              <w14:schemeClr w14:val="tx1"/>
            </w14:solidFill>
          </w14:textFill>
        </w:rPr>
        <w:t xml:space="preserve">信息</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并安排专人随时接受与代理机构及评标委员会的相关询问。</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25.7异常低价投标（响应）审查</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相关法律法规对供应商报价有规定的，从其规定。</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26</w:t>
      </w:r>
      <w:bookmarkEnd w:id="156"/>
      <w:r/>
      <w:bookmarkEnd w:id="157"/>
      <w:r/>
      <w:bookmarkEnd w:id="158"/>
      <w:r>
        <w:rPr>
          <w:rFonts w:hint="eastAsia" w:ascii="宋体" w:hAnsi="宋体" w:eastAsia="宋体"/>
          <w:bCs w:val="0"/>
          <w:color w:val="000000" w:themeColor="text1"/>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14:textFill>
            <w14:solidFill>
              <w14:schemeClr w14:val="tx1"/>
            </w14:solidFill>
          </w14:textFill>
        </w:rPr>
      </w:pPr>
      <w:r/>
      <w:bookmarkStart w:id="159" w:name="_Toc20823307"/>
      <w:r/>
      <w:bookmarkStart w:id="160" w:name="_Toc513029235"/>
      <w:r/>
      <w:bookmarkStart w:id="161" w:name="_Toc16938551"/>
      <w:r>
        <w:rPr>
          <w:rFonts w:hint="eastAsia" w:ascii="宋体" w:hAnsi="宋体"/>
          <w:bCs/>
          <w:color w:val="000000" w:themeColor="text1"/>
          <w:sz w:val="24"/>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w:t>
      </w:r>
      <w:r>
        <w:rPr>
          <w:rFonts w:hint="eastAsia" w:ascii="宋体" w:hAnsi="宋体"/>
          <w:bCs/>
          <w:color w:val="000000" w:themeColor="text1"/>
          <w:sz w:val="24"/>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26.1.7</w:t>
      </w:r>
      <w:r>
        <w:rPr>
          <w:rFonts w:hint="eastAsia" w:ascii="宋体" w:hAnsi="宋体"/>
          <w:bCs/>
          <w:color w:val="000000" w:themeColor="text1"/>
          <w:sz w:val="24"/>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 xml:space="preserve">或查询“信用中国”网站、</w:t>
      </w:r>
      <w:r>
        <w:rPr>
          <w:rFonts w:hint="eastAsia" w:ascii="宋体" w:hAnsi="宋体"/>
          <w:color w:val="000000" w:themeColor="text1"/>
          <w:sz w:val="24"/>
          <w:szCs w:val="24"/>
          <w14:textFill>
            <w14:solidFill>
              <w14:schemeClr w14:val="tx1"/>
            </w14:solidFill>
          </w14:textFill>
        </w:rPr>
        <w:t xml:space="preserve">中国政府采购网</w:t>
      </w:r>
      <w:r>
        <w:rPr>
          <w:rFonts w:hint="eastAsia" w:ascii="宋体" w:hAnsi="宋体"/>
          <w:bCs/>
          <w:color w:val="000000" w:themeColor="text1"/>
          <w:sz w:val="24"/>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26.1.15</w:t>
      </w:r>
      <w:r>
        <w:rPr>
          <w:rFonts w:hint="eastAsia" w:ascii="宋体" w:hAnsi="宋体"/>
          <w:bCs/>
          <w:color w:val="000000" w:themeColor="text1"/>
          <w:sz w:val="24"/>
          <w:szCs w:val="24"/>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26.1.16</w:t>
      </w:r>
      <w:r>
        <w:rPr>
          <w:rFonts w:hint="eastAsia" w:ascii="宋体" w:hAnsi="宋体"/>
          <w:bCs/>
          <w:color w:val="000000" w:themeColor="text1"/>
          <w:sz w:val="24"/>
          <w:szCs w:val="24"/>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26.1.20</w:t>
      </w: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26.1.21</w:t>
      </w: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ascii="宋体" w:hAnsi="宋体"/>
          <w:bCs/>
          <w:color w:val="000000" w:themeColor="text1"/>
          <w:sz w:val="24"/>
          <w:szCs w:val="24"/>
          <w14:textFill>
            <w14:solidFill>
              <w14:schemeClr w14:val="tx1"/>
            </w14:solidFill>
          </w14:textFill>
        </w:rPr>
      </w:pPr>
      <w:r/>
      <w:bookmarkStart w:id="162" w:name="_Toc120614219"/>
      <w:r>
        <w:rPr>
          <w:rFonts w:hint="eastAsia" w:ascii="宋体" w:hAnsi="宋体"/>
          <w:bCs/>
          <w:color w:val="000000" w:themeColor="text1"/>
          <w:sz w:val="24"/>
          <w:szCs w:val="24"/>
          <w14:textFill>
            <w14:solidFill>
              <w14:schemeClr w14:val="tx1"/>
            </w14:solidFill>
          </w14:textFill>
        </w:rPr>
        <w:t xml:space="preserve">26.1.22评标委员会按照本招标文件规定对投标人进行异常低价投标（响应）审查后，认为投标人不能证明其报价合理性的。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26.1.25其他法律、法规及本招标文件规定的属无效投标的情形。</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26.2废标条款</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故障原因造成开标不成功</w:t>
      </w:r>
      <w:r>
        <w:rPr>
          <w:rFonts w:hint="eastAsia" w:ascii="宋体" w:hAnsi="宋体"/>
          <w:bCs/>
          <w:color w:val="000000" w:themeColor="text1"/>
          <w:sz w:val="24"/>
          <w14:textFill>
            <w14:solidFill>
              <w14:schemeClr w14:val="tx1"/>
            </w14:solidFill>
          </w14:textFill>
        </w:rPr>
        <w:t xml:space="preserve">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六、</w:t>
      </w:r>
      <w:bookmarkEnd w:id="159"/>
      <w:r/>
      <w:bookmarkEnd w:id="160"/>
      <w:r/>
      <w:bookmarkEnd w:id="161"/>
      <w:r>
        <w:rPr>
          <w:rFonts w:hint="eastAsia"/>
          <w:color w:val="000000" w:themeColor="text1"/>
          <w:sz w:val="30"/>
          <w:szCs w:val="30"/>
          <w14:textFill>
            <w14:solidFill>
              <w14:schemeClr w14:val="tx1"/>
            </w14:solidFill>
          </w14:textFill>
        </w:rPr>
        <w:t xml:space="preserve">定标</w:t>
      </w:r>
      <w:bookmarkEnd w:id="162"/>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63" w:name="_Toc513029238"/>
      <w:r/>
      <w:bookmarkStart w:id="164" w:name="_Toc16938554"/>
      <w:r/>
      <w:bookmarkStart w:id="165" w:name="_Toc20823310"/>
      <w:r>
        <w:rPr>
          <w:rFonts w:hint="eastAsia" w:ascii="宋体" w:hAnsi="宋体" w:eastAsia="宋体"/>
          <w:bCs w:val="0"/>
          <w:color w:val="000000" w:themeColor="text1"/>
          <w14:textFill>
            <w14:solidFill>
              <w14:schemeClr w14:val="tx1"/>
            </w14:solidFill>
          </w14:textFill>
        </w:rPr>
        <w:t xml:space="preserve">27</w:t>
      </w:r>
      <w:bookmarkEnd w:id="163"/>
      <w:r>
        <w:rPr>
          <w:rFonts w:hint="eastAsia" w:ascii="宋体" w:hAnsi="宋体" w:eastAsia="宋体"/>
          <w:bCs w:val="0"/>
          <w:color w:val="000000" w:themeColor="text1"/>
          <w14:textFill>
            <w14:solidFill>
              <w14:schemeClr w14:val="tx1"/>
            </w14:solidFill>
          </w14:textFill>
        </w:rPr>
        <w:t xml:space="preserve">.确定</w:t>
      </w:r>
      <w:bookmarkEnd w:id="164"/>
      <w:r/>
      <w:bookmarkEnd w:id="165"/>
      <w:r>
        <w:rPr>
          <w:rFonts w:hint="eastAsia" w:ascii="宋体" w:hAnsi="宋体" w:eastAsia="宋体"/>
          <w:bCs w:val="0"/>
          <w:color w:val="000000" w:themeColor="text1"/>
          <w14:textFill>
            <w14:solidFill>
              <w14:schemeClr w14:val="tx1"/>
            </w14:solidFill>
          </w14:textFill>
        </w:rPr>
        <w:t xml:space="preserve">中标单位</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27.3</w:t>
      </w:r>
      <w:r>
        <w:rPr>
          <w:rFonts w:hint="eastAsia" w:ascii="宋体" w:hAnsi="宋体"/>
          <w:color w:val="000000" w:themeColor="text1"/>
          <w:sz w:val="24"/>
          <w:szCs w:val="24"/>
          <w14:textFill>
            <w14:solidFill>
              <w14:schemeClr w14:val="tx1"/>
            </w14:solidFill>
          </w14:textFill>
        </w:rPr>
        <w:t xml:space="preserve">交易中心将在“江苏政府采购网”发布中标公告，公告期限为1个工作日。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27.4.2向采购人、交易中心行贿或者提供其他不正当利益的。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14:textFill>
            <w14:solidFill>
              <w14:schemeClr w14:val="tx1"/>
            </w14:solidFill>
          </w14:textFill>
        </w:rPr>
      </w:pPr>
      <w:r/>
      <w:bookmarkStart w:id="166" w:name="_Toc200451960"/>
      <w:r>
        <w:rPr>
          <w:rFonts w:hint="eastAsia" w:ascii="宋体" w:hAnsi="宋体"/>
          <w:color w:val="000000" w:themeColor="text1"/>
          <w:sz w:val="24"/>
          <w:szCs w:val="24"/>
          <w14:textFill>
            <w14:solidFill>
              <w14:schemeClr w14:val="tx1"/>
            </w14:solidFill>
          </w14:textFill>
        </w:rPr>
        <w:t xml:space="preserve">27.4.6</w:t>
      </w:r>
      <w:r>
        <w:rPr>
          <w:rFonts w:hint="eastAsia" w:ascii="宋体" w:hAnsi="宋体"/>
          <w:bCs/>
          <w:color w:val="000000" w:themeColor="text1"/>
          <w:sz w:val="24"/>
          <w:szCs w:val="24"/>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27.4.7</w:t>
      </w:r>
      <w:r>
        <w:rPr>
          <w:rFonts w:hint="eastAsia" w:ascii="宋体" w:hAnsi="宋体"/>
          <w:bCs/>
          <w:color w:val="000000" w:themeColor="text1"/>
          <w:sz w:val="24"/>
          <w:szCs w:val="24"/>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 xml:space="preserve">有下列情形之一的，</w:t>
      </w:r>
      <w:r>
        <w:rPr>
          <w:rFonts w:hint="eastAsia" w:hAnsi="宋体" w:cs="宋体"/>
          <w:color w:val="000000" w:themeColor="text1"/>
          <w:sz w:val="24"/>
          <w:szCs w:val="24"/>
          <w14:textFill>
            <w14:solidFill>
              <w14:schemeClr w14:val="tx1"/>
            </w14:solidFill>
          </w14:textFill>
        </w:rPr>
        <w:t xml:space="preserve">视为投标人</w:t>
      </w:r>
      <w:r>
        <w:rPr>
          <w:rFonts w:hAnsi="宋体" w:cs="宋体"/>
          <w:color w:val="000000" w:themeColor="text1"/>
          <w:sz w:val="24"/>
          <w:szCs w:val="24"/>
          <w14:textFill>
            <w14:solidFill>
              <w14:schemeClr w14:val="tx1"/>
            </w14:solidFill>
          </w14:textFill>
        </w:rPr>
        <w:t xml:space="preserve">串通</w:t>
      </w:r>
      <w:r>
        <w:rPr>
          <w:rFonts w:hint="eastAsia" w:hAnsi="宋体" w:cs="宋体"/>
          <w:color w:val="000000" w:themeColor="text1"/>
          <w:sz w:val="24"/>
          <w:szCs w:val="24"/>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27.5.4不同投标人的投标文件异常一致或者投标报价呈规律性差异。</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28.质疑处理</w:t>
      </w:r>
      <w:bookmarkEnd w:id="166"/>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28.1提出质疑的供应商应当是参与所</w:t>
      </w:r>
      <w:r>
        <w:rPr>
          <w:rFonts w:hint="eastAsia" w:ascii="宋体" w:hAnsi="宋体"/>
          <w:color w:val="000000" w:themeColor="text1"/>
          <w:sz w:val="24"/>
          <w:szCs w:val="24"/>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28.2.2</w:t>
      </w:r>
      <w:r>
        <w:rPr>
          <w:rFonts w:ascii="宋体" w:hAnsi="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28.2.3</w:t>
      </w:r>
      <w:r>
        <w:rPr>
          <w:rFonts w:ascii="宋体" w:hAnsi="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w:t>
      </w:r>
      <w:r>
        <w:rPr>
          <w:rFonts w:hint="eastAsia" w:ascii="宋体"/>
          <w:bCs/>
          <w:color w:val="000000" w:themeColor="text1"/>
          <w:sz w:val="24"/>
          <w:szCs w:val="24"/>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采购人、交易中心联系人、联系方式、通信地址见招标文件第一章。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 以下情形的质疑不予受理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28.5.2 超出政府采购法定期限的质疑。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28.5.3 以传真、电子邮件等方式递交的非原件形式的质疑。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28.6供应商提出书面质疑必须有理、有据，</w:t>
      </w:r>
      <w:r>
        <w:rPr>
          <w:rFonts w:hint="eastAsia" w:ascii="宋体" w:hAnsi="宋体"/>
          <w:bCs/>
          <w:color w:val="000000" w:themeColor="text1"/>
          <w:sz w:val="24"/>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 xml:space="preserve">一经查实，交易中心有权依据政府采购的有关规定，报请政府采购监管部门对该供应商进行相应的行政处罚和记录该供应商的失信信息。</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167" w:name="_Toc120614220"/>
      <w:r/>
      <w:bookmarkStart w:id="168" w:name="_Toc20823308"/>
      <w:r/>
      <w:bookmarkStart w:id="169" w:name="_Toc16938552"/>
      <w:r/>
      <w:bookmarkStart w:id="170" w:name="_Toc513029236"/>
      <w:r>
        <w:rPr>
          <w:rFonts w:hint="eastAsia"/>
          <w:color w:val="000000" w:themeColor="text1"/>
          <w:sz w:val="30"/>
          <w:szCs w:val="30"/>
          <w14:textFill>
            <w14:solidFill>
              <w14:schemeClr w14:val="tx1"/>
            </w14:solidFill>
          </w14:textFill>
        </w:rPr>
        <w:t xml:space="preserve">七、授予合同</w:t>
      </w:r>
      <w:bookmarkEnd w:id="167"/>
      <w:r/>
      <w:bookmarkEnd w:id="168"/>
      <w:r/>
      <w:bookmarkEnd w:id="169"/>
      <w:r/>
      <w:bookmarkEnd w:id="170"/>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71" w:name="_Toc20823309"/>
      <w:r/>
      <w:bookmarkStart w:id="172" w:name="_Toc513029237"/>
      <w:r/>
      <w:bookmarkStart w:id="173" w:name="_Toc16938553"/>
      <w:r>
        <w:rPr>
          <w:rFonts w:hint="eastAsia" w:ascii="宋体" w:hAnsi="宋体" w:eastAsia="宋体"/>
          <w:bCs w:val="0"/>
          <w:color w:val="000000" w:themeColor="text1"/>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bookmarkStart w:id="174" w:name="_Toc513029242"/>
      <w:r/>
      <w:bookmarkStart w:id="175" w:name="_Toc16938558"/>
      <w:r/>
      <w:bookmarkStart w:id="176" w:name="_Toc120614221"/>
      <w:r/>
      <w:bookmarkStart w:id="177" w:name="_Toc479757207"/>
      <w:r/>
      <w:bookmarkStart w:id="178" w:name="_Toc20823314"/>
      <w:r>
        <w:rPr>
          <w:rFonts w:ascii="宋体" w:hAnsi="宋体"/>
          <w:bCs/>
          <w:color w:val="000000" w:themeColor="text1"/>
          <w:sz w:val="24"/>
          <w:shd w:val="clear" w:color="ffffff" w:fill="d9d9d9"/>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第三章  合同</w:t>
      </w:r>
      <w:bookmarkEnd w:id="174"/>
      <w:r/>
      <w:bookmarkEnd w:id="175"/>
      <w:r/>
      <w:bookmarkEnd w:id="176"/>
      <w:r/>
      <w:bookmarkEnd w:id="177"/>
      <w:r/>
      <w:bookmarkEnd w:id="178"/>
      <w:r>
        <w:rPr>
          <w:rFonts w:hint="eastAsia" w:ascii="黑体" w:hAnsi="黑体" w:eastAsia="黑体"/>
          <w:color w:val="000000" w:themeColor="text1"/>
          <w:sz w:val="36"/>
          <w:szCs w:val="36"/>
          <w14:textFill>
            <w14:solidFill>
              <w14:schemeClr w14:val="tx1"/>
            </w14:solidFill>
          </w14:textFill>
        </w:rPr>
        <w:t xml:space="preserve">文本</w:t>
      </w:r>
      <w:r/>
    </w:p>
    <w:p>
      <w:pPr>
        <w:ind w:firstLine="480"/>
        <w:spacing w:line="400" w:lineRule="exact"/>
        <w:rPr>
          <w:rFonts w:ascii="宋体" w:hAnsi="宋体"/>
          <w:bCs/>
          <w:color w:val="000000" w:themeColor="text1"/>
          <w:sz w:val="24"/>
          <w:szCs w:val="24"/>
          <w14:textFill>
            <w14:solidFill>
              <w14:schemeClr w14:val="tx1"/>
            </w14:solidFill>
          </w14:textFill>
        </w:rPr>
      </w:pPr>
      <w:r/>
      <w:bookmarkStart w:id="179" w:name="_Toc16938559"/>
      <w:r/>
      <w:bookmarkStart w:id="180" w:name="_Toc20823315"/>
      <w:r/>
      <w:bookmarkStart w:id="181" w:name="_Toc513029243"/>
      <w:r>
        <w:rPr>
          <w:rFonts w:hint="eastAsia" w:ascii="宋体" w:hAnsi="宋体"/>
          <w:bCs/>
          <w:color w:val="000000" w:themeColor="text1"/>
          <w:sz w:val="24"/>
          <w14:textFill>
            <w14:solidFill>
              <w14:schemeClr w14:val="tx1"/>
            </w14:solidFill>
          </w14:textFill>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14:textFill>
            <w14:solidFill>
              <w14:schemeClr w14:val="tx1"/>
            </w14:solidFill>
          </w14:textFill>
        </w:rPr>
        <w:outlineLvl w:val="0"/>
      </w:pPr>
      <w:r>
        <w:rPr>
          <w:rFonts w:hint="eastAsia" w:ascii="宋体" w:hAnsi="宋体"/>
          <w:b/>
          <w:color w:val="000000" w:themeColor="text1"/>
          <w:sz w:val="30"/>
          <w14:textFill>
            <w14:solidFill>
              <w14:schemeClr w14:val="tx1"/>
            </w14:solidFill>
          </w14:textFill>
        </w:rPr>
        <w:t xml:space="preserve">江苏省政府采购合同（服务）（合同编号）</w:t>
      </w:r>
      <w:r/>
    </w:p>
    <w:p>
      <w:pPr>
        <w:pStyle w:val="942"/>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项目名称：                                       项目编号：</w:t>
      </w:r>
      <w:r/>
    </w:p>
    <w:p>
      <w:pPr>
        <w:pStyle w:val="942"/>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甲方：（买方、需方、采购人）_________</w:t>
      </w:r>
      <w:r/>
    </w:p>
    <w:p>
      <w:pPr>
        <w:pStyle w:val="942"/>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乙方：（卖方、供方、供应商）_________</w:t>
      </w:r>
      <w:r/>
    </w:p>
    <w:p>
      <w:pPr>
        <w:pStyle w:val="942"/>
        <w:spacing w:line="400" w:lineRule="exact"/>
        <w:rPr>
          <w:rFonts w:hAnsi="宋体"/>
          <w:b/>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14:textFill>
            <w14:solidFill>
              <w14:schemeClr w14:val="tx1"/>
            </w14:solidFill>
          </w14:textFill>
        </w:rPr>
        <w:t xml:space="preserve">无锡市滨湖区公共资源交易中心</w:t>
      </w:r>
      <w:r>
        <w:rPr>
          <w:rFonts w:hAnsi="宋体"/>
          <w:color w:val="000000" w:themeColor="text1"/>
          <w:sz w:val="24"/>
          <w:szCs w:val="24"/>
          <w14:textFill>
            <w14:solidFill>
              <w14:schemeClr w14:val="tx1"/>
            </w14:solidFill>
          </w14:textFill>
        </w:rPr>
        <w:t xml:space="preserve">项目公开招标的结果，签署本合同。</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第一条 合同标的</w:t>
      </w:r>
      <w:r/>
    </w:p>
    <w:p>
      <w:pPr>
        <w:ind w:firstLine="480"/>
        <w:spacing w:line="40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二、项目坐落位置：；</w:t>
      </w:r>
      <w:r>
        <w:rPr>
          <w:rFonts w:hint="eastAsia" w:ascii="宋体" w:hAnsi="宋体"/>
          <w:color w:val="000000" w:themeColor="text1"/>
          <w:sz w:val="24"/>
          <w:szCs w:val="24"/>
          <w14:textFill>
            <w14:solidFill>
              <w14:schemeClr w14:val="tx1"/>
            </w14:solidFill>
          </w14:textFill>
        </w:rPr>
        <w:t xml:space="preserve">项目总建筑面积：</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三、物业管理服务期限年。本合同期限年，自年月日至年月日；在物业管理服务期限内，本合同期满后，甲方有权根据物业管理服务履约评价情况，决定是否与乙方签订后续下年度服务合同。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第二条 委托管理事项</w:t>
      </w:r>
      <w:r/>
    </w:p>
    <w:p>
      <w:pPr>
        <w:ind w:firstLine="480"/>
        <w:spacing w:line="40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委托物业管理服务内容：</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第三条 合同总价款</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一、本合同总价款（含税）为人民币 大写：</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14:textFill>
            <w14:solidFill>
              <w14:schemeClr w14:val="tx1"/>
            </w14:solidFill>
          </w14:textFill>
        </w:rPr>
        <w:t xml:space="preserve">（RMB</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元/年）。</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二、本合同执行期间总价不变。</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三、履约保证金的缴纳和退付</w:t>
      </w:r>
      <w:r/>
    </w:p>
    <w:p>
      <w:pPr>
        <w:ind w:firstLine="480"/>
        <w:spacing w:line="400" w:lineRule="exact"/>
        <w:tabs>
          <w:tab w:val="left" w:pos="945" w:leader="none"/>
          <w:tab w:val="left" w:pos="21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本项目是/否向采购人缴纳履约保证金： 。</w:t>
      </w:r>
      <w:r/>
    </w:p>
    <w:p>
      <w:pPr>
        <w:ind w:firstLine="480"/>
        <w:spacing w:line="400" w:lineRule="exact"/>
        <w:tabs>
          <w:tab w:val="left" w:pos="945" w:leader="none"/>
          <w:tab w:val="left" w:pos="21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履约保证金缴纳金额：元。</w:t>
      </w:r>
      <w:r/>
    </w:p>
    <w:p>
      <w:pPr>
        <w:ind w:firstLine="480"/>
        <w:spacing w:line="400" w:lineRule="exact"/>
        <w:tabs>
          <w:tab w:val="left" w:pos="945" w:leader="none"/>
          <w:tab w:val="left" w:pos="210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履约保证金的缴纳时间：，缴纳形式：</w:t>
      </w:r>
      <w:r>
        <w:rPr>
          <w:rFonts w:hint="eastAsia" w:ascii="宋体" w:hAnsi="宋体"/>
          <w:bCs/>
          <w:color w:val="000000" w:themeColor="text1"/>
          <w:sz w:val="24"/>
          <w14:textFill>
            <w14:solidFill>
              <w14:schemeClr w14:val="tx1"/>
            </w14:solidFill>
          </w14:textFill>
        </w:rPr>
        <w:t xml:space="preserve">。</w:t>
      </w:r>
      <w:r/>
    </w:p>
    <w:p>
      <w:pPr>
        <w:ind w:firstLine="480"/>
        <w:spacing w:line="400" w:lineRule="exact"/>
        <w:tabs>
          <w:tab w:val="left" w:pos="945" w:leader="none"/>
          <w:tab w:val="left" w:pos="210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履约保证金的退付时间：，退付办法：</w:t>
      </w:r>
      <w:r>
        <w:rPr>
          <w:rFonts w:hint="eastAsia" w:ascii="宋体" w:hAnsi="宋体"/>
          <w:bCs/>
          <w:color w:val="000000" w:themeColor="text1"/>
          <w:sz w:val="24"/>
          <w14:textFill>
            <w14:solidFill>
              <w14:schemeClr w14:val="tx1"/>
            </w14:solidFill>
          </w14:textFill>
        </w:rPr>
        <w:t xml:space="preserve">。</w:t>
      </w:r>
      <w:r/>
    </w:p>
    <w:p>
      <w:pPr>
        <w:ind w:firstLine="480"/>
        <w:spacing w:line="400" w:lineRule="exact"/>
        <w:tabs>
          <w:tab w:val="left" w:pos="945" w:leader="none"/>
          <w:tab w:val="left" w:pos="210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履约保证金不予退还的情形：。</w:t>
      </w:r>
      <w:r/>
    </w:p>
    <w:p>
      <w:pPr>
        <w:ind w:firstLine="480"/>
        <w:spacing w:line="400" w:lineRule="exact"/>
        <w:tabs>
          <w:tab w:val="left" w:pos="945" w:leader="none"/>
          <w:tab w:val="left" w:pos="2100" w:leader="none"/>
        </w:tabs>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逾期退还履约保证金的违约责任：。</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第四条 组成本合同的有关文件</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下列关于采购项目（编号：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一、乙方提供的投标文件和报价表；</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二、中标通知书；</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三、甲乙双方商定的其他文件。</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第五条 双方权利义务</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一、甲方权利义务</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（三）对物业管理服务质量进行监督检查，对不符合质量标准的管理服务要求乙方整改落实。</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（四）为乙方的管理服务提供必要的工作场所以及</w:t>
      </w:r>
      <w:r>
        <w:rPr>
          <w:rFonts w:hint="eastAsia" w:ascii="宋体" w:hAnsi="宋体"/>
          <w:color w:val="000000" w:themeColor="text1"/>
          <w:sz w:val="24"/>
          <w:szCs w:val="24"/>
          <w14:textFill>
            <w14:solidFill>
              <w14:schemeClr w14:val="tx1"/>
            </w14:solidFill>
          </w14:textFill>
        </w:rPr>
        <w:t xml:space="preserve">物业管理服务所必需的水、电供应</w:t>
      </w:r>
      <w:r>
        <w:rPr>
          <w:rFonts w:hint="eastAsia" w:ascii="宋体" w:hAnsi="宋体" w:cs="宋体"/>
          <w:color w:val="000000" w:themeColor="text1"/>
          <w:sz w:val="24"/>
          <w14:textFill>
            <w14:solidFill>
              <w14:schemeClr w14:val="tx1"/>
            </w14:solidFill>
          </w14:textFill>
        </w:rPr>
        <w:t xml:space="preserve">。</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（五）对乙方的节能工作进行指导</w:t>
      </w:r>
      <w:r>
        <w:rPr>
          <w:rFonts w:ascii="宋体" w:hAnsi="宋体" w:cs="宋体"/>
          <w:color w:val="000000" w:themeColor="text1"/>
          <w:sz w:val="24"/>
          <w14:textFill>
            <w14:solidFill>
              <w14:schemeClr w14:val="tx1"/>
            </w14:solidFill>
          </w14:textFill>
        </w:rPr>
        <w:t xml:space="preserve">和监督，</w:t>
      </w:r>
      <w:r>
        <w:rPr>
          <w:rFonts w:hint="eastAsia" w:ascii="宋体" w:hAnsi="宋体" w:cs="宋体"/>
          <w:color w:val="000000" w:themeColor="text1"/>
          <w:sz w:val="24"/>
          <w14:textFill>
            <w14:solidFill>
              <w14:schemeClr w14:val="tx1"/>
            </w14:solidFill>
          </w14:textFill>
        </w:rPr>
        <w:t xml:space="preserve">提高用能设施设备的能源利用效率。</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（六）根据有关部门的要求，指导</w:t>
      </w:r>
      <w:r>
        <w:rPr>
          <w:rFonts w:ascii="宋体" w:hAnsi="宋体" w:cs="宋体"/>
          <w:color w:val="000000" w:themeColor="text1"/>
          <w:sz w:val="24"/>
          <w14:textFill>
            <w14:solidFill>
              <w14:schemeClr w14:val="tx1"/>
            </w14:solidFill>
          </w14:textFill>
        </w:rPr>
        <w:t xml:space="preserve">和监督</w:t>
      </w:r>
      <w:r>
        <w:rPr>
          <w:rFonts w:hint="eastAsia" w:ascii="宋体" w:hAnsi="宋体" w:cs="宋体"/>
          <w:color w:val="000000" w:themeColor="text1"/>
          <w:sz w:val="24"/>
          <w14:textFill>
            <w14:solidFill>
              <w14:schemeClr w14:val="tx1"/>
            </w14:solidFill>
          </w14:textFill>
        </w:rPr>
        <w:t xml:space="preserve">乙方做好控烟、爱国卫生等工作。</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14:textFill>
            <w14:solidFill>
              <w14:schemeClr w14:val="tx1"/>
            </w14:solidFill>
          </w14:textFill>
        </w:rPr>
        <w:t xml:space="preserve">协助乙方做好物业服务管理工作</w:t>
      </w:r>
      <w:r>
        <w:rPr>
          <w:rFonts w:hint="eastAsia" w:ascii="宋体" w:hAnsi="宋体" w:cs="宋体"/>
          <w:color w:val="000000" w:themeColor="text1"/>
          <w:sz w:val="24"/>
          <w14:textFill>
            <w14:solidFill>
              <w14:schemeClr w14:val="tx1"/>
            </w14:solidFill>
          </w14:textFill>
        </w:rPr>
        <w:t xml:space="preserve">。</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（八）按照合同约定，及时支付</w:t>
      </w:r>
      <w:r>
        <w:rPr>
          <w:rFonts w:ascii="宋体" w:hAnsi="宋体" w:cs="宋体"/>
          <w:color w:val="000000" w:themeColor="text1"/>
          <w:sz w:val="24"/>
          <w14:textFill>
            <w14:solidFill>
              <w14:schemeClr w14:val="tx1"/>
            </w14:solidFill>
          </w14:textFill>
        </w:rPr>
        <w:t xml:space="preserve">合同款项。</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（九）法规、政策规定由甲方承担的其他责任。</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二、乙方权利义务</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（五）对有违反或影响本合同执行，包括影响机关正常办公秩序的行为，乙方应及时整改。</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（九）投保物业公众责任险。</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（十一）法规、政策规定由乙方承担的其他责任。</w:t>
      </w:r>
      <w:r/>
    </w:p>
    <w:p>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三、在管理过程中，因下列因素所致的损害构成乙方的免责事由，乙方均不负赔偿之责：</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（一）天灾、地震等不可抗力的事由所致的损害；</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（二）暴动、持械抢劫、破坏、爆炸、火灾、刑事犯罪等违法行为等事由所致的损害；</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（三）因甲方或第三者之故意、重大过失所致的损害；</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（四）因乙方书面建议甲方改善或改进物业管理措施，而甲方未采纳</w:t>
      </w:r>
      <w:r>
        <w:rPr>
          <w:rFonts w:ascii="宋体" w:hAnsi="宋体"/>
          <w:color w:val="000000" w:themeColor="text1"/>
          <w:sz w:val="24"/>
          <w:szCs w:val="24"/>
          <w14:textFill>
            <w14:solidFill>
              <w14:schemeClr w14:val="tx1"/>
            </w14:solidFill>
          </w14:textFill>
        </w:rPr>
        <w:t xml:space="preserve">所致的损害</w:t>
      </w:r>
      <w:r>
        <w:rPr>
          <w:rFonts w:hint="eastAsia" w:ascii="宋体" w:hAnsi="宋体"/>
          <w:color w:val="000000" w:themeColor="text1"/>
          <w:sz w:val="24"/>
          <w:szCs w:val="24"/>
          <w14:textFill>
            <w14:solidFill>
              <w14:schemeClr w14:val="tx1"/>
            </w14:solidFill>
          </w14:textFill>
        </w:rPr>
        <w:t xml:space="preserve">；</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（五）本合同标的物之共用部分（含共用部位、共用设备设施）自然或非乙方人为的任何损坏。</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（六）除上述各款外，其他不可归责于乙方之事由的。</w:t>
      </w:r>
      <w:r/>
    </w:p>
    <w:p>
      <w:pPr>
        <w:ind w:firstLine="480"/>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以上所有事项</w:t>
      </w:r>
      <w:r>
        <w:rPr>
          <w:rFonts w:hint="eastAsia" w:ascii="宋体" w:hAnsi="宋体" w:cs="宋体"/>
          <w:color w:val="000000" w:themeColor="text1"/>
          <w:sz w:val="24"/>
          <w14:textFill>
            <w14:solidFill>
              <w14:schemeClr w14:val="tx1"/>
            </w14:solidFill>
          </w14:textFill>
        </w:rPr>
        <w:t xml:space="preserve">因乙方故意或过失所致，或未尽到物业管理职责的，不在此限；</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第六条 质量保证</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一、建立质量管理体系并有效运行，管理服务能够接受质量审核。</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二、管理服务逐步达到接受创优评审条件。</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三、各项承诺指标及所采取的措施详见“招标文件”及投标文件。</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四、其他管理服务质量要求按无锡市有关标准执行。</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第七条 款项支付</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一、本合同项下所有款项均以人民币支付。</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二、甲方在收到乙方开具相应的增值税发票后按约定支付物业服务费；乙方未提供发票的</w:t>
      </w:r>
      <w:r>
        <w:rPr>
          <w:rFonts w:ascii="宋体" w:hAnsi="宋体" w:cs="宋体"/>
          <w:color w:val="000000" w:themeColor="text1"/>
          <w:sz w:val="24"/>
          <w14:textFill>
            <w14:solidFill>
              <w14:schemeClr w14:val="tx1"/>
            </w14:solidFill>
          </w14:textFill>
        </w:rPr>
        <w:t xml:space="preserve">，甲方有权迟延支付款项</w:t>
      </w:r>
      <w:r>
        <w:rPr>
          <w:rFonts w:hint="eastAsia" w:ascii="宋体" w:hAnsi="宋体" w:cs="宋体"/>
          <w:color w:val="000000" w:themeColor="text1"/>
          <w:sz w:val="24"/>
          <w14:textFill>
            <w14:solidFill>
              <w14:schemeClr w14:val="tx1"/>
            </w14:solidFill>
          </w14:textFill>
        </w:rPr>
        <w:t xml:space="preserve">且</w:t>
      </w:r>
      <w:r>
        <w:rPr>
          <w:rFonts w:ascii="宋体" w:hAnsi="宋体" w:cs="宋体"/>
          <w:color w:val="000000" w:themeColor="text1"/>
          <w:sz w:val="24"/>
          <w14:textFill>
            <w14:solidFill>
              <w14:schemeClr w14:val="tx1"/>
            </w14:solidFill>
          </w14:textFill>
        </w:rPr>
        <w:t xml:space="preserve">不承担违约责任，乙方仍应继续履行本合同项下的全部义务</w:t>
      </w:r>
      <w:r>
        <w:rPr>
          <w:rFonts w:hint="eastAsia" w:ascii="宋体" w:hAnsi="宋体" w:cs="宋体"/>
          <w:color w:val="000000" w:themeColor="text1"/>
          <w:sz w:val="24"/>
          <w14:textFill>
            <w14:solidFill>
              <w14:schemeClr w14:val="tx1"/>
            </w14:solidFill>
          </w14:textFill>
        </w:rPr>
        <w:t xml:space="preserve">。</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三、付款方式及进度安排及履约评价考核机制按招标文件执行。</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第八条 违约责任</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rPr>
          <w:rFonts w:hint="eastAsia" w:ascii="宋体" w:hAnsi="宋体"/>
          <w:color w:val="000000" w:themeColor="text1"/>
          <w:sz w:val="24"/>
          <w:szCs w:val="24"/>
          <w14:textFill>
            <w14:solidFill>
              <w14:schemeClr w14:val="tx1"/>
            </w14:solidFill>
          </w14:textFill>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themeColor="text1"/>
          <w:sz w:val="24"/>
          <w:szCs w:val="24"/>
          <w14:textFill>
            <w14:solidFill>
              <w14:schemeClr w14:val="tx1"/>
            </w14:solidFill>
          </w14:textFill>
        </w:rPr>
        <w:t xml:space="preserve"> 或依照法律程序解除部分或全部合同。</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四、乙方无正当理由，违反本合同约定，擅自收费或擅自提高收费标准的，对擅自收费部分或超出标准的部分，甲方有权</w:t>
      </w:r>
      <w:r>
        <w:rPr>
          <w:rFonts w:ascii="宋体" w:hAnsi="宋体" w:cs="宋体"/>
          <w:color w:val="000000" w:themeColor="text1"/>
          <w:sz w:val="24"/>
          <w14:textFill>
            <w14:solidFill>
              <w14:schemeClr w14:val="tx1"/>
            </w14:solidFill>
          </w14:textFill>
        </w:rPr>
        <w:t xml:space="preserve">拒绝付款</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已经支付的，</w:t>
      </w:r>
      <w:r>
        <w:rPr>
          <w:rFonts w:hint="eastAsia" w:ascii="宋体" w:hAnsi="宋体" w:cs="宋体"/>
          <w:color w:val="000000" w:themeColor="text1"/>
          <w:sz w:val="24"/>
          <w14:textFill>
            <w14:solidFill>
              <w14:schemeClr w14:val="tx1"/>
            </w14:solidFill>
          </w14:textFill>
        </w:rPr>
        <w:t xml:space="preserve">有权要求乙方双倍返还；造成甲方经济损失的，乙方应予赔偿。</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0%作为违约金；造成的损失超出前述违约金的，甲方有权要求乙方按照实际损失予以赔偿。</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第九条 合同的生效、变更和终止</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三、合同中未有约定的按照有关的法律法规以及国家行业标准或技术文件规定予以解决。</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五、本合同终止时，乙方应移交管理权，撤出本项目，协助甲方做好服务的交接和善后工作，移交或配合甲方移交管理用房和管理的全部档案资料等。</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第十条 争议的解决</w:t>
      </w:r>
      <w:r/>
    </w:p>
    <w:p>
      <w:pPr>
        <w:ind w:firstLine="480"/>
        <w:spacing w:line="400" w:lineRule="exact"/>
        <w:tabs>
          <w:tab w:val="left" w:pos="0" w:leader="none"/>
          <w:tab w:val="left" w:pos="52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合同签订后</w:t>
      </w:r>
      <w:r>
        <w:rPr>
          <w:rFonts w:hint="eastAsia" w:ascii="宋体" w:hAnsi="宋体"/>
          <w:color w:val="000000" w:themeColor="text1"/>
          <w:sz w:val="24"/>
          <w:szCs w:val="24"/>
          <w14:textFill>
            <w14:solidFill>
              <w14:schemeClr w14:val="tx1"/>
            </w14:solidFill>
          </w14:textFill>
        </w:rPr>
        <w:t xml:space="preserve">甲乙</w:t>
      </w:r>
      <w:r>
        <w:rPr>
          <w:rFonts w:hint="eastAsia" w:ascii="宋体" w:hAnsi="宋体"/>
          <w:bCs/>
          <w:color w:val="000000" w:themeColor="text1"/>
          <w:sz w:val="24"/>
          <w:szCs w:val="24"/>
          <w14:textFill>
            <w14:solidFill>
              <w14:schemeClr w14:val="tx1"/>
            </w14:solidFill>
          </w14:textFill>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14:textFill>
            <w14:solidFill>
              <w14:schemeClr w14:val="tx1"/>
            </w14:solidFill>
          </w14:textFill>
        </w:rPr>
        <w:t xml:space="preserve">由甲乙双方协商处理，若协商不成，</w:t>
      </w:r>
      <w:r>
        <w:rPr>
          <w:rFonts w:hint="eastAsia" w:ascii="宋体" w:hAnsi="宋体"/>
          <w:bCs/>
          <w:color w:val="000000" w:themeColor="text1"/>
          <w:sz w:val="24"/>
          <w:szCs w:val="24"/>
          <w14:textFill>
            <w14:solidFill>
              <w14:schemeClr w14:val="tx1"/>
            </w14:solidFill>
          </w14:textFill>
        </w:rPr>
        <w:t xml:space="preserve">可选择以下方式处理：</w:t>
      </w:r>
      <w:r/>
    </w:p>
    <w:p>
      <w:pPr>
        <w:spacing w:line="400" w:lineRule="exact"/>
        <w:tabs>
          <w:tab w:val="left" w:pos="525" w:leader="none"/>
          <w:tab w:val="left" w:pos="94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一、向无锡仲裁委员会申请仲裁。</w:t>
      </w:r>
      <w:r/>
    </w:p>
    <w:p>
      <w:pPr>
        <w:spacing w:line="400" w:lineRule="exact"/>
        <w:tabs>
          <w:tab w:val="left" w:pos="0" w:leader="none"/>
          <w:tab w:val="left" w:pos="52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二、向甲方所在地法院提起诉讼。</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第十一条 诚实信用及其他</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一、乙方应诚实信用，严格按照招标投标文件要求和承诺履行合同，严禁向甲方进行商业贿赂或者提供不正当利益。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二、本合同应按照中华人民共和国的现行法律进行解释。</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甲方（采购人）：（盖章）         乙方（供应商）：（盖章）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代表人：                       代表人：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                         电话：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                     开户银行：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账号：                         账号： </w:t>
      </w:r>
      <w:r/>
    </w:p>
    <w:p>
      <w:pPr>
        <w:ind w:firstLine="480"/>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签订日期：    年    月    日</w:t>
      </w:r>
      <w:r/>
    </w:p>
    <w:p>
      <w:pPr>
        <w:ind w:firstLine="480"/>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bookmarkEnd w:id="179"/>
      <w:r/>
      <w:bookmarkEnd w:id="180"/>
      <w:r/>
      <w:bookmarkEnd w:id="181"/>
      <w:r/>
      <w:bookmarkStart w:id="182" w:name="_Hlt16619369"/>
      <w:r/>
      <w:bookmarkEnd w:id="182"/>
      <w:r/>
      <w:bookmarkStart w:id="183" w:name="_Hlt16619350"/>
      <w:r/>
      <w:bookmarkStart w:id="184" w:name="_Toc16938590"/>
      <w:r/>
      <w:bookmarkStart w:id="185" w:name="_Toc120614244"/>
      <w:r/>
      <w:bookmarkStart w:id="186" w:name="_Toc20823346"/>
      <w:r/>
      <w:bookmarkStart w:id="187" w:name="_Toc462564139"/>
      <w:r/>
      <w:bookmarkStart w:id="188" w:name="_Toc479757211"/>
      <w:r>
        <w:rPr>
          <w:rFonts w:hint="eastAsia" w:ascii="黑体" w:hAnsi="黑体" w:eastAsia="黑体"/>
          <w:color w:val="000000" w:themeColor="text1"/>
          <w:sz w:val="36"/>
          <w:szCs w:val="36"/>
          <w14:textFill>
            <w14:solidFill>
              <w14:schemeClr w14:val="tx1"/>
            </w14:solidFill>
          </w14:textFill>
        </w:rPr>
        <w:t xml:space="preserve">第</w:t>
      </w:r>
      <w:bookmarkEnd w:id="183"/>
      <w:r>
        <w:rPr>
          <w:rFonts w:hint="eastAsia" w:ascii="黑体" w:hAnsi="黑体" w:eastAsia="黑体"/>
          <w:color w:val="000000" w:themeColor="text1"/>
          <w:sz w:val="36"/>
          <w:szCs w:val="36"/>
          <w14:textFill>
            <w14:solidFill>
              <w14:schemeClr w14:val="tx1"/>
            </w14:solidFill>
          </w14:textFill>
        </w:rPr>
        <w:t xml:space="preserve">四章 采购需求</w:t>
      </w:r>
      <w:bookmarkEnd w:id="184"/>
      <w:r/>
      <w:bookmarkEnd w:id="185"/>
      <w:r/>
      <w:bookmarkEnd w:id="186"/>
      <w:r/>
      <w:r/>
    </w:p>
    <w:p>
      <w:pPr>
        <w:ind w:firstLine="600"/>
        <w:jc w:val="left"/>
        <w:spacing w:line="360" w:lineRule="auto"/>
        <w:rPr>
          <w:rFonts w:ascii="黑体" w:hAnsi="黑体" w:eastAsia="黑体"/>
          <w:color w:val="000000" w:themeColor="text1"/>
          <w:sz w:val="30"/>
          <w:szCs w:val="30"/>
          <w14:textFill>
            <w14:solidFill>
              <w14:schemeClr w14:val="tx1"/>
            </w14:solidFill>
          </w14:textFill>
        </w:rPr>
      </w:pPr>
      <w:r/>
      <w:bookmarkStart w:id="189" w:name="_Toc49090575"/>
      <w:r/>
      <w:bookmarkStart w:id="190" w:name="_Toc26554093"/>
      <w:r>
        <w:rPr>
          <w:rFonts w:hint="eastAsia" w:ascii="黑体" w:hAnsi="黑体" w:eastAsia="黑体"/>
          <w:color w:val="000000" w:themeColor="text1"/>
          <w:sz w:val="30"/>
          <w:szCs w:val="30"/>
          <w14:textFill>
            <w14:solidFill>
              <w14:schemeClr w14:val="tx1"/>
            </w14:solidFill>
          </w14:textFill>
        </w:rPr>
        <w:t xml:space="preserve">本项目属性：服务类项目</w:t>
      </w:r>
      <w:r/>
    </w:p>
    <w:p>
      <w:pPr>
        <w:ind w:firstLine="48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投标人所投内容必须满足以下要求，不得有负偏离。</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本项目标的物所属行业：物业管理</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第一部分  项目技术要求</w:t>
      </w:r>
      <w:r/>
    </w:p>
    <w:p>
      <w:pPr>
        <w:ind w:firstLine="480"/>
        <w:jc w:val="left"/>
        <w:spacing w:line="360" w:lineRule="auto"/>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本项目为2026年滨湖法院物业管理服务项目，项目地点江苏省无锡市滨湖区青莲路68 号滨湖区人民法院。</w:t>
      </w:r>
      <w:r/>
    </w:p>
    <w:p>
      <w:pPr>
        <w:numPr>
          <w:ilvl w:val="0"/>
          <w:numId w:val="5"/>
        </w:numPr>
        <w:ind w:firstLine="480"/>
        <w:jc w:val="left"/>
        <w:spacing w:line="360" w:lineRule="auto"/>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服务管理区域总面积约为28000平方米，（包括法院本部、4个法庭、2个派驻部门）管理和服务的范围包括：</w:t>
      </w:r>
      <w:r/>
    </w:p>
    <w:p>
      <w:pPr>
        <w:ind w:firstLine="480"/>
        <w:spacing w:line="360" w:lineRule="auto"/>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（1）负责</w:t>
      </w:r>
      <w:r>
        <w:rPr>
          <w:rFonts w:hint="eastAsia" w:cs="方正仿宋_GBK" w:asciiTheme="minorEastAsia" w:hAnsiTheme="minorEastAsia" w:eastAsiaTheme="minorEastAsia"/>
          <w:sz w:val="24"/>
          <w:szCs w:val="24"/>
        </w:rPr>
        <w:t xml:space="preserve">滨湖法院</w:t>
      </w:r>
      <w:r>
        <w:rPr>
          <w:rFonts w:hint="eastAsia" w:cs="方正仿宋_GBK" w:asciiTheme="minorEastAsia" w:hAnsiTheme="minorEastAsia" w:eastAsiaTheme="minorEastAsia"/>
          <w:bCs/>
          <w:sz w:val="24"/>
          <w:szCs w:val="24"/>
        </w:rPr>
        <w:t xml:space="preserve">的日常保洁服务及公共区域的日常杀消毒工作，区内道路及广场清扫；</w:t>
      </w:r>
      <w:r/>
    </w:p>
    <w:p>
      <w:pPr>
        <w:ind w:firstLine="480"/>
        <w:spacing w:line="360" w:lineRule="auto"/>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（2）负责</w:t>
      </w:r>
      <w:r>
        <w:rPr>
          <w:rFonts w:hint="eastAsia" w:cs="方正仿宋_GBK" w:asciiTheme="minorEastAsia" w:hAnsiTheme="minorEastAsia" w:eastAsiaTheme="minorEastAsia"/>
          <w:sz w:val="24"/>
          <w:szCs w:val="24"/>
        </w:rPr>
        <w:t xml:space="preserve">滨湖法院</w:t>
      </w:r>
      <w:r>
        <w:rPr>
          <w:rFonts w:hint="eastAsia" w:cs="方正仿宋_GBK" w:asciiTheme="minorEastAsia" w:hAnsiTheme="minorEastAsia" w:eastAsiaTheme="minorEastAsia"/>
          <w:bCs/>
          <w:sz w:val="24"/>
          <w:szCs w:val="24"/>
        </w:rPr>
        <w:t xml:space="preserve">物业管理范围内维修项目；</w:t>
      </w:r>
      <w:r/>
    </w:p>
    <w:p>
      <w:pPr>
        <w:ind w:firstLine="480"/>
        <w:spacing w:line="360" w:lineRule="auto"/>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（3）负责</w:t>
      </w:r>
      <w:r>
        <w:rPr>
          <w:rFonts w:hint="eastAsia" w:cs="方正仿宋_GBK" w:asciiTheme="minorEastAsia" w:hAnsiTheme="minorEastAsia" w:eastAsiaTheme="minorEastAsia"/>
          <w:sz w:val="24"/>
          <w:szCs w:val="24"/>
        </w:rPr>
        <w:t xml:space="preserve">滨湖法</w:t>
      </w:r>
      <w:r>
        <w:rPr>
          <w:rFonts w:hint="eastAsia" w:cs="方正仿宋_GBK" w:asciiTheme="minorEastAsia" w:hAnsiTheme="minorEastAsia" w:eastAsiaTheme="minorEastAsia"/>
          <w:bCs/>
          <w:sz w:val="24"/>
          <w:szCs w:val="24"/>
        </w:rPr>
        <w:t xml:space="preserve">院区内部绿化景观修剪、养护服务；</w:t>
      </w:r>
      <w:r/>
    </w:p>
    <w:p>
      <w:pPr>
        <w:ind w:firstLine="480"/>
        <w:spacing w:line="360" w:lineRule="auto"/>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（4）负责</w:t>
      </w:r>
      <w:r>
        <w:rPr>
          <w:rFonts w:hint="eastAsia" w:cs="方正仿宋_GBK" w:asciiTheme="minorEastAsia" w:hAnsiTheme="minorEastAsia" w:eastAsiaTheme="minorEastAsia"/>
          <w:sz w:val="24"/>
          <w:szCs w:val="24"/>
        </w:rPr>
        <w:t xml:space="preserve">滨湖法</w:t>
      </w:r>
      <w:r>
        <w:rPr>
          <w:rFonts w:hint="eastAsia" w:cs="方正仿宋_GBK" w:asciiTheme="minorEastAsia" w:hAnsiTheme="minorEastAsia" w:eastAsiaTheme="minorEastAsia"/>
          <w:bCs/>
          <w:sz w:val="24"/>
          <w:szCs w:val="24"/>
        </w:rPr>
        <w:t xml:space="preserve">院的会议保障服务；</w:t>
      </w:r>
      <w:r/>
    </w:p>
    <w:p>
      <w:pPr>
        <w:ind w:firstLine="480"/>
        <w:spacing w:line="360" w:lineRule="auto"/>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（5）采购人交办的其他事项。</w:t>
      </w:r>
      <w:r/>
    </w:p>
    <w:p>
      <w:pPr>
        <w:ind w:firstLine="480"/>
        <w:jc w:val="left"/>
        <w:spacing w:line="360" w:lineRule="auto"/>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3、服务质量满足采购人需求。</w:t>
      </w:r>
      <w:r/>
    </w:p>
    <w:p>
      <w:pPr>
        <w:ind w:firstLine="480"/>
        <w:jc w:val="left"/>
        <w:spacing w:line="360" w:lineRule="auto"/>
        <w:rPr>
          <w:rFonts w:cs="方正仿宋_GBK" w:asciiTheme="minorEastAsia" w:hAnsiTheme="minorEastAsia" w:eastAsiaTheme="minorEastAsia"/>
          <w:b/>
          <w:sz w:val="24"/>
          <w:szCs w:val="24"/>
        </w:rPr>
      </w:pPr>
      <w:r>
        <w:rPr>
          <w:rFonts w:hint="eastAsia" w:cs="方正仿宋_GBK" w:asciiTheme="minorEastAsia" w:hAnsiTheme="minorEastAsia" w:eastAsiaTheme="minorEastAsia"/>
          <w:sz w:val="24"/>
          <w:szCs w:val="24"/>
        </w:rPr>
        <w:t xml:space="preserve">4、</w:t>
      </w:r>
      <w:r>
        <w:rPr>
          <w:rFonts w:hint="eastAsia" w:cs="方正仿宋_GBK" w:asciiTheme="minorEastAsia" w:hAnsiTheme="minorEastAsia" w:eastAsiaTheme="minorEastAsia"/>
          <w:b/>
          <w:sz w:val="24"/>
          <w:szCs w:val="24"/>
        </w:rPr>
        <w:t xml:space="preserve">服务期：12个月。</w:t>
      </w:r>
      <w:r/>
    </w:p>
    <w:p>
      <w:pPr>
        <w:ind w:firstLine="480"/>
        <w:jc w:val="left"/>
        <w:spacing w:line="360" w:lineRule="auto"/>
        <w:rPr>
          <w:rFonts w:cs="方正仿宋_GBK" w:asciiTheme="minorEastAsia" w:hAnsiTheme="minorEastAsia" w:eastAsiaTheme="minorEastAsia"/>
          <w:b/>
          <w:sz w:val="24"/>
          <w:szCs w:val="24"/>
        </w:rPr>
      </w:pPr>
      <w:r>
        <w:rPr>
          <w:rFonts w:hint="eastAsia" w:cs="方正仿宋_GBK" w:asciiTheme="minorEastAsia" w:hAnsiTheme="minorEastAsia" w:eastAsiaTheme="minorEastAsia"/>
          <w:sz w:val="24"/>
          <w:szCs w:val="24"/>
        </w:rPr>
        <w:t xml:space="preserve">5、</w:t>
      </w:r>
      <w:r>
        <w:rPr>
          <w:rFonts w:hint="eastAsia" w:cs="方正仿宋_GBK" w:asciiTheme="minorEastAsia" w:hAnsiTheme="minorEastAsia" w:eastAsiaTheme="minorEastAsia"/>
          <w:b/>
          <w:sz w:val="24"/>
          <w:szCs w:val="24"/>
        </w:rPr>
        <w:t xml:space="preserve">付款方式：物业管理费用经考核后按月支付。经招标人考核且满意度达90%以上的，于月初支付上月全部费用；经招标人考核且满意度达80%-89%的，于月初支付上月费用的95%；经招标人考核且满意度达80%以下的，于月初支付上月费用的90%。（考核标准细则详见附件）</w:t>
      </w:r>
      <w:r/>
    </w:p>
    <w:p>
      <w:pPr>
        <w:ind w:right="-57" w:firstLine="480"/>
        <w:jc w:val="left"/>
        <w:spacing w:line="360" w:lineRule="auto"/>
        <w:rPr>
          <w:rFonts w:hint="eastAsia" w:cs="方正仿宋_GBK" w:asciiTheme="minorEastAsia" w:hAnsiTheme="minorEastAsia" w:eastAsiaTheme="minorEastAsia"/>
          <w:bCs/>
          <w:sz w:val="24"/>
          <w:szCs w:val="24"/>
        </w:rPr>
      </w:pPr>
      <w:r>
        <w:rPr>
          <w:rFonts w:hint="eastAsia" w:cs="方正仿宋_GBK" w:asciiTheme="minorEastAsia" w:hAnsiTheme="minorEastAsia" w:eastAsiaTheme="minorEastAsia"/>
          <w:sz w:val="24"/>
          <w:szCs w:val="24"/>
        </w:rPr>
        <w:t xml:space="preserve">6、本次</w:t>
      </w:r>
      <w:r>
        <w:rPr>
          <w:rFonts w:hint="eastAsia" w:cs="方正仿宋_GBK" w:asciiTheme="minorEastAsia" w:hAnsiTheme="minorEastAsia" w:eastAsiaTheme="minorEastAsia"/>
          <w:bCs/>
          <w:sz w:val="24"/>
          <w:szCs w:val="24"/>
        </w:rPr>
        <w:t xml:space="preserve">招标投标人人员最低配置总数不得低于34人的标准，配置要求如下：（本项不得偏离）</w:t>
      </w:r>
      <w:r/>
    </w:p>
    <w:tbl>
      <w:tblPr>
        <w:tblStyle w:val="735"/>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3035"/>
        <w:gridCol w:w="868"/>
        <w:gridCol w:w="3544"/>
        <w:gridCol w:w="992"/>
      </w:tblGrid>
      <w:tr>
        <w:trPr>
          <w:trHeight w:val="402"/>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序号</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岗位名称</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数量</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要求</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备注</w:t>
            </w:r>
            <w:r/>
          </w:p>
        </w:tc>
      </w:tr>
      <w:tr>
        <w:trPr>
          <w:trHeight w:val="521"/>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项目负责人</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男女不限，50（含）周岁以下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457"/>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保洁主管</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女性，55（含）周岁以下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463"/>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保洁员</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13</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女性，55（含）周岁以下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441"/>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4</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设备维修人员</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男性，60（含）周岁以下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503"/>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5</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客服</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5</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男女不限，45（含）周岁以下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495"/>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6</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会务</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女性，55（含）周岁以下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cantSplit/>
          <w:trHeight w:val="389"/>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7</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消监控设备管理员（日班）</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男性60周岁以下</w:t>
            </w:r>
            <w:r/>
          </w:p>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女性55周岁以下</w:t>
            </w:r>
            <w:r/>
          </w:p>
        </w:tc>
        <w:tc>
          <w:tcPr>
            <w:tcW w:w="992" w:type="dxa"/>
            <w:vAlign w:val="center"/>
            <w:vMerge w:val="restart"/>
            <w:textDirection w:val="lrTb"/>
            <w:noWrap w:val="false"/>
          </w:tcPr>
          <w:p>
            <w:pPr>
              <w:jc w:val="left"/>
              <w:tabs>
                <w:tab w:val="left" w:pos="328" w:leader="none"/>
              </w:tabs>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 xml:space="preserve">双人值班、持中级消控证上岗</w:t>
            </w:r>
            <w:r/>
          </w:p>
        </w:tc>
      </w:tr>
      <w:tr>
        <w:trPr>
          <w:cantSplit/>
          <w:trHeight w:val="361"/>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消监控设备管理员（夜班）</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男性60周岁以下</w:t>
            </w:r>
            <w:r/>
          </w:p>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女性55周岁以下</w:t>
            </w:r>
            <w:r/>
          </w:p>
        </w:tc>
        <w:tc>
          <w:tcPr>
            <w:tcW w:w="992" w:type="dxa"/>
            <w:vAlign w:val="center"/>
            <w:vMerge w:val="continue"/>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687"/>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9</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晚班设备员</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6</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男性60周岁以下</w:t>
            </w:r>
            <w:r/>
          </w:p>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女性55周岁以下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447"/>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10</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物业秩序维护员</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男女不限，55（含）周岁以下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447"/>
        </w:trPr>
        <w:tc>
          <w:tcPr>
            <w:gridSpan w:val="2"/>
            <w:tcW w:w="3776"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合计</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34</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bl>
    <w:p>
      <w:pPr>
        <w:ind w:firstLine="480"/>
        <w:spacing w:line="360" w:lineRule="auto"/>
        <w:rPr>
          <w:rFonts w:hint="eastAsia" w:cs="方正仿宋_GBK" w:asciiTheme="minorEastAsia" w:hAnsiTheme="minorEastAsia" w:eastAsiaTheme="minorEastAsia"/>
          <w:bCs/>
          <w:sz w:val="24"/>
          <w:szCs w:val="24"/>
          <w:highlight w:val="green"/>
        </w:rPr>
      </w:pPr>
      <w:r>
        <w:rPr>
          <w:rFonts w:hint="eastAsia" w:cs="方正仿宋_GBK" w:asciiTheme="minorEastAsia" w:hAnsiTheme="minorEastAsia" w:eastAsiaTheme="minorEastAsia"/>
          <w:bCs/>
          <w:sz w:val="24"/>
          <w:szCs w:val="24"/>
          <w:highlight w:val="green"/>
        </w:rPr>
      </w:r>
      <w:r/>
    </w:p>
    <w:p>
      <w:pPr>
        <w:ind w:firstLine="480"/>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bCs/>
          <w:sz w:val="24"/>
          <w:szCs w:val="24"/>
        </w:rPr>
        <w:t xml:space="preserve">7、中标供应商应按照相关规定，与所有聘用人员依法签订合同，服务人员的</w:t>
      </w:r>
      <w:r>
        <w:rPr>
          <w:rFonts w:hint="eastAsia" w:cs="方正仿宋_GBK" w:asciiTheme="minorEastAsia" w:hAnsiTheme="minorEastAsia" w:eastAsiaTheme="minorEastAsia"/>
          <w:b/>
          <w:sz w:val="24"/>
          <w:szCs w:val="24"/>
        </w:rPr>
        <w:t xml:space="preserve">工资、社保等必须符合国家及地方相关政策最低要求。</w:t>
      </w:r>
      <w:r/>
    </w:p>
    <w:p>
      <w:pPr>
        <w:ind w:firstLine="480"/>
        <w:jc w:val="left"/>
        <w:spacing w:line="360" w:lineRule="auto"/>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8、投标单位中标后不得以任何形式转包、分包。如一旦发现有转包或分包，采购人有权终止合同并没收履约保证金，一切损失由中标单位负责。</w:t>
      </w:r>
      <w:r/>
    </w:p>
    <w:p>
      <w:pPr>
        <w:ind w:firstLine="480"/>
        <w:jc w:val="left"/>
        <w:spacing w:line="360" w:lineRule="auto"/>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9、本项目为固定总价。</w:t>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 xml:space="preserve">附表：人员岗位排定表</w:t>
      </w:r>
      <w:r/>
    </w:p>
    <w:tbl>
      <w:tblPr>
        <w:tblStyle w:val="735"/>
        <w:tblpPr w:horzAnchor="margin" w:tblpXSpec="left" w:vertAnchor="text" w:tblpY="173" w:leftFromText="180" w:topFromText="0" w:rightFromText="180" w:bottomFromText="0"/>
        <w:tblW w:w="8673" w:type="dxa"/>
        <w:tblInd w:w="0" w:type="dxa"/>
        <w:tblLayout w:type="fixed"/>
        <w:tblCellMar>
          <w:left w:w="108" w:type="dxa"/>
          <w:top w:w="0" w:type="dxa"/>
          <w:right w:w="108" w:type="dxa"/>
          <w:bottom w:w="0" w:type="dxa"/>
        </w:tblCellMar>
        <w:tblLook w:val="04A0" w:firstRow="1" w:lastRow="0" w:firstColumn="1" w:lastColumn="0" w:noHBand="0" w:noVBand="1"/>
      </w:tblPr>
      <w:tblGrid>
        <w:gridCol w:w="457"/>
        <w:gridCol w:w="2036"/>
        <w:gridCol w:w="870"/>
        <w:gridCol w:w="1920"/>
        <w:gridCol w:w="2130"/>
        <w:gridCol w:w="585"/>
        <w:gridCol w:w="675"/>
      </w:tblGrid>
      <w:tr>
        <w:trPr>
          <w:cantSplit/>
          <w:trHeight w:val="369"/>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序号</w:t>
            </w:r>
            <w:r/>
          </w:p>
        </w:tc>
        <w:tc>
          <w:tcPr>
            <w:gridSpan w:val="2"/>
            <w:tcBorders>
              <w:top w:val="single" w:color="000000" w:sz="4" w:space="0"/>
              <w:left w:val="none" w:color="000000" w:sz="4" w:space="0"/>
              <w:bottom w:val="single" w:color="000000" w:sz="4" w:space="0"/>
              <w:right w:val="single" w:color="000000" w:sz="4" w:space="0"/>
            </w:tcBorders>
            <w:tcW w:w="2906" w:type="dxa"/>
            <w:vAlign w:val="center"/>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岗位排定</w:t>
            </w:r>
            <w:r/>
          </w:p>
        </w:tc>
        <w:tc>
          <w:tcPr>
            <w:gridSpan w:val="4"/>
            <w:tcBorders>
              <w:top w:val="single" w:color="000000" w:sz="4" w:space="0"/>
              <w:left w:val="none" w:color="000000" w:sz="4" w:space="0"/>
              <w:bottom w:val="single" w:color="000000" w:sz="4" w:space="0"/>
              <w:right w:val="single" w:color="000000" w:sz="4" w:space="0"/>
            </w:tcBorders>
            <w:tcW w:w="5310" w:type="dxa"/>
            <w:vAlign w:val="center"/>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工作内容</w:t>
            </w:r>
            <w:r/>
          </w:p>
        </w:tc>
      </w:tr>
      <w:tr>
        <w:trPr>
          <w:cantSplit/>
          <w:trHeight w:val="42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cs="方正仿宋_GBK" w:asciiTheme="minorEastAsia" w:hAnsiTheme="minorEastAsia" w:eastAsiaTheme="minorEastAsia"/>
                <w:b/>
                <w:bCs/>
                <w:sz w:val="24"/>
                <w:szCs w:val="24"/>
              </w:rPr>
            </w:pPr>
            <w:r>
              <w:rPr>
                <w:rFonts w:cs="方正仿宋_GBK" w:asciiTheme="minorEastAsia" w:hAnsiTheme="minorEastAsia" w:eastAsiaTheme="minorEastAsia"/>
                <w:b/>
                <w:bCs/>
                <w:sz w:val="24"/>
                <w:szCs w:val="24"/>
              </w:rPr>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岗位名称</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数量</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工作量</w:t>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时间</w:t>
            </w:r>
            <w:r/>
          </w:p>
        </w:tc>
        <w:tc>
          <w:tcPr>
            <w:gridSpan w:val="2"/>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小时数</w:t>
            </w:r>
            <w:r/>
          </w:p>
        </w:tc>
      </w:tr>
      <w:tr>
        <w:trPr>
          <w:trHeight w:val="901"/>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项目负责人</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left"/>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负责六部物业、客服、内务</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8:00-17:00（午休1小时）</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r>
      <w:tr>
        <w:trPr>
          <w:trHeight w:val="830"/>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保洁主管</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left"/>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负责六部保洁工作的管理</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8:00-17:00（午休1小时）</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r>
      <w:tr>
        <w:trPr>
          <w:trHeight w:val="900"/>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保洁员</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13</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各责任区域的卫生打扫和清洁</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7:00-16:00（午休1小时），其中本部保洁员每周六、节假日轮流值班，晚间临时会议值班。</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r>
      <w:tr>
        <w:trPr>
          <w:trHeight w:val="900"/>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4</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设备维修人员</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六部的水电保障和维修</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8:00-17:00（午休1小时）</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r>
      <w:tr>
        <w:trPr>
          <w:trHeight w:val="900"/>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5</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客服</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5</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负责各项会议保障</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8:00-17:00（午休1小时）</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r>
      <w:tr>
        <w:trPr>
          <w:trHeight w:val="900"/>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6</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会务</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负责人员接待和咨询</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8:00-17:00（午休1小时）</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r>
      <w:tr>
        <w:trPr>
          <w:trHeight w:val="611"/>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7</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消监控设备管理员（日班）</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保障监控设备的正常运行</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7:00-19:00</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12</w:t>
            </w:r>
            <w:r/>
          </w:p>
        </w:tc>
      </w:tr>
      <w:tr>
        <w:trPr>
          <w:trHeight w:val="690"/>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消监控设备管理员（夜班）</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保障监控设备的正常运行</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19:00-7:00</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12</w:t>
            </w:r>
            <w:r/>
          </w:p>
        </w:tc>
      </w:tr>
      <w:tr>
        <w:trPr>
          <w:trHeight w:val="572"/>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9</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晚班设备员</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6</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强弱电，消防设备的巡查</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20:00-8:00</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12</w:t>
            </w:r>
            <w:r/>
          </w:p>
        </w:tc>
      </w:tr>
      <w:tr>
        <w:trPr>
          <w:trHeight w:val="900"/>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10</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物业秩序维护员</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负责法院本部及各法庭园区综合秩序协调、调度，参与绿化维护。</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8:00-17:00（午休1小时）</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r>
      <w:tr>
        <w:trPr>
          <w:trHeight w:val="614"/>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11</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合计</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34</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　</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　</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　</w:t>
            </w:r>
            <w:r/>
          </w:p>
        </w:tc>
      </w:tr>
    </w:tbl>
    <w:p>
      <w:pP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p>
      <w:pPr>
        <w:pStyle w:val="935"/>
        <w:rPr>
          <w:rFonts w:asciiTheme="minorEastAsia" w:hAnsiTheme="minorEastAsia" w:eastAsiaTheme="minorEastAsia"/>
          <w:sz w:val="24"/>
          <w:szCs w:val="24"/>
        </w:rPr>
      </w:pPr>
      <w:r>
        <w:rPr>
          <w:rFonts w:asciiTheme="minorEastAsia" w:hAnsiTheme="minorEastAsia" w:eastAsiaTheme="minorEastAsia"/>
          <w:sz w:val="24"/>
          <w:szCs w:val="24"/>
        </w:rPr>
      </w:r>
      <w:r/>
    </w:p>
    <w:p>
      <w:pPr>
        <w:pStyle w:val="957"/>
        <w:ind w:left="420" w:hanging="420"/>
        <w:tabs>
          <w:tab w:val="left" w:pos="420" w:leader="none"/>
        </w:tabs>
        <w:rPr>
          <w:rFonts w:asciiTheme="minorEastAsia" w:hAnsiTheme="minorEastAsia" w:eastAsiaTheme="minorEastAsia"/>
          <w:sz w:val="24"/>
          <w:szCs w:val="24"/>
        </w:rPr>
      </w:pPr>
      <w:r>
        <w:rPr>
          <w:rFonts w:asciiTheme="minorEastAsia" w:hAnsiTheme="minorEastAsia" w:eastAsiaTheme="minorEastAsia"/>
          <w:sz w:val="24"/>
          <w:szCs w:val="24"/>
        </w:rPr>
      </w:r>
      <w:r/>
    </w:p>
    <w:p>
      <w:pPr>
        <w:pStyle w:val="957"/>
        <w:ind w:left="420" w:hanging="420"/>
        <w:tabs>
          <w:tab w:val="left" w:pos="420" w:leader="none"/>
        </w:tabs>
        <w:rPr>
          <w:rFonts w:asciiTheme="minorEastAsia" w:hAnsiTheme="minorEastAsia" w:eastAsiaTheme="minorEastAsia"/>
          <w:sz w:val="24"/>
          <w:szCs w:val="24"/>
        </w:rPr>
      </w:pPr>
      <w:r>
        <w:rPr>
          <w:rFonts w:asciiTheme="minorEastAsia" w:hAnsiTheme="minorEastAsia" w:eastAsiaTheme="minorEastAsia"/>
          <w:sz w:val="24"/>
          <w:szCs w:val="24"/>
        </w:rPr>
      </w:r>
      <w:r/>
    </w:p>
    <w:p>
      <w:pPr>
        <w:pStyle w:val="957"/>
        <w:ind w:left="420" w:hanging="420"/>
        <w:tabs>
          <w:tab w:val="left" w:pos="420" w:leader="none"/>
        </w:tabs>
        <w:rPr>
          <w:rFonts w:asciiTheme="minorEastAsia" w:hAnsiTheme="minorEastAsia" w:eastAsiaTheme="minorEastAsia"/>
          <w:sz w:val="24"/>
          <w:szCs w:val="24"/>
        </w:rPr>
      </w:pPr>
      <w:r>
        <w:rPr>
          <w:rFonts w:asciiTheme="minorEastAsia" w:hAnsiTheme="minorEastAsia" w:eastAsiaTheme="minorEastAsia"/>
          <w:sz w:val="24"/>
          <w:szCs w:val="24"/>
        </w:rPr>
      </w:r>
      <w:r/>
    </w:p>
    <w:p>
      <w:pPr>
        <w:pStyle w:val="957"/>
        <w:ind w:left="420" w:hanging="420"/>
        <w:tabs>
          <w:tab w:val="left" w:pos="420" w:leader="none"/>
        </w:tabs>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附件：考核标准细则</w:t>
      </w:r>
      <w:r/>
    </w:p>
    <w:tbl>
      <w:tblPr>
        <w:tblStyle w:val="735"/>
        <w:tblW w:w="8440" w:type="dxa"/>
        <w:tblInd w:w="93" w:type="dxa"/>
        <w:tblLayout w:type="autofit"/>
        <w:tblCellMar>
          <w:left w:w="108" w:type="dxa"/>
          <w:top w:w="0" w:type="dxa"/>
          <w:right w:w="108" w:type="dxa"/>
          <w:bottom w:w="0" w:type="dxa"/>
        </w:tblCellMar>
        <w:tblLook w:val="04A0" w:firstRow="1" w:lastRow="0" w:firstColumn="1" w:lastColumn="0" w:noHBand="0" w:noVBand="1"/>
      </w:tblPr>
      <w:tblGrid>
        <w:gridCol w:w="542"/>
        <w:gridCol w:w="2892"/>
        <w:gridCol w:w="1555"/>
        <w:gridCol w:w="1069"/>
        <w:gridCol w:w="1070"/>
        <w:gridCol w:w="1312"/>
      </w:tblGrid>
      <w:tr>
        <w:trPr>
          <w:trHeight w:val="665"/>
        </w:trPr>
        <w:tc>
          <w:tcPr>
            <w:gridSpan w:val="6"/>
            <w:tcBorders>
              <w:top w:val="none" w:color="000000" w:sz="4" w:space="0"/>
              <w:left w:val="none" w:color="000000" w:sz="4" w:space="0"/>
              <w:bottom w:val="none" w:color="000000" w:sz="4" w:space="0"/>
              <w:right w:val="none" w:color="000000" w:sz="4" w:space="0"/>
            </w:tcBorders>
            <w:tcW w:w="8440" w:type="dxa"/>
            <w:vAlign w:val="center"/>
            <w:textDirection w:val="lrTb"/>
            <w:noWrap w:val="false"/>
          </w:tcPr>
          <w:p>
            <w:pPr>
              <w:jc w:val="center"/>
              <w:rPr>
                <w:rFonts w:cs="宋体"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考核标准细则</w:t>
            </w:r>
            <w:r/>
          </w:p>
        </w:tc>
      </w:tr>
      <w:tr>
        <w:trPr>
          <w:trHeight w:val="589"/>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调查项目</w:t>
            </w:r>
            <w:r/>
          </w:p>
        </w:tc>
        <w:tc>
          <w:tcPr>
            <w:gridSpan w:val="4"/>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满意程度</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方案、人员安排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1.台账、档案管理情况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2.人员到位情况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3.工作时间在岗情况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4.人员稳定情况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83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5.物业人员培训、专业人员持证上岗情况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6.综合素质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日常保洁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1.楼栋室内公共区域卫生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2.卫生间清扫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3.法庭区域卫生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4.外场卫生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none" w:color="000000" w:sz="4" w:space="0"/>
            </w:tcBorders>
            <w:tcW w:w="0" w:type="auto"/>
            <w:vAlign w:val="center"/>
            <w:vMerge w:val="restart"/>
            <w:textDirection w:val="tbRlV"/>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维修工作</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1.供电系统维护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non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2.给排水维护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non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3.其他公共设施维护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none" w:color="000000" w:sz="4" w:space="0"/>
            </w:tcBorders>
            <w:tcW w:w="0" w:type="auto"/>
            <w:vAlign w:val="center"/>
            <w:vMerge w:val="restart"/>
            <w:textDirection w:val="tbRlV"/>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设备管理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1.空调维保跟踪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non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2.电梯维保跟踪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non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3.消防维保跟踪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62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绿化养护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1.室内绿植维护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62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2.室外绿化定期养护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会议保障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1.会前准备及会中服务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2.会后清洁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3.会议室日常打扫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总分：</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r>
      <w:tr>
        <w:trPr>
          <w:trHeight w:val="629"/>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其他意见或建议：</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r>
      <w:tr>
        <w:trPr>
          <w:trHeight w:val="649"/>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负责人、考核人〔签字）：</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r>
    </w:tbl>
    <w:p>
      <w:pPr>
        <w:pStyle w:val="935"/>
      </w:pPr>
      <w:r/>
      <w:r/>
    </w:p>
    <w:p>
      <w:pPr>
        <w:widowControl/>
        <w:rPr>
          <w:rFonts w:ascii="黑体" w:eastAsia="黑体"/>
          <w:color w:val="000000" w:themeColor="text1"/>
          <w:sz w:val="44"/>
          <w:szCs w:val="44"/>
          <w14:textFill>
            <w14:solidFill>
              <w14:schemeClr w14:val="tx1"/>
            </w14:solidFill>
          </w14:textFill>
        </w:rPr>
      </w:pPr>
      <w:r>
        <w:rPr>
          <w:rFonts w:ascii="黑体" w:eastAsia="黑体"/>
          <w:color w:val="000000" w:themeColor="text1"/>
          <w:sz w:val="44"/>
          <w:szCs w:val="44"/>
          <w14:textFill>
            <w14:solidFill>
              <w14:schemeClr w14:val="tx1"/>
            </w14:solidFill>
          </w14:textFill>
        </w:rPr>
      </w:r>
      <w:r/>
    </w:p>
    <w:p>
      <w:pPr>
        <w:jc w:val="left"/>
        <w:widowControl/>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jc w:val="left"/>
        <w:widowControl/>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jc w:val="left"/>
        <w:widowControl/>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br w:type="page" w:clear="all"/>
      </w:r>
      <w:r/>
    </w:p>
    <w:p>
      <w:pPr>
        <w:ind w:firstLine="480"/>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第二部分  有关说明</w:t>
      </w:r>
      <w:r/>
    </w:p>
    <w:p>
      <w:pPr>
        <w:numPr>
          <w:ilvl w:val="1"/>
          <w:numId w:val="6"/>
        </w:numPr>
        <w:ind w:left="0" w:firstLine="480"/>
        <w:spacing w:line="360" w:lineRule="auto"/>
        <w:tabs>
          <w:tab w:val="left" w:pos="945" w:leader="none"/>
        </w:tabs>
        <w:rPr>
          <w:rFonts w:ascii="宋体"/>
          <w:bCs/>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highlight w:val="yellow"/>
          <w14:textFill>
            <w14:solidFill>
              <w14:schemeClr w14:val="tx1"/>
            </w14:solidFill>
          </w14:textFill>
        </w:rPr>
        <w:t xml:space="preserve">投标人报价时应充分考虑服务期内所有可能影响报价的因素，包括最低工资标准及社保基数的政策性调整、一旦投标结束最终中标，总价固定，不予调整。</w:t>
      </w: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yellow"/>
          <w14:textFill>
            <w14:solidFill>
              <w14:schemeClr w14:val="tx1"/>
            </w14:solidFill>
          </w14:textFill>
        </w:rPr>
      </w:pPr>
      <w:r>
        <w:rPr>
          <w:rFonts w:hint="eastAsia" w:ascii="宋体" w:hAnsi="宋体"/>
          <w:color w:val="000000" w:themeColor="text1"/>
          <w:sz w:val="24"/>
          <w:highlight w:val="yellow"/>
          <w14:textFill>
            <w14:solidFill>
              <w14:schemeClr w14:val="tx1"/>
            </w14:solidFill>
          </w14:textFill>
        </w:rPr>
        <w:t xml:space="preserve">员工工资、社保费用、税金、保险等法定费用为不可让利部分（不可竞争费用），须按规定计算并报出，投标总报价不可低于上述相关费用合计，否则作无效投标处理。</w:t>
      </w: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yellow"/>
          <w14:textFill>
            <w14:solidFill>
              <w14:schemeClr w14:val="tx1"/>
            </w14:solidFill>
          </w14:textFill>
        </w:rPr>
      </w:pPr>
      <w:r>
        <w:rPr>
          <w:rFonts w:hint="eastAsia" w:ascii="宋体" w:hAnsi="宋体" w:cs="仿宋_GB2312"/>
          <w:color w:val="000000" w:themeColor="text1"/>
          <w:sz w:val="24"/>
          <w:szCs w:val="24"/>
          <w:highlight w:val="yellow"/>
          <w14:textFill>
            <w14:solidFill>
              <w14:schemeClr w14:val="tx1"/>
            </w14:solidFill>
          </w14:textFill>
        </w:rPr>
        <w:t xml:space="preserve">中标单位应按照相关规定，与所有聘用人员依法签订合同。</w:t>
      </w: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投标人必须在满足采购文件要求的基础上进行报价，如有服务偏离请于投标偏离表中说明。</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根据《关于推</w:t>
      </w:r>
      <w:r>
        <w:rPr>
          <w:rFonts w:hint="eastAsia" w:ascii="宋体"/>
          <w:bCs/>
          <w:color w:val="000000" w:themeColor="text1"/>
          <w:sz w:val="24"/>
          <w:szCs w:val="24"/>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themeColor="text1"/>
          <w:sz w:val="30"/>
          <w:szCs w:val="30"/>
          <w14:textFill>
            <w14:solidFill>
              <w14:schemeClr w14:val="tx1"/>
            </w14:solidFill>
          </w14:textFill>
        </w:rPr>
      </w:pPr>
      <w:r>
        <w:rPr>
          <w:rFonts w:hint="eastAsia" w:ascii="宋体" w:hAnsi="宋体"/>
          <w:bCs/>
          <w:color w:val="000000" w:themeColor="text1"/>
          <w:sz w:val="24"/>
          <w14:textFill>
            <w14:solidFill>
              <w14:schemeClr w14:val="tx1"/>
            </w14:solidFill>
          </w14:textFill>
        </w:rPr>
        <w:br w:type="page" w:clear="all"/>
      </w:r>
      <w:r>
        <w:rPr>
          <w:rFonts w:hint="eastAsia" w:ascii="宋体" w:hAnsi="宋体"/>
          <w:b/>
          <w:color w:val="000000" w:themeColor="text1"/>
          <w:sz w:val="30"/>
          <w:szCs w:val="30"/>
          <w14:textFill>
            <w14:solidFill>
              <w14:schemeClr w14:val="tx1"/>
            </w14:solidFill>
          </w14:textFill>
        </w:rPr>
        <w:t xml:space="preserve">第三部分  政府采购政策（包括但不限于下列具体政策要求）</w:t>
      </w:r>
      <w:r/>
    </w:p>
    <w:p>
      <w:pPr>
        <w:numPr>
          <w:ilvl w:val="1"/>
          <w:numId w:val="7"/>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有关中小企业政策，如</w:t>
      </w:r>
      <w:r>
        <w:rPr>
          <w:rFonts w:hint="eastAsia" w:ascii="宋体" w:hAnsi="宋体"/>
          <w:color w:val="000000" w:themeColor="text1"/>
          <w:sz w:val="24"/>
          <w:szCs w:val="24"/>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14:textFill>
            <w14:solidFill>
              <w14:schemeClr w14:val="tx1"/>
            </w14:solidFill>
          </w14:textFill>
        </w:rPr>
        <w:t xml:space="preserve">采购人可在合同中约定，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w:t>
      </w:r>
      <w:bookmarkStart w:id="191" w:name="OLE_LINK2"/>
      <w:r/>
      <w:bookmarkStart w:id="192" w:name="OLE_LINK1"/>
      <w:r>
        <w:rPr>
          <w:rFonts w:hint="eastAsia" w:ascii="宋体"/>
          <w:bCs/>
          <w:color w:val="000000" w:themeColor="text1"/>
          <w:sz w:val="24"/>
          <w:szCs w:val="24"/>
          <w14:textFill>
            <w14:solidFill>
              <w14:schemeClr w14:val="tx1"/>
            </w14:solidFill>
          </w14:textFill>
        </w:rPr>
        <w:t xml:space="preserve">《保障中小企业款项支付条例》（中华人民共和国国务院令第802号）</w:t>
      </w:r>
      <w:bookmarkEnd w:id="191"/>
      <w:r/>
      <w:bookmarkEnd w:id="192"/>
      <w:r>
        <w:rPr>
          <w:rFonts w:hint="eastAsia" w:ascii="宋体"/>
          <w:bCs/>
          <w:color w:val="000000" w:themeColor="text1"/>
          <w:sz w:val="24"/>
          <w:szCs w:val="24"/>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11.根据《关于推动解决政府采购异常低价问题相关工作的通知》（苏财购〔2025〕62号）要求，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bCs/>
          <w:color w:val="000000" w:themeColor="text1"/>
          <w:sz w:val="24"/>
          <w:szCs w:val="24"/>
          <w14:textFill>
            <w14:solidFill>
              <w14:schemeClr w14:val="tx1"/>
            </w14:solidFill>
          </w14:textFill>
        </w:rPr>
        <w:br w:type="page" w:clear="all"/>
      </w:r>
      <w:bookmarkStart w:id="193" w:name="_Toc120614281"/>
      <w:r>
        <w:rPr>
          <w:rFonts w:hint="eastAsia" w:ascii="黑体" w:hAnsi="黑体" w:eastAsia="黑体"/>
          <w:color w:val="000000" w:themeColor="text1"/>
          <w:sz w:val="36"/>
          <w:szCs w:val="36"/>
          <w14:textFill>
            <w14:solidFill>
              <w14:schemeClr w14:val="tx1"/>
            </w14:solidFill>
          </w14:textFill>
        </w:rPr>
        <w:t xml:space="preserve">第五章  评标方法与评标标准</w:t>
      </w:r>
      <w:r/>
    </w:p>
    <w:p>
      <w:pPr>
        <w:pStyle w:val="994"/>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第一部分  评标方法</w:t>
      </w:r>
      <w:r/>
    </w:p>
    <w:p>
      <w:pPr>
        <w:pStyle w:val="994"/>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投标人通过初审的，方可进入比较与评价程序。</w:t>
      </w:r>
      <w:r/>
    </w:p>
    <w:p>
      <w:pPr>
        <w:pStyle w:val="994"/>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比较与评价采用综合评分法。</w:t>
      </w:r>
      <w:r/>
    </w:p>
    <w:p>
      <w:pPr>
        <w:pStyle w:val="994"/>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94"/>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94"/>
        <w:spacing w:before="0" w:after="0" w:line="500" w:lineRule="exact"/>
        <w:rPr>
          <w:rFonts w:ascii="宋体" w:hAnsi="宋体" w:cs="Arial"/>
          <w:color w:val="000000" w:themeColor="text1"/>
          <w14:textFill>
            <w14:solidFill>
              <w14:schemeClr w14:val="tx1"/>
            </w14:solidFill>
          </w14:textFill>
        </w:rPr>
      </w:pPr>
      <w:r>
        <w:rPr>
          <w:rFonts w:ascii="宋体" w:hAnsi="宋体" w:cs="Arial"/>
          <w:color w:val="000000" w:themeColor="text1"/>
          <w14:textFill>
            <w14:solidFill>
              <w14:schemeClr w14:val="tx1"/>
            </w14:solidFill>
          </w14:textFill>
        </w:rPr>
      </w:r>
      <w:r/>
    </w:p>
    <w:p>
      <w:pPr>
        <w:pStyle w:val="994"/>
        <w:spacing w:before="0" w:after="0" w:line="500" w:lineRule="exact"/>
        <w:rPr>
          <w:rFonts w:cs="Arial"/>
          <w:b/>
          <w:color w:val="000000" w:themeColor="text1"/>
          <w:sz w:val="30"/>
          <w:szCs w:val="30"/>
          <w14:textFill>
            <w14:solidFill>
              <w14:schemeClr w14:val="tx1"/>
            </w14:solidFill>
          </w14:textFill>
        </w:rPr>
      </w:pPr>
      <w:r>
        <w:rPr>
          <w:rFonts w:cs="Arial"/>
          <w:color w:val="000000" w:themeColor="text1"/>
          <w:shd w:val="clear" w:color="ffffff" w:fill="d9d9d9"/>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评标标准</w:t>
      </w:r>
      <w:r/>
    </w:p>
    <w:p>
      <w:pPr>
        <w:pStyle w:val="994"/>
        <w:ind w:firstLine="562"/>
        <w:spacing w:before="0" w:after="0" w:line="50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1.对小型和微型企业产品的价格给予10</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 xml:space="preserve">（财库﹝2020﹞46 号）</w:t>
      </w:r>
      <w:r>
        <w:rPr>
          <w:rFonts w:hint="eastAsia" w:ascii="宋体" w:hAnsi="宋体"/>
          <w:bCs/>
          <w:color w:val="000000" w:themeColor="text1"/>
          <w:sz w:val="24"/>
          <w:szCs w:val="24"/>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 xml:space="preserve">2011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300</w:t>
      </w:r>
      <w:r>
        <w:rPr>
          <w:rFonts w:hint="eastAsia" w:ascii="宋体" w:hAnsi="宋体"/>
          <w:bCs/>
          <w:color w:val="000000" w:themeColor="text1"/>
          <w:sz w:val="24"/>
          <w:szCs w:val="24"/>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5.如允许联合体投标的项目，且存在联合投标的</w:t>
      </w:r>
      <w:r>
        <w:rPr>
          <w:rFonts w:ascii="宋体" w:hAnsi="宋体"/>
          <w:bCs/>
          <w:color w:val="000000" w:themeColor="text1"/>
          <w:sz w:val="24"/>
          <w:szCs w:val="24"/>
          <w14:textFill>
            <w14:solidFill>
              <w14:schemeClr w14:val="tx1"/>
            </w14:solidFill>
          </w14:textFill>
        </w:rPr>
        <w:t xml:space="preserve">，联合协议中约定，小型、微型企业（</w:t>
      </w:r>
      <w:r>
        <w:rPr>
          <w:rFonts w:hint="eastAsia" w:ascii="宋体" w:hAnsi="宋体"/>
          <w:bCs/>
          <w:color w:val="000000" w:themeColor="text1"/>
          <w:sz w:val="24"/>
          <w:szCs w:val="24"/>
          <w14:textFill>
            <w14:solidFill>
              <w14:schemeClr w14:val="tx1"/>
            </w14:solidFill>
          </w14:textFill>
        </w:rPr>
        <w:t xml:space="preserve">监狱</w:t>
      </w:r>
      <w:r>
        <w:rPr>
          <w:rFonts w:ascii="宋体" w:hAnsi="宋体"/>
          <w:bCs/>
          <w:color w:val="000000" w:themeColor="text1"/>
          <w:sz w:val="24"/>
          <w:szCs w:val="24"/>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合同</w:t>
      </w:r>
      <w:r>
        <w:rPr>
          <w:rFonts w:ascii="宋体" w:hAnsi="宋体"/>
          <w:bCs/>
          <w:color w:val="000000" w:themeColor="text1"/>
          <w:sz w:val="24"/>
          <w:szCs w:val="24"/>
          <w14:textFill>
            <w14:solidFill>
              <w14:schemeClr w14:val="tx1"/>
            </w14:solidFill>
          </w14:textFill>
        </w:rPr>
        <w:t xml:space="preserve">金额占到联合体协议合同总金额</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%以上的，可给予联合体</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%的价格扣除，</w:t>
      </w:r>
      <w:r>
        <w:rPr>
          <w:rFonts w:hint="eastAsia" w:ascii="宋体" w:hAnsi="宋体"/>
          <w:bCs/>
          <w:color w:val="000000" w:themeColor="text1"/>
          <w:sz w:val="24"/>
          <w:szCs w:val="24"/>
          <w14:textFill>
            <w14:solidFill>
              <w14:schemeClr w14:val="tx1"/>
            </w14:solidFill>
          </w14:textFill>
        </w:rPr>
        <w:t xml:space="preserve">用扣除后的价格参与评审。投标人须在《联合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 xml:space="preserve">。投标人</w:t>
      </w:r>
      <w:r>
        <w:rPr>
          <w:rFonts w:ascii="宋体" w:hAnsi="宋体"/>
          <w:bCs/>
          <w:color w:val="000000" w:themeColor="text1"/>
          <w:sz w:val="24"/>
          <w:szCs w:val="24"/>
          <w14:textFill>
            <w14:solidFill>
              <w14:schemeClr w14:val="tx1"/>
            </w14:solidFill>
          </w14:textFill>
        </w:rPr>
        <w:t xml:space="preserve">须在</w:t>
      </w:r>
      <w:r>
        <w:rPr>
          <w:rFonts w:hint="eastAsia" w:ascii="宋体" w:hAnsi="宋体"/>
          <w:bCs/>
          <w:color w:val="000000" w:themeColor="text1"/>
          <w:sz w:val="24"/>
          <w:szCs w:val="24"/>
          <w14:textFill>
            <w14:solidFill>
              <w14:schemeClr w14:val="tx1"/>
            </w14:solidFill>
          </w14:textFill>
        </w:rPr>
        <w:t xml:space="preserve">《联合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w:t>
      </w:r>
      <w:r>
        <w:rPr>
          <w:rFonts w:ascii="宋体" w:hAnsi="宋体"/>
          <w:bCs/>
          <w:color w:val="000000" w:themeColor="text1"/>
          <w:sz w:val="24"/>
          <w:szCs w:val="24"/>
          <w14:textFill>
            <w14:solidFill>
              <w14:schemeClr w14:val="tx1"/>
            </w14:solidFill>
          </w14:textFill>
        </w:rPr>
        <w:t xml:space="preserve">明确联合体各方是否存在</w:t>
      </w:r>
      <w:r>
        <w:rPr>
          <w:rFonts w:hint="eastAsia" w:ascii="宋体" w:hAnsi="宋体"/>
          <w:bCs/>
          <w:color w:val="000000" w:themeColor="text1"/>
          <w:sz w:val="24"/>
          <w:szCs w:val="24"/>
          <w14:textFill>
            <w14:solidFill>
              <w14:schemeClr w14:val="tx1"/>
            </w14:solidFill>
          </w14:textFill>
        </w:rPr>
        <w:t xml:space="preserve">上述</w:t>
      </w:r>
      <w:r>
        <w:rPr>
          <w:rFonts w:ascii="宋体" w:hAnsi="宋体"/>
          <w:bCs/>
          <w:color w:val="000000" w:themeColor="text1"/>
          <w:sz w:val="24"/>
          <w:szCs w:val="24"/>
          <w14:textFill>
            <w14:solidFill>
              <w14:schemeClr w14:val="tx1"/>
            </w14:solidFill>
          </w14:textFill>
        </w:rPr>
        <w:t xml:space="preserve">关系，如未进行明确的亦不得享受价格扣除</w:t>
      </w:r>
      <w:r>
        <w:rPr>
          <w:rFonts w:hint="eastAsia" w:ascii="宋体" w:hAnsi="宋体"/>
          <w:bCs/>
          <w:color w:val="000000" w:themeColor="text1"/>
          <w:sz w:val="24"/>
          <w:szCs w:val="24"/>
          <w14:textFill>
            <w14:solidFill>
              <w14:schemeClr w14:val="tx1"/>
            </w14:solidFill>
          </w14:textFill>
        </w:rPr>
        <w:t xml:space="preserve">。</w:t>
      </w:r>
      <w:r/>
    </w:p>
    <w:p>
      <w:pPr>
        <w:pStyle w:val="994"/>
        <w:numPr>
          <w:ilvl w:val="0"/>
          <w:numId w:val="8"/>
        </w:numPr>
        <w:ind w:firstLine="0"/>
        <w:spacing w:before="0" w:after="0"/>
        <w:rPr>
          <w:rFonts w:asciiTheme="minorEastAsia" w:hAnsiTheme="minorEastAsia" w:eastAsiaTheme="minorEastAsia"/>
          <w:b/>
          <w:color w:val="000000" w:themeColor="text1"/>
          <w14:textFill>
            <w14:solidFill>
              <w14:schemeClr w14:val="tx1"/>
            </w14:solidFill>
          </w14:textFill>
        </w:rPr>
      </w:pPr>
      <w:r>
        <w:rPr>
          <w:rFonts w:ascii="宋体" w:hAnsi="宋体"/>
          <w:color w:val="000000" w:themeColor="text1"/>
          <w14:textFill>
            <w14:solidFill>
              <w14:schemeClr w14:val="tx1"/>
            </w14:solidFill>
          </w14:textFill>
        </w:rPr>
        <w:br w:type="page" w:clear="all"/>
      </w:r>
      <w:r>
        <w:rPr>
          <w:rFonts w:hint="eastAsia" w:asciiTheme="minorEastAsia" w:hAnsiTheme="minorEastAsia" w:eastAsiaTheme="minorEastAsia"/>
          <w:b/>
          <w:color w:val="000000" w:themeColor="text1"/>
          <w14:textFill>
            <w14:solidFill>
              <w14:schemeClr w14:val="tx1"/>
            </w14:solidFill>
          </w14:textFill>
        </w:rPr>
        <w:t xml:space="preserve">评分标准</w:t>
      </w:r>
      <w:r/>
    </w:p>
    <w:p>
      <w:pPr>
        <w:ind w:firstLine="120"/>
        <w:spacing w:line="360" w:lineRule="auto"/>
        <w:rPr>
          <w:rFonts w:cs="宋体" w:asciiTheme="minorEastAsia" w:hAnsiTheme="minorEastAsia" w:eastAsiaTheme="minorEastAsia"/>
          <w:sz w:val="24"/>
          <w:szCs w:val="24"/>
        </w:rPr>
      </w:pPr>
      <w:r/>
      <w:bookmarkStart w:id="194" w:name="_Hlk165208115"/>
      <w:r>
        <w:rPr>
          <w:rFonts w:hint="eastAsia" w:cs="宋体" w:asciiTheme="minorEastAsia" w:hAnsiTheme="minorEastAsia" w:eastAsiaTheme="minorEastAsia"/>
          <w:sz w:val="24"/>
          <w:szCs w:val="24"/>
        </w:rPr>
        <w:t xml:space="preserve">（一）评分项目及总分（总分100分）</w:t>
      </w:r>
      <w:r/>
    </w:p>
    <w:p>
      <w:pPr>
        <w:ind w:firstLine="718"/>
        <w:spacing w:line="360" w:lineRule="auto"/>
        <w:rPr>
          <w:rFonts w:cs="宋体" w:asciiTheme="minorEastAsia" w:hAnsiTheme="minorEastAsia" w:eastAsiaTheme="minorEastAsia"/>
          <w:b/>
          <w:sz w:val="24"/>
          <w:szCs w:val="24"/>
        </w:rPr>
      </w:pPr>
      <w:r/>
      <w:bookmarkStart w:id="195" w:name="_Hlk165208094"/>
      <w:r>
        <w:rPr>
          <w:rFonts w:hint="eastAsia" w:cs="宋体" w:asciiTheme="minorEastAsia" w:hAnsiTheme="minorEastAsia" w:eastAsiaTheme="minorEastAsia"/>
          <w:b/>
          <w:sz w:val="24"/>
          <w:szCs w:val="24"/>
        </w:rPr>
        <w:t xml:space="preserve">1、价格                       25分</w:t>
      </w:r>
      <w:r/>
    </w:p>
    <w:p>
      <w:pPr>
        <w:ind w:firstLine="723"/>
        <w:spacing w:line="360" w:lineRule="auto"/>
        <w:rPr>
          <w:rFonts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2、商务部分                   20分</w:t>
      </w:r>
      <w:r/>
    </w:p>
    <w:p>
      <w:pPr>
        <w:ind w:firstLine="718"/>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sz w:val="24"/>
          <w:szCs w:val="24"/>
        </w:rPr>
        <w:t xml:space="preserve">3、</w:t>
      </w:r>
      <w:r>
        <w:rPr>
          <w:rFonts w:hint="eastAsia" w:asciiTheme="minorEastAsia" w:hAnsiTheme="minorEastAsia" w:eastAsiaTheme="minorEastAsia"/>
          <w:b/>
          <w:bCs/>
          <w:sz w:val="24"/>
          <w:szCs w:val="24"/>
        </w:rPr>
        <w:t xml:space="preserve">技术部分                   55分</w:t>
      </w:r>
      <w:bookmarkEnd w:id="195"/>
      <w:r/>
      <w:r/>
    </w:p>
    <w:p>
      <w:pPr>
        <w:ind w:firstLine="240"/>
        <w:spacing w:line="360" w:lineRule="auto"/>
        <w:rPr>
          <w:rFonts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sz w:val="24"/>
          <w:szCs w:val="24"/>
        </w:rPr>
        <w:t xml:space="preserve">（二）各项目评分标准</w:t>
      </w:r>
      <w:bookmarkEnd w:id="194"/>
      <w:r/>
      <w:r/>
    </w:p>
    <w:p>
      <w:pPr>
        <w:numPr>
          <w:ilvl w:val="4"/>
          <w:numId w:val="0"/>
        </w:numPr>
        <w:ind w:firstLine="482"/>
        <w:spacing w:line="360" w:lineRule="auto"/>
        <w:tabs>
          <w:tab w:val="left" w:pos="525" w:leader="none"/>
          <w:tab w:val="left" w:pos="945" w:leader="none"/>
          <w:tab w:val="left" w:pos="1155" w:leader="none"/>
          <w:tab w:val="left" w:pos="3823" w:leader="none"/>
        </w:tabs>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1.价格（2</w:t>
      </w:r>
      <w:r>
        <w:rPr>
          <w:rFonts w:hint="eastAsia" w:asciiTheme="minorEastAsia" w:hAnsiTheme="minorEastAsia" w:eastAsia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b/>
          <w:bCs/>
          <w:color w:val="000000" w:themeColor="text1"/>
          <w:sz w:val="24"/>
          <w:szCs w:val="24"/>
          <w14:textFill>
            <w14:solidFill>
              <w14:schemeClr w14:val="tx1"/>
            </w14:solidFill>
          </w14:textFill>
        </w:rPr>
        <w:t xml:space="preserve">分）：</w:t>
      </w:r>
      <w:r/>
    </w:p>
    <w:p>
      <w:pPr>
        <w:ind w:firstLine="480"/>
        <w:spacing w:line="360" w:lineRule="auto"/>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投标报价得分</w:t>
      </w:r>
      <w:r>
        <w:rPr>
          <w:rFonts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（评标基准价／投标报价）×价格权值×</w:t>
      </w:r>
      <w:r>
        <w:rPr>
          <w:rFonts w:asciiTheme="minorEastAsia" w:hAnsiTheme="minorEastAsia" w:eastAsiaTheme="minorEastAsia"/>
          <w:bCs/>
          <w:color w:val="000000" w:themeColor="text1"/>
          <w:sz w:val="24"/>
          <w:szCs w:val="24"/>
          <w14:textFill>
            <w14:solidFill>
              <w14:schemeClr w14:val="tx1"/>
            </w14:solidFill>
          </w14:textFill>
        </w:rPr>
        <w:t xml:space="preserve">100</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jc w:val="left"/>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关于价格扣除详见本章第二部分“一、落实政府采购政策的价格调整”。</w:t>
      </w:r>
      <w:r/>
    </w:p>
    <w:p>
      <w:pPr>
        <w:numPr>
          <w:ilvl w:val="4"/>
          <w:numId w:val="0"/>
        </w:numPr>
        <w:ind w:firstLine="482"/>
        <w:spacing w:line="360" w:lineRule="auto"/>
        <w:tabs>
          <w:tab w:val="left" w:pos="525" w:leader="none"/>
          <w:tab w:val="left" w:pos="945" w:leader="none"/>
          <w:tab w:val="left" w:pos="1155" w:leader="none"/>
          <w:tab w:val="left" w:pos="3823" w:leader="none"/>
        </w:tabs>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2.商务部分（20分）</w:t>
      </w:r>
      <w:r/>
    </w:p>
    <w:p>
      <w:pPr>
        <w:ind w:firstLine="482"/>
        <w:jc w:val="left"/>
        <w:spacing w:line="360" w:lineRule="auto"/>
        <w:rPr>
          <w:rFonts w:asciiTheme="minorEastAsia" w:hAnsiTheme="minorEastAsia" w:eastAsiaTheme="minorEastAsia"/>
          <w:b/>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2.1</w:t>
      </w:r>
      <w:r>
        <w:rPr>
          <w:rFonts w:hint="eastAsia" w:asciiTheme="minorEastAsia" w:hAnsiTheme="minorEastAsia" w:eastAsiaTheme="minorEastAsia"/>
          <w:b/>
          <w:bCs/>
          <w:sz w:val="24"/>
          <w:szCs w:val="24"/>
        </w:rPr>
        <w:t xml:space="preserve">项目负责人（2分）：以供应商填列的《项目人员配置考察表》为准。</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1）具有物业管理师证书的得2分；</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注：须提供人员证书和供应商连续三个月（至少包含近三个月中任意一个月份（不含投标当月））为其缴纳社保的证明原件扫描件</w:t>
      </w:r>
      <w:r>
        <w:rPr>
          <w:rFonts w:hint="eastAsia" w:cs="宋体" w:asciiTheme="minorEastAsia" w:hAnsiTheme="minorEastAsia" w:eastAsiaTheme="minorEastAsia"/>
          <w:b/>
          <w:bCs/>
          <w:sz w:val="24"/>
          <w:szCs w:val="24"/>
        </w:rPr>
        <w:t xml:space="preserve">加盖公章上传至系统中</w:t>
      </w:r>
      <w:r>
        <w:rPr>
          <w:rFonts w:hint="eastAsia" w:asciiTheme="minorEastAsia" w:hAnsiTheme="minorEastAsia" w:eastAsiaTheme="minorEastAsia"/>
          <w:b/>
          <w:bCs/>
          <w:sz w:val="24"/>
          <w:szCs w:val="24"/>
        </w:rPr>
        <w:t xml:space="preserve">，不提供或提供不全不得分。</w:t>
      </w:r>
      <w:r/>
    </w:p>
    <w:p>
      <w:pPr>
        <w:ind w:firstLine="482"/>
        <w:jc w:val="left"/>
        <w:spacing w:line="360" w:lineRule="auto"/>
        <w:rPr>
          <w:rFonts w:asciiTheme="minorEastAsia" w:hAnsiTheme="minorEastAsia" w:eastAsiaTheme="minorEastAsia"/>
          <w:b/>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2.2</w:t>
      </w:r>
      <w:r>
        <w:rPr>
          <w:rFonts w:hint="eastAsia" w:asciiTheme="minorEastAsia" w:hAnsiTheme="minorEastAsia" w:eastAsiaTheme="minorEastAsia"/>
          <w:b/>
          <w:bCs/>
          <w:sz w:val="24"/>
          <w:szCs w:val="24"/>
        </w:rPr>
        <w:t xml:space="preserve">其他服务人员配置要求（8分）：以供应商填列的《项目人员配置考察表》为准。</w:t>
      </w:r>
      <w:r/>
    </w:p>
    <w:p>
      <w:pPr>
        <w:ind w:firstLine="482"/>
        <w:jc w:val="left"/>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1）设备维修人员具有高压或低压，有一个得1分，最高得2分；</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2）设备员具有特种设备安全管理和作业人员A证的，有一个得1分，最高得2分。</w:t>
      </w:r>
      <w:r/>
    </w:p>
    <w:p>
      <w:pPr>
        <w:ind w:firstLine="480"/>
        <w:jc w:val="left"/>
        <w:spacing w:line="360" w:lineRule="auto"/>
        <w:rPr>
          <w:rFonts w:cs="宋体"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w:t>
      </w:r>
      <w:r>
        <w:rPr>
          <w:rFonts w:hint="eastAsia" w:cs="宋体" w:asciiTheme="minorEastAsia" w:hAnsiTheme="minorEastAsia" w:eastAsiaTheme="minorEastAsia"/>
          <w:bCs/>
          <w:sz w:val="24"/>
          <w:szCs w:val="24"/>
        </w:rPr>
        <w:t xml:space="preserve">其他服务人员（除</w:t>
      </w:r>
      <w:r>
        <w:rPr>
          <w:rFonts w:hint="eastAsia" w:asciiTheme="minorEastAsia" w:hAnsiTheme="minorEastAsia" w:eastAsiaTheme="minorEastAsia"/>
          <w:bCs/>
          <w:sz w:val="24"/>
          <w:szCs w:val="24"/>
        </w:rPr>
        <w:t xml:space="preserve">设备管理员</w:t>
      </w:r>
      <w:r>
        <w:rPr>
          <w:rFonts w:hint="eastAsia" w:cs="宋体" w:asciiTheme="minorEastAsia" w:hAnsiTheme="minorEastAsia" w:eastAsiaTheme="minorEastAsia"/>
          <w:bCs/>
          <w:sz w:val="24"/>
          <w:szCs w:val="24"/>
        </w:rPr>
        <w:t xml:space="preserve">外）</w:t>
      </w:r>
      <w:r>
        <w:rPr>
          <w:rFonts w:hint="eastAsia" w:asciiTheme="minorEastAsia" w:hAnsiTheme="minorEastAsia" w:eastAsiaTheme="minorEastAsia"/>
          <w:bCs/>
          <w:sz w:val="24"/>
          <w:szCs w:val="24"/>
        </w:rPr>
        <w:t xml:space="preserve">具有中级及以上《建（构）筑物消防员证》或《消防设施操</w:t>
      </w:r>
      <w:r>
        <w:rPr>
          <w:rFonts w:hint="eastAsia" w:cs="宋体" w:asciiTheme="minorEastAsia" w:hAnsiTheme="minorEastAsia" w:eastAsiaTheme="minorEastAsia"/>
          <w:bCs/>
          <w:sz w:val="24"/>
          <w:szCs w:val="24"/>
        </w:rPr>
        <w:t xml:space="preserve">作员证》的每有1人得1分，最高得2分。</w:t>
      </w:r>
      <w:r/>
    </w:p>
    <w:p>
      <w:pPr>
        <w:pStyle w:val="935"/>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4）其他服务人员具有保安证的，有一个得1分，最高得2分；</w:t>
      </w:r>
      <w:r/>
    </w:p>
    <w:p>
      <w:pPr>
        <w:ind w:firstLine="482"/>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注：一人多证不可重复得分，按高分计取。上述须提供人员证书和供应商连续三个月（至少包含近三个月中任意一个月份（不含投标当月））为其缴纳社保的证明原件扫描件</w:t>
      </w:r>
      <w:r>
        <w:rPr>
          <w:rFonts w:hint="eastAsia" w:cs="宋体" w:asciiTheme="minorEastAsia" w:hAnsiTheme="minorEastAsia" w:eastAsiaTheme="minorEastAsia"/>
          <w:b/>
          <w:bCs/>
          <w:sz w:val="24"/>
          <w:szCs w:val="24"/>
        </w:rPr>
        <w:t xml:space="preserve">加盖公章上传至系统中</w:t>
      </w:r>
      <w:r>
        <w:rPr>
          <w:rFonts w:hint="eastAsia" w:asciiTheme="minorEastAsia" w:hAnsiTheme="minorEastAsia" w:eastAsiaTheme="minorEastAsia"/>
          <w:b/>
          <w:bCs/>
          <w:sz w:val="24"/>
          <w:szCs w:val="24"/>
        </w:rPr>
        <w:t xml:space="preserve">，不提供或提供不全不得分。</w:t>
      </w:r>
      <w:r/>
    </w:p>
    <w:p>
      <w:pPr>
        <w:ind w:firstLine="482"/>
        <w:jc w:val="left"/>
        <w:spacing w:line="360" w:lineRule="auto"/>
        <w:rPr>
          <w:rFonts w:asciiTheme="minorEastAsia" w:hAnsiTheme="minorEastAsia" w:eastAsiaTheme="minorEastAsia"/>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2.3</w:t>
      </w:r>
      <w:r>
        <w:rPr>
          <w:rFonts w:hint="eastAsia" w:cs="宋体" w:asciiTheme="minorEastAsia" w:hAnsiTheme="minorEastAsia" w:eastAsiaTheme="minorEastAsia"/>
          <w:b/>
          <w:sz w:val="24"/>
          <w:szCs w:val="24"/>
        </w:rPr>
        <w:t xml:space="preserve">供应商评价（10分）</w:t>
      </w:r>
      <w:r>
        <w:rPr>
          <w:rFonts w:hint="eastAsia" w:asciiTheme="minorEastAsia" w:hAnsiTheme="minorEastAsia" w:eastAsiaTheme="minorEastAsia"/>
          <w:b/>
          <w:bCs/>
          <w:sz w:val="24"/>
          <w:szCs w:val="24"/>
        </w:rPr>
        <w:t xml:space="preserve">：</w:t>
      </w:r>
      <w:r/>
    </w:p>
    <w:p>
      <w:pPr>
        <w:ind w:firstLine="480"/>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①业绩（4分）：供应商自2023年1月1日以来具有同类项目业绩的，每提供一个得2分，本项目最高得4分。</w:t>
      </w:r>
      <w:r>
        <w:rPr>
          <w:rFonts w:hint="eastAsia" w:asciiTheme="minorEastAsia" w:hAnsiTheme="minorEastAsia" w:eastAsiaTheme="minorEastAsia"/>
          <w:b/>
          <w:bCs/>
          <w:sz w:val="24"/>
          <w:szCs w:val="24"/>
        </w:rPr>
        <w:t xml:space="preserve">【以合同签订日期为准，须提供完整的有效合同原件扫描件</w:t>
      </w:r>
      <w:r>
        <w:rPr>
          <w:rFonts w:hint="eastAsia" w:cs="宋体" w:asciiTheme="minorEastAsia" w:hAnsiTheme="minorEastAsia" w:eastAsiaTheme="minorEastAsia"/>
          <w:b/>
          <w:bCs/>
          <w:sz w:val="24"/>
          <w:szCs w:val="24"/>
        </w:rPr>
        <w:t xml:space="preserve">加盖公章上传至系统中</w:t>
      </w:r>
      <w:r>
        <w:rPr>
          <w:rFonts w:hint="eastAsia" w:asciiTheme="minorEastAsia" w:hAnsiTheme="minorEastAsia" w:eastAsiaTheme="minorEastAsia"/>
          <w:b/>
          <w:bCs/>
          <w:sz w:val="24"/>
          <w:szCs w:val="24"/>
        </w:rPr>
        <w:t xml:space="preserve">，同一服务单位证明只能算一项，不提供或提供不全不得分】</w:t>
      </w:r>
      <w:r/>
    </w:p>
    <w:p>
      <w:pPr>
        <w:ind w:firstLine="480"/>
        <w:spacing w:line="360" w:lineRule="auto"/>
        <w:tabs>
          <w:tab w:val="left" w:pos="945" w:leader="none"/>
          <w:tab w:val="left" w:pos="1155" w:leader="none"/>
        </w:tabs>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②供应商具备有效期内的质量管理体系认证，环境管理体系，职业安全健康管理体系认证证书，每有一项得1分，本项目最高3分。</w:t>
      </w:r>
      <w:r>
        <w:rPr>
          <w:rFonts w:hint="eastAsia"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须提供有效证书原件扫描件及“全国认证认可信息公共服务平台” http://cx.cnca.cn 查询截图</w:t>
      </w:r>
      <w:bookmarkStart w:id="196" w:name="_Hlk146265988"/>
      <w:r>
        <w:rPr>
          <w:rFonts w:hint="eastAsia" w:cs="宋体" w:asciiTheme="minorEastAsia" w:hAnsiTheme="minorEastAsia" w:eastAsiaTheme="minorEastAsia"/>
          <w:b/>
          <w:bCs/>
          <w:sz w:val="24"/>
          <w:szCs w:val="24"/>
        </w:rPr>
        <w:t xml:space="preserve">加盖公章上传至系统中</w:t>
      </w:r>
      <w:r>
        <w:rPr>
          <w:rFonts w:hint="eastAsia" w:asciiTheme="minorEastAsia" w:hAnsiTheme="minorEastAsia" w:eastAsiaTheme="minorEastAsia"/>
          <w:b/>
          <w:bCs/>
          <w:sz w:val="24"/>
          <w:szCs w:val="24"/>
        </w:rPr>
        <w:t xml:space="preserve">，</w:t>
      </w:r>
      <w:bookmarkEnd w:id="196"/>
      <w:r>
        <w:rPr>
          <w:rFonts w:hint="eastAsia" w:asciiTheme="minorEastAsia" w:hAnsiTheme="minorEastAsia" w:eastAsiaTheme="minorEastAsia"/>
          <w:b/>
          <w:bCs/>
          <w:sz w:val="24"/>
          <w:szCs w:val="24"/>
        </w:rPr>
        <w:t xml:space="preserve">不提供或提供不全不得分</w:t>
      </w:r>
      <w:r>
        <w:rPr>
          <w:rFonts w:hint="eastAsia" w:asciiTheme="minorEastAsia" w:hAnsiTheme="minorEastAsia" w:eastAsiaTheme="minorEastAsia"/>
          <w:b/>
          <w:bCs/>
          <w:sz w:val="24"/>
          <w:szCs w:val="24"/>
          <w:lang w:val="zh-CN"/>
        </w:rPr>
        <w:t xml:space="preserve">】</w:t>
      </w:r>
      <w:r/>
    </w:p>
    <w:p>
      <w:pPr>
        <w:ind w:firstLine="480"/>
        <w:jc w:val="left"/>
        <w:spacing w:line="360" w:lineRule="auto"/>
        <w:tabs>
          <w:tab w:val="left" w:pos="1440" w:leader="none"/>
        </w:tabs>
        <w:rPr>
          <w:rFonts w:hint="eastAsia" w:asciiTheme="minorEastAsia" w:hAnsiTheme="minorEastAsia" w:eastAsiaTheme="minorEastAsia"/>
          <w:b/>
          <w:bCs/>
          <w:sz w:val="24"/>
          <w:szCs w:val="24"/>
        </w:rPr>
        <w:outlineLvl w:val="0"/>
      </w:pPr>
      <w:r>
        <w:rPr>
          <w:rFonts w:hint="eastAsia" w:asciiTheme="minorEastAsia" w:hAnsiTheme="minorEastAsia" w:eastAsiaTheme="minorEastAsia"/>
          <w:bCs/>
          <w:sz w:val="24"/>
          <w:szCs w:val="24"/>
        </w:rPr>
        <w:t xml:space="preserve">③供应商服务的项目自2022年1月1日以来获得政府部门颁发的优秀示范项目称号的：每提供一个得1分；本项最多得3分。</w:t>
      </w:r>
      <w:r>
        <w:rPr>
          <w:rFonts w:hint="eastAsia"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同一个项目不重复计分，按高分计取。时间以证书获奖日期或者发文日期为准，获奖日期与发文日期不一致的，以发文日期为准。须提供证书或者发文原件扫描件加盖公章上传至系统中，不提供或提供不全不得分】</w:t>
      </w:r>
      <w:r/>
    </w:p>
    <w:p>
      <w:pPr>
        <w:ind w:firstLine="480"/>
        <w:jc w:val="left"/>
        <w:spacing w:line="360" w:lineRule="auto"/>
        <w:tabs>
          <w:tab w:val="left" w:pos="1440" w:leader="none"/>
        </w:tabs>
        <w:rPr>
          <w:rFonts w:asciiTheme="minorEastAsia" w:hAnsiTheme="minorEastAsia" w:eastAsiaTheme="minorEastAsia"/>
          <w:b/>
          <w:color w:val="000000" w:themeColor="text1"/>
          <w:sz w:val="24"/>
          <w:szCs w:val="24"/>
          <w14:textFill>
            <w14:solidFill>
              <w14:schemeClr w14:val="tx1"/>
            </w14:solidFill>
          </w14:textFill>
        </w:rPr>
        <w:outlineLvl w:val="0"/>
      </w:pPr>
      <w:r>
        <w:rPr>
          <w:rFonts w:hint="eastAsia" w:asciiTheme="minorEastAsia" w:hAnsiTheme="minorEastAsia" w:eastAsiaTheme="minorEastAsia"/>
          <w:b/>
          <w:bCs/>
          <w:sz w:val="24"/>
          <w:szCs w:val="24"/>
        </w:rPr>
        <w:t xml:space="preserve">3.技术部分（55分）</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3.1</w:t>
      </w:r>
      <w:r>
        <w:rPr>
          <w:rFonts w:hint="eastAsia" w:cs="宋体" w:asciiTheme="minorEastAsia" w:hAnsiTheme="minorEastAsia" w:eastAsiaTheme="minorEastAsia"/>
          <w:b/>
          <w:sz w:val="24"/>
          <w:szCs w:val="24"/>
        </w:rPr>
        <w:t xml:space="preserve">总体服务方案（5分）：</w:t>
      </w:r>
      <w:r>
        <w:rPr>
          <w:rFonts w:hint="eastAsia" w:cs="宋体" w:asciiTheme="minorEastAsia" w:hAnsiTheme="minorEastAsia" w:eastAsiaTheme="minorEastAsia"/>
          <w:bCs/>
          <w:sz w:val="24"/>
          <w:szCs w:val="24"/>
        </w:rPr>
        <w:t xml:space="preserve">根据投标人对物业管理的目标及整体设想，在以下方面：服务品质、安全稳定运营、管理措施、创新理念、服务模式等方面进行综合考察。方案清晰、合理、详细、全面、针对性强、可行性强的，得5分；方案较清晰、较合理、较详细、较全面、针对性较强、可行性较强的，得4分；方案基本满足要求的，得3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3.2</w:t>
      </w:r>
      <w:r>
        <w:rPr>
          <w:rFonts w:hint="eastAsia" w:cs="宋体" w:asciiTheme="minorEastAsia" w:hAnsiTheme="minorEastAsia" w:eastAsiaTheme="minorEastAsia"/>
          <w:b/>
          <w:sz w:val="24"/>
          <w:szCs w:val="24"/>
        </w:rPr>
        <w:t xml:space="preserve">管理服务体系（5分）：</w:t>
      </w:r>
      <w:r>
        <w:rPr>
          <w:rFonts w:hint="eastAsia" w:cs="宋体" w:asciiTheme="minorEastAsia" w:hAnsiTheme="minorEastAsia" w:eastAsiaTheme="minorEastAsia"/>
          <w:bCs/>
          <w:sz w:val="24"/>
          <w:szCs w:val="24"/>
        </w:rPr>
        <w:t xml:space="preserve">根据投标人对物业管理的服务体系，在以下方面：安全管理、清洁保洁、设备管理、活动组织、服务及沟通等方面进行综合考察。方案清晰、合理、详细、全面、针对性强、可行性强的，得5分；方案较清晰、较合理、较详细、较全面、针对性较强、可行性较强的，得4分；方案基本满足要求的，得3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3.3</w:t>
      </w:r>
      <w:r>
        <w:rPr>
          <w:rFonts w:hint="eastAsia" w:cs="宋体" w:asciiTheme="minorEastAsia" w:hAnsiTheme="minorEastAsia" w:eastAsiaTheme="minorEastAsia"/>
          <w:b/>
          <w:sz w:val="24"/>
          <w:szCs w:val="24"/>
        </w:rPr>
        <w:t xml:space="preserve">日常管理标准及措施（5分）：</w:t>
      </w:r>
      <w:r>
        <w:rPr>
          <w:rFonts w:hint="eastAsia" w:cs="宋体" w:asciiTheme="minorEastAsia" w:hAnsiTheme="minorEastAsia" w:eastAsiaTheme="minorEastAsia"/>
          <w:bCs/>
          <w:sz w:val="24"/>
          <w:szCs w:val="24"/>
        </w:rPr>
        <w:t xml:space="preserve">根据投标人对物业日常管理标准及措施，在以下方面：设施设备安全管理、消防安全管理、公共秩序安全管理、保洁安保管理、停车管理、食堂管理、定期巡检及维护管理等方面进行综合考察。方案清晰、合理、详细、全面、针对性强、可行性强的，得5分；方案较清晰、较合理、较详细、较全面、针对性较强、可行性较强的，得4分；方案基本满足要求的，得3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3.4</w:t>
      </w:r>
      <w:r>
        <w:rPr>
          <w:rFonts w:hint="eastAsia" w:cs="宋体" w:asciiTheme="minorEastAsia" w:hAnsiTheme="minorEastAsia" w:eastAsiaTheme="minorEastAsia"/>
          <w:b/>
          <w:bCs/>
          <w:sz w:val="24"/>
          <w:szCs w:val="24"/>
        </w:rPr>
        <w:t xml:space="preserve">管理规章制度</w:t>
      </w:r>
      <w:r>
        <w:rPr>
          <w:rFonts w:hint="eastAsia" w:cs="宋体" w:asciiTheme="minorEastAsia" w:hAnsiTheme="minorEastAsia" w:eastAsiaTheme="minorEastAsia"/>
          <w:b/>
          <w:sz w:val="24"/>
          <w:szCs w:val="24"/>
        </w:rPr>
        <w:t xml:space="preserve">（4分）：</w:t>
      </w:r>
      <w:r>
        <w:rPr>
          <w:rFonts w:hint="eastAsia" w:cs="宋体" w:asciiTheme="minorEastAsia" w:hAnsiTheme="minorEastAsia" w:eastAsiaTheme="minorEastAsia"/>
          <w:sz w:val="24"/>
          <w:szCs w:val="24"/>
        </w:rPr>
        <w:t xml:space="preserve">根据投标人提供的物业管理规章制度情况</w:t>
      </w:r>
      <w:r>
        <w:rPr>
          <w:rFonts w:hint="eastAsia" w:cs="宋体" w:asciiTheme="minorEastAsia" w:hAnsiTheme="minorEastAsia" w:eastAsiaTheme="minorEastAsia"/>
          <w:bCs/>
          <w:sz w:val="24"/>
          <w:szCs w:val="24"/>
        </w:rPr>
        <w:t xml:space="preserve">，在以下方面：组织架构与职责、员工管理、考勤管理、监督与考核等方面进行综合考察。方案清晰、合理、详细、全面、针对性强、可行性强的，得4分；方案较清晰、较合理、较详细、较全面、针对性较强、可行性较强的，得3分；方案基本满足要求的，得2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3.5</w:t>
      </w:r>
      <w:r>
        <w:rPr>
          <w:rFonts w:hint="eastAsia" w:cs="宋体" w:asciiTheme="minorEastAsia" w:hAnsiTheme="minorEastAsia" w:eastAsiaTheme="minorEastAsia"/>
          <w:b/>
          <w:sz w:val="24"/>
          <w:szCs w:val="24"/>
        </w:rPr>
        <w:t xml:space="preserve">管理重点难点和措施（5分）：</w:t>
      </w:r>
      <w:r>
        <w:rPr>
          <w:rFonts w:hint="eastAsia" w:cs="宋体" w:asciiTheme="minorEastAsia" w:hAnsiTheme="minorEastAsia" w:eastAsiaTheme="minorEastAsia"/>
          <w:bCs/>
          <w:sz w:val="24"/>
          <w:szCs w:val="24"/>
        </w:rPr>
        <w:t xml:space="preserve">根据投标人提供的物业管理重点难点方面，在以下方面：安全管理方面、设备维护保养方面、服务质量方面、沟通协调方面等及其对应措施和分析情况进行综合考察。方案清晰、合理、详细、全面、针对性强、可行性强的，得5分；方案较清晰、较合理、较详细、较全面、针对性较强、可行性较强的，得4分；方案基本满足要求的，得3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3.6</w:t>
      </w:r>
      <w:r>
        <w:rPr>
          <w:rFonts w:hint="eastAsia" w:cs="宋体" w:asciiTheme="minorEastAsia" w:hAnsiTheme="minorEastAsia" w:eastAsiaTheme="minorEastAsia"/>
          <w:b/>
          <w:sz w:val="24"/>
          <w:szCs w:val="24"/>
        </w:rPr>
        <w:t xml:space="preserve">与采购方以及其他单位、部门的综合协调方案（5分）</w:t>
      </w:r>
      <w:r>
        <w:rPr>
          <w:rFonts w:hint="eastAsia" w:cs="宋体" w:asciiTheme="minorEastAsia" w:hAnsiTheme="minorEastAsia" w:eastAsiaTheme="minorEastAsia"/>
          <w:bCs/>
          <w:sz w:val="24"/>
          <w:szCs w:val="24"/>
        </w:rPr>
        <w:t xml:space="preserve">：根据投标人提供的综合协调方案，在以下方面：协调机制、具体措施、评估与改进等方面进行综合考察。方案清晰、合理、详细、全面、针对性强、可行性强的，得5分；方案较清晰、较合理、较详细、较全面、针对性较强、可行性较强的，得4分；方案基本满足要求的，得3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3.7</w:t>
      </w:r>
      <w:r>
        <w:rPr>
          <w:rFonts w:hint="eastAsia" w:cs="宋体" w:asciiTheme="minorEastAsia" w:hAnsiTheme="minorEastAsia" w:eastAsiaTheme="minorEastAsia"/>
          <w:b/>
          <w:sz w:val="24"/>
          <w:szCs w:val="24"/>
        </w:rPr>
        <w:t xml:space="preserve">特殊情况应急预案及措施（5分）：</w:t>
      </w:r>
      <w:r>
        <w:rPr>
          <w:rFonts w:hint="eastAsia" w:cs="宋体" w:asciiTheme="minorEastAsia" w:hAnsiTheme="minorEastAsia" w:eastAsiaTheme="minorEastAsia"/>
          <w:bCs/>
          <w:sz w:val="24"/>
          <w:szCs w:val="24"/>
        </w:rPr>
        <w:t xml:space="preserve">考察投标人有无完善的应急措施，在以下方面：应急预案的建立、应急预案的培训和演练、应急物资管理等方面进行综合考察。方案清晰、合理、详细、全面、针对性强、可行性强的，得5分；方案较清晰、较合理、较详细、较全面、针对性较强、可行性较强的，得4分；方案基本满足要求的，得3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hint="eastAsia" w:asciiTheme="minorEastAsia" w:hAnsiTheme="minorEastAsia" w:eastAsiaTheme="minorEastAsia"/>
          <w:b/>
          <w:color w:val="000000" w:themeColor="text1"/>
          <w:sz w:val="24"/>
          <w:szCs w:val="24"/>
          <w14:textFill>
            <w14:solidFill>
              <w14:schemeClr w14:val="tx1"/>
            </w14:solidFill>
          </w14:textFill>
        </w:rPr>
        <w:t xml:space="preserve">3.8</w:t>
      </w:r>
      <w:r>
        <w:rPr>
          <w:rFonts w:hint="eastAsia" w:cs="宋体" w:asciiTheme="minorEastAsia" w:hAnsiTheme="minorEastAsia" w:eastAsiaTheme="minorEastAsia"/>
          <w:b/>
          <w:sz w:val="24"/>
          <w:szCs w:val="24"/>
        </w:rPr>
        <w:t xml:space="preserve">过失及意外保障措施（5分）：</w:t>
      </w:r>
      <w:r>
        <w:rPr>
          <w:rFonts w:hint="eastAsia" w:cs="宋体" w:asciiTheme="minorEastAsia" w:hAnsiTheme="minorEastAsia" w:eastAsiaTheme="minorEastAsia"/>
          <w:bCs/>
          <w:sz w:val="24"/>
          <w:szCs w:val="24"/>
        </w:rPr>
        <w:t xml:space="preserve">根据投标人对物业管理中的过失及意外保障措施，在以下方面：事先预防机制、事中处理措施、事后恢复与总结等方面进行综合考察。方案清晰、合理、详细、全面、针对性强、可行性强的，得5分；方案较清晰、较合理、较详细、较全面、针对性较强、可行性较强的，得4分；方案基本满足要求的，得3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hint="eastAsia" w:asciiTheme="minorEastAsia" w:hAnsiTheme="minorEastAsia" w:eastAsiaTheme="minorEastAsia"/>
          <w:b/>
          <w:color w:val="000000" w:themeColor="text1"/>
          <w:sz w:val="24"/>
          <w:szCs w:val="24"/>
          <w14:textFill>
            <w14:solidFill>
              <w14:schemeClr w14:val="tx1"/>
            </w14:solidFill>
          </w14:textFill>
        </w:rPr>
        <w:t xml:space="preserve">3.9</w:t>
      </w:r>
      <w:r>
        <w:rPr>
          <w:rFonts w:hint="eastAsia" w:cs="宋体" w:asciiTheme="minorEastAsia" w:hAnsiTheme="minorEastAsia" w:eastAsiaTheme="minorEastAsia"/>
          <w:b/>
          <w:sz w:val="24"/>
          <w:szCs w:val="24"/>
        </w:rPr>
        <w:t xml:space="preserve">岗前培训及阶段性培训管理（4分）：</w:t>
      </w:r>
      <w:r>
        <w:rPr>
          <w:rFonts w:hint="eastAsia" w:cs="宋体" w:asciiTheme="minorEastAsia" w:hAnsiTheme="minorEastAsia" w:eastAsiaTheme="minorEastAsia"/>
          <w:bCs/>
          <w:sz w:val="24"/>
          <w:szCs w:val="24"/>
        </w:rPr>
        <w:t xml:space="preserve">根据各个物业服务各岗位要求，制定合理的培训方案，培训内容。方案清晰、合理、详细、全面、针对性强、可行性强的，得4分；方案较清晰、较合理、较详细、较全面、针对性较强、可行性较强的，得3分；方案基本满足要求的，得2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hint="eastAsia" w:asciiTheme="minorEastAsia" w:hAnsiTheme="minorEastAsia" w:eastAsiaTheme="minorEastAsia"/>
          <w:b/>
          <w:color w:val="000000" w:themeColor="text1"/>
          <w:sz w:val="24"/>
          <w:szCs w:val="24"/>
          <w14:textFill>
            <w14:solidFill>
              <w14:schemeClr w14:val="tx1"/>
            </w14:solidFill>
          </w14:textFill>
        </w:rPr>
        <w:t xml:space="preserve">3.10</w:t>
      </w:r>
      <w:r>
        <w:rPr>
          <w:rFonts w:hint="eastAsia" w:cs="宋体" w:asciiTheme="minorEastAsia" w:hAnsiTheme="minorEastAsia" w:eastAsiaTheme="minorEastAsia"/>
          <w:b/>
          <w:sz w:val="24"/>
          <w:szCs w:val="24"/>
        </w:rPr>
        <w:t xml:space="preserve">服务响应时间（4分）：</w:t>
      </w:r>
      <w:r>
        <w:rPr>
          <w:rFonts w:hint="eastAsia" w:cs="宋体" w:asciiTheme="minorEastAsia" w:hAnsiTheme="minorEastAsia" w:eastAsiaTheme="minorEastAsia"/>
          <w:bCs/>
          <w:sz w:val="24"/>
          <w:szCs w:val="24"/>
        </w:rPr>
        <w:t xml:space="preserve">根据投标人对不同类型问题的响应时间、方案及措施，在以下方面：紧急情况、一般维修服务、咨询和投诉、公共区域维护等方面进行综合考察。方案清晰、合理、详细、全面、针对性强、可行性强的，得4分；方案较清晰、较合理、较详细、较全面、针对性较强、可行性较强的，得3分；方案基本满足要求的，得2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hint="eastAsia" w:asciiTheme="minorEastAsia" w:hAnsiTheme="minorEastAsia" w:eastAsiaTheme="minorEastAsia"/>
          <w:b/>
          <w:color w:val="000000" w:themeColor="text1"/>
          <w:sz w:val="24"/>
          <w:szCs w:val="24"/>
          <w14:textFill>
            <w14:solidFill>
              <w14:schemeClr w14:val="tx1"/>
            </w14:solidFill>
          </w14:textFill>
        </w:rPr>
        <w:t xml:space="preserve">3.11</w:t>
      </w:r>
      <w:r>
        <w:rPr>
          <w:rFonts w:hint="eastAsia" w:cs="宋体" w:asciiTheme="minorEastAsia" w:hAnsiTheme="minorEastAsia" w:eastAsiaTheme="minorEastAsia"/>
          <w:b/>
          <w:sz w:val="24"/>
          <w:szCs w:val="24"/>
        </w:rPr>
        <w:t xml:space="preserve">正式接管前具体措施（4分）：</w:t>
      </w:r>
      <w:r>
        <w:rPr>
          <w:rFonts w:hint="eastAsia" w:cs="宋体" w:asciiTheme="minorEastAsia" w:hAnsiTheme="minorEastAsia" w:eastAsiaTheme="minorEastAsia"/>
          <w:bCs/>
          <w:sz w:val="24"/>
          <w:szCs w:val="24"/>
        </w:rPr>
        <w:t xml:space="preserve">根据投标人提供的正式接管前具体措施，在以下方面：制定详细的工作计划、进行全面的资料交接与整理、物业的验收、制定规章制度与培训、建立沟通与合作机制、采购与安装必要的设备、备案与合同签订以及正式接管与运营等方面进行综合考察。方案清晰、合理、详细、全面、针对性强、可行性强的，得4分；方案较清晰、较合理、较详细、较全面、针对性较强、可行性较强的，得3分；方案基本满足要求的，得2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0"/>
        <w:jc w:val="left"/>
        <w:spacing w:line="360" w:lineRule="auto"/>
        <w:tabs>
          <w:tab w:val="left" w:pos="1440" w:leader="none"/>
        </w:tabs>
        <w:rPr>
          <w:rFonts w:hint="eastAsia" w:asciiTheme="minorEastAsia" w:hAnsiTheme="minorEastAsia" w:eastAsiaTheme="minorEastAsia"/>
          <w:color w:val="000000" w:themeColor="text1"/>
          <w:sz w:val="24"/>
          <w:szCs w:val="24"/>
          <w14:textFill>
            <w14:solidFill>
              <w14:schemeClr w14:val="tx1"/>
            </w14:solidFill>
          </w14:textFill>
        </w:rPr>
        <w:outlineLvl w:val="0"/>
      </w:pPr>
      <w:r>
        <w:rPr>
          <w:rFonts w:hint="eastAsia" w:asciiTheme="minorEastAsia" w:hAnsiTheme="minorEastAsia" w:eastAsiaTheme="minorEastAsia"/>
          <w:b/>
          <w:color w:val="000000" w:themeColor="text1"/>
          <w:sz w:val="24"/>
          <w:szCs w:val="24"/>
          <w14:textFill>
            <w14:solidFill>
              <w14:schemeClr w14:val="tx1"/>
            </w14:solidFill>
          </w14:textFill>
        </w:rPr>
        <w:t xml:space="preserve">3.12</w:t>
      </w:r>
      <w:r>
        <w:rPr>
          <w:rFonts w:hint="eastAsia" w:cs="宋体" w:asciiTheme="minorEastAsia" w:hAnsiTheme="minorEastAsia" w:eastAsiaTheme="minorEastAsia"/>
          <w:b/>
          <w:sz w:val="24"/>
          <w:szCs w:val="24"/>
        </w:rPr>
        <w:t xml:space="preserve">特色与创新（4分）：</w:t>
      </w:r>
      <w:r>
        <w:rPr>
          <w:rFonts w:hint="eastAsia" w:cs="宋体" w:asciiTheme="minorEastAsia" w:hAnsiTheme="minorEastAsia" w:eastAsiaTheme="minorEastAsia"/>
          <w:bCs/>
          <w:sz w:val="24"/>
          <w:szCs w:val="24"/>
        </w:rPr>
        <w:t xml:space="preserve">根据投标人对物业管理服务的特色与创新方案，在以下方面：规范化管理特色、人性化服务等方面进行综合考察。方案清晰、合理、详细、全面、针对性强、可行性强的，得4分；方案较清晰、较合理、较详细、较全面、针对性较强、可行性较强的，得3分；方案基本满足要求的，得2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rPr>
          <w:rFonts w:asciiTheme="minorEastAsia" w:hAnsiTheme="minorEastAsia" w:eastAsiaTheme="minorEastAsia"/>
          <w:b/>
          <w:bCs/>
          <w:sz w:val="24"/>
          <w:szCs w:val="24"/>
        </w:rPr>
        <w:t xml:space="preserve">　</w:t>
      </w:r>
      <w:r/>
    </w:p>
    <w:p>
      <w:pPr>
        <w:ind w:firstLine="480"/>
        <w:jc w:val="left"/>
        <w:spacing w:line="500" w:lineRule="exact"/>
        <w:tabs>
          <w:tab w:val="left" w:pos="1440" w:leader="none"/>
        </w:tabs>
        <w:rPr>
          <w:rFonts w:ascii="宋体" w:hAnsi="宋体"/>
          <w:color w:val="000000" w:themeColor="text1"/>
          <w:sz w:val="24"/>
          <w14:textFill>
            <w14:solidFill>
              <w14:schemeClr w14:val="tx1"/>
            </w14:solidFill>
          </w14:textFill>
        </w:rPr>
        <w:outlineLvl w:val="0"/>
      </w:pPr>
      <w:r>
        <w:rPr>
          <w:rFonts w:ascii="宋体" w:hAnsi="宋体"/>
          <w:color w:val="000000" w:themeColor="text1"/>
          <w:sz w:val="24"/>
          <w14:textFill>
            <w14:solidFill>
              <w14:schemeClr w14:val="tx1"/>
            </w14:solidFill>
          </w14:textFill>
        </w:rPr>
      </w:r>
      <w:r/>
    </w:p>
    <w:p>
      <w:pPr>
        <w:ind w:firstLine="480"/>
        <w:jc w:val="left"/>
        <w:spacing w:line="500" w:lineRule="exact"/>
        <w:tabs>
          <w:tab w:val="left" w:pos="1440" w:leader="none"/>
        </w:tabs>
        <w:rPr>
          <w:rFonts w:ascii="宋体" w:hAnsi="宋体"/>
          <w:color w:val="000000" w:themeColor="text1"/>
          <w:sz w:val="24"/>
          <w14:textFill>
            <w14:solidFill>
              <w14:schemeClr w14:val="tx1"/>
            </w14:solidFill>
          </w14:textFill>
        </w:rPr>
        <w:outlineLvl w:val="0"/>
      </w:pPr>
      <w:r>
        <w:rPr>
          <w:rFonts w:ascii="宋体" w:hAnsi="宋体"/>
          <w:color w:val="000000" w:themeColor="text1"/>
          <w:sz w:val="24"/>
          <w14:textFill>
            <w14:solidFill>
              <w14:schemeClr w14:val="tx1"/>
            </w14:solidFill>
          </w14:textFill>
        </w:rPr>
      </w:r>
      <w:r/>
    </w:p>
    <w:p>
      <w:pPr>
        <w:ind w:firstLine="480"/>
        <w:jc w:val="left"/>
        <w:spacing w:line="500" w:lineRule="exact"/>
        <w:tabs>
          <w:tab w:val="left" w:pos="1440" w:leader="none"/>
        </w:tabs>
        <w:rPr>
          <w:rFonts w:ascii="宋体" w:hAnsi="宋体"/>
          <w:color w:val="000000" w:themeColor="text1"/>
          <w:sz w:val="24"/>
          <w14:textFill>
            <w14:solidFill>
              <w14:schemeClr w14:val="tx1"/>
            </w14:solidFill>
          </w14:textFill>
        </w:rPr>
        <w:outlineLvl w:val="0"/>
      </w:pPr>
      <w:r>
        <w:rPr>
          <w:rFonts w:ascii="宋体" w:hAnsi="宋体"/>
          <w:color w:val="000000" w:themeColor="text1"/>
          <w:sz w:val="24"/>
          <w14:textFill>
            <w14:solidFill>
              <w14:schemeClr w14:val="tx1"/>
            </w14:solidFill>
          </w14:textFill>
        </w:rPr>
      </w:r>
      <w:r/>
    </w:p>
    <w:p>
      <w:pPr>
        <w:ind w:firstLine="480"/>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hAnsi="宋体"/>
          <w:color w:val="000000" w:themeColor="text1"/>
          <w:sz w:val="2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第六章  </w:t>
      </w:r>
      <w:bookmarkEnd w:id="189"/>
      <w:r/>
      <w:bookmarkEnd w:id="190"/>
      <w:r/>
      <w:bookmarkEnd w:id="193"/>
      <w:r>
        <w:rPr>
          <w:rFonts w:hint="eastAsia" w:ascii="黑体" w:hAnsi="黑体" w:eastAsia="黑体"/>
          <w:color w:val="000000" w:themeColor="text1"/>
          <w:sz w:val="36"/>
          <w:szCs w:val="36"/>
          <w14:textFill>
            <w14:solidFill>
              <w14:schemeClr w14:val="tx1"/>
            </w14:solidFill>
          </w14:textFill>
        </w:rPr>
        <w:t xml:space="preserve">投标文件内容与格式</w:t>
      </w:r>
      <w:r/>
    </w:p>
    <w:p>
      <w:pPr>
        <w:pStyle w:val="994"/>
        <w:ind w:firstLine="602"/>
        <w:spacing w:before="0" w:after="0" w:line="500" w:lineRule="exact"/>
        <w:rPr>
          <w:rFonts w:cs="Arial"/>
          <w:b/>
          <w:color w:val="000000" w:themeColor="text1"/>
          <w:sz w:val="30"/>
          <w:szCs w:val="30"/>
          <w14:textFill>
            <w14:solidFill>
              <w14:schemeClr w14:val="tx1"/>
            </w14:solidFill>
          </w14:textFill>
        </w:rPr>
      </w:pPr>
      <w:r/>
      <w:bookmarkStart w:id="197" w:name="_Hlt26955039"/>
      <w:r/>
      <w:bookmarkEnd w:id="197"/>
      <w:r/>
      <w:bookmarkStart w:id="198" w:name="_Hlt26671244"/>
      <w:r/>
      <w:bookmarkEnd w:id="198"/>
      <w:r/>
      <w:bookmarkStart w:id="199" w:name="_Toc26554094"/>
      <w:r/>
      <w:bookmarkStart w:id="200" w:name="_Toc120614282"/>
      <w:r/>
      <w:bookmarkStart w:id="201"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994"/>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7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994"/>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tcPr>
          <w:p>
            <w:pPr>
              <w:pStyle w:val="994"/>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2449" w:type="dxa"/>
            <w:vAlign w:val="center"/>
            <w:textDirection w:val="lrTb"/>
            <w:noWrap/>
          </w:tcPr>
          <w:p>
            <w:pPr>
              <w:pStyle w:val="994"/>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jc w:val="center"/>
          <w:trHeight w:val="1335"/>
        </w:trPr>
        <w:tc>
          <w:tcPr>
            <w:tcW w:w="719" w:type="dxa"/>
            <w:vAlign w:val="center"/>
            <w:textDirection w:val="lrTb"/>
            <w:noWrap/>
          </w:tcPr>
          <w:p>
            <w:pPr>
              <w:pStyle w:val="99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tcPr>
          <w:p>
            <w:pPr>
              <w:pStyle w:val="99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994"/>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tcPr>
          <w:p>
            <w:pPr>
              <w:pStyle w:val="99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tcPr>
          <w:p>
            <w:pPr>
              <w:pStyle w:val="99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tcPr>
          <w:p>
            <w:pPr>
              <w:pStyle w:val="994"/>
              <w:ind w:firstLine="0"/>
              <w:spacing w:before="0" w:after="0" w:line="240" w:lineRule="auto"/>
              <w:rPr>
                <w:rFonts w:ascii="宋体" w:hAnsi="宋体" w:cs="宋体"/>
              </w:rPr>
            </w:pPr>
            <w:r>
              <w:rPr>
                <w:rFonts w:ascii="宋体" w:hAnsi="宋体" w:cs="宋体"/>
              </w:rPr>
            </w:r>
            <w:r/>
          </w:p>
        </w:tc>
      </w:tr>
      <w:tr>
        <w:trPr>
          <w:jc w:val="center"/>
          <w:trHeight w:val="1684"/>
        </w:trPr>
        <w:tc>
          <w:tcPr>
            <w:tcW w:w="719" w:type="dxa"/>
            <w:vAlign w:val="center"/>
            <w:textDirection w:val="lrTb"/>
            <w:noWrap/>
          </w:tcPr>
          <w:p>
            <w:pPr>
              <w:pStyle w:val="99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tcPr>
          <w:p>
            <w:pPr>
              <w:pStyle w:val="99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3"/>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tcPr>
          <w:p>
            <w:pPr>
              <w:pStyle w:val="994"/>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tcPr>
          <w:p>
            <w:pPr>
              <w:pStyle w:val="99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tcPr>
          <w:p>
            <w:pPr>
              <w:pStyle w:val="99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994"/>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tcPr>
          <w:p>
            <w:pPr>
              <w:pStyle w:val="99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tcPr>
          <w:p>
            <w:pPr>
              <w:pStyle w:val="99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994"/>
              <w:ind w:firstLine="0"/>
              <w:spacing w:before="0" w:after="0" w:line="240" w:lineRule="auto"/>
              <w:rPr>
                <w:rFonts w:ascii="宋体" w:hAnsi="宋体" w:cs="宋体"/>
              </w:rPr>
            </w:pPr>
            <w:r>
              <w:rPr>
                <w:rFonts w:ascii="宋体" w:hAnsi="宋体" w:cs="宋体"/>
              </w:rPr>
            </w:r>
            <w:r/>
          </w:p>
        </w:tc>
      </w:tr>
      <w:tr>
        <w:trPr>
          <w:jc w:val="center"/>
          <w:trHeight w:val="705"/>
        </w:trPr>
        <w:tc>
          <w:tcPr>
            <w:tcW w:w="719" w:type="dxa"/>
            <w:vAlign w:val="center"/>
            <w:textDirection w:val="lrTb"/>
            <w:noWrap/>
          </w:tcPr>
          <w:p>
            <w:pPr>
              <w:pStyle w:val="99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6104" w:type="dxa"/>
            <w:vAlign w:val="center"/>
            <w:textDirection w:val="lrTb"/>
            <w:noWrap/>
          </w:tcPr>
          <w:p>
            <w:pPr>
              <w:pStyle w:val="99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tcPr>
          <w:p>
            <w:pPr>
              <w:pStyle w:val="994"/>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tcPr>
          <w:p>
            <w:pPr>
              <w:pStyle w:val="99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tcPr>
          <w:p>
            <w:pPr>
              <w:pStyle w:val="994"/>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满足中小企业政策的证明文件（如有中小企业政策要求的）。</w:t>
            </w:r>
            <w:r/>
          </w:p>
        </w:tc>
        <w:tc>
          <w:tcPr>
            <w:tcW w:w="2449" w:type="dxa"/>
            <w:vAlign w:val="center"/>
            <w:textDirection w:val="lrTb"/>
            <w:noWrap/>
          </w:tcPr>
          <w:p>
            <w:pPr>
              <w:pStyle w:val="994"/>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tcPr>
          <w:p>
            <w:pPr>
              <w:pStyle w:val="994"/>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tcPr>
          <w:p>
            <w:pPr>
              <w:pStyle w:val="994"/>
              <w:ind w:firstLine="0"/>
              <w:jc w:val="both"/>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特定资格要求的）。</w:t>
            </w:r>
            <w:r/>
          </w:p>
        </w:tc>
        <w:tc>
          <w:tcPr>
            <w:tcW w:w="2449" w:type="dxa"/>
            <w:vAlign w:val="center"/>
            <w:textDirection w:val="lrTb"/>
            <w:noWrap/>
          </w:tcPr>
          <w:p>
            <w:pPr>
              <w:pStyle w:val="994"/>
              <w:ind w:firstLine="0"/>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tcPr>
          <w:p>
            <w:pPr>
              <w:pStyle w:val="994"/>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gridSpan w:val="2"/>
            <w:tcW w:w="8553" w:type="dxa"/>
            <w:vAlign w:val="center"/>
            <w:textDirection w:val="lrTb"/>
            <w:noWrap/>
          </w:tcPr>
          <w:p>
            <w:pPr>
              <w:pStyle w:val="994"/>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w:t>
            </w:r>
            <w:r>
              <w:rPr>
                <w:rFonts w:hint="eastAsia" w:ascii="宋体" w:hAnsi="宋体"/>
                <w:color w:val="000000" w:themeColor="text1"/>
                <w14:textFill>
                  <w14:solidFill>
                    <w14:schemeClr w14:val="tx1"/>
                  </w14:solidFill>
                </w14:textFill>
              </w:rPr>
              <w:t xml:space="preserve">如接受联合体投标且投标人为联合体时须提供</w:t>
            </w:r>
            <w:r>
              <w:rPr>
                <w:rFonts w:hint="eastAsia" w:ascii="宋体" w:hAnsi="宋体" w:cs="宋体"/>
                <w:bCs/>
                <w:color w:val="000000" w:themeColor="text1"/>
                <w14:textFill>
                  <w14:solidFill>
                    <w14:schemeClr w14:val="tx1"/>
                  </w14:solidFill>
                </w14:textFill>
              </w:rPr>
              <w:t xml:space="preserve">，格式自拟）。</w:t>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9"/>
        </w:num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9"/>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中：第2、6项可由联合体主体单位（即联合体牵头人）代表联合体提供；第1、3、4、5、7（如有要求）、8（如有要求）项，联合体各方均须提供。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（一）符合性证明文件</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994"/>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tcPr>
          <w:p>
            <w:pPr>
              <w:pStyle w:val="994"/>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1979" w:type="dxa"/>
            <w:vAlign w:val="center"/>
            <w:textDirection w:val="lrTb"/>
            <w:noWrap/>
          </w:tcPr>
          <w:p>
            <w:pPr>
              <w:pStyle w:val="994"/>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jc w:val="center"/>
          <w:trHeight w:val="567"/>
        </w:trPr>
        <w:tc>
          <w:tcPr>
            <w:tcW w:w="823" w:type="dxa"/>
            <w:vAlign w:val="center"/>
            <w:textDirection w:val="lrTb"/>
            <w:noWrap/>
          </w:tcPr>
          <w:p>
            <w:pPr>
              <w:pStyle w:val="994"/>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tcPr>
          <w:p>
            <w:pPr>
              <w:pStyle w:val="99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tcPr>
          <w:p>
            <w:pPr>
              <w:pStyle w:val="994"/>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商务符合性</w:t>
            </w:r>
            <w:r/>
          </w:p>
        </w:tc>
      </w:tr>
      <w:tr>
        <w:trPr>
          <w:jc w:val="center"/>
          <w:trHeight w:val="567"/>
        </w:trPr>
        <w:tc>
          <w:tcPr>
            <w:shd w:val="clear" w:color="auto" w:fill="auto"/>
            <w:tcW w:w="823" w:type="dxa"/>
            <w:vAlign w:val="center"/>
            <w:textDirection w:val="lrTb"/>
            <w:noWrap/>
          </w:tcPr>
          <w:p>
            <w:pPr>
              <w:pStyle w:val="994"/>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shd w:val="clear" w:color="auto" w:fill="auto"/>
            <w:tcW w:w="6095" w:type="dxa"/>
            <w:vAlign w:val="center"/>
            <w:textDirection w:val="lrTb"/>
            <w:noWrap/>
          </w:tcPr>
          <w:p>
            <w:pPr>
              <w:pStyle w:val="99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tcPr>
          <w:p>
            <w:pPr>
              <w:pStyle w:val="994"/>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994"/>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3</w:t>
            </w:r>
            <w:r/>
          </w:p>
        </w:tc>
        <w:tc>
          <w:tcPr>
            <w:tcW w:w="6095" w:type="dxa"/>
            <w:vAlign w:val="center"/>
            <w:textDirection w:val="lrTb"/>
            <w:noWrap/>
          </w:tcPr>
          <w:p>
            <w:pPr>
              <w:pStyle w:val="99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项目人员配置考察表（给定格式）</w:t>
            </w:r>
            <w:r/>
          </w:p>
        </w:tc>
        <w:tc>
          <w:tcPr>
            <w:tcW w:w="1979" w:type="dxa"/>
            <w:vAlign w:val="center"/>
            <w:vMerge w:val="continue"/>
            <w:textDirection w:val="lrTb"/>
            <w:noWrap/>
          </w:tcPr>
          <w:p>
            <w:pPr>
              <w:pStyle w:val="994"/>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99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tcPr>
          <w:p>
            <w:pPr>
              <w:pStyle w:val="99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开标一览表（“苏采云”系统中给定格式）</w:t>
            </w:r>
            <w:r/>
          </w:p>
        </w:tc>
        <w:tc>
          <w:tcPr>
            <w:tcW w:w="1979" w:type="dxa"/>
            <w:vAlign w:val="center"/>
            <w:vMerge w:val="restart"/>
            <w:textDirection w:val="lrTb"/>
            <w:noWrap/>
          </w:tcPr>
          <w:p>
            <w:pPr>
              <w:pStyle w:val="994"/>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报价符合性</w:t>
            </w:r>
            <w:r/>
          </w:p>
        </w:tc>
      </w:tr>
      <w:tr>
        <w:trPr>
          <w:jc w:val="center"/>
          <w:trHeight w:val="567"/>
        </w:trPr>
        <w:tc>
          <w:tcPr>
            <w:tcW w:w="823" w:type="dxa"/>
            <w:vAlign w:val="center"/>
            <w:textDirection w:val="lrTb"/>
            <w:noWrap/>
          </w:tcPr>
          <w:p>
            <w:pPr>
              <w:pStyle w:val="99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tcPr>
          <w:p>
            <w:pPr>
              <w:pStyle w:val="99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分项报价表（给定格式）</w:t>
            </w:r>
            <w:r/>
          </w:p>
        </w:tc>
        <w:tc>
          <w:tcPr>
            <w:tcW w:w="1979" w:type="dxa"/>
            <w:vAlign w:val="center"/>
            <w:vMerge w:val="continue"/>
            <w:textDirection w:val="lrTb"/>
            <w:noWrap/>
          </w:tcPr>
          <w:p>
            <w:pPr>
              <w:pStyle w:val="994"/>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99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tcPr>
          <w:p>
            <w:pPr>
              <w:pStyle w:val="99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restart"/>
            <w:textDirection w:val="lrTb"/>
            <w:noWrap/>
          </w:tcPr>
          <w:p>
            <w:pPr>
              <w:pStyle w:val="994"/>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技术符合性</w:t>
            </w:r>
            <w:r/>
          </w:p>
        </w:tc>
      </w:tr>
      <w:tr>
        <w:trPr>
          <w:jc w:val="center"/>
          <w:trHeight w:val="567"/>
        </w:trPr>
        <w:tc>
          <w:tcPr>
            <w:tcW w:w="823" w:type="dxa"/>
            <w:vAlign w:val="center"/>
            <w:textDirection w:val="lrTb"/>
            <w:noWrap/>
          </w:tcPr>
          <w:p>
            <w:pPr>
              <w:pStyle w:val="99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tcPr>
          <w:p>
            <w:pPr>
              <w:pStyle w:val="994"/>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《采购需求》中要求提供的证明材料（如有）</w:t>
            </w:r>
            <w:r/>
          </w:p>
        </w:tc>
        <w:tc>
          <w:tcPr>
            <w:tcW w:w="1979" w:type="dxa"/>
            <w:vAlign w:val="center"/>
            <w:vMerge w:val="continue"/>
            <w:textDirection w:val="lrTb"/>
            <w:noWrap/>
          </w:tcPr>
          <w:p>
            <w:pPr>
              <w:pStyle w:val="994"/>
              <w:ind w:firstLine="0"/>
              <w:jc w:val="center"/>
              <w:spacing w:before="0" w:after="0" w:line="240" w:lineRule="auto"/>
              <w:rPr>
                <w:rFonts w:cs="Arial"/>
              </w:rPr>
            </w:pPr>
            <w:r>
              <w:rPr>
                <w:rFonts w:cs="Arial"/>
              </w:rPr>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10"/>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符合性证明文件第</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ascii="宋体" w:hAnsi="宋体" w:cs="Arial"/>
          <w:color w:val="000000" w:themeColor="text1"/>
          <w:sz w:val="24"/>
          <w:szCs w:val="24"/>
          <w14:textFill>
            <w14:solidFill>
              <w14:schemeClr w14:val="tx1"/>
            </w14:solidFill>
          </w14:textFill>
        </w:rPr>
        <w:t xml:space="preserve">符合性证明文件第7项，《采购需求》中如有要求提供证明材料的，须按要求提供，否则投标文件无效。</w:t>
      </w:r>
      <w:r/>
    </w:p>
    <w:p>
      <w:pPr>
        <w:numPr>
          <w:ilvl w:val="0"/>
          <w:numId w:val="10"/>
        </w:num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w:t>
      </w:r>
      <w:r>
        <w:rPr>
          <w:rFonts w:hint="eastAsia" w:ascii="宋体" w:hAnsi="宋体" w:cs="宋体"/>
          <w:color w:val="000000" w:themeColor="text1"/>
          <w:sz w:val="24"/>
          <w:szCs w:val="24"/>
          <w14:textFill>
            <w14:solidFill>
              <w14:schemeClr w14:val="tx1"/>
            </w14:solidFill>
          </w14:textFill>
        </w:rPr>
        <w:t xml:space="preserve">第1～6项可由联合体主体单位（即联合体牵头人）代表联合体提供。第7项按《采购需求》中的相应要求（如有）进行提供。</w:t>
      </w:r>
      <w:r/>
    </w:p>
    <w:p>
      <w:pP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（二）其他证明文件</w:t>
      </w:r>
      <w:r/>
    </w:p>
    <w:p>
      <w:pPr>
        <w:ind w:left="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1.《评标方法与评标标准》中涉及的证明文件。</w:t>
      </w:r>
      <w:r/>
    </w:p>
    <w:p>
      <w:pPr>
        <w:ind w:left="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2.投标人认为如有其他应附的文件可自拟并自行添加。</w:t>
      </w:r>
      <w:r/>
    </w:p>
    <w:p>
      <w:pPr>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994"/>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992"/>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我公司（单位、联合体）针对</w:t>
      </w:r>
      <w:r>
        <w:rPr>
          <w:rFonts w:hint="eastAsia" w:ascii="宋体" w:hAnsi="宋体"/>
          <w:bCs/>
          <w:color w:val="000000" w:themeColor="text1"/>
          <w:sz w:val="24"/>
          <w:szCs w:val="24"/>
          <w14:textFill>
            <w14:solidFill>
              <w14:schemeClr w14:val="tx1"/>
            </w14:solidFill>
          </w14:textFill>
        </w:rPr>
        <w:t xml:space="preserve">项目，兹授权：</w:t>
      </w:r>
      <w:r/>
    </w:p>
    <w:p>
      <w:pPr>
        <w:pStyle w:val="992"/>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被授权人的姓名：；性别：；年龄：；职务：；</w:t>
      </w:r>
      <w:r/>
    </w:p>
    <w:p>
      <w:pPr>
        <w:pStyle w:val="992"/>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被授权人的身份证号码：；联系方式：；</w:t>
      </w:r>
      <w:r/>
    </w:p>
    <w:p>
      <w:pPr>
        <w:pStyle w:val="992"/>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992"/>
        <w:ind w:firstLine="480"/>
        <w:spacing w:line="360" w:lineRule="auto"/>
        <w:rPr>
          <w:rFonts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992"/>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992"/>
        <w:ind w:firstLine="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授权日期：年月日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992"/>
        <w:ind w:firstLine="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法定代表人签字或盖章：             被授权人签字或盖章：</w:t>
      </w:r>
      <w:r/>
    </w:p>
    <w:p>
      <w:pPr>
        <w:pStyle w:val="992"/>
        <w:ind w:firstLine="0"/>
        <w:spacing w:line="360" w:lineRule="auto"/>
        <w:rPr>
          <w:color w:val="000000" w:themeColor="text1"/>
          <w:sz w:val="24"/>
          <w:szCs w:val="24"/>
          <w14:textFill>
            <w14:solidFill>
              <w14:schemeClr w14:val="tx1"/>
            </w14:solidFill>
          </w14:textFill>
        </w:rPr>
      </w:pPr>
      <w:r>
        <w:rPr>
          <w:rFonts w:hint="eastAsia" w:ascii="宋体" w:hAnsi="宋体" w:cs="宋体"/>
          <w:b/>
          <w:color w:val="000000" w:themeColor="text1"/>
          <w:szCs w:val="28"/>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92"/>
        <w:ind w:firstLine="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992"/>
        <w:ind w:firstLine="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说明：</w:t>
      </w:r>
      <w:r/>
    </w:p>
    <w:p>
      <w:pPr>
        <w:pStyle w:val="992"/>
        <w:numPr>
          <w:ilvl w:val="0"/>
          <w:numId w:val="11"/>
        </w:numPr>
        <w:ind w:firstLine="420"/>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若</w:t>
      </w:r>
      <w:r>
        <w:rPr>
          <w:rFonts w:hint="eastAsia" w:ascii="宋体" w:hAnsi="宋体"/>
          <w:color w:val="000000" w:themeColor="text1"/>
          <w:sz w:val="21"/>
          <w:szCs w:val="21"/>
          <w14:textFill>
            <w14:solidFill>
              <w14:schemeClr w14:val="tx1"/>
            </w14:solidFill>
          </w14:textFill>
        </w:rPr>
        <w:t xml:space="preserve">投标人</w:t>
      </w:r>
      <w:r>
        <w:rPr>
          <w:rFonts w:ascii="宋体" w:hAnsi="宋体"/>
          <w:color w:val="000000" w:themeColor="text1"/>
          <w:sz w:val="21"/>
          <w:szCs w:val="21"/>
          <w14:textFill>
            <w14:solidFill>
              <w14:schemeClr w14:val="tx1"/>
            </w14:solidFill>
          </w14:textFill>
        </w:rPr>
        <w:t xml:space="preserve">为事业单位或其他组织或分支机构（仅</w:t>
      </w:r>
      <w:r>
        <w:rPr>
          <w:rFonts w:hint="eastAsia" w:ascii="宋体" w:hAnsi="宋体"/>
          <w:color w:val="000000" w:themeColor="text1"/>
          <w:sz w:val="21"/>
          <w:szCs w:val="21"/>
          <w14:textFill>
            <w14:solidFill>
              <w14:schemeClr w14:val="tx1"/>
            </w14:solidFill>
          </w14:textFill>
        </w:rPr>
        <w:t xml:space="preserve">限招标</w:t>
      </w:r>
      <w:r>
        <w:rPr>
          <w:rFonts w:ascii="宋体" w:hAnsi="宋体"/>
          <w:color w:val="000000" w:themeColor="text1"/>
          <w:sz w:val="21"/>
          <w:szCs w:val="21"/>
          <w14:textFill>
            <w14:solidFill>
              <w14:schemeClr w14:val="tx1"/>
            </w14:solidFill>
          </w14:textFill>
        </w:rPr>
        <w:t xml:space="preserve">文件注明允许分支机构</w:t>
      </w:r>
      <w:r>
        <w:rPr>
          <w:rFonts w:hint="eastAsia" w:ascii="宋体" w:hAnsi="宋体"/>
          <w:color w:val="000000" w:themeColor="text1"/>
          <w:sz w:val="21"/>
          <w:szCs w:val="21"/>
          <w14:textFill>
            <w14:solidFill>
              <w14:schemeClr w14:val="tx1"/>
            </w14:solidFill>
          </w14:textFill>
        </w:rPr>
        <w:t xml:space="preserve">投标情形</w:t>
      </w:r>
      <w:r>
        <w:rPr>
          <w:rFonts w:ascii="宋体" w:hAnsi="宋体"/>
          <w:color w:val="000000" w:themeColor="text1"/>
          <w:sz w:val="21"/>
          <w:szCs w:val="21"/>
          <w14:textFill>
            <w14:solidFill>
              <w14:schemeClr w14:val="tx1"/>
            </w14:solidFill>
          </w14:textFill>
        </w:rPr>
        <w:t xml:space="preserve">的），则法定代表人</w:t>
      </w:r>
      <w:r>
        <w:rPr>
          <w:rFonts w:hint="eastAsia" w:ascii="宋体" w:hAnsi="宋体"/>
          <w:color w:val="000000" w:themeColor="text1"/>
          <w:sz w:val="21"/>
          <w:szCs w:val="21"/>
          <w14:textFill>
            <w14:solidFill>
              <w14:schemeClr w14:val="tx1"/>
            </w14:solidFill>
          </w14:textFill>
        </w:rPr>
        <w:t xml:space="preserve">处</w:t>
      </w:r>
      <w:r>
        <w:rPr>
          <w:rFonts w:ascii="宋体" w:hAnsi="宋体"/>
          <w:color w:val="000000" w:themeColor="text1"/>
          <w:sz w:val="21"/>
          <w:szCs w:val="21"/>
          <w14:textFill>
            <w14:solidFill>
              <w14:schemeClr w14:val="tx1"/>
            </w14:solidFill>
          </w14:textFill>
        </w:rPr>
        <w:t xml:space="preserve">的签</w:t>
      </w:r>
      <w:r>
        <w:rPr>
          <w:rFonts w:hint="eastAsia" w:ascii="宋体" w:hAnsi="宋体"/>
          <w:color w:val="000000" w:themeColor="text1"/>
          <w:sz w:val="21"/>
          <w:szCs w:val="21"/>
          <w14:textFill>
            <w14:solidFill>
              <w14:schemeClr w14:val="tx1"/>
            </w14:solidFill>
          </w14:textFill>
        </w:rPr>
        <w:t xml:space="preserve">字</w:t>
      </w:r>
      <w:r>
        <w:rPr>
          <w:rFonts w:ascii="宋体" w:hAnsi="宋体"/>
          <w:color w:val="000000" w:themeColor="text1"/>
          <w:sz w:val="21"/>
          <w:szCs w:val="21"/>
          <w14:textFill>
            <w14:solidFill>
              <w14:schemeClr w14:val="tx1"/>
            </w14:solidFill>
          </w14:textFill>
        </w:rPr>
        <w:t xml:space="preserve">人可为单位负责人</w:t>
      </w:r>
      <w:r>
        <w:rPr>
          <w:rFonts w:hint="eastAsia" w:ascii="宋体" w:hAnsi="宋体"/>
          <w:color w:val="000000" w:themeColor="text1"/>
          <w:sz w:val="21"/>
          <w:szCs w:val="21"/>
          <w14:textFill>
            <w14:solidFill>
              <w14:schemeClr w14:val="tx1"/>
            </w14:solidFill>
          </w14:textFill>
        </w:rPr>
        <w:t xml:space="preserve">。</w:t>
      </w:r>
      <w:r/>
    </w:p>
    <w:p>
      <w:pPr>
        <w:pStyle w:val="992"/>
        <w:numPr>
          <w:ilvl w:val="0"/>
          <w:numId w:val="11"/>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992"/>
        <w:numPr>
          <w:ilvl w:val="0"/>
          <w:numId w:val="11"/>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供应商为自然人情形的，可不提供本</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授权委托书</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w:t>
      </w:r>
      <w:r/>
    </w:p>
    <w:p>
      <w:pPr>
        <w:pStyle w:val="992"/>
        <w:numPr>
          <w:ilvl w:val="0"/>
          <w:numId w:val="11"/>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992"/>
        <w:ind w:firstLine="0"/>
        <w:rPr>
          <w:rFonts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202" w:name="报价方关于资格的声明函（格式）"/>
      <w:r/>
      <w:bookmarkEnd w:id="202"/>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无锡市滨湖区公共资源交易中心：</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我公司（单位、联合体）针对本次项目进行投标，并作如下声明</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2.本公司（单位、联合体）具备本次项目履行合同所必需的设备和专业技术能力。</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中小企业声明函（服务）</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u w:val="single"/>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color w:val="000000" w:themeColor="text1"/>
          <w:sz w:val="24"/>
          <w:szCs w:val="24"/>
          <w14:textFill>
            <w14:solidFill>
              <w14:schemeClr w14:val="tx1"/>
            </w14:solidFill>
          </w14:textFill>
        </w:rPr>
        <w:t xml:space="preserve">； 承建（承接）企业为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，从业人员人，营业收入为万元，资产总额为万元，属于</w:t>
      </w:r>
      <w:r>
        <w:rPr>
          <w:rFonts w:ascii="宋体" w:hAnsi="宋体"/>
          <w:bCs/>
          <w:color w:val="000000" w:themeColor="text1"/>
          <w:sz w:val="24"/>
          <w:szCs w:val="24"/>
          <w:u w:val="single"/>
          <w14:textFill>
            <w14:solidFill>
              <w14:schemeClr w14:val="tx1"/>
            </w14:solidFill>
          </w14:textFill>
        </w:rPr>
        <w:t xml:space="preserve">（中型企业、 小型企业、微型企业）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color w:val="000000" w:themeColor="text1"/>
          <w:sz w:val="24"/>
          <w:szCs w:val="24"/>
          <w14:textFill>
            <w14:solidFill>
              <w14:schemeClr w14:val="tx1"/>
            </w14:solidFill>
          </w14:textFill>
        </w:rPr>
        <w:t xml:space="preserve">； 承建（承接）企业为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，从业人员人，营业收入为万元，资产总额为万元，属于</w:t>
      </w:r>
      <w:r>
        <w:rPr>
          <w:rFonts w:ascii="宋体" w:hAnsi="宋体"/>
          <w:bCs/>
          <w:color w:val="000000" w:themeColor="text1"/>
          <w:sz w:val="24"/>
          <w:szCs w:val="24"/>
          <w:u w:val="single"/>
          <w14:textFill>
            <w14:solidFill>
              <w14:schemeClr w14:val="tx1"/>
            </w14:solidFill>
          </w14:textFill>
        </w:rPr>
        <w:t xml:space="preserve">（中型企业、 小型企业、微型企业）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六</w:t>
      </w:r>
      <w:r>
        <w:rPr>
          <w:b/>
          <w:color w:val="000000" w:themeColor="text1"/>
          <w:sz w:val="28"/>
          <w:szCs w:val="28"/>
          <w14:textFill>
            <w14:solidFill>
              <w14:schemeClr w14:val="tx1"/>
            </w14:solidFill>
          </w14:textFill>
        </w:rPr>
        <w:t xml:space="preserve">、投标函</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致无锡市滨湖区公共资源交易中心：</w:t>
      </w:r>
      <w:r/>
    </w:p>
    <w:p>
      <w:pPr>
        <w:ind w:firstLine="48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我方收到贵方招标文件，经仔细阅读和研究，我方决定参加此项目的投标。</w:t>
      </w:r>
      <w:r/>
    </w:p>
    <w:p>
      <w:pPr>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81"/>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我方愿意提供无锡市滨湖区公共资源交易中心在招标文件中要求的文件、资料。</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 ；传真：；邮编：</w:t>
      </w:r>
      <w:r/>
    </w:p>
    <w:p>
      <w:pPr>
        <w:ind w:firstLine="480"/>
        <w:spacing w:line="400" w:lineRule="exac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p>
    <w:p>
      <w:pPr>
        <w:jc w:val="center"/>
        <w:spacing w:line="46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rPr>
          <w:b/>
          <w:color w:val="000000" w:themeColor="text1"/>
          <w:sz w:val="28"/>
          <w:szCs w:val="28"/>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七、承诺书（给定格式）：</w:t>
      </w:r>
      <w:r/>
    </w:p>
    <w:p>
      <w:pPr>
        <w:ind w:firstLine="602"/>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（投标人名称）针</w:t>
      </w:r>
      <w:r>
        <w:rPr>
          <w:rFonts w:hint="eastAsia" w:ascii="宋体" w:hAnsi="宋体"/>
          <w:bCs/>
          <w:color w:val="000000" w:themeColor="text1"/>
          <w:sz w:val="24"/>
          <w:szCs w:val="24"/>
          <w14:textFill>
            <w14:solidFill>
              <w14:schemeClr w14:val="tx1"/>
            </w14:solidFill>
          </w14:textFill>
        </w:rPr>
        <w:t xml:space="preserve">对本项目</w:t>
      </w:r>
      <w:r>
        <w:rPr>
          <w:rFonts w:hint="eastAsia" w:ascii="宋体" w:hAnsi="宋体"/>
          <w:color w:val="000000" w:themeColor="text1"/>
          <w:sz w:val="24"/>
          <w:szCs w:val="24"/>
          <w14:textFill>
            <w14:solidFill>
              <w14:schemeClr w14:val="tx1"/>
            </w14:solidFill>
          </w14:textFill>
        </w:rPr>
        <w:t xml:space="preserve">在此对服务保障做如下承诺：</w:t>
      </w:r>
      <w:r/>
    </w:p>
    <w:p>
      <w:pPr>
        <w:spacing w:line="48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、联合体</w:t>
      </w:r>
      <w:r>
        <w:rPr>
          <w:rFonts w:hint="eastAsia" w:ascii="宋体" w:hAnsi="宋体" w:cs="宋体"/>
          <w:color w:val="000000" w:themeColor="text1"/>
          <w:sz w:val="24"/>
          <w:szCs w:val="24"/>
          <w14:textFill>
            <w14:solidFill>
              <w14:schemeClr w14:val="tx1"/>
            </w14:solidFill>
          </w14:textFill>
        </w:rPr>
        <w:t xml:space="preserve">）对本项目所提供的服务符合招标文件要求；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2.本公司（单位</w:t>
      </w:r>
      <w:r>
        <w:rPr>
          <w:rFonts w:hint="eastAsia" w:ascii="宋体" w:hAnsi="宋体"/>
          <w:bCs/>
          <w:color w:val="000000" w:themeColor="text1"/>
          <w:sz w:val="24"/>
          <w:szCs w:val="24"/>
          <w14:textFill>
            <w14:solidFill>
              <w14:schemeClr w14:val="tx1"/>
            </w14:solidFill>
          </w14:textFill>
        </w:rPr>
        <w:t xml:space="preserve">、联合体</w:t>
      </w:r>
      <w:r>
        <w:rPr>
          <w:rFonts w:hint="eastAsia" w:ascii="宋体" w:hAnsi="宋体" w:cs="宋体"/>
          <w:color w:val="000000" w:themeColor="text1"/>
          <w:sz w:val="24"/>
          <w:szCs w:val="24"/>
          <w14:textFill>
            <w14:solidFill>
              <w14:schemeClr w14:val="tx1"/>
            </w14:solidFill>
          </w14:textFill>
        </w:rPr>
        <w:t xml:space="preserve">）保证中标并合同签订生效后，将按招标文件要求及所投的投标文件中做出的相应承诺将相关人员及时配置到位。</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p>
      <w:pPr>
        <w:ind w:firstLine="465"/>
        <w:spacing w:line="360" w:lineRule="auto"/>
        <w:tabs>
          <w:tab w:val="left" w:pos="94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p>
      <w:pPr>
        <w:ind w:firstLine="96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96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、联合体</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将承担一切法律责任。</w:t>
      </w:r>
      <w:r/>
    </w:p>
    <w:p>
      <w:pPr>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372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w:t>
      </w:r>
      <w:r>
        <w:rPr>
          <w:rFonts w:hint="eastAsia" w:ascii="宋体" w:hAnsi="宋体"/>
          <w:bCs/>
          <w:color w:val="000000" w:themeColor="text1"/>
          <w:sz w:val="24"/>
          <w:szCs w:val="24"/>
          <w14:textFill>
            <w14:solidFill>
              <w14:schemeClr w14:val="tx1"/>
            </w14:solidFill>
          </w14:textFill>
        </w:rPr>
        <w:t xml:space="preserve">（盖章）：</w:t>
      </w:r>
      <w:r/>
    </w:p>
    <w:p>
      <w:pPr>
        <w:ind w:firstLine="48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2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（注：以上内容由投标单位根据采购要求自行完善。）</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八、开标一览表：</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p>
    <w:tbl>
      <w:tblPr>
        <w:tblStyle w:val="735"/>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tcPr>
          <w:p>
            <w:pPr>
              <w:pStyle w:val="1020"/>
              <w:jc w:val="center"/>
              <w:spacing w:line="400" w:lineRule="exact"/>
              <w:rPr>
                <w:rFonts w:hAnsi="宋体"/>
                <w:bCs/>
                <w:color w:val="000000" w:themeColor="text1"/>
                <w:szCs w:val="24"/>
                <w14:textFill>
                  <w14:solidFill>
                    <w14:schemeClr w14:val="tx1"/>
                  </w14:solidFill>
                </w14:textFill>
              </w:rPr>
            </w:pPr>
            <w:r>
              <w:rPr>
                <w:rFonts w:hAnsi="宋体"/>
                <w:bCs/>
                <w:color w:val="000000" w:themeColor="text1"/>
                <w:szCs w:val="24"/>
                <w14:textFill>
                  <w14:solidFill>
                    <w14:schemeClr w14:val="tx1"/>
                  </w14:solidFill>
                </w14:textFill>
              </w:rPr>
            </w:r>
            <w:r/>
          </w:p>
        </w:tc>
        <w:tc>
          <w:tcPr>
            <w:tcW w:w="3188" w:type="dxa"/>
            <w:vAlign w:val="center"/>
            <w:textDirection w:val="lrTb"/>
            <w:noWrap/>
          </w:tcPr>
          <w:p>
            <w:pPr>
              <w:pStyle w:val="1020"/>
              <w:jc w:val="center"/>
              <w:rPr>
                <w:rFonts w:hAnsi="宋体"/>
                <w:b/>
                <w:color w:val="000000" w:themeColor="text1"/>
                <w:szCs w:val="24"/>
                <w14:textFill>
                  <w14:solidFill>
                    <w14:schemeClr w14:val="tx1"/>
                  </w14:solidFill>
                </w14:textFill>
              </w:rPr>
            </w:pPr>
            <w:r>
              <w:rPr>
                <w:rFonts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400" w:lineRule="exact"/>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3"/>
        </w:numPr>
        <w:spacing w:line="360" w:lineRule="auto"/>
        <w:rPr>
          <w:b/>
          <w:color w:val="000000" w:themeColor="text1"/>
          <w:sz w:val="28"/>
          <w:szCs w:val="28"/>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分项</w:t>
      </w:r>
      <w:r>
        <w:rPr>
          <w:b/>
          <w:color w:val="000000" w:themeColor="text1"/>
          <w:sz w:val="28"/>
          <w:szCs w:val="28"/>
          <w14:textFill>
            <w14:solidFill>
              <w14:schemeClr w14:val="tx1"/>
            </w14:solidFill>
          </w14:textFill>
        </w:rPr>
        <w:t xml:space="preserve">报价表</w:t>
      </w:r>
      <w:r>
        <w:rPr>
          <w:rFonts w:hint="eastAsia"/>
          <w:b/>
          <w:color w:val="000000" w:themeColor="text1"/>
          <w:sz w:val="28"/>
          <w:szCs w:val="28"/>
          <w14:textFill>
            <w14:solidFill>
              <w14:schemeClr w14:val="tx1"/>
            </w14:solidFill>
          </w14:textFill>
        </w:rPr>
        <w:t xml:space="preserve">（给定格式）：</w:t>
      </w:r>
      <w:bookmarkEnd w:id="199"/>
      <w:r/>
      <w:bookmarkEnd w:id="200"/>
      <w:r/>
      <w:bookmarkEnd w:id="201"/>
      <w:r/>
      <w:bookmarkStart w:id="203" w:name="_Toc120614284"/>
      <w:r/>
      <w:r/>
    </w:p>
    <w:p>
      <w:pPr>
        <w:jc w:val="center"/>
        <w:spacing w:line="360" w:lineRule="auto"/>
        <w:rPr>
          <w:rFonts w:ascii="黑体" w:hAnsi="宋体" w:eastAsia="黑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分项报价表</w:t>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p>
    <w:tbl>
      <w:tblPr>
        <w:tblStyle w:val="735"/>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序号</w:t>
            </w:r>
            <w:r/>
          </w:p>
        </w:tc>
        <w:tc>
          <w:tcPr>
            <w:tcW w:w="3575"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项目名称</w:t>
            </w:r>
            <w:r/>
          </w:p>
        </w:tc>
        <w:tc>
          <w:tcPr>
            <w:tcW w:w="1465"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报价</w:t>
            </w:r>
            <w:r/>
          </w:p>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（元/月）</w:t>
            </w:r>
            <w:r/>
          </w:p>
        </w:tc>
        <w:tc>
          <w:tcPr>
            <w:tcW w:w="1418"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报价</w:t>
            </w:r>
            <w:r/>
          </w:p>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（元/年）</w:t>
            </w:r>
            <w:r/>
          </w:p>
        </w:tc>
        <w:tc>
          <w:tcPr>
            <w:tcW w:w="1842"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备注</w:t>
            </w:r>
            <w:r/>
          </w:p>
        </w:tc>
      </w:tr>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1</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员工工资、福利、法定计提费用</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参照表（1）</w:t>
            </w:r>
            <w:r/>
          </w:p>
        </w:tc>
      </w:tr>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2</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行政办公费用</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办公用品、耗材费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参照表（2）、（3）</w:t>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交通费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通讯费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培训费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员工餐费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标识标牌等费用</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其他费用</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3</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服装费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参照表（2）</w:t>
            </w:r>
            <w:r/>
          </w:p>
        </w:tc>
      </w:tr>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4</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卫生清洁费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保洁工具</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参照表（2）</w:t>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卫生保洁耗材</w:t>
            </w:r>
            <w:r>
              <w:rPr>
                <w:rFonts w:hint="eastAsia" w:ascii="宋体" w:hAnsi="宋体"/>
                <w:color w:val="000000" w:themeColor="text1"/>
                <w14:textFill>
                  <w14:solidFill>
                    <w14:schemeClr w14:val="tx1"/>
                  </w14:solidFill>
                </w14:textFill>
              </w:rPr>
              <w:t xml:space="preserve">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参照表（3）</w:t>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消杀防疫等费用</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自行列清单附后</w:t>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其他费用</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5</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安保器械装备费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参照表（2）</w:t>
            </w:r>
            <w:r/>
          </w:p>
        </w:tc>
      </w:tr>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6</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餐饮服务相关费用</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自行列清单附后</w:t>
            </w:r>
            <w:r/>
          </w:p>
        </w:tc>
      </w:tr>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7</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维修维保费用</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参照表（4）</w:t>
            </w:r>
            <w:r/>
          </w:p>
        </w:tc>
      </w:tr>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8</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合理利润</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9</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税金</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10</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其他支出（按需求自行列举）</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合计：</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bl>
    <w:p>
      <w:pPr>
        <w:spacing w:line="400" w:lineRule="exact"/>
        <w:rPr>
          <w:rFonts w:ascii="黑体" w:eastAsia="黑体"/>
          <w:bCs/>
          <w:color w:val="000000" w:themeColor="text1"/>
          <w:sz w:val="32"/>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2.上述报价表由投标单位参照，不限于此，可根据采购需求自行添加条目进行投报。</w:t>
      </w:r>
      <w:r/>
    </w:p>
    <w:p>
      <w:pPr>
        <w:ind w:firstLine="420"/>
        <w:rPr>
          <w:rFonts w:ascii="宋体" w:hAnsi="Calibri"/>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3.</w:t>
      </w:r>
      <w:r>
        <w:rPr>
          <w:rFonts w:hint="eastAsia" w:ascii="宋体" w:hAnsi="Calibri"/>
          <w:bCs/>
          <w:color w:val="000000" w:themeColor="text1"/>
          <w14:textFill>
            <w14:solidFill>
              <w14:schemeClr w14:val="tx1"/>
            </w14:solidFill>
          </w14:textFill>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滨湖区公共资源交易中心有权将相关内容进行公示；</w:t>
      </w:r>
      <w:r/>
    </w:p>
    <w:p>
      <w:pPr>
        <w:ind w:firstLine="420"/>
        <w:rPr>
          <w:rFonts w:ascii="宋体" w:hAnsi="宋体"/>
          <w:b/>
          <w:bCs/>
          <w:color w:val="000000" w:themeColor="text1"/>
          <w:sz w:val="24"/>
          <w:szCs w:val="24"/>
          <w14:textFill>
            <w14:solidFill>
              <w14:schemeClr w14:val="tx1"/>
            </w14:solidFill>
          </w14:textFill>
        </w:rPr>
        <w:outlineLvl w:val="0"/>
      </w:pPr>
      <w:r>
        <w:rPr>
          <w:rFonts w:ascii="宋体" w:hAnsi="Calibri"/>
          <w:bCs/>
          <w:color w:val="000000" w:themeColor="text1"/>
          <w14:textFill>
            <w14:solidFill>
              <w14:schemeClr w14:val="tx1"/>
            </w14:solidFill>
          </w14:textFill>
        </w:rPr>
        <w:br w:type="page" w:clear="all"/>
      </w:r>
      <w:r>
        <w:rPr>
          <w:rFonts w:hint="eastAsia" w:ascii="宋体" w:hAnsi="宋体"/>
          <w:b/>
          <w:bCs/>
          <w:color w:val="000000" w:themeColor="text1"/>
          <w:sz w:val="24"/>
          <w:szCs w:val="24"/>
          <w14:textFill>
            <w14:solidFill>
              <w14:schemeClr w14:val="tx1"/>
            </w14:solidFill>
          </w14:textFill>
        </w:rPr>
        <w:t xml:space="preserve">表（1）：员工工资福利及法定计提费用明细表</w:t>
      </w:r>
      <w:r/>
    </w:p>
    <w:tbl>
      <w:tblPr>
        <w:tblStyle w:val="735"/>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序号</w:t>
            </w:r>
            <w:r/>
          </w:p>
        </w:tc>
        <w:tc>
          <w:tcPr>
            <w:tcW w:w="1985"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项目名称</w:t>
            </w:r>
            <w:r/>
          </w:p>
        </w:tc>
        <w:tc>
          <w:tcPr>
            <w:tcW w:w="992"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人数配置</w:t>
            </w:r>
            <w:r/>
          </w:p>
        </w:tc>
        <w:tc>
          <w:tcPr>
            <w:tcW w:w="1412"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人员费用标准</w:t>
            </w:r>
            <w:r/>
          </w:p>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（元/月）</w:t>
            </w:r>
            <w:r/>
          </w:p>
        </w:tc>
        <w:tc>
          <w:tcPr>
            <w:tcW w:w="1134"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合计费用</w:t>
            </w:r>
            <w:r/>
          </w:p>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（元/月）</w:t>
            </w:r>
            <w:r/>
          </w:p>
        </w:tc>
        <w:tc>
          <w:tcPr>
            <w:tcW w:w="1134"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合计费用</w:t>
            </w:r>
            <w:r/>
          </w:p>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（元/年）</w:t>
            </w:r>
            <w:r/>
          </w:p>
        </w:tc>
        <w:tc>
          <w:tcPr>
            <w:tcW w:w="1842"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备注</w:t>
            </w:r>
            <w:r/>
          </w:p>
        </w:tc>
      </w:tr>
      <w:tr>
        <w:trPr>
          <w:jc w:val="center"/>
        </w:trPr>
        <w:tc>
          <w:tcPr>
            <w:tcW w:w="681"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1</w:t>
            </w:r>
            <w:r/>
          </w:p>
        </w:tc>
        <w:tc>
          <w:tcPr>
            <w:tcW w:w="1985" w:type="dxa"/>
            <w:vAlign w:val="center"/>
            <w:textDirection w:val="lrTb"/>
            <w:noWrap/>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员工工资及福利</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按人员配置总数计算</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项目经理</w:t>
            </w:r>
            <w:r/>
          </w:p>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（项目负责人）</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(2)</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XX人员</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自行添行明确</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(3)</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法定节假日加班工资</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textDirection w:val="lrTb"/>
            <w:noWrap/>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(4)</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员工人身意外保险费</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textDirection w:val="lrTb"/>
            <w:noWrap/>
          </w:tcPr>
          <w:p>
            <w:pPr>
              <w:rPr>
                <w:color w:val="000000" w:themeColor="text1"/>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按人员配置总数计算</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t xml:space="preserve">……</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jc w:val="center"/>
        </w:trPr>
        <w:tc>
          <w:tcPr>
            <w:tcW w:w="681"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2</w:t>
            </w:r>
            <w:r/>
          </w:p>
        </w:tc>
        <w:tc>
          <w:tcPr>
            <w:tcW w:w="1985"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法定计提费用</w:t>
            </w:r>
            <w:r/>
          </w:p>
        </w:tc>
        <w:tc>
          <w:tcPr>
            <w:tcW w:w="992"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ascii="宋体" w:hAnsi="宋体"/>
                <w:b/>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养老保险</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textDirection w:val="lrTb"/>
            <w:noWrap/>
          </w:tcPr>
          <w:p>
            <w:pPr>
              <w:rPr>
                <w:rFonts w:hint="default" w:eastAsia="宋体"/>
                <w:color w:val="000000" w:themeColor="text1"/>
                <w:sz w:val="18"/>
                <w:szCs w:val="18"/>
                <w:lang w:val="en-US" w:eastAsia="zh-CN"/>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 xml:space="preserve">按照实际人员配置情况计算</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(2)</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医疗统筹</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textDirection w:val="lrTb"/>
            <w:noWrap/>
          </w:tcPr>
          <w:p>
            <w:pPr>
              <w:rPr>
                <w:color w:val="000000" w:themeColor="text1"/>
                <w:sz w:val="18"/>
                <w:szCs w:val="18"/>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 xml:space="preserve">按照实际人员配置情况计算</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(3)</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失业</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textDirection w:val="lrTb"/>
            <w:noWrap/>
          </w:tcPr>
          <w:p>
            <w:pPr>
              <w:rPr>
                <w:color w:val="000000" w:themeColor="text1"/>
                <w:sz w:val="18"/>
                <w:szCs w:val="18"/>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 xml:space="preserve">按照实际人员配置情况计算</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(4)</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工伤</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textDirection w:val="lrTb"/>
            <w:noWrap/>
          </w:tcPr>
          <w:p>
            <w:pPr>
              <w:rPr>
                <w:color w:val="000000" w:themeColor="text1"/>
                <w:sz w:val="18"/>
                <w:szCs w:val="18"/>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 xml:space="preserve">按照实际人员配置情况计算</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(5)</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生育</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textDirection w:val="lrTb"/>
            <w:noWrap/>
          </w:tcPr>
          <w:p>
            <w:pPr>
              <w:rPr>
                <w:color w:val="000000" w:themeColor="text1"/>
                <w:sz w:val="18"/>
                <w:szCs w:val="18"/>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 xml:space="preserve">按照实际人员配置情况计算</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(6)</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jc w:val="center"/>
        </w:trPr>
        <w:tc>
          <w:tcPr>
            <w:gridSpan w:val="2"/>
            <w:tcW w:w="2666"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合计：</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注：1.以上人员费用须包括工资、社保等内容，须符合国家、省、市相关政策规定；本项目如有允许配置</w:t>
      </w:r>
      <w:r>
        <w:rPr>
          <w:rFonts w:ascii="宋体" w:hAnsi="宋体"/>
          <w:bCs/>
          <w:color w:val="000000" w:themeColor="text1"/>
          <w14:textFill>
            <w14:solidFill>
              <w14:schemeClr w14:val="tx1"/>
            </w14:solidFill>
          </w14:textFill>
        </w:rPr>
        <w:t xml:space="preserve">按国家规定可不缴纳社保的人员</w:t>
      </w:r>
      <w:r>
        <w:rPr>
          <w:rFonts w:hint="eastAsia" w:ascii="宋体" w:hAnsi="宋体"/>
          <w:bCs/>
          <w:color w:val="000000" w:themeColor="text1"/>
          <w14:textFill>
            <w14:solidFill>
              <w14:schemeClr w14:val="tx1"/>
            </w14:solidFill>
          </w14:textFill>
        </w:rPr>
        <w:t xml:space="preserve">（详见第四章《采购需求》），上表“法定计提费用”中的人员配置总数可扣除上述人员，但须</w:t>
      </w:r>
      <w:r>
        <w:rPr>
          <w:rFonts w:ascii="宋体" w:hAnsi="宋体"/>
          <w:bCs/>
          <w:color w:val="000000" w:themeColor="text1"/>
          <w14:textFill>
            <w14:solidFill>
              <w14:schemeClr w14:val="tx1"/>
            </w14:solidFill>
          </w14:textFill>
        </w:rPr>
        <w:t xml:space="preserve">提供</w:t>
      </w:r>
      <w:r>
        <w:rPr>
          <w:rFonts w:hint="eastAsia" w:ascii="宋体" w:hAnsi="宋体"/>
          <w:bCs/>
          <w:color w:val="000000" w:themeColor="text1"/>
          <w14:textFill>
            <w14:solidFill>
              <w14:schemeClr w14:val="tx1"/>
            </w14:solidFill>
          </w14:textFill>
        </w:rPr>
        <w:t xml:space="preserve">该人员</w:t>
      </w:r>
      <w:r>
        <w:rPr>
          <w:rFonts w:ascii="宋体" w:hAnsi="宋体"/>
          <w:bCs/>
          <w:color w:val="000000" w:themeColor="text1"/>
          <w14:textFill>
            <w14:solidFill>
              <w14:schemeClr w14:val="tx1"/>
            </w14:solidFill>
          </w14:textFill>
        </w:rPr>
        <w:t xml:space="preserve">相关证明材料复印件</w:t>
      </w:r>
      <w:r>
        <w:rPr>
          <w:rFonts w:hint="eastAsia" w:ascii="宋体" w:hAnsi="宋体"/>
          <w:bCs/>
          <w:color w:val="000000" w:themeColor="text1"/>
          <w14:textFill>
            <w14:solidFill>
              <w14:schemeClr w14:val="tx1"/>
            </w14:solidFill>
          </w14:textFill>
        </w:rPr>
        <w:t xml:space="preserve">，否则投标文件无效。</w:t>
      </w:r>
      <w:r/>
    </w:p>
    <w:p>
      <w:pPr>
        <w:ind w:firstLine="405"/>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2.上述报价表由投标单位参照，不限于此，可根据采购需求自行添加条目进行投报。</w:t>
      </w:r>
      <w:r/>
    </w:p>
    <w:p>
      <w:pPr>
        <w:jc w:val="left"/>
        <w:spacing w:line="4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left"/>
        <w:spacing w:line="4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表（2）：投入本项目的工具设备物资明细表</w:t>
      </w:r>
      <w:r/>
    </w:p>
    <w:tbl>
      <w:tblPr>
        <w:tblStyle w:val="735"/>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序号</w:t>
            </w:r>
            <w:r/>
          </w:p>
        </w:tc>
        <w:tc>
          <w:tcPr>
            <w:tcW w:w="992" w:type="dxa"/>
            <w:vAlign w:val="center"/>
            <w:textDirection w:val="lrTb"/>
            <w:noWrap/>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物品名称</w:t>
            </w:r>
            <w:r/>
          </w:p>
        </w:tc>
        <w:tc>
          <w:tcPr>
            <w:tcW w:w="709" w:type="dxa"/>
            <w:vAlign w:val="center"/>
            <w:textDirection w:val="lrTb"/>
            <w:noWrap/>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品牌</w:t>
            </w:r>
            <w:r/>
          </w:p>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型号</w:t>
            </w:r>
            <w:r/>
          </w:p>
        </w:tc>
        <w:tc>
          <w:tcPr>
            <w:tcW w:w="709"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数量</w:t>
            </w:r>
            <w:r/>
          </w:p>
        </w:tc>
        <w:tc>
          <w:tcPr>
            <w:tcW w:w="850"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单位</w:t>
            </w:r>
            <w:r/>
          </w:p>
        </w:tc>
        <w:tc>
          <w:tcPr>
            <w:tcW w:w="1134"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单价（元）</w:t>
            </w:r>
            <w:r/>
          </w:p>
        </w:tc>
        <w:tc>
          <w:tcPr>
            <w:tcW w:w="1276"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合计费用</w:t>
            </w:r>
            <w:r/>
          </w:p>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（元/月）</w:t>
            </w:r>
            <w:r/>
          </w:p>
        </w:tc>
        <w:tc>
          <w:tcPr>
            <w:tcW w:w="1276"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合计费用</w:t>
            </w:r>
            <w:r/>
          </w:p>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（元/年）</w:t>
            </w:r>
            <w:r/>
          </w:p>
        </w:tc>
        <w:tc>
          <w:tcPr>
            <w:tcW w:w="1134" w:type="dxa"/>
            <w:vAlign w:val="center"/>
            <w:textDirection w:val="lrTb"/>
            <w:noWrap/>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产地</w:t>
            </w:r>
            <w:r/>
          </w:p>
        </w:tc>
      </w:tr>
      <w:tr>
        <w:trPr/>
        <w:tc>
          <w:tcPr>
            <w:tcW w:w="817"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w:t>
            </w:r>
            <w:r/>
          </w:p>
        </w:tc>
        <w:tc>
          <w:tcPr>
            <w:tcW w:w="992"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ascii="宋体" w:hAnsi="宋体"/>
                <w:b/>
                <w:color w:val="000000" w:themeColor="text1"/>
                <w:sz w:val="18"/>
                <w:szCs w:val="18"/>
                <w14:textFill>
                  <w14:solidFill>
                    <w14:schemeClr w14:val="tx1"/>
                  </w14:solidFill>
                </w14:textFill>
              </w:rPr>
            </w:r>
            <w:r/>
          </w:p>
        </w:tc>
        <w:tc>
          <w:tcPr>
            <w:tcW w:w="709"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ascii="宋体" w:hAnsi="宋体"/>
                <w:b/>
                <w:color w:val="000000" w:themeColor="text1"/>
                <w:sz w:val="18"/>
                <w:szCs w:val="18"/>
                <w14:textFill>
                  <w14:solidFill>
                    <w14:schemeClr w14:val="tx1"/>
                  </w14:solidFill>
                </w14:textFill>
              </w:rPr>
            </w:r>
            <w:r/>
          </w:p>
        </w:tc>
        <w:tc>
          <w:tcPr>
            <w:tcW w:w="709"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850"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276"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276"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c>
          <w:tcPr>
            <w:tcW w:w="817"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t xml:space="preserve">……</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709"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709"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850"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276"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276"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c>
          <w:tcPr>
            <w:gridSpan w:val="6"/>
            <w:tcW w:w="521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合计：</w:t>
            </w:r>
            <w:r/>
          </w:p>
        </w:tc>
        <w:tc>
          <w:tcPr>
            <w:tcW w:w="1276"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276"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jc w:val="left"/>
        <w:spacing w:line="4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left"/>
        <w:spacing w:line="4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表（3）：投入本项目的耗材明细表</w:t>
      </w:r>
      <w:r/>
    </w:p>
    <w:tbl>
      <w:tblPr>
        <w:tblStyle w:val="735"/>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序号</w:t>
            </w:r>
            <w:r/>
          </w:p>
        </w:tc>
        <w:tc>
          <w:tcPr>
            <w:tcW w:w="851"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名称</w:t>
            </w:r>
            <w:r/>
          </w:p>
        </w:tc>
        <w:tc>
          <w:tcPr>
            <w:tcW w:w="708"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品牌</w:t>
            </w:r>
            <w:r/>
          </w:p>
        </w:tc>
        <w:tc>
          <w:tcPr>
            <w:tcW w:w="993"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单价（元）</w:t>
            </w:r>
            <w:r/>
          </w:p>
        </w:tc>
        <w:tc>
          <w:tcPr>
            <w:tcW w:w="992"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每年用量</w:t>
            </w:r>
            <w:r/>
          </w:p>
        </w:tc>
        <w:tc>
          <w:tcPr>
            <w:tcW w:w="709"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单位</w:t>
            </w:r>
            <w:r/>
          </w:p>
        </w:tc>
        <w:tc>
          <w:tcPr>
            <w:tcW w:w="1275"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金额（元/月）</w:t>
            </w:r>
            <w:r/>
          </w:p>
        </w:tc>
        <w:tc>
          <w:tcPr>
            <w:tcW w:w="1560"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金额（元/年）</w:t>
            </w:r>
            <w:r/>
          </w:p>
        </w:tc>
        <w:tc>
          <w:tcPr>
            <w:tcW w:w="1134"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产地</w:t>
            </w:r>
            <w:r/>
          </w:p>
        </w:tc>
      </w:tr>
      <w:tr>
        <w:trPr/>
        <w:tc>
          <w:tcPr>
            <w:tcW w:w="817"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w:t>
            </w:r>
            <w:r/>
          </w:p>
        </w:tc>
        <w:tc>
          <w:tcPr>
            <w:tcW w:w="85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708"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93"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709"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27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560"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c>
          <w:tcPr>
            <w:tcW w:w="817"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t xml:space="preserve">……</w:t>
            </w:r>
            <w:r/>
          </w:p>
        </w:tc>
        <w:tc>
          <w:tcPr>
            <w:tcW w:w="85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708"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93"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709"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27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560"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c>
          <w:tcPr>
            <w:gridSpan w:val="6"/>
            <w:tcW w:w="5070"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合计：</w:t>
            </w:r>
            <w:r/>
          </w:p>
        </w:tc>
        <w:tc>
          <w:tcPr>
            <w:tcW w:w="127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560"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jc w:val="left"/>
        <w:spacing w:line="4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left"/>
        <w:spacing w:line="4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表（4）：投入本项目的维修维保费用明细表</w:t>
      </w:r>
      <w:r/>
    </w:p>
    <w:tbl>
      <w:tblPr>
        <w:tblStyle w:val="735"/>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序号</w:t>
            </w:r>
            <w:r/>
          </w:p>
        </w:tc>
        <w:tc>
          <w:tcPr>
            <w:tcW w:w="3023"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维保内容</w:t>
            </w:r>
            <w:r/>
          </w:p>
        </w:tc>
        <w:tc>
          <w:tcPr>
            <w:tcW w:w="1214"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单价（元）</w:t>
            </w:r>
            <w:r/>
          </w:p>
        </w:tc>
        <w:tc>
          <w:tcPr>
            <w:tcW w:w="1442"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合计费用</w:t>
            </w:r>
            <w:r/>
          </w:p>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（元/月）</w:t>
            </w:r>
            <w:r/>
          </w:p>
        </w:tc>
        <w:tc>
          <w:tcPr>
            <w:tcW w:w="1413"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合计费用</w:t>
            </w:r>
            <w:r/>
          </w:p>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（元/年）</w:t>
            </w:r>
            <w:r/>
          </w:p>
        </w:tc>
        <w:tc>
          <w:tcPr>
            <w:tcW w:w="988"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备注</w:t>
            </w:r>
            <w:r/>
          </w:p>
        </w:tc>
      </w:tr>
      <w:tr>
        <w:trPr>
          <w:jc w:val="center"/>
        </w:trPr>
        <w:tc>
          <w:tcPr>
            <w:tcW w:w="867"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w:t>
            </w:r>
            <w:r/>
          </w:p>
        </w:tc>
        <w:tc>
          <w:tcPr>
            <w:tcW w:w="3023"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ascii="宋体" w:hAnsi="宋体"/>
                <w:b/>
                <w:color w:val="000000" w:themeColor="text1"/>
                <w:sz w:val="18"/>
                <w:szCs w:val="18"/>
                <w14:textFill>
                  <w14:solidFill>
                    <w14:schemeClr w14:val="tx1"/>
                  </w14:solidFill>
                </w14:textFill>
              </w:rPr>
            </w:r>
            <w:r/>
          </w:p>
        </w:tc>
        <w:tc>
          <w:tcPr>
            <w:tcW w:w="121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4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3"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88"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jc w:val="center"/>
        </w:trPr>
        <w:tc>
          <w:tcPr>
            <w:tcW w:w="867"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w:t>
            </w:r>
            <w:r/>
          </w:p>
        </w:tc>
        <w:tc>
          <w:tcPr>
            <w:tcW w:w="3023" w:type="dxa"/>
            <w:vAlign w:val="center"/>
            <w:textDirection w:val="lrTb"/>
            <w:noWrap/>
          </w:tcPr>
          <w:p>
            <w:pPr>
              <w:jc w:val="center"/>
              <w:rPr>
                <w:rFonts w:ascii="宋体" w:hAnsi="宋体" w:cs="宋体"/>
                <w:bCs/>
                <w:color w:val="000000" w:themeColor="text1"/>
                <w:sz w:val="18"/>
                <w:szCs w:val="18"/>
                <w14:textFill>
                  <w14:solidFill>
                    <w14:schemeClr w14:val="tx1"/>
                  </w14:solidFill>
                </w14:textFill>
              </w:rPr>
            </w:pPr>
            <w:r>
              <w:rPr>
                <w:rFonts w:ascii="宋体" w:hAnsi="宋体" w:cs="宋体"/>
                <w:bCs/>
                <w:color w:val="000000" w:themeColor="text1"/>
                <w:sz w:val="18"/>
                <w:szCs w:val="18"/>
                <w14:textFill>
                  <w14:solidFill>
                    <w14:schemeClr w14:val="tx1"/>
                  </w14:solidFill>
                </w14:textFill>
              </w:rPr>
            </w:r>
            <w:r/>
          </w:p>
        </w:tc>
        <w:tc>
          <w:tcPr>
            <w:tcW w:w="121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4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3"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88"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jc w:val="center"/>
        </w:trPr>
        <w:tc>
          <w:tcPr>
            <w:gridSpan w:val="3"/>
            <w:tcW w:w="510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合计：</w:t>
            </w:r>
            <w:r/>
          </w:p>
        </w:tc>
        <w:tc>
          <w:tcPr>
            <w:tcW w:w="144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3"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88"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rPr>
          <w:rFonts w:ascii="宋体" w:hAnsi="宋体" w:cs="宋体"/>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注：表（2）（3）（4）由投标人根据采购需求自行测算含在投标报价中。表格不够</w:t>
      </w:r>
      <w:r>
        <w:rPr>
          <w:rFonts w:hint="eastAsia" w:ascii="宋体" w:hAnsi="宋体" w:cs="宋体"/>
          <w:color w:val="000000" w:themeColor="text1"/>
          <w:lang w:val="zh-CN"/>
          <w14:textFill>
            <w14:solidFill>
              <w14:schemeClr w14:val="tx1"/>
            </w14:solidFill>
          </w14:textFill>
        </w:rPr>
        <w:t xml:space="preserve">可自行延长。</w:t>
      </w:r>
      <w:r/>
    </w:p>
    <w:p>
      <w:pPr>
        <w:spacing w:line="360" w:lineRule="auto"/>
        <w:rPr>
          <w:b/>
          <w:color w:val="000000" w:themeColor="text1"/>
          <w:sz w:val="28"/>
          <w:szCs w:val="28"/>
          <w14:textFill>
            <w14:solidFill>
              <w14:schemeClr w14:val="tx1"/>
            </w14:solidFill>
          </w14:textFill>
        </w:rPr>
      </w:pPr>
      <w:r>
        <w:rPr>
          <w:rFonts w:hint="eastAsia" w:ascii="宋体" w:hAnsi="宋体"/>
          <w:bCs/>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十</w:t>
      </w:r>
      <w:r>
        <w:rPr>
          <w:b/>
          <w:color w:val="000000" w:themeColor="text1"/>
          <w:sz w:val="28"/>
          <w:szCs w:val="28"/>
          <w14:textFill>
            <w14:solidFill>
              <w14:schemeClr w14:val="tx1"/>
            </w14:solidFill>
          </w14:textFill>
        </w:rPr>
        <w:t xml:space="preserve">、</w:t>
      </w:r>
      <w:r>
        <w:rPr>
          <w:rFonts w:hint="eastAsia"/>
          <w:b/>
          <w:color w:val="000000" w:themeColor="text1"/>
          <w:sz w:val="28"/>
          <w:szCs w:val="28"/>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p>
    <w:tbl>
      <w:tblPr>
        <w:tblStyle w:val="735"/>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bookmarkEnd w:id="187"/>
      <w:r/>
      <w:bookmarkEnd w:id="188"/>
      <w:r/>
      <w:bookmarkEnd w:id="203"/>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）如无任何服务偏离，请于本表 “偏离说明”中注明“无偏离”；</w:t>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（3）如有服务偏离项，请于本表中列明偏离内容，如需要可自行延长，其余无偏离内容不须赘述。</w:t>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b/>
          <w:color w:val="000000" w:themeColor="text1"/>
          <w:sz w:val="28"/>
          <w:szCs w:val="28"/>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十一、项目人员配置考察表（格式）</w:t>
      </w:r>
      <w:r/>
    </w:p>
    <w:p>
      <w:pPr>
        <w:ind w:firstLine="42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90"/>
        <w:jc w:val="center"/>
        <w:rPr>
          <w:rFonts w:ascii="黑体" w:hAnsi="宋体" w:eastAsia="黑体"/>
          <w:bCs/>
          <w:color w:val="000000" w:themeColor="text1"/>
          <w:sz w:val="24"/>
          <w:szCs w:val="24"/>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项目人员配置考察表</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055"/>
        <w:gridCol w:w="718"/>
        <w:gridCol w:w="685"/>
        <w:gridCol w:w="804"/>
        <w:gridCol w:w="1225"/>
        <w:gridCol w:w="1233"/>
        <w:gridCol w:w="1755"/>
        <w:gridCol w:w="955"/>
      </w:tblGrid>
      <w:tr>
        <w:trPr>
          <w:jc w:val="center"/>
          <w:trHeight w:val="865"/>
        </w:trPr>
        <w:tc>
          <w:tcPr>
            <w:tcW w:w="766"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098"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44"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性别</w:t>
            </w:r>
            <w:r/>
          </w:p>
        </w:tc>
        <w:tc>
          <w:tcPr>
            <w:tcW w:w="709"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834"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学历</w:t>
            </w:r>
            <w:r/>
          </w:p>
        </w:tc>
        <w:tc>
          <w:tcPr>
            <w:tcW w:w="1276"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岗位职责</w:t>
            </w:r>
            <w:r/>
          </w:p>
        </w:tc>
        <w:tc>
          <w:tcPr>
            <w:tcW w:w="1285"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c>
          <w:tcPr>
            <w:tcW w:w="1833"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人员经验描述</w:t>
            </w:r>
            <w:r/>
          </w:p>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（如有要求）</w:t>
            </w:r>
            <w:r/>
          </w:p>
        </w:tc>
        <w:tc>
          <w:tcPr>
            <w:tcW w:w="992"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备注</w:t>
            </w:r>
            <w:r/>
          </w:p>
        </w:tc>
      </w:tr>
      <w:tr>
        <w:trPr>
          <w:jc w:val="center"/>
          <w:trHeight w:val="680"/>
        </w:trPr>
        <w:tc>
          <w:tcPr>
            <w:tcW w:w="76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098"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4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09"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83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76"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85"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833"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992"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6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098"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4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09"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83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76"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85"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833"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992"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6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098"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4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09"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83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76"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85"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833"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992"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6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098"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4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09"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83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76"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85"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833"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992"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6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098"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4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09"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83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76"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85"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833"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992"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spacing w:line="360" w:lineRule="auto"/>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本表对应评分标准中的项目人员配置情况，表格不够可自行延长。</w:t>
      </w:r>
      <w:r/>
    </w:p>
    <w:p>
      <w:pPr>
        <w:spacing w:line="360" w:lineRule="auto"/>
        <w:rPr>
          <w:rFonts w:ascii="宋体" w:hAnsi="宋体"/>
          <w:bCs/>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.上表内容须按评分标准中的相关要求提供相应证明材料。</w:t>
      </w:r>
      <w:r/>
    </w:p>
    <w:p>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3.证明材料均请附在本表之后。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8"/>
        <w:rFonts w:ascii="宋体" w:hAnsi="宋体"/>
      </w:rPr>
      <w:framePr w:wrap="around" w:vAnchor="text" w:hAnchor="margin" w:xAlign="center" w:y="1"/>
    </w:pPr>
    <w:r>
      <w:rPr>
        <w:rFonts w:ascii="宋体" w:hAnsi="宋体"/>
      </w:rPr>
      <w:fldChar w:fldCharType="begin"/>
    </w:r>
    <w:r>
      <w:rPr>
        <w:rStyle w:val="978"/>
        <w:rFonts w:ascii="宋体" w:hAnsi="宋体"/>
      </w:rPr>
      <w:instrText xml:space="preserve">PAGE  </w:instrText>
    </w:r>
    <w:r>
      <w:rPr>
        <w:rFonts w:ascii="宋体" w:hAnsi="宋体"/>
      </w:rPr>
      <w:fldChar w:fldCharType="separate"/>
    </w:r>
    <w:r>
      <w:rPr>
        <w:rStyle w:val="978"/>
        <w:rFonts w:ascii="宋体" w:hAnsi="宋体"/>
      </w:rPr>
      <w:t xml:space="preserve">51</w:t>
    </w:r>
    <w:r>
      <w:rPr>
        <w:rFonts w:ascii="宋体" w:hAnsi="宋体"/>
      </w:rPr>
      <w:fldChar w:fldCharType="end"/>
    </w:r>
    <w:r/>
  </w:p>
  <w:p>
    <w:pPr>
      <w:pStyle w:val="95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upperLetter"/>
      <w:pStyle w:val="9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1"/>
      <w:isLgl w:val="false"/>
      <w:suff w:val="nothing"/>
      <w:lvlText w:val=""/>
      <w:lvlJc w:val="left"/>
      <w:pPr>
        <w:ind w:left="0" w:firstLine="0"/>
      </w:pPr>
      <w:rPr>
        <w:rFonts w:hint="eastAsia"/>
      </w:rPr>
    </w:lvl>
    <w:lvl w:ilvl="6">
      <w:start w:val="1"/>
      <w:numFmt w:val="decimal"/>
      <w:pStyle w:val="912"/>
      <w:isLgl w:val="false"/>
      <w:suff w:val="nothing"/>
      <w:lvlText w:val=""/>
      <w:lvlJc w:val="left"/>
      <w:pPr>
        <w:ind w:left="0" w:firstLine="0"/>
      </w:pPr>
      <w:rPr>
        <w:rFonts w:hint="eastAsia"/>
      </w:rPr>
    </w:lvl>
    <w:lvl w:ilvl="7">
      <w:start w:val="1"/>
      <w:numFmt w:val="decimal"/>
      <w:pStyle w:val="913"/>
      <w:isLgl w:val="false"/>
      <w:suff w:val="nothing"/>
      <w:lvlText w:val=""/>
      <w:lvlJc w:val="left"/>
      <w:pPr>
        <w:ind w:left="0" w:firstLine="0"/>
      </w:pPr>
      <w:rPr>
        <w:rFonts w:hint="eastAsia"/>
      </w:rPr>
    </w:lvl>
    <w:lvl w:ilvl="8">
      <w:start w:val="1"/>
      <w:numFmt w:val="decimal"/>
      <w:pStyle w:val="914"/>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6"/>
  </w:num>
  <w:num w:numId="2">
    <w:abstractNumId w:val="5"/>
  </w:num>
  <w:num w:numId="3">
    <w:abstractNumId w:val="10"/>
  </w:num>
  <w:num w:numId="4">
    <w:abstractNumId w:val="3"/>
  </w:num>
  <w:num w:numId="5">
    <w:abstractNumId w:val="1"/>
  </w:num>
  <w:num w:numId="6">
    <w:abstractNumId w:val="7"/>
  </w:num>
  <w:num w:numId="7">
    <w:abstractNumId w:val="12"/>
  </w:num>
  <w:num w:numId="8">
    <w:abstractNumId w:val="2"/>
  </w:num>
  <w:num w:numId="9">
    <w:abstractNumId w:val="0"/>
  </w:num>
  <w:num w:numId="10">
    <w:abstractNumId w:val="8"/>
  </w:num>
  <w:num w:numId="11">
    <w:abstractNumId w:val="11"/>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734"/>
    <w:link w:val="725"/>
    <w:uiPriority w:val="9"/>
    <w:rPr>
      <w:rFonts w:ascii="Arial" w:hAnsi="Arial" w:eastAsia="Arial" w:cs="Arial"/>
      <w:sz w:val="40"/>
      <w:szCs w:val="40"/>
    </w:rPr>
  </w:style>
  <w:style w:type="character" w:styleId="707">
    <w:name w:val="Heading 2 Char"/>
    <w:basedOn w:val="734"/>
    <w:link w:val="726"/>
    <w:uiPriority w:val="9"/>
    <w:rPr>
      <w:rFonts w:ascii="Arial" w:hAnsi="Arial" w:eastAsia="Arial" w:cs="Arial"/>
      <w:sz w:val="34"/>
    </w:rPr>
  </w:style>
  <w:style w:type="character" w:styleId="708">
    <w:name w:val="Heading 3 Char"/>
    <w:basedOn w:val="734"/>
    <w:link w:val="727"/>
    <w:uiPriority w:val="9"/>
    <w:rPr>
      <w:rFonts w:ascii="Arial" w:hAnsi="Arial" w:eastAsia="Arial" w:cs="Arial"/>
      <w:sz w:val="30"/>
      <w:szCs w:val="30"/>
    </w:rPr>
  </w:style>
  <w:style w:type="character" w:styleId="709">
    <w:name w:val="Heading 4 Char"/>
    <w:basedOn w:val="734"/>
    <w:link w:val="728"/>
    <w:uiPriority w:val="9"/>
    <w:rPr>
      <w:rFonts w:ascii="Arial" w:hAnsi="Arial" w:eastAsia="Arial" w:cs="Arial"/>
      <w:b/>
      <w:bCs/>
      <w:sz w:val="26"/>
      <w:szCs w:val="26"/>
    </w:rPr>
  </w:style>
  <w:style w:type="character" w:styleId="710">
    <w:name w:val="Heading 5 Char"/>
    <w:basedOn w:val="734"/>
    <w:link w:val="729"/>
    <w:uiPriority w:val="9"/>
    <w:rPr>
      <w:rFonts w:ascii="Arial" w:hAnsi="Arial" w:eastAsia="Arial" w:cs="Arial"/>
      <w:b/>
      <w:bCs/>
      <w:sz w:val="24"/>
      <w:szCs w:val="24"/>
    </w:rPr>
  </w:style>
  <w:style w:type="character" w:styleId="711">
    <w:name w:val="Heading 6 Char"/>
    <w:basedOn w:val="734"/>
    <w:link w:val="730"/>
    <w:uiPriority w:val="9"/>
    <w:rPr>
      <w:rFonts w:ascii="Arial" w:hAnsi="Arial" w:eastAsia="Arial" w:cs="Arial"/>
      <w:b/>
      <w:bCs/>
      <w:sz w:val="22"/>
      <w:szCs w:val="22"/>
    </w:rPr>
  </w:style>
  <w:style w:type="character" w:styleId="712">
    <w:name w:val="Heading 7 Char"/>
    <w:basedOn w:val="734"/>
    <w:link w:val="731"/>
    <w:uiPriority w:val="9"/>
    <w:rPr>
      <w:rFonts w:ascii="Arial" w:hAnsi="Arial" w:eastAsia="Arial" w:cs="Arial"/>
      <w:b/>
      <w:bCs/>
      <w:i/>
      <w:iCs/>
      <w:sz w:val="22"/>
      <w:szCs w:val="22"/>
    </w:rPr>
  </w:style>
  <w:style w:type="character" w:styleId="713">
    <w:name w:val="Heading 8 Char"/>
    <w:basedOn w:val="734"/>
    <w:link w:val="732"/>
    <w:uiPriority w:val="9"/>
    <w:rPr>
      <w:rFonts w:ascii="Arial" w:hAnsi="Arial" w:eastAsia="Arial" w:cs="Arial"/>
      <w:i/>
      <w:iCs/>
      <w:sz w:val="22"/>
      <w:szCs w:val="22"/>
    </w:rPr>
  </w:style>
  <w:style w:type="character" w:styleId="714">
    <w:name w:val="Heading 9 Char"/>
    <w:basedOn w:val="734"/>
    <w:link w:val="733"/>
    <w:uiPriority w:val="9"/>
    <w:rPr>
      <w:rFonts w:ascii="Arial" w:hAnsi="Arial" w:eastAsia="Arial" w:cs="Arial"/>
      <w:i/>
      <w:iCs/>
      <w:sz w:val="21"/>
      <w:szCs w:val="21"/>
    </w:rPr>
  </w:style>
  <w:style w:type="character" w:styleId="715">
    <w:name w:val="Title Char"/>
    <w:basedOn w:val="734"/>
    <w:link w:val="752"/>
    <w:uiPriority w:val="10"/>
    <w:rPr>
      <w:sz w:val="48"/>
      <w:szCs w:val="48"/>
    </w:rPr>
  </w:style>
  <w:style w:type="character" w:styleId="716">
    <w:name w:val="Subtitle Char"/>
    <w:basedOn w:val="734"/>
    <w:link w:val="746"/>
    <w:uiPriority w:val="11"/>
    <w:rPr>
      <w:sz w:val="24"/>
      <w:szCs w:val="24"/>
    </w:rPr>
  </w:style>
  <w:style w:type="character" w:styleId="717">
    <w:name w:val="Quote Char"/>
    <w:link w:val="770"/>
    <w:uiPriority w:val="29"/>
    <w:rPr>
      <w:i/>
    </w:rPr>
  </w:style>
  <w:style w:type="character" w:styleId="718">
    <w:name w:val="Intense Quote Char"/>
    <w:link w:val="772"/>
    <w:uiPriority w:val="30"/>
    <w:rPr>
      <w:i/>
    </w:rPr>
  </w:style>
  <w:style w:type="character" w:styleId="719">
    <w:name w:val="Header Char"/>
    <w:basedOn w:val="734"/>
    <w:link w:val="743"/>
    <w:uiPriority w:val="99"/>
  </w:style>
  <w:style w:type="character" w:styleId="720">
    <w:name w:val="Caption Char"/>
    <w:basedOn w:val="737"/>
    <w:link w:val="742"/>
    <w:uiPriority w:val="99"/>
  </w:style>
  <w:style w:type="character" w:styleId="721">
    <w:name w:val="Footnote Text Char"/>
    <w:link w:val="747"/>
    <w:uiPriority w:val="99"/>
    <w:rPr>
      <w:sz w:val="18"/>
    </w:rPr>
  </w:style>
  <w:style w:type="character" w:styleId="722">
    <w:name w:val="Endnote Text Char"/>
    <w:link w:val="741"/>
    <w:uiPriority w:val="99"/>
    <w:rPr>
      <w:sz w:val="20"/>
    </w:rPr>
  </w:style>
  <w:style w:type="paragraph" w:styleId="723">
    <w:name w:val="TOC Heading"/>
    <w:uiPriority w:val="39"/>
    <w:unhideWhenUsed/>
  </w:style>
  <w:style w:type="paragraph" w:styleId="72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25">
    <w:name w:val="Heading 1"/>
    <w:basedOn w:val="724"/>
    <w:next w:val="724"/>
    <w:link w:val="757"/>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58"/>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59"/>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60"/>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61"/>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62"/>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64"/>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65"/>
    <w:uiPriority w:val="9"/>
    <w:unhideWhenUsed/>
    <w:qFormat/>
    <w:pPr>
      <w:keepLines/>
      <w:keepNext/>
      <w:spacing w:before="320" w:after="200"/>
      <w:outlineLvl w:val="8"/>
    </w:pPr>
    <w:rPr>
      <w:rFonts w:ascii="Arial" w:hAnsi="Arial" w:eastAsia="Arial" w:cs="Arial"/>
      <w:i/>
      <w:iCs/>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toc 5"/>
    <w:basedOn w:val="724"/>
    <w:next w:val="724"/>
    <w:uiPriority w:val="39"/>
    <w:unhideWhenUsed/>
    <w:qFormat/>
    <w:pPr>
      <w:ind w:left="1134"/>
      <w:spacing w:after="57"/>
    </w:pPr>
  </w:style>
  <w:style w:type="paragraph" w:styleId="739">
    <w:name w:val="toc 3"/>
    <w:basedOn w:val="724"/>
    <w:next w:val="724"/>
    <w:uiPriority w:val="39"/>
    <w:unhideWhenUsed/>
    <w:qFormat/>
    <w:pPr>
      <w:ind w:left="567"/>
      <w:spacing w:after="57"/>
    </w:pPr>
  </w:style>
  <w:style w:type="paragraph" w:styleId="740">
    <w:name w:val="toc 8"/>
    <w:basedOn w:val="724"/>
    <w:next w:val="724"/>
    <w:uiPriority w:val="39"/>
    <w:unhideWhenUsed/>
    <w:qFormat/>
    <w:pPr>
      <w:ind w:left="1984"/>
      <w:spacing w:after="57"/>
    </w:pPr>
  </w:style>
  <w:style w:type="paragraph" w:styleId="741">
    <w:name w:val="endnote text"/>
    <w:basedOn w:val="724"/>
    <w:link w:val="903"/>
    <w:uiPriority w:val="99"/>
    <w:semiHidden/>
    <w:unhideWhenUsed/>
    <w:qFormat/>
    <w:rPr>
      <w:sz w:val="20"/>
    </w:rPr>
  </w:style>
  <w:style w:type="paragraph" w:styleId="742">
    <w:name w:val="Footer"/>
    <w:basedOn w:val="724"/>
    <w:link w:val="776"/>
    <w:uiPriority w:val="99"/>
    <w:unhideWhenUsed/>
    <w:qFormat/>
    <w:pPr>
      <w:tabs>
        <w:tab w:val="center" w:pos="7143" w:leader="none"/>
        <w:tab w:val="right" w:pos="14287" w:leader="none"/>
      </w:tabs>
    </w:pPr>
  </w:style>
  <w:style w:type="paragraph" w:styleId="743">
    <w:name w:val="Header"/>
    <w:basedOn w:val="724"/>
    <w:link w:val="774"/>
    <w:uiPriority w:val="99"/>
    <w:unhideWhenUsed/>
    <w:qFormat/>
    <w:pPr>
      <w:tabs>
        <w:tab w:val="center" w:pos="7143" w:leader="none"/>
        <w:tab w:val="right" w:pos="14287" w:leader="none"/>
      </w:tabs>
    </w:pPr>
  </w:style>
  <w:style w:type="paragraph" w:styleId="744">
    <w:name w:val="toc 1"/>
    <w:basedOn w:val="724"/>
    <w:next w:val="724"/>
    <w:uiPriority w:val="39"/>
    <w:unhideWhenUsed/>
    <w:qFormat/>
    <w:pPr>
      <w:spacing w:after="57"/>
    </w:pPr>
  </w:style>
  <w:style w:type="paragraph" w:styleId="745">
    <w:name w:val="toc 4"/>
    <w:basedOn w:val="724"/>
    <w:next w:val="724"/>
    <w:uiPriority w:val="39"/>
    <w:unhideWhenUsed/>
    <w:qFormat/>
    <w:pPr>
      <w:ind w:left="850"/>
      <w:spacing w:after="57"/>
    </w:pPr>
  </w:style>
  <w:style w:type="paragraph" w:styleId="746">
    <w:name w:val="Subtitle"/>
    <w:basedOn w:val="724"/>
    <w:next w:val="724"/>
    <w:link w:val="769"/>
    <w:uiPriority w:val="11"/>
    <w:qFormat/>
    <w:pPr>
      <w:spacing w:before="200" w:after="200"/>
    </w:pPr>
    <w:rPr>
      <w:sz w:val="24"/>
      <w:szCs w:val="24"/>
    </w:rPr>
  </w:style>
  <w:style w:type="paragraph" w:styleId="747">
    <w:name w:val="footnote text"/>
    <w:basedOn w:val="724"/>
    <w:link w:val="902"/>
    <w:uiPriority w:val="99"/>
    <w:semiHidden/>
    <w:unhideWhenUsed/>
    <w:qFormat/>
    <w:pPr>
      <w:spacing w:after="40"/>
    </w:pPr>
    <w:rPr>
      <w:sz w:val="18"/>
    </w:rPr>
  </w:style>
  <w:style w:type="paragraph" w:styleId="748">
    <w:name w:val="toc 6"/>
    <w:basedOn w:val="724"/>
    <w:next w:val="724"/>
    <w:uiPriority w:val="39"/>
    <w:unhideWhenUsed/>
    <w:qFormat/>
    <w:pPr>
      <w:ind w:left="1417"/>
      <w:spacing w:after="57"/>
    </w:pPr>
  </w:style>
  <w:style w:type="paragraph" w:styleId="749">
    <w:name w:val="table of figures"/>
    <w:basedOn w:val="724"/>
    <w:next w:val="724"/>
    <w:uiPriority w:val="99"/>
    <w:unhideWhenUsed/>
    <w:qFormat/>
  </w:style>
  <w:style w:type="paragraph" w:styleId="750">
    <w:name w:val="toc 2"/>
    <w:basedOn w:val="724"/>
    <w:next w:val="724"/>
    <w:uiPriority w:val="39"/>
    <w:unhideWhenUsed/>
    <w:qFormat/>
    <w:pPr>
      <w:ind w:left="283"/>
      <w:spacing w:after="57"/>
    </w:pPr>
  </w:style>
  <w:style w:type="paragraph" w:styleId="751">
    <w:name w:val="toc 9"/>
    <w:basedOn w:val="724"/>
    <w:next w:val="724"/>
    <w:uiPriority w:val="39"/>
    <w:unhideWhenUsed/>
    <w:qFormat/>
    <w:pPr>
      <w:ind w:left="2268"/>
      <w:spacing w:after="57"/>
    </w:pPr>
  </w:style>
  <w:style w:type="paragraph" w:styleId="752">
    <w:name w:val="Title"/>
    <w:basedOn w:val="724"/>
    <w:next w:val="724"/>
    <w:link w:val="768"/>
    <w:uiPriority w:val="10"/>
    <w:qFormat/>
    <w:pPr>
      <w:contextualSpacing/>
      <w:spacing w:before="300" w:after="200"/>
    </w:pPr>
    <w:rPr>
      <w:sz w:val="48"/>
      <w:szCs w:val="48"/>
    </w:rPr>
  </w:style>
  <w:style w:type="table" w:styleId="7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character" w:styleId="757" w:customStyle="1">
    <w:name w:val="标题 1 Char1"/>
    <w:link w:val="725"/>
    <w:uiPriority w:val="9"/>
    <w:rPr>
      <w:rFonts w:ascii="Arial" w:hAnsi="Arial" w:eastAsia="Arial" w:cs="Arial"/>
      <w:sz w:val="40"/>
      <w:szCs w:val="40"/>
    </w:rPr>
  </w:style>
  <w:style w:type="character" w:styleId="758" w:customStyle="1">
    <w:name w:val="标题 2 Char1"/>
    <w:link w:val="726"/>
    <w:uiPriority w:val="9"/>
    <w:qFormat/>
    <w:rPr>
      <w:rFonts w:ascii="Arial" w:hAnsi="Arial" w:eastAsia="Arial" w:cs="Arial"/>
      <w:sz w:val="34"/>
    </w:rPr>
  </w:style>
  <w:style w:type="character" w:styleId="759" w:customStyle="1">
    <w:name w:val="标题 3 Char1"/>
    <w:link w:val="727"/>
    <w:uiPriority w:val="9"/>
    <w:qFormat/>
    <w:rPr>
      <w:rFonts w:ascii="Arial" w:hAnsi="Arial" w:eastAsia="Arial" w:cs="Arial"/>
      <w:sz w:val="30"/>
      <w:szCs w:val="30"/>
    </w:rPr>
  </w:style>
  <w:style w:type="character" w:styleId="760" w:customStyle="1">
    <w:name w:val="标题 4 Char1"/>
    <w:link w:val="728"/>
    <w:uiPriority w:val="9"/>
    <w:rPr>
      <w:rFonts w:ascii="Arial" w:hAnsi="Arial" w:eastAsia="Arial" w:cs="Arial"/>
      <w:b/>
      <w:bCs/>
      <w:sz w:val="26"/>
      <w:szCs w:val="26"/>
    </w:rPr>
  </w:style>
  <w:style w:type="character" w:styleId="761" w:customStyle="1">
    <w:name w:val="标题 5 Char1"/>
    <w:link w:val="729"/>
    <w:uiPriority w:val="9"/>
    <w:rPr>
      <w:rFonts w:ascii="Arial" w:hAnsi="Arial" w:eastAsia="Arial" w:cs="Arial"/>
      <w:b/>
      <w:bCs/>
      <w:sz w:val="24"/>
      <w:szCs w:val="24"/>
    </w:rPr>
  </w:style>
  <w:style w:type="character" w:styleId="762" w:customStyle="1">
    <w:name w:val="标题 6 Char1"/>
    <w:link w:val="730"/>
    <w:uiPriority w:val="9"/>
    <w:rPr>
      <w:rFonts w:ascii="Arial" w:hAnsi="Arial" w:eastAsia="Arial" w:cs="Arial"/>
      <w:b/>
      <w:bCs/>
      <w:sz w:val="22"/>
      <w:szCs w:val="22"/>
    </w:rPr>
  </w:style>
  <w:style w:type="character" w:styleId="763" w:customStyle="1">
    <w:name w:val="标题 7 Char1"/>
    <w:link w:val="731"/>
    <w:uiPriority w:val="9"/>
    <w:qFormat/>
    <w:rPr>
      <w:rFonts w:ascii="Arial" w:hAnsi="Arial" w:eastAsia="Arial" w:cs="Arial"/>
      <w:b/>
      <w:bCs/>
      <w:i/>
      <w:iCs/>
      <w:sz w:val="22"/>
      <w:szCs w:val="22"/>
    </w:rPr>
  </w:style>
  <w:style w:type="character" w:styleId="764" w:customStyle="1">
    <w:name w:val="标题 8 Char1"/>
    <w:link w:val="732"/>
    <w:uiPriority w:val="9"/>
    <w:rPr>
      <w:rFonts w:ascii="Arial" w:hAnsi="Arial" w:eastAsia="Arial" w:cs="Arial"/>
      <w:i/>
      <w:iCs/>
      <w:sz w:val="22"/>
      <w:szCs w:val="22"/>
    </w:rPr>
  </w:style>
  <w:style w:type="character" w:styleId="765" w:customStyle="1">
    <w:name w:val="标题 9 Char1"/>
    <w:link w:val="733"/>
    <w:uiPriority w:val="9"/>
    <w:qFormat/>
    <w:rPr>
      <w:rFonts w:ascii="Arial" w:hAnsi="Arial" w:eastAsia="Arial" w:cs="Arial"/>
      <w:i/>
      <w:iCs/>
      <w:sz w:val="21"/>
      <w:szCs w:val="21"/>
    </w:rPr>
  </w:style>
  <w:style w:type="paragraph" w:styleId="766">
    <w:name w:val="List Paragraph"/>
    <w:basedOn w:val="724"/>
    <w:uiPriority w:val="34"/>
    <w:qFormat/>
    <w:pPr>
      <w:contextualSpacing/>
      <w:ind w:left="720"/>
    </w:pPr>
  </w:style>
  <w:style w:type="paragraph" w:styleId="767">
    <w:name w:val="No Spacing"/>
    <w:uiPriority w:val="1"/>
    <w:qFormat/>
    <w:rPr>
      <w:rFonts w:ascii="Times New Roman" w:hAnsi="Times New Roman" w:eastAsia="宋体" w:cs="Times New Roman"/>
      <w:lang w:val="en-US" w:eastAsia="zh-CN" w:bidi="ar-SA"/>
    </w:rPr>
  </w:style>
  <w:style w:type="character" w:styleId="768" w:customStyle="1">
    <w:name w:val="标题 Char"/>
    <w:link w:val="752"/>
    <w:uiPriority w:val="10"/>
    <w:rPr>
      <w:sz w:val="48"/>
      <w:szCs w:val="48"/>
    </w:rPr>
  </w:style>
  <w:style w:type="character" w:styleId="769" w:customStyle="1">
    <w:name w:val="副标题 Char"/>
    <w:link w:val="746"/>
    <w:uiPriority w:val="11"/>
    <w:qFormat/>
    <w:rPr>
      <w:sz w:val="24"/>
      <w:szCs w:val="24"/>
    </w:rPr>
  </w:style>
  <w:style w:type="paragraph" w:styleId="770">
    <w:name w:val="Quote"/>
    <w:basedOn w:val="724"/>
    <w:next w:val="724"/>
    <w:link w:val="771"/>
    <w:uiPriority w:val="29"/>
    <w:qFormat/>
    <w:pPr>
      <w:ind w:left="720" w:right="720"/>
    </w:pPr>
    <w:rPr>
      <w:i/>
    </w:rPr>
  </w:style>
  <w:style w:type="character" w:styleId="771" w:customStyle="1">
    <w:name w:val="引用 Char"/>
    <w:link w:val="770"/>
    <w:uiPriority w:val="29"/>
    <w:qFormat/>
    <w:rPr>
      <w:i/>
    </w:rPr>
  </w:style>
  <w:style w:type="paragraph" w:styleId="772">
    <w:name w:val="Intense Quote"/>
    <w:basedOn w:val="724"/>
    <w:next w:val="724"/>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Char"/>
    <w:link w:val="772"/>
    <w:uiPriority w:val="30"/>
    <w:qFormat/>
    <w:rPr>
      <w:i/>
    </w:rPr>
  </w:style>
  <w:style w:type="character" w:styleId="774" w:customStyle="1">
    <w:name w:val="页眉 Char1"/>
    <w:link w:val="743"/>
    <w:uiPriority w:val="99"/>
    <w:qFormat/>
  </w:style>
  <w:style w:type="character" w:styleId="775" w:customStyle="1">
    <w:name w:val="Footer Char"/>
    <w:link w:val="742"/>
    <w:uiPriority w:val="99"/>
    <w:qFormat/>
  </w:style>
  <w:style w:type="character" w:styleId="776" w:customStyle="1">
    <w:name w:val="页脚 Char1"/>
    <w:link w:val="742"/>
    <w:uiPriority w:val="99"/>
    <w:qFormat/>
  </w:style>
  <w:style w:type="table" w:styleId="7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脚注文本 Char"/>
    <w:link w:val="747"/>
    <w:uiPriority w:val="99"/>
    <w:qFormat/>
    <w:rPr>
      <w:sz w:val="18"/>
    </w:rPr>
  </w:style>
  <w:style w:type="character" w:styleId="903" w:customStyle="1">
    <w:name w:val="尾注文本 Char"/>
    <w:link w:val="741"/>
    <w:uiPriority w:val="99"/>
    <w:qFormat/>
    <w:rPr>
      <w:sz w:val="20"/>
    </w:rPr>
  </w:style>
  <w:style w:type="paragraph" w:styleId="904" w:customStyle="1">
    <w:name w:val="TOC 标题1"/>
    <w:uiPriority w:val="39"/>
    <w:unhideWhenUsed/>
    <w:qFormat/>
    <w:rPr>
      <w:rFonts w:ascii="Times New Roman" w:hAnsi="Times New Roman" w:eastAsia="宋体" w:cs="Times New Roman"/>
      <w:lang w:val="en-US" w:eastAsia="zh-CN" w:bidi="ar-SA"/>
    </w:rPr>
  </w:style>
  <w:style w:type="paragraph" w:styleId="905" w:customStyle="1">
    <w:name w:val="标题 111"/>
    <w:basedOn w:val="724"/>
    <w:next w:val="724"/>
    <w:link w:val="917"/>
    <w:uiPriority w:val="0"/>
    <w:qFormat/>
    <w:pPr>
      <w:jc w:val="center"/>
      <w:keepNext/>
      <w:outlineLvl w:val="0"/>
    </w:pPr>
    <w:rPr>
      <w:rFonts w:ascii="楷体_GB2312" w:eastAsia="楷体_GB2312"/>
      <w:sz w:val="28"/>
      <w:szCs w:val="28"/>
    </w:rPr>
  </w:style>
  <w:style w:type="paragraph" w:styleId="906" w:customStyle="1">
    <w:name w:val="标题 21"/>
    <w:basedOn w:val="724"/>
    <w:next w:val="907"/>
    <w:link w:val="918"/>
    <w:uiPriority w:val="0"/>
    <w:qFormat/>
    <w:pPr>
      <w:jc w:val="center"/>
      <w:keepLines/>
      <w:keepNext/>
      <w:spacing w:before="260" w:after="260" w:line="416" w:lineRule="auto"/>
      <w:outlineLvl w:val="1"/>
    </w:pPr>
    <w:rPr>
      <w:rFonts w:ascii="Arial" w:hAnsi="Arial" w:eastAsia="幼圆"/>
      <w:b/>
      <w:bCs/>
      <w:sz w:val="44"/>
      <w:szCs w:val="44"/>
    </w:rPr>
  </w:style>
  <w:style w:type="paragraph" w:styleId="907" w:customStyle="1">
    <w:name w:val="正文缩进1"/>
    <w:basedOn w:val="724"/>
    <w:link w:val="919"/>
    <w:uiPriority w:val="0"/>
    <w:qFormat/>
    <w:pPr>
      <w:ind w:firstLine="420"/>
    </w:pPr>
    <w:rPr>
      <w:sz w:val="20"/>
    </w:rPr>
  </w:style>
  <w:style w:type="paragraph" w:styleId="908" w:customStyle="1">
    <w:name w:val="标题 31"/>
    <w:basedOn w:val="724"/>
    <w:next w:val="907"/>
    <w:link w:val="920"/>
    <w:uiPriority w:val="0"/>
    <w:qFormat/>
    <w:pPr>
      <w:keepLines/>
      <w:keepNext/>
      <w:spacing w:before="260" w:after="260" w:line="416" w:lineRule="auto"/>
      <w:outlineLvl w:val="2"/>
    </w:pPr>
    <w:rPr>
      <w:b/>
      <w:bCs/>
      <w:sz w:val="32"/>
      <w:szCs w:val="32"/>
    </w:rPr>
  </w:style>
  <w:style w:type="paragraph" w:styleId="909" w:customStyle="1">
    <w:name w:val="标题 41"/>
    <w:basedOn w:val="724"/>
    <w:next w:val="907"/>
    <w:link w:val="921"/>
    <w:uiPriority w:val="0"/>
    <w:qFormat/>
    <w:pPr>
      <w:keepLines/>
      <w:keepNext/>
      <w:spacing w:before="280" w:after="290" w:line="376" w:lineRule="auto"/>
      <w:outlineLvl w:val="3"/>
    </w:pPr>
    <w:rPr>
      <w:rFonts w:ascii="Arial" w:hAnsi="Arial" w:eastAsia="黑体"/>
      <w:b/>
      <w:bCs/>
      <w:sz w:val="28"/>
      <w:szCs w:val="28"/>
    </w:rPr>
  </w:style>
  <w:style w:type="paragraph" w:styleId="910" w:customStyle="1">
    <w:name w:val="标题 51"/>
    <w:basedOn w:val="724"/>
    <w:next w:val="907"/>
    <w:link w:val="922"/>
    <w:uiPriority w:val="0"/>
    <w:qFormat/>
    <w:pPr>
      <w:keepNext/>
      <w:outlineLvl w:val="4"/>
    </w:pPr>
    <w:rPr>
      <w:rFonts w:ascii="宋体"/>
      <w:color w:val="000000"/>
      <w:sz w:val="28"/>
      <w:szCs w:val="28"/>
    </w:rPr>
  </w:style>
  <w:style w:type="paragraph" w:styleId="911" w:customStyle="1">
    <w:name w:val="标题 61"/>
    <w:basedOn w:val="724"/>
    <w:next w:val="724"/>
    <w:link w:val="92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2" w:customStyle="1">
    <w:name w:val="标题 71"/>
    <w:basedOn w:val="724"/>
    <w:next w:val="724"/>
    <w:link w:val="924"/>
    <w:uiPriority w:val="0"/>
    <w:qFormat/>
    <w:pPr>
      <w:numPr>
        <w:ilvl w:val="6"/>
        <w:numId w:val="1"/>
      </w:numPr>
      <w:keepLines/>
      <w:keepNext/>
      <w:spacing w:before="240" w:after="64" w:line="320" w:lineRule="auto"/>
      <w:outlineLvl w:val="6"/>
    </w:pPr>
    <w:rPr>
      <w:b/>
      <w:bCs/>
      <w:sz w:val="24"/>
      <w:szCs w:val="24"/>
    </w:rPr>
  </w:style>
  <w:style w:type="paragraph" w:styleId="913" w:customStyle="1">
    <w:name w:val="标题 81"/>
    <w:basedOn w:val="724"/>
    <w:next w:val="724"/>
    <w:link w:val="92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4" w:customStyle="1">
    <w:name w:val="标题 91"/>
    <w:basedOn w:val="724"/>
    <w:next w:val="724"/>
    <w:link w:val="926"/>
    <w:uiPriority w:val="0"/>
    <w:qFormat/>
    <w:pPr>
      <w:numPr>
        <w:ilvl w:val="8"/>
        <w:numId w:val="1"/>
      </w:numPr>
      <w:keepLines/>
      <w:keepNext/>
      <w:spacing w:before="240" w:after="64" w:line="320" w:lineRule="auto"/>
      <w:outlineLvl w:val="8"/>
    </w:pPr>
    <w:rPr>
      <w:rFonts w:ascii="Arial" w:hAnsi="Arial" w:eastAsia="黑体"/>
      <w:sz w:val="20"/>
    </w:rPr>
  </w:style>
  <w:style w:type="character" w:styleId="915" w:customStyle="1">
    <w:name w:val="默认段落字体1"/>
    <w:uiPriority w:val="1"/>
    <w:unhideWhenUsed/>
    <w:qFormat/>
  </w:style>
  <w:style w:type="table" w:styleId="916" w:customStyle="1">
    <w:name w:val="普通表格11"/>
    <w:uiPriority w:val="99"/>
    <w:unhideWhenUsed/>
    <w:qFormat/>
    <w:tblPr>
      <w:tblCellMar>
        <w:left w:w="0" w:type="dxa"/>
        <w:top w:w="0" w:type="dxa"/>
        <w:right w:w="0" w:type="dxa"/>
        <w:bottom w:w="0" w:type="dxa"/>
      </w:tblCellMar>
    </w:tblPr>
  </w:style>
  <w:style w:type="character" w:styleId="917" w:customStyle="1">
    <w:name w:val="标题 1 Char"/>
    <w:link w:val="905"/>
    <w:uiPriority w:val="0"/>
    <w:qFormat/>
    <w:rPr>
      <w:rFonts w:ascii="楷体_GB2312" w:hAnsi="Times New Roman" w:eastAsia="楷体_GB2312" w:cs="Times New Roman"/>
      <w:sz w:val="28"/>
      <w:szCs w:val="28"/>
    </w:rPr>
  </w:style>
  <w:style w:type="character" w:styleId="918" w:customStyle="1">
    <w:name w:val="标题 2 Char"/>
    <w:link w:val="906"/>
    <w:uiPriority w:val="0"/>
    <w:qFormat/>
    <w:rPr>
      <w:rFonts w:ascii="Arial" w:hAnsi="Arial" w:eastAsia="幼圆" w:cs="Arial"/>
      <w:b/>
      <w:bCs/>
      <w:sz w:val="44"/>
      <w:szCs w:val="44"/>
    </w:rPr>
  </w:style>
  <w:style w:type="character" w:styleId="919" w:customStyle="1">
    <w:name w:val="正文缩进 Char"/>
    <w:link w:val="907"/>
    <w:uiPriority w:val="0"/>
    <w:qFormat/>
    <w:rPr>
      <w:rFonts w:ascii="Times New Roman" w:hAnsi="Times New Roman" w:eastAsia="宋体" w:cs="Times New Roman"/>
      <w:szCs w:val="21"/>
    </w:rPr>
  </w:style>
  <w:style w:type="character" w:styleId="920" w:customStyle="1">
    <w:name w:val="标题 3 Char"/>
    <w:link w:val="908"/>
    <w:uiPriority w:val="0"/>
    <w:qFormat/>
    <w:rPr>
      <w:rFonts w:ascii="Times New Roman" w:hAnsi="Times New Roman" w:eastAsia="宋体" w:cs="Times New Roman"/>
      <w:b/>
      <w:bCs/>
      <w:sz w:val="32"/>
      <w:szCs w:val="32"/>
    </w:rPr>
  </w:style>
  <w:style w:type="character" w:styleId="921" w:customStyle="1">
    <w:name w:val="标题 4 Char"/>
    <w:link w:val="909"/>
    <w:uiPriority w:val="0"/>
    <w:qFormat/>
    <w:rPr>
      <w:rFonts w:ascii="Arial" w:hAnsi="Arial" w:eastAsia="黑体" w:cs="Arial"/>
      <w:b/>
      <w:bCs/>
      <w:sz w:val="28"/>
      <w:szCs w:val="28"/>
    </w:rPr>
  </w:style>
  <w:style w:type="character" w:styleId="922" w:customStyle="1">
    <w:name w:val="标题 5 Char"/>
    <w:link w:val="910"/>
    <w:uiPriority w:val="0"/>
    <w:qFormat/>
    <w:rPr>
      <w:rFonts w:ascii="宋体" w:hAnsi="Times New Roman" w:eastAsia="宋体" w:cs="Times New Roman"/>
      <w:color w:val="000000"/>
      <w:sz w:val="28"/>
      <w:szCs w:val="28"/>
    </w:rPr>
  </w:style>
  <w:style w:type="character" w:styleId="923" w:customStyle="1">
    <w:name w:val="标题 6 Char"/>
    <w:link w:val="911"/>
    <w:uiPriority w:val="0"/>
    <w:qFormat/>
    <w:rPr>
      <w:rFonts w:ascii="Arial" w:hAnsi="Arial" w:eastAsia="黑体" w:cs="Times New Roman"/>
      <w:b/>
      <w:bCs/>
      <w:sz w:val="24"/>
      <w:szCs w:val="24"/>
    </w:rPr>
  </w:style>
  <w:style w:type="character" w:styleId="924" w:customStyle="1">
    <w:name w:val="标题 7 Char"/>
    <w:link w:val="912"/>
    <w:uiPriority w:val="0"/>
    <w:qFormat/>
    <w:rPr>
      <w:rFonts w:ascii="Times New Roman" w:hAnsi="Times New Roman" w:eastAsia="宋体" w:cs="Times New Roman"/>
      <w:b/>
      <w:bCs/>
      <w:sz w:val="24"/>
      <w:szCs w:val="24"/>
    </w:rPr>
  </w:style>
  <w:style w:type="character" w:styleId="925" w:customStyle="1">
    <w:name w:val="标题 8 Char"/>
    <w:link w:val="913"/>
    <w:uiPriority w:val="0"/>
    <w:qFormat/>
    <w:rPr>
      <w:rFonts w:ascii="Arial" w:hAnsi="Arial" w:eastAsia="黑体" w:cs="Times New Roman"/>
      <w:sz w:val="24"/>
      <w:szCs w:val="24"/>
    </w:rPr>
  </w:style>
  <w:style w:type="character" w:styleId="926" w:customStyle="1">
    <w:name w:val="标题 9 Char"/>
    <w:link w:val="914"/>
    <w:uiPriority w:val="0"/>
    <w:qFormat/>
    <w:rPr>
      <w:rFonts w:ascii="Arial" w:hAnsi="Arial" w:eastAsia="黑体" w:cs="Times New Roman"/>
      <w:szCs w:val="21"/>
    </w:rPr>
  </w:style>
  <w:style w:type="paragraph" w:styleId="927" w:customStyle="1">
    <w:name w:val="列表 31"/>
    <w:basedOn w:val="724"/>
    <w:uiPriority w:val="0"/>
    <w:qFormat/>
    <w:pPr>
      <w:ind w:left="100" w:hanging="200"/>
    </w:pPr>
  </w:style>
  <w:style w:type="paragraph" w:styleId="928" w:customStyle="1">
    <w:name w:val="目录 71"/>
    <w:basedOn w:val="724"/>
    <w:next w:val="724"/>
    <w:uiPriority w:val="0"/>
    <w:semiHidden/>
    <w:qFormat/>
    <w:pPr>
      <w:ind w:left="1260"/>
      <w:jc w:val="left"/>
    </w:pPr>
  </w:style>
  <w:style w:type="paragraph" w:styleId="929" w:customStyle="1">
    <w:name w:val="文档结构图1"/>
    <w:basedOn w:val="724"/>
    <w:link w:val="930"/>
    <w:uiPriority w:val="0"/>
    <w:semiHidden/>
    <w:qFormat/>
    <w:pPr>
      <w:shd w:val="clear" w:color="auto" w:fill="000080"/>
    </w:pPr>
    <w:rPr>
      <w:sz w:val="20"/>
    </w:rPr>
  </w:style>
  <w:style w:type="character" w:styleId="930" w:customStyle="1">
    <w:name w:val="文档结构图 Char"/>
    <w:link w:val="929"/>
    <w:uiPriority w:val="0"/>
    <w:semiHidden/>
    <w:qFormat/>
    <w:rPr>
      <w:rFonts w:ascii="Times New Roman" w:hAnsi="Times New Roman" w:eastAsia="宋体" w:cs="Times New Roman"/>
      <w:szCs w:val="21"/>
      <w:shd w:val="clear" w:color="auto" w:fill="000080"/>
    </w:rPr>
  </w:style>
  <w:style w:type="paragraph" w:styleId="931" w:customStyle="1">
    <w:name w:val="批注文字1"/>
    <w:basedOn w:val="724"/>
    <w:link w:val="932"/>
    <w:uiPriority w:val="0"/>
    <w:semiHidden/>
    <w:qFormat/>
    <w:pPr>
      <w:jc w:val="left"/>
    </w:pPr>
    <w:rPr>
      <w:sz w:val="20"/>
    </w:rPr>
  </w:style>
  <w:style w:type="character" w:styleId="932" w:customStyle="1">
    <w:name w:val="批注文字 Char"/>
    <w:link w:val="931"/>
    <w:uiPriority w:val="0"/>
    <w:semiHidden/>
    <w:qFormat/>
    <w:rPr>
      <w:rFonts w:ascii="Times New Roman" w:hAnsi="Times New Roman" w:eastAsia="宋体" w:cs="Times New Roman"/>
      <w:szCs w:val="21"/>
    </w:rPr>
  </w:style>
  <w:style w:type="paragraph" w:styleId="933" w:customStyle="1">
    <w:name w:val="正文文本 31"/>
    <w:basedOn w:val="724"/>
    <w:link w:val="934"/>
    <w:uiPriority w:val="0"/>
    <w:qFormat/>
    <w:rPr>
      <w:rFonts w:ascii="仿宋_GB2312" w:hAnsi="Arial" w:eastAsia="仿宋_GB2312"/>
      <w:sz w:val="32"/>
      <w:szCs w:val="32"/>
    </w:rPr>
  </w:style>
  <w:style w:type="character" w:styleId="934" w:customStyle="1">
    <w:name w:val="正文文本 3 Char"/>
    <w:link w:val="933"/>
    <w:uiPriority w:val="0"/>
    <w:qFormat/>
    <w:rPr>
      <w:rFonts w:ascii="仿宋_GB2312" w:hAnsi="Arial" w:eastAsia="仿宋_GB2312" w:cs="Times New Roman"/>
      <w:sz w:val="32"/>
      <w:szCs w:val="32"/>
    </w:rPr>
  </w:style>
  <w:style w:type="paragraph" w:styleId="935" w:customStyle="1">
    <w:name w:val="正文文本1"/>
    <w:basedOn w:val="724"/>
    <w:link w:val="936"/>
    <w:uiPriority w:val="0"/>
    <w:qFormat/>
    <w:rPr>
      <w:rFonts w:ascii="楷体_GB2312" w:hAnsi="Arial" w:eastAsia="楷体_GB2312"/>
      <w:sz w:val="28"/>
      <w:szCs w:val="28"/>
    </w:rPr>
  </w:style>
  <w:style w:type="character" w:styleId="936" w:customStyle="1">
    <w:name w:val="正文文本 Char"/>
    <w:link w:val="935"/>
    <w:uiPriority w:val="0"/>
    <w:qFormat/>
    <w:rPr>
      <w:rFonts w:ascii="楷体_GB2312" w:hAnsi="Arial" w:eastAsia="楷体_GB2312" w:cs="Times New Roman"/>
      <w:sz w:val="28"/>
      <w:szCs w:val="28"/>
    </w:rPr>
  </w:style>
  <w:style w:type="paragraph" w:styleId="937" w:customStyle="1">
    <w:name w:val="正文文本缩进1"/>
    <w:basedOn w:val="724"/>
    <w:link w:val="938"/>
    <w:uiPriority w:val="0"/>
    <w:qFormat/>
    <w:pPr>
      <w:ind w:firstLine="645"/>
    </w:pPr>
    <w:rPr>
      <w:rFonts w:ascii="楷体_GB2312" w:eastAsia="楷体_GB2312"/>
      <w:sz w:val="32"/>
      <w:szCs w:val="32"/>
    </w:rPr>
  </w:style>
  <w:style w:type="character" w:styleId="938" w:customStyle="1">
    <w:name w:val="正文文本缩进 Char"/>
    <w:link w:val="937"/>
    <w:uiPriority w:val="0"/>
    <w:qFormat/>
    <w:rPr>
      <w:rFonts w:ascii="楷体_GB2312" w:hAnsi="Times New Roman" w:eastAsia="楷体_GB2312" w:cs="Times New Roman"/>
      <w:sz w:val="32"/>
      <w:szCs w:val="32"/>
    </w:rPr>
  </w:style>
  <w:style w:type="paragraph" w:styleId="939" w:customStyle="1">
    <w:name w:val="列表 21"/>
    <w:basedOn w:val="724"/>
    <w:uiPriority w:val="0"/>
    <w:qFormat/>
    <w:pPr>
      <w:ind w:left="100" w:hanging="200"/>
    </w:pPr>
  </w:style>
  <w:style w:type="paragraph" w:styleId="940" w:customStyle="1">
    <w:name w:val="目录 51"/>
    <w:basedOn w:val="724"/>
    <w:next w:val="724"/>
    <w:uiPriority w:val="0"/>
    <w:semiHidden/>
    <w:qFormat/>
    <w:pPr>
      <w:ind w:left="840"/>
      <w:jc w:val="left"/>
    </w:pPr>
  </w:style>
  <w:style w:type="paragraph" w:styleId="941" w:customStyle="1">
    <w:name w:val="目录 31"/>
    <w:basedOn w:val="724"/>
    <w:next w:val="724"/>
    <w:uiPriority w:val="0"/>
    <w:semiHidden/>
    <w:qFormat/>
    <w:pPr>
      <w:ind w:left="420"/>
      <w:jc w:val="left"/>
    </w:pPr>
    <w:rPr>
      <w:i/>
      <w:iCs/>
      <w:szCs w:val="24"/>
    </w:rPr>
  </w:style>
  <w:style w:type="paragraph" w:styleId="942" w:customStyle="1">
    <w:name w:val="纯文本1"/>
    <w:basedOn w:val="724"/>
    <w:link w:val="943"/>
    <w:uiPriority w:val="0"/>
    <w:qFormat/>
    <w:rPr>
      <w:rFonts w:ascii="宋体" w:hAnsi="Courier New"/>
      <w:sz w:val="20"/>
    </w:rPr>
  </w:style>
  <w:style w:type="character" w:styleId="943" w:customStyle="1">
    <w:name w:val="纯文本 Char"/>
    <w:link w:val="942"/>
    <w:uiPriority w:val="0"/>
    <w:qFormat/>
    <w:rPr>
      <w:rFonts w:ascii="宋体" w:hAnsi="Courier New" w:eastAsia="宋体" w:cs="Courier New"/>
      <w:szCs w:val="21"/>
    </w:rPr>
  </w:style>
  <w:style w:type="paragraph" w:styleId="944" w:customStyle="1">
    <w:name w:val="目录 81"/>
    <w:basedOn w:val="724"/>
    <w:next w:val="724"/>
    <w:uiPriority w:val="0"/>
    <w:semiHidden/>
    <w:qFormat/>
    <w:pPr>
      <w:ind w:left="1470"/>
      <w:jc w:val="left"/>
    </w:pPr>
  </w:style>
  <w:style w:type="paragraph" w:styleId="945" w:customStyle="1">
    <w:name w:val="日期1"/>
    <w:basedOn w:val="724"/>
    <w:next w:val="724"/>
    <w:link w:val="946"/>
    <w:uiPriority w:val="0"/>
    <w:qFormat/>
    <w:rPr>
      <w:sz w:val="24"/>
      <w:szCs w:val="24"/>
    </w:rPr>
  </w:style>
  <w:style w:type="character" w:styleId="946" w:customStyle="1">
    <w:name w:val="日期 Char"/>
    <w:link w:val="945"/>
    <w:uiPriority w:val="0"/>
    <w:qFormat/>
    <w:rPr>
      <w:rFonts w:ascii="Times New Roman" w:hAnsi="Times New Roman" w:eastAsia="宋体" w:cs="Times New Roman"/>
      <w:sz w:val="24"/>
      <w:szCs w:val="24"/>
    </w:rPr>
  </w:style>
  <w:style w:type="paragraph" w:styleId="947" w:customStyle="1">
    <w:name w:val="正文文本缩进 21"/>
    <w:basedOn w:val="724"/>
    <w:link w:val="948"/>
    <w:uiPriority w:val="0"/>
    <w:qFormat/>
    <w:pPr>
      <w:ind w:left="630" w:firstLine="645"/>
    </w:pPr>
    <w:rPr>
      <w:rFonts w:ascii="Arial" w:hAnsi="Arial" w:eastAsia="仿宋_GB2312"/>
      <w:sz w:val="32"/>
      <w:szCs w:val="32"/>
    </w:rPr>
  </w:style>
  <w:style w:type="character" w:styleId="948" w:customStyle="1">
    <w:name w:val="正文文本缩进 2 Char"/>
    <w:link w:val="947"/>
    <w:uiPriority w:val="0"/>
    <w:qFormat/>
    <w:rPr>
      <w:rFonts w:ascii="Arial" w:hAnsi="Arial" w:eastAsia="仿宋_GB2312" w:cs="Arial"/>
      <w:sz w:val="32"/>
      <w:szCs w:val="32"/>
    </w:rPr>
  </w:style>
  <w:style w:type="paragraph" w:styleId="949" w:customStyle="1">
    <w:name w:val="批注框文本1"/>
    <w:basedOn w:val="724"/>
    <w:link w:val="950"/>
    <w:uiPriority w:val="0"/>
    <w:semiHidden/>
    <w:qFormat/>
    <w:rPr>
      <w:sz w:val="18"/>
      <w:szCs w:val="18"/>
    </w:rPr>
  </w:style>
  <w:style w:type="character" w:styleId="950" w:customStyle="1">
    <w:name w:val="批注框文本 Char"/>
    <w:link w:val="949"/>
    <w:uiPriority w:val="0"/>
    <w:semiHidden/>
    <w:qFormat/>
    <w:rPr>
      <w:rFonts w:ascii="Times New Roman" w:hAnsi="Times New Roman" w:eastAsia="宋体" w:cs="Times New Roman"/>
      <w:sz w:val="18"/>
      <w:szCs w:val="18"/>
    </w:rPr>
  </w:style>
  <w:style w:type="paragraph" w:styleId="951" w:customStyle="1">
    <w:name w:val="页脚1"/>
    <w:basedOn w:val="724"/>
    <w:link w:val="952"/>
    <w:uiPriority w:val="0"/>
    <w:qFormat/>
    <w:pPr>
      <w:jc w:val="left"/>
      <w:tabs>
        <w:tab w:val="center" w:pos="4153" w:leader="none"/>
        <w:tab w:val="right" w:pos="8306" w:leader="none"/>
      </w:tabs>
    </w:pPr>
    <w:rPr>
      <w:sz w:val="18"/>
      <w:szCs w:val="18"/>
    </w:rPr>
  </w:style>
  <w:style w:type="character" w:styleId="952" w:customStyle="1">
    <w:name w:val="页脚 Char"/>
    <w:link w:val="951"/>
    <w:uiPriority w:val="0"/>
    <w:qFormat/>
    <w:rPr>
      <w:rFonts w:ascii="Times New Roman" w:hAnsi="Times New Roman" w:eastAsia="宋体" w:cs="Times New Roman"/>
      <w:sz w:val="18"/>
      <w:szCs w:val="18"/>
    </w:rPr>
  </w:style>
  <w:style w:type="paragraph" w:styleId="953" w:customStyle="1">
    <w:name w:val="页眉1"/>
    <w:basedOn w:val="724"/>
    <w:link w:val="954"/>
    <w:uiPriority w:val="99"/>
    <w:qFormat/>
    <w:pPr>
      <w:jc w:val="center"/>
      <w:tabs>
        <w:tab w:val="center" w:pos="4153" w:leader="none"/>
        <w:tab w:val="right" w:pos="8306" w:leader="none"/>
      </w:tabs>
      <w:pBdr>
        <w:bottom w:val="single" w:color="000000" w:sz="6" w:space="1"/>
      </w:pBdr>
    </w:pPr>
    <w:rPr>
      <w:sz w:val="18"/>
      <w:szCs w:val="18"/>
    </w:rPr>
  </w:style>
  <w:style w:type="character" w:styleId="954" w:customStyle="1">
    <w:name w:val="页眉 Char"/>
    <w:link w:val="953"/>
    <w:uiPriority w:val="99"/>
    <w:qFormat/>
    <w:rPr>
      <w:rFonts w:ascii="Times New Roman" w:hAnsi="Times New Roman" w:eastAsia="宋体" w:cs="Times New Roman"/>
      <w:sz w:val="18"/>
      <w:szCs w:val="18"/>
    </w:rPr>
  </w:style>
  <w:style w:type="paragraph" w:styleId="955" w:customStyle="1">
    <w:name w:val="目录 11"/>
    <w:basedOn w:val="724"/>
    <w:next w:val="724"/>
    <w:uiPriority w:val="0"/>
    <w:semiHidden/>
    <w:qFormat/>
    <w:pPr>
      <w:jc w:val="left"/>
      <w:spacing w:before="120" w:after="120" w:line="400" w:lineRule="exact"/>
      <w:tabs>
        <w:tab w:val="right" w:pos="8720" w:leader="dot"/>
      </w:tabs>
    </w:pPr>
    <w:rPr>
      <w:rFonts w:ascii="宋体" w:hAnsi="宋体"/>
      <w:caps/>
      <w:sz w:val="24"/>
      <w:szCs w:val="24"/>
    </w:rPr>
  </w:style>
  <w:style w:type="paragraph" w:styleId="956" w:customStyle="1">
    <w:name w:val="目录 41"/>
    <w:basedOn w:val="724"/>
    <w:next w:val="724"/>
    <w:uiPriority w:val="0"/>
    <w:semiHidden/>
    <w:qFormat/>
    <w:pPr>
      <w:ind w:left="630"/>
      <w:jc w:val="left"/>
    </w:pPr>
  </w:style>
  <w:style w:type="paragraph" w:styleId="957" w:customStyle="1">
    <w:name w:val="列表1"/>
    <w:basedOn w:val="724"/>
    <w:uiPriority w:val="0"/>
    <w:qFormat/>
    <w:pPr>
      <w:ind w:left="200" w:hanging="200"/>
    </w:pPr>
  </w:style>
  <w:style w:type="paragraph" w:styleId="958" w:customStyle="1">
    <w:name w:val="目录 61"/>
    <w:basedOn w:val="724"/>
    <w:next w:val="724"/>
    <w:uiPriority w:val="0"/>
    <w:semiHidden/>
    <w:qFormat/>
    <w:pPr>
      <w:ind w:left="1050"/>
      <w:jc w:val="left"/>
    </w:pPr>
  </w:style>
  <w:style w:type="paragraph" w:styleId="959" w:customStyle="1">
    <w:name w:val="正文文本缩进 31"/>
    <w:basedOn w:val="724"/>
    <w:link w:val="960"/>
    <w:uiPriority w:val="0"/>
    <w:qFormat/>
    <w:pPr>
      <w:ind w:left="645" w:firstLine="645"/>
    </w:pPr>
    <w:rPr>
      <w:rFonts w:ascii="Arial" w:hAnsi="Arial" w:eastAsia="仿宋_GB2312"/>
      <w:color w:val="ffff00"/>
      <w:sz w:val="32"/>
      <w:szCs w:val="32"/>
    </w:rPr>
  </w:style>
  <w:style w:type="character" w:styleId="960" w:customStyle="1">
    <w:name w:val="正文文本缩进 3 Char"/>
    <w:link w:val="959"/>
    <w:uiPriority w:val="0"/>
    <w:qFormat/>
    <w:rPr>
      <w:rFonts w:ascii="Arial" w:hAnsi="Arial" w:eastAsia="仿宋_GB2312" w:cs="Arial"/>
      <w:color w:val="ffff00"/>
      <w:sz w:val="32"/>
      <w:szCs w:val="32"/>
    </w:rPr>
  </w:style>
  <w:style w:type="paragraph" w:styleId="961" w:customStyle="1">
    <w:name w:val="图表目录1"/>
    <w:basedOn w:val="724"/>
    <w:next w:val="724"/>
    <w:uiPriority w:val="0"/>
    <w:semiHidden/>
    <w:qFormat/>
    <w:pPr>
      <w:ind w:left="840" w:hanging="420"/>
    </w:pPr>
  </w:style>
  <w:style w:type="paragraph" w:styleId="962" w:customStyle="1">
    <w:name w:val="目录 21"/>
    <w:basedOn w:val="724"/>
    <w:next w:val="724"/>
    <w:uiPriority w:val="0"/>
    <w:semiHidden/>
    <w:qFormat/>
    <w:pPr>
      <w:ind w:left="210"/>
      <w:jc w:val="left"/>
    </w:pPr>
    <w:rPr>
      <w:smallCaps/>
      <w:szCs w:val="24"/>
    </w:rPr>
  </w:style>
  <w:style w:type="paragraph" w:styleId="963" w:customStyle="1">
    <w:name w:val="目录 91"/>
    <w:basedOn w:val="724"/>
    <w:next w:val="724"/>
    <w:uiPriority w:val="0"/>
    <w:semiHidden/>
    <w:qFormat/>
    <w:pPr>
      <w:ind w:left="1680"/>
      <w:jc w:val="left"/>
    </w:pPr>
  </w:style>
  <w:style w:type="paragraph" w:styleId="964" w:customStyle="1">
    <w:name w:val="正文文本 21"/>
    <w:basedOn w:val="724"/>
    <w:link w:val="965"/>
    <w:uiPriority w:val="0"/>
    <w:qFormat/>
    <w:pPr>
      <w:jc w:val="center"/>
      <w:widowControl/>
    </w:pPr>
    <w:rPr>
      <w:rFonts w:ascii="楷体_GB2312" w:eastAsia="楷体_GB2312"/>
      <w:sz w:val="28"/>
      <w:szCs w:val="28"/>
    </w:rPr>
  </w:style>
  <w:style w:type="character" w:styleId="965" w:customStyle="1">
    <w:name w:val="正文文本 2 Char"/>
    <w:link w:val="964"/>
    <w:uiPriority w:val="0"/>
    <w:qFormat/>
    <w:rPr>
      <w:rFonts w:ascii="楷体_GB2312" w:hAnsi="Times New Roman" w:eastAsia="楷体_GB2312" w:cs="Times New Roman"/>
      <w:sz w:val="28"/>
      <w:szCs w:val="28"/>
    </w:rPr>
  </w:style>
  <w:style w:type="paragraph" w:styleId="966" w:customStyle="1">
    <w:name w:val="HTML 预设格式1"/>
    <w:basedOn w:val="724"/>
    <w:link w:val="96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67" w:customStyle="1">
    <w:name w:val="HTML 预设格式 Char"/>
    <w:basedOn w:val="915"/>
    <w:link w:val="966"/>
    <w:uiPriority w:val="99"/>
    <w:semiHidden/>
    <w:qFormat/>
    <w:rPr>
      <w:rFonts w:ascii="宋体" w:hAnsi="宋体" w:cs="宋体"/>
      <w:sz w:val="24"/>
      <w:szCs w:val="24"/>
    </w:rPr>
  </w:style>
  <w:style w:type="paragraph" w:styleId="968" w:customStyle="1">
    <w:name w:val="普通(网站)1"/>
    <w:basedOn w:val="724"/>
    <w:uiPriority w:val="99"/>
    <w:qFormat/>
    <w:pPr>
      <w:jc w:val="left"/>
      <w:spacing w:before="100" w:beforeAutospacing="1" w:after="100" w:afterAutospacing="1"/>
      <w:widowControl/>
    </w:pPr>
    <w:rPr>
      <w:rFonts w:ascii="宋体" w:hAnsi="宋体" w:cs="宋体"/>
      <w:sz w:val="24"/>
      <w:szCs w:val="24"/>
    </w:rPr>
  </w:style>
  <w:style w:type="paragraph" w:styleId="969" w:customStyle="1">
    <w:name w:val="索引 11"/>
    <w:basedOn w:val="724"/>
    <w:next w:val="724"/>
    <w:uiPriority w:val="0"/>
    <w:semiHidden/>
    <w:qFormat/>
    <w:pPr>
      <w:spacing w:line="240" w:lineRule="atLeast"/>
    </w:pPr>
    <w:rPr>
      <w:b/>
      <w:bCs/>
    </w:rPr>
  </w:style>
  <w:style w:type="paragraph" w:styleId="970" w:customStyle="1">
    <w:name w:val="批注主题1"/>
    <w:basedOn w:val="931"/>
    <w:next w:val="931"/>
    <w:link w:val="971"/>
    <w:uiPriority w:val="0"/>
    <w:semiHidden/>
    <w:qFormat/>
    <w:rPr>
      <w:b/>
      <w:bCs/>
    </w:rPr>
  </w:style>
  <w:style w:type="character" w:styleId="971" w:customStyle="1">
    <w:name w:val="批注主题 Char"/>
    <w:link w:val="970"/>
    <w:uiPriority w:val="0"/>
    <w:semiHidden/>
    <w:qFormat/>
    <w:rPr>
      <w:rFonts w:ascii="Times New Roman" w:hAnsi="Times New Roman" w:eastAsia="宋体" w:cs="Times New Roman"/>
      <w:b/>
      <w:bCs/>
      <w:szCs w:val="21"/>
    </w:rPr>
  </w:style>
  <w:style w:type="paragraph" w:styleId="972" w:customStyle="1">
    <w:name w:val="正文首行缩进1"/>
    <w:basedOn w:val="724"/>
    <w:link w:val="973"/>
    <w:uiPriority w:val="0"/>
    <w:qFormat/>
    <w:pPr>
      <w:ind w:firstLine="200"/>
      <w:spacing w:line="360" w:lineRule="auto"/>
    </w:pPr>
    <w:rPr>
      <w:rFonts w:ascii="仿宋_GB2312" w:eastAsia="仿宋_GB2312"/>
      <w:sz w:val="30"/>
      <w:szCs w:val="30"/>
    </w:rPr>
  </w:style>
  <w:style w:type="character" w:styleId="973" w:customStyle="1">
    <w:name w:val="正文首行缩进 Char"/>
    <w:link w:val="972"/>
    <w:uiPriority w:val="0"/>
    <w:qFormat/>
    <w:rPr>
      <w:rFonts w:ascii="仿宋_GB2312" w:hAnsi="Times New Roman" w:eastAsia="仿宋_GB2312" w:cs="Times New Roman"/>
      <w:sz w:val="30"/>
      <w:szCs w:val="30"/>
    </w:rPr>
  </w:style>
  <w:style w:type="paragraph" w:styleId="974" w:customStyle="1">
    <w:name w:val="正文首行缩进 21"/>
    <w:basedOn w:val="937"/>
    <w:link w:val="975"/>
    <w:uiPriority w:val="0"/>
    <w:qFormat/>
    <w:pPr>
      <w:ind w:firstLine="420"/>
      <w:spacing w:line="360" w:lineRule="auto"/>
    </w:pPr>
    <w:rPr>
      <w:rFonts w:ascii="宋体" w:hAnsi="宋体" w:eastAsia="宋体"/>
      <w:szCs w:val="20"/>
    </w:rPr>
  </w:style>
  <w:style w:type="character" w:styleId="975" w:customStyle="1">
    <w:name w:val="正文首行缩进 2 Char"/>
    <w:link w:val="974"/>
    <w:uiPriority w:val="0"/>
    <w:qFormat/>
    <w:rPr>
      <w:rFonts w:ascii="宋体" w:hAnsi="宋体" w:eastAsia="宋体" w:cs="Times New Roman"/>
      <w:sz w:val="32"/>
      <w:szCs w:val="20"/>
    </w:rPr>
  </w:style>
  <w:style w:type="table" w:styleId="976" w:customStyle="1">
    <w:name w:val="网格型11"/>
    <w:basedOn w:val="916"/>
    <w:uiPriority w:val="0"/>
    <w:qFormat/>
    <w:pPr>
      <w:jc w:val="both"/>
      <w:widowControl w:val="off"/>
    </w:pPr>
    <w:tblPr>
      <w:tblCellMar>
        <w:left w:w="0" w:type="dxa"/>
        <w:top w:w="0" w:type="dxa"/>
        <w:right w:w="0" w:type="dxa"/>
        <w:bottom w:w="0" w:type="dxa"/>
      </w:tblCellMar>
    </w:tblPr>
  </w:style>
  <w:style w:type="character" w:styleId="977" w:customStyle="1">
    <w:name w:val="要点1"/>
    <w:uiPriority w:val="0"/>
    <w:qFormat/>
    <w:rPr>
      <w:b/>
      <w:bCs/>
    </w:rPr>
  </w:style>
  <w:style w:type="character" w:styleId="978" w:customStyle="1">
    <w:name w:val="页码1"/>
    <w:uiPriority w:val="0"/>
    <w:qFormat/>
  </w:style>
  <w:style w:type="character" w:styleId="979" w:customStyle="1">
    <w:name w:val="已访问的超链接1"/>
    <w:uiPriority w:val="0"/>
    <w:qFormat/>
    <w:rPr>
      <w:color w:val="800080"/>
      <w:u w:val="single"/>
    </w:rPr>
  </w:style>
  <w:style w:type="character" w:styleId="980" w:customStyle="1">
    <w:name w:val="强调1"/>
    <w:basedOn w:val="915"/>
    <w:uiPriority w:val="20"/>
    <w:qFormat/>
    <w:rPr>
      <w:i/>
    </w:rPr>
  </w:style>
  <w:style w:type="character" w:styleId="981" w:customStyle="1">
    <w:name w:val="HTML 打字机1"/>
    <w:uiPriority w:val="99"/>
    <w:qFormat/>
    <w:rPr>
      <w:rFonts w:ascii="宋体" w:hAnsi="宋体" w:eastAsia="宋体" w:cs="宋体"/>
      <w:sz w:val="24"/>
      <w:szCs w:val="24"/>
    </w:rPr>
  </w:style>
  <w:style w:type="character" w:styleId="982" w:customStyle="1">
    <w:name w:val="超链接1"/>
    <w:uiPriority w:val="0"/>
    <w:qFormat/>
    <w:rPr>
      <w:color w:val="0000ff"/>
      <w:u w:val="single"/>
    </w:rPr>
  </w:style>
  <w:style w:type="character" w:styleId="983" w:customStyle="1">
    <w:name w:val="批注引用1"/>
    <w:uiPriority w:val="0"/>
    <w:semiHidden/>
    <w:qFormat/>
    <w:rPr>
      <w:sz w:val="21"/>
      <w:szCs w:val="21"/>
    </w:rPr>
  </w:style>
  <w:style w:type="character" w:styleId="984" w:customStyle="1">
    <w:name w:val="font5 Char"/>
    <w:uiPriority w:val="0"/>
    <w:qFormat/>
    <w:rPr>
      <w:rFonts w:ascii="宋体" w:hAnsi="宋体" w:eastAsia="宋体"/>
      <w:sz w:val="28"/>
      <w:szCs w:val="28"/>
      <w:lang w:val="en-US" w:eastAsia="zh-CN" w:bidi="ar-SA"/>
    </w:rPr>
  </w:style>
  <w:style w:type="character" w:styleId="985" w:customStyle="1">
    <w:name w:val="二级目录 Char"/>
    <w:link w:val="986"/>
    <w:uiPriority w:val="0"/>
    <w:qFormat/>
    <w:rPr>
      <w:b/>
      <w:sz w:val="30"/>
      <w:szCs w:val="28"/>
    </w:rPr>
  </w:style>
  <w:style w:type="paragraph" w:styleId="986" w:customStyle="1">
    <w:name w:val="二级目录"/>
    <w:next w:val="724"/>
    <w:link w:val="98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7" w:customStyle="1">
    <w:name w:val="列出段落 Char"/>
    <w:link w:val="988"/>
    <w:uiPriority w:val="0"/>
    <w:qFormat/>
    <w:rPr>
      <w:rFonts w:ascii="Calibri" w:hAnsi="Calibri"/>
      <w:sz w:val="24"/>
      <w:szCs w:val="24"/>
      <w:lang w:eastAsia="en-US" w:bidi="en-US"/>
    </w:rPr>
  </w:style>
  <w:style w:type="paragraph" w:styleId="988" w:customStyle="1">
    <w:name w:val="列出段落1"/>
    <w:basedOn w:val="724"/>
    <w:link w:val="987"/>
    <w:uiPriority w:val="0"/>
    <w:qFormat/>
    <w:pPr>
      <w:contextualSpacing/>
      <w:ind w:left="720"/>
      <w:jc w:val="left"/>
      <w:widowControl/>
    </w:pPr>
    <w:rPr>
      <w:rFonts w:ascii="Calibri" w:hAnsi="Calibri"/>
      <w:sz w:val="24"/>
      <w:szCs w:val="24"/>
      <w:lang w:eastAsia="en-US" w:bidi="en-US"/>
    </w:rPr>
  </w:style>
  <w:style w:type="paragraph" w:styleId="989" w:customStyle="1">
    <w:name w:val="Body Text(ch)"/>
    <w:basedOn w:val="724"/>
    <w:next w:val="935"/>
    <w:uiPriority w:val="0"/>
    <w:qFormat/>
    <w:pPr>
      <w:spacing w:after="120"/>
    </w:pPr>
    <w:rPr>
      <w:rFonts w:ascii="宋体" w:hAnsi="Arial"/>
      <w:bCs/>
      <w:iCs/>
      <w:szCs w:val="24"/>
    </w:rPr>
  </w:style>
  <w:style w:type="paragraph" w:styleId="990"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2" w:customStyle="1">
    <w:name w:val="Char"/>
    <w:basedOn w:val="724"/>
    <w:uiPriority w:val="0"/>
    <w:qFormat/>
    <w:pPr>
      <w:ind w:firstLine="200"/>
      <w:tabs>
        <w:tab w:val="left" w:pos="360" w:leader="none"/>
      </w:tabs>
    </w:pPr>
    <w:rPr>
      <w:sz w:val="28"/>
      <w:szCs w:val="30"/>
    </w:rPr>
  </w:style>
  <w:style w:type="paragraph" w:styleId="993" w:customStyle="1">
    <w:name w:val="Char1"/>
    <w:basedOn w:val="929"/>
    <w:uiPriority w:val="0"/>
    <w:qFormat/>
    <w:rPr>
      <w:rFonts w:ascii="Tahoma" w:hAnsi="Tahoma"/>
      <w:sz w:val="24"/>
      <w:szCs w:val="24"/>
    </w:rPr>
  </w:style>
  <w:style w:type="paragraph" w:styleId="994"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995" w:customStyle="1">
    <w:name w:val="table_lines"/>
    <w:basedOn w:val="724"/>
    <w:uiPriority w:val="0"/>
    <w:qFormat/>
    <w:pPr>
      <w:jc w:val="left"/>
      <w:widowControl/>
    </w:pPr>
    <w:rPr>
      <w:sz w:val="20"/>
      <w:szCs w:val="20"/>
      <w:lang w:val="de-DE" w:eastAsia="de-DE"/>
    </w:rPr>
  </w:style>
  <w:style w:type="paragraph" w:styleId="99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7" w:customStyle="1">
    <w:name w:val="font7"/>
    <w:basedOn w:val="724"/>
    <w:uiPriority w:val="0"/>
    <w:qFormat/>
    <w:pPr>
      <w:jc w:val="left"/>
      <w:spacing w:before="100" w:beforeAutospacing="1" w:after="100" w:afterAutospacing="1"/>
      <w:widowControl/>
    </w:pPr>
    <w:rPr>
      <w:rFonts w:hint="eastAsia" w:ascii="宋体" w:hAnsi="宋体"/>
      <w:sz w:val="18"/>
      <w:szCs w:val="18"/>
    </w:rPr>
  </w:style>
  <w:style w:type="paragraph" w:styleId="998" w:customStyle="1">
    <w:name w:val="Char Char Char Char"/>
    <w:basedOn w:val="929"/>
    <w:uiPriority w:val="0"/>
    <w:qFormat/>
    <w:pPr>
      <w:spacing w:line="360" w:lineRule="auto"/>
    </w:pPr>
    <w:rPr>
      <w:rFonts w:ascii="Tahoma" w:hAnsi="Tahoma"/>
      <w:sz w:val="24"/>
      <w:szCs w:val="24"/>
    </w:rPr>
  </w:style>
  <w:style w:type="paragraph" w:styleId="999" w:customStyle="1">
    <w:name w:val="列出段落2"/>
    <w:basedOn w:val="724"/>
    <w:uiPriority w:val="99"/>
    <w:qFormat/>
    <w:pPr>
      <w:contextualSpacing/>
      <w:ind w:left="720"/>
      <w:jc w:val="left"/>
      <w:widowControl/>
    </w:pPr>
    <w:rPr>
      <w:rFonts w:ascii="Calibri" w:hAnsi="Calibri"/>
      <w:sz w:val="24"/>
      <w:szCs w:val="24"/>
      <w:lang w:eastAsia="en-US" w:bidi="en-US"/>
    </w:rPr>
  </w:style>
  <w:style w:type="paragraph" w:styleId="1000" w:customStyle="1">
    <w:name w:val="4"/>
    <w:basedOn w:val="724"/>
    <w:next w:val="959"/>
    <w:uiPriority w:val="0"/>
    <w:qFormat/>
    <w:pPr>
      <w:ind w:firstLine="420"/>
      <w:spacing w:line="360" w:lineRule="auto"/>
    </w:pPr>
    <w:rPr>
      <w:color w:val="ff0000"/>
      <w:sz w:val="24"/>
      <w:szCs w:val="24"/>
    </w:rPr>
  </w:style>
  <w:style w:type="paragraph" w:styleId="1001" w:customStyle="1">
    <w:name w:val="普通 (Web)"/>
    <w:basedOn w:val="724"/>
    <w:uiPriority w:val="0"/>
    <w:qFormat/>
    <w:pPr>
      <w:jc w:val="left"/>
      <w:spacing w:before="100" w:beforeAutospacing="1" w:after="100" w:afterAutospacing="1"/>
      <w:widowControl/>
    </w:pPr>
    <w:rPr>
      <w:rFonts w:ascii="宋体" w:hAnsi="宋体"/>
      <w:sz w:val="24"/>
      <w:szCs w:val="24"/>
    </w:rPr>
  </w:style>
  <w:style w:type="paragraph" w:styleId="1002" w:customStyle="1">
    <w:name w:val="Char Char Char Char Char Char Char Char Char Char"/>
    <w:basedOn w:val="724"/>
    <w:uiPriority w:val="0"/>
    <w:qFormat/>
    <w:pPr>
      <w:spacing w:line="360" w:lineRule="auto"/>
    </w:pPr>
    <w:rPr>
      <w:sz w:val="24"/>
      <w:szCs w:val="20"/>
    </w:rPr>
  </w:style>
  <w:style w:type="paragraph" w:styleId="1003" w:customStyle="1">
    <w:name w:val="样式1"/>
    <w:basedOn w:val="724"/>
    <w:uiPriority w:val="0"/>
    <w:qFormat/>
    <w:pPr>
      <w:numPr>
        <w:ilvl w:val="0"/>
        <w:numId w:val="3"/>
      </w:numPr>
    </w:pPr>
    <w:rPr>
      <w:rFonts w:ascii="宋体" w:hAnsi="宋体"/>
    </w:rPr>
  </w:style>
  <w:style w:type="paragraph" w:styleId="1004" w:customStyle="1">
    <w:name w:val="font6"/>
    <w:basedOn w:val="724"/>
    <w:uiPriority w:val="0"/>
    <w:qFormat/>
    <w:pPr>
      <w:jc w:val="left"/>
      <w:spacing w:before="100" w:beforeAutospacing="1" w:after="100" w:afterAutospacing="1"/>
      <w:widowControl/>
    </w:pPr>
    <w:rPr>
      <w:rFonts w:hint="eastAsia" w:ascii="宋体" w:hAnsi="宋体"/>
      <w:sz w:val="28"/>
      <w:szCs w:val="28"/>
      <w:u w:val="single"/>
    </w:rPr>
  </w:style>
  <w:style w:type="paragraph" w:styleId="1005"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6"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7" w:customStyle="1">
    <w:name w:val="标题3"/>
    <w:basedOn w:val="724"/>
    <w:next w:val="724"/>
    <w:uiPriority w:val="0"/>
    <w:qFormat/>
    <w:pPr>
      <w:ind w:firstLine="624"/>
      <w:spacing w:line="590" w:lineRule="atLeast"/>
    </w:pPr>
    <w:rPr>
      <w:rFonts w:ascii="方正黑体_GBK" w:eastAsia="方正黑体_GBK"/>
      <w:sz w:val="32"/>
      <w:szCs w:val="32"/>
    </w:rPr>
  </w:style>
  <w:style w:type="paragraph" w:styleId="1008"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0" w:customStyle="1">
    <w:name w:val="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11"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013" w:customStyle="1">
    <w:name w:val="xl30"/>
    <w:basedOn w:val="724"/>
    <w:uiPriority w:val="0"/>
    <w:qFormat/>
    <w:pPr>
      <w:jc w:val="center"/>
      <w:spacing w:before="100" w:beforeAutospacing="1" w:after="100" w:afterAutospacing="1"/>
      <w:widowControl/>
    </w:pPr>
    <w:rPr>
      <w:rFonts w:ascii="宋体" w:hAnsi="宋体"/>
      <w:b/>
      <w:bCs/>
      <w:sz w:val="36"/>
      <w:szCs w:val="36"/>
    </w:rPr>
  </w:style>
  <w:style w:type="paragraph" w:styleId="1014" w:customStyle="1">
    <w:name w:val="Char Char Char Char1"/>
    <w:basedOn w:val="929"/>
    <w:uiPriority w:val="0"/>
    <w:qFormat/>
    <w:pPr>
      <w:spacing w:line="360" w:lineRule="auto"/>
    </w:pPr>
    <w:rPr>
      <w:rFonts w:ascii="Tahoma" w:hAnsi="Tahoma"/>
      <w:sz w:val="24"/>
      <w:szCs w:val="24"/>
    </w:rPr>
  </w:style>
  <w:style w:type="paragraph" w:styleId="1015" w:customStyle="1">
    <w:name w:val="table_1stline"/>
    <w:basedOn w:val="724"/>
    <w:uiPriority w:val="0"/>
    <w:qFormat/>
    <w:pPr>
      <w:jc w:val="left"/>
      <w:spacing w:before="120"/>
      <w:widowControl/>
    </w:pPr>
    <w:rPr>
      <w:bCs/>
      <w:sz w:val="20"/>
      <w:szCs w:val="20"/>
      <w:lang w:val="de-DE" w:eastAsia="de-DE"/>
    </w:rPr>
  </w:style>
  <w:style w:type="paragraph" w:styleId="1016" w:customStyle="1">
    <w:name w:val="font5"/>
    <w:basedOn w:val="724"/>
    <w:uiPriority w:val="0"/>
    <w:qFormat/>
    <w:pPr>
      <w:jc w:val="left"/>
      <w:spacing w:before="100" w:beforeAutospacing="1" w:after="100" w:afterAutospacing="1"/>
      <w:widowControl/>
    </w:pPr>
    <w:rPr>
      <w:rFonts w:hint="eastAsia" w:ascii="宋体" w:hAnsi="宋体"/>
      <w:sz w:val="28"/>
      <w:szCs w:val="28"/>
    </w:rPr>
  </w:style>
  <w:style w:type="paragraph" w:styleId="1017"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customStyle="1">
    <w:name w:val="修订1"/>
    <w:uiPriority w:val="99"/>
    <w:semiHidden/>
    <w:qFormat/>
    <w:rPr>
      <w:rFonts w:ascii="Times New Roman" w:hAnsi="Times New Roman" w:eastAsia="宋体" w:cs="Times New Roman"/>
      <w:sz w:val="21"/>
      <w:szCs w:val="21"/>
      <w:lang w:val="en-US" w:eastAsia="zh-CN" w:bidi="ar-SA"/>
    </w:rPr>
  </w:style>
  <w:style w:type="paragraph" w:styleId="101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20" w:customStyle="1">
    <w:name w:val="普通文字"/>
    <w:basedOn w:val="724"/>
    <w:next w:val="724"/>
    <w:uiPriority w:val="99"/>
    <w:qFormat/>
    <w:rPr>
      <w:rFonts w:ascii="宋体"/>
      <w:sz w:val="24"/>
      <w:szCs w:val="20"/>
    </w:rPr>
  </w:style>
  <w:style w:type="paragraph" w:styleId="1021" w:customStyle="1">
    <w:name w:val="目录 111"/>
    <w:basedOn w:val="724"/>
    <w:next w:val="724"/>
    <w:uiPriority w:val="39"/>
    <w:unhideWhenUsed/>
    <w:qFormat/>
    <w:pPr>
      <w:jc w:val="left"/>
      <w:spacing w:after="100" w:line="259" w:lineRule="auto"/>
      <w:widowControl/>
    </w:pPr>
    <w:rPr>
      <w:rFonts w:ascii="Calibri" w:hAnsi="Calibri"/>
      <w:sz w:val="22"/>
      <w:szCs w:val="22"/>
    </w:rPr>
  </w:style>
  <w:style w:type="table" w:styleId="1022" w:customStyle="1">
    <w:name w:val="网格型1"/>
    <w:basedOn w:val="1023"/>
    <w:uiPriority w:val="0"/>
    <w:qFormat/>
    <w:pPr>
      <w:jc w:val="both"/>
      <w:widowControl w:val="off"/>
    </w:pPr>
    <w:tblPr>
      <w:tblCellMar>
        <w:left w:w="0" w:type="dxa"/>
        <w:top w:w="0" w:type="dxa"/>
        <w:right w:w="0" w:type="dxa"/>
        <w:bottom w:w="0" w:type="dxa"/>
      </w:tblCellMar>
    </w:tblPr>
  </w:style>
  <w:style w:type="table" w:styleId="1023" w:customStyle="1">
    <w:name w:val="普通表格1"/>
    <w:basedOn w:val="916"/>
    <w:uiPriority w:val="0"/>
    <w:qFormat/>
    <w:tblPr>
      <w:tblCellMar>
        <w:left w:w="0" w:type="dxa"/>
        <w:top w:w="0" w:type="dxa"/>
        <w:right w:w="0" w:type="dxa"/>
        <w:bottom w:w="0" w:type="dxa"/>
      </w:tblCellMar>
    </w:tblPr>
  </w:style>
  <w:style w:type="paragraph" w:styleId="1024" w:customStyle="1">
    <w:name w:val="标题 11"/>
    <w:basedOn w:val="724"/>
    <w:next w:val="724"/>
    <w:uiPriority w:val="0"/>
    <w:qFormat/>
    <w:pPr>
      <w:jc w:val="center"/>
      <w:keepNext/>
      <w:outlineLvl w:val="0"/>
    </w:pPr>
    <w:rPr>
      <w:rFonts w:ascii="楷体_GB2312" w:eastAsia="楷体_GB2312"/>
      <w:sz w:val="28"/>
      <w:szCs w:val="28"/>
    </w:rPr>
  </w:style>
  <w:style w:type="paragraph" w:styleId="102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6" w:customStyle="1">
    <w:name w:val="正文文本11"/>
    <w:basedOn w:val="724"/>
    <w:uiPriority w:val="0"/>
    <w:qFormat/>
    <w:rPr>
      <w:sz w:val="18"/>
      <w:szCs w:val="20"/>
    </w:rPr>
  </w:style>
  <w:style w:type="paragraph" w:styleId="1027" w:customStyle="1">
    <w:name w:val="Table Text"/>
    <w:basedOn w:val="724"/>
    <w:uiPriority w:val="0"/>
    <w:semiHidden/>
    <w:qFormat/>
    <w:pPr>
      <w:jc w:val="left"/>
      <w:widowControl/>
    </w:pPr>
    <w:rPr>
      <w:rFonts w:ascii="宋体" w:hAnsi="宋体" w:cs="宋体"/>
      <w:color w:val="000000"/>
      <w:lang w:eastAsia="en-US"/>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72</cp:revision>
  <dcterms:created xsi:type="dcterms:W3CDTF">2023-03-16T02:16:00Z</dcterms:created>
  <dcterms:modified xsi:type="dcterms:W3CDTF">2026-07-03T06:51:11Z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eyJoZGlkIjoiMTIwMTFkOWI4ZjMxZDg1NGRmZTFkODc5ZjI4ZTlhOGYiLCJ1c2VySWQiOiIxNjAyNjc0NDYyIn0=</vt:lpwstr>
  </property>
  <property fmtid="{D5CDD505-2E9C-101B-9397-08002B2CF9AE}" pid="3" name="KSOProductBuildVer">
    <vt:lpwstr>2052-12.1.0.26895</vt:lpwstr>
  </property>
  <property fmtid="{D5CDD505-2E9C-101B-9397-08002B2CF9AE}" pid="4" name="ICV">
    <vt:lpwstr>EBCA2936CB2A41F3B65DCFF200BE5E8D_13</vt:lpwstr>
  </property>
</Properties>
</file>