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lang w:val="en-US" w:eastAsia="zh-CN"/>
        </w:rPr>
      </w:pPr>
      <w:r>
        <w:rPr>
          <w:rFonts w:hint="eastAsia" w:ascii="宋体" w:hAnsi="宋体" w:eastAsia="宋体" w:cs="宋体"/>
          <w:b/>
          <w:color w:val="auto"/>
          <w:sz w:val="72"/>
          <w:szCs w:val="20"/>
          <w:highlight w:val="none"/>
          <w:shd w:val="clear" w:color="auto" w:fill="ffffff"/>
          <w:lang w:val="en-US" w:eastAsia="zh-CN"/>
        </w:rPr>
        <w:t xml:space="preserve">                                                              </w:t>
      </w:r>
      <w:r/>
    </w:p>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  苏州</w:t>
      </w:r>
      <w:r>
        <w:rPr>
          <w:rFonts w:hint="eastAsia" w:ascii="宋体" w:hAnsi="宋体" w:eastAsia="宋体" w:cs="宋体"/>
          <w:b/>
          <w:color w:val="auto"/>
          <w:sz w:val="72"/>
          <w:szCs w:val="20"/>
          <w:highlight w:val="none"/>
          <w:shd w:val="clear" w:color="auto" w:fill="ffffff"/>
          <w:lang w:val="en-US" w:eastAsia="zh-CN"/>
        </w:rPr>
        <w:t xml:space="preserve">工业园区</w:t>
      </w:r>
      <w:r>
        <w:rPr>
          <w:rFonts w:hint="eastAsia" w:ascii="宋体" w:hAnsi="宋体" w:eastAsia="宋体" w:cs="宋体"/>
          <w:b/>
          <w:color w:val="auto"/>
          <w:sz w:val="72"/>
          <w:szCs w:val="20"/>
          <w:highlight w:val="none"/>
          <w:shd w:val="clear" w:color="auto" w:fill="ffffff"/>
        </w:rPr>
        <w:t xml:space="preserve">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6"/>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szCs w:val="20"/>
          <w:highlight w:val="none"/>
          <w:shd w:val="clear" w:color="auto" w:fill="ffffff"/>
        </w:rPr>
        <w:t xml:space="preserve">标    号：</w:t>
      </w:r>
      <w:r>
        <w:rPr>
          <w:rFonts w:hint="eastAsia" w:ascii="宋体" w:hAnsi="宋体" w:eastAsia="宋体" w:cs="宋体"/>
          <w:b/>
          <w:bCs/>
          <w:color w:val="auto"/>
          <w:sz w:val="32"/>
          <w:highlight w:val="none"/>
          <w:lang w:eastAsia="zh-CN"/>
        </w:rPr>
        <w:t xml:space="preserve">JSZC-320591-HXZJ-G2026-0015</w:t>
      </w:r>
      <w:r/>
    </w:p>
    <w:p>
      <w:pPr>
        <w:ind w:firstLine="1606"/>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eastAsia="宋体" w:cs="宋体"/>
          <w:b/>
          <w:bCs/>
          <w:color w:val="auto"/>
          <w:sz w:val="32"/>
          <w:szCs w:val="20"/>
          <w:highlight w:val="none"/>
          <w:shd w:val="clear" w:color="auto" w:fill="ffffff"/>
          <w:lang w:eastAsia="zh-CN"/>
        </w:rPr>
        <w:t xml:space="preserve">苏州工业园区教育局</w:t>
      </w:r>
      <w:r/>
    </w:p>
    <w:p>
      <w:pPr>
        <w:ind w:firstLine="1606"/>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采购内容：</w:t>
      </w:r>
      <w:r>
        <w:rPr>
          <w:rFonts w:hint="eastAsia" w:ascii="宋体" w:hAnsi="宋体" w:eastAsia="宋体" w:cs="宋体"/>
          <w:b/>
          <w:bCs/>
          <w:color w:val="auto"/>
          <w:sz w:val="32"/>
          <w:szCs w:val="20"/>
          <w:highlight w:val="none"/>
          <w:shd w:val="clear" w:color="auto" w:fill="ffffff"/>
          <w:lang w:eastAsia="zh-CN"/>
        </w:rPr>
        <w:t xml:space="preserve">斜塘学校改建修缮项目厨房设备采购</w:t>
      </w:r>
      <w:r/>
    </w:p>
    <w:p>
      <w:pPr>
        <w:ind w:firstLine="1606"/>
        <w:spacing w:line="360" w:lineRule="auto"/>
        <w:rPr>
          <w:rFonts w:hint="eastAsia"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采购类别：</w:t>
      </w:r>
      <w:r>
        <w:rPr>
          <w:rFonts w:hint="eastAsia" w:ascii="宋体" w:hAnsi="宋体" w:eastAsia="宋体" w:cs="宋体"/>
          <w:b/>
          <w:bCs/>
          <w:color w:val="auto"/>
          <w:sz w:val="32"/>
          <w:szCs w:val="20"/>
          <w:highlight w:val="none"/>
          <w:shd w:val="clear" w:color="auto" w:fill="ffffff"/>
          <w:lang w:val="en-US" w:eastAsia="zh-CN"/>
        </w:rPr>
        <w:t xml:space="preserve">货物</w:t>
      </w:r>
      <w:r>
        <w:rPr>
          <w:rFonts w:hint="eastAsia" w:ascii="宋体" w:hAnsi="宋体" w:eastAsia="宋体" w:cs="宋体"/>
          <w:b/>
          <w:bCs/>
          <w:color w:val="auto"/>
          <w:sz w:val="32"/>
          <w:szCs w:val="20"/>
          <w:highlight w:val="none"/>
          <w:shd w:val="clear" w:color="auto" w:fill="ffffff"/>
        </w:rPr>
        <w:t xml:space="preserve">类</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七</w:t>
      </w:r>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 xml:space="preserve">前附表</w:t>
      </w:r>
      <w:r/>
    </w:p>
    <w:tbl>
      <w:tblPr>
        <w:tblStyle w:val="933"/>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序号</w:t>
            </w:r>
            <w:r/>
          </w:p>
        </w:tc>
        <w:tc>
          <w:tcPr>
            <w:tcW w:w="9144" w:type="dxa"/>
            <w:vAlign w:val="center"/>
            <w:textDirection w:val="lrTb"/>
            <w:noWrap w:val="false"/>
          </w:tcPr>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采购内容：</w:t>
            </w:r>
            <w:r>
              <w:rPr>
                <w:rFonts w:hint="eastAsia" w:ascii="宋体" w:hAnsi="宋体" w:eastAsia="宋体" w:cs="宋体"/>
                <w:color w:val="auto"/>
                <w:sz w:val="24"/>
                <w:szCs w:val="24"/>
                <w:highlight w:val="none"/>
                <w:shd w:val="clear" w:color="auto" w:fill="ffffff"/>
                <w:lang w:eastAsia="zh-CN"/>
              </w:rPr>
              <w:t xml:space="preserve">斜塘学校改建修缮项目厨房设备采购</w:t>
            </w:r>
            <w:r/>
          </w:p>
        </w:tc>
      </w:tr>
      <w:tr>
        <w:trPr>
          <w:jc w:val="center"/>
          <w:trHeight w:val="37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投标有效期：自投标截止日起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投标保证金：</w:t>
            </w:r>
            <w:r>
              <w:rPr>
                <w:rFonts w:hint="eastAsia" w:ascii="宋体" w:hAnsi="宋体" w:eastAsia="宋体" w:cs="宋体"/>
                <w:color w:val="auto"/>
                <w:sz w:val="24"/>
                <w:szCs w:val="24"/>
                <w:highlight w:val="none"/>
              </w:rPr>
              <w:t xml:space="preserve">本项目不收取投标保证金。</w:t>
            </w:r>
            <w:r/>
          </w:p>
        </w:tc>
      </w:tr>
      <w:tr>
        <w:trPr>
          <w:jc w:val="center"/>
          <w:trHeight w:val="28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9144"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shd w:val="clear" w:color="auto" w:fill="ffffff"/>
              </w:rPr>
              <w:t xml:space="preserve">投标文件：本项目采用网上提交电子投标文件，不接受纸质投标文件。中标后7天内，中标供应商提交</w:t>
            </w:r>
            <w:r>
              <w:rPr>
                <w:rFonts w:hint="eastAsia" w:ascii="宋体" w:hAnsi="宋体" w:eastAsia="宋体" w:cs="宋体"/>
                <w:b/>
                <w:bCs/>
                <w:color w:val="auto"/>
                <w:sz w:val="24"/>
                <w:szCs w:val="24"/>
                <w:highlight w:val="none"/>
                <w:u w:val="single"/>
                <w:shd w:val="clear" w:color="auto" w:fill="ffffff"/>
              </w:rPr>
              <w:t xml:space="preserve">三份</w:t>
            </w:r>
            <w:r>
              <w:rPr>
                <w:rFonts w:hint="eastAsia" w:ascii="宋体" w:hAnsi="宋体" w:eastAsia="宋体" w:cs="宋体"/>
                <w:color w:val="auto"/>
                <w:sz w:val="24"/>
                <w:szCs w:val="24"/>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9144" w:type="dxa"/>
            <w:vAlign w:val="center"/>
            <w:textDirection w:val="lrTb"/>
            <w:noWrap w:val="false"/>
          </w:tcPr>
          <w:p>
            <w:pPr>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开标信息</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投标截止时间：202</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年</w:t>
            </w:r>
            <w:r>
              <w:rPr>
                <w:rFonts w:hint="eastAsia" w:ascii="宋体" w:hAnsi="宋体" w:eastAsia="宋体" w:cs="宋体"/>
                <w:color w:val="auto"/>
                <w:sz w:val="24"/>
                <w:szCs w:val="24"/>
                <w:highlight w:val="none"/>
                <w:shd w:val="clear" w:color="auto" w:fill="ffffff"/>
                <w:lang w:val="en-US" w:eastAsia="zh-CN"/>
              </w:rPr>
              <w:t xml:space="preserve">07</w:t>
            </w:r>
            <w:r>
              <w:rPr>
                <w:rFonts w:hint="eastAsia" w:ascii="宋体" w:hAnsi="宋体" w:eastAsia="宋体" w:cs="宋体"/>
                <w:color w:val="auto"/>
                <w:sz w:val="24"/>
                <w:szCs w:val="24"/>
                <w:highlight w:val="none"/>
                <w:shd w:val="clear" w:color="auto" w:fill="ffffff"/>
              </w:rPr>
              <w:t xml:space="preserve">月</w:t>
            </w:r>
            <w:r>
              <w:rPr>
                <w:rFonts w:hint="eastAsia" w:ascii="宋体" w:hAnsi="宋体" w:eastAsia="宋体" w:cs="宋体"/>
                <w:color w:val="auto"/>
                <w:sz w:val="24"/>
                <w:szCs w:val="24"/>
                <w:highlight w:val="none"/>
                <w:shd w:val="clear" w:color="auto" w:fill="ffffff"/>
                <w:lang w:val="en-US" w:eastAsia="zh-CN"/>
              </w:rPr>
              <w:t xml:space="preserve">20</w:t>
            </w:r>
            <w:r>
              <w:rPr>
                <w:rFonts w:hint="eastAsia" w:ascii="宋体" w:hAnsi="宋体" w:eastAsia="宋体" w:cs="宋体"/>
                <w:color w:val="auto"/>
                <w:sz w:val="24"/>
                <w:szCs w:val="24"/>
                <w:highlight w:val="none"/>
                <w:shd w:val="clear" w:color="auto" w:fill="ffffff"/>
              </w:rPr>
              <w:t xml:space="preserve">日</w:t>
            </w:r>
            <w:r>
              <w:rPr>
                <w:rFonts w:hint="eastAsia" w:ascii="宋体" w:hAnsi="宋体" w:eastAsia="宋体" w:cs="宋体"/>
                <w:color w:val="auto"/>
                <w:sz w:val="24"/>
                <w:szCs w:val="24"/>
                <w:highlight w:val="none"/>
                <w:shd w:val="clear" w:color="auto" w:fill="ffffff"/>
                <w:lang w:val="en-US" w:eastAsia="zh-CN"/>
              </w:rPr>
              <w:t xml:space="preserve">09:30</w:t>
            </w:r>
            <w:r>
              <w:rPr>
                <w:rFonts w:hint="eastAsia" w:ascii="宋体" w:hAnsi="宋体" w:eastAsia="宋体" w:cs="宋体"/>
                <w:color w:val="auto"/>
                <w:sz w:val="24"/>
                <w:szCs w:val="24"/>
                <w:highlight w:val="none"/>
                <w:shd w:val="clear" w:color="auto" w:fill="ffffff"/>
              </w:rPr>
              <w:t xml:space="preserve"> 整</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开标时间：</w:t>
            </w:r>
            <w:r>
              <w:rPr>
                <w:rFonts w:hint="eastAsia" w:ascii="宋体" w:hAnsi="宋体" w:eastAsia="宋体" w:cs="宋体"/>
                <w:color w:val="auto"/>
                <w:sz w:val="24"/>
                <w:szCs w:val="24"/>
                <w:highlight w:val="none"/>
                <w:shd w:val="clear" w:color="auto" w:fill="ffffff"/>
                <w:lang w:val="en-US" w:eastAsia="zh-CN"/>
              </w:rPr>
              <w:t xml:space="preserve">2026年07月20</w:t>
            </w:r>
            <w:r>
              <w:rPr>
                <w:rFonts w:hint="eastAsia" w:ascii="宋体" w:hAnsi="宋体" w:eastAsia="宋体" w:cs="宋体"/>
                <w:color w:val="auto"/>
                <w:sz w:val="24"/>
                <w:szCs w:val="24"/>
                <w:highlight w:val="none"/>
                <w:shd w:val="clear" w:color="auto" w:fill="ffffff"/>
              </w:rPr>
              <w:t xml:space="preserve">日</w:t>
            </w:r>
            <w:r>
              <w:rPr>
                <w:rFonts w:hint="eastAsia" w:ascii="宋体" w:hAnsi="宋体" w:eastAsia="宋体" w:cs="宋体"/>
                <w:color w:val="auto"/>
                <w:sz w:val="24"/>
                <w:szCs w:val="24"/>
                <w:highlight w:val="none"/>
                <w:shd w:val="clear" w:color="auto" w:fill="ffffff"/>
                <w:lang w:val="en-US" w:eastAsia="zh-CN"/>
              </w:rPr>
              <w:t xml:space="preserve">09:30</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整</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开标地点：“苏采云”系统（网址：http://jszfcg.jsczt.cn/）</w:t>
            </w:r>
            <w:r/>
          </w:p>
          <w:p>
            <w:pPr>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履约保证金：</w:t>
            </w:r>
            <w:r>
              <w:rPr>
                <w:rFonts w:hint="eastAsia" w:ascii="宋体" w:hAnsi="宋体" w:eastAsia="宋体" w:cs="宋体"/>
                <w:color w:val="auto"/>
                <w:sz w:val="24"/>
                <w:szCs w:val="24"/>
                <w:highlight w:val="none"/>
                <w:shd w:val="clear" w:color="auto" w:fill="ffffff"/>
                <w:lang w:val="en-US" w:eastAsia="zh-CN"/>
              </w:rPr>
              <w:t xml:space="preserve">无。</w:t>
            </w:r>
            <w:r/>
          </w:p>
        </w:tc>
      </w:tr>
      <w:tr>
        <w:trPr>
          <w:jc w:val="center"/>
          <w:trHeight w:val="566"/>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7</w:t>
            </w:r>
            <w:r/>
          </w:p>
        </w:tc>
        <w:tc>
          <w:tcPr>
            <w:tcW w:w="9144" w:type="dxa"/>
            <w:vAlign w:val="center"/>
            <w:textDirection w:val="lrTb"/>
            <w:noWrap w:val="false"/>
          </w:tcPr>
          <w:p>
            <w:pPr>
              <w:ind w:right="18"/>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代理服务费收费标准按照《关于苏州市级政府采购代理服务收费有关问题的通知》（苏财购字〔2016〕18号）执行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具体按照</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在“苏州市政府采购网”上公告的服务收费</w:t>
            </w:r>
            <w:r>
              <w:rPr>
                <w:rFonts w:hint="eastAsia" w:ascii="宋体" w:hAnsi="宋体" w:eastAsia="宋体" w:cs="宋体"/>
                <w:color w:val="auto"/>
                <w:sz w:val="24"/>
                <w:szCs w:val="24"/>
                <w:highlight w:val="none"/>
                <w:lang w:val="en-US" w:eastAsia="zh-CN"/>
              </w:rPr>
              <w:t xml:space="preserve">*60%收取</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预算金额100万元以下部分，费率为该部分预算金额的1.5%；</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预算金额100万元（含）－500万元部分，费率为该部分预算金额的1.1%；</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预算金额500万元（含）-1000万元部分，费率为该部分预算金额的0.8%；</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预算金额1000万元（含）-5000万元部分，费率为该部分预算金额的0.5%；</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预算金额5000万元以上部分，费率为该部分预算金额的0.25%。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说明：代理服务费以采购预算金额为基数依据，按以上规定的标准和差额定率累进法进行计算收取。</w:t>
            </w:r>
            <w:r>
              <w:rPr>
                <w:rFonts w:hint="eastAsia" w:ascii="宋体" w:hAnsi="宋体" w:eastAsia="宋体" w:cs="宋体"/>
                <w:color w:val="auto"/>
                <w:sz w:val="24"/>
                <w:szCs w:val="24"/>
                <w:highlight w:val="none"/>
                <w:lang w:val="en-US" w:eastAsia="zh-CN" w:bidi="ar"/>
              </w:rPr>
              <w:t xml:space="preserve">收取方式：现金或转账。</w:t>
            </w:r>
            <w:r>
              <w:rPr>
                <w:rFonts w:hint="eastAsia" w:ascii="宋体" w:hAnsi="宋体" w:eastAsia="宋体" w:cs="宋体"/>
                <w:color w:val="auto"/>
                <w:sz w:val="24"/>
                <w:szCs w:val="24"/>
                <w:highlight w:val="none"/>
                <w:lang w:bidi="ar"/>
              </w:rPr>
              <w:t xml:space="preserve">例：如预算金额为150万元，则代理服务费＝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100万元×1.5%＋（150万元－100万元）×1.1%</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bidi="ar"/>
              </w:rPr>
              <w:t xml:space="preserve">。如按上述方法计算的金额低于人民币4000元整的，则本项目代理服务费按人民币4000元整计收，最低不低于4000元。</w:t>
            </w:r>
            <w:r>
              <w:rPr>
                <w:rFonts w:hint="eastAsia" w:ascii="宋体" w:hAnsi="宋体" w:eastAsia="宋体" w:cs="宋体"/>
                <w:color w:val="auto"/>
                <w:sz w:val="24"/>
                <w:szCs w:val="24"/>
                <w:highlight w:val="none"/>
                <w:lang w:val="en-US" w:eastAsia="zh-CN" w:bidi="ar"/>
              </w:rPr>
              <w:t xml:space="preserve">本项目</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lang w:val="en-US" w:eastAsia="zh-CN"/>
              </w:rPr>
              <w:t xml:space="preserve">由于采购人未在采购预算中列支该项经费，由中标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领取</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通知书时向采购代理机构一次性付清。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本项目代理费金额：29234元</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收款单位：苏州华星工程造价咨询有限公司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银行账号：520958193351</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开户银行：中国银行股份有限公司苏州东环路支行</w:t>
            </w:r>
            <w:r/>
          </w:p>
        </w:tc>
      </w:tr>
      <w:tr>
        <w:trPr>
          <w:jc w:val="center"/>
          <w:trHeight w:val="696"/>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8</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苏州工业园区政府采购监督电话：0512-66681110</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4"/>
          <w:highlight w:val="none"/>
          <w:shd w:val="clear" w:color="auto" w:fill="ffffff"/>
        </w:rPr>
        <w:t xml:space="preserve">第一章投标邀请函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第二章供应商须知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第三章投标文件格式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_Toc105940239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rPr>
        <w:fldChar w:fldCharType="end"/>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第四章招标书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_Toc105940240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47</w:t>
      </w:r>
      <w:r>
        <w:rPr>
          <w:rFonts w:hint="eastAsia" w:ascii="宋体" w:hAnsi="宋体" w:eastAsia="宋体" w:cs="宋体"/>
          <w:color w:val="auto"/>
          <w:sz w:val="24"/>
          <w:szCs w:val="24"/>
          <w:highlight w:val="none"/>
        </w:rPr>
        <w:fldChar w:fldCharType="end"/>
      </w:r>
      <w:r/>
    </w:p>
    <w:p>
      <w:pPr>
        <w:jc w:val="left"/>
        <w:spacing w:line="360" w:lineRule="auto"/>
        <w:tabs>
          <w:tab w:val="right" w:pos="902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第五章合同主要条款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96</w:t>
      </w:r>
      <w:r/>
    </w:p>
    <w:p>
      <w:pPr>
        <w:jc w:val="left"/>
        <w:spacing w:line="360" w:lineRule="auto"/>
        <w:tabs>
          <w:tab w:val="right" w:pos="902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第六章评分标准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104</w:t>
      </w:r>
      <w:r/>
    </w:p>
    <w:p>
      <w:pP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tabs>
          <w:tab w:val="left" w:pos="6398" w:leader="none"/>
        </w:tabs>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第一章投标邀请函</w:t>
      </w:r>
      <w:bookmarkEnd w:id="0"/>
      <w:r/>
      <w:r/>
    </w:p>
    <w:p>
      <w:pPr>
        <w:spacing w:line="360" w:lineRule="auto"/>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br w:type="page" w:clear="all"/>
      </w:r>
      <w:bookmarkStart w:id="1" w:name="_Hlk117242093"/>
      <w:r/>
      <w:bookmarkEnd w:id="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933"/>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eastAsia="zh-CN"/>
              </w:rPr>
              <w:t xml:space="preserve">斜塘学校改建修缮项目厨房设备采购</w:t>
            </w:r>
            <w:r>
              <w:rPr>
                <w:rFonts w:hint="eastAsia" w:ascii="宋体" w:hAnsi="宋体" w:eastAsia="宋体" w:cs="宋体"/>
                <w:color w:val="auto"/>
                <w:sz w:val="24"/>
                <w:szCs w:val="24"/>
                <w:highlight w:val="none"/>
              </w:rPr>
              <w:t xml:space="preserve">的潜在供应商应在江苏省政府采购一体化平台“苏采云”系统自行免费下载招标文件，并于</w:t>
            </w:r>
            <w:r>
              <w:rPr>
                <w:rFonts w:hint="eastAsia" w:ascii="宋体" w:hAnsi="宋体" w:eastAsia="宋体" w:cs="宋体"/>
                <w:color w:val="auto"/>
                <w:sz w:val="24"/>
                <w:szCs w:val="24"/>
                <w:highlight w:val="none"/>
                <w:shd w:val="clear" w:color="auto" w:fill="ffffff"/>
                <w:lang w:val="en-US" w:eastAsia="zh-CN"/>
              </w:rPr>
              <w:t xml:space="preserve">2026年07月20日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分（北京时间）前递交投标文件。</w:t>
            </w:r>
            <w:r/>
          </w:p>
        </w:tc>
      </w:tr>
    </w:tbl>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JSZC-320591-HXZJ-G2026-0015</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斜塘学校改建修缮项目厨房设备采购</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肆佰零陆万伍仟柒佰伍拾捌元整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4065758.00</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肆佰零陆万伍仟柒佰伍拾捌元整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4065758.00</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本项目为</w:t>
      </w:r>
      <w:r>
        <w:rPr>
          <w:rFonts w:hint="eastAsia" w:ascii="宋体" w:hAnsi="宋体" w:eastAsia="宋体" w:cs="宋体"/>
          <w:color w:val="auto"/>
          <w:sz w:val="24"/>
          <w:szCs w:val="24"/>
          <w:highlight w:val="none"/>
          <w:lang w:eastAsia="zh-CN"/>
        </w:rPr>
        <w:t xml:space="preserve">斜塘学校改建修缮项目</w:t>
      </w:r>
      <w:r>
        <w:rPr>
          <w:rFonts w:hint="eastAsia" w:ascii="宋体" w:hAnsi="宋体" w:eastAsia="宋体" w:cs="宋体"/>
          <w:color w:val="auto"/>
          <w:sz w:val="24"/>
          <w:szCs w:val="24"/>
          <w:highlight w:val="none"/>
          <w:lang w:val="en-US" w:eastAsia="zh-CN" w:bidi="ar-SA"/>
        </w:rPr>
        <w:t xml:space="preserve">厨房设备供货与安装采购。投标人应履行所投产品的生产供货、安装、调试、培训、质保等要求。</w:t>
      </w:r>
      <w:r/>
    </w:p>
    <w:p>
      <w:pPr>
        <w:pStyle w:val="943"/>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合同履行期限：接到采购人通知后45天内完成安装及调试。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本项目不接受联合体投标。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93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根据《政府采购促进中小企业发展管理办法》的相关规定，本项目专门面向中小微企业，所属行业为工业，供应商所提供服务的承接单位应为中小微企业或监狱企业或残疾人福利性单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 w:name="_Hlk97035982"/>
      <w:r>
        <w:rPr>
          <w:rFonts w:hint="eastAsia" w:ascii="宋体" w:hAnsi="宋体" w:eastAsia="宋体" w:cs="宋体"/>
          <w:color w:val="auto"/>
          <w:sz w:val="24"/>
          <w:szCs w:val="24"/>
          <w:highlight w:val="none"/>
        </w:rPr>
        <w:t xml:space="preserve">1、时间：自招标文件公告发布之日起5个工作日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w:t>
      </w:r>
      <w:r>
        <w:rPr>
          <w:rFonts w:hint="eastAsia" w:ascii="宋体" w:hAnsi="宋体" w:eastAsia="宋体" w:cs="宋体"/>
          <w:color w:val="auto"/>
          <w:sz w:val="24"/>
          <w:szCs w:val="24"/>
          <w:highlight w:val="none"/>
          <w:lang w:val="en-US" w:eastAsia="zh-CN"/>
        </w:rPr>
        <w:t xml:space="preserve">系统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获取方式</w:t>
      </w:r>
      <w:r>
        <w:rPr>
          <w:rFonts w:hint="eastAsia" w:ascii="宋体" w:hAnsi="宋体" w:eastAsia="宋体" w:cs="宋体"/>
          <w:color w:val="auto"/>
          <w:sz w:val="24"/>
          <w:szCs w:val="24"/>
          <w:highlight w:val="none"/>
        </w:rPr>
        <w:t xml:space="preserve">：在苏采云系统获取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售价：0元</w:t>
      </w:r>
      <w:bookmarkEnd w:id="2"/>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 xml:space="preserve">2026年07月20日09:30</w:t>
      </w:r>
      <w:r>
        <w:rPr>
          <w:rFonts w:hint="eastAsia" w:ascii="宋体" w:hAnsi="宋体" w:eastAsia="宋体" w:cs="宋体"/>
          <w:color w:val="auto"/>
          <w:sz w:val="24"/>
          <w:szCs w:val="24"/>
          <w:highlight w:val="none"/>
          <w:lang w:val="en-US" w:eastAsia="zh-CN"/>
        </w:rPr>
        <w:t xml:space="preserve">（北京时间）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地点：“苏采云”系统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五、公告期限：自本公告发布之日起五个工作日。</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1、为本项目提供整体设计、规范编制等服务的供应商：无。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3、为本项目提供整体设计、规范编制或者项目管理、监理、监测等服务的供应商，不得再参加该采购项目及其他相关的采购活动。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4、本公告同时在苏州市政府采购网、江苏省政府采购网、中国政府采购网上发布。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6、如不同投标文件制作机器码一致，则投标无效。</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7、制作电子投标文件：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color w:val="auto"/>
          <w:sz w:val="24"/>
          <w:szCs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供应商应充分考虑到网络环境、网络带宽等风险因素，如因供应商自身原因造成的电子投标文件上传不成功由供应商自行承担全部责任。</w:t>
      </w:r>
      <w:r/>
    </w:p>
    <w:p>
      <w:pPr>
        <w:numPr>
          <w:ilvl w:val="0"/>
          <w:numId w:val="3"/>
        </w:num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eastAsia="宋体" w:cs="宋体"/>
          <w:color w:val="auto"/>
          <w:sz w:val="24"/>
          <w:szCs w:val="24"/>
          <w:highlight w:val="none"/>
        </w:rPr>
        <w:t xml:space="preserve">或法人授权委托书（如有）中</w:t>
      </w:r>
      <w:bookmarkEnd w:id="3"/>
      <w:r>
        <w:rPr>
          <w:rFonts w:hint="eastAsia" w:ascii="宋体" w:hAnsi="宋体" w:eastAsia="宋体" w:cs="宋体"/>
          <w:color w:val="auto"/>
          <w:sz w:val="24"/>
          <w:szCs w:val="24"/>
          <w:highlight w:val="none"/>
        </w:rPr>
        <w:t xml:space="preserve">留存的手机号与供应商联系。请供应商确保系统在线状态且该手机号开评标当日通讯畅通，否则导致的对供应商不利的后果由供应商自行承担。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苏州现场办理地址：苏州高新区邓尉路105号狮山科技馆1楼服务大厅，咨询电话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0512-65737699。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、线上参加开标会方式：供应商登录“苏采云”系统，点击“开标大厅”，选择对应项目，点击进入不见面开标系统。</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技术支持：</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、13675197356、13675197221</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“苏采云”平台技术咨询电话：0512-69820854、0519-86722802、13914088964、18261002950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、政府采购监督电话：0512-66681110。</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苏州工业园区教育局</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w:t>
      </w:r>
      <w:r>
        <w:rPr>
          <w:rFonts w:hint="eastAsia" w:ascii="宋体" w:hAnsi="宋体" w:eastAsia="宋体" w:cs="宋体"/>
          <w:color w:val="auto"/>
          <w:sz w:val="24"/>
          <w:szCs w:val="24"/>
          <w:highlight w:val="none"/>
          <w:lang w:val="en-US" w:eastAsia="zh-CN"/>
        </w:rPr>
        <w:t xml:space="preserve">工业园区现代大道999号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周律   0512-66606935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称：苏州华星工程造价咨询有限公司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址：苏州工业园区苏雅路388号新天翔商业广场A座12楼1206室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联系方式：0512-65200462</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项目联系人：田娟、吴皓东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话：0512-65200462</w:t>
      </w:r>
      <w:r/>
    </w:p>
    <w:p>
      <w:pPr>
        <w:ind w:firstLine="480"/>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43"/>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482"/>
        <w:jc w:val="righ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44"/>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4" w:name="_Toc105940238"/>
      <w:r>
        <w:rPr>
          <w:rFonts w:hint="eastAsia" w:ascii="宋体" w:hAnsi="宋体" w:eastAsia="宋体" w:cs="宋体"/>
          <w:b/>
          <w:color w:val="auto"/>
          <w:sz w:val="52"/>
          <w:szCs w:val="20"/>
          <w:highlight w:val="none"/>
          <w:shd w:val="clear" w:color="auto" w:fill="ffffff"/>
        </w:rPr>
        <w:t xml:space="preserve">第二章供应商须知</w:t>
      </w:r>
      <w:bookmarkEnd w:id="4"/>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一、说明和释义</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1.1本招标文件仅适用于本项目采购代理机构组织的招标活动。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1.3本招标文件的解释权属于本项目采购代理机构。</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color w:val="auto"/>
          <w:sz w:val="24"/>
          <w:szCs w:val="24"/>
          <w:highlight w:val="none"/>
          <w:u w:val="single"/>
          <w:shd w:val="clear" w:color="auto" w:fill="ffffff"/>
        </w:rPr>
        <w:t xml:space="preserve">苏州华星工程造价咨询有限公司</w:t>
      </w:r>
      <w:r>
        <w:rPr>
          <w:rFonts w:hint="eastAsia" w:ascii="宋体" w:hAnsi="宋体" w:eastAsia="宋体" w:cs="宋体"/>
          <w:color w:val="auto"/>
          <w:sz w:val="24"/>
          <w:szCs w:val="24"/>
          <w:highlight w:val="none"/>
          <w:shd w:val="clear" w:color="auto" w:fill="ffffff"/>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w:t>
      </w:r>
      <w:r>
        <w:rPr>
          <w:rFonts w:hint="eastAsia" w:ascii="宋体" w:hAnsi="宋体" w:eastAsia="宋体" w:cs="宋体"/>
          <w:color w:val="auto"/>
          <w:sz w:val="24"/>
          <w:szCs w:val="24"/>
          <w:highlight w:val="none"/>
          <w:shd w:val="clear" w:color="auto" w:fill="ffffff"/>
          <w:lang w:val="en-US" w:eastAsia="zh-CN"/>
        </w:rPr>
        <w:t xml:space="preserve">投标人（供应商）</w:t>
      </w:r>
      <w:r>
        <w:rPr>
          <w:rFonts w:hint="eastAsia" w:ascii="宋体" w:hAnsi="宋体" w:eastAsia="宋体" w:cs="宋体"/>
          <w:color w:val="auto"/>
          <w:sz w:val="24"/>
          <w:szCs w:val="24"/>
          <w:highlight w:val="none"/>
          <w:shd w:val="clear" w:color="auto" w:fill="ffffff"/>
        </w:rPr>
        <w:t xml:space="preserve">：指响应招标、参加投标竞争的法人、其他组织或者自然人。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2.4响应：供应商根据采购人或采购代理机构发布的招标文件，编制投标文件并按规定投标的行为。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0" w:firstLine="480"/>
        <w:keepLines w:val="0"/>
        <w:keepNext w:val="0"/>
        <w:pageBreakBefore w:val="0"/>
        <w:spacing w:line="360" w:lineRule="auto"/>
        <w:tabs>
          <w:tab w:val="left" w:pos="54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2.19书面形式：指合同书、信件、电报、电传、传真等可以有形地表现所载内容的形式。</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以电子数据交换、电子邮件等方式能够有形地表现所载内容,并可以随时调取查用的数据电文,视为书面形式。</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二、供应商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985"/>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3.1 详见本项目招标公告中的“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联合体投标（如有）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本项目招标公告中若规定接受联合体投标的，联合体除应符合上述资格要求外，还应遵守以下规定：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（2）本项目接受联合投标，但一个联合体最多接受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个</w:t>
      </w:r>
      <w:r>
        <w:rPr>
          <w:rFonts w:hint="eastAsia" w:ascii="宋体" w:hAnsi="宋体" w:eastAsia="宋体" w:cs="宋体"/>
          <w:color w:val="auto"/>
          <w:sz w:val="24"/>
          <w:szCs w:val="24"/>
          <w:highlight w:val="none"/>
        </w:rPr>
        <w:t xml:space="preserve">单位进行联合投标。</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5.1无论投标过程中的做法和结果如何，供应商自行承担所有与参加投标有关的全部费用。</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6.联合投标</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0"/>
          <w:highlight w:val="none"/>
        </w:rPr>
        <w:t xml:space="preserve">本项目不接受联合体投标。</w:t>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三、招标文件和投标文件的说明</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color w:val="auto"/>
          <w:sz w:val="24"/>
          <w:szCs w:val="24"/>
          <w:highlight w:val="none"/>
        </w:rPr>
        <w:t xml:space="preserve">该电子投标文件将被视为未实质性响应。</w:t>
      </w:r>
      <w:r/>
    </w:p>
    <w:p>
      <w:pPr>
        <w:ind w:left="0" w:firstLine="480"/>
        <w:jc w:val="left"/>
        <w:keepLines w:val="0"/>
        <w:keepNext w:val="0"/>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7.2招标文件及其补充文件为未按规定的方式获得的，采购代理机构对招标文件及其补遗的真实性、完整性不承担任何责任。</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8.招标文件的询问</w:t>
      </w:r>
      <w:r/>
    </w:p>
    <w:p>
      <w:pPr>
        <w:ind w:left="0" w:firstLine="480"/>
        <w:keepLines w:val="0"/>
        <w:keepNext w:val="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9.招标文件的澄清或修改</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10.现场踏勘</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left="0" w:firstLine="48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11.提示与要求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13.投标文件的组成</w:t>
      </w:r>
      <w:r/>
    </w:p>
    <w:p>
      <w:pPr>
        <w:ind w:left="0" w:firstLine="482"/>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13.2投标报价明细表（格式见第三章）；</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13.3.2具有良好的商业信誉和健全的财务会计制度的材料：</w:t>
      </w:r>
      <w:bookmarkStart w:id="5" w:name="_Hlk92792283"/>
      <w:r>
        <w:rPr>
          <w:rFonts w:hint="eastAsia" w:ascii="宋体" w:hAnsi="宋体" w:eastAsia="宋体" w:cs="宋体"/>
          <w:color w:val="auto"/>
          <w:sz w:val="24"/>
          <w:szCs w:val="24"/>
          <w:highlight w:val="none"/>
          <w:shd w:val="clear" w:color="auto" w:fill="ffffff"/>
        </w:rPr>
        <w:t xml:space="preserve">最近一期的财务报告，或银行出具的资信证明，或财政部门认可的政府采购专业担保机构出具的投标担保函；</w:t>
      </w:r>
      <w:bookmarkEnd w:id="5"/>
      <w:r/>
      <w:r/>
    </w:p>
    <w:p>
      <w:pPr>
        <w:pStyle w:val="936"/>
        <w:ind w:left="0" w:firstLine="480"/>
        <w:jc w:val="both"/>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证明材料或</w:t>
      </w:r>
      <w:r>
        <w:rPr>
          <w:rFonts w:hint="eastAsia" w:ascii="宋体" w:hAnsi="宋体" w:eastAsia="宋体" w:cs="宋体"/>
          <w:color w:val="auto"/>
          <w:sz w:val="24"/>
          <w:szCs w:val="24"/>
          <w:highlight w:val="none"/>
        </w:rPr>
        <w:t xml:space="preserve">承诺函(格式自拟)；</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中小企业声明函（格式见第三章），未提供视为非中小企业，不享受中小企业扶持政策；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残疾人福利性单位声明函（如有）（格式见第三章），未提供视为非残疾人福利性单位，不视同小微企业，不享受残疾人福利性单位政策；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bookmarkStart w:id="6" w:name="_Hlk158127728"/>
      <w:r>
        <w:rPr>
          <w:rFonts w:hint="eastAsia" w:ascii="宋体" w:hAnsi="宋体" w:eastAsia="宋体" w:cs="宋体"/>
          <w:b/>
          <w:bCs/>
          <w:color w:val="auto"/>
          <w:sz w:val="24"/>
          <w:szCs w:val="24"/>
          <w:highlight w:val="none"/>
          <w:u w:val="single"/>
          <w:shd w:val="clear" w:color="auto" w:fill="ffffff"/>
        </w:rPr>
        <w:t xml:space="preserve">以上13.3.1—13.3.</w:t>
      </w:r>
      <w:r>
        <w:rPr>
          <w:rFonts w:hint="eastAsia" w:ascii="宋体" w:hAnsi="宋体" w:eastAsia="宋体" w:cs="宋体"/>
          <w:b/>
          <w:bCs/>
          <w:color w:val="auto"/>
          <w:sz w:val="24"/>
          <w:szCs w:val="24"/>
          <w:highlight w:val="none"/>
          <w:u w:val="single"/>
          <w:shd w:val="clear" w:color="auto" w:fill="ffffff"/>
          <w:lang w:val="en-US" w:eastAsia="zh-CN"/>
        </w:rPr>
        <w:t xml:space="preserve">5</w:t>
      </w:r>
      <w:r>
        <w:rPr>
          <w:rFonts w:hint="eastAsia" w:ascii="宋体" w:hAnsi="宋体" w:eastAsia="宋体" w:cs="宋体"/>
          <w:b/>
          <w:bCs/>
          <w:color w:val="auto"/>
          <w:sz w:val="24"/>
          <w:szCs w:val="24"/>
          <w:highlight w:val="none"/>
          <w:u w:val="single"/>
          <w:shd w:val="clear" w:color="auto" w:fill="ffffff"/>
        </w:rPr>
        <w:t xml:space="preserve">项是资格审查要求必须提供的材料。</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专门面向中小企业的采购项目，还必须提供13.3.</w:t>
      </w:r>
      <w:r>
        <w:rPr>
          <w:rFonts w:hint="eastAsia" w:ascii="宋体" w:hAnsi="宋体" w:eastAsia="宋体" w:cs="宋体"/>
          <w:b/>
          <w:bCs/>
          <w:color w:val="auto"/>
          <w:sz w:val="24"/>
          <w:szCs w:val="24"/>
          <w:highlight w:val="none"/>
          <w:u w:val="single"/>
          <w:shd w:val="clear" w:color="auto" w:fill="ffffff"/>
          <w:lang w:val="en-US" w:eastAsia="zh-CN"/>
        </w:rPr>
        <w:t xml:space="preserve">6</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7</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8</w:t>
      </w:r>
      <w:r>
        <w:rPr>
          <w:rFonts w:hint="eastAsia" w:ascii="宋体" w:hAnsi="宋体" w:eastAsia="宋体" w:cs="宋体"/>
          <w:b/>
          <w:bCs/>
          <w:color w:val="auto"/>
          <w:sz w:val="24"/>
          <w:szCs w:val="24"/>
          <w:highlight w:val="none"/>
          <w:u w:val="single"/>
          <w:shd w:val="clear" w:color="auto" w:fill="ffffff"/>
        </w:rPr>
        <w:t xml:space="preserve">项资料，否则投标无效</w:t>
      </w:r>
      <w:bookmarkEnd w:id="6"/>
      <w:r>
        <w:rPr>
          <w:rFonts w:hint="eastAsia" w:ascii="宋体" w:hAnsi="宋体" w:eastAsia="宋体" w:cs="宋体"/>
          <w:b/>
          <w:bCs/>
          <w:color w:val="auto"/>
          <w:sz w:val="24"/>
          <w:szCs w:val="24"/>
          <w:highlight w:val="none"/>
          <w:u w:val="single"/>
          <w:shd w:val="clear" w:color="auto" w:fill="ffffff"/>
        </w:rPr>
        <w:t xml:space="preserve">；</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lang w:val="en-US" w:eastAsia="zh-CN" w:bidi="ar-SA"/>
        </w:rPr>
        <w:t xml:space="preserve">13.3.9供应商对其提供的产品出具符合要求的《关于符合本国产品标准的声明函》（格式见第三章》）</w:t>
      </w:r>
      <w:bookmarkStart w:id="7" w:name="OLE_LINK9"/>
      <w:r/>
      <w:bookmarkStart w:id="8" w:name="OLE_LINK11"/>
      <w:r>
        <w:rPr>
          <w:rFonts w:hint="eastAsia" w:ascii="宋体" w:hAnsi="宋体" w:eastAsia="宋体" w:cs="宋体"/>
          <w:color w:val="auto"/>
          <w:sz w:val="24"/>
          <w:szCs w:val="24"/>
          <w:highlight w:val="none"/>
          <w:shd w:val="clear" w:color="auto" w:fill="ffffff"/>
          <w:lang w:val="en-US" w:eastAsia="zh-CN" w:bidi="ar-SA"/>
        </w:rPr>
        <w:t xml:space="preserve">或财政部会同有关部门规定的有关证明文件的，</w:t>
      </w:r>
      <w:bookmarkEnd w:id="7"/>
      <w:r/>
      <w:bookmarkEnd w:id="8"/>
      <w:r>
        <w:rPr>
          <w:rFonts w:hint="eastAsia" w:ascii="宋体" w:hAnsi="宋体" w:eastAsia="宋体" w:cs="宋体"/>
          <w:color w:val="auto"/>
          <w:sz w:val="24"/>
          <w:szCs w:val="24"/>
          <w:highlight w:val="none"/>
          <w:shd w:val="clear" w:color="auto" w:fill="ffffff"/>
          <w:lang w:val="en-US" w:eastAsia="zh-CN" w:bidi="ar-SA"/>
        </w:rPr>
        <w:t xml:space="preserve">将按照评定成交标准享受价格评审优惠政策。</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13.4.2法人</w:t>
      </w:r>
      <w:r>
        <w:rPr>
          <w:rFonts w:hint="eastAsia" w:ascii="宋体" w:hAnsi="宋体" w:eastAsia="宋体" w:cs="宋体"/>
          <w:color w:val="auto"/>
          <w:sz w:val="24"/>
          <w:szCs w:val="24"/>
          <w:highlight w:val="none"/>
        </w:rPr>
        <w:t xml:space="preserve">授权委托书、供应商授权代理人身份证复印件（如有授权）；</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供应商法定代表人身份证复印件；</w:t>
      </w:r>
      <w:r/>
    </w:p>
    <w:p>
      <w:pPr>
        <w:ind w:left="0" w:firstLine="480"/>
        <w:keepLines w:val="0"/>
        <w:keepNext w:val="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13.4.5《供应商与其他单位存在控股、管理关系情况表》（格式见第三章）；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13.4.6</w:t>
      </w:r>
      <w:r>
        <w:rPr>
          <w:rFonts w:hint="eastAsia" w:ascii="宋体" w:hAnsi="宋体" w:eastAsia="宋体" w:cs="宋体"/>
          <w:color w:val="auto"/>
          <w:sz w:val="24"/>
          <w:szCs w:val="24"/>
          <w:highlight w:val="none"/>
          <w:shd w:val="clear" w:color="auto" w:fill="ffffff"/>
        </w:rPr>
        <w:t xml:space="preserve">《服务或技术要求偏离表》、《商务条款偏离表》（格式见第三章）；</w:t>
      </w:r>
      <w:r/>
    </w:p>
    <w:p>
      <w:pPr>
        <w:ind w:left="0" w:firstLine="482"/>
        <w:keepLines w:val="0"/>
        <w:keepNext w:val="0"/>
        <w:pageBreakBefore w:val="0"/>
        <w:spacing w:line="360" w:lineRule="auto"/>
        <w:rPr>
          <w:rFonts w:hint="eastAsia" w:ascii="宋体" w:hAnsi="宋体" w:eastAsia="宋体" w:cs="宋体"/>
          <w:b/>
          <w:bCs w:val="0"/>
          <w:color w:val="auto"/>
          <w:sz w:val="24"/>
          <w:szCs w:val="24"/>
          <w:highlight w:val="none"/>
          <w:u w:val="single"/>
          <w:shd w:val="clear" w:color="auto" w:fill="ffffff"/>
        </w:rPr>
      </w:pPr>
      <w:r>
        <w:rPr>
          <w:rFonts w:hint="eastAsia" w:ascii="宋体" w:hAnsi="宋体" w:eastAsia="宋体" w:cs="宋体"/>
          <w:b/>
          <w:bCs w:val="0"/>
          <w:color w:val="auto"/>
          <w:sz w:val="24"/>
          <w:szCs w:val="24"/>
          <w:highlight w:val="none"/>
          <w:u w:val="single"/>
          <w:lang w:val="en-US" w:eastAsia="zh-CN"/>
        </w:rPr>
        <w:t xml:space="preserve">13.4.7相关证书说明表</w:t>
      </w:r>
      <w:r>
        <w:rPr>
          <w:rFonts w:hint="eastAsia" w:ascii="宋体" w:hAnsi="宋体" w:eastAsia="宋体" w:cs="宋体"/>
          <w:b/>
          <w:bCs w:val="0"/>
          <w:color w:val="auto"/>
          <w:sz w:val="24"/>
          <w:szCs w:val="24"/>
          <w:highlight w:val="none"/>
          <w:u w:val="single"/>
          <w:shd w:val="clear" w:color="auto" w:fill="ffffff"/>
        </w:rPr>
        <w:t xml:space="preserve">（格式见第三章）；</w:t>
      </w:r>
      <w:r/>
    </w:p>
    <w:p>
      <w:pPr>
        <w:ind w:left="0" w:firstLine="482"/>
        <w:keepLines w:val="0"/>
        <w:keepNext w:val="0"/>
        <w:pageBreakBefore w:val="0"/>
        <w:spacing w:line="360" w:lineRule="auto"/>
        <w:rPr>
          <w:rFonts w:hint="eastAsia" w:ascii="宋体" w:hAnsi="宋体" w:eastAsia="宋体" w:cs="宋体"/>
          <w:b/>
          <w:bCs w:val="0"/>
          <w:color w:val="auto"/>
          <w:sz w:val="24"/>
          <w:szCs w:val="24"/>
          <w:highlight w:val="none"/>
          <w:u w:val="single"/>
          <w:shd w:val="clear" w:color="auto" w:fill="ffffff"/>
          <w:lang w:val="en-US" w:eastAsia="zh-CN"/>
        </w:rPr>
      </w:pPr>
      <w:r>
        <w:rPr>
          <w:rFonts w:hint="eastAsia" w:ascii="宋体" w:hAnsi="宋体" w:eastAsia="宋体" w:cs="宋体"/>
          <w:b/>
          <w:bCs w:val="0"/>
          <w:color w:val="auto"/>
          <w:sz w:val="24"/>
          <w:szCs w:val="24"/>
          <w:highlight w:val="none"/>
          <w:u w:val="single"/>
          <w:shd w:val="clear" w:color="auto" w:fill="ffffff"/>
          <w:lang w:val="en-US" w:eastAsia="zh-CN"/>
        </w:rPr>
        <w:t xml:space="preserve">13.4.8《关于厨房设备采购项目的承诺函》</w:t>
      </w:r>
      <w:r>
        <w:rPr>
          <w:rFonts w:hint="eastAsia" w:ascii="宋体" w:hAnsi="宋体" w:eastAsia="宋体" w:cs="宋体"/>
          <w:b/>
          <w:bCs w:val="0"/>
          <w:color w:val="auto"/>
          <w:sz w:val="24"/>
          <w:szCs w:val="24"/>
          <w:highlight w:val="none"/>
          <w:u w:val="single"/>
          <w:shd w:val="clear" w:color="auto" w:fill="ffffff"/>
        </w:rPr>
        <w:t xml:space="preserve">（格式见第三章）</w:t>
      </w:r>
      <w:r>
        <w:rPr>
          <w:rFonts w:hint="eastAsia" w:ascii="宋体" w:hAnsi="宋体" w:eastAsia="宋体" w:cs="宋体"/>
          <w:b/>
          <w:bCs w:val="0"/>
          <w:color w:val="auto"/>
          <w:sz w:val="24"/>
          <w:szCs w:val="24"/>
          <w:highlight w:val="none"/>
          <w:u w:val="single"/>
          <w:shd w:val="clear" w:color="auto" w:fill="ffffff"/>
          <w:lang w:eastAsia="zh-CN"/>
        </w:rPr>
        <w:t xml:space="preserve">；</w:t>
      </w:r>
      <w:r/>
    </w:p>
    <w:p>
      <w:pPr>
        <w:pStyle w:val="1015"/>
        <w:ind w:left="0" w:firstLine="480"/>
        <w:jc w:val="both"/>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w:t>
      </w:r>
      <w:r>
        <w:rPr>
          <w:rFonts w:hint="eastAsia"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lang w:val="en-US" w:eastAsia="zh-CN" w:bidi="ar-SA"/>
        </w:rPr>
        <w:t xml:space="preserve">项目组人员一览表（格式见第三章）；</w:t>
      </w:r>
      <w:r/>
    </w:p>
    <w:p>
      <w:pPr>
        <w:ind w:left="0" w:firstLine="480"/>
        <w:jc w:val="both"/>
        <w:keepLines w:val="0"/>
        <w:keepNext w:val="0"/>
        <w:pageBreakBefore w:val="0"/>
        <w:spacing w:line="360" w:lineRule="auto"/>
        <w:tabs>
          <w:tab w:val="left" w:pos="13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13.4.10技术支持以及售后服务承诺（格式见第三章）；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w:t>
      </w:r>
      <w:r>
        <w:rPr>
          <w:rFonts w:hint="eastAsia" w:ascii="宋体" w:hAnsi="宋体" w:eastAsia="宋体" w:cs="宋体"/>
          <w:color w:val="auto"/>
          <w:sz w:val="24"/>
          <w:szCs w:val="24"/>
          <w:highlight w:val="none"/>
          <w:shd w:val="clear" w:color="auto" w:fill="ffffff"/>
          <w:lang w:val="en-US" w:eastAsia="zh-CN"/>
        </w:rPr>
        <w:t xml:space="preserve">11</w:t>
      </w:r>
      <w:r>
        <w:rPr>
          <w:rFonts w:hint="eastAsia" w:ascii="宋体" w:hAnsi="宋体" w:eastAsia="宋体" w:cs="宋体"/>
          <w:color w:val="auto"/>
          <w:sz w:val="24"/>
          <w:szCs w:val="24"/>
          <w:highlight w:val="none"/>
          <w:shd w:val="clear" w:color="auto" w:fill="ffffff"/>
        </w:rPr>
        <w:t xml:space="preserve">采购需求中所涉及到的或供应商认为需加以说明或证明的其他有关符合性证明材料、证明（如有）；</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w:t>
      </w:r>
      <w:r>
        <w:rPr>
          <w:rFonts w:hint="eastAsia" w:ascii="宋体" w:hAnsi="宋体" w:eastAsia="宋体" w:cs="宋体"/>
          <w:b/>
          <w:bCs/>
          <w:color w:val="auto"/>
          <w:sz w:val="24"/>
          <w:szCs w:val="24"/>
          <w:highlight w:val="none"/>
          <w:u w:val="single"/>
          <w:shd w:val="clear" w:color="auto" w:fill="ffffff"/>
          <w:lang w:val="en-US" w:eastAsia="zh-CN"/>
        </w:rPr>
        <w:t xml:space="preserve">11</w:t>
      </w:r>
      <w:r>
        <w:rPr>
          <w:rFonts w:hint="eastAsia" w:ascii="宋体" w:hAnsi="宋体" w:eastAsia="宋体" w:cs="宋体"/>
          <w:b/>
          <w:bCs/>
          <w:color w:val="auto"/>
          <w:sz w:val="24"/>
          <w:szCs w:val="24"/>
          <w:highlight w:val="none"/>
          <w:u w:val="single"/>
          <w:shd w:val="clear" w:color="auto" w:fill="ffffff"/>
        </w:rPr>
        <w:t xml:space="preserve">为符合性审查必须提供的资料，否则投标无效。</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13.5.1《类似业绩情况表》</w:t>
      </w:r>
      <w:r>
        <w:rPr>
          <w:rFonts w:hint="eastAsia" w:ascii="宋体" w:hAnsi="宋体" w:eastAsia="宋体" w:cs="宋体"/>
          <w:color w:val="auto"/>
          <w:sz w:val="24"/>
          <w:szCs w:val="24"/>
          <w:highlight w:val="none"/>
          <w:shd w:val="clear" w:color="auto" w:fill="ffffff"/>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13.5.2评分标准中所涉及到针对本项目的各项服务实施方案、相关制度、证书、业绩、承诺函及其他材料、证明等（部分格式见第三章）。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bookmarkStart w:id="9"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9"/>
      <w:r/>
      <w:r/>
    </w:p>
    <w:p>
      <w:pPr>
        <w:ind w:left="0" w:firstLine="482"/>
        <w:keepLines w:val="0"/>
        <w:keepNext w:val="0"/>
        <w:pageBreakBefore w:val="0"/>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14.电子投标文件的编制与</w:t>
      </w:r>
      <w:bookmarkStart w:id="10" w:name="_Hlk158131382"/>
      <w:r>
        <w:rPr>
          <w:rFonts w:hint="eastAsia" w:ascii="宋体" w:hAnsi="宋体" w:eastAsia="宋体" w:cs="宋体"/>
          <w:b/>
          <w:color w:val="auto"/>
          <w:sz w:val="24"/>
          <w:szCs w:val="24"/>
          <w:highlight w:val="none"/>
          <w:shd w:val="clear" w:color="auto" w:fill="ffffff"/>
        </w:rPr>
        <w:t xml:space="preserve">递交</w:t>
      </w:r>
      <w:bookmarkEnd w:id="10"/>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1" w:name="_Hlk140247794"/>
      <w:r>
        <w:rPr>
          <w:rFonts w:hint="eastAsia" w:ascii="宋体" w:hAnsi="宋体" w:eastAsia="宋体" w:cs="宋体"/>
          <w:color w:val="auto"/>
          <w:sz w:val="24"/>
          <w:szCs w:val="24"/>
          <w:highlight w:val="none"/>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left="0"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14.3投标文件未按照招标文件要求加盖CA电子公章的，响应无效。</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2" w:name="_Hlk158134955"/>
      <w:r>
        <w:rPr>
          <w:rFonts w:hint="eastAsia" w:ascii="宋体" w:hAnsi="宋体" w:eastAsia="宋体" w:cs="宋体"/>
          <w:color w:val="auto"/>
          <w:sz w:val="24"/>
          <w:szCs w:val="24"/>
          <w:highlight w:val="none"/>
        </w:rPr>
        <w:t xml:space="preserve">14.4联合体投标：如招标公告中允许联合体投标，联合体投标的投标文件制作上传操作如下：</w:t>
      </w:r>
      <w:r/>
    </w:p>
    <w:p>
      <w:pPr>
        <w:pStyle w:val="943"/>
        <w:ind w:left="0" w:firstLine="480"/>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第一步：在投标文件中上传联合体投标协议书。</w:t>
      </w:r>
      <w:r>
        <w:rPr>
          <w:rFonts w:hint="eastAsia" w:ascii="宋体" w:hAnsi="宋体" w:eastAsia="宋体" w:cs="宋体"/>
          <w:bCs/>
          <w:color w:val="auto"/>
          <w:szCs w:val="24"/>
          <w:highlight w:val="none"/>
        </w:rPr>
        <w:t xml:space="preserve">（注:联合投标协议书须盖有联合体各方实体公章或电子章，否则投标无效。）</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第二步；由联合体中的牵头人制作并上传投标文件。</w:t>
      </w:r>
      <w:bookmarkEnd w:id="12"/>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14.5如投标文件制作机器码信息一致，视为不同投标供应商使用同一台电脑编制投标文件，投标无效。</w:t>
      </w:r>
      <w:bookmarkEnd w:id="11"/>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15.投标报价（编制）要求的说明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15.3一项投标内容只允许一个报价，采购人或采购代理机构不接受任何有选择性的投标报价。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15.4投标文件报价中的单价和总价全部采用人民币表示，除非合同的特殊条款另有规定。</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16.投标保证金：无。</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17.投标文件的有效期</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17.1自投标截止日起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天内，投标文件应保持有效。</w:t>
      </w:r>
      <w:r>
        <w:rPr>
          <w:rFonts w:hint="eastAsia" w:ascii="宋体" w:hAnsi="宋体" w:eastAsia="宋体" w:cs="宋体"/>
          <w:b/>
          <w:bCs/>
          <w:color w:val="auto"/>
          <w:sz w:val="24"/>
          <w:szCs w:val="24"/>
          <w:highlight w:val="none"/>
          <w:shd w:val="clear" w:color="auto" w:fill="ffffff"/>
        </w:rPr>
        <w:t xml:space="preserve">有效期短于规定期限的投标将被拒绝。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rPr>
        <w:t xml:space="preserve">投标截止时间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left="0" w:firstLine="480"/>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18.2在投标截止时间止采购人或采购代理机构收到的某标段投标文件少于三份，采购人或采购代理机构有权宣布该标段本次招标失败。</w:t>
      </w:r>
      <w:bookmarkStart w:id="13" w:name="_Hlk116314345"/>
      <w:r/>
      <w:bookmarkStart w:id="14" w:name="_Hlk117242692"/>
      <w:r/>
      <w:bookmarkEnd w:id="13"/>
      <w:r/>
      <w:bookmarkEnd w:id="14"/>
      <w:r/>
      <w:r/>
    </w:p>
    <w:p>
      <w:pPr>
        <w:ind w:left="0" w:firstLine="482"/>
        <w:keepLines w:val="0"/>
        <w:keepNext w:val="0"/>
        <w:pageBreakBefore w:val="0"/>
        <w:spacing w:line="360" w:lineRule="auto"/>
        <w:rPr>
          <w:rFonts w:hint="eastAsia" w:ascii="宋体" w:hAnsi="宋体" w:eastAsia="宋体" w:cs="宋体"/>
          <w:color w:val="auto"/>
          <w:highlight w:val="none"/>
        </w:rPr>
        <w:outlineLvl w:val="1"/>
      </w:pPr>
      <w:r>
        <w:rPr>
          <w:rFonts w:hint="eastAsia" w:ascii="宋体" w:hAnsi="宋体" w:eastAsia="宋体" w:cs="宋体"/>
          <w:b/>
          <w:bCs/>
          <w:color w:val="auto"/>
          <w:sz w:val="24"/>
          <w:szCs w:val="20"/>
          <w:highlight w:val="none"/>
          <w:shd w:val="clear" w:color="auto" w:fill="ffffff"/>
        </w:rPr>
        <w:t xml:space="preserve">四、开标和评标</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19.开标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5" w:name="_Hlk92794076"/>
      <w:r>
        <w:rPr>
          <w:rFonts w:hint="eastAsia" w:ascii="宋体" w:hAnsi="宋体" w:eastAsia="宋体" w:cs="宋体"/>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6" w:name="_Hlk90652960"/>
      <w:r>
        <w:rPr>
          <w:rFonts w:hint="eastAsia" w:ascii="宋体" w:hAnsi="宋体" w:eastAsia="宋体" w:cs="宋体"/>
          <w:color w:val="auto"/>
          <w:sz w:val="24"/>
          <w:szCs w:val="24"/>
          <w:highlight w:val="none"/>
        </w:rPr>
        <w:t xml:space="preserve">19.2线上参加（观看）开标（开启）会方式：登录“苏采云”系统，点击“开标大厅”，选择对应项目，点击进入不见面开标系统。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6"/>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7" w:name="_Hlk158135485"/>
      <w:r>
        <w:rPr>
          <w:rFonts w:hint="eastAsia" w:ascii="宋体" w:hAnsi="宋体" w:eastAsia="宋体" w:cs="宋体"/>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7"/>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19.5供应商在“苏采云”系统规定的时间内未成功解密电子投标文件的，投标无效。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8" w:name="_Hlk90653182"/>
      <w:r>
        <w:rPr>
          <w:rFonts w:hint="eastAsia" w:ascii="宋体" w:hAnsi="宋体" w:eastAsia="宋体" w:cs="宋体"/>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8"/>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19.8至投标文件提交截止时间，递交投标文件的供应商不足三家的，不得开标。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19.9开标在招标文件规定的时间、地点进行，由采购人或采购代理机构主持，供应商参加（观看），评标委员会成员不得参加开标活动。</w:t>
      </w:r>
      <w:bookmarkEnd w:id="15"/>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20.信用查询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20.1查询时间：投标文件提交截止时间。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20.2查询渠道：通过“信用中国”、“信用江苏”及“中国政府采购网”上的信用信息查询供应商的信用记录。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9" w:name="_Hlk92794284"/>
      <w:r>
        <w:rPr>
          <w:rFonts w:hint="eastAsia" w:ascii="宋体" w:hAnsi="宋体" w:eastAsia="宋体" w:cs="宋体"/>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 xml:space="preserve">采购代理机构工作人员应登陆到来源网站页面进行复核并打印，</w:t>
      </w:r>
      <w:r>
        <w:rPr>
          <w:rFonts w:hint="eastAsia" w:ascii="宋体" w:hAnsi="宋体" w:eastAsia="宋体" w:cs="宋体"/>
          <w:color w:val="auto"/>
          <w:sz w:val="24"/>
          <w:szCs w:val="24"/>
          <w:highlight w:val="none"/>
        </w:rPr>
        <w:t xml:space="preserve">作为证据留存。</w:t>
      </w:r>
      <w:bookmarkEnd w:id="19"/>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20" w:name="_Hlk92794378"/>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0"/>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21.评标委员会</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21.1评标委员会由采购人或采购代理机构依法组建。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21.2评标委员会负责具体的评标事务，并独立履行以下职责：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21.2.1审查、评价投标文件是否符合招标文件的商务、技术等实质性要求；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21.2.2要求供应商对投标文件有关事项作出澄清或者说明；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21.2.3对投标文件进行比较和评价；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21.2.5向采购人、采购代理机构或者有关部门报告评标中发现的违法行为；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21.3评标委员会成员应当履行下列义务：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21.3.1遵纪守法，客观、公正、廉洁地履行职责；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21.3.2按照招标文件规定的评标办法和评标标准进行评标，对评审意见承担个人责任；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21.3.3对评标过程和结果，以及供应商的商业秘密保密；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21.3.4参与评审报告的起草；</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21.3.5配合相关部门的投诉处理工作；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21.3.6配合采购人或采购代理机构答复投标供应商提出的质疑。</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22.评标内容的保密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22.3在评标期间，采购人或采购代理机构将通过指定联络人与供应商进行联系。</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23.对投标文件初审</w:t>
      </w:r>
      <w:r/>
    </w:p>
    <w:p>
      <w:pPr>
        <w:ind w:left="0" w:firstLine="480"/>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23.1开标结束后，采购人依法对供应商的资格进行审查。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23.2资格审查后，评标委员会在初审过程中有权拒绝有下列情况之一的投标文件：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23.2.1供应商的投标文件未按照本须知规定制作的；</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23.2.2与招标文件有重大偏离；</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23.2.3供应商拒绝修正错误；</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23.2.4供应商的报价是选择性的；</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23.2.5供应商的报价只投了部分内容；</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23.2.6供应商的投标文件出现了评标委员会认为不应当雷同的情况；</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23.2.7其他被评标委员会认定无效的情况。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（一）投标文件中开标一览表内容与投标文件中相应内容不一致的，以开标一览表为准；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（二）大写金额和小写金额不一致的，以大写金额为准；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（三）单价金额小数点或者百分比有明显错位的，以开标一览表的总价为准，并修改单价；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（四）总价金额与按单价汇总金额不一致的，以单价金额计算结果为准。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评标委员会对投标文件的判定，只依据投标内容本身，不依靠开标后的任何外来证明。</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24.投标的澄清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bookmarkStart w:id="21" w:name="_Hlk158140503"/>
      <w:r/>
      <w:bookmarkStart w:id="22" w:name="_Hlk158140452"/>
      <w:r/>
      <w:bookmarkStart w:id="23" w:name="_Hlk90656398"/>
      <w:r>
        <w:rPr>
          <w:rFonts w:hint="eastAsia" w:ascii="宋体" w:hAnsi="宋体" w:eastAsia="宋体" w:cs="宋体"/>
          <w:color w:val="auto"/>
          <w:sz w:val="24"/>
          <w:szCs w:val="24"/>
          <w:highlight w:val="none"/>
          <w:shd w:val="clear" w:color="auto" w:fill="ffffff"/>
        </w:rPr>
        <w:t xml:space="preserve">24.2本项目采用线上澄清</w:t>
      </w:r>
      <w:bookmarkEnd w:id="21"/>
      <w:r>
        <w:rPr>
          <w:rFonts w:hint="eastAsia" w:ascii="宋体" w:hAnsi="宋体" w:eastAsia="宋体" w:cs="宋体"/>
          <w:color w:val="auto"/>
          <w:sz w:val="24"/>
          <w:szCs w:val="24"/>
          <w:highlight w:val="none"/>
          <w:shd w:val="clear" w:color="auto" w:fill="ffffff"/>
        </w:rPr>
        <w:t xml:space="preserve">。</w:t>
      </w:r>
      <w:bookmarkEnd w:id="22"/>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3"/>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25.废标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25.1在招标过程中，出现下列情况之一的，应予废标：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25.1.1符合专业条件的供应商或者对招标文件作实质响应的供应商不足三家的；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25.1.3供应商的报价均超过了采购预算，采购人不能支付的；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25.1.4因重大变故，采购任务取消的；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25.2废标后，采购代理机构将把废标的理由通知所有供应商。</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26.投标文件的评价和比较</w:t>
      </w:r>
      <w:r/>
    </w:p>
    <w:p>
      <w:pPr>
        <w:ind w:left="0"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26.2.1投标者的资信情况和履约能力；</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26.2.2投标者提供的其他优惠条件；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26.3最低的投标报价或最高的折扣比例是中标的重要条件，但不是唯一条件。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27.中标供应商的确认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w:t>
      </w:r>
      <w:r>
        <w:rPr>
          <w:rFonts w:hint="eastAsia" w:ascii="宋体" w:hAnsi="宋体" w:eastAsia="宋体" w:cs="宋体"/>
          <w:color w:val="auto"/>
          <w:sz w:val="24"/>
          <w:szCs w:val="24"/>
          <w:highlight w:val="none"/>
          <w:shd w:val="clear" w:color="auto" w:fill="ffffff"/>
          <w:lang w:val="en-US" w:eastAsia="zh-CN"/>
        </w:rPr>
        <w:t xml:space="preserve">中标</w:t>
      </w:r>
      <w:r>
        <w:rPr>
          <w:rFonts w:hint="eastAsia" w:ascii="宋体" w:hAnsi="宋体" w:eastAsia="宋体" w:cs="宋体"/>
          <w:color w:val="auto"/>
          <w:sz w:val="24"/>
          <w:szCs w:val="24"/>
          <w:highlight w:val="none"/>
          <w:shd w:val="clear" w:color="auto" w:fill="ffffff"/>
        </w:rPr>
        <w:t xml:space="preserve">人。</w:t>
      </w:r>
      <w:r/>
    </w:p>
    <w:p>
      <w:pPr>
        <w:ind w:left="0"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五、授予合同</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28.合同授予标准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29.中标通知书</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29.2采购人或采购代理机构对未中标供应商不承担解释未中标原因的义务。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29.3中标通知书将成为合同的组成部分。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30.合同的签订</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30.1中标供应商应按中标通知书中规定的时间和地点，由法定代表人或授权代理人与采购人代表签订合同。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30.2签订合同及合同条款应以招标文件和中标供应商的投标文件及其澄清文件为依据。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none"/>
          <w:shd w:val="clear" w:color="auto" w:fill="ffffff"/>
          <w:lang w:val="zh-CN"/>
        </w:rPr>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0</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val="zh-CN"/>
        </w:rPr>
        <w:t xml:space="preserve">根据《关于在全省政府采购领域推行电子履约保函（保险）的通知（苏财购〔2023〕150号）》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eastAsia="宋体" w:cs="宋体"/>
          <w:color w:val="auto"/>
          <w:sz w:val="24"/>
          <w:szCs w:val="24"/>
          <w:highlight w:val="none"/>
          <w:u w:val="none"/>
          <w:shd w:val="clear" w:color="auto" w:fill="ffffff"/>
          <w:lang w:val="zh-CN"/>
        </w:rPr>
        <w:t xml:space="preserve">www.ccgp-jiangsu.gov.cn/jiangsu/zlxz）下载“政府采购电子履约保函（保险）操作手册”。</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u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val="en-US" w:eastAsia="zh-CN"/>
        </w:rPr>
        <w:t xml:space="preserve">0.4 </w:t>
      </w:r>
      <w:r>
        <w:rPr>
          <w:rFonts w:hint="eastAsia" w:ascii="宋体" w:hAnsi="宋体" w:eastAsia="宋体" w:cs="宋体"/>
          <w:color w:val="auto"/>
          <w:sz w:val="24"/>
          <w:szCs w:val="24"/>
          <w:highlight w:val="none"/>
          <w:shd w:val="clear" w:color="auto" w:fill="ffffff"/>
          <w:lang w:val="zh-CN"/>
        </w:rPr>
        <w:t xml:space="preserve">根据苏州市财政局《关于深入开展苏州市政府采购合同信用融资业务的通知》相关要求，本项目支持政府采购合同信用融资。</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rPr>
      </w:pPr>
      <w:r>
        <w:rPr>
          <w:rFonts w:hint="eastAsia" w:ascii="宋体" w:hAnsi="宋体" w:eastAsia="宋体" w:cs="宋体"/>
          <w:b/>
          <w:color w:val="auto"/>
          <w:sz w:val="24"/>
          <w:szCs w:val="24"/>
          <w:highlight w:val="none"/>
          <w:shd w:val="clear" w:color="auto" w:fill="ffffff"/>
        </w:rPr>
        <w:t xml:space="preserve">31.履约保证金</w:t>
      </w:r>
      <w:r>
        <w:rPr>
          <w:rFonts w:hint="eastAsia" w:ascii="宋体" w:hAnsi="宋体" w:eastAsia="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lang w:val="en-US" w:eastAsia="zh-CN"/>
        </w:rPr>
        <w:t xml:space="preserve">无</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六、其他事项</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①对可以质疑的招标文件提出质疑的，为收到招标文件之日或者招标文件公告期限届满之日；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②对采购过程提出质疑的，为各采购程序环节结束之日；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③对中标结果提出质疑的，为中标结果公告期限届满之日。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”。供应商如组成联合体参加投标，则《质疑函范本》中要求签字、盖章、加盖公章之处，章。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shd w:val="clear" w:color="auto" w:fill="ffffff"/>
          <w:lang w:val="zh-CN"/>
        </w:rPr>
        <w:t xml:space="preserve">质疑递交地点：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联系地址：</w:t>
      </w:r>
      <w:r>
        <w:rPr>
          <w:rFonts w:hint="eastAsia" w:ascii="宋体" w:hAnsi="宋体" w:eastAsia="宋体" w:cs="宋体"/>
          <w:color w:val="auto"/>
          <w:sz w:val="24"/>
          <w:highlight w:val="none"/>
        </w:rPr>
        <w:t xml:space="preserve">苏州工业园区苏雅路388号新天翔商业广场A座12楼1206室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电话：</w:t>
      </w:r>
      <w:r>
        <w:rPr>
          <w:rFonts w:hint="eastAsia" w:ascii="宋体" w:hAnsi="宋体" w:eastAsia="宋体" w:cs="宋体"/>
          <w:color w:val="auto"/>
          <w:sz w:val="24"/>
          <w:szCs w:val="24"/>
          <w:highlight w:val="none"/>
          <w:shd w:val="clear" w:color="auto" w:fill="ffffff"/>
        </w:rPr>
        <w:t xml:space="preserve">0512-65200462</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联系人：</w:t>
      </w:r>
      <w:r>
        <w:rPr>
          <w:rFonts w:hint="eastAsia" w:ascii="宋体" w:hAnsi="宋体" w:eastAsia="宋体" w:cs="宋体"/>
          <w:color w:val="auto"/>
          <w:sz w:val="24"/>
          <w:szCs w:val="24"/>
          <w:highlight w:val="none"/>
          <w:shd w:val="clear" w:color="auto" w:fill="ffffff"/>
        </w:rPr>
        <w:t xml:space="preserve">田娟</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33.1中标供应商须按前附表的规定计算并支付代理服务费，该费用应在领取合同前付清。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33.2中标供应商如果未按规定缴纳代理服务费，采购代理机构将不予退还其投标保证金，并保留诉讼的权利。</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26"/>
          <w:szCs w:val="20"/>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24" w:name="_Toc105940239"/>
      <w:r>
        <w:rPr>
          <w:rFonts w:hint="eastAsia" w:ascii="宋体" w:hAnsi="宋体" w:eastAsia="宋体" w:cs="宋体"/>
          <w:b/>
          <w:color w:val="auto"/>
          <w:sz w:val="52"/>
          <w:szCs w:val="20"/>
          <w:highlight w:val="none"/>
          <w:shd w:val="clear" w:color="auto" w:fill="ffffff"/>
        </w:rPr>
        <w:t xml:space="preserve">第三章投标文件格式</w:t>
      </w:r>
      <w:bookmarkEnd w:id="24"/>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w:t>
      </w:r>
      <w:r>
        <w:rPr>
          <w:rFonts w:hint="eastAsia" w:ascii="宋体" w:hAnsi="宋体" w:eastAsia="宋体" w:cs="宋体"/>
          <w:b/>
          <w:color w:val="auto"/>
          <w:sz w:val="24"/>
          <w:szCs w:val="21"/>
          <w:highlight w:val="none"/>
          <w:shd w:val="clear" w:color="auto" w:fill="ffffff"/>
          <w:lang w:val="en-US" w:eastAsia="zh-CN"/>
        </w:rPr>
        <w:t xml:space="preserve">投标人</w:t>
      </w:r>
      <w:r>
        <w:rPr>
          <w:rFonts w:hint="eastAsia" w:ascii="宋体" w:hAnsi="宋体" w:eastAsia="宋体" w:cs="宋体"/>
          <w:b/>
          <w:color w:val="auto"/>
          <w:sz w:val="24"/>
          <w:szCs w:val="21"/>
          <w:highlight w:val="none"/>
          <w:shd w:val="clear" w:color="auto" w:fill="ffffff"/>
        </w:rPr>
        <w:t xml:space="preserve">均应按照本章提供的格式填写，否则作为无效标。允许修改的文件，投标</w:t>
      </w:r>
      <w:r>
        <w:rPr>
          <w:rFonts w:hint="eastAsia" w:ascii="宋体" w:hAnsi="宋体" w:eastAsia="宋体" w:cs="宋体"/>
          <w:b/>
          <w:color w:val="auto"/>
          <w:sz w:val="24"/>
          <w:szCs w:val="21"/>
          <w:highlight w:val="none"/>
          <w:shd w:val="clear" w:color="auto" w:fill="ffffff"/>
          <w:lang w:val="en-US" w:eastAsia="zh-CN"/>
        </w:rPr>
        <w:t xml:space="preserve">人</w:t>
      </w:r>
      <w:r>
        <w:rPr>
          <w:rFonts w:hint="eastAsia" w:ascii="宋体" w:hAnsi="宋体" w:eastAsia="宋体" w:cs="宋体"/>
          <w:b/>
          <w:color w:val="auto"/>
          <w:sz w:val="24"/>
          <w:szCs w:val="21"/>
          <w:highlight w:val="none"/>
          <w:shd w:val="clear" w:color="auto" w:fill="ffffff"/>
        </w:rPr>
        <w:t xml:space="preserve">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1、（供应商）法定代表人授权委托书</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bookmarkStart w:id="25" w:name="_Hlk117242496"/>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（姓名+手机号码）为本公司代理人，以本公司的名义参加本项目采购代理机构组织实施的编号为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bookmarkEnd w:id="2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 2、投标函</w:t>
      </w:r>
      <w:r/>
    </w:p>
    <w:p>
      <w:pPr>
        <w:jc w:val="cente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shd w:val="clear" w:color="auto" w:fill="ffffff"/>
        </w:rPr>
        <w:t xml:space="preserve">投标函</w:t>
      </w:r>
      <w:r/>
    </w:p>
    <w:p>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本公司收到贵司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号招标文件，经仔细阅读和研究，本公司决定参加投标。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本公司愿意按照招标文件的一切要求，提供完成该项目的全部内容，本公司的投标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shd w:val="clear" w:color="auto" w:fill="ffffff"/>
        </w:rPr>
        <w:t xml:space="preserve">，以及相关税费等保证本项目正常实施和运行所需的一切相关费用）。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2、如果本公司的投标文件被接受，本公司将严格履行招标文件中规定的每一项要求，按期、按质、按量履行合同的义务。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3、本公司已详细审查全部招标文件，包括补充文件（更正公告）(如有)。本公司完全理解并同意放弃对这方面有不明及误解的权力。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4、本公司同意按招标文件中的规定，本投标文件的有效期限为投标截止日起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5、本公司愿意提供采购人或采购代理机构在招标文件中要求的所有资料。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7、本公司愿意遵守招标公告及招标文件中所列的收费标准。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8、本公司承诺该项投标在开标后的全过程中保持有效，不作任何更改和变动。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9、我方同意并接受采购人在招标文件、签约合同以及未来合同履行过程中设定的所有日常考核及综合考核制度，并无条件接受及承担因考核不达标或不合格产生的一切责任及后果。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10、如果本公司中标，本公司愿意按招标文件规定支付代理服务费。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4"/>
          <w:highlight w:val="none"/>
          <w:shd w:val="clear" w:color="auto" w:fill="ffffff"/>
        </w:rPr>
        <w:t xml:space="preserve">的要求，若与真实情况不符，本公司愿意承担由此而产生的一切后果。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12、综合说明：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（1）伴随服务及配合措施；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（2）要求甲方提供的配合；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（3）对招标文件有不同意见的偏离说明；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（4）其它说明。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所有有关标书的函电，请按下列地址联系：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地址：</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shd w:val="clear" w:color="auto" w:fill="ffffff"/>
        </w:rPr>
        <w:t xml:space="preserve">邮政编码：</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联系电话</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手机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传真：</w:t>
      </w:r>
      <w:r>
        <w:rPr>
          <w:rFonts w:hint="eastAsia" w:ascii="宋体" w:hAnsi="宋体" w:eastAsia="宋体" w:cs="宋体"/>
          <w:color w:val="auto"/>
          <w:sz w:val="24"/>
          <w:szCs w:val="24"/>
          <w:highlight w:val="none"/>
          <w:u w:val="single"/>
          <w:shd w:val="clear" w:color="auto" w:fill="ffffff"/>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公司电子邮箱：</w:t>
      </w:r>
      <w:r>
        <w:rPr>
          <w:rFonts w:hint="eastAsia" w:ascii="宋体" w:hAnsi="宋体" w:eastAsia="宋体" w:cs="宋体"/>
          <w:color w:val="auto"/>
          <w:sz w:val="24"/>
          <w:szCs w:val="24"/>
          <w:highlight w:val="none"/>
          <w:u w:val="single"/>
          <w:shd w:val="clear" w:color="auto" w:fill="ffffff"/>
          <w:lang w:val="en-US" w:eastAsia="zh-CN"/>
        </w:rPr>
        <w:t xml:space="preserve">                      </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974"/>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936"/>
        <w:ind w:firstLine="0"/>
        <w:jc w:val="both"/>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3、开标一览表</w:t>
      </w:r>
      <w:r/>
    </w:p>
    <w:p>
      <w:pPr>
        <w:pStyle w:val="107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26" w:name="TBR"/>
      <w:r/>
      <w:bookmarkEnd w:id="26"/>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27" w:name="XMBH"/>
      <w:r/>
      <w:bookmarkEnd w:id="27"/>
      <w:r/>
      <w:r/>
    </w:p>
    <w:p>
      <w:pPr>
        <w:ind w:firstLine="42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bl>
      <w:tblPr>
        <w:tblStyle w:val="933"/>
        <w:tblW w:w="918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4719"/>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bookmarkStart w:id="28" w:name="FBH"/>
            <w:r/>
            <w:bookmarkEnd w:id="28"/>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29" w:name="XMMC"/>
            <w:r/>
            <w:bookmarkEnd w:id="29"/>
            <w:r>
              <w:rPr>
                <w:rFonts w:hint="eastAsia" w:ascii="宋体" w:hAnsi="宋体" w:eastAsia="宋体" w:cs="宋体"/>
                <w:color w:val="auto"/>
                <w:sz w:val="24"/>
                <w:szCs w:val="24"/>
                <w:highlight w:val="none"/>
                <w:lang w:eastAsia="zh-CN"/>
              </w:rPr>
              <w:t xml:space="preserve">斜塘学校改建修缮项目厨房设备采购</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30" w:name="JEXX"/>
            <w:r/>
            <w:bookmarkEnd w:id="30"/>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31" w:name="JEDX"/>
            <w:r/>
            <w:bookmarkEnd w:id="31"/>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投标报价明细表</w:t>
      </w:r>
      <w:r/>
    </w:p>
    <w:p>
      <w:pPr>
        <w:pStyle w:val="944"/>
        <w:ind w:left="0" w:right="-607" w:firstLine="0"/>
        <w:jc w:val="center"/>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投标报价明细表</w:t>
      </w:r>
      <w:r/>
    </w:p>
    <w:tbl>
      <w:tblPr>
        <w:tblStyle w:val="9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897"/>
        <w:gridCol w:w="976"/>
        <w:gridCol w:w="976"/>
        <w:gridCol w:w="982"/>
        <w:gridCol w:w="977"/>
        <w:gridCol w:w="978"/>
        <w:gridCol w:w="1056"/>
        <w:gridCol w:w="1056"/>
        <w:gridCol w:w="979"/>
      </w:tblGrid>
      <w:tr>
        <w:trPr/>
        <w:tc>
          <w:tcPr>
            <w:tcW w:w="97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序号</w:t>
            </w:r>
            <w:r/>
          </w:p>
        </w:tc>
        <w:tc>
          <w:tcPr>
            <w:tcW w:w="89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产品名称</w:t>
            </w:r>
            <w:r/>
          </w:p>
        </w:tc>
        <w:tc>
          <w:tcPr>
            <w:tcW w:w="976" w:type="dxa"/>
            <w:vAlign w:val="center"/>
            <w:textDirection w:val="lrTb"/>
            <w:noWrap w:val="false"/>
          </w:tcPr>
          <w:p>
            <w:pPr>
              <w:jc w:val="center"/>
              <w:rPr>
                <w:rFonts w:hint="default" w:eastAsiaTheme="minorEastAsia"/>
                <w:b/>
                <w:bCs/>
                <w:color w:val="auto"/>
                <w:highlight w:val="none"/>
                <w:vertAlign w:val="baseline"/>
                <w:lang w:val="en-US" w:eastAsia="zh-CN"/>
              </w:rPr>
            </w:pPr>
            <w:r>
              <w:rPr>
                <w:rFonts w:hint="eastAsia"/>
                <w:b w:val="0"/>
                <w:bCs w:val="0"/>
                <w:color w:val="auto"/>
                <w:highlight w:val="none"/>
                <w:vertAlign w:val="baseline"/>
                <w:lang w:val="en-US" w:eastAsia="zh-CN"/>
              </w:rPr>
              <w:t xml:space="preserve">品牌</w:t>
            </w:r>
            <w:r/>
          </w:p>
        </w:tc>
        <w:tc>
          <w:tcPr>
            <w:tcW w:w="976" w:type="dxa"/>
            <w:vAlign w:val="center"/>
            <w:textDirection w:val="lrTb"/>
            <w:noWrap w:val="false"/>
          </w:tcPr>
          <w:p>
            <w:pPr>
              <w:jc w:val="center"/>
              <w:rPr>
                <w:rFonts w:hint="eastAsia"/>
                <w:b/>
                <w:bCs/>
                <w:color w:val="auto"/>
                <w:highlight w:val="none"/>
                <w:vertAlign w:val="baseline"/>
                <w:lang w:val="en-US" w:eastAsia="zh-CN"/>
              </w:rPr>
            </w:pPr>
            <w:r>
              <w:rPr>
                <w:rFonts w:hint="eastAsia"/>
                <w:b/>
                <w:bCs/>
                <w:color w:val="auto"/>
                <w:highlight w:val="none"/>
                <w:vertAlign w:val="baseline"/>
                <w:lang w:val="en-US" w:eastAsia="zh-CN"/>
              </w:rPr>
              <w:t xml:space="preserve">生产</w:t>
            </w:r>
            <w:r/>
          </w:p>
          <w:p>
            <w:pPr>
              <w:jc w:val="center"/>
              <w:rPr>
                <w:rFonts w:hint="default" w:eastAsiaTheme="minorEastAsia"/>
                <w:b/>
                <w:bCs/>
                <w:color w:val="auto"/>
                <w:highlight w:val="none"/>
                <w:vertAlign w:val="baseline"/>
                <w:lang w:val="en-US" w:eastAsia="zh-CN"/>
              </w:rPr>
            </w:pPr>
            <w:r>
              <w:rPr>
                <w:rFonts w:hint="eastAsia"/>
                <w:b/>
                <w:bCs/>
                <w:color w:val="auto"/>
                <w:highlight w:val="none"/>
                <w:vertAlign w:val="baseline"/>
                <w:lang w:val="en-US" w:eastAsia="zh-CN"/>
              </w:rPr>
              <w:t xml:space="preserve">厂家</w:t>
            </w:r>
            <w:r/>
          </w:p>
        </w:tc>
        <w:tc>
          <w:tcPr>
            <w:tcW w:w="98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w:t>
            </w:r>
            <w:r>
              <w:rPr>
                <w:rFonts w:hint="eastAsia" w:ascii="宋体" w:hAnsi="宋体" w:eastAsia="宋体" w:cs="宋体"/>
                <w:color w:val="auto"/>
                <w:spacing w:val="20"/>
                <w:sz w:val="24"/>
                <w:szCs w:val="24"/>
                <w:highlight w:val="none"/>
                <w:lang w:val="en-US" w:eastAsia="zh-CN"/>
              </w:rPr>
              <w:t xml:space="preserve">/</w:t>
            </w:r>
            <w:r>
              <w:rPr>
                <w:rFonts w:hint="eastAsia" w:ascii="宋体" w:hAnsi="宋体" w:eastAsia="宋体" w:cs="宋体"/>
                <w:color w:val="auto"/>
                <w:spacing w:val="20"/>
                <w:sz w:val="24"/>
                <w:szCs w:val="24"/>
                <w:highlight w:val="none"/>
              </w:rPr>
              <w:t xml:space="preserve">型号</w:t>
            </w:r>
            <w:r/>
          </w:p>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（如有）</w:t>
            </w:r>
            <w:r/>
          </w:p>
        </w:tc>
        <w:tc>
          <w:tcPr>
            <w:tcW w:w="97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数量</w:t>
            </w:r>
            <w:r/>
          </w:p>
        </w:tc>
        <w:tc>
          <w:tcPr>
            <w:tcW w:w="978"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单位</w:t>
            </w:r>
            <w:r/>
          </w:p>
        </w:tc>
        <w:tc>
          <w:tcPr>
            <w:tcW w:w="1056"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单价（元）</w:t>
            </w:r>
            <w:r/>
          </w:p>
        </w:tc>
        <w:tc>
          <w:tcPr>
            <w:tcW w:w="1056"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总价（元）</w:t>
            </w:r>
            <w:r/>
          </w:p>
        </w:tc>
        <w:tc>
          <w:tcPr>
            <w:tcW w:w="979" w:type="dxa"/>
            <w:vAlign w:val="center"/>
            <w:textDirection w:val="lrTb"/>
            <w:noWrap w:val="false"/>
          </w:tcPr>
          <w:p>
            <w:pPr>
              <w:jc w:val="center"/>
              <w:spacing w:line="360" w:lineRule="auto"/>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备注</w:t>
            </w:r>
            <w:r/>
          </w:p>
        </w:tc>
      </w:tr>
      <w:tr>
        <w:trPr>
          <w:trHeight w:val="497"/>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19"/>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2</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486"/>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3</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496"/>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4</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08"/>
        </w:trPr>
        <w:tc>
          <w:tcPr>
            <w:tcW w:w="977" w:type="dxa"/>
            <w:textDirection w:val="lrTb"/>
            <w:noWrap w:val="false"/>
          </w:tcPr>
          <w:p>
            <w:pPr>
              <w:jc w:val="center"/>
              <w:rPr>
                <w:rFonts w:hint="default"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52"/>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40"/>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737"/>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c>
          <w:tcPr>
            <w:gridSpan w:val="10"/>
            <w:tcW w:w="9854" w:type="dxa"/>
            <w:vAlign w:val="center"/>
            <w:textDirection w:val="lrTb"/>
            <w:noWrap w:val="false"/>
          </w:tcPr>
          <w:p>
            <w:pPr>
              <w:jc w:val="both"/>
              <w:spacing w:line="360" w:lineRule="auto"/>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合计（人民币大写）：     </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 xml:space="preserve">小写：</w:t>
            </w:r>
            <w:r/>
          </w:p>
        </w:tc>
      </w:tr>
      <w:tr>
        <w:trPr/>
        <w:tc>
          <w:tcPr>
            <w:gridSpan w:val="10"/>
            <w:tcW w:w="9854" w:type="dxa"/>
            <w:vAlign w:val="center"/>
            <w:textDirection w:val="lrTb"/>
            <w:noWrap w:val="false"/>
          </w:tcPr>
          <w:p>
            <w:pPr>
              <w:jc w:val="left"/>
              <w:spacing w:line="360" w:lineRule="auto"/>
              <w:rPr>
                <w:rFonts w:hint="eastAsia"/>
                <w:color w:val="auto"/>
                <w:highlight w:val="none"/>
                <w:vertAlign w:val="baseline"/>
              </w:rPr>
            </w:pPr>
            <w:r>
              <w:rPr>
                <w:rFonts w:hint="eastAsia" w:ascii="宋体" w:hAnsi="宋体" w:eastAsia="宋体" w:cs="宋体"/>
                <w:b/>
                <w:bCs/>
                <w:color w:val="auto"/>
                <w:spacing w:val="2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pacing w:val="20"/>
                <w:sz w:val="24"/>
                <w:szCs w:val="24"/>
                <w:highlight w:val="none"/>
                <w:u w:val="single"/>
              </w:rPr>
              <w:t xml:space="preserve">   </w:t>
            </w:r>
            <w:r>
              <w:rPr>
                <w:rFonts w:hint="eastAsia" w:ascii="宋体" w:hAnsi="宋体" w:eastAsia="宋体" w:cs="宋体"/>
                <w:b/>
                <w:bCs/>
                <w:color w:val="auto"/>
                <w:spacing w:val="20"/>
                <w:sz w:val="24"/>
                <w:szCs w:val="24"/>
                <w:highlight w:val="none"/>
              </w:rPr>
              <w:t xml:space="preserve">%</w:t>
            </w:r>
            <w:r/>
          </w:p>
        </w:tc>
      </w:tr>
    </w:tbl>
    <w:p>
      <w:pPr>
        <w:rPr>
          <w:rFonts w:hint="eastAsia"/>
          <w:color w:val="auto"/>
          <w:highlight w:val="none"/>
        </w:rPr>
      </w:pPr>
      <w:r>
        <w:rPr>
          <w:rFonts w:hint="eastAsia"/>
          <w:color w:val="auto"/>
          <w:highlight w:val="none"/>
        </w:rPr>
      </w:r>
      <w:r/>
    </w:p>
    <w:p>
      <w:pPr>
        <w:numPr>
          <w:ilvl w:val="0"/>
          <w:numId w:val="0"/>
        </w:numPr>
        <w:ind w:firstLine="723"/>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numPr>
          <w:ilvl w:val="0"/>
          <w:numId w:val="0"/>
        </w:numPr>
        <w:ind w:firstLine="723"/>
        <w:spacing w:line="400" w:lineRule="exac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1、请按本表格详细列明所投产品的品牌和生产厂家等信息。</w:t>
      </w:r>
      <w:r/>
    </w:p>
    <w:p>
      <w:pPr>
        <w:numPr>
          <w:ilvl w:val="0"/>
          <w:numId w:val="0"/>
        </w:numPr>
        <w:ind w:firstLine="723"/>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1093"/>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default"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5、相关证书说明表</w:t>
      </w:r>
      <w:r/>
    </w:p>
    <w:p>
      <w:pPr>
        <w:ind w:firstLine="4096"/>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相关证书说明表</w:t>
      </w:r>
      <w:r/>
    </w:p>
    <w:tbl>
      <w:tblPr>
        <w:tblStyle w:val="9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459"/>
        <w:gridCol w:w="1316"/>
        <w:gridCol w:w="3980"/>
        <w:gridCol w:w="1887"/>
      </w:tblGrid>
      <w:tr>
        <w:trPr/>
        <w:tc>
          <w:tcPr>
            <w:gridSpan w:val="5"/>
            <w:shd w:val="clear" w:color="auto" w:fill="auto"/>
            <w:tcW w:w="9591" w:type="dxa"/>
            <w:vAlign w:val="center"/>
            <w:textDirection w:val="lrTb"/>
            <w:noWrap w:val="false"/>
          </w:tcPr>
          <w:p>
            <w:pPr>
              <w:jc w:val="center"/>
              <w:spacing w:line="360" w:lineRule="auto"/>
              <w:rPr>
                <w:rFonts w:hint="eastAsia" w:asciiTheme="minorHAnsi" w:hAnsiTheme="minorHAnsi" w:eastAsiaTheme="minorEastAsia" w:cstheme="minorBidi"/>
                <w:color w:val="auto"/>
                <w:sz w:val="21"/>
                <w:szCs w:val="22"/>
                <w:highlight w:val="none"/>
                <w:vertAlign w:val="baseline"/>
                <w:lang w:val="en-US" w:eastAsia="zh-CN" w:bidi="ar-SA"/>
              </w:rPr>
            </w:pPr>
            <w:r>
              <w:rPr>
                <w:rFonts w:hint="eastAsia" w:ascii="宋体" w:hAnsi="宋体" w:eastAsia="宋体" w:cs="宋体"/>
                <w:b/>
                <w:bCs/>
                <w:color w:val="auto"/>
                <w:spacing w:val="20"/>
                <w:sz w:val="24"/>
                <w:szCs w:val="24"/>
                <w:highlight w:val="none"/>
                <w:lang w:val="en-US" w:eastAsia="zh-CN"/>
              </w:rPr>
              <w:t xml:space="preserve">      一、</w:t>
            </w:r>
            <w:r>
              <w:rPr>
                <w:rFonts w:hint="eastAsia" w:ascii="宋体" w:hAnsi="宋体" w:eastAsia="宋体" w:cs="宋体"/>
                <w:b/>
                <w:bCs/>
                <w:color w:val="auto"/>
                <w:spacing w:val="20"/>
                <w:sz w:val="24"/>
                <w:szCs w:val="24"/>
                <w:highlight w:val="none"/>
                <w:lang w:eastAsia="zh-CN"/>
              </w:rPr>
              <w:t xml:space="preserve">有效期内的《全国工业产品生产许可证(工业和商用电热食品加工设备)》或《全国工业产品生产许可证(电热食品加工设备)》</w:t>
            </w:r>
            <w:r/>
          </w:p>
        </w:tc>
      </w:tr>
      <w:tr>
        <w:trPr/>
        <w:tc>
          <w:tcPr>
            <w:shd w:val="clear" w:color="auto" w:fill="auto"/>
            <w:tcW w:w="949" w:type="dxa"/>
            <w:vAlign w:val="center"/>
            <w:textDirection w:val="lrTb"/>
            <w:noWrap w:val="false"/>
          </w:tcPr>
          <w:p>
            <w:pPr>
              <w:jc w:val="center"/>
              <w:rPr>
                <w:rFonts w:hint="default" w:ascii="宋体" w:hAnsi="宋体" w:eastAsia="宋体" w:cs="宋体"/>
                <w:b/>
                <w:bCs/>
                <w:color w:val="auto"/>
                <w:spacing w:val="20"/>
                <w:sz w:val="24"/>
                <w:szCs w:val="24"/>
                <w:highlight w:val="none"/>
                <w:lang w:val="en-US" w:eastAsia="zh-CN" w:bidi="ar-SA"/>
              </w:rPr>
            </w:pPr>
            <w:r>
              <w:rPr>
                <w:rFonts w:hint="eastAsia" w:ascii="宋体" w:hAnsi="宋体" w:eastAsia="宋体" w:cs="宋体"/>
                <w:b/>
                <w:bCs/>
                <w:color w:val="auto"/>
                <w:spacing w:val="20"/>
                <w:sz w:val="24"/>
                <w:szCs w:val="24"/>
                <w:highlight w:val="none"/>
                <w:lang w:val="en-US" w:eastAsia="zh-CN" w:bidi="ar-SA"/>
              </w:rPr>
              <w:t xml:space="preserve">采购清单对应序号</w:t>
            </w:r>
            <w:r/>
          </w:p>
        </w:tc>
        <w:tc>
          <w:tcPr>
            <w:shd w:val="clear" w:color="auto" w:fill="auto"/>
            <w:tcW w:w="1459" w:type="dxa"/>
            <w:vAlign w:val="center"/>
            <w:textDirection w:val="lrTb"/>
            <w:noWrap w:val="false"/>
          </w:tcPr>
          <w:p>
            <w:pPr>
              <w:jc w:val="center"/>
              <w:rPr>
                <w:rFonts w:hint="eastAsia" w:ascii="宋体" w:hAnsi="宋体" w:eastAsia="宋体" w:cs="宋体"/>
                <w:b/>
                <w:bCs/>
                <w:color w:val="auto"/>
                <w:spacing w:val="20"/>
                <w:sz w:val="24"/>
                <w:szCs w:val="24"/>
                <w:highlight w:val="none"/>
                <w:lang w:val="en-US" w:eastAsia="zh-CN" w:bidi="ar-SA"/>
              </w:rPr>
            </w:pPr>
            <w:r>
              <w:rPr>
                <w:rFonts w:hint="eastAsia" w:ascii="宋体" w:hAnsi="宋体" w:eastAsia="宋体" w:cs="宋体"/>
                <w:b/>
                <w:bCs/>
                <w:color w:val="auto"/>
                <w:spacing w:val="20"/>
                <w:sz w:val="24"/>
                <w:szCs w:val="24"/>
                <w:highlight w:val="none"/>
              </w:rPr>
              <w:t xml:space="preserve">产品名称</w:t>
            </w:r>
            <w:r/>
          </w:p>
        </w:tc>
        <w:tc>
          <w:tcPr>
            <w:shd w:val="clear" w:color="auto" w:fill="auto"/>
            <w:tcW w:w="1316"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rPr>
              <w:t xml:space="preserve">所投产品品牌</w:t>
            </w:r>
            <w:r/>
          </w:p>
        </w:tc>
        <w:tc>
          <w:tcPr>
            <w:shd w:val="clear" w:color="auto" w:fill="auto"/>
            <w:tcW w:w="3980"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所投产品</w:t>
            </w:r>
            <w:r/>
          </w:p>
          <w:p>
            <w:pPr>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rPr>
              <w:t xml:space="preserve">生产厂家</w:t>
            </w:r>
            <w:r/>
          </w:p>
        </w:tc>
        <w:tc>
          <w:tcPr>
            <w:shd w:val="clear" w:color="auto" w:fill="auto"/>
            <w:tcW w:w="188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i w:val="0"/>
                <w:iCs w:val="0"/>
                <w:color w:val="auto"/>
                <w:sz w:val="24"/>
                <w:szCs w:val="24"/>
                <w:highlight w:val="none"/>
                <w:u w:val="none"/>
                <w:lang w:val="en-US" w:eastAsia="zh-CN" w:bidi="ar"/>
              </w:rPr>
              <w:t xml:space="preserve">许可内容</w:t>
            </w:r>
            <w:r/>
          </w:p>
        </w:tc>
      </w:tr>
      <w:tr>
        <w:trPr>
          <w:trHeight w:val="90"/>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180</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lang w:val="en-US" w:eastAsia="zh-CN"/>
              </w:rPr>
              <w:t xml:space="preserve">三层六盘电烤箱</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电烤箱</w:t>
            </w:r>
            <w:r/>
          </w:p>
        </w:tc>
      </w:tr>
      <w:tr>
        <w:trPr>
          <w:trHeight w:val="519"/>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168</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电热铛</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电热铛</w:t>
            </w:r>
            <w:r/>
          </w:p>
        </w:tc>
      </w:tr>
      <w:tr>
        <w:trPr>
          <w:trHeight w:val="486"/>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162</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电磁单眼大锅灶</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电磁灶</w:t>
            </w:r>
            <w:r/>
          </w:p>
        </w:tc>
      </w:tr>
      <w:tr>
        <w:trPr>
          <w:trHeight w:val="496"/>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163</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电磁单眼矮汤炉</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601"/>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165</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电磁单眼炒灶</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179</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双门蒸柜</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default" w:ascii="宋体" w:hAnsi="宋体" w:eastAsia="宋体" w:cs="宋体"/>
                <w:color w:val="auto"/>
                <w:spacing w:val="20"/>
                <w:sz w:val="24"/>
                <w:szCs w:val="24"/>
                <w:highlight w:val="none"/>
                <w:lang w:val="en-US" w:eastAsia="zh-CN"/>
              </w:rPr>
            </w:pPr>
            <w:r>
              <w:rPr>
                <w:rFonts w:hint="default" w:ascii="宋体" w:hAnsi="宋体" w:eastAsia="宋体" w:cs="宋体"/>
                <w:color w:val="auto"/>
                <w:spacing w:val="20"/>
                <w:sz w:val="24"/>
                <w:szCs w:val="24"/>
                <w:highlight w:val="none"/>
                <w:lang w:val="en-US" w:eastAsia="zh-CN"/>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蒸汽炊具</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36</w:t>
            </w:r>
            <w:r/>
          </w:p>
        </w:tc>
        <w:tc>
          <w:tcPr>
            <w:tcW w:w="14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开水器</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116</w:t>
            </w:r>
            <w:r/>
          </w:p>
        </w:tc>
        <w:tc>
          <w:tcPr>
            <w:tcW w:w="1459"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154</w:t>
            </w:r>
            <w:r/>
          </w:p>
        </w:tc>
        <w:tc>
          <w:tcPr>
            <w:tcW w:w="1459" w:type="dxa"/>
            <w:textDirection w:val="lrTb"/>
            <w:noWrap w:val="false"/>
          </w:tcPr>
          <w:p>
            <w:pP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gridSpan w:val="5"/>
            <w:tcW w:w="959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lang w:val="en-US" w:eastAsia="zh-CN"/>
              </w:rPr>
            </w:pPr>
            <w:r>
              <w:rPr>
                <w:rFonts w:hint="eastAsia" w:ascii="宋体" w:hAnsi="宋体" w:eastAsia="宋体" w:cs="宋体"/>
                <w:b/>
                <w:bCs/>
                <w:color w:val="auto"/>
                <w:spacing w:val="20"/>
                <w:sz w:val="24"/>
                <w:szCs w:val="24"/>
                <w:highlight w:val="none"/>
                <w:lang w:val="en-US" w:eastAsia="zh-CN"/>
              </w:rPr>
              <w:t xml:space="preserve">二、</w:t>
            </w:r>
            <w:r>
              <w:rPr>
                <w:rFonts w:hint="eastAsia" w:ascii="宋体" w:hAnsi="宋体" w:eastAsia="宋体" w:cs="宋体"/>
                <w:b/>
                <w:bCs/>
                <w:color w:val="auto"/>
                <w:spacing w:val="20"/>
                <w:sz w:val="24"/>
                <w:szCs w:val="24"/>
                <w:highlight w:val="none"/>
                <w:lang w:eastAsia="zh-CN"/>
              </w:rPr>
              <w:t xml:space="preserve">有效期内的《消毒产品生产企业卫生许可证》</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pacing w:val="20"/>
                <w:sz w:val="24"/>
                <w:szCs w:val="24"/>
                <w:highlight w:val="none"/>
                <w:lang w:val="en-US" w:eastAsia="zh-CN" w:bidi="ar-SA"/>
              </w:rPr>
              <w:t xml:space="preserve">采购清单对应序号</w:t>
            </w:r>
            <w:r/>
          </w:p>
        </w:tc>
        <w:tc>
          <w:tcPr>
            <w:tcW w:w="145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color w:val="auto"/>
                <w:spacing w:val="20"/>
                <w:sz w:val="24"/>
                <w:szCs w:val="24"/>
                <w:highlight w:val="none"/>
              </w:rPr>
              <w:t xml:space="preserve">产品名称</w:t>
            </w:r>
            <w:r/>
          </w:p>
        </w:tc>
        <w:tc>
          <w:tcPr>
            <w:tcW w:w="1316"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所投产品品牌</w:t>
            </w:r>
            <w:r/>
          </w:p>
        </w:tc>
        <w:tc>
          <w:tcPr>
            <w:tcW w:w="3980"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所投产品</w:t>
            </w:r>
            <w:r/>
          </w:p>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生产厂家</w:t>
            </w:r>
            <w:r/>
          </w:p>
        </w:tc>
        <w:tc>
          <w:tcPr>
            <w:tcW w:w="1887"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许可内容</w:t>
            </w:r>
            <w:r/>
          </w:p>
        </w:tc>
      </w:tr>
      <w:tr>
        <w:trPr>
          <w:trHeight w:val="552"/>
        </w:trPr>
        <w:tc>
          <w:tcPr>
            <w:shd w:val="clear" w:color="auto" w:fill="auto"/>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电热消毒柜</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86</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104</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121</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141</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155</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17</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28</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38</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282</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筷子消毒机</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textDirection w:val="lrTb"/>
            <w:noWrap w:val="false"/>
          </w:tcPr>
          <w:p>
            <w:pP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其他的消毒器械/消毒器械</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64</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紫外线杀菌灯</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96</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122</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6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133</w:t>
            </w:r>
            <w:r/>
          </w:p>
        </w:tc>
        <w:tc>
          <w:tcPr>
            <w:tcW w:w="1459" w:type="dxa"/>
            <w:textDirection w:val="lrTb"/>
            <w:noWrap w:val="false"/>
          </w:tcPr>
          <w:p>
            <w:pPr>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737"/>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156</w:t>
            </w:r>
            <w:r/>
          </w:p>
        </w:tc>
        <w:tc>
          <w:tcPr>
            <w:tcW w:w="1459" w:type="dxa"/>
            <w:textDirection w:val="lrTb"/>
            <w:noWrap w:val="false"/>
          </w:tcPr>
          <w:p>
            <w:pPr>
              <w:jc w:val="left"/>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bl>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numPr>
          <w:ilvl w:val="0"/>
          <w:numId w:val="0"/>
        </w:numPr>
        <w:ind w:firstLine="723"/>
        <w:spacing w:line="400" w:lineRule="exac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注1、请在本表格中列明所投产品的品牌和生产厂家。</w:t>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93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80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162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4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投标要求</w:t>
            </w:r>
            <w:r/>
          </w:p>
        </w:tc>
        <w:tc>
          <w:tcPr>
            <w:tcW w:w="1699"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757"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lang w:val="en-US" w:eastAsia="zh-CN"/>
        </w:rPr>
        <w:t xml:space="preserve">投标人</w:t>
      </w:r>
      <w:r>
        <w:rPr>
          <w:rFonts w:hint="eastAsia" w:ascii="宋体" w:hAnsi="宋体" w:eastAsia="宋体" w:cs="宋体"/>
          <w:b/>
          <w:color w:val="auto"/>
          <w:sz w:val="24"/>
          <w:szCs w:val="24"/>
          <w:highlight w:val="none"/>
          <w:shd w:val="clear" w:color="auto" w:fill="ffffff"/>
        </w:rPr>
        <w:t xml:space="preserve">应对照招标文件要求，所提供的服务与招标文件的规定有偏离的，应在此表中</w:t>
      </w:r>
      <w:r>
        <w:rPr>
          <w:rFonts w:hint="eastAsia" w:ascii="宋体" w:hAnsi="宋体" w:eastAsia="宋体" w:cs="宋体"/>
          <w:b/>
          <w:color w:val="auto"/>
          <w:sz w:val="24"/>
          <w:szCs w:val="24"/>
          <w:highlight w:val="none"/>
          <w:shd w:val="clear" w:color="auto" w:fill="ffffff"/>
          <w:lang w:val="en-US" w:eastAsia="zh-CN"/>
        </w:rPr>
        <w:t xml:space="preserve">说</w:t>
      </w:r>
      <w:r>
        <w:rPr>
          <w:rFonts w:hint="eastAsia" w:ascii="宋体" w:hAnsi="宋体" w:eastAsia="宋体" w:cs="宋体"/>
          <w:b/>
          <w:color w:val="auto"/>
          <w:sz w:val="24"/>
          <w:szCs w:val="24"/>
          <w:highlight w:val="none"/>
          <w:shd w:val="clear" w:color="auto" w:fill="ffffff"/>
        </w:rPr>
        <w:t xml:space="preserve">明与招标要求的偏差和例外</w:t>
      </w:r>
      <w:r>
        <w:rPr>
          <w:rFonts w:hint="eastAsia" w:ascii="宋体" w:hAnsi="宋体" w:eastAsia="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rPr>
        <w:t xml:space="preserve">否则将被认为完全响应招标文件的规定。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shd w:val="clear" w:color="auto" w:fill="ffffff"/>
        </w:rPr>
        <w:t xml:space="preserve">、商务条款偏离表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93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2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付款方式</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eastAsia="zh-CN"/>
              </w:rPr>
              <w:t xml:space="preserve">合同履行期限</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lang w:val="en-US" w:eastAsia="zh-CN"/>
        </w:rPr>
        <w:t xml:space="preserve">投标人</w:t>
      </w:r>
      <w:r>
        <w:rPr>
          <w:rFonts w:hint="eastAsia" w:ascii="宋体" w:hAnsi="宋体" w:eastAsia="宋体" w:cs="宋体"/>
          <w:b/>
          <w:bCs/>
          <w:color w:val="auto"/>
          <w:sz w:val="24"/>
          <w:szCs w:val="24"/>
          <w:highlight w:val="none"/>
          <w:shd w:val="clear" w:color="auto" w:fill="ffffff"/>
        </w:rPr>
        <w:t xml:space="preserve">的投标文件（除服务要求部分）与招标文件规定的有偏离的，应在此表中说明，否则，将被认为完全响应招标文件的规定。</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、拟投入项目组人员一览表</w:t>
      </w:r>
      <w:r/>
    </w:p>
    <w:p>
      <w:pPr>
        <w:pStyle w:val="1015"/>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项目组人员一览表</w:t>
      </w:r>
      <w:r/>
    </w:p>
    <w:tbl>
      <w:tblPr>
        <w:tblStyle w:val="933"/>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9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17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6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90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255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注：人员必须按本表承诺人员</w:t>
      </w:r>
      <w:r>
        <w:rPr>
          <w:rFonts w:hint="eastAsia" w:ascii="宋体" w:hAnsi="宋体" w:eastAsia="宋体" w:cs="宋体"/>
          <w:color w:val="auto"/>
          <w:sz w:val="24"/>
          <w:szCs w:val="24"/>
          <w:highlight w:val="none"/>
          <w:lang w:eastAsia="zh-CN"/>
        </w:rPr>
        <w:t xml:space="preserve">执行，</w:t>
      </w:r>
      <w:r>
        <w:rPr>
          <w:rFonts w:hint="eastAsia" w:ascii="宋体" w:hAnsi="宋体" w:eastAsia="宋体" w:cs="宋体"/>
          <w:color w:val="auto"/>
          <w:sz w:val="24"/>
          <w:szCs w:val="24"/>
          <w:highlight w:val="none"/>
        </w:rPr>
        <w:t xml:space="preserve">不得随意更换。</w:t>
      </w:r>
      <w:r/>
    </w:p>
    <w:p>
      <w:pPr>
        <w:ind w:left="42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、类似业绩情况表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类似业绩情况表</w:t>
      </w:r>
      <w:r/>
    </w:p>
    <w:tbl>
      <w:tblPr>
        <w:tblStyle w:val="933"/>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8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109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项目时间</w:t>
            </w:r>
            <w:r/>
          </w:p>
        </w:tc>
        <w:tc>
          <w:tcPr>
            <w:tcW w:w="130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项目规模</w:t>
            </w:r>
            <w:r/>
          </w:p>
        </w:tc>
        <w:tc>
          <w:tcPr>
            <w:tcW w:w="17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业主单位</w:t>
            </w:r>
            <w:r/>
          </w:p>
        </w:tc>
        <w:tc>
          <w:tcPr>
            <w:tcW w:w="111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技术支持以及售后服务承诺</w:t>
      </w:r>
      <w:r/>
    </w:p>
    <w:p>
      <w:pPr>
        <w:jc w:val="center"/>
        <w:spacing w:line="360" w:lineRule="auto"/>
        <w:tabs>
          <w:tab w:val="left" w:pos="13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技术支持以及售后服务承诺</w:t>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w:t>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到达现场时间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解决问题时间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93"/>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、资格证明文件</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资格文件的声明函</w:t>
      </w:r>
      <w:r/>
    </w:p>
    <w:p>
      <w:pPr>
        <w:pStyle w:val="985"/>
        <w:ind w:firstLine="42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本公司愿就由贵司组织实施的编号为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（2）中小企业声明函</w:t>
      </w:r>
      <w:r/>
    </w:p>
    <w:p>
      <w:pPr>
        <w:ind w:firstLine="630"/>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shd w:val="clear" w:color="auto" w:fill="ffffff"/>
        </w:rPr>
        <w:t xml:space="preserve">中小企业声明函</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6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32"/>
          <w:szCs w:val="20"/>
          <w:highlight w:val="none"/>
          <w:shd w:val="clear" w:color="auto" w:fill="ffffff"/>
          <w:lang w:val="en-US" w:eastAsia="zh-CN"/>
        </w:rPr>
        <w:t xml:space="preserve"> </w:t>
      </w:r>
      <w:r>
        <w:rPr>
          <w:rFonts w:hint="eastAsia" w:ascii="宋体" w:hAnsi="宋体" w:eastAsia="宋体" w:cs="宋体"/>
          <w:color w:val="auto"/>
          <w:sz w:val="24"/>
          <w:szCs w:val="24"/>
          <w:highlight w:val="none"/>
          <w:lang w:val="zh-CN"/>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采购活动，</w:t>
      </w:r>
      <w:r>
        <w:rPr>
          <w:rFonts w:hint="eastAsia" w:ascii="宋体" w:hAnsi="宋体" w:eastAsia="宋体" w:cs="宋体"/>
          <w:color w:val="auto"/>
          <w:sz w:val="24"/>
          <w:szCs w:val="24"/>
          <w:highlight w:val="none"/>
        </w:rPr>
        <w:t xml:space="preserve">提供的货物全部由符合政策要求的中小企业制造。</w:t>
      </w:r>
      <w:r>
        <w:rPr>
          <w:rFonts w:hint="eastAsia" w:ascii="宋体" w:hAnsi="宋体" w:eastAsia="宋体" w:cs="宋体"/>
          <w:color w:val="auto"/>
          <w:sz w:val="24"/>
          <w:szCs w:val="24"/>
          <w:highlight w:val="none"/>
          <w:lang w:val="zh-CN"/>
        </w:rPr>
        <w:t xml:space="preserve">相关企业（含联合体中的中小企业、签订分包意向协议的中小企业）的具体情况如下：</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5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企业名称（盖章）：</w:t>
      </w:r>
      <w:r/>
    </w:p>
    <w:p>
      <w:pPr>
        <w:ind w:firstLine="58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（填写）</w:t>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2"/>
        <w:jc w:val="left"/>
        <w:keepLines w:val="0"/>
        <w:keepNext w:val="0"/>
        <w:pageBreakBefore w:val="0"/>
        <w:spacing w:line="360" w:lineRule="auto"/>
        <w:widowControl w:val="off"/>
        <w:tabs>
          <w:tab w:val="left" w:pos="378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 </w:t>
      </w:r>
      <w:r/>
    </w:p>
    <w:p>
      <w:pPr>
        <w:numPr>
          <w:ilvl w:val="0"/>
          <w:numId w:val="0"/>
        </w:numPr>
        <w:ind w:left="0" w:firstLine="482"/>
        <w:keepLines w:val="0"/>
        <w:keepNext w:val="0"/>
        <w:pageBreakBefore w:val="0"/>
        <w:spacing w:line="360" w:lineRule="auto"/>
        <w:widowControl w:val="off"/>
        <w:tabs>
          <w:tab w:val="left" w:pos="210" w:leader="none"/>
          <w:tab w:val="left" w:pos="3780" w:leader="none"/>
        </w:tabs>
        <w:rPr>
          <w:rFonts w:hint="eastAsia" w:ascii="宋体" w:hAnsi="宋体" w:eastAsia="宋体" w:cs="宋体"/>
          <w:b/>
          <w:bCs w:val="0"/>
          <w:color w:val="auto"/>
          <w:sz w:val="24"/>
          <w:szCs w:val="24"/>
          <w:highlight w:val="none"/>
          <w:u w:val="single"/>
          <w:lang w:val="zh-CN"/>
        </w:rPr>
      </w:pPr>
      <w:r>
        <w:rPr>
          <w:rFonts w:hint="eastAsia" w:ascii="宋体" w:hAnsi="宋体" w:eastAsia="宋体" w:cs="宋体"/>
          <w:b/>
          <w:bCs w:val="0"/>
          <w:color w:val="auto"/>
          <w:sz w:val="24"/>
          <w:szCs w:val="24"/>
          <w:highlight w:val="none"/>
          <w:u w:val="single"/>
          <w:lang w:val="en-US" w:eastAsia="zh-CN"/>
        </w:rPr>
        <w:t xml:space="preserve">（1）请按本项目采购清单顺序填写，每一项均需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rFonts w:hint="eastAsia" w:ascii="宋体" w:hAnsi="宋体" w:eastAsia="宋体" w:cs="宋体"/>
          <w:color w:val="auto"/>
          <w:sz w:val="24"/>
          <w:szCs w:val="24"/>
          <w:highlight w:val="none"/>
          <w:lang w:val="zh-CN"/>
        </w:rPr>
        <w:t xml:space="preserve">；</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若供应商提供的“中小企业声明函”内容不实的，属于提供虚假材料谋取中标，依照《中华人民共和国政府采购法》等国家有关规定追究相应责任；</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2" w:name="_Hlk72923453"/>
      <w:r>
        <w:rPr>
          <w:rFonts w:hint="eastAsia" w:ascii="宋体" w:hAnsi="宋体" w:eastAsia="宋体" w:cs="宋体"/>
          <w:color w:val="auto"/>
          <w:sz w:val="24"/>
          <w:szCs w:val="24"/>
          <w:highlight w:val="none"/>
          <w:lang w:val="zh-CN"/>
        </w:rPr>
        <w:t xml:space="preserve">符合中小企业划分标准的个体工商户，在政府采购活动中视同中小企业</w:t>
      </w:r>
      <w:bookmarkEnd w:id="32"/>
      <w:r>
        <w:rPr>
          <w:rFonts w:hint="eastAsia" w:ascii="宋体" w:hAnsi="宋体" w:eastAsia="宋体" w:cs="宋体"/>
          <w:color w:val="auto"/>
          <w:sz w:val="24"/>
          <w:szCs w:val="24"/>
          <w:highlight w:val="none"/>
          <w:lang w:val="zh-CN"/>
        </w:rPr>
        <w:t xml:space="preserve">。</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bookmarkStart w:id="33" w:name="_Hlk94450593"/>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投标文件中的电子签章视为投标人对本声明进行了签署盖章并承担相应责任。</w:t>
      </w:r>
      <w:bookmarkEnd w:id="33"/>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6" w:line="2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附：中小企业划型标准规定（工信部联企业〔2011〕300号）</w:t>
      </w:r>
      <w:r/>
    </w:p>
    <w:p>
      <w:pPr>
        <w:pStyle w:val="984"/>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before="156"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（3）残疾人福利性单位声明函</w:t>
      </w:r>
      <w:r/>
    </w:p>
    <w:p>
      <w:pPr>
        <w:jc w:val="center"/>
        <w:spacing w:before="100" w:after="100"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21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bookmarkStart w:id="34" w:name="_Hlk158140990"/>
      <w:r>
        <w:rPr>
          <w:rFonts w:hint="eastAsia" w:ascii="宋体" w:hAnsi="宋体" w:eastAsia="宋体" w:cs="宋体"/>
          <w:b/>
          <w:color w:val="auto"/>
          <w:sz w:val="24"/>
          <w:szCs w:val="24"/>
          <w:highlight w:val="none"/>
        </w:rPr>
        <w:t xml:space="preserve">投标文件中的电子签章视为供应商对本声明进行了签署盖章并承担相应责任</w:t>
      </w:r>
      <w:bookmarkEnd w:id="34"/>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）、关于符合本国产品标准的声明函</w:t>
      </w:r>
      <w:r>
        <w:rPr>
          <w:rFonts w:hint="eastAsia" w:ascii="宋体" w:hAnsi="宋体" w:eastAsia="宋体" w:cs="宋体"/>
          <w:color w:val="auto"/>
          <w:sz w:val="24"/>
          <w:szCs w:val="24"/>
          <w:highlight w:val="none"/>
        </w:rPr>
        <w:t xml:space="preserve"> </w:t>
      </w:r>
      <w:r/>
    </w:p>
    <w:p>
      <w:pPr>
        <w:numPr>
          <w:ilvl w:val="0"/>
          <w:numId w:val="0"/>
        </w:num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关于符合本国产品标准的声明函</w:t>
      </w:r>
      <w:r/>
    </w:p>
    <w:p>
      <w:pPr>
        <w:pStyle w:val="970"/>
        <w:ind w:left="0" w:right="0" w:firstLine="42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7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97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70"/>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970"/>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7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）供应商与其他单位存在直接控股、管理关系情况表</w:t>
      </w:r>
      <w:r/>
    </w:p>
    <w:p>
      <w:pPr>
        <w:pStyle w:val="943"/>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33"/>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注：响应人须如实填写所有与之有控股、管理关系的情况。</w:t>
      </w:r>
      <w:r/>
    </w:p>
    <w:p>
      <w:pPr>
        <w:jc w:val="center"/>
        <w:spacing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）参加政府采购活动前三年内，在经营活动中没有重大违法记录声明</w:t>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致：</w:t>
      </w: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5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若采购代理机构在本项目采购过程中发现本公司近三年内在经营活动中有重大违法记录，本公司将无条件退出本项目的投标，并承担因此引起的一起后果。</w:t>
      </w:r>
      <w:r/>
    </w:p>
    <w:p>
      <w:pPr>
        <w:pStyle w:val="974"/>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rPr>
          <w:rFonts w:ascii="宋体" w:hAnsi="宋体"/>
          <w:b/>
          <w:bCs/>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b/>
          <w:bCs/>
          <w:sz w:val="24"/>
          <w:szCs w:val="24"/>
          <w:highlight w:val="none"/>
          <w:lang w:val="en-US" w:eastAsia="zh-CN"/>
        </w:rPr>
        <w:t xml:space="preserve">关于厨房设备采购项目的</w:t>
      </w:r>
      <w:r>
        <w:rPr>
          <w:rFonts w:hint="eastAsia" w:ascii="宋体" w:hAnsi="宋体"/>
          <w:b/>
          <w:bCs/>
          <w:sz w:val="24"/>
          <w:szCs w:val="24"/>
          <w:highlight w:val="none"/>
        </w:rPr>
        <w:t xml:space="preserve">承诺函</w:t>
      </w:r>
      <w:r/>
    </w:p>
    <w:p>
      <w:pPr>
        <w:ind w:left="0"/>
        <w:rPr>
          <w:rFonts w:ascii="Times New Roman" w:hAnsi="Times New Roman" w:cs="Times New Roman"/>
          <w:sz w:val="24"/>
          <w:szCs w:val="24"/>
          <w:highlight w:val="none"/>
          <w:lang w:val="zh-CN"/>
        </w:rPr>
      </w:pPr>
      <w:r>
        <w:rPr>
          <w:rFonts w:ascii="Times New Roman" w:hAnsi="Times New Roman" w:cs="Times New Roman"/>
          <w:sz w:val="24"/>
          <w:szCs w:val="24"/>
          <w:highlight w:val="none"/>
          <w:lang w:val="zh-CN"/>
        </w:rPr>
      </w:r>
      <w:r/>
    </w:p>
    <w:p>
      <w:pPr>
        <w:ind w:left="0"/>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ind w:left="0"/>
        <w:jc w:val="center"/>
        <w:rPr>
          <w:rFonts w:ascii="宋体" w:hAnsi="宋体"/>
          <w:b/>
          <w:sz w:val="24"/>
          <w:szCs w:val="24"/>
          <w:highlight w:val="none"/>
        </w:rPr>
      </w:pPr>
      <w:r>
        <w:rPr>
          <w:rFonts w:hint="eastAsia" w:ascii="宋体" w:hAnsi="宋体"/>
          <w:b/>
          <w:sz w:val="24"/>
          <w:szCs w:val="24"/>
          <w:highlight w:val="none"/>
          <w:lang w:val="en-US" w:eastAsia="zh-CN"/>
        </w:rPr>
        <w:t xml:space="preserve">关于厨房设备采购项目的</w:t>
      </w:r>
      <w:r>
        <w:rPr>
          <w:rFonts w:hint="eastAsia" w:ascii="宋体" w:hAnsi="宋体"/>
          <w:b/>
          <w:sz w:val="24"/>
          <w:szCs w:val="24"/>
          <w:highlight w:val="none"/>
        </w:rPr>
        <w:t xml:space="preserve">承诺函</w:t>
      </w:r>
      <w:r/>
    </w:p>
    <w:p>
      <w:pPr>
        <w:ind w:left="0" w:firstLine="42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ind w:left="0" w:firstLine="420"/>
        <w:jc w:val="left"/>
        <w:spacing w:line="360" w:lineRule="auto"/>
        <w:rPr>
          <w:rFonts w:ascii="宋体" w:hAnsi="宋体" w:eastAsia="宋体" w:cs="宋体"/>
          <w:b/>
          <w:bCs/>
          <w:sz w:val="24"/>
          <w:szCs w:val="24"/>
          <w:highlight w:val="none"/>
          <w:u w:val="single"/>
        </w:rPr>
      </w:pPr>
      <w:r>
        <w:rPr>
          <w:rFonts w:hint="eastAsia" w:ascii="宋体" w:hAnsi="宋体" w:eastAsia="宋体" w:cs="宋体"/>
          <w:b/>
          <w:bCs/>
          <w:sz w:val="24"/>
          <w:szCs w:val="24"/>
          <w:highlight w:val="none"/>
          <w:u w:val="single"/>
          <w:lang w:eastAsia="zh-CN"/>
        </w:rPr>
        <w:t xml:space="preserve">苏州工业园区教育局</w:t>
      </w:r>
      <w:r>
        <w:rPr>
          <w:rFonts w:ascii="宋体" w:hAnsi="宋体" w:eastAsia="宋体" w:cs="宋体"/>
          <w:b/>
          <w:bCs/>
          <w:sz w:val="24"/>
          <w:szCs w:val="24"/>
          <w:highlight w:val="none"/>
          <w:u w:val="single"/>
        </w:rPr>
        <w:t xml:space="preserve">：</w:t>
      </w:r>
      <w:r/>
    </w:p>
    <w:p>
      <w:pPr>
        <w:pStyle w:val="943"/>
        <w:rPr>
          <w:rFonts w:hint="eastAsia" w:ascii="宋体" w:hAnsi="宋体" w:eastAsia="宋体" w:cs="宋体"/>
          <w:b/>
          <w:bCs w:val="0"/>
          <w:color w:val="ff0000"/>
          <w:sz w:val="24"/>
          <w:szCs w:val="24"/>
          <w:highlight w:val="none"/>
          <w:lang w:eastAsia="zh-CN"/>
        </w:rPr>
      </w:pPr>
      <w:r>
        <w:rPr>
          <w:rFonts w:hint="eastAsia" w:ascii="宋体" w:hAnsi="宋体" w:eastAsia="宋体" w:cs="宋体"/>
          <w:b/>
          <w:bCs w:val="0"/>
          <w:color w:val="ff0000"/>
          <w:sz w:val="24"/>
          <w:szCs w:val="24"/>
          <w:highlight w:val="none"/>
          <w:lang w:eastAsia="zh-CN"/>
        </w:rPr>
      </w:r>
      <w:r/>
    </w:p>
    <w:p>
      <w:pPr>
        <w:ind w:left="0" w:firstLine="480"/>
        <w:spacing w:line="360" w:lineRule="auto"/>
        <w:rPr>
          <w:rFonts w:hint="default" w:ascii="宋体" w:hAnsi="宋体" w:eastAsia="宋体" w:cs="宋体"/>
          <w:b/>
          <w:bCs w:val="0"/>
          <w:color w:val="ff0000"/>
          <w:sz w:val="24"/>
          <w:szCs w:val="24"/>
          <w:highlight w:val="none"/>
          <w:lang w:val="en-US" w:eastAsia="zh-CN"/>
        </w:rPr>
      </w:pPr>
      <w:r>
        <w:rPr>
          <w:rFonts w:ascii="宋体" w:hAnsi="宋体"/>
          <w:sz w:val="24"/>
          <w:szCs w:val="24"/>
          <w:highlight w:val="none"/>
        </w:rPr>
        <w:t xml:space="preserve">本公司愿就</w:t>
      </w:r>
      <w:r>
        <w:rPr>
          <w:rFonts w:hint="eastAsia" w:ascii="宋体" w:hAnsi="宋体"/>
          <w:sz w:val="24"/>
          <w:szCs w:val="24"/>
          <w:highlight w:val="none"/>
          <w:lang w:val="en-US" w:eastAsia="zh-CN"/>
        </w:rPr>
        <w:t xml:space="preserve">由</w:t>
      </w:r>
      <w:r>
        <w:rPr>
          <w:rFonts w:ascii="宋体" w:hAnsi="宋体"/>
          <w:sz w:val="24"/>
          <w:szCs w:val="24"/>
          <w:highlight w:val="none"/>
        </w:rPr>
        <w:t xml:space="preserve">贵</w:t>
      </w:r>
      <w:r>
        <w:rPr>
          <w:rFonts w:hint="eastAsia" w:ascii="宋体" w:hAnsi="宋体"/>
          <w:sz w:val="24"/>
          <w:szCs w:val="24"/>
          <w:highlight w:val="none"/>
          <w:lang w:val="en-US" w:eastAsia="zh-CN"/>
        </w:rPr>
        <w:t xml:space="preserve">单位</w:t>
      </w:r>
      <w:r>
        <w:rPr>
          <w:rFonts w:ascii="宋体" w:hAnsi="宋体"/>
          <w:sz w:val="24"/>
          <w:szCs w:val="24"/>
          <w:highlight w:val="none"/>
        </w:rPr>
        <w:t xml:space="preserve">组织实施的编号为</w:t>
      </w:r>
      <w:r>
        <w:rPr>
          <w:rFonts w:hint="eastAsia" w:ascii="宋体" w:hAnsi="宋体" w:eastAsia="宋体" w:cs="宋体"/>
          <w:b/>
          <w:bCs/>
          <w:sz w:val="24"/>
          <w:szCs w:val="24"/>
          <w:highlight w:val="none"/>
          <w:u w:val="single"/>
          <w:lang w:val="en-US" w:eastAsia="zh-CN"/>
        </w:rPr>
        <w:t xml:space="preserve">JSZC-320591-HXZJ-G2026-0015</w:t>
      </w:r>
      <w:r>
        <w:rPr>
          <w:rFonts w:ascii="宋体" w:hAnsi="宋体"/>
          <w:b/>
          <w:bCs/>
          <w:sz w:val="24"/>
          <w:szCs w:val="24"/>
          <w:highlight w:val="none"/>
        </w:rPr>
        <w:t xml:space="preserve">号</w:t>
      </w:r>
      <w:r>
        <w:rPr>
          <w:rFonts w:hint="eastAsia" w:ascii="宋体" w:hAnsi="宋体" w:eastAsia="宋体" w:cs="宋体"/>
          <w:b/>
          <w:bCs/>
          <w:sz w:val="24"/>
          <w:szCs w:val="24"/>
          <w:highlight w:val="none"/>
          <w:u w:val="single"/>
          <w:lang w:val="en-US" w:eastAsia="zh-CN"/>
        </w:rPr>
        <w:t xml:space="preserve">斜塘学校改建修缮项目厨房设备采购</w:t>
      </w:r>
      <w:r>
        <w:rPr>
          <w:rFonts w:hint="eastAsia" w:ascii="宋体" w:hAnsi="宋体" w:eastAsia="宋体" w:cs="宋体"/>
          <w:sz w:val="24"/>
          <w:szCs w:val="24"/>
          <w:highlight w:val="none"/>
          <w:u w:val="none"/>
          <w:lang w:val="en-US" w:eastAsia="zh-CN"/>
        </w:rPr>
        <w:t xml:space="preserve">项目</w:t>
      </w:r>
      <w:r>
        <w:rPr>
          <w:rFonts w:ascii="宋体" w:hAnsi="宋体"/>
          <w:sz w:val="24"/>
          <w:szCs w:val="24"/>
          <w:highlight w:val="none"/>
        </w:rPr>
        <w:t xml:space="preserve">的招标活动进行投标。</w:t>
      </w:r>
      <w:r>
        <w:rPr>
          <w:rFonts w:hint="eastAsia" w:ascii="宋体" w:hAnsi="宋体"/>
          <w:sz w:val="24"/>
          <w:szCs w:val="24"/>
          <w:highlight w:val="none"/>
          <w:lang w:val="en-US" w:eastAsia="zh-CN"/>
        </w:rPr>
        <w:t xml:space="preserve">本项目招标书及采购清单中所采购设备，根据</w:t>
      </w:r>
      <w:r>
        <w:rPr>
          <w:rFonts w:hint="eastAsia" w:ascii="宋体" w:hAnsi="宋体"/>
          <w:sz w:val="24"/>
          <w:szCs w:val="24"/>
          <w:highlight w:val="none"/>
        </w:rPr>
        <w:t xml:space="preserve">法律法规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行业规范及</w:t>
      </w:r>
      <w:r>
        <w:rPr>
          <w:rFonts w:hint="eastAsia" w:ascii="宋体" w:hAnsi="宋体"/>
          <w:sz w:val="24"/>
          <w:szCs w:val="24"/>
          <w:highlight w:val="none"/>
        </w:rPr>
        <w:t xml:space="preserve">政策规定</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需要获得</w:t>
      </w:r>
      <w:r>
        <w:rPr>
          <w:rFonts w:hint="eastAsia" w:ascii="宋体" w:hAnsi="宋体"/>
          <w:sz w:val="24"/>
          <w:szCs w:val="24"/>
          <w:highlight w:val="none"/>
        </w:rPr>
        <w:t xml:space="preserve">各项生产经营活动所需的许可</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资质</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认证等证书的，我单位</w:t>
      </w:r>
      <w:r>
        <w:rPr>
          <w:rFonts w:hint="eastAsia" w:ascii="宋体" w:hAnsi="宋体"/>
          <w:sz w:val="24"/>
          <w:szCs w:val="24"/>
          <w:highlight w:val="none"/>
        </w:rPr>
        <w:t xml:space="preserve">承诺所投产品的生产厂家</w:t>
      </w:r>
      <w:r>
        <w:rPr>
          <w:rFonts w:hint="eastAsia" w:ascii="宋体" w:hAnsi="宋体"/>
          <w:sz w:val="24"/>
          <w:szCs w:val="24"/>
          <w:highlight w:val="none"/>
          <w:lang w:val="en-US" w:eastAsia="zh-CN"/>
        </w:rPr>
        <w:t xml:space="preserve">，在本项目投标截止时间前均已依法取得相关证书且有效。</w:t>
      </w:r>
      <w:r/>
    </w:p>
    <w:p>
      <w:pPr>
        <w:ind w:left="0" w:firstLine="420"/>
        <w:spacing w:line="360" w:lineRule="auto"/>
        <w:rPr>
          <w:rFonts w:hint="eastAsia" w:ascii="宋体" w:hAnsi="宋体"/>
          <w:sz w:val="24"/>
          <w:szCs w:val="24"/>
          <w:highlight w:val="none"/>
        </w:rPr>
      </w:pPr>
      <w:r>
        <w:rPr>
          <w:rFonts w:hint="eastAsia" w:ascii="宋体" w:hAnsi="宋体"/>
          <w:sz w:val="24"/>
          <w:szCs w:val="24"/>
          <w:highlight w:val="none"/>
        </w:rPr>
        <w:t xml:space="preserve">本单位对上述承诺的真实性负责。如有虚假，将依法承担相应责任。</w:t>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943"/>
        <w:rPr>
          <w:rFonts w:hint="eastAsia" w:ascii="宋体" w:hAnsi="宋体"/>
          <w:sz w:val="24"/>
          <w:szCs w:val="24"/>
          <w:highlight w:val="none"/>
        </w:rPr>
      </w:pPr>
      <w:r>
        <w:rPr>
          <w:rFonts w:hint="eastAsia" w:ascii="宋体" w:hAnsi="宋体"/>
          <w:sz w:val="24"/>
          <w:szCs w:val="24"/>
          <w:highlight w:val="none"/>
        </w:rPr>
      </w:r>
      <w:r/>
    </w:p>
    <w:p>
      <w:pPr>
        <w:ind w:right="420" w:firstLine="210"/>
        <w:jc w:val="both"/>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7"/>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944"/>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944"/>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35" w:name="_Toc13642115"/>
      <w:r/>
      <w:bookmarkStart w:id="36" w:name="_Toc105940240"/>
      <w:r>
        <w:rPr>
          <w:rFonts w:hint="eastAsia" w:ascii="宋体" w:hAnsi="宋体" w:eastAsia="宋体" w:cs="宋体"/>
          <w:b/>
          <w:color w:val="auto"/>
          <w:sz w:val="52"/>
          <w:szCs w:val="20"/>
          <w:highlight w:val="none"/>
          <w:shd w:val="clear" w:color="auto" w:fill="ffffff"/>
        </w:rPr>
        <w:t xml:space="preserve">第四章 招标书</w:t>
      </w:r>
      <w:bookmarkEnd w:id="35"/>
      <w:r/>
      <w:bookmarkEnd w:id="36"/>
      <w:r/>
      <w:r/>
    </w:p>
    <w:p>
      <w:pPr>
        <w:jc w:val="center"/>
        <w:spacing w:line="360" w:lineRule="auto"/>
        <w:rPr>
          <w:rFonts w:hint="eastAsia" w:ascii="宋体" w:hAnsi="宋体" w:eastAsia="宋体" w:cs="宋体"/>
          <w:b/>
          <w:color w:val="auto"/>
          <w:sz w:val="48"/>
          <w:szCs w:val="48"/>
          <w:highlight w:val="none"/>
          <w:shd w:val="clear" w:color="auto" w:fill="ffffff"/>
        </w:rPr>
      </w:pPr>
      <w:r/>
      <w:bookmarkStart w:id="37"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3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苏州华星工程造价咨询有限公司受</w:t>
      </w:r>
      <w:r>
        <w:rPr>
          <w:rFonts w:hint="eastAsia" w:ascii="宋体" w:hAnsi="宋体" w:eastAsia="宋体" w:cs="宋体"/>
          <w:color w:val="auto"/>
          <w:sz w:val="24"/>
          <w:szCs w:val="24"/>
          <w:highlight w:val="none"/>
          <w:shd w:val="clear" w:color="auto" w:fill="ffffff"/>
          <w:lang w:eastAsia="zh-CN"/>
        </w:rPr>
        <w:t xml:space="preserve">苏州工业园区教育局</w:t>
      </w:r>
      <w:r>
        <w:rPr>
          <w:rFonts w:hint="eastAsia" w:ascii="宋体" w:hAnsi="宋体" w:eastAsia="宋体" w:cs="宋体"/>
          <w:color w:val="auto"/>
          <w:sz w:val="24"/>
          <w:szCs w:val="24"/>
          <w:highlight w:val="none"/>
          <w:shd w:val="clear" w:color="auto" w:fill="ffffff"/>
        </w:rPr>
        <w:t xml:space="preserve">的委托，就其所需的</w:t>
      </w:r>
      <w:r>
        <w:rPr>
          <w:rFonts w:hint="eastAsia" w:ascii="宋体" w:hAnsi="宋体" w:eastAsia="宋体" w:cs="宋体"/>
          <w:color w:val="auto"/>
          <w:sz w:val="24"/>
          <w:szCs w:val="24"/>
          <w:highlight w:val="none"/>
          <w:lang w:eastAsia="zh-CN"/>
        </w:rPr>
        <w:t xml:space="preserve">斜塘学校改建修缮项目厨房设备采购</w:t>
      </w:r>
      <w:r>
        <w:rPr>
          <w:rFonts w:hint="eastAsia" w:ascii="宋体" w:hAnsi="宋体" w:eastAsia="宋体" w:cs="宋体"/>
          <w:color w:val="auto"/>
          <w:sz w:val="24"/>
          <w:szCs w:val="24"/>
          <w:highlight w:val="none"/>
          <w:shd w:val="clear" w:color="auto" w:fill="ffffff"/>
        </w:rPr>
        <w:t xml:space="preserve">进行国内公开招标。欢迎有资格的供应商前来参加投标。</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val="en-US" w:eastAsia="zh-CN"/>
        </w:rPr>
        <w:t xml:space="preserve">一、</w:t>
      </w:r>
      <w:r>
        <w:rPr>
          <w:rFonts w:hint="eastAsia" w:ascii="宋体" w:hAnsi="宋体" w:eastAsia="宋体" w:cs="宋体"/>
          <w:b/>
          <w:bCs/>
          <w:color w:val="auto"/>
          <w:sz w:val="24"/>
          <w:szCs w:val="24"/>
          <w:highlight w:val="none"/>
          <w:shd w:val="clear" w:color="auto" w:fill="ffffff"/>
        </w:rPr>
        <w:t xml:space="preserve">招标编号</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eastAsia="zh-CN"/>
        </w:rPr>
        <w:t xml:space="preserve">JSZC-320591-HXZJ-G2026-0015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二、</w:t>
      </w:r>
      <w:r>
        <w:rPr>
          <w:rFonts w:hint="eastAsia" w:ascii="宋体" w:hAnsi="宋体" w:eastAsia="宋体" w:cs="宋体"/>
          <w:b/>
          <w:bCs/>
          <w:color w:val="auto"/>
          <w:sz w:val="24"/>
          <w:szCs w:val="24"/>
          <w:highlight w:val="non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lang w:eastAsia="zh-CN"/>
        </w:rPr>
        <w:t xml:space="preserve">斜塘学校改建修缮项目厨房设备采购</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bookmarkStart w:id="38" w:name="_Hlk183174478"/>
      <w:r>
        <w:rPr>
          <w:rFonts w:hint="eastAsia" w:ascii="宋体" w:hAnsi="宋体" w:eastAsia="宋体" w:cs="宋体"/>
          <w:b/>
          <w:bCs/>
          <w:color w:val="auto"/>
          <w:sz w:val="24"/>
          <w:szCs w:val="24"/>
          <w:highlight w:val="none"/>
          <w:shd w:val="clear" w:color="auto" w:fill="ffffff"/>
          <w:lang w:val="en-US" w:eastAsia="zh-CN"/>
        </w:rPr>
        <w:t xml:space="preserve">三</w:t>
      </w:r>
      <w:r>
        <w:rPr>
          <w:rFonts w:hint="eastAsia" w:ascii="宋体" w:hAnsi="宋体" w:eastAsia="宋体" w:cs="宋体"/>
          <w:b/>
          <w:bCs/>
          <w:color w:val="auto"/>
          <w:sz w:val="24"/>
          <w:szCs w:val="24"/>
          <w:highlight w:val="none"/>
          <w:shd w:val="clear" w:color="auto" w:fill="ffffff"/>
        </w:rPr>
        <w:t xml:space="preserve">、采购需求：</w:t>
      </w:r>
      <w:bookmarkEnd w:id="3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w:t>
      </w:r>
      <w:r>
        <w:rPr>
          <w:rFonts w:hint="eastAsia" w:ascii="宋体" w:hAnsi="宋体" w:eastAsia="宋体" w:cs="宋体"/>
          <w:color w:val="auto"/>
          <w:sz w:val="24"/>
          <w:szCs w:val="24"/>
          <w:highlight w:val="none"/>
          <w:lang w:eastAsia="zh-CN"/>
        </w:rPr>
        <w:t xml:space="preserve">斜塘学校改建修缮项目</w:t>
      </w:r>
      <w:r>
        <w:rPr>
          <w:rFonts w:hint="eastAsia" w:ascii="宋体" w:hAnsi="宋体" w:eastAsia="宋体" w:cs="宋体"/>
          <w:color w:val="auto"/>
          <w:sz w:val="24"/>
          <w:szCs w:val="24"/>
          <w:highlight w:val="none"/>
          <w:shd w:val="clear" w:color="auto" w:fill="ffffff"/>
        </w:rPr>
        <w:t xml:space="preserve">的厨房设备供货与安装采购。投标人应履行所投产品的生产供货、安装、调试、培训、质保</w:t>
      </w:r>
      <w:r>
        <w:rPr>
          <w:rFonts w:hint="eastAsia" w:ascii="宋体" w:hAnsi="宋体" w:eastAsia="宋体" w:cs="宋体"/>
          <w:color w:val="auto"/>
          <w:sz w:val="24"/>
          <w:szCs w:val="24"/>
          <w:highlight w:val="none"/>
          <w:shd w:val="clear" w:color="auto" w:fill="ffffff"/>
          <w:lang w:val="en-US" w:eastAsia="zh-CN"/>
        </w:rPr>
        <w:t xml:space="preserve">等要求</w:t>
      </w:r>
      <w:r>
        <w:rPr>
          <w:rFonts w:hint="eastAsia" w:ascii="宋体" w:hAnsi="宋体" w:eastAsia="宋体" w:cs="宋体"/>
          <w:color w:val="auto"/>
          <w:sz w:val="24"/>
          <w:szCs w:val="24"/>
          <w:highlight w:val="none"/>
          <w:shd w:val="clear" w:color="auto" w:fill="ffffff"/>
        </w:rPr>
        <w:t xml:space="preserve">。</w:t>
      </w:r>
      <w:r/>
    </w:p>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采购清单</w:t>
      </w:r>
      <w:r/>
    </w:p>
    <w:tbl>
      <w:tblPr>
        <w:tblStyle w:val="933"/>
        <w:tblW w:w="975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1604"/>
        <w:gridCol w:w="1812"/>
        <w:gridCol w:w="585"/>
        <w:gridCol w:w="381"/>
        <w:gridCol w:w="457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过磅区</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电源220V，内置64V/4AH维护充电蓄电池，开机自动至0，零点自动追踪。</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900*600*200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立管：采用SUS304不锈钢方管38*25*1.2mm；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手柄：采用SUS304不锈钢圆管φ32*1.0mm；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1000*700*200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立管：采用SUS304不锈钢方管38*25*1.2mm；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手柄：采用SUS304不锈钢圆管φ32*1.0mm；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拖把架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采用SUS304不锈钢厚度1.2mm制作，下接盛水盆。</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男/女更衣间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采用优质镀锌板厚度0.8mm制作，表面喷塑处理；每扇门带锁。</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不锈钢四层鞋柜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1000*500*1400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挂衣架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采用SUS304不锈钢厚度1.2mm制作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冷藏库&amp;冷冻库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冷藏库</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冷藏库0℃-5℃；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压缩机：单机涡旋式全封压缩机；散热器：优质“V型”上出风冷凝器；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蒸发器：优质节能高效冷风机。</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冷冻库</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冷冻库-15℃~-18℃；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压缩机：单机涡旋式全封压缩机；散热器：优质“V型”上出风冷凝器；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蒸发器：优质节能高效冷风机。</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蔬菜粗加工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1180*550*1260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用途：将根茎类蔬菜：土豆、萝卜等根茎类以及叶菜类蔬菜类切成丁、片、丝条状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特性：本机为双头型切菜机,可同时工作。通过更换刀盘或双调频调节输送带与斩刀速度,可切出各种规格的片、丝、丁。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整机采用全SUS304不锈钢制造。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两侧切刀处设有连锁安全开关，开门自动停机。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叶菜切制规格：1-60mm（可调）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球根切可选规格：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切丁：15mm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切丝：3mm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切片：3mm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可切丁、切片、切丝、切断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切片刀盘1个 切丝刀盘1个 切丁刀盘1套</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毛刷清洗去皮机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1300*1000*1000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加工能力：500-600kg/h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功率：1.5kw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适用于：马铃薯、胡萝卜、甜菜、莲藕、甘薯、芋头、大头菜等茎类蔬果清洗去皮。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特点：毛刷棍采用尼龙丝材质，耐酸碱耐腐蚀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整机采用全SUS304不锈钢制造,符合食品加工卫生要求；有平，凹凸，软，硬毛刷棍，满足不同物料的清洗要求。</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荤菜粗加工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温度范围：0℃～+8℃及0℃～-18℃；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内外为SUS304不锈钢材料,背部和底部为镀锌板材料,防锈抗腐,微电脑温度显示器,聚胺脂高压发泡。</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0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705*465*780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生产能力：300KG/H</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转速:120/240/468/转/分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料筒容积：30L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配置：1桶、1球、1勾、1扇、安全网</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水产粗加工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烹饪间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燃气双眼大锅灶</w:t>
            </w:r>
            <w:r>
              <w:rPr>
                <w:rFonts w:hint="eastAsia" w:ascii="宋体" w:hAnsi="宋体" w:eastAsia="宋体" w:cs="宋体"/>
                <w:b/>
                <w:bCs/>
                <w:i w:val="0"/>
                <w:iCs w:val="0"/>
                <w:color w:val="auto"/>
                <w:sz w:val="20"/>
                <w:szCs w:val="20"/>
                <w:highlight w:val="none"/>
                <w:u w:val="none"/>
                <w:lang w:val="en-US" w:eastAsia="zh-CN" w:bidi="ar"/>
              </w:rPr>
              <w:t xml:space="preserve">(核心设备）</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炉面：采用SUS304不锈钢板厚度1.5mm制作；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冲压、折弯一体成型，下衬隔热棉厚度10mm制作；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炉架：采用SUS304不锈钢板厚度1.2mm制作；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折弯成型，无焊接，上衬镀锌板厚度1.0mm制作；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围板：采用SUS304不锈钢板厚度1.0mm；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炉头：采用侧进风高效节能炉头，带前预混功能可有效将燃气与空气充分混合，使得燃烧充分；每个炉头配套带电子点火及自动熄火保护装置，采用连动气阀及连动风门，实现火力大小精准调控；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炉膛：采用双层镀锌板厚度1.2mm制作，夹层内覆隔热棉厚度40mm制作；四周及底部覆盖耐高温耐火水泥厚度10mm；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风机：每个炉头装有低噪音中压铝壳强力风机；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风机电压：220V，风机功率：250W*2；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脚通：内管采用镀锌板φ48*2.0mm制作，套管采用SUS304不锈钢圆管φ51*1.5mm制作；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9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燃气双门蒸饭柜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蒸饭量:120kg,24盘;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搁条：采用SUS304不锈钢板厚度1.2mm；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保温：箱体采用保温棉，其他聚氨酯发泡；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手柄：旋转迫紧把手；密封条：聚合脂密封胶条。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饭盘：采用SUS304不锈钢板厚度0.8mm制作，每台配置24个饭盘；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水胆：热水胆，浸入式大热交换面，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风机：热风吸风式风机。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采用自动点火及熄火保护装置</w:t>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燃气可倾式汤锅</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内胆：采用SUS304不锈钢板厚度4.0mm；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风机功率：70W  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采用高效节能炉头，轻便式倾斜机构。采用自动点火及熄火保护装置</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12200*2000*2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1、箱体全身采用优质不锈钢材质，自带18个高压细水雾喷嘴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2、产品为绿色环保型灭火药剂，无色、无味、无毒、无腐蚀、灭火效率快且不复燃等特点，灭火时间：≤1.8s；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3、灭火装置具备自动探测，自动实施灭火功能；也可手动紧急启动功能。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4、本装置灭火剂喷射时间不得小于 26s，同时具备较好的抗飞溅性能，在灭火剂喷射过程中无油点飞溅出来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5、喷射灭火剂后，自动切换喷射冷却水。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1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柜式自动洗米机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760*760*1000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米桶容积：100L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功率：0.55KW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柜体式设计，主体板材为304不锈钢，坚固耐用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机械式控制系统，设备运行更稳定可靠。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配高质量增压泵，水压更稳定、强劲，清洗更快速</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门体材料：铝合金玻璃门，带暗锁；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内外为SUS304全不锈钢材料,背部和底部为镀锌板材料，防锈抗腐,微电脑温度显示器,聚胺脂高压发泡。</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机器入口宽度：605mm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最大洗涤高度：420mm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最大洗涤量：3000-4500碟/小时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耗水量：300-350L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洗涤温度：55-60℃</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漂洗温度：80-85℃</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进水压力：0.15-0.4Mpa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电源要求：380V，功率：36kw</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摸屏面板，PLC编程，数码温度显示。入口和出口带有蒸汽回收系统，洗碗间无需另配排汽设备，该系统能减少蒸汽外溢，给洗碗间一个干燥的环境并且利用空气能系统与冷水进行热交换，使冷水升温，达到节能效果。入口带有红外线传感器，自动检测餐具进入洗碗机，自动启/停清洗系统，实现节能减排。采用了空气能系统（HPS），控制逻辑合理选材精良，排气保护、过流保护、相序保护、出水温度过高保护、高低压保护等多方面保护功能全智能化控制。超低的漂洗用水量,大大节省电力、催干剂和洗涤剂用量。内置式漂洗加热器和漂</w:t>
            </w:r>
            <w:r>
              <w:rPr>
                <w:rFonts w:hint="eastAsia" w:ascii="宋体" w:hAnsi="宋体" w:eastAsia="宋体" w:cs="宋体"/>
                <w:i w:val="0"/>
                <w:iCs w:val="0"/>
                <w:color w:val="auto"/>
                <w:sz w:val="20"/>
                <w:szCs w:val="20"/>
                <w:highlight w:val="none"/>
                <w:u w:val="none"/>
                <w:lang w:val="en-US" w:eastAsia="zh-CN" w:bidi="ar"/>
              </w:rPr>
              <w:t xml:space="preserve">洗泵,并设有保护装置,从而保证水压的稳定。配置出口限位，开门水泵停止运行，防飞溅，电机过载保护等多重安全保护设置,更具人性化。前门双层壁式结构隔热、隔噪音,开启高度任意调节,操作感舒适并节省能源。上下洗涤臂拆装十分方便,只需轻轻一扣便可紧锁。双道喷淋系统，入口端配置不锈钢钩齿，防止餐具掉落内部。烘干系统由强力离心风机和干烧电热管组成。洗涤后的餐具经过烘干箱由强力热风吹干 对餐具进行消毒杀菌烘干等处理。输送链排装置采用耐热、耐腐蚀、卫生无毒、强度高造型美观的工程塑料网爪，适用范围广。传送系统采用变频控制电机。</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3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内胆材质：金圭内胆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30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框架：采用SUS304不锈钢方管38*38*1.0mm；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480*435*950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排水方式：外接软管直排式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空气过滤：高密度双层过滤网</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保洁间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内胆材质：金圭内胆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洗消间&amp;保洁间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71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机器入口宽度：605mm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最大洗涤高度：420mm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最大洗涤量：3000-4500碟/小时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耗水量：300-350L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洗涤温度：55-60℃</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漂洗温度：80-85℃</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进水压力：0.15-0.4Mpa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电源要求：380V，功率：36kw</w:t>
            </w:r>
            <w:bookmarkStart w:id="47" w:name="_GoBack"/>
            <w:r/>
            <w:bookmarkEnd w:id="47"/>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摸屏面板，PLC编程，数码温度显示。入口和出口带有蒸汽回收系统，洗碗间无需另配排汽设备，该系统能减少蒸汽外溢，给洗碗间一个干燥的环境并且利用空气能系统与冷水进行热交换，使冷水升温，达到节能效果。入口带有红外线传感器，自动检测餐具进入洗碗机，自动启/停清洗系统，实现节能减排。采用了空气能系统（HPS），控制逻辑合理选材精良，排气保护、过流保护、相序保护、出水温度过高保护、高低压保护等多方面保护功能全智能化控制。超低的漂洗用水量,大大节省电力、催干剂和洗涤剂用量。内置式漂洗加热器和漂</w:t>
            </w:r>
            <w:r>
              <w:rPr>
                <w:rFonts w:hint="eastAsia" w:ascii="宋体" w:hAnsi="宋体" w:eastAsia="宋体" w:cs="宋体"/>
                <w:i w:val="0"/>
                <w:iCs w:val="0"/>
                <w:color w:val="auto"/>
                <w:sz w:val="20"/>
                <w:szCs w:val="20"/>
                <w:highlight w:val="none"/>
                <w:u w:val="none"/>
                <w:lang w:val="en-US" w:eastAsia="zh-CN" w:bidi="ar"/>
              </w:rPr>
              <w:t xml:space="preserve">洗泵,并设有保护装置,从而保证水压的稳定。配置出口限位，开门水泵停止运行，防飞溅，电机过载保护等多重安全保护设置,更具人性化。前门双层壁式结构隔热、隔噪音,开启高度任意调节,操作感舒适并节省能源。上下洗涤臂拆装十分方便,只需轻轻一扣便可紧锁。双道喷淋系统，入口端配置不锈钢钩齿，防止餐具掉落内部。烘干系统由强力离心风机和干烧电热管组成。洗涤后的餐具经过烘干箱由强力热风吹干 对餐具进行消毒杀菌烘干等处理。输送链排装置采用耐热、耐腐蚀、卫生无毒、强度高造型美观的工程塑料网爪，适用范围广。传送系统采用变频控制电机。</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仓库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早餐间&amp;加工间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配2个带盖份数盒530*325*150</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功率：25kw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前板/背板：采用SUS304不锈钢板厚度1.0mm；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微晶面板，坚固耐用；聚能线圈盘，火力均匀强劲；散热系统设计，散热高效；</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650*700*500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功率：15kw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脚通：采用SUS304不锈钢圆管φ50*1.0mm；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电磁单眼炒灶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功率：25kw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前板/背板：采用SUS304不锈钢板厚度1.0mm；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微晶面板，坚固耐用；聚能线圈盘，火力均匀强劲；散热系统设计，散热高效；</w:t>
            </w:r>
            <w:r/>
          </w:p>
        </w:tc>
      </w:tr>
      <w:tr>
        <w:trPr>
          <w:trHeight w:val="23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电热铛</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650*850*900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    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    率：4.8kw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    径：53CM；</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7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转速:120/240/468/转/分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料筒容积：30L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配置：1桶、1球、1勾、1扇、安全网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手持台式两用</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温度范围：0℃～+8℃及0℃～-18℃；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内外为SUS304不锈钢材料,背部和底部为镀锌板材料,防锈抗腐,微电脑温度显示器,聚胺脂高压发泡。</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3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双门蒸柜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蒸饭:120KG,24盘；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搁条：采用SUS304不锈钢板厚度1.0mm，一次性折弯成型，宽度15mm；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饭盘：采用SUS304不锈钢板厚度0.8mm制作，每台配置24个冲孔饭盘；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保温：箱体采用保温棉，其他聚氨酯发泡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门：采用SUS304不锈钢板厚度1.0mm，整体聚氨酯发泡。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手柄：旋进式高强度门锁，安全可靠；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密封条：橡胶条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电压：380V；功率：12KW*2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采用微电脑时间水位温度控制器主板制作，具有防干烧功能。</w:t>
            </w:r>
            <w:r/>
          </w:p>
        </w:tc>
      </w:tr>
      <w:tr>
        <w:trPr>
          <w:trHeight w:val="19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1320*1100*1780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电压：380V；功率：16.5KW，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每层内堂尺寸1255*704*220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标准盘尺寸400mm*600mm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不锈钢拉手，特殊工艺不传热，避免烫伤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电脑控制器内部设有多组温度调节程序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烤炉设有排湿系统装置，可根据烘焙产品湿度大小随意调节。高精准温控排布技术配合上下独立温控系统±1-3℃。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29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排油烟系统</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功率：15KW;电压：380V,八角包柱，外观采用不锈钢板制作，四周隔音，弹簧式防震器，槽钢底架，外接注油孔，欧式皮带轮。</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45°弯头1000*800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配15KW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功率15KW,避免电动机起动时过大的起动电流对供电线路影响，并且对风机电动机起到短路、缺相、过载、失压等保护作用。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功率：18.5KW;电压：380V,八角包柱，外观采用不锈钢板制作，四周隔音，弹簧式防震器，槽钢底架，外接注油孔，欧式皮带轮。</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45°弯头1000*1000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功率18.5KW,避免电动机起动时过大的起动电流对供电线路影响，并且对风机电动机起到短路、缺相、过载、失压等保护作用。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三层早餐间中压风机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功率：5.5KW;电压：380V,八角包柱，外观采用不锈钢板制作，四周隔音，弹簧式防震器，槽钢底架，外接注油孔，欧式皮带轮。</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45°弯头500*500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配5.5KW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功率5.5KW,避免电动机起动时过大的起动电流对供电线路影响，并且对风机电动机起到短路、缺相、过载、失压等保护作用。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主厨房连接管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早餐间连接管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挂墙式水杯架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1000*200*500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厨房小件</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不锈钢快餐盘带盖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不锈钢双层汤碗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L=230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密胺面碗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φ203*83</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密胺快餐盘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410*260*22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切菜刀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斩骨刀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削皮刀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聚酯切菜板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600*400*20/绿色16块，蓝色2块，红色6块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采用优质PE材质制作。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聚酯圆形切菜板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φ430*40/红色2块，白色2块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采用优质PE材质制作。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打汤勺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不锈钢笊篱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中号/红色/蓝色/绿色</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采用人体无害的工程塑料一次性注塑成型。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厨余垃圾桶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120升</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圆形垃圾桶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80升</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刀叉框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采用优质PP材料制作。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不锈钢提桶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长柄水勺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宽边油隔</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打饭勺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洗米箩</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荷花夹</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铲刀头连不锈钢柄</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刀片:采用不锈钢制作;手柄：采用工程塑料制作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鱼鳞刨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肉锤</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120*120*45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630*470*380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450*340*280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360*250*140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采用金刚砂制作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催干剂</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本品含多种表面活性剂复配而成，用于洗碗机最后过水，使餐具快速干燥。</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耐高温手套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防火布、优质隔热棉</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铁锅</w:t>
            </w:r>
            <w:r/>
          </w:p>
        </w:tc>
        <w:tc>
          <w:tcPr>
            <w:shd w:val="clear" w:color="auto" w:fill="ffffff"/>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φ860</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采用生铁材质。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20L</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不锈钢小马斗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不锈钢快餐盘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315*265*245</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独立提篮，不锈钢机身</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不锈钢桶带盖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挂壁式风扇</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360*450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五叶柔风，广角送风</w:t>
            </w:r>
            <w:r/>
          </w:p>
        </w:tc>
      </w:tr>
    </w:tbl>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产品符合上表中规格（投标产品规格允许±5%内的偏差）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投标产品涉及国家强制认证的（如电器）须具有相关认证证书（如3</w:t>
      </w:r>
      <w:r>
        <w:rPr>
          <w:rFonts w:hint="eastAsia" w:ascii="宋体" w:hAnsi="宋体" w:eastAsia="宋体" w:cs="宋体"/>
          <w:b/>
          <w:bCs/>
          <w:color w:val="auto"/>
          <w:sz w:val="24"/>
          <w:szCs w:val="24"/>
          <w:highlight w:val="none"/>
          <w:lang w:eastAsia="zh-CN"/>
        </w:rPr>
        <w:t xml:space="preserve">C国家强制性产品认证证书）。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2、与本项目有关的图纸请至百度网盘下载获取。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链接:  https://pan.baidu.com/s/19IVcAmlOv7EtB_1nICllzg?pwd=debq 提取码: debq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投标人所提供的产品及安装必须符合以下（包含但不限于）规范及标准（如下述内容中不为最新版本，请按最新版本采用）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工业产品使用说明书总则（GB 9969.1-1998），原材料不锈钢冷轧钢板（GB/T 3280-1992），《不锈钢厨具》行业标准（QB/T 2174-95），饮食业油烟排放标准（GB 18483-2001）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投标人应采用最新的规范和标准，具体以图纸描述为准。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（四）采购范围及接口界面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1、范围说明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（1）厨房设备的生产供货、安装、调试、质量保证及售后服务；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（2）根据招标文件中厨房设备平面布置图纸、采购设备清单，提供所有劳动力，材料、设备、服务、包装运货等，包括在图纸上、文件上未有提及，但合理运行需</w:t>
      </w:r>
      <w:r>
        <w:rPr>
          <w:rFonts w:hint="eastAsia" w:ascii="宋体" w:hAnsi="宋体" w:eastAsia="宋体" w:cs="宋体"/>
          <w:color w:val="auto"/>
          <w:sz w:val="24"/>
          <w:szCs w:val="24"/>
          <w:highlight w:val="none"/>
          <w:lang w:eastAsia="zh-CN"/>
        </w:rPr>
        <w:t xml:space="preserve">要</w:t>
      </w:r>
      <w:r>
        <w:rPr>
          <w:rFonts w:hint="eastAsia" w:ascii="宋体" w:hAnsi="宋体" w:eastAsia="宋体" w:cs="宋体"/>
          <w:color w:val="auto"/>
          <w:sz w:val="24"/>
          <w:szCs w:val="24"/>
          <w:highlight w:val="none"/>
        </w:rPr>
        <w:t xml:space="preserve">的附件及相关图纸。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w:t>
      </w:r>
      <w:r>
        <w:rPr>
          <w:rFonts w:hint="eastAsia" w:ascii="宋体" w:hAnsi="宋体" w:eastAsia="宋体" w:cs="宋体"/>
          <w:color w:val="auto"/>
          <w:sz w:val="24"/>
          <w:szCs w:val="24"/>
          <w:highlight w:val="none"/>
          <w:lang w:val="en-US" w:eastAsia="zh-CN"/>
        </w:rPr>
        <w:t xml:space="preserve">安装单位</w:t>
      </w:r>
      <w:r>
        <w:rPr>
          <w:rFonts w:hint="eastAsia" w:ascii="宋体" w:hAnsi="宋体" w:eastAsia="宋体" w:cs="宋体"/>
          <w:color w:val="auto"/>
          <w:sz w:val="24"/>
          <w:szCs w:val="24"/>
          <w:highlight w:val="none"/>
        </w:rPr>
        <w:t xml:space="preserve">为安全或合理操作设备所需要的一些特别配件。如该配件并不是设备本身之</w:t>
      </w:r>
      <w:r>
        <w:rPr>
          <w:rFonts w:hint="eastAsia" w:ascii="宋体" w:hAnsi="宋体" w:eastAsia="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，该等配件亦需在工地安装前，交予有关安装单位。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（4）投标单位要遵循现有厨艺设计，要与现有厨房工艺设计进行对接。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与其它承办的接口界面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（1）除特别注明外，厨房预留接驳点到厨具设备的水、电管线须投标人负责。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（2）除特别注明外，厨房排油烟风机、油烟净化装置、厨房排油烟风管等设备由投标人负责。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（3）地沟的土建部分不在此项目内。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（4）冷冻库、冷藏库内的地坪地砖不在此项目内。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（五）工艺要求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1、电器材料及设备工艺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投标人需提供设备适当的插头或软线。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当使用软线及插头时，软线需 3心或 4心PVC 包裹的软线，其中一根线需连接设备的框架及接地。所有软线及插座需有一定的安全系数及</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当地的条例。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所有电器设备需适当地接地。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招标人有权要求投标人提供设备有关之电路图。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2、龙头、阀门、配件等</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厨房所有龙头、排水设备包含给、排水接驳辅件、溢水管、软管等相关配件。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如果水压</w:t>
      </w:r>
      <w:r>
        <w:rPr>
          <w:rFonts w:hint="eastAsia" w:ascii="宋体" w:hAnsi="宋体" w:eastAsia="宋体" w:cs="宋体"/>
          <w:color w:val="auto"/>
          <w:sz w:val="24"/>
          <w:szCs w:val="24"/>
          <w:highlight w:val="none"/>
          <w:lang w:eastAsia="zh-CN"/>
        </w:rPr>
        <w:t xml:space="preserve">供应</w:t>
      </w:r>
      <w:r>
        <w:rPr>
          <w:rFonts w:hint="eastAsia" w:ascii="宋体" w:hAnsi="宋体" w:eastAsia="宋体" w:cs="宋体"/>
          <w:color w:val="auto"/>
          <w:sz w:val="24"/>
          <w:szCs w:val="24"/>
          <w:highlight w:val="none"/>
        </w:rPr>
        <w:t xml:space="preserve">高于设备指定的承受压力，投标人需提供减压装置。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3、制冷设备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冷凝机组，不论安装在柜台内，或分离式安装或安放在平台上均需安装品质优良的减震装置。冷凝机组在接驳铜管时，需要除湿及密封，并需附有压力保护装置，干燥器及冷媒观察镜等。由冷凝机组至蒸发器之铜管需作绝热包裹及适当地固定，高压管道需与低压管道分别包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4、不锈钢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原材料不锈钢为304－2B标准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不锈钢表面处理为 4 号沙光处理。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5、不锈钢管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不锈钢管使用1.0mm厚的无缝不锈钢管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并需表面处理以配合其它配件。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6、手柄、支架、锁、小五金等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设备内使用的小五金， 如手柄、铰、锁等必须为铜制及镀铬磨光或不锈钢制造。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所有抽屉、柜、冰箱等使用的锁，必须为圆形及镀铬磨光。所有的锁必须牢固结实。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7、焊接</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焊接必须采用氩弧焊，不允许采用其它焊接方式。焊条需与金属本身</w:t>
      </w:r>
      <w:r>
        <w:rPr>
          <w:rFonts w:hint="eastAsia" w:ascii="宋体" w:hAnsi="宋体" w:eastAsia="宋体" w:cs="宋体"/>
          <w:color w:val="auto"/>
          <w:sz w:val="24"/>
          <w:szCs w:val="24"/>
          <w:highlight w:val="none"/>
          <w:lang w:eastAsia="zh-CN"/>
        </w:rPr>
        <w:t xml:space="preserve">成分相同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透彻地</w:t>
      </w:r>
      <w:r>
        <w:rPr>
          <w:rFonts w:hint="eastAsia" w:ascii="宋体" w:hAnsi="宋体" w:eastAsia="宋体" w:cs="宋体"/>
          <w:color w:val="auto"/>
          <w:sz w:val="24"/>
          <w:szCs w:val="24"/>
          <w:highlight w:val="none"/>
        </w:rPr>
        <w:t xml:space="preserve">焊接，不能有砂眼，裂缝等不完整的地方。焊缝必须坚固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韧性。多余的填料必须磨平及磨光至焊接物本身的颜色一样。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所有需要在工地焊接的设备焊接人员具有“建筑施工特种作业操作资格证（建筑焊工）”。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8、表面处理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所有表面能看见的焊接即需要适当地磨平、磨光及作表面处理，如果焊缝由于在焊接时下沉，则需整平及磨平不能有高底点。 在磨平时应避免不锈钢过热使变色。在工序处理时应先粗磨平，再磨光</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最后表面处理。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所有由于不锈钢在加工时产生的拆裂，锯齿边等问题都需要磨平、磨光。在圆角的地方需要磨平磨光圆滑。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9、冰箱、冰柜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所有冰箱必须符合标准食物容器GN盆使用，内箱圆弧转角工艺。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10、小车轮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所有小车轮最低负荷 70 公斤。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11、烟罩灭火系统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烟罩灭火系统必须符合消防认证。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系统为预充灭火液式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经过安装在固定位置之喷咀，当火警发生时，把灭火液喷洒在着火之设备上面。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烟罩灭火系统必须能扑灭烟罩下面各项灶具设备引起之火警。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烟罩灭火系统必须能自动感应火警发生，并能自动激活，系统并须附有手动激活装置，切断阀门可采用机械式或电磁阀，系统须附有讯号接点，供消防承造商连接系统激活往消防中央控制屏。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系统必须附有详细之技术资料，包括设计，安装，充液，保养，</w:t>
      </w:r>
      <w:r>
        <w:rPr>
          <w:rFonts w:hint="eastAsia" w:ascii="宋体" w:hAnsi="宋体" w:eastAsia="宋体" w:cs="宋体"/>
          <w:color w:val="auto"/>
          <w:sz w:val="24"/>
          <w:szCs w:val="24"/>
          <w:highlight w:val="none"/>
          <w:lang w:val="en-US" w:eastAsia="zh-CN"/>
        </w:rPr>
        <w:t xml:space="preserve">零配件</w:t>
      </w:r>
      <w:r>
        <w:rPr>
          <w:rFonts w:hint="eastAsia" w:ascii="宋体" w:hAnsi="宋体" w:eastAsia="宋体" w:cs="宋体"/>
          <w:color w:val="auto"/>
          <w:sz w:val="24"/>
          <w:szCs w:val="24"/>
          <w:highlight w:val="none"/>
        </w:rPr>
        <w:t xml:space="preserve">之安装，复位说明等。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12、风管安装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排油烟、送新风风管须按暖通规范安装，所用到的防火阀必须通过消防认证。油烟</w:t>
      </w:r>
      <w:r>
        <w:rPr>
          <w:rFonts w:hint="eastAsia" w:ascii="宋体" w:hAnsi="宋体" w:eastAsia="宋体" w:cs="宋体"/>
          <w:color w:val="auto"/>
          <w:sz w:val="24"/>
          <w:szCs w:val="24"/>
          <w:highlight w:val="none"/>
          <w:lang w:eastAsia="zh-CN"/>
        </w:rPr>
        <w:t xml:space="preserve">净化</w:t>
      </w:r>
      <w:r>
        <w:rPr>
          <w:rFonts w:hint="eastAsia" w:ascii="宋体" w:hAnsi="宋体" w:eastAsia="宋体" w:cs="宋体"/>
          <w:color w:val="auto"/>
          <w:sz w:val="24"/>
          <w:szCs w:val="24"/>
          <w:highlight w:val="none"/>
        </w:rPr>
        <w:t xml:space="preserve">设备须通过环保认证。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13、基本材料规格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工作台、柜、水池、保洁柜：</w:t>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4025"/>
      </w:tblGrid>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洗盆</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柜外身</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门外身</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暖菜柜水槽/热汤池柜水槽</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挂墙层板</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台面柜</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补强撑</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柜内层板</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bl>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（六）实施要求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1、施工场地与条件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投标人应全面负责施工范围内的现场施工管理，对施工范围场地内的用水、用电、施工现场的安全与卫生、场地内的施工协调负有全面的管理责任。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2、临时用地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工地管理单位将向投标人提供施工作业场地，但不包括投标人为实施本项目而设置的办公、仓储、加工、生活等所需的临时设施用地。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3、施工通道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利用人行通道作为施工人员、材料，小型设备的出入口。大型设备可租用工程车运输施工场地。如投标人的施工设备、采购的设备、材料需工程车运输，应报招标人协调安排。投标人使用运输场地、通道等均应遵守工地管理单</w:t>
      </w:r>
      <w:r>
        <w:rPr>
          <w:rFonts w:hint="eastAsia" w:ascii="宋体" w:hAnsi="宋体" w:eastAsia="宋体" w:cs="宋体"/>
          <w:color w:val="auto"/>
          <w:sz w:val="24"/>
          <w:szCs w:val="24"/>
          <w:highlight w:val="none"/>
          <w:lang w:eastAsia="zh-CN"/>
        </w:rPr>
        <w:t xml:space="preserve">位的</w:t>
      </w:r>
      <w:r>
        <w:rPr>
          <w:rFonts w:hint="eastAsia" w:ascii="宋体" w:hAnsi="宋体" w:eastAsia="宋体" w:cs="宋体"/>
          <w:color w:val="auto"/>
          <w:sz w:val="24"/>
          <w:szCs w:val="24"/>
          <w:highlight w:val="none"/>
        </w:rPr>
        <w:t xml:space="preserve">相关规定。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（1）场地一经移交给投标人，投标人应在本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全过程中全面负责施工范围内的现场管理，对场地的安全保卫、环境卫生（负责将垃圾清运至地盘管理商指定地点）、污水排放以及周围房屋、市政设施等负全责，因场地管理不善引发的一切纠纷由投标人自行解决，招标人不承担任何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完成时，投标人应负责清场，即负责将其所使用和修建的或留在现场的所有临时设施（包括装置、设备）和任何材料、物品进行拆除及清运。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5、施工用水、用电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遵守工地管理单位的相关约定，并在指定的位置进行临时水、电的接驳。投标人负责由该接驳点至其使用地点的连接设施。投标人应与工地管理单位协调，并配合施工用水、用电的具体安排。投标人应确保只供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供给招标人的设备、材料及安装所需工具、机具、起重设备、材料及临时设施，进入工地现场后的保管由投标人自己解决；所有材料、设备二次搬运费用由投标人自理；投标人在工地现场安装、调试、验收人员的安全、保险、食宿、交通，由投标人负责。除合同内商定的条款外，任何安装问题或费用均与买方无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7、现场的检查与移交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对不同系统的安装，应具备一定的前提条件。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投标人应参加与设备相关承包商或其它承包商的相关工序检查；在每批设备安装开始前一个月进行现场检查认可。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（1）投标人应充分考虑本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的特点，包括工期要求和施工时的相互干扰等，提出切实可行的施工方法和施工组织方案。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（2）认真</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施工图交底工作。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（3）现场跟踪、检查预留孔洞、沟槽设备基础是否符合要求，发现与设计不符者，应及时提出，并与相关承包商协商处理。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（4）检查安装机具的种类、数量及功能是否满足施工要求。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（5）检查场地是否满足进场条件。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的特点，对各级</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人员进行有关安装工艺质量及安全等方面的培训，并经考核合格，</w:t>
      </w:r>
      <w:r>
        <w:rPr>
          <w:rFonts w:hint="eastAsia" w:ascii="宋体" w:hAnsi="宋体" w:eastAsia="宋体" w:cs="宋体"/>
          <w:color w:val="auto"/>
          <w:sz w:val="24"/>
          <w:szCs w:val="24"/>
          <w:highlight w:val="none"/>
          <w:lang w:eastAsia="zh-CN"/>
        </w:rPr>
        <w:t xml:space="preserve">方可</w:t>
      </w:r>
      <w:r>
        <w:rPr>
          <w:rFonts w:hint="eastAsia" w:ascii="宋体" w:hAnsi="宋体" w:eastAsia="宋体" w:cs="宋体"/>
          <w:color w:val="auto"/>
          <w:sz w:val="24"/>
          <w:szCs w:val="24"/>
          <w:highlight w:val="none"/>
        </w:rPr>
        <w:t xml:space="preserve">参加本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（7）应编制施工组织方案的实施计划，并与其它设备与建筑装修工作相协调。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9、设备、材料现场保管和维护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（1）投标人施工范围内的所有设备、设施的维护保管应遵循这些设备的国家有关规定及设备说明书要求，因投标人原因造成材料、设备受损，一切费用和</w:t>
      </w:r>
      <w:r>
        <w:rPr>
          <w:rFonts w:hint="eastAsia" w:ascii="宋体" w:hAnsi="宋体" w:eastAsia="宋体" w:cs="宋体"/>
          <w:color w:val="auto"/>
          <w:sz w:val="24"/>
          <w:szCs w:val="24"/>
          <w:highlight w:val="none"/>
          <w:lang w:eastAsia="zh-CN"/>
        </w:rPr>
        <w:t xml:space="preserve">补偿</w:t>
      </w:r>
      <w:r>
        <w:rPr>
          <w:rFonts w:hint="eastAsia" w:ascii="宋体" w:hAnsi="宋体" w:eastAsia="宋体" w:cs="宋体"/>
          <w:color w:val="auto"/>
          <w:sz w:val="24"/>
          <w:szCs w:val="24"/>
          <w:highlight w:val="none"/>
        </w:rPr>
        <w:t xml:space="preserve">由投标人承担。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（2）材料的现场保管和维护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1）投标人的现场施工材料应在其临建仓库存放，考虑到施工空间较密集，未经招标人或监理工程师许可，不得在任何房间、区域堆放材料或搭建临用仓库。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2）投标人应负责设备及材料存放的防火、防盗、防潮等。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3）由于存放和维护措施不当而造成材料的变形、变质由投标人负责。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10、安全防护与文明施工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（1）安全防护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1）投标人对安全防护的责任在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最终验收之前的整个施工期内，投标人必须制定并采取一切必要的措施，保证</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现场施工安全（包括承包商和非承包商的人员安全）维护工地正常生产、生活秩序。投标人必须遵守国家颁布的有关安全规程。对于不符合我国法律、法令、安全规程及本合同规定的事故隐患，监理工程师有权进行干预，如发生重大安全事故，投标人必须按国家的有关法规及时通知监理工程师、招标人和有关上级主管部门，并按相关处理规定执行。投标人应对因违反安全规程造成的责任事故承担责任，而不应为此增加招标人支付费用或延迟施工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2）劳动保护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凡属投标人雇用的现场工作人员，投标人必须根据作业种类和特点并按照国家的劳动保护法等法律法规严格执行。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3）安全防护信号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①投标人应在</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区内设置一切必要的安全防护信号（或标志）装置。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②投标人应负责维护自己和招标人在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区内放置的所有信号（或标志）装置。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③若监理工程师认为投标人提供的信号（或标志）系统不能有效地保证安全，投标人必须按监理工程师的要求补充、修改、更换该系统或标志。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（2）文明施工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1）投标人必须严格遵守国家和苏州市颁布有关安全生产及文明施工的规定，招标人和监理工程师将进行不定期的检查，政府相关部门发现投标人有违例施工或不</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文明施工的情况，视问题的严重程度进行处置，甚至处罚。由此造成的一切损失由投标人自行承担。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2）投标人应指定安全生产及文明施工的责任人，并结合本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的特点制定一整套安全生产和文明施工的规章制度。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11、包装、运输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（1）概述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投标人应按有关标准和其设备的特殊要求对其提供的设备进行合适的包装、运输，保证其设备在运输过程中完好无损，投标人提供的设备应适应苏州地区的存储环境。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凡</w:t>
      </w:r>
      <w:r>
        <w:rPr>
          <w:rFonts w:hint="eastAsia" w:ascii="宋体" w:hAnsi="宋体" w:eastAsia="宋体" w:cs="宋体"/>
          <w:color w:val="auto"/>
          <w:sz w:val="24"/>
          <w:szCs w:val="24"/>
          <w:highlight w:val="none"/>
        </w:rPr>
        <w:t xml:space="preserve">由于投标人对货物包装不善或标记不当导致货物损失、损坏或丢失，或因此引起事故时，其一切责任及因此造成的损失由投标人承担。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投标人提供的所有设备和材料应具备适应内陆运输和多次搬运、装卸的坚固包装，并应根据货物特点及需要，采取防潮、防雨、防锈、防腐蚀等保护措施，以保证货物安全无损地运抵安装现场。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笨重设备应有固定的底座，外包装上应有吊装挂钩，容易散失的零部件应包装在箱内。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对于裸装货物，投标人应采取特殊措施保护货物及方便搬运。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投标人对交付的技术文件和技术资料应进行妥善包装，以适合长途运输、多次搬运，并采取防潮、防雨措施。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12、安装验收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设备安装完成后，招标人和投标人代表按确认的安装验收标准进行安装验收，各方需到场参加和见证。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安装验收须根据合同相关条款和计划的规定进行并完成。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投标人应无偿服从招标人对施工界面的划分，在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管理中无偿做好安装督导，服从招标人管理。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13、设备调试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投标人应对整个厨房设备的调试负责，包括自身设备的安装调试、与相关系统的接口调试。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投标人应负责在现场进行井然有序的调试并使之符合相关要求。应派出足够的、合格且技术熟练的技术人员到工地完成调试工作。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责任对招标人指定的人员进行操作培训，通过培训应使被培训人员获得足够的技能和知识，达到运营所必需的要求。投标人负责派出经验丰富的授课人员对招标人人员进行培训，使招标人人员能全面掌握设备的操作、日常维护等技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质量保证期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en-US" w:eastAsia="zh-CN"/>
        </w:rPr>
        <w:t xml:space="preserve">并移交</w:t>
      </w:r>
      <w:r>
        <w:rPr>
          <w:rFonts w:hint="eastAsia" w:ascii="宋体" w:hAnsi="宋体" w:eastAsia="宋体" w:cs="宋体"/>
          <w:color w:val="auto"/>
          <w:sz w:val="24"/>
          <w:szCs w:val="24"/>
          <w:highlight w:val="none"/>
        </w:rPr>
        <w:t xml:space="preserve">后2年的质保期。若货物生产厂家规定的免费质保期长于本合同质保期，质保期以较长者为准。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证期内，投标人继续对所有安装和提供的系统和设备负责。无论是否能从各设备供应商得到保修，投标人须对各种设备提供保修。系统应不受设计、材料、零部件和工艺方面缺陷的影响，并且满足合同中规定的功能要求；保修费用已包含在合同总价中。保证期结束后，完成合同履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在免费质保期内，</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应以优良的服务态度，一旦货物发生质量问题，</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应在2小时以内响应，4小时内赶到现场，8小时内解决问题，如在8小时内不能解决问题，应免费用同样品牌、规格的的产品更换到位。如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在接到通知后24小时内没有答复或处理问题，</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方有权直接聘请第三方提供，因此而造成的费用、损失风险由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（七）本项目采购清单中的核心产品为：</w:t>
      </w:r>
      <w:r>
        <w:rPr>
          <w:rFonts w:hint="eastAsia" w:ascii="宋体" w:hAnsi="宋体" w:eastAsia="宋体" w:cs="宋体"/>
          <w:b/>
          <w:bCs w:val="0"/>
          <w:color w:val="auto"/>
          <w:sz w:val="24"/>
          <w:szCs w:val="24"/>
          <w:highlight w:val="none"/>
          <w:u w:val="single"/>
        </w:rPr>
        <w:t xml:space="preserve">燃气双眼大锅灶（序号44）</w:t>
      </w:r>
      <w:r>
        <w:rPr>
          <w:rFonts w:hint="eastAsia" w:ascii="宋体" w:hAnsi="宋体" w:eastAsia="宋体" w:cs="宋体"/>
          <w:b/>
          <w:bCs w:val="0"/>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相关证书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lang w:eastAsia="zh-CN"/>
        </w:rPr>
        <w:t xml:space="preserve">投标清单中涉及蒸汽炊具、电烤箱、电热铛、电磁灶、</w:t>
      </w:r>
      <w:r>
        <w:rPr>
          <w:rFonts w:hint="eastAsia" w:ascii="宋体" w:hAnsi="宋体" w:eastAsia="宋体" w:cs="宋体"/>
          <w:b/>
          <w:bCs/>
          <w:color w:val="auto"/>
          <w:sz w:val="24"/>
          <w:szCs w:val="24"/>
          <w:highlight w:val="none"/>
          <w:u w:val="single"/>
          <w:lang w:val="en-US" w:eastAsia="zh-CN"/>
        </w:rPr>
        <w:t xml:space="preserve">开水器</w:t>
      </w:r>
      <w:r>
        <w:rPr>
          <w:rFonts w:hint="eastAsia" w:ascii="宋体" w:hAnsi="宋体" w:eastAsia="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lang w:val="en-US" w:eastAsia="zh-CN"/>
        </w:rPr>
        <w:t xml:space="preserve">需</w:t>
      </w:r>
      <w:r>
        <w:rPr>
          <w:rFonts w:hint="eastAsia" w:ascii="宋体" w:hAnsi="宋体" w:eastAsia="宋体" w:cs="宋体"/>
          <w:b/>
          <w:bCs/>
          <w:color w:val="auto"/>
          <w:sz w:val="24"/>
          <w:szCs w:val="24"/>
          <w:highlight w:val="none"/>
          <w:u w:val="single"/>
          <w:lang w:eastAsia="zh-CN"/>
        </w:rPr>
        <w:t xml:space="preserve">提供</w:t>
      </w:r>
      <w:r>
        <w:rPr>
          <w:rFonts w:hint="eastAsia" w:ascii="宋体" w:hAnsi="宋体" w:eastAsia="宋体" w:cs="宋体"/>
          <w:b/>
          <w:bCs/>
          <w:color w:val="auto"/>
          <w:sz w:val="24"/>
          <w:szCs w:val="24"/>
          <w:highlight w:val="none"/>
          <w:u w:val="single"/>
          <w:lang w:val="en-US" w:eastAsia="zh-CN"/>
        </w:rPr>
        <w:t xml:space="preserve">对应</w:t>
      </w:r>
      <w:r>
        <w:rPr>
          <w:rFonts w:hint="eastAsia" w:ascii="宋体" w:hAnsi="宋体" w:eastAsia="宋体" w:cs="宋体"/>
          <w:b/>
          <w:bCs/>
          <w:color w:val="auto"/>
          <w:sz w:val="24"/>
          <w:szCs w:val="24"/>
          <w:highlight w:val="none"/>
          <w:u w:val="single"/>
          <w:lang w:eastAsia="zh-CN"/>
        </w:rPr>
        <w:t xml:space="preserve">生产厂家具有有效期内的《全国工业产品生产许可证(工业和商用电热食品加工设备)》或《全国工业产品生产许可证(电热食品加工设备)》(许可内容包含蒸汽炊具、电烤箱、电热铛、电磁灶、</w:t>
      </w:r>
      <w:r>
        <w:rPr>
          <w:rFonts w:hint="eastAsia" w:ascii="宋体" w:hAnsi="宋体" w:eastAsia="宋体" w:cs="宋体"/>
          <w:b/>
          <w:bCs/>
          <w:color w:val="auto"/>
          <w:sz w:val="24"/>
          <w:szCs w:val="24"/>
          <w:highlight w:val="none"/>
          <w:u w:val="single"/>
          <w:lang w:val="en-US" w:eastAsia="zh-CN"/>
        </w:rPr>
        <w:t xml:space="preserve">开水器</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eastAsia="zh-CN"/>
        </w:rPr>
        <w:t xml:space="preserve">投标清单中涉及电热消毒柜、</w:t>
      </w:r>
      <w:r>
        <w:rPr>
          <w:rFonts w:hint="eastAsia" w:ascii="宋体" w:hAnsi="宋体" w:eastAsia="宋体" w:cs="宋体"/>
          <w:b/>
          <w:bCs/>
          <w:color w:val="auto"/>
          <w:sz w:val="24"/>
          <w:szCs w:val="24"/>
          <w:highlight w:val="none"/>
          <w:u w:val="single"/>
          <w:lang w:val="en-US" w:eastAsia="zh-CN"/>
        </w:rPr>
        <w:t xml:space="preserve">紫外线杀菌灯、其他的消毒器械/消毒器械</w:t>
      </w:r>
      <w:r>
        <w:rPr>
          <w:rFonts w:hint="eastAsia" w:ascii="宋体" w:hAnsi="宋体" w:eastAsia="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lang w:val="en-US" w:eastAsia="zh-CN"/>
        </w:rPr>
        <w:t xml:space="preserve">需</w:t>
      </w:r>
      <w:r>
        <w:rPr>
          <w:rFonts w:hint="eastAsia" w:ascii="宋体" w:hAnsi="宋体" w:eastAsia="宋体" w:cs="宋体"/>
          <w:b/>
          <w:bCs/>
          <w:color w:val="auto"/>
          <w:sz w:val="24"/>
          <w:szCs w:val="24"/>
          <w:highlight w:val="none"/>
          <w:u w:val="single"/>
          <w:lang w:eastAsia="zh-CN"/>
        </w:rPr>
        <w:t xml:space="preserve">提供</w:t>
      </w:r>
      <w:r>
        <w:rPr>
          <w:rFonts w:hint="eastAsia" w:ascii="宋体" w:hAnsi="宋体" w:eastAsia="宋体" w:cs="宋体"/>
          <w:b/>
          <w:bCs/>
          <w:color w:val="auto"/>
          <w:sz w:val="24"/>
          <w:szCs w:val="24"/>
          <w:highlight w:val="none"/>
          <w:u w:val="single"/>
          <w:lang w:val="en-US" w:eastAsia="zh-CN"/>
        </w:rPr>
        <w:t xml:space="preserve">对应</w:t>
      </w:r>
      <w:r>
        <w:rPr>
          <w:rFonts w:hint="eastAsia" w:ascii="宋体" w:hAnsi="宋体" w:eastAsia="宋体" w:cs="宋体"/>
          <w:b/>
          <w:bCs/>
          <w:color w:val="auto"/>
          <w:sz w:val="24"/>
          <w:szCs w:val="24"/>
          <w:highlight w:val="none"/>
          <w:u w:val="single"/>
          <w:lang w:eastAsia="zh-CN"/>
        </w:rPr>
        <w:t xml:space="preserve">生产厂家具有有效期内的《消毒产品生产企业卫生许可证》(许可内容包含电热消毒柜、</w:t>
      </w:r>
      <w:r>
        <w:rPr>
          <w:rFonts w:hint="eastAsia" w:ascii="宋体" w:hAnsi="宋体" w:eastAsia="宋体" w:cs="宋体"/>
          <w:b/>
          <w:bCs/>
          <w:color w:val="auto"/>
          <w:sz w:val="24"/>
          <w:szCs w:val="24"/>
          <w:highlight w:val="none"/>
          <w:u w:val="single"/>
          <w:lang w:val="en-US" w:eastAsia="zh-CN"/>
        </w:rPr>
        <w:t xml:space="preserve">紫外线杀菌灯、其他的消毒器械/消毒器械</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以上证书请按照采购文件第三章投标文件格式中的“相关证书说明表”填写相应内容并提供</w:t>
      </w:r>
      <w:r>
        <w:rPr>
          <w:rFonts w:hint="eastAsia" w:ascii="宋体" w:hAnsi="宋体" w:eastAsia="宋体" w:cs="宋体"/>
          <w:b/>
          <w:bCs/>
          <w:color w:val="auto"/>
          <w:sz w:val="24"/>
          <w:szCs w:val="24"/>
          <w:highlight w:val="none"/>
          <w:u w:val="single"/>
          <w:lang w:eastAsia="zh-CN"/>
        </w:rPr>
        <w:t xml:space="preserve">以上</w:t>
      </w:r>
      <w:r>
        <w:rPr>
          <w:rFonts w:hint="eastAsia" w:ascii="宋体" w:hAnsi="宋体" w:eastAsia="宋体" w:cs="宋体"/>
          <w:b/>
          <w:bCs/>
          <w:color w:val="auto"/>
          <w:sz w:val="24"/>
          <w:szCs w:val="24"/>
          <w:highlight w:val="none"/>
          <w:u w:val="single"/>
          <w:lang w:val="en-US" w:eastAsia="zh-CN"/>
        </w:rPr>
        <w:t xml:space="preserve">对应产品生产厂家的相应</w:t>
      </w:r>
      <w:r>
        <w:rPr>
          <w:rFonts w:hint="eastAsia" w:ascii="宋体" w:hAnsi="宋体" w:eastAsia="宋体" w:cs="宋体"/>
          <w:b/>
          <w:bCs/>
          <w:color w:val="auto"/>
          <w:sz w:val="24"/>
          <w:szCs w:val="24"/>
          <w:highlight w:val="none"/>
          <w:u w:val="single"/>
          <w:lang w:eastAsia="zh-CN"/>
        </w:rPr>
        <w:t xml:space="preserve">证书，</w:t>
      </w:r>
      <w:r>
        <w:rPr>
          <w:rFonts w:hint="eastAsia" w:ascii="宋体" w:hAnsi="宋体" w:eastAsia="宋体" w:cs="宋体"/>
          <w:b/>
          <w:bCs/>
          <w:color w:val="auto"/>
          <w:sz w:val="24"/>
          <w:szCs w:val="24"/>
          <w:highlight w:val="none"/>
          <w:u w:val="single"/>
          <w:lang w:val="en-US" w:eastAsia="zh-CN"/>
        </w:rPr>
        <w:t xml:space="preserve">证书</w:t>
      </w:r>
      <w:r>
        <w:rPr>
          <w:rFonts w:hint="eastAsia" w:ascii="宋体" w:hAnsi="宋体" w:eastAsia="宋体" w:cs="宋体"/>
          <w:b/>
          <w:bCs/>
          <w:color w:val="auto"/>
          <w:sz w:val="24"/>
          <w:szCs w:val="24"/>
          <w:highlight w:val="none"/>
          <w:u w:val="single"/>
          <w:lang w:eastAsia="zh-CN"/>
        </w:rPr>
        <w:t xml:space="preserve">均需在</w:t>
      </w:r>
      <w:r>
        <w:rPr>
          <w:rFonts w:hint="eastAsia" w:ascii="宋体" w:hAnsi="宋体" w:eastAsia="宋体" w:cs="宋体"/>
          <w:b/>
          <w:bCs/>
          <w:color w:val="auto"/>
          <w:sz w:val="24"/>
          <w:szCs w:val="24"/>
          <w:highlight w:val="none"/>
          <w:u w:val="single"/>
          <w:lang w:val="en-US" w:eastAsia="zh-CN"/>
        </w:rPr>
        <w:t xml:space="preserve">投标文件中</w:t>
      </w:r>
      <w:r>
        <w:rPr>
          <w:rFonts w:hint="eastAsia" w:ascii="宋体" w:hAnsi="宋体" w:eastAsia="宋体" w:cs="宋体"/>
          <w:b/>
          <w:bCs/>
          <w:color w:val="auto"/>
          <w:sz w:val="24"/>
          <w:szCs w:val="24"/>
          <w:highlight w:val="none"/>
          <w:u w:val="single"/>
          <w:lang w:eastAsia="zh-CN"/>
        </w:rPr>
        <w:t xml:space="preserve">体现，提供相关证明材料，未提供视为未实质性响应。</w:t>
      </w:r>
      <w:r/>
    </w:p>
    <w:p>
      <w:pPr>
        <w:numPr>
          <w:ilvl w:val="0"/>
          <w:numId w:val="0"/>
        </w:numPr>
        <w:ind w:left="0" w:firstLine="482"/>
        <w:keepLines w:val="0"/>
        <w:keepNext w:val="0"/>
        <w:pageBreakBefore w:val="0"/>
        <w:spacing w:line="360" w:lineRule="auto"/>
        <w:widowControl w:val="off"/>
        <w:tabs>
          <w:tab w:val="left" w:pos="210" w:leader="none"/>
          <w:tab w:val="left" w:pos="3780" w:leader="none"/>
        </w:tabs>
        <w:rPr>
          <w:rFonts w:hint="eastAsia" w:ascii="宋体" w:hAnsi="宋体" w:eastAsia="宋体" w:cs="宋体"/>
          <w:b/>
          <w:bCs w:val="0"/>
          <w:color w:val="auto"/>
          <w:sz w:val="24"/>
          <w:szCs w:val="24"/>
          <w:highlight w:val="none"/>
          <w:u w:val="single"/>
          <w:lang w:val="zh-CN"/>
        </w:rPr>
      </w:pPr>
      <w:r>
        <w:rPr>
          <w:rFonts w:hint="eastAsia" w:ascii="宋体" w:hAnsi="宋体" w:eastAsia="宋体" w:cs="宋体"/>
          <w:b/>
          <w:bCs w:val="0"/>
          <w:color w:val="auto"/>
          <w:sz w:val="24"/>
          <w:szCs w:val="24"/>
          <w:highlight w:val="none"/>
          <w:u w:val="single"/>
          <w:lang w:val="en-US" w:eastAsia="zh-CN"/>
        </w:rPr>
        <w:t xml:space="preserve">（九）中小企业声明函请按本项目采购清单顺序填写，每一项均需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五、综合说明：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2、投标人收到采购人供货通知，必须无条件免费供应以接到采购人通知时间后的最新升级的硬件及软件产品来供货。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3、投标人必须承诺采购文件中提出的全部技术规格与要求，如果以其中某些条款不响应时，应在文件中逐条列出，未列出的视同响应。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5、交货时间：</w:t>
      </w:r>
      <w:r>
        <w:rPr>
          <w:rFonts w:hint="eastAsia" w:ascii="宋体" w:hAnsi="宋体" w:eastAsia="宋体" w:cs="宋体"/>
          <w:color w:val="auto"/>
          <w:sz w:val="24"/>
          <w:szCs w:val="24"/>
          <w:highlight w:val="none"/>
          <w:lang w:val="en-US" w:eastAsia="zh-CN"/>
        </w:rPr>
        <w:t xml:space="preserve">接到采购人通知后45天内完成安装及调试</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6、交货地点：具体根据采购人指定地点。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7、付款方式：详见合同条款。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8、安装要求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（1）由中标单位负责安装，现场调试。所有安装施工材料质量及施工质量必须严格按照国家规范及江苏省、苏州市地方规范、采购文件、材料厂家的技术及安全规范要求严格执行。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对安装施工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（3）中标单位负责标的物合格、正常、安全使用，所需要通过的相关部门的验收，相关费用由中标单位负责。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（4）伴随服务：投标方需提供详细完整的售后服务方案，在保修期内驻场服务。如需更换设备或送修，必须在1个工作日内完成，一时无法维修时，必须提供备机使用。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本项目不接受进口产品。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凡涉及招标文件的补充说明和修改，均以采购代理机构在网上发布的内容为准。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bookmarkStart w:id="39" w:name="_Toc396747046"/>
      <w:r/>
      <w:bookmarkStart w:id="40" w:name="_Toc105940241"/>
      <w:r/>
      <w:bookmarkStart w:id="41" w:name="OLE_LINK1"/>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val="0"/>
        <w:keepNext w:val="0"/>
        <w:pageBreakBefore w:val="0"/>
        <w:spacing w:before="340" w:after="330" w:line="360" w:lineRule="auto"/>
        <w:widowControl w:val="off"/>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t xml:space="preserve">第五章 合同主要条款</w:t>
      </w:r>
      <w:bookmarkEnd w:id="39"/>
      <w:r/>
      <w:bookmarkEnd w:id="40"/>
      <w:r/>
      <w:bookmarkEnd w:id="41"/>
      <w:r/>
      <w:r/>
    </w:p>
    <w:p>
      <w:pPr>
        <w:spacing w:line="360" w:lineRule="auto"/>
        <w:rPr>
          <w:rFonts w:hint="eastAsia" w:ascii="宋体" w:hAnsi="宋体" w:eastAsia="宋体" w:cs="宋体"/>
          <w:color w:val="auto"/>
          <w:sz w:val="26"/>
          <w:szCs w:val="20"/>
          <w:highlight w:val="none"/>
          <w:shd w:val="clear" w:color="auto" w:fill="ffffff"/>
        </w:rPr>
      </w:pPr>
      <w:r/>
      <w:bookmarkStart w:id="42" w:name="_Toc13642118"/>
      <w:r/>
      <w:bookmarkStart w:id="43" w:name="_Toc13889378"/>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6300"/>
        <w:rPr>
          <w:rFonts w:hint="eastAsia" w:ascii="宋体" w:hAnsi="宋体" w:eastAsia="宋体" w:cs="宋体"/>
          <w:color w:val="auto"/>
          <w:sz w:val="24"/>
          <w:szCs w:val="24"/>
          <w:highlight w:val="none"/>
        </w:rPr>
      </w:pPr>
      <w:r/>
      <w:bookmarkStart w:id="44" w:name="_Toc105940242"/>
      <w:r>
        <w:rPr>
          <w:rFonts w:hint="eastAsia" w:ascii="宋体" w:hAnsi="宋体" w:eastAsia="宋体" w:cs="宋体"/>
          <w:color w:val="auto"/>
          <w:sz w:val="24"/>
          <w:szCs w:val="24"/>
          <w:highlight w:val="none"/>
        </w:rPr>
        <w:t xml:space="preserve">合同编号：</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45" w:name="_Toc13543224"/>
      <w:r>
        <w:rPr>
          <w:rFonts w:hint="eastAsia" w:ascii="宋体" w:hAnsi="宋体" w:eastAsia="宋体" w:cs="宋体"/>
          <w:b/>
          <w:bCs/>
          <w:color w:val="auto"/>
          <w:sz w:val="24"/>
          <w:szCs w:val="24"/>
          <w:highlight w:val="none"/>
        </w:rPr>
        <w:t xml:space="preserve">第一部分  合同一般条款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1、合同文件适用法律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适用于合同文件的法律是中华人民共和国现行法律、法规及甲方所在地的地方性法规。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2、合同文件组成和解释顺序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合同文件的组成和解释顺序如下：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合同的特殊性条款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合同的一般性条款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洽商、变更等明确双方权利义务的纪要、协议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中标通知书、投标书和招标文件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有关图纸</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标准、规范和其它有关技术资料、技术要求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合同的特殊性条款的效力优于合同的一般性条款的效力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3、合同文件使用文字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合同文件使用中文书写、解释和说明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二、标的物的一般条款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4、完整物权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对于出卖的标的物，乙方应当拥有完整物权，并且乙方负有保证第三人不得向甲方主张任何权利（包括知识产权）的义务。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5、质量保证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除合同特殊条款规定外，合同条款中标的物的质量保证期均自标的物通过最终验收</w:t>
      </w:r>
      <w:r>
        <w:rPr>
          <w:rFonts w:hint="eastAsia" w:ascii="宋体" w:hAnsi="宋体" w:eastAsia="宋体" w:cs="宋体"/>
          <w:color w:val="auto"/>
          <w:sz w:val="24"/>
          <w:szCs w:val="24"/>
          <w:highlight w:val="none"/>
          <w:lang w:val="en-US" w:eastAsia="zh-CN"/>
        </w:rPr>
        <w:t xml:space="preserve">移交</w:t>
      </w:r>
      <w:r>
        <w:rPr>
          <w:rFonts w:hint="eastAsia" w:ascii="宋体" w:hAnsi="宋体" w:eastAsia="宋体" w:cs="宋体"/>
          <w:color w:val="auto"/>
          <w:sz w:val="24"/>
          <w:szCs w:val="24"/>
          <w:highlight w:val="none"/>
        </w:rPr>
        <w:t xml:space="preserve">之日起计算，且质量保证期不低于</w:t>
      </w:r>
      <w:r>
        <w:rPr>
          <w:rFonts w:hint="eastAsia" w:ascii="宋体" w:hAnsi="宋体" w:eastAsia="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。若货物生产厂家规定的免费质保期长于本合同质保期，质保期以较长者为准。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6、包装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7、伴随服务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乙方除应履行按期按量交付合格标的物的义务之外，还应提供下列服务。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标的物的现场安装、启动、调试、监督；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提供标的物组装和一般维修所必须的工具；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在合同规定的期限内对所提供标的物实行运行监督、维修服务的前提条件是该服务并不能免除乙方在质量保证期内所承担的义务；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对甲方技术人员的技术指导或培训。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除合同另有规定之外，伴随服务的费用均已含在合同价款中，甲方不再另行进行支付。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三、标的物的交付、检验和验收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8、标的物的交付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标的物的所有权自标的物交付时转移。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乙方应当按照约定的期限和约定的地点交付标的物。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乙方应当按照约定或者交易习惯向甲方交付提取标的物单证以外的有关单证和资料。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9、检验和验收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甲方根据合同规定的内容和验收标准进行验收，同时比较乙方出具的检验证明，经检验无误后出具验收合格证明，该证明作为最终付款所需文件的组成部分。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验收期限自标的物交付之日起三十天内。特殊情况需延长的，双方应在合同的特殊条款中约定。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如双方对验收结果有分歧，则以苏州市技术质量监督局的检验结果为准，检验费用由有过失的一方支付。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四、对标的物提出异议的时间和办法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10、对标的物提出异议的时间和办法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甲方在验收过程中，应当于双方约定的检验期间内将标的物的数量或质量不符合约定的情形及处理方式以书面形式通知乙方。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如甲方在验收期满后既不出具验收合格证明又未提出书面异议的视为乙方所交标的物符合合同规定。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乙方应在收到甲方书面异议后七天内负责处理问题，否则将视为默认甲方提出的异议和处理意见。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五、合同价款和支付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11、合同价款和支付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本合同的结算货币为人民币，单位元。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乙方应按照双方签订的合同规定交货并在合同特殊条款规定的期限内持下列单据结算货款。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 合格的销售发票；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甲方盖章签收后的送货回单和验收合格证明。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甲方应按合同特殊条款规定的期限和方式付款。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13、甲方违约责任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在合同生效后，非乙方质量原因甲方要求退货的，应向乙方偿付合同总价款的5%，作为违约金，违约金不足以补偿损失的，乙方有权要求甲方补足。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甲方逾期付款的应按照逾期付款金额的每天万分之四支付逾期付款违约金。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甲方违反合同规定，拒绝接收乙方交付的合格标的物，应当承担乙方由此造成的损失。</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15、不可抗力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因不可抗力不能履行合同的，根据不可抗力的影响，部分或者全部免除责任。但合同一方迟延履行后发生不可抗力的，不能免除责任。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合同一方因不可抗力不能履行合同的，应当及时通知对方，以减轻可能给对方造成的损失，并应当在合理期限内提供证明。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甲方有权根据乙方的违约情况向乙方提出索赔。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在本合同规定的检验期和质量保证期内，如果乙方对甲方提出的索赔或差异有责任，则乙方应按甲方要求的下列一种或多种方式解决索赔事宜：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 根据标的物的低劣程度、损坏程度以及甲方遭受损失的数额，经双方协商确定降低标的物的价格。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八、合同的解除和转让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17、合同的解除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甲方和乙方协商一致，可以解除合同；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有下列情形之一，合同一方可以解除合同：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 因不可抗力致使不能实现合同目的，未受不可抗力影响的一方有权解除合同；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 因合同一方违约导致合同不能履行，另一方有权解除合同；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有权解除合同的一方，应当在违约事实或不可抗力发生之后三十天内书面通知对方以主张解除合同，合同在书面通知到达对方时解除。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18、合同的转让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19、合同的生效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十、争议解决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20、争议解决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甲乙双方因合同发生争议，应在招标方的主持下进行调解，协商不成，任何一方可以向甲方所在地人民法院起诉。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十一、附则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21、合同份数。</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本合同一式八份，甲方五份，乙方二份，采购代理机构一份。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22、未尽事宜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本合同未尽事宜应按《中华人民共和国民法典》、《中华人民共和国产品质量法》、《中华人民共和国政府采购法》之规定解释。</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第二部分  合同特殊条款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1、乙方负责完成甲方的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，详见《标的物清单》。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①招标文件；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②乙方中标的投标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③乙方在</w:t>
      </w:r>
      <w:r>
        <w:rPr>
          <w:rFonts w:hint="eastAsia" w:ascii="宋体" w:hAnsi="宋体" w:eastAsia="宋体" w:cs="宋体"/>
          <w:color w:val="auto"/>
          <w:sz w:val="24"/>
          <w:szCs w:val="24"/>
          <w:highlight w:val="none"/>
          <w:lang w:val="en-US" w:eastAsia="zh-CN"/>
        </w:rPr>
        <w:t xml:space="preserve">评审过程中作出的有关澄清说明或补充文件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④中标通知书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lang w:val="en-US" w:eastAsia="zh-CN"/>
        </w:rPr>
        <w:t xml:space="preserve">合同附件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二、价格与支付：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1、本合同为固定单价合同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合同价格按此次中标价格执行，合同总金额为人民币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投标总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为完成本项目的全部相关服务费用（包括但不限于现场保管仓储费、零星工程费、培训费、质保期内维护保养费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代理服务费，以及相关税费等保证本项目正常实施和运行所需的一切相关费用）。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预付款：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□乙方明确表示无需预付款；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□有预付款：待合同签订生效后，甲方支付合同金额的30%的预付款，预付款将从第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笔（期）待支付的进度款款项中扣除。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
          <w:color w:val="auto"/>
          <w:sz w:val="24"/>
          <w:szCs w:val="24"/>
          <w:highlight w:val="none"/>
        </w:rPr>
        <w:t xml:space="preserve">进度款：</w:t>
      </w:r>
      <w:r>
        <w:rPr>
          <w:rFonts w:hint="eastAsia" w:ascii="宋体" w:hAnsi="宋体" w:eastAsia="宋体" w:cs="宋体"/>
          <w:color w:val="auto"/>
          <w:sz w:val="24"/>
          <w:szCs w:val="24"/>
          <w:highlight w:val="none"/>
        </w:rPr>
        <w:t xml:space="preserve">乙方所提供的货物全部交付完毕，且全部货物验收合格后,甲方支付合同总金额的50％；乙方将所有货物安装调试通过且验收完成，甲方支付至合同总金额的7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b/>
          <w:color w:val="auto"/>
          <w:sz w:val="24"/>
          <w:szCs w:val="24"/>
          <w:highlight w:val="none"/>
        </w:rPr>
        <w:t xml:space="preserve">结清款：</w:t>
      </w:r>
      <w:r>
        <w:rPr>
          <w:rFonts w:hint="eastAsia" w:ascii="宋体" w:hAnsi="宋体" w:eastAsia="宋体" w:cs="宋体"/>
          <w:color w:val="auto"/>
          <w:sz w:val="24"/>
          <w:szCs w:val="24"/>
          <w:highlight w:val="none"/>
        </w:rPr>
        <w:t xml:space="preserve">经甲方组织的整个项目验收合格，且经园区审计部门</w:t>
      </w:r>
      <w:r>
        <w:rPr>
          <w:rFonts w:hint="eastAsia" w:ascii="宋体" w:hAnsi="宋体" w:eastAsia="宋体" w:cs="宋体"/>
          <w:color w:val="auto"/>
          <w:sz w:val="24"/>
          <w:szCs w:val="24"/>
          <w:highlight w:val="none"/>
          <w:lang w:val="en-US" w:eastAsia="zh-CN"/>
        </w:rPr>
        <w:t xml:space="preserve">审计</w:t>
      </w:r>
      <w:r>
        <w:rPr>
          <w:rFonts w:hint="eastAsia" w:ascii="宋体" w:hAnsi="宋体" w:eastAsia="宋体" w:cs="宋体"/>
          <w:color w:val="auto"/>
          <w:sz w:val="24"/>
          <w:szCs w:val="24"/>
          <w:highlight w:val="none"/>
        </w:rPr>
        <w:t xml:space="preserve">，甲方支付至审计结果的9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%；剩余</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%在免费质保期满后七个工作日内付清。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2.4在签订合同时，乙方明确表示无需预付款或者主动要求降低预付款比例的，甲方可不适用上述关于预付款的规定。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3、项目实施完成后，将按如下方式进行最终审计：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（1）以审计单位审定结果为本项目价款结算依据；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工程竣工审计按照园区财政投资建设项目的相关规定，承包人和发包人均应无条件同意配合，并承诺不就此提出任何异议。竣工结算审计后，如果工程结算核减金额超过送审总价的7%，则其结算审计费用的浮动部分中，超过7%部分按核减造价4%计算确定的审计费用由承包人承担，由采购人在工程款中代扣</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5、付款方式：银行转账、银行汇票或转账支票，具体支付方式甲方有权根据财务安排自主选择。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6、乙方开户银行名称、地址、账号为：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账号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三、质量与验收：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1、乙方应按照标书的有关规定提供合格设备；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2、设备质量出现问题，乙方负责包修、包退、包换，费用由乙方承担；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本项目将根据政府采购法及相关法规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《江苏省政府采购履约验收管理办法》的规定,对</w:t>
      </w:r>
      <w:r>
        <w:rPr>
          <w:rFonts w:hint="eastAsia" w:ascii="宋体" w:hAnsi="宋体" w:eastAsia="宋体" w:cs="宋体"/>
          <w:color w:val="auto"/>
          <w:sz w:val="24"/>
          <w:szCs w:val="24"/>
          <w:highlight w:val="none"/>
          <w:lang w:val="en-US" w:eastAsia="zh-CN"/>
        </w:rPr>
        <w:t xml:space="preserve">乙方提供的设备</w:t>
      </w:r>
      <w:r>
        <w:rPr>
          <w:rFonts w:hint="eastAsia" w:ascii="宋体" w:hAnsi="宋体" w:eastAsia="宋体" w:cs="宋体"/>
          <w:color w:val="auto"/>
          <w:sz w:val="24"/>
          <w:szCs w:val="24"/>
          <w:highlight w:val="none"/>
        </w:rPr>
        <w:t xml:space="preserve">进行履约验收，确认验收合格的，将出具《政府采购履约验收书》。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rPr>
        <w:t xml:space="preserve">履约验收主体：甲方；</w:t>
      </w:r>
      <w:r>
        <w:rPr>
          <w:rFonts w:hint="eastAsia" w:ascii="宋体" w:hAnsi="宋体" w:eastAsia="宋体" w:cs="宋体"/>
          <w:color w:val="auto"/>
          <w:sz w:val="24"/>
          <w:szCs w:val="24"/>
          <w:highlight w:val="none"/>
          <w:lang w:val="zh-CN"/>
        </w:rPr>
        <w:tab/>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zh-CN" w:eastAsia="zh-CN"/>
        </w:rPr>
        <w:t xml:space="preserve">提出履约验收申请：合同履行达到采购文件明确的验收条件时，乙方应向甲方发出项目验收申请。乙方未及时履约或发出验收申请的，甲方依照合同约定催告，提出履约验收要求。乙方在收到催告后五个工作日内拒不配合的，甲方将依照合同约定追究其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zh-CN" w:eastAsia="zh-CN"/>
        </w:rPr>
        <w:t xml:space="preserve">履约验收准备时间：甲方应及时全面准备验收，自收到验收申请之日起五个工作日内做好必要的验收准备工作、启动项目验收、通知乙方。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zh-CN"/>
        </w:rPr>
        <w:t xml:space="preserve">履约验收方式：</w:t>
      </w:r>
      <w:r>
        <w:rPr>
          <w:rFonts w:hint="eastAsia" w:ascii="宋体" w:hAnsi="宋体" w:eastAsia="宋体" w:cs="宋体"/>
          <w:color w:val="auto"/>
          <w:sz w:val="24"/>
          <w:szCs w:val="24"/>
          <w:highlight w:val="none"/>
          <w:lang w:val="zh-CN" w:eastAsia="zh-CN"/>
        </w:rPr>
        <w:t xml:space="preserve">甲方应组织成立验收小组，验收小组负责实施项目验收工作。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rPr>
        <w:t xml:space="preserve">验收期限：自产品安装调试完毕</w:t>
      </w:r>
      <w:r>
        <w:rPr>
          <w:rFonts w:hint="eastAsia" w:ascii="宋体" w:hAnsi="宋体" w:eastAsia="宋体" w:cs="宋体"/>
          <w:color w:val="auto"/>
          <w:sz w:val="24"/>
          <w:szCs w:val="24"/>
          <w:highlight w:val="none"/>
          <w:lang w:val="en-US" w:eastAsia="zh-CN"/>
        </w:rPr>
        <w:t xml:space="preserve">交付</w:t>
      </w:r>
      <w:r>
        <w:rPr>
          <w:rFonts w:hint="eastAsia" w:ascii="宋体" w:hAnsi="宋体" w:eastAsia="宋体" w:cs="宋体"/>
          <w:color w:val="auto"/>
          <w:sz w:val="24"/>
          <w:szCs w:val="24"/>
          <w:highlight w:val="none"/>
          <w:lang w:val="zh-CN"/>
        </w:rPr>
        <w:t xml:space="preserve">之日起30日内，如有特殊情况，双方另行协调。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验收标准：</w:t>
      </w:r>
      <w:r>
        <w:rPr>
          <w:rFonts w:hint="eastAsia" w:ascii="宋体" w:hAnsi="宋体" w:eastAsia="宋体" w:cs="宋体"/>
          <w:color w:val="auto"/>
          <w:sz w:val="24"/>
          <w:szCs w:val="24"/>
          <w:highlight w:val="none"/>
        </w:rPr>
        <w:t xml:space="preserve">国家或行业相关标准（如有）、《江苏省政府采购履约验收管理办法》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合同条款、采购需求的所有内容，采购文件、投标文件、乙方在评标过程中做出的有关澄清说明或补充文件、中标通知书等。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rPr>
        <w:t xml:space="preserve">履约验收</w:t>
      </w:r>
      <w:r>
        <w:rPr>
          <w:rFonts w:hint="eastAsia" w:ascii="宋体" w:hAnsi="宋体" w:eastAsia="宋体" w:cs="宋体"/>
          <w:color w:val="auto"/>
          <w:sz w:val="24"/>
          <w:szCs w:val="24"/>
          <w:highlight w:val="none"/>
          <w:lang w:val="zh-CN" w:eastAsia="zh-CN"/>
        </w:rPr>
        <w:t xml:space="preserve">程序：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eastAsia="zh-CN"/>
        </w:rPr>
        <w:t xml:space="preserve">.1验收小组应当认真履行项目验收职责，做好验收记录，确保验收意见客观真实反映乙方对合同的履行情况。验收小组应当要求乙方提供能证明其按照合同约定数量或工作量清单履约的相关记录或者凭证，根据履约验收方案，对乙方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lang w:val="zh-CN" w:eastAsia="zh-CN"/>
        </w:rPr>
        <w:t xml:space="preserve">按照采购文件、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政府采购合同等逐一进行检验、核实、评估等工作，使用音视频、对现场情况描述且签字等方式留存证明材料，由乙方确认，作为履约验收的重要凭据。验收结束后，验收小组应在验收书中作出最终验收意见，验收小组成员对验收意见有异议的，应当在验收意见栏签署不同意见并说明理由否则视为同意验收意见。验收意见由乙方盖章确认后报甲方。</w:t>
      </w:r>
      <w:r>
        <w:rPr>
          <w:rFonts w:hint="eastAsia" w:ascii="宋体" w:hAnsi="宋体" w:eastAsia="宋体" w:cs="宋体"/>
          <w:color w:val="auto"/>
          <w:sz w:val="24"/>
          <w:szCs w:val="24"/>
          <w:highlight w:val="none"/>
          <w:lang w:val="zh-CN"/>
        </w:rPr>
        <w:t xml:space="preserve">相关验收费用由乙方承担，并在报价时综合考虑。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eastAsia="zh-CN"/>
        </w:rPr>
        <w:t xml:space="preserve">.2甲方应当对验收小组的验收意见进行确认并盖章。确认验收合格的，甲方在验收书上加盖单位公章；验收结果与采购合同不一致的，甲方应当根据验收意见中载明的具体偏差内容和处置建议，研究确定验收结论并加盖公章；验收小组成员意见存在分歧的，甲方应当对异议事项进行复核，妥善处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zh-CN"/>
        </w:rPr>
        <w:t xml:space="preserve">履约验收</w:t>
      </w:r>
      <w:r>
        <w:rPr>
          <w:rFonts w:hint="eastAsia" w:ascii="宋体" w:hAnsi="宋体" w:eastAsia="宋体" w:cs="宋体"/>
          <w:color w:val="auto"/>
          <w:sz w:val="24"/>
          <w:szCs w:val="24"/>
          <w:highlight w:val="none"/>
          <w:lang w:val="zh-CN" w:eastAsia="zh-CN"/>
        </w:rPr>
        <w:t xml:space="preserve">内容：包括每一项技术和商务要求的履约情况。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lang w:val="zh-CN" w:eastAsia="zh-CN"/>
        </w:rPr>
        <w:t xml:space="preserve">履约验收时限：</w:t>
      </w:r>
      <w:r>
        <w:rPr>
          <w:rFonts w:hint="eastAsia" w:ascii="宋体" w:hAnsi="宋体" w:eastAsia="宋体" w:cs="宋体"/>
          <w:color w:val="auto"/>
          <w:sz w:val="24"/>
          <w:szCs w:val="24"/>
          <w:highlight w:val="none"/>
          <w:lang w:val="zh-CN"/>
        </w:rPr>
        <w:t xml:space="preserve">甲方在验收过程中</w:t>
      </w:r>
      <w:r>
        <w:rPr>
          <w:rFonts w:hint="eastAsia" w:ascii="宋体" w:hAnsi="宋体" w:eastAsia="宋体" w:cs="宋体"/>
          <w:color w:val="auto"/>
          <w:sz w:val="24"/>
          <w:szCs w:val="24"/>
          <w:highlight w:val="none"/>
          <w:lang w:val="zh-CN" w:eastAsia="zh-CN"/>
        </w:rPr>
        <w:t xml:space="preserve">发现</w:t>
      </w:r>
      <w:r>
        <w:rPr>
          <w:rFonts w:hint="eastAsia" w:ascii="宋体" w:hAnsi="宋体" w:eastAsia="宋体" w:cs="宋体"/>
          <w:color w:val="auto"/>
          <w:sz w:val="24"/>
          <w:szCs w:val="24"/>
          <w:highlight w:val="none"/>
          <w:lang w:val="zh-CN"/>
        </w:rPr>
        <w:t xml:space="preserve">的问题，</w:t>
      </w:r>
      <w:r>
        <w:rPr>
          <w:rFonts w:hint="eastAsia" w:ascii="宋体" w:hAnsi="宋体" w:eastAsia="宋体" w:cs="宋体"/>
          <w:color w:val="auto"/>
          <w:sz w:val="24"/>
          <w:szCs w:val="24"/>
          <w:highlight w:val="none"/>
          <w:lang w:val="zh-CN" w:eastAsia="zh-CN"/>
        </w:rPr>
        <w:t xml:space="preserve">具备限期整改条件的，</w:t>
      </w:r>
      <w:r>
        <w:rPr>
          <w:rFonts w:hint="eastAsia" w:ascii="宋体" w:hAnsi="宋体" w:eastAsia="宋体" w:cs="宋体"/>
          <w:color w:val="auto"/>
          <w:sz w:val="24"/>
          <w:szCs w:val="24"/>
          <w:highlight w:val="none"/>
          <w:lang w:val="zh-CN"/>
        </w:rPr>
        <w:t xml:space="preserve">甲方应在发现服务质量不符合约定之日起 3日内向乙方提出书面</w:t>
      </w:r>
      <w:r>
        <w:rPr>
          <w:rFonts w:hint="eastAsia" w:ascii="宋体" w:hAnsi="宋体" w:eastAsia="宋体" w:cs="宋体"/>
          <w:color w:val="auto"/>
          <w:sz w:val="24"/>
          <w:szCs w:val="24"/>
          <w:highlight w:val="none"/>
          <w:lang w:val="zh-CN" w:eastAsia="zh-CN"/>
        </w:rPr>
        <w:t xml:space="preserve">限期整改</w:t>
      </w:r>
      <w:r>
        <w:rPr>
          <w:rFonts w:hint="eastAsia" w:ascii="宋体" w:hAnsi="宋体" w:eastAsia="宋体" w:cs="宋体"/>
          <w:color w:val="auto"/>
          <w:sz w:val="24"/>
          <w:szCs w:val="24"/>
          <w:highlight w:val="none"/>
          <w:lang w:val="zh-CN"/>
        </w:rPr>
        <w:t xml:space="preserve">，乙方在接到书面</w:t>
      </w:r>
      <w:r>
        <w:rPr>
          <w:rFonts w:hint="eastAsia" w:ascii="宋体" w:hAnsi="宋体" w:eastAsia="宋体" w:cs="宋体"/>
          <w:color w:val="auto"/>
          <w:sz w:val="24"/>
          <w:szCs w:val="24"/>
          <w:highlight w:val="none"/>
          <w:lang w:val="zh-CN" w:eastAsia="zh-CN"/>
        </w:rPr>
        <w:t xml:space="preserve">限期整改</w:t>
      </w:r>
      <w:r>
        <w:rPr>
          <w:rFonts w:hint="eastAsia" w:ascii="宋体" w:hAnsi="宋体" w:eastAsia="宋体" w:cs="宋体"/>
          <w:color w:val="auto"/>
          <w:sz w:val="24"/>
          <w:szCs w:val="24"/>
          <w:highlight w:val="none"/>
          <w:lang w:val="zh-CN"/>
        </w:rPr>
        <w:t xml:space="preserve">后，应当在3日内负责处理并书面回复甲方，否则将视为默认甲方提出的异议和处理意见。</w:t>
      </w:r>
      <w:r>
        <w:rPr>
          <w:rFonts w:hint="eastAsia" w:ascii="宋体" w:hAnsi="宋体" w:eastAsia="宋体" w:cs="宋体"/>
          <w:color w:val="auto"/>
          <w:sz w:val="24"/>
          <w:szCs w:val="24"/>
          <w:highlight w:val="none"/>
          <w:lang w:val="zh-CN" w:eastAsia="zh-CN"/>
        </w:rPr>
        <w:t xml:space="preserve">整改期满后重新验收。不具备整改条件或乙方未按要求按期整改的，甲方依法追究乙方的违约责任并根据生效的裁判文书支付资金。乙方不认可验收意见的，按照采购合同约定的方式解决；合同中约定的方式未能解决的，按照《中华人民共和国民法典》等法律法规规定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3.10</w:t>
      </w:r>
      <w:r>
        <w:rPr>
          <w:rFonts w:hint="eastAsia" w:ascii="宋体" w:hAnsi="宋体" w:eastAsia="宋体" w:cs="宋体"/>
          <w:color w:val="auto"/>
          <w:sz w:val="24"/>
          <w:szCs w:val="24"/>
          <w:highlight w:val="none"/>
          <w:lang w:val="zh-CN"/>
        </w:rPr>
        <w:t xml:space="preserve">验收时或在验收后因质量原因产生的争议，由甲乙双方共同邀请</w:t>
      </w:r>
      <w:r>
        <w:rPr>
          <w:rFonts w:hint="eastAsia" w:ascii="宋体" w:hAnsi="宋体" w:eastAsia="宋体" w:cs="宋体"/>
          <w:color w:val="auto"/>
          <w:sz w:val="24"/>
          <w:szCs w:val="24"/>
          <w:highlight w:val="none"/>
          <w:lang w:val="zh-CN" w:eastAsia="zh-CN"/>
        </w:rPr>
        <w:t xml:space="preserve">国家认可的质量检测机构</w:t>
      </w:r>
      <w:r>
        <w:rPr>
          <w:rFonts w:hint="eastAsia" w:ascii="宋体" w:hAnsi="宋体" w:eastAsia="宋体" w:cs="宋体"/>
          <w:color w:val="auto"/>
          <w:sz w:val="24"/>
          <w:szCs w:val="24"/>
          <w:highlight w:val="none"/>
          <w:lang w:val="zh-CN"/>
        </w:rPr>
        <w:t xml:space="preserve">进行检测，以第三方</w:t>
      </w:r>
      <w:r>
        <w:rPr>
          <w:rFonts w:hint="eastAsia" w:ascii="宋体" w:hAnsi="宋体" w:eastAsia="宋体" w:cs="宋体"/>
          <w:color w:val="auto"/>
          <w:sz w:val="24"/>
          <w:szCs w:val="24"/>
          <w:highlight w:val="none"/>
          <w:lang w:val="zh-CN" w:eastAsia="zh-CN"/>
        </w:rPr>
        <w:t xml:space="preserve">国家认可的质量检测机构</w:t>
      </w:r>
      <w:r>
        <w:rPr>
          <w:rFonts w:hint="eastAsia" w:ascii="宋体" w:hAnsi="宋体" w:eastAsia="宋体" w:cs="宋体"/>
          <w:color w:val="auto"/>
          <w:sz w:val="24"/>
          <w:szCs w:val="24"/>
          <w:highlight w:val="none"/>
          <w:lang w:val="zh-CN"/>
        </w:rPr>
        <w:t xml:space="preserve">的检测结果作为依据，检测不合格或存在质量问题的，检测费用由乙方承担。</w:t>
      </w:r>
      <w:r>
        <w:rPr>
          <w:rFonts w:hint="eastAsia" w:ascii="宋体" w:hAnsi="宋体" w:eastAsia="宋体" w:cs="宋体"/>
          <w:color w:val="auto"/>
          <w:sz w:val="24"/>
          <w:szCs w:val="24"/>
          <w:highlight w:val="none"/>
          <w:lang w:val="zh-CN" w:eastAsia="zh-CN"/>
        </w:rPr>
        <w:t xml:space="preserve">因乙方原因或乙方主动申请发生的费用，由乙方承担。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lang w:val="zh-CN"/>
        </w:rPr>
        <w:t xml:space="preserve">如果甲方在验收期满后既不出具验收合格证明又未提出书面异议的视为乙方所提供服务符合合同规定。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3.12</w:t>
      </w:r>
      <w:r>
        <w:rPr>
          <w:rFonts w:hint="eastAsia" w:ascii="宋体" w:hAnsi="宋体" w:eastAsia="宋体" w:cs="宋体"/>
          <w:color w:val="auto"/>
          <w:sz w:val="24"/>
          <w:szCs w:val="24"/>
          <w:highlight w:val="none"/>
          <w:lang w:val="zh-CN" w:eastAsia="zh-CN"/>
        </w:rPr>
        <w:t xml:space="preserve">合同履行达到采购文件明确的验收条件时，乙方未及时履约或发出验收申请的，甲方依照合同约定催告，提出履约验收要求。乙方在收到催告后五个工作日内拒不配合的，则</w:t>
      </w:r>
      <w:r>
        <w:rPr>
          <w:rFonts w:hint="eastAsia" w:ascii="宋体" w:hAnsi="宋体" w:eastAsia="宋体" w:cs="宋体"/>
          <w:color w:val="auto"/>
          <w:sz w:val="24"/>
          <w:szCs w:val="24"/>
          <w:highlight w:val="none"/>
          <w:lang w:val="zh-CN"/>
        </w:rPr>
        <w:t xml:space="preserve">视为乙方</w:t>
      </w:r>
      <w:r>
        <w:rPr>
          <w:rFonts w:hint="eastAsia" w:ascii="宋体" w:hAnsi="宋体" w:eastAsia="宋体" w:cs="宋体"/>
          <w:color w:val="auto"/>
          <w:sz w:val="24"/>
          <w:szCs w:val="24"/>
          <w:highlight w:val="none"/>
          <w:lang w:val="zh-CN" w:eastAsia="zh-CN"/>
        </w:rPr>
        <w:t xml:space="preserve">同意甲方的验收结果，由此产生的不利于乙方的后果由乙方自行承担</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3.13</w:t>
      </w:r>
      <w:r>
        <w:rPr>
          <w:rFonts w:hint="eastAsia" w:ascii="宋体" w:hAnsi="宋体" w:eastAsia="宋体" w:cs="宋体"/>
          <w:color w:val="auto"/>
          <w:sz w:val="24"/>
          <w:szCs w:val="24"/>
          <w:highlight w:val="none"/>
          <w:lang w:val="zh-CN" w:eastAsia="zh-CN"/>
        </w:rPr>
        <w:t xml:space="preserve"> 履约验收合格作为政府采购项目财政性资金支付的必备条件。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、知识产权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（1）乙方提供的软件及相关交付物，包括且不限于软件程序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乙方自有的产品和第三方产品除外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、文档材料等，甲方均与乙方共同享有所有的产权、所有权及其它知识产权和权益。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（2）乙方独立于本项目之外且未利用甲方相关资料或工作条件完成的工作成果的一切知识产权和所有权归乙方所有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（3）乙方于本合同项下新开发的与甲方业务相关的开发成果，甲方享有知识产权和所有权。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（4）乙方按照本合同约定在履行系统维护和技术服务的过程中，利用甲方提供的相关资料和工作条件完成的新技术成果，甲乙双方共享知识产权和所有权。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（5）甲方依据本合同的规定，利用乙方提供的工作成果完成的新技术成果的所有权归甲方所有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如果有人提出法律或行政</w:t>
      </w:r>
      <w:r>
        <w:rPr>
          <w:rFonts w:hint="eastAsia" w:ascii="宋体" w:hAnsi="宋体" w:eastAsia="宋体" w:cs="宋体"/>
          <w:color w:val="auto"/>
          <w:sz w:val="24"/>
          <w:szCs w:val="24"/>
          <w:highlight w:val="none"/>
          <w:lang w:val="en-US" w:eastAsia="zh-CN"/>
        </w:rPr>
        <w:t xml:space="preserve">程</w:t>
      </w:r>
      <w:r>
        <w:rPr>
          <w:rFonts w:hint="eastAsia" w:ascii="宋体" w:hAnsi="宋体" w:eastAsia="宋体" w:cs="宋体"/>
          <w:color w:val="auto"/>
          <w:sz w:val="24"/>
          <w:szCs w:val="24"/>
          <w:highlight w:val="none"/>
        </w:rPr>
        <w:t xml:space="preserve">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合称“权指控”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，声称方所拥有的应用软件犯了其合法权益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包括但不限于知识产权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，乙方应当负责解决，并赔偿甲方就此所承担的一切损失和费用，包括但不限于上述侵权指控中所产生的诉讼费用、调查费用、合理的律师费用、和解金额或生效法律文书中规定的赔偿金额。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按照招标文件和乙方在投标书中承诺的服务执行。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按招标文件的规定执行。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1、本合同在双方签字盖章后生效。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、应当维护国家利益和社会公共利益，合同履行过程中出现危害国家利益和社会公共利益问题的，甲方有权立即终止合同。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、如合同继续履行将损害国家利益和社会公共利益，甲方有权变更、中止或者终止、解除合同。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、甲方和乙方签订补充合同的采购金额不得超过原合同采购金额的百分之十。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、小型、微型企业不得分包或转包给大型、中型企业，中型企业不得分包或转包给大型企业。</w:t>
      </w:r>
      <w:bookmarkEnd w:id="45"/>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bCs/>
          <w:color w:val="auto"/>
          <w:sz w:val="32"/>
          <w:szCs w:val="32"/>
          <w:highlight w:val="none"/>
        </w:rPr>
        <w:br w:type="page" w:clear="all"/>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943"/>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第六章 评分</w:t>
      </w:r>
      <w:bookmarkEnd w:id="42"/>
      <w:r/>
      <w:bookmarkEnd w:id="43"/>
      <w:r>
        <w:rPr>
          <w:rFonts w:hint="eastAsia" w:ascii="宋体" w:hAnsi="宋体" w:eastAsia="宋体" w:cs="宋体"/>
          <w:b/>
          <w:color w:val="auto"/>
          <w:sz w:val="52"/>
          <w:szCs w:val="20"/>
          <w:highlight w:val="none"/>
          <w:shd w:val="clear" w:color="auto" w:fill="ffffff"/>
        </w:rPr>
        <w:t xml:space="preserve">标准</w:t>
      </w:r>
      <w:bookmarkEnd w:id="44"/>
      <w:r/>
      <w:r/>
    </w:p>
    <w:p>
      <w:pPr>
        <w:ind w:firstLine="520"/>
        <w:keepLines w:val="0"/>
        <w:keepNext w:val="0"/>
        <w:pageBreakBefore w:val="0"/>
        <w:spacing w:line="360" w:lineRule="auto"/>
        <w:rPr>
          <w:rFonts w:hint="eastAsia" w:ascii="宋体" w:hAnsi="宋体" w:eastAsia="宋体" w:cs="宋体"/>
          <w:color w:val="auto"/>
          <w:sz w:val="24"/>
          <w:szCs w:val="24"/>
          <w:highlight w:val="none"/>
        </w:rPr>
        <w:outlineLvl w:val="1"/>
      </w:pPr>
      <w:r/>
      <w:bookmarkStart w:id="46" w:name="OLE_LINK2"/>
      <w:r>
        <w:rPr>
          <w:rFonts w:hint="eastAsia" w:ascii="宋体" w:hAnsi="宋体" w:eastAsia="宋体" w:cs="宋体"/>
          <w:color w:val="auto"/>
          <w:sz w:val="26"/>
          <w:szCs w:val="20"/>
          <w:highlight w:val="none"/>
          <w:shd w:val="clear" w:color="auto" w:fill="ffffff"/>
        </w:rPr>
        <w:br w:type="page" w:clear="all"/>
      </w:r>
      <w:bookmarkEnd w:id="46"/>
      <w:r>
        <w:rPr>
          <w:rFonts w:hint="eastAsia" w:ascii="宋体" w:hAnsi="宋体" w:eastAsia="宋体" w:cs="宋体"/>
          <w:b/>
          <w:bCs/>
          <w:color w:val="auto"/>
          <w:sz w:val="24"/>
          <w:szCs w:val="24"/>
          <w:highlight w:val="none"/>
        </w:rPr>
        <w:t xml:space="preserve">一、评标办法：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提供优先采购产品证书更多的投标人优先</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（如属优先采购产品），否则由采购代理机构组织抽签确定中标人。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二、评分标准：</w:t>
      </w:r>
      <w:r/>
    </w:p>
    <w:p>
      <w:pPr>
        <w:ind w:firstLine="482"/>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（一）投标报价（45分）</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1、价格分采用低价优先法计算，即满足招标文件要求且投标价格最低的投标报价为评标基准价，其价格分为满分。其他投标人的价格分统一按照下列公式计算：（保留小数点后二位）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报价得分=（评标基准价/投标报价）*价格权值45（本次招标价格权值为45%）</w:t>
      </w:r>
      <w:r/>
    </w:p>
    <w:p>
      <w:pPr>
        <w:ind w:right="0"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根据《关于推动解决政府采购异常低价问题的通知》（财库〔2026〕2号）文件要求，评审过程中出现下列情形之一的，评审委员会应当启动异常低价投标审查程序：</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投标报价低于全部通过符合性审查供应商投标报价平均值50%的，即投标报价&lt;全部通过符合性审查供应商投标报价平均值×50%；</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投标报价低于通过符合性审查的次低报价供应商投标报价50%的，即投标报价&lt;通过符合性审查的次低报价供应商投标报价×50%；</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投标报价低于采购项目最高限价45%的，即投标报价&lt;采购项目最高限价×45%；</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评审委员会基于专业判断，认为供应商报价过低，有可能影响产品质量或者不能诚信履约的其他情形。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评审委员会启动异常低价投标审查后，属于前述第</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项至第</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right="0"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4"/>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技术部分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55</w:t>
      </w:r>
      <w:r>
        <w:rPr>
          <w:rFonts w:hint="eastAsia" w:ascii="宋体" w:hAnsi="宋体" w:eastAsia="宋体" w:cs="宋体"/>
          <w:b/>
          <w:color w:val="auto"/>
          <w:sz w:val="24"/>
          <w:szCs w:val="24"/>
          <w:highlight w:val="none"/>
        </w:rPr>
        <w:t xml:space="preserve">分）</w:t>
      </w:r>
      <w:r/>
    </w:p>
    <w:tbl>
      <w:tblPr>
        <w:tblStyle w:val="933"/>
        <w:tblW w:w="10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1407"/>
        <w:gridCol w:w="7301"/>
        <w:gridCol w:w="540"/>
      </w:tblGrid>
      <w:tr>
        <w:trPr>
          <w:jc w:val="center"/>
          <w:trHeight w:val="520"/>
        </w:trPr>
        <w:tc>
          <w:tcPr>
            <w:tcW w:w="1113"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评审类别</w:t>
            </w:r>
            <w:r/>
          </w:p>
        </w:tc>
        <w:tc>
          <w:tcPr>
            <w:tcW w:w="1407"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评审项</w:t>
            </w:r>
            <w:r/>
          </w:p>
        </w:tc>
        <w:tc>
          <w:tcPr>
            <w:tcW w:w="7301"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评审规则</w:t>
            </w:r>
            <w:r/>
          </w:p>
        </w:tc>
        <w:tc>
          <w:tcPr>
            <w:tcW w:w="540"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分值</w:t>
            </w:r>
            <w:r/>
          </w:p>
        </w:tc>
      </w:tr>
      <w:tr>
        <w:trPr>
          <w:jc w:val="center"/>
          <w:trHeight w:val="297"/>
        </w:trPr>
        <w:tc>
          <w:tcPr>
            <w:tcW w:w="1113" w:type="dxa"/>
            <w:vAlign w:val="center"/>
            <w:vMerge w:val="restart"/>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color w:val="auto"/>
                <w:highlight w:val="none"/>
              </w:rPr>
              <w:t xml:space="preserve">技术部分(</w:t>
            </w:r>
            <w:r>
              <w:rPr>
                <w:rFonts w:hint="eastAsia" w:ascii="宋体" w:hAnsi="宋体" w:eastAsia="宋体" w:cs="宋体"/>
                <w:b/>
                <w:color w:val="auto"/>
                <w:highlight w:val="none"/>
                <w:lang w:val="en-US" w:eastAsia="zh-CN"/>
              </w:rPr>
              <w:t xml:space="preserve">55</w:t>
            </w:r>
            <w:r>
              <w:rPr>
                <w:rFonts w:hint="eastAsia" w:ascii="宋体" w:hAnsi="宋体" w:eastAsia="宋体" w:cs="宋体"/>
                <w:b/>
                <w:color w:val="auto"/>
                <w:highlight w:val="none"/>
              </w:rPr>
              <w:t xml:space="preserve">分)</w:t>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检测报告</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2分</w:t>
            </w:r>
            <w:r>
              <w:rPr>
                <w:rFonts w:hint="eastAsia" w:ascii="宋体" w:hAnsi="宋体" w:eastAsia="宋体" w:cs="宋体"/>
                <w:color w:val="auto"/>
                <w:highlight w:val="none"/>
                <w:lang w:eastAsia="zh-CN"/>
              </w:rPr>
              <w:t xml:space="preserve">）</w:t>
            </w:r>
            <w:r/>
          </w:p>
        </w:tc>
        <w:tc>
          <w:tcPr>
            <w:tcW w:w="730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提供下表中检测产品的检测报告扫描件（如报告内容不全导致无法确认报告的各项要求的，或字迹模糊不清无法辨认的都视为未提供）。</w:t>
            </w:r>
            <w:r>
              <w:rPr>
                <w:rFonts w:hint="eastAsia" w:ascii="宋体" w:hAnsi="宋体" w:eastAsia="宋体" w:cs="宋体"/>
                <w:b/>
                <w:color w:val="auto"/>
                <w:highlight w:val="none"/>
              </w:rPr>
              <w:t xml:space="preserve">中标后采购人将视情况核查中标供应商检测报告的真实性，发现弄虚作假的将上报监督部门处理。</w:t>
            </w:r>
            <w:r>
              <w:rPr>
                <w:rFonts w:hint="eastAsia" w:ascii="宋体" w:hAnsi="宋体" w:eastAsia="宋体" w:cs="宋体"/>
                <w:color w:val="auto"/>
                <w:highlight w:val="none"/>
              </w:rPr>
              <w:t xml:space="preserve">提供的检测报告必须同时符合以下所有要求，否则不得分。（每个检测产品</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分，最高得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检测报告应为具有检验检测资质的检测机构出具，检测机构应通过相应的CMA认证，检测报告页面必须有CMA认证标志；</w:t>
            </w:r>
            <w:r/>
          </w:p>
          <w:p>
            <w:pP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检测报告中的检测（判定）依据必须为下表所列检测标准或其它现行国家（或行业）标准；</w:t>
            </w:r>
            <w:r/>
          </w:p>
          <w:p>
            <w:pPr>
              <w:rPr>
                <w:rFonts w:hint="eastAsia" w:ascii="宋体" w:hAnsi="宋体" w:eastAsia="宋体" w:cs="宋体"/>
                <w:color w:val="auto"/>
                <w:szCs w:val="21"/>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检测报告中下表所列必须包含的检测项目检测结果应为合格。</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304不锈钢板材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1.2mm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304不锈钢板材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1.5mm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304不锈钢管材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1.0mm）</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1"/>
                <w:numId w:val="0"/>
              </w:num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④304不锈钢管材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1.2mm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p>
        </w:tc>
      </w:tr>
      <w:tr>
        <w:trPr>
          <w:jc w:val="center"/>
          <w:trHeight w:val="74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本项目施工深化设计比较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8分</w:t>
            </w:r>
            <w:r>
              <w:rPr>
                <w:rFonts w:hint="eastAsia" w:ascii="宋体" w:hAnsi="宋体" w:eastAsia="宋体" w:cs="宋体"/>
                <w:color w:val="auto"/>
                <w:highlight w:val="none"/>
                <w:lang w:eastAsia="zh-CN"/>
              </w:rPr>
              <w:t xml:space="preserve">）</w:t>
            </w:r>
            <w:r/>
          </w:p>
        </w:tc>
        <w:tc>
          <w:tcPr>
            <w:tcW w:w="7301" w:type="dxa"/>
            <w:textDirection w:val="lrTb"/>
            <w:noWrap w:val="false"/>
          </w:tcPr>
          <w:p>
            <w:pPr>
              <w:ind w:firstLine="420"/>
              <w:jc w:val="both"/>
              <w:widowControl w:val="off"/>
              <w:rPr>
                <w:rFonts w:hint="eastAsia" w:cs="宋体" w:asciiTheme="minorEastAsia" w:hAnsi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根据</w:t>
            </w:r>
            <w:r>
              <w:rPr>
                <w:rFonts w:hint="eastAsia" w:cs="宋体" w:asciiTheme="minorEastAsia" w:hAnsiTheme="minorEastAsia"/>
                <w:color w:val="auto"/>
                <w:sz w:val="21"/>
                <w:szCs w:val="21"/>
                <w:highlight w:val="none"/>
                <w:lang w:val="en-US" w:eastAsia="zh-CN"/>
              </w:rPr>
              <w:t xml:space="preserve">采购人</w:t>
            </w:r>
            <w:r>
              <w:rPr>
                <w:rFonts w:hint="eastAsia" w:cs="宋体" w:asciiTheme="minorEastAsia" w:hAnsiTheme="minorEastAsia" w:eastAsiaTheme="minorEastAsia"/>
                <w:color w:val="auto"/>
                <w:sz w:val="21"/>
                <w:szCs w:val="21"/>
                <w:highlight w:val="none"/>
              </w:rPr>
              <w:t xml:space="preserve">提供的基础图纸与投标产品清单，对厨房平面、给排水、用电、气、排风隔墙等提供施工深化图纸比较</w:t>
            </w:r>
            <w:r>
              <w:rPr>
                <w:rFonts w:hint="eastAsia" w:cs="宋体" w:asciiTheme="minorEastAsia" w:hAnsiTheme="minorEastAsia"/>
                <w:color w:val="auto"/>
                <w:sz w:val="21"/>
                <w:szCs w:val="21"/>
                <w:highlight w:val="none"/>
                <w:lang w:eastAsia="zh-CN"/>
              </w:rPr>
              <w:t xml:space="preserve">：</w:t>
            </w:r>
            <w:r/>
          </w:p>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提供内容有针对性，科学合理，设计方案图纸完整，优于项目实施需要的得8分；提供内容较有针对性，较科学合理，设计方案图纸较完整，能完全满足项目实施需要的得6分；提供内容的针对性、科学合理性不完善，设计方案图纸相对单一单、基本满足实施需要的得4分；不提供的不得分。</w:t>
            </w:r>
            <w:r/>
          </w:p>
        </w:tc>
        <w:tc>
          <w:tcPr>
            <w:tcW w:w="540"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w:t>
            </w:r>
            <w:r/>
          </w:p>
        </w:tc>
      </w:tr>
      <w:tr>
        <w:trPr>
          <w:jc w:val="center"/>
          <w:trHeight w:val="241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cs="宋体" w:asciiTheme="minorEastAsia" w:hAnsiTheme="minorEastAsia"/>
                <w:b w:val="0"/>
                <w:bCs w:val="0"/>
                <w:color w:val="auto"/>
                <w:sz w:val="21"/>
                <w:szCs w:val="21"/>
                <w:highlight w:val="none"/>
                <w:lang w:val="en-US" w:eastAsia="zh-CN"/>
              </w:rPr>
              <w:t xml:space="preserve">3、</w:t>
            </w:r>
            <w:r>
              <w:rPr>
                <w:rFonts w:hint="eastAsia" w:cs="宋体" w:asciiTheme="minorEastAsia" w:hAnsiTheme="minorEastAsia" w:eastAsiaTheme="minorEastAsia"/>
                <w:b w:val="0"/>
                <w:bCs w:val="0"/>
                <w:color w:val="auto"/>
                <w:sz w:val="21"/>
                <w:szCs w:val="21"/>
                <w:highlight w:val="none"/>
              </w:rPr>
              <w:t xml:space="preserve">实施方案比较(6分)</w:t>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根据投标单位项目实施方案、现场管理制度、质量保证措施、安装进度安排及保证措施、文明安装保证措施方面的安排比较综合评分。实施方案全面、质量保证措施实用可行，安装进度安排科学、合理，现场管理制度完善，文明安装保证措施实用可行方案科学合理的得6分；实施方案基本可行、质量保证措施可行性基本可行，安装进度安排基本可行，现场管理制度基本可行，文明安装保证措施基本可行的得4分；实施方案无针对性、质量保证措施可行性</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，安装进度安排</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，现场管理制度不完善，文明安装保证措施</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的得2分；不提供的不得分。</w:t>
            </w:r>
            <w:r/>
          </w:p>
        </w:tc>
        <w:tc>
          <w:tcPr>
            <w:tcW w:w="54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6</w:t>
            </w:r>
            <w:r/>
          </w:p>
        </w:tc>
      </w:tr>
      <w:tr>
        <w:trPr>
          <w:jc w:val="center"/>
          <w:trHeight w:val="90"/>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cs="宋体" w:asciiTheme="minorEastAsia" w:hAnsiTheme="minorEastAsia"/>
                <w:b w:val="0"/>
                <w:bCs w:val="0"/>
                <w:color w:val="auto"/>
                <w:sz w:val="21"/>
                <w:szCs w:val="21"/>
                <w:highlight w:val="none"/>
                <w:lang w:val="en-US" w:eastAsia="zh-CN"/>
              </w:rPr>
              <w:t xml:space="preserve">4、</w:t>
            </w:r>
            <w:r>
              <w:rPr>
                <w:rFonts w:hint="eastAsia" w:cs="宋体" w:asciiTheme="minorEastAsia" w:hAnsiTheme="minorEastAsia" w:eastAsiaTheme="minorEastAsia"/>
                <w:b w:val="0"/>
                <w:bCs w:val="0"/>
                <w:color w:val="auto"/>
                <w:sz w:val="21"/>
                <w:szCs w:val="21"/>
                <w:highlight w:val="none"/>
              </w:rPr>
              <w:t xml:space="preserve">应急预案比较(6分)</w:t>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根据投标单位针对现场突发状况，如防火，</w:t>
            </w:r>
            <w:r>
              <w:rPr>
                <w:rFonts w:hint="eastAsia" w:cs="宋体" w:asciiTheme="minorEastAsia" w:hAnsiTheme="minorEastAsia" w:eastAsiaTheme="minorEastAsia"/>
                <w:color w:val="auto"/>
                <w:sz w:val="21"/>
                <w:szCs w:val="21"/>
                <w:highlight w:val="none"/>
                <w:lang w:val="en-US" w:eastAsia="zh-CN"/>
              </w:rPr>
              <w:t xml:space="preserve">实施</w:t>
            </w:r>
            <w:r>
              <w:rPr>
                <w:rFonts w:hint="eastAsia" w:cs="宋体" w:asciiTheme="minorEastAsia" w:hAnsiTheme="minorEastAsia" w:eastAsiaTheme="minorEastAsia"/>
                <w:color w:val="auto"/>
                <w:sz w:val="21"/>
                <w:szCs w:val="21"/>
                <w:highlight w:val="none"/>
              </w:rPr>
              <w:t xml:space="preserve">安全隐患</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应急响应措施，现场突发状况的应急处理等各方面比较综合评分。方案完善、合理、完全可行的得6分；方案基本可行的得4分；方案不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、无针对性的得2分；不提供的不得分。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r>
      <w:tr>
        <w:trPr>
          <w:jc w:val="center"/>
          <w:trHeight w:val="143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b w:val="0"/>
                <w:bCs w:val="0"/>
                <w:color w:val="auto"/>
                <w:sz w:val="21"/>
                <w:szCs w:val="21"/>
                <w:highlight w:val="none"/>
                <w:lang w:val="en-US" w:eastAsia="zh-CN"/>
              </w:rPr>
              <w:t xml:space="preserve">5、</w:t>
            </w:r>
            <w:r>
              <w:rPr>
                <w:rFonts w:hint="eastAsia" w:cs="宋体" w:asciiTheme="minorEastAsia" w:hAnsiTheme="minorEastAsia" w:eastAsiaTheme="minorEastAsia"/>
                <w:b w:val="0"/>
                <w:bCs w:val="0"/>
                <w:color w:val="auto"/>
                <w:sz w:val="21"/>
                <w:szCs w:val="21"/>
                <w:highlight w:val="none"/>
              </w:rPr>
              <w:t xml:space="preserve">售后服务比较(8分)</w:t>
            </w:r>
            <w:r/>
          </w:p>
          <w:p>
            <w:pPr>
              <w:jc w:val="center"/>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投标单位售后服务体系完善、服务标准规范化程度高、服务响应</w:t>
            </w:r>
            <w:r>
              <w:rPr>
                <w:rFonts w:hint="eastAsia" w:cs="宋体" w:asciiTheme="minorEastAsia" w:hAnsiTheme="minorEastAsia"/>
                <w:color w:val="auto"/>
                <w:sz w:val="21"/>
                <w:szCs w:val="21"/>
                <w:highlight w:val="none"/>
                <w:lang w:val="en-US" w:eastAsia="zh-CN"/>
              </w:rPr>
              <w:t xml:space="preserve">效率高</w:t>
            </w:r>
            <w:r>
              <w:rPr>
                <w:rFonts w:hint="eastAsia" w:cs="宋体" w:asciiTheme="minorEastAsia" w:hAnsiTheme="minorEastAsia" w:eastAsiaTheme="minorEastAsia"/>
                <w:color w:val="auto"/>
                <w:sz w:val="21"/>
                <w:szCs w:val="21"/>
                <w:highlight w:val="none"/>
              </w:rPr>
              <w:t xml:space="preserve">、保修措施完善的得8分；投标单位售后服务体系较完善、服务标准规范化程度较完善、服务响应</w:t>
            </w:r>
            <w:r>
              <w:rPr>
                <w:rFonts w:hint="eastAsia" w:cs="宋体" w:asciiTheme="minorEastAsia" w:hAnsiTheme="minorEastAsia"/>
                <w:color w:val="auto"/>
                <w:sz w:val="21"/>
                <w:szCs w:val="21"/>
                <w:highlight w:val="none"/>
                <w:lang w:val="en-US" w:eastAsia="zh-CN"/>
              </w:rPr>
              <w:t xml:space="preserve">效率不高</w:t>
            </w:r>
            <w:r>
              <w:rPr>
                <w:rFonts w:hint="eastAsia" w:cs="宋体" w:asciiTheme="minorEastAsia" w:hAnsiTheme="minorEastAsia" w:eastAsiaTheme="minorEastAsia"/>
                <w:color w:val="auto"/>
                <w:sz w:val="21"/>
                <w:szCs w:val="21"/>
                <w:highlight w:val="none"/>
              </w:rPr>
              <w:t xml:space="preserve">、保修措施完善性较完善的得6分；投标单位售后服务体系不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完善、服务标准规范化程度</w:t>
            </w:r>
            <w:r>
              <w:rPr>
                <w:rFonts w:hint="eastAsia" w:cs="宋体" w:asciiTheme="minorEastAsia" w:hAnsi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、服务响应</w:t>
            </w:r>
            <w:r>
              <w:rPr>
                <w:rFonts w:hint="eastAsia" w:cs="宋体" w:asciiTheme="minorEastAsia" w:hAnsiTheme="minorEastAsia"/>
                <w:color w:val="auto"/>
                <w:sz w:val="21"/>
                <w:szCs w:val="21"/>
                <w:highlight w:val="none"/>
                <w:lang w:val="en-US" w:eastAsia="zh-CN"/>
              </w:rPr>
              <w:t xml:space="preserve">效率低</w:t>
            </w:r>
            <w:r>
              <w:rPr>
                <w:rFonts w:hint="eastAsia" w:cs="宋体" w:asciiTheme="minorEastAsia" w:hAnsiTheme="minorEastAsia" w:eastAsiaTheme="minorEastAsia"/>
                <w:color w:val="auto"/>
                <w:sz w:val="21"/>
                <w:szCs w:val="21"/>
                <w:highlight w:val="none"/>
              </w:rPr>
              <w:t xml:space="preserve">、保修措施不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完善的得4分；不提供的不得分。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r>
      <w:tr>
        <w:trPr>
          <w:jc w:val="center"/>
          <w:trHeight w:val="147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numPr>
                <w:ilvl w:val="0"/>
                <w:numId w:val="0"/>
              </w:num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b w:val="0"/>
                <w:bCs w:val="0"/>
                <w:color w:val="auto"/>
                <w:sz w:val="21"/>
                <w:szCs w:val="21"/>
                <w:highlight w:val="none"/>
                <w:lang w:val="en-US" w:eastAsia="zh-CN"/>
              </w:rPr>
              <w:t xml:space="preserve">6、</w:t>
            </w:r>
            <w:r>
              <w:rPr>
                <w:rFonts w:hint="eastAsia" w:cs="宋体" w:asciiTheme="minorEastAsia" w:hAnsiTheme="minorEastAsia" w:eastAsiaTheme="minorEastAsia"/>
                <w:b w:val="0"/>
                <w:bCs w:val="0"/>
                <w:color w:val="auto"/>
                <w:sz w:val="21"/>
                <w:szCs w:val="21"/>
                <w:highlight w:val="none"/>
              </w:rPr>
              <w:t xml:space="preserve">所投产品出现常规质量问题解决方案</w:t>
            </w:r>
            <w:r/>
          </w:p>
          <w:p>
            <w:pPr>
              <w:numPr>
                <w:ilvl w:val="0"/>
                <w:numId w:val="0"/>
              </w:num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t xml:space="preserve">(</w:t>
            </w:r>
            <w:r>
              <w:rPr>
                <w:rFonts w:hint="eastAsia" w:cs="宋体" w:asciiTheme="minorEastAsia" w:hAnsiTheme="minorEastAsia"/>
                <w:b w:val="0"/>
                <w:bCs w:val="0"/>
                <w:color w:val="auto"/>
                <w:sz w:val="21"/>
                <w:szCs w:val="21"/>
                <w:highlight w:val="none"/>
                <w:lang w:val="en-US" w:eastAsia="zh-CN"/>
              </w:rPr>
              <w:t xml:space="preserve">8</w:t>
            </w:r>
            <w:r>
              <w:rPr>
                <w:rFonts w:hint="eastAsia" w:cs="宋体" w:asciiTheme="minorEastAsia" w:hAnsiTheme="minorEastAsia" w:eastAsiaTheme="minorEastAsia"/>
                <w:b w:val="0"/>
                <w:bCs w:val="0"/>
                <w:color w:val="auto"/>
                <w:sz w:val="21"/>
                <w:szCs w:val="21"/>
                <w:highlight w:val="none"/>
              </w:rPr>
              <w:t xml:space="preserve">分)</w:t>
            </w:r>
            <w:r/>
          </w:p>
          <w:p>
            <w:pPr>
              <w:jc w:val="center"/>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投标单位对于本项目所投产品容易出现的常规质量问题原因分析全面、透彻，应对解决方法科学、实用、合理、可行的得</w:t>
            </w:r>
            <w:r>
              <w:rPr>
                <w:rFonts w:hint="eastAsia" w:cs="宋体" w:asciiTheme="minorEastAsia" w:hAnsiTheme="minorEastAsia"/>
                <w:color w:val="auto"/>
                <w:sz w:val="21"/>
                <w:szCs w:val="21"/>
                <w:highlight w:val="none"/>
                <w:lang w:val="en-US" w:eastAsia="zh-CN"/>
              </w:rPr>
              <w:t xml:space="preserve">8</w:t>
            </w:r>
            <w:r>
              <w:rPr>
                <w:rFonts w:hint="eastAsia" w:cs="宋体" w:asciiTheme="minorEastAsia" w:hAnsiTheme="minorEastAsia" w:eastAsiaTheme="minorEastAsia"/>
                <w:color w:val="auto"/>
                <w:sz w:val="21"/>
                <w:szCs w:val="21"/>
                <w:highlight w:val="none"/>
              </w:rPr>
              <w:t xml:space="preserve">分；对于本项目所投产品容易出现的常规质量问题原因分析简略，应对解决方法基本可行的得</w:t>
            </w:r>
            <w:r>
              <w:rPr>
                <w:rFonts w:hint="eastAsia" w:cs="宋体" w:asciiTheme="minorEastAsia" w:hAnsi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分；对于本项目所投产品容易出现的常规质量问题原因分析粗略、无针对性，应对解决方法可行性</w:t>
            </w:r>
            <w:r>
              <w:rPr>
                <w:rFonts w:hint="eastAsia" w:cs="宋体" w:asciiTheme="minorEastAsia" w:hAnsi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的得</w:t>
            </w:r>
            <w:r>
              <w:rPr>
                <w:rFonts w:hint="eastAsia" w:cs="宋体" w:asciiTheme="minorEastAsia" w:hAnsi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cs="宋体" w:asciiTheme="minorEastAsia" w:hAnsiTheme="minorEastAsia" w:eastAsiaTheme="minorEastAsia"/>
                <w:b w:val="0"/>
                <w:bCs w:val="0"/>
                <w:color w:val="auto"/>
                <w:sz w:val="21"/>
                <w:szCs w:val="21"/>
                <w:highlight w:val="none"/>
                <w:lang w:val="en-US" w:eastAsia="zh-CN"/>
              </w:rPr>
              <w:t xml:space="preserve">8</w:t>
            </w:r>
            <w:r/>
          </w:p>
        </w:tc>
      </w:tr>
      <w:tr>
        <w:trPr>
          <w:jc w:val="center"/>
          <w:trHeight w:val="1567"/>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设备工艺技术比较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10分</w:t>
            </w:r>
            <w:r>
              <w:rPr>
                <w:rFonts w:hint="eastAsia" w:ascii="宋体" w:hAnsi="宋体" w:eastAsia="宋体" w:cs="宋体"/>
                <w:color w:val="auto"/>
                <w:highlight w:val="none"/>
                <w:lang w:eastAsia="zh-CN"/>
              </w:rPr>
              <w:t xml:space="preserve">）</w:t>
            </w:r>
            <w:r/>
          </w:p>
        </w:tc>
        <w:tc>
          <w:tcPr>
            <w:tcW w:w="7301" w:type="dxa"/>
            <w:textDirection w:val="lrTb"/>
            <w:noWrap w:val="false"/>
          </w:tcPr>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(1)燃气双眼大锅灶工艺技术方案综合比较：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(2)双门热风循环消毒柜工艺技术方案综合比较：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(3)四格保温台技术方案综合比较：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(4)燃气双门蒸饭柜工艺技术方案综合比较：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空气能长龙式洗碗机带烘干</w:t>
            </w:r>
            <w:r>
              <w:rPr>
                <w:rFonts w:hint="eastAsia" w:ascii="宋体" w:hAnsi="宋体" w:eastAsia="宋体" w:cs="宋体"/>
                <w:b/>
                <w:bCs/>
                <w:color w:val="auto"/>
                <w:szCs w:val="21"/>
                <w:highlight w:val="none"/>
              </w:rPr>
              <w:t xml:space="preserve">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10"/>
              </w:numPr>
              <w:ind w:right="117"/>
              <w:spacing w:before="79"/>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rPr>
              <w:t xml:space="preserve">产品图纸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8"/>
                <w:szCs w:val="21"/>
                <w:highlight w:val="none"/>
              </w:rPr>
              <w:t xml:space="preserve">内</w:t>
            </w:r>
            <w:r>
              <w:rPr>
                <w:rFonts w:hint="eastAsia" w:ascii="宋体" w:hAnsi="宋体" w:eastAsia="宋体" w:cs="宋体"/>
                <w:color w:val="auto"/>
                <w:spacing w:val="-4"/>
                <w:szCs w:val="21"/>
                <w:highlight w:val="none"/>
              </w:rPr>
              <w:t xml:space="preserve">容完整、工艺技术方案全面完善、</w:t>
            </w:r>
            <w:r>
              <w:rPr>
                <w:rFonts w:hint="eastAsia" w:ascii="宋体" w:hAnsi="宋体" w:eastAsia="宋体" w:cs="宋体"/>
                <w:color w:val="auto"/>
                <w:spacing w:val="-5"/>
                <w:szCs w:val="21"/>
                <w:highlight w:val="none"/>
              </w:rPr>
              <w:t xml:space="preserve">科学合理、针对性强的得2分</w:t>
            </w:r>
            <w:r>
              <w:rPr>
                <w:rFonts w:hint="eastAsia" w:ascii="宋体" w:hAnsi="宋体" w:eastAsia="宋体" w:cs="宋体"/>
                <w:color w:val="auto"/>
                <w:spacing w:val="-4"/>
                <w:szCs w:val="21"/>
                <w:highlight w:val="none"/>
              </w:rPr>
              <w:t xml:space="preserve">；</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产品图纸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1"/>
                <w:szCs w:val="21"/>
                <w:highlight w:val="none"/>
              </w:rPr>
              <w:t xml:space="preserve">内容较完整、</w:t>
            </w:r>
            <w:r>
              <w:rPr>
                <w:rFonts w:hint="eastAsia" w:ascii="宋体" w:hAnsi="宋体" w:eastAsia="宋体" w:cs="宋体"/>
                <w:color w:val="auto"/>
                <w:szCs w:val="21"/>
                <w:highlight w:val="none"/>
              </w:rPr>
              <w:t xml:space="preserve">工艺技术方案较为</w:t>
            </w:r>
            <w:r>
              <w:rPr>
                <w:rFonts w:hint="eastAsia" w:ascii="宋体" w:hAnsi="宋体" w:eastAsia="宋体" w:cs="宋体"/>
                <w:color w:val="auto"/>
                <w:spacing w:val="-10"/>
                <w:szCs w:val="21"/>
                <w:highlight w:val="none"/>
              </w:rPr>
              <w:t xml:space="preserve">完善</w:t>
            </w:r>
            <w:r>
              <w:rPr>
                <w:rFonts w:hint="eastAsia" w:ascii="宋体" w:hAnsi="宋体" w:eastAsia="宋体" w:cs="宋体"/>
                <w:color w:val="auto"/>
                <w:spacing w:val="-5"/>
                <w:szCs w:val="21"/>
                <w:highlight w:val="none"/>
              </w:rPr>
              <w:t xml:space="preserve">、有合理性的得1分；</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产</w:t>
            </w:r>
            <w:r>
              <w:rPr>
                <w:rFonts w:hint="eastAsia" w:ascii="宋体" w:hAnsi="宋体" w:eastAsia="宋体" w:cs="宋体"/>
                <w:color w:val="auto"/>
                <w:spacing w:val="-4"/>
                <w:szCs w:val="21"/>
                <w:highlight w:val="none"/>
              </w:rPr>
              <w:t xml:space="preserve">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4"/>
                <w:szCs w:val="21"/>
                <w:highlight w:val="none"/>
              </w:rPr>
              <w:t xml:space="preserve">内容不够完整、工艺技术方案简</w:t>
            </w:r>
            <w:r>
              <w:rPr>
                <w:rFonts w:hint="eastAsia" w:ascii="宋体" w:hAnsi="宋体" w:eastAsia="宋体" w:cs="宋体"/>
                <w:color w:val="auto"/>
                <w:spacing w:val="-6"/>
                <w:szCs w:val="21"/>
                <w:highlight w:val="none"/>
              </w:rPr>
              <w:t xml:space="preserve">单、不够详</w:t>
            </w:r>
            <w:r>
              <w:rPr>
                <w:rFonts w:hint="eastAsia" w:ascii="宋体" w:hAnsi="宋体" w:eastAsia="宋体" w:cs="宋体"/>
                <w:color w:val="auto"/>
                <w:spacing w:val="-3"/>
                <w:szCs w:val="21"/>
                <w:highlight w:val="none"/>
              </w:rPr>
              <w:t xml:space="preserve">细、合理性不高的得0.5分；</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不提供的不得分。</w:t>
            </w:r>
            <w:r/>
          </w:p>
        </w:tc>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10</w:t>
            </w:r>
            <w:r/>
          </w:p>
        </w:tc>
      </w:tr>
      <w:tr>
        <w:trPr>
          <w:jc w:val="center"/>
          <w:trHeight w:val="1567"/>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b/>
                <w:bCs/>
                <w:color w:val="auto"/>
                <w:spacing w:val="-4"/>
                <w:highlight w:val="none"/>
              </w:rPr>
              <w:t xml:space="preserve">▲</w:t>
            </w:r>
            <w:r>
              <w:rPr>
                <w:rFonts w:hint="eastAsia" w:ascii="宋体" w:hAnsi="宋体" w:eastAsia="宋体" w:cs="宋体"/>
                <w:b w:val="0"/>
                <w:bCs w:val="0"/>
                <w:color w:val="auto"/>
                <w:spacing w:val="-4"/>
                <w:highlight w:val="none"/>
                <w:lang w:val="en-US" w:eastAsia="zh-CN"/>
              </w:rPr>
              <w:t xml:space="preserve">8、</w:t>
            </w:r>
            <w:r>
              <w:rPr>
                <w:rFonts w:hint="eastAsia" w:ascii="宋体" w:hAnsi="宋体" w:eastAsia="宋体" w:cs="宋体"/>
                <w:b w:val="0"/>
                <w:bCs w:val="0"/>
                <w:color w:val="auto"/>
                <w:spacing w:val="-4"/>
                <w:highlight w:val="none"/>
              </w:rPr>
              <w:t xml:space="preserve">履</w:t>
            </w:r>
            <w:r>
              <w:rPr>
                <w:rFonts w:hint="eastAsia" w:ascii="宋体" w:hAnsi="宋体" w:eastAsia="宋体" w:cs="宋体"/>
                <w:b w:val="0"/>
                <w:bCs w:val="0"/>
                <w:color w:val="auto"/>
                <w:highlight w:val="none"/>
              </w:rPr>
              <w:t xml:space="preserve">约能力比较</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3分</w:t>
            </w:r>
            <w:r>
              <w:rPr>
                <w:rFonts w:hint="eastAsia" w:ascii="宋体" w:hAnsi="宋体" w:eastAsia="宋体" w:cs="宋体"/>
                <w:b w:val="0"/>
                <w:bCs w:val="0"/>
                <w:color w:val="auto"/>
                <w:highlight w:val="none"/>
                <w:lang w:eastAsia="zh-CN"/>
              </w:rPr>
              <w:t xml:space="preserve">）</w:t>
            </w:r>
            <w:r/>
          </w:p>
        </w:tc>
        <w:tc>
          <w:tcPr>
            <w:tcW w:w="7301" w:type="dxa"/>
            <w:textDirection w:val="lrTb"/>
            <w:noWrap w:val="false"/>
          </w:tcPr>
          <w:p>
            <w:pPr>
              <w:ind w:left="113" w:right="98" w:firstLine="2"/>
              <w:spacing w:before="7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投标单位具有有效期内的质量管理体系认证证书、环境管理体系认证证书、职业健康安全管理体系认证证书，每提供一个得1分，最高得3分。</w:t>
            </w:r>
            <w:r/>
          </w:p>
          <w:p>
            <w:pPr>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(注：</w:t>
            </w:r>
            <w:r>
              <w:rPr>
                <w:rFonts w:hint="eastAsia" w:ascii="宋体" w:hAnsi="宋体" w:eastAsia="宋体" w:cs="宋体"/>
                <w:b/>
                <w:color w:val="auto"/>
                <w:spacing w:val="-1"/>
                <w:szCs w:val="21"/>
                <w:highlight w:val="none"/>
              </w:rPr>
              <w:t xml:space="preserve">投标文件中须提供上述认证证书的扫描件，提供</w:t>
            </w:r>
            <w:r>
              <w:rPr>
                <w:rFonts w:hint="eastAsia" w:ascii="宋体" w:hAnsi="宋体" w:eastAsia="宋体" w:cs="宋体"/>
                <w:b/>
                <w:color w:val="auto"/>
                <w:szCs w:val="21"/>
                <w:highlight w:val="none"/>
              </w:rPr>
              <w:t xml:space="preserve">在中国国家</w:t>
            </w:r>
            <w:r>
              <w:rPr>
                <w:rFonts w:hint="eastAsia" w:ascii="宋体" w:hAnsi="宋体" w:eastAsia="宋体" w:cs="宋体"/>
                <w:b/>
                <w:color w:val="auto"/>
                <w:spacing w:val="-8"/>
                <w:szCs w:val="21"/>
                <w:highlight w:val="none"/>
              </w:rPr>
              <w:t xml:space="preserve">认</w:t>
            </w:r>
            <w:r>
              <w:rPr>
                <w:rFonts w:hint="eastAsia" w:ascii="宋体" w:hAnsi="宋体" w:eastAsia="宋体" w:cs="宋体"/>
                <w:b/>
                <w:color w:val="auto"/>
                <w:spacing w:val="-4"/>
                <w:szCs w:val="21"/>
                <w:highlight w:val="none"/>
              </w:rPr>
              <w:t xml:space="preserve">证认可监督管理委员会网站查询链接及完整的截图，链接及截图</w:t>
            </w:r>
            <w:r>
              <w:rPr>
                <w:rFonts w:hint="eastAsia" w:ascii="宋体" w:hAnsi="宋体" w:eastAsia="宋体" w:cs="宋体"/>
                <w:b/>
                <w:color w:val="auto"/>
                <w:szCs w:val="21"/>
                <w:highlight w:val="none"/>
              </w:rPr>
              <w:t xml:space="preserve">须清晰可辨，如模糊不清或不完整则不得分。</w:t>
            </w:r>
            <w:r>
              <w:rPr>
                <w:rFonts w:hint="eastAsia" w:ascii="宋体" w:hAnsi="宋体" w:eastAsia="宋体" w:cs="宋体"/>
                <w:color w:val="auto"/>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w:t>
            </w:r>
            <w:r/>
          </w:p>
        </w:tc>
      </w:tr>
      <w:tr>
        <w:trPr>
          <w:jc w:val="center"/>
          <w:trHeight w:val="1267"/>
        </w:trPr>
        <w:tc>
          <w:tcPr>
            <w:tcW w:w="1113"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spacing w:val="-4"/>
                <w:highlight w:val="none"/>
                <w:lang w:val="en-US" w:eastAsia="zh-CN"/>
              </w:rPr>
            </w:pPr>
            <w:r>
              <w:rPr>
                <w:rFonts w:hint="eastAsia" w:ascii="宋体" w:hAnsi="宋体" w:eastAsia="宋体" w:cs="宋体"/>
                <w:b/>
                <w:bCs/>
                <w:color w:val="auto"/>
                <w:spacing w:val="-4"/>
                <w:highlight w:val="none"/>
              </w:rPr>
              <w:t xml:space="preserve">▲</w:t>
            </w:r>
            <w:r>
              <w:rPr>
                <w:rFonts w:hint="eastAsia" w:ascii="宋体" w:hAnsi="宋体" w:eastAsia="宋体" w:cs="宋体"/>
                <w:b w:val="0"/>
                <w:bCs w:val="0"/>
                <w:color w:val="auto"/>
                <w:spacing w:val="-4"/>
                <w:highlight w:val="none"/>
                <w:lang w:val="en-US" w:eastAsia="zh-CN"/>
              </w:rPr>
              <w:t xml:space="preserve">9、类似</w:t>
            </w:r>
            <w:r/>
          </w:p>
          <w:p>
            <w:pPr>
              <w:jc w:val="center"/>
              <w:rPr>
                <w:rFonts w:hint="default" w:ascii="宋体" w:hAnsi="宋体" w:eastAsia="宋体" w:cs="宋体"/>
                <w:b/>
                <w:bCs/>
                <w:color w:val="auto"/>
                <w:spacing w:val="-4"/>
                <w:highlight w:val="none"/>
                <w:lang w:val="en-US" w:eastAsia="zh-CN"/>
              </w:rPr>
            </w:pPr>
            <w:r>
              <w:rPr>
                <w:rFonts w:hint="eastAsia" w:ascii="宋体" w:hAnsi="宋体" w:eastAsia="宋体" w:cs="宋体"/>
                <w:b w:val="0"/>
                <w:bCs w:val="0"/>
                <w:color w:val="auto"/>
                <w:spacing w:val="-4"/>
                <w:highlight w:val="none"/>
                <w:lang w:val="en-US" w:eastAsia="zh-CN"/>
              </w:rPr>
              <w:t xml:space="preserve">业绩（4分）</w:t>
            </w:r>
            <w:r/>
          </w:p>
        </w:tc>
        <w:tc>
          <w:tcPr>
            <w:tcW w:w="7301" w:type="dxa"/>
            <w:textDirection w:val="lrTb"/>
            <w:noWrap w:val="false"/>
          </w:tcPr>
          <w:p>
            <w:pPr>
              <w:rPr>
                <w:rFonts w:hint="eastAsia" w:ascii="宋体" w:hAnsi="宋体" w:eastAsia="宋体" w:cs="宋体"/>
                <w:color w:val="auto"/>
                <w:spacing w:val="-1"/>
                <w:szCs w:val="21"/>
                <w:highlight w:val="none"/>
              </w:rPr>
            </w:pPr>
            <w:r>
              <w:rPr>
                <w:rFonts w:hint="eastAsia" w:cs="宋体" w:asciiTheme="minorEastAsia" w:hAnsiTheme="minorEastAsia" w:eastAsiaTheme="minorEastAsia"/>
                <w:color w:val="auto"/>
                <w:sz w:val="21"/>
                <w:szCs w:val="21"/>
                <w:highlight w:val="none"/>
              </w:rPr>
              <w:t xml:space="preserve">投标人近三年(202</w:t>
            </w:r>
            <w:r>
              <w:rPr>
                <w:rFonts w:hint="eastAsia" w:cs="宋体" w:asciiTheme="minorEastAsia" w:hAnsiTheme="minorEastAsia"/>
                <w:color w:val="auto"/>
                <w:sz w:val="21"/>
                <w:szCs w:val="21"/>
                <w:highlight w:val="none"/>
                <w:lang w:val="en-US" w:eastAsia="zh-CN"/>
              </w:rPr>
              <w:t xml:space="preserve">3</w:t>
            </w:r>
            <w:r>
              <w:rPr>
                <w:rFonts w:hint="eastAsia" w:cs="宋体" w:asciiTheme="minorEastAsia" w:hAnsiTheme="minorEastAsia" w:eastAsiaTheme="minorEastAsia"/>
                <w:color w:val="auto"/>
                <w:sz w:val="21"/>
                <w:szCs w:val="21"/>
                <w:highlight w:val="none"/>
              </w:rPr>
              <w:t xml:space="preserve">年</w:t>
            </w:r>
            <w:r>
              <w:rPr>
                <w:rFonts w:hint="eastAsia" w:cs="宋体" w:asciiTheme="minorEastAsia" w:hAnsi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月</w:t>
            </w:r>
            <w:r>
              <w:rPr>
                <w:rFonts w:hint="eastAsia" w:cs="宋体" w:asciiTheme="minorEastAsia" w:hAnsi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日)以来具有类似项目业绩</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提供合同</w:t>
            </w:r>
            <w:r>
              <w:rPr>
                <w:rFonts w:hint="eastAsia" w:cs="宋体" w:asciiTheme="minorEastAsia" w:hAnsiTheme="minorEastAsia"/>
                <w:color w:val="auto"/>
                <w:sz w:val="21"/>
                <w:szCs w:val="21"/>
                <w:highlight w:val="none"/>
                <w:lang w:val="en-US" w:eastAsia="zh-CN"/>
              </w:rPr>
              <w:t xml:space="preserve">扫描件</w:t>
            </w:r>
            <w:r>
              <w:rPr>
                <w:rFonts w:hint="eastAsia" w:cs="宋体" w:asciiTheme="minorEastAsia" w:hAnsiTheme="minorEastAsia" w:eastAsiaTheme="minorEastAsia"/>
                <w:color w:val="auto"/>
                <w:sz w:val="21"/>
                <w:szCs w:val="21"/>
                <w:highlight w:val="none"/>
              </w:rPr>
              <w:t xml:space="preserve">及</w:t>
            </w:r>
            <w:r>
              <w:rPr>
                <w:rFonts w:hint="eastAsia" w:cs="宋体" w:asciiTheme="minorEastAsia" w:hAnsiTheme="minorEastAsia"/>
                <w:color w:val="auto"/>
                <w:sz w:val="21"/>
                <w:szCs w:val="21"/>
                <w:highlight w:val="none"/>
                <w:lang w:val="en-US" w:eastAsia="zh-CN"/>
              </w:rPr>
              <w:t xml:space="preserve">任一期</w:t>
            </w:r>
            <w:r>
              <w:rPr>
                <w:rFonts w:hint="eastAsia" w:cs="宋体" w:asciiTheme="minorEastAsia" w:hAnsiTheme="minorEastAsia" w:eastAsiaTheme="minorEastAsia"/>
                <w:color w:val="auto"/>
                <w:sz w:val="21"/>
                <w:szCs w:val="21"/>
                <w:highlight w:val="none"/>
              </w:rPr>
              <w:t xml:space="preserve">的销售发票</w:t>
            </w:r>
            <w:r>
              <w:rPr>
                <w:rFonts w:hint="eastAsia" w:cs="宋体" w:asciiTheme="minorEastAsia" w:hAnsiTheme="minorEastAsia"/>
                <w:color w:val="auto"/>
                <w:sz w:val="21"/>
                <w:szCs w:val="21"/>
                <w:highlight w:val="none"/>
                <w:lang w:val="en-US" w:eastAsia="zh-CN"/>
              </w:rPr>
              <w:t xml:space="preserve">扫描件</w:t>
            </w:r>
            <w:r>
              <w:rPr>
                <w:rFonts w:hint="eastAsia" w:cs="宋体" w:asciiTheme="minorEastAsia" w:hAnsiTheme="minorEastAsia" w:eastAsiaTheme="minorEastAsia"/>
                <w:color w:val="auto"/>
                <w:sz w:val="21"/>
                <w:szCs w:val="21"/>
                <w:highlight w:val="none"/>
              </w:rPr>
              <w:t xml:space="preserve">，提供一个得</w:t>
            </w:r>
            <w:r>
              <w:rPr>
                <w:rFonts w:hint="eastAsia" w:cs="宋体" w:asciiTheme="minorEastAsia" w:hAnsi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分，</w:t>
            </w:r>
            <w:r>
              <w:rPr>
                <w:rFonts w:hint="eastAsia" w:cs="宋体" w:asciiTheme="minorEastAsia" w:hAnsiTheme="minorEastAsia"/>
                <w:color w:val="auto"/>
                <w:sz w:val="21"/>
                <w:szCs w:val="21"/>
                <w:highlight w:val="none"/>
                <w:lang w:val="en-US" w:eastAsia="zh-CN"/>
              </w:rPr>
              <w:t xml:space="preserve">本项最高得4</w:t>
            </w:r>
            <w:r>
              <w:rPr>
                <w:rFonts w:hint="eastAsia" w:cs="宋体" w:asciiTheme="minorEastAsia" w:hAnsiTheme="minorEastAsia" w:eastAsiaTheme="minorEastAsia"/>
                <w:color w:val="auto"/>
                <w:sz w:val="21"/>
                <w:szCs w:val="21"/>
                <w:highlight w:val="none"/>
              </w:rPr>
              <w:t xml:space="preserve">分，</w:t>
            </w:r>
            <w:r>
              <w:rPr>
                <w:rFonts w:hint="eastAsia" w:cs="宋体" w:asciiTheme="minorEastAsia" w:hAnsiTheme="minorEastAsia" w:eastAsiaTheme="minorEastAsia"/>
                <w:color w:val="auto"/>
                <w:sz w:val="21"/>
                <w:szCs w:val="21"/>
                <w:highlight w:val="none"/>
                <w:lang w:val="zh-CN"/>
              </w:rPr>
              <w:t xml:space="preserve">未提供不得分</w:t>
            </w:r>
            <w:r>
              <w:rPr>
                <w:rFonts w:hint="eastAsia" w:cs="宋体" w:asciiTheme="minorEastAsia" w:hAnsiTheme="minorEastAsia"/>
                <w:color w:val="auto"/>
                <w:sz w:val="21"/>
                <w:szCs w:val="21"/>
                <w:highlight w:val="none"/>
                <w:lang w:val="zh-CN"/>
              </w:rPr>
              <w:t xml:space="preserve">，</w:t>
            </w:r>
            <w:r>
              <w:rPr>
                <w:rFonts w:hint="eastAsia" w:cs="宋体" w:asciiTheme="minorEastAsia" w:hAnsiTheme="minorEastAsia"/>
                <w:color w:val="auto"/>
                <w:sz w:val="21"/>
                <w:szCs w:val="21"/>
                <w:highlight w:val="none"/>
                <w:lang w:val="en-US" w:eastAsia="zh-CN"/>
              </w:rPr>
              <w:t xml:space="preserve">时间以合同签订时间为准</w:t>
            </w:r>
            <w:r>
              <w:rPr>
                <w:rFonts w:hint="eastAsia" w:cs="宋体" w:asciiTheme="minorEastAsia" w:hAnsiTheme="minorEastAsia" w:eastAsiaTheme="minorEastAsia"/>
                <w:color w:val="auto"/>
                <w:sz w:val="21"/>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r>
    </w:tbl>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”项目为客观分。</w:t>
      </w:r>
      <w:r/>
    </w:p>
    <w:p>
      <w:pPr>
        <w:numPr>
          <w:ilvl w:val="0"/>
          <w:numId w:val="11"/>
        </w:num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针对评分标准中评分的每一条，投标单位在投标文件中均应提供相关资料并作出相应说明供评委评判，不提供相关资料，</w:t>
      </w:r>
      <w:r>
        <w:rPr>
          <w:rFonts w:hint="eastAsia" w:ascii="宋体" w:hAnsi="宋体" w:eastAsia="宋体" w:cs="宋体"/>
          <w:b/>
          <w:bCs/>
          <w:color w:val="auto"/>
          <w:sz w:val="24"/>
          <w:szCs w:val="24"/>
          <w:highlight w:val="none"/>
        </w:rPr>
        <w:t xml:space="preserve">提供的材料不全、不符、说明不清晰或不提供的,</w:t>
      </w:r>
      <w:r>
        <w:rPr>
          <w:rFonts w:hint="eastAsia" w:ascii="宋体" w:hAnsi="宋体" w:eastAsia="宋体" w:cs="宋体"/>
          <w:b/>
          <w:color w:val="auto"/>
          <w:sz w:val="24"/>
          <w:szCs w:val="24"/>
          <w:highlight w:val="none"/>
        </w:rPr>
        <w:t xml:space="preserve">视为不具备该项得分的条件。</w:t>
      </w:r>
      <w:r/>
    </w:p>
    <w:p>
      <w:pPr>
        <w:numPr>
          <w:ilvl w:val="0"/>
          <w:numId w:val="11"/>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提供的各种证书、资质必须在有效期内，否则不得分。</w:t>
      </w:r>
      <w:r/>
    </w:p>
    <w:p>
      <w:pPr>
        <w:numPr>
          <w:ilvl w:val="0"/>
          <w:numId w:val="11"/>
        </w:numPr>
        <w:ind w:lef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zh-CN"/>
        </w:rPr>
        <w:t xml:space="preserve">如有负偏离的不得</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、针对小微企业、监狱企业及残疾人企业的评审：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b/>
          <w:bCs w:val="0"/>
          <w:color w:val="auto"/>
          <w:sz w:val="24"/>
          <w:szCs w:val="24"/>
          <w:highlight w:val="none"/>
          <w:u w:val="single"/>
          <w:lang w:val="en-US" w:eastAsia="zh-CN"/>
        </w:rPr>
        <w:t xml:space="preserve">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残疾人福利性单位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监狱企业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绿色采购</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1、本次采购产品中</w:t>
      </w:r>
      <w:r>
        <w:rPr>
          <w:rFonts w:hint="eastAsia" w:ascii="宋体" w:hAnsi="宋体" w:eastAsia="宋体" w:cs="宋体"/>
          <w:b/>
          <w:bCs/>
          <w:color w:val="auto"/>
          <w:sz w:val="24"/>
          <w:szCs w:val="24"/>
          <w:highlight w:val="none"/>
          <w:lang w:val="en-US" w:eastAsia="zh-CN"/>
        </w:rPr>
        <w:t xml:space="preserve">龙头（水嘴）、挂墙式电热水器</w:t>
      </w:r>
      <w:r>
        <w:rPr>
          <w:rFonts w:hint="eastAsia" w:ascii="宋体" w:hAnsi="宋体" w:eastAsia="宋体" w:cs="宋体"/>
          <w:color w:val="auto"/>
          <w:sz w:val="24"/>
          <w:szCs w:val="24"/>
          <w:highlight w:val="none"/>
          <w:lang w:val="en-US" w:eastAsia="zh-CN"/>
        </w:rPr>
        <w:t xml:space="preserve">属于《节能产品政府采购品目清单》范围内的强制采购产品，响应文件中须提供认证机构出具的、处于有效期之内的节能（节水）产品认证证书，</w:t>
      </w:r>
      <w:r>
        <w:rPr>
          <w:rFonts w:hint="eastAsia" w:ascii="宋体" w:hAnsi="宋体" w:eastAsia="宋体" w:cs="宋体"/>
          <w:b/>
          <w:bCs/>
          <w:color w:val="auto"/>
          <w:sz w:val="24"/>
          <w:szCs w:val="24"/>
          <w:highlight w:val="none"/>
          <w:lang w:val="en-US" w:eastAsia="zh-CN"/>
        </w:rPr>
        <w:t xml:space="preserve">否则视为未实质性响应。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2、本次采购产品中</w:t>
      </w:r>
      <w:r>
        <w:rPr>
          <w:rFonts w:hint="eastAsia" w:ascii="宋体" w:hAnsi="宋体" w:eastAsia="宋体" w:cs="宋体"/>
          <w:b/>
          <w:bCs/>
          <w:color w:val="auto"/>
          <w:sz w:val="24"/>
          <w:szCs w:val="24"/>
          <w:highlight w:val="none"/>
          <w:lang w:val="en-US" w:eastAsia="zh-CN"/>
        </w:rPr>
        <w:t xml:space="preserve"> 商用燃气灶具</w:t>
      </w:r>
      <w:r>
        <w:rPr>
          <w:rFonts w:hint="eastAsia" w:ascii="宋体" w:hAnsi="宋体" w:eastAsia="宋体" w:cs="宋体"/>
          <w:color w:val="auto"/>
          <w:sz w:val="24"/>
          <w:szCs w:val="24"/>
          <w:highlight w:val="none"/>
          <w:lang w:val="en-US" w:eastAsia="zh-CN"/>
        </w:rPr>
        <w:t xml:space="preserve"> 属于《节能产品政府采购品目清单》范围内优先采购的产品，本次采购产品中 </w:t>
      </w:r>
      <w:r>
        <w:rPr>
          <w:rFonts w:hint="eastAsia" w:ascii="宋体" w:hAnsi="宋体" w:eastAsia="宋体" w:cs="宋体"/>
          <w:b/>
          <w:bCs/>
          <w:color w:val="auto"/>
          <w:sz w:val="24"/>
          <w:szCs w:val="24"/>
          <w:highlight w:val="none"/>
          <w:lang w:val="en-US" w:eastAsia="zh-CN"/>
        </w:rPr>
        <w:t xml:space="preserve">龙头（水嘴）、水池、塑料制品</w:t>
      </w:r>
      <w:r>
        <w:rPr>
          <w:rFonts w:hint="eastAsia" w:ascii="宋体" w:hAnsi="宋体" w:eastAsia="宋体" w:cs="宋体"/>
          <w:color w:val="auto"/>
          <w:sz w:val="24"/>
          <w:szCs w:val="24"/>
          <w:highlight w:val="none"/>
          <w:lang w:val="en-US" w:eastAsia="zh-CN"/>
        </w:rPr>
        <w:t xml:space="preserve"> 属于《环境标志产品政府采购品目清单》范围内优先采购的产品，各响应单位可提供由国家确定的认证机构出具的、处于有效期之内的节能（节水）产品、环境标志产品认证证书。在评审价格相同情况下，提供证书更多的响应单位优先中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5、实施本国产品标准及相关政策</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供应商需在《声明函》中逐一</w:t>
      </w:r>
      <w:r>
        <w:rPr>
          <w:rFonts w:hint="eastAsia" w:ascii="宋体" w:hAnsi="宋体" w:eastAsia="宋体" w:cs="宋体"/>
          <w:b w:val="0"/>
          <w:bCs w:val="0"/>
          <w:color w:val="auto"/>
          <w:sz w:val="24"/>
          <w:szCs w:val="24"/>
          <w:highlight w:val="none"/>
          <w:lang w:val="en-US" w:eastAsia="zh-CN"/>
        </w:rPr>
        <w:t xml:space="preserve">单列</w:t>
      </w:r>
      <w:r>
        <w:rPr>
          <w:rFonts w:hint="eastAsia" w:ascii="宋体" w:hAnsi="宋体" w:eastAsia="宋体" w:cs="宋体"/>
          <w:color w:val="auto"/>
          <w:sz w:val="24"/>
          <w:szCs w:val="24"/>
          <w:highlight w:val="none"/>
        </w:rPr>
        <w:t xml:space="preserve">、准确填写产品名称、厂名、生产厂址三项信息（《声明函》中用斜线划除的地方无需填写），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ind w:right="480"/>
        <w:jc w:val="right"/>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ind w:right="480"/>
        <w:jc w:val="right"/>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55"/>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55"/>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rFonts w:ascii="宋体" w:hAnsi="宋体" w:eastAsia="宋体"/>
      </w:rPr>
    </w:pPr>
    <w:r>
      <w:rPr>
        <w:rFonts w:hint="eastAsia" w:ascii="宋体" w:hAnsi="宋体" w:eastAsia="宋体"/>
      </w:rPr>
      <w:t xml:space="preserve">政府采购招标文件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24"/>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pStyle w:val="1049"/>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7"/>
  </w:num>
  <w:num w:numId="4">
    <w:abstractNumId w:val="10"/>
  </w:num>
  <w:num w:numId="5">
    <w:abstractNumId w:val="0"/>
  </w:num>
  <w:num w:numId="6">
    <w:abstractNumId w:val="4"/>
  </w:num>
  <w:num w:numId="7">
    <w:abstractNumId w:val="6"/>
  </w:num>
  <w:num w:numId="8">
    <w:abstractNumId w:val="3"/>
  </w:num>
  <w:num w:numId="9">
    <w:abstractNumId w:val="2"/>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32"/>
    <w:link w:val="926"/>
    <w:uiPriority w:val="9"/>
    <w:rPr>
      <w:rFonts w:ascii="Arial" w:hAnsi="Arial" w:eastAsia="Arial" w:cs="Arial"/>
      <w:sz w:val="40"/>
      <w:szCs w:val="40"/>
    </w:rPr>
  </w:style>
  <w:style w:type="character" w:styleId="775">
    <w:name w:val="Heading 2 Char"/>
    <w:basedOn w:val="932"/>
    <w:link w:val="927"/>
    <w:uiPriority w:val="9"/>
    <w:rPr>
      <w:rFonts w:ascii="Arial" w:hAnsi="Arial" w:eastAsia="Arial" w:cs="Arial"/>
      <w:sz w:val="34"/>
    </w:rPr>
  </w:style>
  <w:style w:type="character" w:styleId="776">
    <w:name w:val="Heading 3 Char"/>
    <w:basedOn w:val="932"/>
    <w:link w:val="928"/>
    <w:uiPriority w:val="9"/>
    <w:rPr>
      <w:rFonts w:ascii="Arial" w:hAnsi="Arial" w:eastAsia="Arial" w:cs="Arial"/>
      <w:sz w:val="30"/>
      <w:szCs w:val="30"/>
    </w:rPr>
  </w:style>
  <w:style w:type="character" w:styleId="777">
    <w:name w:val="Heading 4 Char"/>
    <w:basedOn w:val="932"/>
    <w:link w:val="929"/>
    <w:uiPriority w:val="9"/>
    <w:rPr>
      <w:rFonts w:ascii="Arial" w:hAnsi="Arial" w:eastAsia="Arial" w:cs="Arial"/>
      <w:b/>
      <w:bCs/>
      <w:sz w:val="26"/>
      <w:szCs w:val="26"/>
    </w:rPr>
  </w:style>
  <w:style w:type="character" w:styleId="778">
    <w:name w:val="Heading 5 Char"/>
    <w:basedOn w:val="932"/>
    <w:link w:val="930"/>
    <w:uiPriority w:val="9"/>
    <w:rPr>
      <w:rFonts w:ascii="Arial" w:hAnsi="Arial" w:eastAsia="Arial" w:cs="Arial"/>
      <w:b/>
      <w:bCs/>
      <w:sz w:val="24"/>
      <w:szCs w:val="24"/>
    </w:rPr>
  </w:style>
  <w:style w:type="character" w:styleId="779">
    <w:name w:val="Heading 6 Char"/>
    <w:basedOn w:val="932"/>
    <w:link w:val="931"/>
    <w:uiPriority w:val="9"/>
    <w:rPr>
      <w:rFonts w:ascii="Arial" w:hAnsi="Arial" w:eastAsia="Arial" w:cs="Arial"/>
      <w:b/>
      <w:bCs/>
      <w:sz w:val="22"/>
      <w:szCs w:val="22"/>
    </w:rPr>
  </w:style>
  <w:style w:type="paragraph" w:styleId="780">
    <w:name w:val="Heading 7"/>
    <w:basedOn w:val="925"/>
    <w:next w:val="925"/>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basedOn w:val="932"/>
    <w:link w:val="780"/>
    <w:uiPriority w:val="9"/>
    <w:rPr>
      <w:rFonts w:ascii="Arial" w:hAnsi="Arial" w:eastAsia="Arial" w:cs="Arial"/>
      <w:b/>
      <w:bCs/>
      <w:i/>
      <w:iCs/>
      <w:sz w:val="22"/>
      <w:szCs w:val="22"/>
    </w:rPr>
  </w:style>
  <w:style w:type="paragraph" w:styleId="782">
    <w:name w:val="Heading 8"/>
    <w:basedOn w:val="925"/>
    <w:next w:val="925"/>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basedOn w:val="932"/>
    <w:link w:val="782"/>
    <w:uiPriority w:val="9"/>
    <w:rPr>
      <w:rFonts w:ascii="Arial" w:hAnsi="Arial" w:eastAsia="Arial" w:cs="Arial"/>
      <w:i/>
      <w:iCs/>
      <w:sz w:val="22"/>
      <w:szCs w:val="22"/>
    </w:rPr>
  </w:style>
  <w:style w:type="paragraph" w:styleId="784">
    <w:name w:val="Heading 9"/>
    <w:basedOn w:val="925"/>
    <w:next w:val="925"/>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32"/>
    <w:link w:val="784"/>
    <w:uiPriority w:val="9"/>
    <w:rPr>
      <w:rFonts w:ascii="Arial" w:hAnsi="Arial" w:eastAsia="Arial" w:cs="Arial"/>
      <w:i/>
      <w:iCs/>
      <w:sz w:val="21"/>
      <w:szCs w:val="21"/>
    </w:rPr>
  </w:style>
  <w:style w:type="paragraph" w:styleId="786">
    <w:name w:val="No Spacing"/>
    <w:uiPriority w:val="1"/>
    <w:qFormat/>
    <w:pPr>
      <w:spacing w:before="0" w:after="0" w:line="240" w:lineRule="auto"/>
    </w:pPr>
  </w:style>
  <w:style w:type="character" w:styleId="787">
    <w:name w:val="Title Char"/>
    <w:basedOn w:val="932"/>
    <w:link w:val="972"/>
    <w:uiPriority w:val="10"/>
    <w:rPr>
      <w:sz w:val="48"/>
      <w:szCs w:val="48"/>
    </w:rPr>
  </w:style>
  <w:style w:type="character" w:styleId="788">
    <w:name w:val="Subtitle Char"/>
    <w:basedOn w:val="932"/>
    <w:link w:val="961"/>
    <w:uiPriority w:val="11"/>
    <w:rPr>
      <w:sz w:val="24"/>
      <w:szCs w:val="24"/>
    </w:rPr>
  </w:style>
  <w:style w:type="paragraph" w:styleId="789">
    <w:name w:val="Quote"/>
    <w:basedOn w:val="925"/>
    <w:next w:val="925"/>
    <w:link w:val="790"/>
    <w:uiPriority w:val="29"/>
    <w:qFormat/>
    <w:pPr>
      <w:ind w:left="720" w:right="720"/>
    </w:pPr>
    <w:rPr>
      <w:i/>
    </w:rPr>
  </w:style>
  <w:style w:type="character" w:styleId="790">
    <w:name w:val="Quote Char"/>
    <w:link w:val="789"/>
    <w:uiPriority w:val="29"/>
    <w:rPr>
      <w:i/>
    </w:rPr>
  </w:style>
  <w:style w:type="paragraph" w:styleId="791">
    <w:name w:val="Intense Quote"/>
    <w:basedOn w:val="925"/>
    <w:next w:val="925"/>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character" w:styleId="793">
    <w:name w:val="Header Char"/>
    <w:basedOn w:val="932"/>
    <w:link w:val="956"/>
    <w:uiPriority w:val="99"/>
  </w:style>
  <w:style w:type="character" w:styleId="794">
    <w:name w:val="Footer Char"/>
    <w:basedOn w:val="932"/>
    <w:link w:val="955"/>
    <w:uiPriority w:val="99"/>
  </w:style>
  <w:style w:type="paragraph" w:styleId="795">
    <w:name w:val="Caption"/>
    <w:basedOn w:val="925"/>
    <w:next w:val="925"/>
    <w:uiPriority w:val="35"/>
    <w:semiHidden/>
    <w:unhideWhenUsed/>
    <w:qFormat/>
    <w:pPr>
      <w:spacing w:line="276" w:lineRule="auto"/>
    </w:pPr>
    <w:rPr>
      <w:b/>
      <w:bCs/>
      <w:color w:val="4f81bd" w:themeColor="accent1"/>
      <w:sz w:val="18"/>
      <w:szCs w:val="18"/>
    </w:rPr>
  </w:style>
  <w:style w:type="character" w:styleId="796">
    <w:name w:val="Caption Char"/>
    <w:basedOn w:val="795"/>
    <w:link w:val="955"/>
    <w:uiPriority w:val="99"/>
  </w:style>
  <w:style w:type="table" w:styleId="797">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Footnote Text Char"/>
    <w:link w:val="962"/>
    <w:uiPriority w:val="99"/>
    <w:rPr>
      <w:sz w:val="18"/>
    </w:rPr>
  </w:style>
  <w:style w:type="character" w:styleId="923">
    <w:name w:val="Endnote Text Char"/>
    <w:link w:val="953"/>
    <w:uiPriority w:val="99"/>
    <w:rPr>
      <w:sz w:val="20"/>
    </w:rPr>
  </w:style>
  <w:style w:type="paragraph" w:styleId="924">
    <w:name w:val="TOC Heading"/>
    <w:uiPriority w:val="39"/>
    <w:unhideWhenUsed/>
  </w:style>
  <w:style w:type="paragraph" w:styleId="92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26">
    <w:name w:val="Heading 1"/>
    <w:basedOn w:val="925"/>
    <w:next w:val="925"/>
    <w:link w:val="986"/>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927">
    <w:name w:val="Heading 2"/>
    <w:basedOn w:val="925"/>
    <w:next w:val="925"/>
    <w:link w:val="987"/>
    <w:uiPriority w:val="0"/>
    <w:qFormat/>
    <w:pPr>
      <w:jc w:val="left"/>
      <w:keepLines/>
      <w:keepNext/>
      <w:outlineLvl w:val="1"/>
    </w:pPr>
    <w:rPr>
      <w:rFonts w:ascii="宋体" w:hAnsi="宋体" w:eastAsia="楷体_GB2312" w:cs="Times New Roman"/>
      <w:b/>
      <w:sz w:val="26"/>
      <w:szCs w:val="20"/>
    </w:rPr>
  </w:style>
  <w:style w:type="paragraph" w:styleId="928">
    <w:name w:val="Heading 3"/>
    <w:basedOn w:val="925"/>
    <w:next w:val="925"/>
    <w:link w:val="988"/>
    <w:uiPriority w:val="0"/>
    <w:qFormat/>
    <w:pPr>
      <w:jc w:val="left"/>
      <w:keepLines/>
      <w:keepNext/>
      <w:outlineLvl w:val="2"/>
    </w:pPr>
    <w:rPr>
      <w:rFonts w:ascii="Calibri" w:hAnsi="Calibri" w:eastAsia="楷体_GB2312" w:cs="Times New Roman"/>
      <w:b/>
      <w:sz w:val="26"/>
      <w:szCs w:val="20"/>
    </w:rPr>
  </w:style>
  <w:style w:type="paragraph" w:styleId="929">
    <w:name w:val="Heading 4"/>
    <w:basedOn w:val="925"/>
    <w:next w:val="925"/>
    <w:link w:val="989"/>
    <w:uiPriority w:val="0"/>
    <w:qFormat/>
    <w:pPr>
      <w:keepLines/>
      <w:keepNext/>
      <w:spacing w:before="280" w:after="290" w:line="376" w:lineRule="auto"/>
      <w:outlineLvl w:val="3"/>
    </w:pPr>
    <w:rPr>
      <w:rFonts w:ascii="Arial" w:hAnsi="Arial" w:eastAsia="黑体" w:cs="Times New Roman"/>
      <w:b/>
      <w:bCs/>
      <w:sz w:val="28"/>
      <w:szCs w:val="28"/>
    </w:rPr>
  </w:style>
  <w:style w:type="paragraph" w:styleId="930">
    <w:name w:val="Heading 5"/>
    <w:basedOn w:val="925"/>
    <w:next w:val="925"/>
    <w:link w:val="990"/>
    <w:uiPriority w:val="0"/>
    <w:qFormat/>
    <w:pPr>
      <w:keepNext/>
      <w:outlineLvl w:val="4"/>
    </w:pPr>
    <w:rPr>
      <w:rFonts w:ascii="宋体" w:hAnsi="宋体" w:eastAsia="宋体" w:cs="Times New Roman"/>
      <w:color w:val="000000"/>
      <w:sz w:val="28"/>
      <w:szCs w:val="20"/>
    </w:rPr>
  </w:style>
  <w:style w:type="paragraph" w:styleId="931">
    <w:name w:val="Heading 6"/>
    <w:basedOn w:val="925"/>
    <w:next w:val="925"/>
    <w:link w:val="991"/>
    <w:uiPriority w:val="0"/>
    <w:qFormat/>
    <w:pPr>
      <w:keepNext/>
      <w:outlineLvl w:val="5"/>
    </w:pPr>
    <w:rPr>
      <w:rFonts w:ascii="宋体" w:hAnsi="宋体" w:eastAsia="宋体" w:cs="Times New Roman"/>
      <w:sz w:val="28"/>
      <w:szCs w:val="20"/>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toc 7"/>
    <w:basedOn w:val="925"/>
    <w:next w:val="925"/>
    <w:uiPriority w:val="0"/>
    <w:qFormat/>
    <w:pPr>
      <w:ind w:left="2520"/>
    </w:pPr>
    <w:rPr>
      <w:rFonts w:ascii="Calibri" w:hAnsi="Calibri" w:eastAsia="楷体_GB2312" w:cs="Times New Roman"/>
      <w:sz w:val="26"/>
      <w:szCs w:val="20"/>
    </w:rPr>
  </w:style>
  <w:style w:type="paragraph" w:styleId="935">
    <w:name w:val="index 8"/>
    <w:basedOn w:val="925"/>
    <w:next w:val="925"/>
    <w:uiPriority w:val="0"/>
    <w:qFormat/>
    <w:pPr>
      <w:ind w:left="2940"/>
    </w:pPr>
    <w:rPr>
      <w:rFonts w:ascii="Calibri" w:hAnsi="Calibri" w:eastAsia="楷体_GB2312" w:cs="Times New Roman"/>
      <w:sz w:val="26"/>
      <w:szCs w:val="20"/>
    </w:rPr>
  </w:style>
  <w:style w:type="paragraph" w:styleId="936">
    <w:name w:val="Normal Indent"/>
    <w:basedOn w:val="925"/>
    <w:next w:val="925"/>
    <w:link w:val="992"/>
    <w:uiPriority w:val="0"/>
    <w:qFormat/>
    <w:pPr>
      <w:ind w:firstLine="420"/>
      <w:jc w:val="left"/>
    </w:pPr>
    <w:rPr>
      <w:rFonts w:ascii="Calibri" w:hAnsi="Calibri" w:eastAsia="楷体_GB2312" w:cs="Times New Roman"/>
      <w:sz w:val="24"/>
      <w:szCs w:val="20"/>
    </w:rPr>
  </w:style>
  <w:style w:type="paragraph" w:styleId="937">
    <w:name w:val="index 5"/>
    <w:basedOn w:val="925"/>
    <w:next w:val="925"/>
    <w:uiPriority w:val="0"/>
    <w:qFormat/>
    <w:pPr>
      <w:ind w:left="1680"/>
    </w:pPr>
    <w:rPr>
      <w:rFonts w:ascii="Calibri" w:hAnsi="Calibri" w:eastAsia="楷体_GB2312" w:cs="Times New Roman"/>
      <w:sz w:val="26"/>
      <w:szCs w:val="20"/>
    </w:rPr>
  </w:style>
  <w:style w:type="paragraph" w:styleId="938">
    <w:name w:val="Document Map"/>
    <w:basedOn w:val="925"/>
    <w:link w:val="993"/>
    <w:uiPriority w:val="0"/>
    <w:qFormat/>
    <w:pPr>
      <w:shd w:val="clear" w:color="auto" w:fill="000080"/>
    </w:pPr>
    <w:rPr>
      <w:rFonts w:ascii="Calibri" w:hAnsi="Calibri" w:eastAsia="楷体_GB2312" w:cs="Times New Roman"/>
      <w:sz w:val="26"/>
      <w:szCs w:val="20"/>
    </w:rPr>
  </w:style>
  <w:style w:type="paragraph" w:styleId="939">
    <w:name w:val="annotation text"/>
    <w:basedOn w:val="925"/>
    <w:link w:val="994"/>
    <w:uiPriority w:val="0"/>
    <w:qFormat/>
    <w:pPr>
      <w:jc w:val="left"/>
    </w:pPr>
    <w:rPr>
      <w:rFonts w:ascii="Calibri" w:hAnsi="Calibri" w:eastAsia="楷体_GB2312" w:cs="Times New Roman"/>
      <w:sz w:val="26"/>
      <w:szCs w:val="20"/>
    </w:rPr>
  </w:style>
  <w:style w:type="paragraph" w:styleId="940">
    <w:name w:val="index 6"/>
    <w:basedOn w:val="925"/>
    <w:next w:val="925"/>
    <w:uiPriority w:val="0"/>
    <w:qFormat/>
    <w:pPr>
      <w:ind w:left="2100"/>
    </w:pPr>
    <w:rPr>
      <w:rFonts w:ascii="Calibri" w:hAnsi="Calibri" w:eastAsia="楷体_GB2312" w:cs="Times New Roman"/>
      <w:sz w:val="26"/>
      <w:szCs w:val="20"/>
    </w:rPr>
  </w:style>
  <w:style w:type="paragraph" w:styleId="941">
    <w:name w:val="Body Text"/>
    <w:basedOn w:val="925"/>
    <w:next w:val="942"/>
    <w:link w:val="995"/>
    <w:uiPriority w:val="0"/>
    <w:qFormat/>
    <w:pPr>
      <w:spacing w:line="400" w:lineRule="exact"/>
    </w:pPr>
    <w:rPr>
      <w:rFonts w:ascii="楷体_GB2312" w:hAnsi="Calibri" w:eastAsia="楷体_GB2312" w:cs="Times New Roman"/>
      <w:sz w:val="28"/>
      <w:szCs w:val="20"/>
    </w:rPr>
  </w:style>
  <w:style w:type="paragraph" w:styleId="942">
    <w:name w:val="toc 2"/>
    <w:basedOn w:val="925"/>
    <w:next w:val="925"/>
    <w:uiPriority w:val="0"/>
    <w:qFormat/>
    <w:pPr>
      <w:ind w:left="420"/>
    </w:pPr>
    <w:rPr>
      <w:rFonts w:ascii="Calibri" w:hAnsi="Calibri" w:eastAsia="楷体_GB2312" w:cs="Times New Roman"/>
      <w:sz w:val="26"/>
      <w:szCs w:val="20"/>
    </w:rPr>
  </w:style>
  <w:style w:type="paragraph" w:styleId="943">
    <w:name w:val="Body Text Indent"/>
    <w:basedOn w:val="925"/>
    <w:next w:val="925"/>
    <w:link w:val="996"/>
    <w:uiPriority w:val="99"/>
    <w:qFormat/>
    <w:pPr>
      <w:ind w:left="570"/>
      <w:spacing w:line="520" w:lineRule="exact"/>
    </w:pPr>
    <w:rPr>
      <w:rFonts w:ascii="方正仿宋简体" w:hAnsi="创艺简仿宋" w:eastAsia="方正仿宋简体" w:cs="Times New Roman"/>
      <w:sz w:val="24"/>
      <w:szCs w:val="20"/>
    </w:rPr>
  </w:style>
  <w:style w:type="paragraph" w:styleId="944">
    <w:name w:val="Block Text"/>
    <w:basedOn w:val="925"/>
    <w:next w:val="925"/>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945">
    <w:name w:val="index 4"/>
    <w:basedOn w:val="925"/>
    <w:next w:val="925"/>
    <w:uiPriority w:val="0"/>
    <w:qFormat/>
    <w:pPr>
      <w:ind w:left="1260"/>
    </w:pPr>
    <w:rPr>
      <w:rFonts w:ascii="Calibri" w:hAnsi="Calibri" w:eastAsia="楷体_GB2312" w:cs="Times New Roman"/>
      <w:sz w:val="26"/>
      <w:szCs w:val="20"/>
    </w:rPr>
  </w:style>
  <w:style w:type="paragraph" w:styleId="946">
    <w:name w:val="toc 5"/>
    <w:basedOn w:val="925"/>
    <w:next w:val="925"/>
    <w:uiPriority w:val="0"/>
    <w:qFormat/>
    <w:pPr>
      <w:ind w:left="1680"/>
    </w:pPr>
    <w:rPr>
      <w:rFonts w:ascii="Calibri" w:hAnsi="Calibri" w:eastAsia="楷体_GB2312" w:cs="Times New Roman"/>
      <w:sz w:val="26"/>
      <w:szCs w:val="20"/>
    </w:rPr>
  </w:style>
  <w:style w:type="paragraph" w:styleId="947">
    <w:name w:val="toc 3"/>
    <w:basedOn w:val="925"/>
    <w:next w:val="925"/>
    <w:uiPriority w:val="0"/>
    <w:qFormat/>
    <w:pPr>
      <w:ind w:left="840"/>
    </w:pPr>
    <w:rPr>
      <w:rFonts w:ascii="Calibri" w:hAnsi="Calibri" w:eastAsia="楷体_GB2312" w:cs="Times New Roman"/>
      <w:sz w:val="26"/>
      <w:szCs w:val="20"/>
    </w:rPr>
  </w:style>
  <w:style w:type="paragraph" w:styleId="948">
    <w:name w:val="Plain Text"/>
    <w:basedOn w:val="925"/>
    <w:link w:val="997"/>
    <w:uiPriority w:val="0"/>
    <w:qFormat/>
    <w:rPr>
      <w:rFonts w:ascii="宋体" w:hAnsi="Courier New" w:eastAsia="楷体_GB2312" w:cs="Times New Roman"/>
      <w:sz w:val="26"/>
      <w:szCs w:val="20"/>
    </w:rPr>
  </w:style>
  <w:style w:type="paragraph" w:styleId="949">
    <w:name w:val="toc 8"/>
    <w:basedOn w:val="925"/>
    <w:next w:val="925"/>
    <w:uiPriority w:val="0"/>
    <w:qFormat/>
    <w:pPr>
      <w:ind w:left="2940"/>
    </w:pPr>
    <w:rPr>
      <w:rFonts w:ascii="Calibri" w:hAnsi="Calibri" w:eastAsia="楷体_GB2312" w:cs="Times New Roman"/>
      <w:sz w:val="26"/>
      <w:szCs w:val="20"/>
    </w:rPr>
  </w:style>
  <w:style w:type="paragraph" w:styleId="950">
    <w:name w:val="index 3"/>
    <w:basedOn w:val="925"/>
    <w:next w:val="925"/>
    <w:uiPriority w:val="0"/>
    <w:qFormat/>
    <w:pPr>
      <w:ind w:left="840"/>
    </w:pPr>
    <w:rPr>
      <w:rFonts w:ascii="Calibri" w:hAnsi="Calibri" w:eastAsia="楷体_GB2312" w:cs="Times New Roman"/>
      <w:sz w:val="26"/>
      <w:szCs w:val="20"/>
    </w:rPr>
  </w:style>
  <w:style w:type="paragraph" w:styleId="951">
    <w:name w:val="Date"/>
    <w:basedOn w:val="925"/>
    <w:next w:val="925"/>
    <w:link w:val="998"/>
    <w:uiPriority w:val="0"/>
    <w:qFormat/>
    <w:rPr>
      <w:rFonts w:ascii="宋体" w:hAnsi="宋体" w:eastAsia="楷体_GB2312" w:cs="Times New Roman"/>
      <w:sz w:val="24"/>
      <w:szCs w:val="20"/>
    </w:rPr>
  </w:style>
  <w:style w:type="paragraph" w:styleId="952">
    <w:name w:val="Body Text Indent 2"/>
    <w:basedOn w:val="925"/>
    <w:link w:val="999"/>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53">
    <w:name w:val="endnote text"/>
    <w:basedOn w:val="925"/>
    <w:link w:val="1000"/>
    <w:uiPriority w:val="0"/>
    <w:qFormat/>
    <w:pPr>
      <w:jc w:val="left"/>
    </w:pPr>
    <w:rPr>
      <w:rFonts w:ascii="Calibri" w:hAnsi="Calibri" w:eastAsia="楷体_GB2312" w:cs="Times New Roman"/>
      <w:sz w:val="26"/>
      <w:szCs w:val="20"/>
    </w:rPr>
  </w:style>
  <w:style w:type="paragraph" w:styleId="954">
    <w:name w:val="Balloon Text"/>
    <w:basedOn w:val="925"/>
    <w:link w:val="1001"/>
    <w:uiPriority w:val="99"/>
    <w:qFormat/>
    <w:rPr>
      <w:rFonts w:ascii="Calibri" w:hAnsi="Calibri" w:eastAsia="楷体_GB2312" w:cs="Times New Roman"/>
      <w:sz w:val="18"/>
      <w:szCs w:val="18"/>
    </w:rPr>
  </w:style>
  <w:style w:type="paragraph" w:styleId="955">
    <w:name w:val="Footer"/>
    <w:basedOn w:val="925"/>
    <w:link w:val="1002"/>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956">
    <w:name w:val="Header"/>
    <w:basedOn w:val="925"/>
    <w:link w:val="1003"/>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57">
    <w:name w:val="toc 1"/>
    <w:basedOn w:val="925"/>
    <w:next w:val="925"/>
    <w:uiPriority w:val="39"/>
    <w:qFormat/>
    <w:pPr>
      <w:jc w:val="left"/>
    </w:pPr>
    <w:rPr>
      <w:rFonts w:ascii="Calibri" w:hAnsi="Calibri" w:eastAsia="楷体_GB2312" w:cs="Times New Roman"/>
      <w:sz w:val="24"/>
      <w:szCs w:val="20"/>
    </w:rPr>
  </w:style>
  <w:style w:type="paragraph" w:styleId="958">
    <w:name w:val="toc 4"/>
    <w:basedOn w:val="925"/>
    <w:next w:val="925"/>
    <w:uiPriority w:val="0"/>
    <w:qFormat/>
    <w:pPr>
      <w:ind w:left="1260"/>
    </w:pPr>
    <w:rPr>
      <w:rFonts w:ascii="Calibri" w:hAnsi="Calibri" w:eastAsia="楷体_GB2312" w:cs="Times New Roman"/>
      <w:sz w:val="26"/>
      <w:szCs w:val="20"/>
    </w:rPr>
  </w:style>
  <w:style w:type="paragraph" w:styleId="959">
    <w:name w:val="index heading"/>
    <w:basedOn w:val="925"/>
    <w:next w:val="960"/>
    <w:uiPriority w:val="0"/>
    <w:qFormat/>
    <w:rPr>
      <w:rFonts w:ascii="Calibri" w:hAnsi="Calibri" w:eastAsia="楷体_GB2312" w:cs="Times New Roman"/>
      <w:sz w:val="26"/>
      <w:szCs w:val="20"/>
    </w:rPr>
  </w:style>
  <w:style w:type="paragraph" w:styleId="960">
    <w:name w:val="index 1"/>
    <w:basedOn w:val="925"/>
    <w:next w:val="925"/>
    <w:uiPriority w:val="0"/>
    <w:unhideWhenUsed/>
    <w:qFormat/>
  </w:style>
  <w:style w:type="paragraph" w:styleId="961">
    <w:name w:val="Subtitle"/>
    <w:basedOn w:val="925"/>
    <w:next w:val="925"/>
    <w:link w:val="1004"/>
    <w:uiPriority w:val="0"/>
    <w:qFormat/>
    <w:pPr>
      <w:jc w:val="left"/>
      <w:spacing w:before="120"/>
      <w:outlineLvl w:val="1"/>
    </w:pPr>
    <w:rPr>
      <w:rFonts w:ascii="Cambria" w:hAnsi="Cambria" w:eastAsia="宋体" w:cs="Times New Roman"/>
      <w:b/>
      <w:bCs/>
      <w:sz w:val="24"/>
      <w:szCs w:val="32"/>
    </w:rPr>
  </w:style>
  <w:style w:type="paragraph" w:styleId="962">
    <w:name w:val="footnote text"/>
    <w:basedOn w:val="925"/>
    <w:link w:val="1005"/>
    <w:uiPriority w:val="0"/>
    <w:qFormat/>
    <w:pPr>
      <w:jc w:val="left"/>
    </w:pPr>
    <w:rPr>
      <w:rFonts w:ascii="Calibri" w:hAnsi="Calibri" w:eastAsia="楷体_GB2312" w:cs="Times New Roman"/>
      <w:sz w:val="18"/>
      <w:szCs w:val="20"/>
    </w:rPr>
  </w:style>
  <w:style w:type="paragraph" w:styleId="963">
    <w:name w:val="toc 6"/>
    <w:basedOn w:val="925"/>
    <w:next w:val="925"/>
    <w:uiPriority w:val="0"/>
    <w:qFormat/>
    <w:pPr>
      <w:ind w:left="2100"/>
    </w:pPr>
    <w:rPr>
      <w:rFonts w:ascii="Calibri" w:hAnsi="Calibri" w:eastAsia="楷体_GB2312" w:cs="Times New Roman"/>
      <w:sz w:val="26"/>
      <w:szCs w:val="20"/>
    </w:rPr>
  </w:style>
  <w:style w:type="paragraph" w:styleId="964">
    <w:name w:val="Body Text Indent 3"/>
    <w:basedOn w:val="925"/>
    <w:link w:val="1006"/>
    <w:uiPriority w:val="0"/>
    <w:qFormat/>
    <w:pPr>
      <w:ind w:firstLine="617"/>
      <w:spacing w:line="360" w:lineRule="auto"/>
    </w:pPr>
    <w:rPr>
      <w:rFonts w:ascii="Calibri" w:hAnsi="Calibri" w:eastAsia="宋体" w:cs="Times New Roman"/>
      <w:sz w:val="24"/>
      <w:szCs w:val="24"/>
    </w:rPr>
  </w:style>
  <w:style w:type="paragraph" w:styleId="965">
    <w:name w:val="index 7"/>
    <w:basedOn w:val="925"/>
    <w:next w:val="925"/>
    <w:uiPriority w:val="0"/>
    <w:qFormat/>
    <w:pPr>
      <w:ind w:left="2520"/>
    </w:pPr>
    <w:rPr>
      <w:rFonts w:ascii="Calibri" w:hAnsi="Calibri" w:eastAsia="楷体_GB2312" w:cs="Times New Roman"/>
      <w:sz w:val="26"/>
      <w:szCs w:val="20"/>
    </w:rPr>
  </w:style>
  <w:style w:type="paragraph" w:styleId="966">
    <w:name w:val="index 9"/>
    <w:basedOn w:val="925"/>
    <w:next w:val="925"/>
    <w:uiPriority w:val="0"/>
    <w:qFormat/>
    <w:pPr>
      <w:ind w:left="3360"/>
    </w:pPr>
    <w:rPr>
      <w:rFonts w:ascii="Calibri" w:hAnsi="Calibri" w:eastAsia="楷体_GB2312" w:cs="Times New Roman"/>
      <w:sz w:val="26"/>
      <w:szCs w:val="20"/>
    </w:rPr>
  </w:style>
  <w:style w:type="paragraph" w:styleId="967">
    <w:name w:val="table of figures"/>
    <w:basedOn w:val="925"/>
    <w:next w:val="925"/>
    <w:uiPriority w:val="0"/>
    <w:qFormat/>
    <w:pPr>
      <w:ind w:left="420" w:hanging="420"/>
      <w:jc w:val="left"/>
    </w:pPr>
    <w:rPr>
      <w:rFonts w:ascii="Calibri" w:hAnsi="Calibri" w:eastAsia="楷体_GB2312" w:cs="Times New Roman"/>
      <w:smallCaps/>
      <w:sz w:val="24"/>
      <w:szCs w:val="20"/>
    </w:rPr>
  </w:style>
  <w:style w:type="paragraph" w:styleId="968">
    <w:name w:val="toc 9"/>
    <w:basedOn w:val="925"/>
    <w:next w:val="925"/>
    <w:uiPriority w:val="0"/>
    <w:qFormat/>
    <w:pPr>
      <w:ind w:left="3360"/>
    </w:pPr>
    <w:rPr>
      <w:rFonts w:ascii="Calibri" w:hAnsi="Calibri" w:eastAsia="楷体_GB2312" w:cs="Times New Roman"/>
      <w:sz w:val="26"/>
      <w:szCs w:val="20"/>
    </w:rPr>
  </w:style>
  <w:style w:type="paragraph" w:styleId="969">
    <w:name w:val="HTML Preformatted"/>
    <w:basedOn w:val="925"/>
    <w:link w:val="10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70">
    <w:name w:val="Normal (Web)"/>
    <w:basedOn w:val="925"/>
    <w:uiPriority w:val="99"/>
    <w:qFormat/>
    <w:pPr>
      <w:jc w:val="left"/>
      <w:spacing w:before="100" w:beforeAutospacing="1" w:after="100" w:afterAutospacing="1"/>
    </w:pPr>
    <w:rPr>
      <w:rFonts w:ascii="Calibri" w:hAnsi="Calibri" w:eastAsia="楷体_GB2312" w:cs="Times New Roman"/>
      <w:sz w:val="24"/>
    </w:rPr>
  </w:style>
  <w:style w:type="paragraph" w:styleId="971">
    <w:name w:val="index 2"/>
    <w:basedOn w:val="925"/>
    <w:next w:val="925"/>
    <w:uiPriority w:val="0"/>
    <w:qFormat/>
    <w:pPr>
      <w:ind w:left="420"/>
    </w:pPr>
    <w:rPr>
      <w:rFonts w:ascii="Calibri" w:hAnsi="Calibri" w:eastAsia="楷体_GB2312" w:cs="Times New Roman"/>
      <w:sz w:val="26"/>
      <w:szCs w:val="20"/>
    </w:rPr>
  </w:style>
  <w:style w:type="paragraph" w:styleId="972">
    <w:name w:val="Title"/>
    <w:basedOn w:val="925"/>
    <w:next w:val="925"/>
    <w:link w:val="1008"/>
    <w:uiPriority w:val="0"/>
    <w:qFormat/>
    <w:pPr>
      <w:jc w:val="center"/>
      <w:spacing w:before="240" w:after="60"/>
      <w:outlineLvl w:val="0"/>
    </w:pPr>
    <w:rPr>
      <w:rFonts w:ascii="Cambria" w:hAnsi="Cambria" w:eastAsia="宋体" w:cs="Times New Roman"/>
      <w:b/>
      <w:bCs/>
      <w:sz w:val="32"/>
      <w:szCs w:val="32"/>
    </w:rPr>
  </w:style>
  <w:style w:type="paragraph" w:styleId="973">
    <w:name w:val="annotation subject"/>
    <w:basedOn w:val="939"/>
    <w:next w:val="939"/>
    <w:link w:val="1009"/>
    <w:uiPriority w:val="99"/>
    <w:qFormat/>
    <w:rPr>
      <w:b/>
      <w:bCs/>
    </w:rPr>
  </w:style>
  <w:style w:type="paragraph" w:styleId="974">
    <w:name w:val="Body Text First Indent 2"/>
    <w:basedOn w:val="943"/>
    <w:link w:val="1010"/>
    <w:uiPriority w:val="0"/>
    <w:qFormat/>
    <w:pPr>
      <w:ind w:left="420" w:firstLine="420"/>
      <w:spacing w:after="120" w:line="240" w:lineRule="auto"/>
    </w:pPr>
    <w:rPr>
      <w:rFonts w:ascii="Calibri" w:hAnsi="Calibri" w:eastAsia="楷体_GB2312"/>
      <w:sz w:val="26"/>
    </w:rPr>
  </w:style>
  <w:style w:type="table" w:styleId="975">
    <w:name w:val="Table Grid"/>
    <w:basedOn w:val="9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name w:val="Strong"/>
    <w:basedOn w:val="932"/>
    <w:uiPriority w:val="0"/>
    <w:qFormat/>
    <w:rPr>
      <w:b/>
    </w:rPr>
  </w:style>
  <w:style w:type="character" w:styleId="977">
    <w:name w:val="endnote reference"/>
    <w:uiPriority w:val="0"/>
    <w:qFormat/>
    <w:rPr>
      <w:vertAlign w:val="superscript"/>
    </w:rPr>
  </w:style>
  <w:style w:type="character" w:styleId="978">
    <w:name w:val="page number"/>
    <w:basedOn w:val="932"/>
    <w:uiPriority w:val="0"/>
    <w:qFormat/>
  </w:style>
  <w:style w:type="character" w:styleId="979">
    <w:name w:val="FollowedHyperlink"/>
    <w:uiPriority w:val="99"/>
    <w:unhideWhenUsed/>
    <w:qFormat/>
    <w:rPr>
      <w:color w:val="800080"/>
      <w:u w:val="single"/>
    </w:rPr>
  </w:style>
  <w:style w:type="character" w:styleId="980">
    <w:name w:val="Hyperlink"/>
    <w:basedOn w:val="932"/>
    <w:uiPriority w:val="0"/>
    <w:unhideWhenUsed/>
    <w:qFormat/>
    <w:rPr>
      <w:color w:val="0000ff"/>
      <w:u w:val="single"/>
    </w:rPr>
  </w:style>
  <w:style w:type="character" w:styleId="981">
    <w:name w:val="annotation reference"/>
    <w:uiPriority w:val="99"/>
    <w:qFormat/>
    <w:rPr>
      <w:sz w:val="21"/>
      <w:szCs w:val="21"/>
    </w:rPr>
  </w:style>
  <w:style w:type="character" w:styleId="982">
    <w:name w:val="footnote reference"/>
    <w:uiPriority w:val="0"/>
    <w:qFormat/>
    <w:rPr>
      <w:vertAlign w:val="superscript"/>
    </w:rPr>
  </w:style>
  <w:style w:type="paragraph" w:styleId="983" w:customStyle="1">
    <w:name w:val="文档结构图1"/>
    <w:basedOn w:val="925"/>
    <w:uiPriority w:val="99"/>
    <w:qFormat/>
    <w:pPr>
      <w:shd w:val="clear" w:color="auto" w:fill="000080"/>
    </w:pPr>
  </w:style>
  <w:style w:type="paragraph" w:styleId="984" w:customStyle="1">
    <w:name w:val="段"/>
    <w:uiPriority w:val="0"/>
    <w:qFormat/>
    <w:pPr>
      <w:ind w:firstLine="200"/>
      <w:jc w:val="both"/>
    </w:pPr>
    <w:rPr>
      <w:rFonts w:ascii="宋体" w:hAnsi="Times New Roman" w:eastAsia="宋体" w:cs="宋体"/>
      <w:sz w:val="21"/>
      <w:szCs w:val="21"/>
      <w:lang w:val="en-US" w:eastAsia="zh-CN" w:bidi="ar-SA"/>
    </w:rPr>
  </w:style>
  <w:style w:type="paragraph" w:styleId="985" w:customStyle="1">
    <w:name w:val="首行缩进"/>
    <w:basedOn w:val="925"/>
    <w:uiPriority w:val="0"/>
    <w:qFormat/>
    <w:pPr>
      <w:ind w:firstLine="480"/>
    </w:pPr>
    <w:rPr>
      <w:rFonts w:ascii="Calibri" w:hAnsi="Calibri" w:eastAsia="宋体" w:cs="Times New Roman"/>
      <w:szCs w:val="20"/>
      <w:lang w:val="zh-CN"/>
    </w:rPr>
  </w:style>
  <w:style w:type="character" w:styleId="986" w:customStyle="1">
    <w:name w:val="标题 1 字符"/>
    <w:basedOn w:val="932"/>
    <w:link w:val="926"/>
    <w:uiPriority w:val="0"/>
    <w:qFormat/>
    <w:rPr>
      <w:rFonts w:ascii="Calibri" w:hAnsi="Calibri" w:eastAsia="楷体_GB2312" w:cs="Times New Roman"/>
      <w:b/>
      <w:sz w:val="44"/>
      <w:szCs w:val="20"/>
    </w:rPr>
  </w:style>
  <w:style w:type="character" w:styleId="987" w:customStyle="1">
    <w:name w:val="标题 2 字符"/>
    <w:basedOn w:val="932"/>
    <w:link w:val="927"/>
    <w:uiPriority w:val="0"/>
    <w:qFormat/>
    <w:rPr>
      <w:rFonts w:ascii="宋体" w:hAnsi="宋体" w:eastAsia="楷体_GB2312" w:cs="Times New Roman"/>
      <w:b/>
      <w:sz w:val="26"/>
      <w:szCs w:val="20"/>
    </w:rPr>
  </w:style>
  <w:style w:type="character" w:styleId="988" w:customStyle="1">
    <w:name w:val="标题 3 字符"/>
    <w:basedOn w:val="932"/>
    <w:link w:val="928"/>
    <w:uiPriority w:val="0"/>
    <w:qFormat/>
    <w:rPr>
      <w:rFonts w:ascii="Calibri" w:hAnsi="Calibri" w:eastAsia="楷体_GB2312" w:cs="Times New Roman"/>
      <w:b/>
      <w:sz w:val="26"/>
      <w:szCs w:val="20"/>
    </w:rPr>
  </w:style>
  <w:style w:type="character" w:styleId="989" w:customStyle="1">
    <w:name w:val="标题 4 字符"/>
    <w:basedOn w:val="932"/>
    <w:link w:val="929"/>
    <w:uiPriority w:val="0"/>
    <w:qFormat/>
    <w:rPr>
      <w:rFonts w:ascii="Arial" w:hAnsi="Arial" w:eastAsia="黑体" w:cs="Times New Roman"/>
      <w:b/>
      <w:bCs/>
      <w:sz w:val="28"/>
      <w:szCs w:val="28"/>
    </w:rPr>
  </w:style>
  <w:style w:type="character" w:styleId="990" w:customStyle="1">
    <w:name w:val="标题 5 字符"/>
    <w:basedOn w:val="932"/>
    <w:link w:val="930"/>
    <w:uiPriority w:val="0"/>
    <w:qFormat/>
    <w:rPr>
      <w:rFonts w:ascii="宋体" w:hAnsi="宋体" w:eastAsia="宋体" w:cs="Times New Roman"/>
      <w:color w:val="000000"/>
      <w:sz w:val="28"/>
      <w:szCs w:val="20"/>
    </w:rPr>
  </w:style>
  <w:style w:type="character" w:styleId="991" w:customStyle="1">
    <w:name w:val="标题 6 字符"/>
    <w:basedOn w:val="932"/>
    <w:link w:val="931"/>
    <w:uiPriority w:val="0"/>
    <w:qFormat/>
    <w:rPr>
      <w:rFonts w:ascii="宋体" w:hAnsi="宋体" w:eastAsia="宋体" w:cs="Times New Roman"/>
      <w:sz w:val="28"/>
      <w:szCs w:val="20"/>
    </w:rPr>
  </w:style>
  <w:style w:type="character" w:styleId="992" w:customStyle="1">
    <w:name w:val="正文缩进 字符"/>
    <w:link w:val="936"/>
    <w:uiPriority w:val="0"/>
    <w:qFormat/>
    <w:rPr>
      <w:rFonts w:ascii="Calibri" w:hAnsi="Calibri" w:eastAsia="楷体_GB2312" w:cs="Times New Roman"/>
      <w:sz w:val="24"/>
      <w:szCs w:val="20"/>
    </w:rPr>
  </w:style>
  <w:style w:type="character" w:styleId="993" w:customStyle="1">
    <w:name w:val="文档结构图 字符"/>
    <w:basedOn w:val="932"/>
    <w:link w:val="938"/>
    <w:uiPriority w:val="0"/>
    <w:qFormat/>
    <w:rPr>
      <w:rFonts w:ascii="Calibri" w:hAnsi="Calibri" w:eastAsia="楷体_GB2312" w:cs="Times New Roman"/>
      <w:sz w:val="26"/>
      <w:szCs w:val="20"/>
      <w:shd w:val="clear" w:color="auto" w:fill="000080"/>
    </w:rPr>
  </w:style>
  <w:style w:type="character" w:styleId="994" w:customStyle="1">
    <w:name w:val="批注文字 字符"/>
    <w:basedOn w:val="932"/>
    <w:link w:val="939"/>
    <w:uiPriority w:val="0"/>
    <w:qFormat/>
    <w:rPr>
      <w:rFonts w:ascii="Calibri" w:hAnsi="Calibri" w:eastAsia="楷体_GB2312" w:cs="Times New Roman"/>
      <w:sz w:val="26"/>
      <w:szCs w:val="20"/>
    </w:rPr>
  </w:style>
  <w:style w:type="character" w:styleId="995" w:customStyle="1">
    <w:name w:val="正文文本 字符"/>
    <w:basedOn w:val="932"/>
    <w:link w:val="941"/>
    <w:uiPriority w:val="0"/>
    <w:qFormat/>
    <w:rPr>
      <w:rFonts w:ascii="楷体_GB2312" w:hAnsi="Calibri" w:eastAsia="楷体_GB2312" w:cs="Times New Roman"/>
      <w:sz w:val="28"/>
      <w:szCs w:val="20"/>
    </w:rPr>
  </w:style>
  <w:style w:type="character" w:styleId="996" w:customStyle="1">
    <w:name w:val="正文文本缩进 字符"/>
    <w:basedOn w:val="932"/>
    <w:link w:val="943"/>
    <w:uiPriority w:val="99"/>
    <w:qFormat/>
    <w:rPr>
      <w:rFonts w:ascii="方正仿宋简体" w:hAnsi="创艺简仿宋" w:eastAsia="方正仿宋简体" w:cs="Times New Roman"/>
      <w:sz w:val="24"/>
      <w:szCs w:val="20"/>
    </w:rPr>
  </w:style>
  <w:style w:type="character" w:styleId="997" w:customStyle="1">
    <w:name w:val="纯文本 字符"/>
    <w:basedOn w:val="932"/>
    <w:link w:val="948"/>
    <w:uiPriority w:val="0"/>
    <w:qFormat/>
    <w:rPr>
      <w:rFonts w:ascii="宋体" w:hAnsi="Courier New" w:eastAsia="楷体_GB2312" w:cs="Times New Roman"/>
      <w:sz w:val="26"/>
      <w:szCs w:val="20"/>
    </w:rPr>
  </w:style>
  <w:style w:type="character" w:styleId="998" w:customStyle="1">
    <w:name w:val="日期 字符"/>
    <w:basedOn w:val="932"/>
    <w:link w:val="951"/>
    <w:uiPriority w:val="0"/>
    <w:qFormat/>
    <w:rPr>
      <w:rFonts w:ascii="宋体" w:hAnsi="宋体" w:eastAsia="楷体_GB2312" w:cs="Times New Roman"/>
      <w:sz w:val="24"/>
      <w:szCs w:val="20"/>
    </w:rPr>
  </w:style>
  <w:style w:type="character" w:styleId="999" w:customStyle="1">
    <w:name w:val="正文文本缩进 2 字符"/>
    <w:basedOn w:val="932"/>
    <w:link w:val="952"/>
    <w:uiPriority w:val="0"/>
    <w:qFormat/>
    <w:rPr>
      <w:rFonts w:ascii="宋体" w:hAnsi="Calibri" w:eastAsia="宋体" w:cs="Times New Roman"/>
      <w:b/>
      <w:bCs/>
      <w:sz w:val="24"/>
      <w:szCs w:val="20"/>
    </w:rPr>
  </w:style>
  <w:style w:type="character" w:styleId="1000" w:customStyle="1">
    <w:name w:val="尾注文本 字符"/>
    <w:basedOn w:val="932"/>
    <w:link w:val="953"/>
    <w:uiPriority w:val="0"/>
    <w:qFormat/>
    <w:rPr>
      <w:rFonts w:ascii="Calibri" w:hAnsi="Calibri" w:eastAsia="楷体_GB2312" w:cs="Times New Roman"/>
      <w:sz w:val="26"/>
      <w:szCs w:val="20"/>
    </w:rPr>
  </w:style>
  <w:style w:type="character" w:styleId="1001" w:customStyle="1">
    <w:name w:val="批注框文本 字符"/>
    <w:basedOn w:val="932"/>
    <w:link w:val="954"/>
    <w:uiPriority w:val="99"/>
    <w:qFormat/>
    <w:rPr>
      <w:rFonts w:ascii="Calibri" w:hAnsi="Calibri" w:eastAsia="楷体_GB2312" w:cs="Times New Roman"/>
      <w:sz w:val="18"/>
      <w:szCs w:val="18"/>
    </w:rPr>
  </w:style>
  <w:style w:type="character" w:styleId="1002" w:customStyle="1">
    <w:name w:val="页脚 字符"/>
    <w:basedOn w:val="932"/>
    <w:link w:val="955"/>
    <w:uiPriority w:val="99"/>
    <w:qFormat/>
    <w:rPr>
      <w:rFonts w:ascii="Calibri" w:hAnsi="Calibri" w:eastAsia="楷体_GB2312" w:cs="Times New Roman"/>
      <w:sz w:val="18"/>
      <w:szCs w:val="20"/>
    </w:rPr>
  </w:style>
  <w:style w:type="character" w:styleId="1003" w:customStyle="1">
    <w:name w:val="页眉 字符"/>
    <w:basedOn w:val="932"/>
    <w:link w:val="956"/>
    <w:uiPriority w:val="99"/>
    <w:qFormat/>
    <w:rPr>
      <w:rFonts w:ascii="Calibri" w:hAnsi="Calibri" w:eastAsia="楷体_GB2312" w:cs="Times New Roman"/>
      <w:sz w:val="18"/>
      <w:szCs w:val="20"/>
    </w:rPr>
  </w:style>
  <w:style w:type="character" w:styleId="1004" w:customStyle="1">
    <w:name w:val="副标题 字符"/>
    <w:basedOn w:val="932"/>
    <w:link w:val="961"/>
    <w:uiPriority w:val="0"/>
    <w:qFormat/>
    <w:rPr>
      <w:rFonts w:ascii="Cambria" w:hAnsi="Cambria" w:eastAsia="宋体" w:cs="Times New Roman"/>
      <w:b/>
      <w:bCs/>
      <w:sz w:val="24"/>
      <w:szCs w:val="32"/>
    </w:rPr>
  </w:style>
  <w:style w:type="character" w:styleId="1005" w:customStyle="1">
    <w:name w:val="脚注文本 字符"/>
    <w:basedOn w:val="932"/>
    <w:link w:val="962"/>
    <w:uiPriority w:val="0"/>
    <w:qFormat/>
    <w:rPr>
      <w:rFonts w:ascii="Calibri" w:hAnsi="Calibri" w:eastAsia="楷体_GB2312" w:cs="Times New Roman"/>
      <w:sz w:val="18"/>
      <w:szCs w:val="20"/>
    </w:rPr>
  </w:style>
  <w:style w:type="character" w:styleId="1006" w:customStyle="1">
    <w:name w:val="正文文本缩进 3 字符"/>
    <w:basedOn w:val="932"/>
    <w:link w:val="964"/>
    <w:uiPriority w:val="0"/>
    <w:qFormat/>
    <w:rPr>
      <w:rFonts w:ascii="Calibri" w:hAnsi="Calibri" w:eastAsia="宋体" w:cs="Times New Roman"/>
      <w:sz w:val="24"/>
      <w:szCs w:val="24"/>
    </w:rPr>
  </w:style>
  <w:style w:type="character" w:styleId="1007" w:customStyle="1">
    <w:name w:val="HTML 预设格式 字符"/>
    <w:basedOn w:val="932"/>
    <w:link w:val="969"/>
    <w:uiPriority w:val="0"/>
    <w:qFormat/>
    <w:rPr>
      <w:rFonts w:ascii="黑体" w:hAnsi="Courier New" w:eastAsia="黑体" w:cs="Times New Roman"/>
      <w:sz w:val="20"/>
      <w:szCs w:val="20"/>
    </w:rPr>
  </w:style>
  <w:style w:type="character" w:styleId="1008" w:customStyle="1">
    <w:name w:val="标题 字符"/>
    <w:basedOn w:val="932"/>
    <w:link w:val="972"/>
    <w:uiPriority w:val="0"/>
    <w:qFormat/>
    <w:rPr>
      <w:rFonts w:ascii="Cambria" w:hAnsi="Cambria" w:eastAsia="宋体" w:cs="Times New Roman"/>
      <w:b/>
      <w:bCs/>
      <w:sz w:val="32"/>
      <w:szCs w:val="32"/>
    </w:rPr>
  </w:style>
  <w:style w:type="character" w:styleId="1009" w:customStyle="1">
    <w:name w:val="批注主题 字符"/>
    <w:basedOn w:val="994"/>
    <w:link w:val="973"/>
    <w:uiPriority w:val="99"/>
    <w:qFormat/>
    <w:rPr>
      <w:rFonts w:ascii="Calibri" w:hAnsi="Calibri" w:eastAsia="楷体_GB2312" w:cs="Times New Roman"/>
      <w:b/>
      <w:bCs/>
      <w:sz w:val="26"/>
      <w:szCs w:val="20"/>
    </w:rPr>
  </w:style>
  <w:style w:type="character" w:styleId="1010" w:customStyle="1">
    <w:name w:val="正文首行缩进 2 字符"/>
    <w:basedOn w:val="996"/>
    <w:link w:val="974"/>
    <w:uiPriority w:val="0"/>
    <w:qFormat/>
    <w:rPr>
      <w:rFonts w:ascii="Calibri" w:hAnsi="Calibri" w:eastAsia="楷体_GB2312" w:cs="Times New Roman"/>
      <w:sz w:val="26"/>
      <w:szCs w:val="20"/>
    </w:rPr>
  </w:style>
  <w:style w:type="character" w:styleId="1011" w:customStyle="1">
    <w:name w:val="Plain Text Char Char"/>
    <w:link w:val="1012"/>
    <w:uiPriority w:val="0"/>
    <w:qFormat/>
    <w:rPr>
      <w:rFonts w:ascii="宋体" w:hAnsi="Courier New" w:eastAsia="楷体_GB2312"/>
      <w:sz w:val="26"/>
    </w:rPr>
  </w:style>
  <w:style w:type="paragraph" w:styleId="1012" w:customStyle="1">
    <w:name w:val="纯文本3"/>
    <w:basedOn w:val="925"/>
    <w:link w:val="1011"/>
    <w:uiPriority w:val="0"/>
    <w:qFormat/>
    <w:rPr>
      <w:rFonts w:ascii="宋体" w:hAnsi="Courier New" w:eastAsia="楷体_GB2312"/>
      <w:sz w:val="26"/>
    </w:rPr>
  </w:style>
  <w:style w:type="character" w:styleId="1013" w:customStyle="1">
    <w:name w:val="styl81"/>
    <w:uiPriority w:val="0"/>
    <w:qFormat/>
    <w:rPr>
      <w:sz w:val="21"/>
    </w:rPr>
  </w:style>
  <w:style w:type="character" w:styleId="1014" w:customStyle="1">
    <w:name w:val="Plain Text Char"/>
    <w:link w:val="1015"/>
    <w:uiPriority w:val="0"/>
    <w:qFormat/>
    <w:rPr>
      <w:rFonts w:ascii="宋体" w:hAnsi="Courier New" w:eastAsia="楷体_GB2312"/>
      <w:sz w:val="26"/>
    </w:rPr>
  </w:style>
  <w:style w:type="paragraph" w:styleId="1015" w:customStyle="1">
    <w:name w:val="纯文本1"/>
    <w:basedOn w:val="925"/>
    <w:link w:val="1014"/>
    <w:uiPriority w:val="0"/>
    <w:qFormat/>
    <w:rPr>
      <w:rFonts w:ascii="宋体" w:hAnsi="Courier New" w:eastAsia="楷体_GB2312"/>
      <w:sz w:val="26"/>
    </w:rPr>
  </w:style>
  <w:style w:type="character" w:styleId="1016" w:customStyle="1">
    <w:name w:val="表正文 Char1"/>
    <w:uiPriority w:val="0"/>
    <w:qFormat/>
    <w:rPr>
      <w:rFonts w:eastAsia="楷体_GB2312"/>
      <w:sz w:val="24"/>
      <w:lang w:val="en-US" w:eastAsia="zh-CN" w:bidi="ar-SA"/>
    </w:rPr>
  </w:style>
  <w:style w:type="character" w:styleId="1017" w:customStyle="1">
    <w:name w:val="_正文段落 Char"/>
    <w:link w:val="1018"/>
    <w:uiPriority w:val="0"/>
    <w:qFormat/>
    <w:rPr>
      <w:rFonts w:ascii="宋体" w:hAnsi="宋体"/>
      <w:sz w:val="24"/>
      <w:szCs w:val="24"/>
    </w:rPr>
  </w:style>
  <w:style w:type="paragraph" w:styleId="1018" w:customStyle="1">
    <w:name w:val="_正文段落"/>
    <w:basedOn w:val="925"/>
    <w:link w:val="1017"/>
    <w:uiPriority w:val="0"/>
    <w:qFormat/>
    <w:pPr>
      <w:ind w:firstLine="480"/>
      <w:spacing w:line="360" w:lineRule="auto"/>
    </w:pPr>
    <w:rPr>
      <w:rFonts w:ascii="宋体" w:hAnsi="宋体"/>
      <w:sz w:val="24"/>
      <w:szCs w:val="24"/>
    </w:rPr>
  </w:style>
  <w:style w:type="character" w:styleId="1019" w:customStyle="1">
    <w:name w:val="Andy_正文 Char"/>
    <w:link w:val="1020"/>
    <w:uiPriority w:val="0"/>
    <w:qFormat/>
    <w:rPr>
      <w:sz w:val="24"/>
      <w:szCs w:val="24"/>
    </w:rPr>
  </w:style>
  <w:style w:type="paragraph" w:styleId="1020" w:customStyle="1">
    <w:name w:val="Andy_正文"/>
    <w:basedOn w:val="925"/>
    <w:link w:val="1019"/>
    <w:uiPriority w:val="0"/>
    <w:qFormat/>
    <w:pPr>
      <w:ind w:firstLine="480"/>
      <w:spacing w:line="360" w:lineRule="auto"/>
    </w:pPr>
    <w:rPr>
      <w:sz w:val="24"/>
      <w:szCs w:val="24"/>
    </w:rPr>
  </w:style>
  <w:style w:type="character" w:styleId="1021" w:customStyle="1">
    <w:name w:val="正文缩进 Char1"/>
    <w:uiPriority w:val="0"/>
    <w:qFormat/>
    <w:rPr>
      <w:rFonts w:eastAsia="楷体_GB2312"/>
      <w:sz w:val="24"/>
    </w:rPr>
  </w:style>
  <w:style w:type="character" w:styleId="1022" w:customStyle="1">
    <w:name w:val="副标题 Char1"/>
    <w:uiPriority w:val="11"/>
    <w:qFormat/>
    <w:rPr>
      <w:rFonts w:ascii="Cambria" w:hAnsi="Cambria" w:cs="Times New Roman"/>
      <w:b/>
      <w:bCs/>
      <w:sz w:val="32"/>
      <w:szCs w:val="32"/>
    </w:rPr>
  </w:style>
  <w:style w:type="character" w:styleId="1023" w:customStyle="1">
    <w:name w:val="Andy_2级 Char"/>
    <w:link w:val="1024"/>
    <w:uiPriority w:val="0"/>
    <w:qFormat/>
    <w:rPr>
      <w:sz w:val="24"/>
    </w:rPr>
  </w:style>
  <w:style w:type="paragraph" w:styleId="1024" w:customStyle="1">
    <w:name w:val="Andy_2级"/>
    <w:basedOn w:val="925"/>
    <w:link w:val="1023"/>
    <w:uiPriority w:val="0"/>
    <w:qFormat/>
    <w:pPr>
      <w:numPr>
        <w:ilvl w:val="1"/>
        <w:numId w:val="1"/>
      </w:numPr>
      <w:spacing w:line="360" w:lineRule="auto"/>
    </w:pPr>
    <w:rPr>
      <w:sz w:val="24"/>
    </w:rPr>
  </w:style>
  <w:style w:type="character" w:styleId="1025" w:customStyle="1">
    <w:name w:val="副标题 Char2"/>
    <w:uiPriority w:val="0"/>
    <w:qFormat/>
    <w:rPr>
      <w:rFonts w:ascii="Cambria" w:hAnsi="Cambria" w:cs="Times New Roman"/>
      <w:b/>
      <w:bCs/>
      <w:sz w:val="32"/>
      <w:szCs w:val="32"/>
    </w:rPr>
  </w:style>
  <w:style w:type="character" w:styleId="1026" w:customStyle="1">
    <w:name w:val="正文首行缩进 2 Char1"/>
    <w:uiPriority w:val="0"/>
    <w:qFormat/>
    <w:rPr>
      <w:rFonts w:ascii="方正仿宋简体" w:hAnsi="创艺简仿宋" w:eastAsia="楷体_GB2312"/>
      <w:sz w:val="26"/>
    </w:rPr>
  </w:style>
  <w:style w:type="character" w:styleId="1027" w:customStyle="1">
    <w:name w:val="ca-221"/>
    <w:uiPriority w:val="0"/>
    <w:qFormat/>
    <w:rPr>
      <w:rFonts w:hint="eastAsia" w:ascii="宋体" w:hAnsi="宋体" w:eastAsia="宋体"/>
      <w:color w:val="ff0000"/>
      <w:sz w:val="24"/>
      <w:szCs w:val="24"/>
    </w:rPr>
  </w:style>
  <w:style w:type="paragraph" w:styleId="1028" w:customStyle="1">
    <w:name w:val="纯文本11"/>
    <w:basedOn w:val="925"/>
    <w:uiPriority w:val="0"/>
    <w:qFormat/>
    <w:rPr>
      <w:rFonts w:ascii="宋体" w:hAnsi="Courier New" w:eastAsia="楷体_GB2312" w:cs="Times New Roman"/>
      <w:sz w:val="26"/>
      <w:szCs w:val="20"/>
    </w:rPr>
  </w:style>
  <w:style w:type="paragraph" w:styleId="1029" w:customStyle="1">
    <w:name w:val="xl70"/>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30" w:customStyle="1">
    <w:name w:val="xl69"/>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31" w:customStyle="1">
    <w:name w:val="xl79"/>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2" w:customStyle="1">
    <w:name w:val="xl86"/>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33" w:customStyle="1">
    <w:name w:val="纯文本2"/>
    <w:basedOn w:val="925"/>
    <w:uiPriority w:val="0"/>
    <w:qFormat/>
    <w:rPr>
      <w:rFonts w:ascii="宋体" w:hAnsi="Courier New" w:eastAsia="楷体_GB2312" w:cs="Times New Roman"/>
      <w:sz w:val="26"/>
      <w:szCs w:val="20"/>
    </w:rPr>
  </w:style>
  <w:style w:type="paragraph" w:styleId="1034" w:customStyle="1">
    <w:name w:val="列出段落2"/>
    <w:basedOn w:val="925"/>
    <w:uiPriority w:val="0"/>
    <w:qFormat/>
    <w:pPr>
      <w:ind w:firstLine="420"/>
    </w:pPr>
    <w:rPr>
      <w:rFonts w:ascii="Calibri" w:hAnsi="Calibri" w:eastAsia="宋体" w:cs="Times New Roman"/>
    </w:rPr>
  </w:style>
  <w:style w:type="paragraph" w:styleId="1035" w:customStyle="1">
    <w:name w:val="xl78"/>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6" w:customStyle="1">
    <w:name w:val="xl96"/>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37" w:customStyle="1">
    <w:name w:val="Char Char Char Char"/>
    <w:basedOn w:val="938"/>
    <w:uiPriority w:val="0"/>
    <w:qFormat/>
    <w:pPr>
      <w:ind w:left="357"/>
      <w:jc w:val="left"/>
      <w:spacing w:line="436" w:lineRule="exact"/>
      <w:outlineLvl w:val="3"/>
    </w:pPr>
    <w:rPr>
      <w:rFonts w:ascii="Tahoma" w:hAnsi="Tahoma" w:eastAsia="宋体"/>
      <w:b/>
      <w:sz w:val="24"/>
      <w:szCs w:val="24"/>
    </w:rPr>
  </w:style>
  <w:style w:type="paragraph" w:styleId="1038" w:customStyle="1">
    <w:name w:val="列出段落1"/>
    <w:basedOn w:val="925"/>
    <w:uiPriority w:val="0"/>
    <w:qFormat/>
    <w:pPr>
      <w:ind w:firstLine="420"/>
    </w:pPr>
    <w:rPr>
      <w:rFonts w:ascii="Calibri" w:hAnsi="Calibri" w:eastAsia="楷体_GB2312" w:cs="Times New Roman"/>
      <w:sz w:val="26"/>
      <w:szCs w:val="20"/>
    </w:rPr>
  </w:style>
  <w:style w:type="paragraph" w:styleId="1039" w:customStyle="1">
    <w:name w:val="xl74"/>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0" w:customStyle="1">
    <w:name w:val="纯文本4"/>
    <w:basedOn w:val="925"/>
    <w:uiPriority w:val="0"/>
    <w:qFormat/>
    <w:rPr>
      <w:rFonts w:ascii="宋体" w:hAnsi="Courier New" w:eastAsia="楷体_GB2312" w:cs="Times New Roman"/>
      <w:sz w:val="26"/>
      <w:szCs w:val="20"/>
    </w:rPr>
  </w:style>
  <w:style w:type="paragraph" w:styleId="1041" w:customStyle="1">
    <w:name w:val="xl92"/>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2" w:customStyle="1">
    <w:name w:val="xl66"/>
    <w:basedOn w:val="9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43" w:customStyle="1">
    <w:name w:val="xl94"/>
    <w:basedOn w:val="925"/>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44" w:customStyle="1">
    <w:name w:val="Char Char3"/>
    <w:basedOn w:val="925"/>
    <w:uiPriority w:val="0"/>
    <w:qFormat/>
    <w:pPr>
      <w:jc w:val="left"/>
      <w:spacing w:after="160" w:line="240" w:lineRule="exact"/>
      <w:widowControl/>
    </w:pPr>
    <w:rPr>
      <w:rFonts w:ascii="Calibri" w:hAnsi="Calibri" w:eastAsia="宋体" w:cs="Times New Roman"/>
      <w:sz w:val="24"/>
      <w:szCs w:val="24"/>
    </w:rPr>
  </w:style>
  <w:style w:type="paragraph" w:styleId="1045" w:customStyle="1">
    <w:name w:val="xl95"/>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46" w:customStyle="1">
    <w:name w:val="xl85"/>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47" w:customStyle="1">
    <w:name w:val="q3"/>
    <w:basedOn w:val="925"/>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48" w:customStyle="1">
    <w:name w:val="xl91"/>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49" w:customStyle="1">
    <w:name w:val="Char Char Char"/>
    <w:basedOn w:val="925"/>
    <w:uiPriority w:val="0"/>
    <w:qFormat/>
    <w:pPr>
      <w:numPr>
        <w:ilvl w:val="0"/>
        <w:numId w:val="2"/>
      </w:numPr>
    </w:pPr>
    <w:rPr>
      <w:rFonts w:ascii="Calibri" w:hAnsi="Calibri" w:eastAsia="宋体" w:cs="Times New Roman"/>
      <w:sz w:val="24"/>
      <w:szCs w:val="24"/>
    </w:rPr>
  </w:style>
  <w:style w:type="paragraph" w:styleId="1050" w:customStyle="1">
    <w:name w:val="xl80"/>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1" w:customStyle="1">
    <w:name w:val="修订1"/>
    <w:uiPriority w:val="99"/>
    <w:unhideWhenUsed/>
    <w:qFormat/>
    <w:rPr>
      <w:rFonts w:ascii="Calibri" w:hAnsi="Calibri" w:eastAsia="楷体_GB2312" w:cs="Times New Roman"/>
      <w:sz w:val="26"/>
      <w:lang w:val="en-US" w:eastAsia="zh-CN" w:bidi="ar-SA"/>
    </w:rPr>
  </w:style>
  <w:style w:type="paragraph" w:styleId="1052" w:customStyle="1">
    <w:name w:val="xl72"/>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3"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54" w:customStyle="1">
    <w:name w:val="纯文本111"/>
    <w:basedOn w:val="925"/>
    <w:uiPriority w:val="0"/>
    <w:qFormat/>
    <w:rPr>
      <w:rFonts w:ascii="宋体" w:hAnsi="Courier New" w:eastAsia="楷体_GB2312" w:cs="Times New Roman"/>
      <w:sz w:val="26"/>
      <w:szCs w:val="20"/>
    </w:rPr>
  </w:style>
  <w:style w:type="paragraph" w:styleId="1055" w:customStyle="1">
    <w:name w:val="xl93"/>
    <w:basedOn w:val="9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56"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57" w:customStyle="1">
    <w:name w:val="xl71"/>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58" w:customStyle="1">
    <w:name w:val="xl87"/>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59" w:customStyle="1">
    <w:name w:val="Char"/>
    <w:basedOn w:val="925"/>
    <w:uiPriority w:val="0"/>
    <w:qFormat/>
    <w:pPr>
      <w:jc w:val="left"/>
      <w:spacing w:after="160" w:line="240" w:lineRule="exact"/>
      <w:widowControl/>
    </w:pPr>
    <w:rPr>
      <w:rFonts w:ascii="Verdana" w:hAnsi="Verdana" w:eastAsia="仿宋_GB2312" w:cs="Times New Roman"/>
      <w:sz w:val="24"/>
      <w:szCs w:val="20"/>
      <w:lang w:eastAsia="en-US"/>
    </w:rPr>
  </w:style>
  <w:style w:type="paragraph" w:styleId="1060" w:customStyle="1">
    <w:name w:val="xl67"/>
    <w:basedOn w:val="925"/>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61" w:customStyle="1">
    <w:name w:val="xl81"/>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62" w:customStyle="1">
    <w:name w:val="xl73"/>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3" w:customStyle="1">
    <w:name w:val="xl68"/>
    <w:basedOn w:val="9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64" w:customStyle="1">
    <w:name w:val="正文1"/>
    <w:basedOn w:val="925"/>
    <w:next w:val="925"/>
    <w:uiPriority w:val="0"/>
    <w:qFormat/>
    <w:pPr>
      <w:ind w:left="420" w:firstLine="527"/>
      <w:spacing w:before="120" w:line="360" w:lineRule="auto"/>
    </w:pPr>
    <w:rPr>
      <w:rFonts w:ascii="宋体" w:hAnsi="宋体" w:eastAsia="宋体" w:cs="Times New Roman"/>
      <w:sz w:val="24"/>
      <w:szCs w:val="24"/>
    </w:rPr>
  </w:style>
  <w:style w:type="paragraph" w:styleId="1065" w:customStyle="1">
    <w:name w:val="xl90"/>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6" w:customStyle="1">
    <w:name w:val="xl83"/>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67" w:customStyle="1">
    <w:name w:val="xl76"/>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68" w:customStyle="1">
    <w:name w:val="xl82"/>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69">
    <w:name w:val="List Paragraph"/>
    <w:basedOn w:val="925"/>
    <w:uiPriority w:val="34"/>
    <w:qFormat/>
    <w:pPr>
      <w:ind w:firstLine="420"/>
    </w:pPr>
    <w:rPr>
      <w:rFonts w:ascii="Calibri" w:hAnsi="Calibri" w:eastAsia="楷体_GB2312" w:cs="Times New Roman"/>
      <w:sz w:val="26"/>
      <w:szCs w:val="20"/>
    </w:rPr>
  </w:style>
  <w:style w:type="paragraph" w:styleId="1070" w:customStyle="1">
    <w:name w:val="纯文本5"/>
    <w:basedOn w:val="925"/>
    <w:uiPriority w:val="0"/>
    <w:qFormat/>
    <w:rPr>
      <w:rFonts w:ascii="宋体" w:hAnsi="Courier New" w:eastAsia="楷体_GB2312" w:cs="Times New Roman"/>
      <w:sz w:val="26"/>
      <w:szCs w:val="20"/>
    </w:rPr>
  </w:style>
  <w:style w:type="paragraph" w:styleId="1071" w:customStyle="1">
    <w:name w:val="xl84"/>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2" w:customStyle="1">
    <w:name w:val="xl88"/>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73" w:customStyle="1">
    <w:name w:val="xl75"/>
    <w:basedOn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74" w:customStyle="1">
    <w:name w:val="xl97"/>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5" w:customStyle="1">
    <w:name w:val="xl77"/>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6" w:customStyle="1">
    <w:name w:val="xl89"/>
    <w:basedOn w:val="9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77" w:customStyle="1">
    <w:name w:val="Table Grid"/>
    <w:uiPriority w:val="0"/>
    <w:qFormat/>
    <w:rPr>
      <w:rFonts w:ascii="Calibri" w:hAnsi="Calibri"/>
    </w:rPr>
    <w:tblPr>
      <w:tblCellMar>
        <w:left w:w="0" w:type="dxa"/>
        <w:top w:w="0" w:type="dxa"/>
        <w:right w:w="0" w:type="dxa"/>
        <w:bottom w:w="0" w:type="dxa"/>
      </w:tblCellMar>
    </w:tblPr>
  </w:style>
  <w:style w:type="paragraph" w:styleId="1078" w:customStyle="1">
    <w:name w:val="Plain Text1"/>
    <w:basedOn w:val="925"/>
    <w:uiPriority w:val="0"/>
    <w:qFormat/>
    <w:rPr>
      <w:rFonts w:ascii="宋体" w:hAnsi="Courier New" w:eastAsia="楷体_GB2312" w:cs="Times New Roman"/>
      <w:sz w:val="26"/>
      <w:szCs w:val="20"/>
    </w:rPr>
  </w:style>
  <w:style w:type="table" w:styleId="1079" w:customStyle="1">
    <w:name w:val="网格型1"/>
    <w:basedOn w:val="9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0"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81"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82"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83"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84"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85"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86" w:customStyle="1">
    <w:name w:val="font81"/>
    <w:basedOn w:val="932"/>
    <w:uiPriority w:val="0"/>
    <w:qFormat/>
    <w:rPr>
      <w:rFonts w:hint="eastAsia" w:ascii="宋体" w:hAnsi="宋体" w:eastAsia="宋体" w:cs="宋体"/>
      <w:color w:val="000000"/>
      <w:sz w:val="18"/>
      <w:szCs w:val="18"/>
      <w:u w:val="none"/>
    </w:rPr>
  </w:style>
  <w:style w:type="character" w:styleId="1087" w:customStyle="1">
    <w:name w:val="font91"/>
    <w:basedOn w:val="932"/>
    <w:uiPriority w:val="0"/>
    <w:qFormat/>
    <w:rPr>
      <w:rFonts w:hint="eastAsia" w:ascii="宋体" w:hAnsi="宋体" w:eastAsia="宋体" w:cs="宋体"/>
      <w:b/>
      <w:bCs/>
      <w:color w:val="ff0000"/>
      <w:sz w:val="18"/>
      <w:szCs w:val="18"/>
      <w:u w:val="none"/>
    </w:rPr>
  </w:style>
  <w:style w:type="character" w:styleId="1088" w:customStyle="1">
    <w:name w:val="font21"/>
    <w:basedOn w:val="932"/>
    <w:uiPriority w:val="0"/>
    <w:qFormat/>
    <w:rPr>
      <w:rFonts w:hint="eastAsia" w:ascii="宋体" w:hAnsi="宋体" w:eastAsia="宋体" w:cs="宋体"/>
      <w:b/>
      <w:bCs/>
      <w:color w:val="000000"/>
      <w:sz w:val="22"/>
      <w:szCs w:val="22"/>
      <w:u w:val="none"/>
    </w:rPr>
  </w:style>
  <w:style w:type="character" w:styleId="1089" w:customStyle="1">
    <w:name w:val="font51"/>
    <w:basedOn w:val="932"/>
    <w:uiPriority w:val="0"/>
    <w:qFormat/>
    <w:rPr>
      <w:rFonts w:hint="eastAsia" w:ascii="宋体" w:hAnsi="宋体" w:eastAsia="宋体" w:cs="宋体"/>
      <w:b/>
      <w:bCs/>
      <w:color w:val="ff0000"/>
      <w:sz w:val="22"/>
      <w:szCs w:val="22"/>
      <w:u w:val="none"/>
    </w:rPr>
  </w:style>
  <w:style w:type="character" w:styleId="1090" w:customStyle="1">
    <w:name w:val="font31"/>
    <w:basedOn w:val="932"/>
    <w:uiPriority w:val="0"/>
    <w:qFormat/>
    <w:rPr>
      <w:rFonts w:hint="eastAsia" w:ascii="宋体" w:hAnsi="宋体" w:eastAsia="宋体" w:cs="宋体"/>
      <w:color w:val="000000"/>
      <w:sz w:val="22"/>
      <w:szCs w:val="22"/>
      <w:u w:val="none"/>
    </w:rPr>
  </w:style>
  <w:style w:type="character" w:styleId="1091" w:customStyle="1">
    <w:name w:val="font61"/>
    <w:basedOn w:val="932"/>
    <w:uiPriority w:val="0"/>
    <w:qFormat/>
    <w:rPr>
      <w:rFonts w:hint="eastAsia" w:ascii="宋体" w:hAnsi="宋体" w:eastAsia="宋体" w:cs="宋体"/>
      <w:color w:val="ff0000"/>
      <w:sz w:val="22"/>
      <w:szCs w:val="22"/>
      <w:u w:val="none"/>
    </w:rPr>
  </w:style>
  <w:style w:type="table" w:styleId="1092" w:customStyle="1">
    <w:name w:val="Table Normal"/>
    <w:uiPriority w:val="0"/>
    <w:unhideWhenUsed/>
    <w:qFormat/>
    <w:tblPr>
      <w:tblCellMar>
        <w:left w:w="0" w:type="dxa"/>
        <w:top w:w="0" w:type="dxa"/>
        <w:right w:w="0" w:type="dxa"/>
        <w:bottom w:w="0" w:type="dxa"/>
      </w:tblCellMar>
    </w:tblPr>
  </w:style>
  <w:style w:type="paragraph" w:styleId="109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character" w:styleId="1094" w:customStyle="1">
    <w:name w:val="font11"/>
    <w:basedOn w:val="932"/>
    <w:uiPriority w:val="0"/>
    <w:qFormat/>
    <w:rPr>
      <w:rFonts w:hint="eastAsia" w:ascii="宋体" w:hAnsi="宋体" w:eastAsia="宋体" w:cs="宋体"/>
      <w:color w:val="000000"/>
      <w:sz w:val="22"/>
      <w:szCs w:val="22"/>
      <w:u w:val="none"/>
    </w:rPr>
  </w:style>
  <w:style w:type="character" w:styleId="1095" w:customStyle="1">
    <w:name w:val="font41"/>
    <w:basedOn w:val="932"/>
    <w:uiPriority w:val="0"/>
    <w:qFormat/>
    <w:rPr>
      <w:rFonts w:hint="eastAsia" w:ascii="宋体" w:hAnsi="宋体" w:eastAsia="宋体" w:cs="宋体"/>
      <w:color w:val="000000"/>
      <w:sz w:val="22"/>
      <w:szCs w:val="22"/>
      <w:u w:val="none"/>
    </w:rPr>
  </w:style>
  <w:style w:type="character" w:styleId="1096" w:customStyle="1">
    <w:name w:val="font71"/>
    <w:basedOn w:val="932"/>
    <w:uiPriority w:val="0"/>
    <w:qFormat/>
    <w:rPr>
      <w:rFonts w:hint="eastAsia" w:ascii="宋体" w:hAnsi="宋体" w:eastAsia="宋体" w:cs="宋体"/>
      <w:color w:val="000000"/>
      <w:sz w:val="22"/>
      <w:szCs w:val="22"/>
      <w:u w:val="none"/>
      <w:vertAlign w:val="superscript"/>
    </w:rPr>
  </w:style>
  <w:style w:type="character" w:styleId="1097" w:customStyle="1">
    <w:name w:val="16"/>
    <w:basedOn w:val="932"/>
    <w:uiPriority w:val="0"/>
    <w:qFormat/>
    <w:rPr>
      <w:rFonts w:hint="default" w:ascii="Times New Roman" w:hAnsi="Times New Roman" w:cs="Times New Roman"/>
      <w:i/>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32B603-D4DA-4432-BC9F-60FE69F159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苏州华星田娟</cp:lastModifiedBy>
  <cp:revision>110</cp:revision>
  <dcterms:created xsi:type="dcterms:W3CDTF">2022-06-13T08:19:00Z</dcterms:created>
  <dcterms:modified xsi:type="dcterms:W3CDTF">2026-07-03T02:56:31Z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591A3671D520412992D3A55C7504B243_13</vt:lpwstr>
  </property>
  <property fmtid="{D5CDD505-2E9C-101B-9397-08002B2CF9AE}" pid="4" name="KSOTemplateDocerSaveRecord">
    <vt:lpwstr>eyJoZGlkIjoiZDViOTliMTQ1NGRlNmVkYTY3N2JjOTk2ZTliOTNlMWYiLCJ1c2VySWQiOiIxMzYxNzMzOTA3In0=</vt:lpwstr>
  </property>
</Properties>
</file>