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eastAsia="黑体"/>
          <w:b/>
          <w:bCs/>
          <w:color w:val="000000"/>
          <w:sz w:val="84"/>
          <w:szCs w:val="24"/>
          <w:highlight w:val="none"/>
        </w:rPr>
        <w:t xml:space="preserve">招　标　文　件</w:t>
      </w:r>
      <w:r/>
    </w:p>
    <w:p>
      <w:pPr>
        <w:ind w:left="1470"/>
        <w:jc w:val="left"/>
        <w:keepLines w:val="0"/>
        <w:keepNext w:val="0"/>
        <w:pageBreakBefore w:val="0"/>
        <w:spacing w:line="360" w:lineRule="auto"/>
        <w:widowControl w:val="off"/>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连云港市红十字中心血站采血车采购</w:t>
      </w:r>
      <w:r/>
    </w:p>
    <w:p>
      <w:pPr>
        <w:ind w:left="1470"/>
        <w:jc w:val="left"/>
        <w:keepLines w:val="0"/>
        <w:keepNext w:val="0"/>
        <w:pageBreakBefore w:val="0"/>
        <w:spacing w:line="360" w:lineRule="auto"/>
        <w:widowControl w:val="off"/>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JSZC-320700-CQGX-G2026-0006</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9"/>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9"/>
        <w:rPr>
          <w:rFonts w:hint="eastAsia"/>
          <w:color w:val="000000"/>
          <w:highlight w:val="none"/>
        </w:rPr>
      </w:pPr>
      <w:r>
        <w:rPr>
          <w:rFonts w:hint="eastAsia"/>
          <w:color w:val="000000"/>
          <w:highlight w:val="none"/>
        </w:rPr>
      </w:r>
      <w:r/>
    </w:p>
    <w:p>
      <w:pPr>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0"/>
        <w:jc w:val="center"/>
        <w:keepLines w:val="0"/>
        <w:keepNext w:val="0"/>
        <w:pageBreakBefore w:val="0"/>
        <w:spacing w:line="360" w:lineRule="auto"/>
        <w:widowControl w:val="off"/>
        <w:rPr>
          <w:rFonts w:hint="eastAsia" w:ascii="宋体" w:hAnsi="宋体" w:eastAsia="宋体" w:cs="宋体"/>
          <w:b/>
          <w:bCs/>
          <w:color w:val="000000"/>
          <w:sz w:val="32"/>
          <w:szCs w:val="24"/>
          <w:highlight w:val="none"/>
        </w:rPr>
      </w:pPr>
      <w:r/>
      <w:bookmarkStart w:id="0" w:name="_Toc17622"/>
      <w:r>
        <w:rPr>
          <w:rFonts w:hint="eastAsia" w:ascii="宋体" w:hAnsi="宋体" w:eastAsia="宋体" w:cs="宋体"/>
          <w:b/>
          <w:bCs/>
          <w:color w:val="000000"/>
          <w:sz w:val="32"/>
          <w:szCs w:val="24"/>
          <w:highlight w:val="none"/>
        </w:rPr>
        <w:t xml:space="preserve">采  购  人：</w:t>
      </w:r>
      <w:bookmarkEnd w:id="0"/>
      <w:r>
        <w:rPr>
          <w:rFonts w:hint="eastAsia" w:ascii="宋体" w:hAnsi="宋体" w:eastAsia="宋体" w:cs="宋体"/>
          <w:b/>
          <w:bCs/>
          <w:color w:val="000000"/>
          <w:sz w:val="32"/>
          <w:szCs w:val="24"/>
          <w:highlight w:val="none"/>
        </w:rPr>
        <w:t xml:space="preserve">连云港市红十字中心血站</w:t>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采购代理机构：广轩项目管理有限公司</w:t>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lang w:val="en-US" w:eastAsia="zh-CN"/>
        </w:rPr>
        <w:t xml:space="preserve"> 7 </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1" w:name="_Toc4150"/>
      <w:r/>
      <w:bookmarkStart w:id="2" w:name="_Toc120614210"/>
      <w:r/>
      <w:bookmarkStart w:id="3" w:name="_Toc16938516"/>
      <w:r/>
      <w:bookmarkStart w:id="4" w:name="_Toc513029200"/>
      <w:r/>
      <w:bookmarkStart w:id="5" w:name="_Toc479757206"/>
      <w:r/>
      <w:bookmarkStart w:id="6" w:name="_Toc20823272"/>
      <w:r/>
      <w:bookmarkStart w:id="7" w:name="_Toc523127445"/>
      <w:r/>
      <w:r/>
    </w:p>
    <w:p>
      <w:pPr>
        <w:jc w:val="center"/>
        <w:spacing w:line="480" w:lineRule="auto"/>
        <w:rPr>
          <w:color w:val="000000"/>
          <w:highlight w:val="none"/>
        </w:rPr>
        <w:outlineLvl w:val="9"/>
      </w:pPr>
      <w:r>
        <w:rPr>
          <w:rFonts w:hint="eastAsia" w:ascii="黑体" w:hAnsi="Arial" w:eastAsia="黑体"/>
          <w:b/>
          <w:color w:val="000000"/>
          <w:sz w:val="44"/>
          <w:szCs w:val="21"/>
          <w:highlight w:val="none"/>
        </w:rPr>
        <w:t xml:space="preserve">总  目  录</w:t>
      </w:r>
      <w:bookmarkEnd w:id="1"/>
      <w:r/>
      <w:bookmarkStart w:id="8" w:name="_Toc28734"/>
      <w:r>
        <w:rPr>
          <w:color w:val="000000"/>
          <w:highlight w:val="none"/>
        </w:rPr>
        <w:fldChar w:fldCharType="begin"/>
      </w:r>
      <w:r>
        <w:rPr>
          <w:color w:val="000000"/>
          <w:highlight w:val="none"/>
        </w:rPr>
        <w:instrText xml:space="preserve">TOC \o "1-9" \h \u </w:instrText>
      </w:r>
      <w:r>
        <w:rPr>
          <w:color w:val="000000"/>
          <w:highlight w:val="none"/>
        </w:rPr>
        <w:fldChar w:fldCharType="separate"/>
      </w:r>
      <w:r/>
    </w:p>
    <w:p>
      <w:pPr>
        <w:pStyle w:val="831"/>
        <w:tabs>
          <w:tab w:val="right" w:pos="8953" w:leader="dot"/>
        </w:tabs>
        <w:rPr>
          <w:color w:val="000000"/>
          <w:highlight w:val="none"/>
        </w:rPr>
      </w:pPr>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_Toc21192 </w:instrText>
      </w:r>
      <w:r>
        <w:rPr>
          <w:color w:val="000000"/>
          <w:highlight w:val="none"/>
        </w:rPr>
        <w:fldChar w:fldCharType="separate"/>
      </w:r>
      <w:r>
        <w:rPr>
          <w:rFonts w:hint="eastAsia" w:ascii="黑体" w:hAnsi="Times New Roman" w:eastAsia="黑体"/>
          <w:color w:val="000000"/>
          <w:szCs w:val="44"/>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_Toc21192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fldChar w:fldCharType="end"/>
      </w:r>
      <w:r/>
    </w:p>
    <w:p>
      <w:pPr>
        <w:pStyle w:val="831"/>
        <w:tabs>
          <w:tab w:val="right" w:pos="8953" w:leader="dot"/>
        </w:tabs>
        <w:rPr>
          <w:color w:val="000000"/>
          <w:highlight w:val="none"/>
        </w:rPr>
      </w:pPr>
      <w:r>
        <w:rPr>
          <w:color w:val="000000"/>
          <w:highlight w:val="none"/>
        </w:rPr>
        <w:fldChar w:fldCharType="begin"/>
      </w:r>
      <w:r>
        <w:rPr>
          <w:color w:val="000000"/>
          <w:highlight w:val="none"/>
        </w:rPr>
        <w:instrText xml:space="preserve"> HYPERLINK \l _Toc8078 </w:instrText>
      </w:r>
      <w:r>
        <w:rPr>
          <w:color w:val="000000"/>
          <w:highlight w:val="none"/>
        </w:rPr>
        <w:fldChar w:fldCharType="separate"/>
      </w:r>
      <w:r>
        <w:rPr>
          <w:rFonts w:hint="eastAsia" w:ascii="黑体" w:hAnsi="Arial" w:eastAsia="黑体" w:cs="Arial"/>
          <w:bCs/>
          <w:color w:val="000000"/>
          <w:szCs w:val="44"/>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_Toc8078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p>
    <w:p>
      <w:pPr>
        <w:pStyle w:val="831"/>
        <w:tabs>
          <w:tab w:val="right" w:pos="8953" w:leader="dot"/>
        </w:tabs>
        <w:rPr>
          <w:color w:val="000000"/>
          <w:highlight w:val="none"/>
        </w:rPr>
      </w:pPr>
      <w:r>
        <w:rPr>
          <w:color w:val="000000"/>
          <w:highlight w:val="none"/>
        </w:rPr>
        <w:fldChar w:fldCharType="begin"/>
      </w:r>
      <w:r>
        <w:rPr>
          <w:color w:val="000000"/>
          <w:highlight w:val="none"/>
        </w:rPr>
        <w:instrText xml:space="preserve"> HYPERLINK \l _Toc29380 </w:instrText>
      </w:r>
      <w:r>
        <w:rPr>
          <w:color w:val="000000"/>
          <w:highlight w:val="none"/>
        </w:rPr>
        <w:fldChar w:fldCharType="separate"/>
      </w:r>
      <w:r>
        <w:rPr>
          <w:rFonts w:hint="eastAsia" w:ascii="黑体" w:hAnsi="Times New Roman" w:eastAsia="黑体"/>
          <w:bCs/>
          <w:color w:val="000000"/>
          <w:szCs w:val="28"/>
          <w:highlight w:val="none"/>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_Toc29380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p>
    <w:p>
      <w:pPr>
        <w:rPr>
          <w:rFonts w:eastAsia="宋体"/>
          <w:color w:val="000000"/>
          <w:highlight w:val="none"/>
          <w:lang w:val="en-US" w:eastAsia="zh-CN"/>
        </w:rPr>
      </w:pPr>
      <w:r>
        <w:rPr>
          <w:rFonts w:hint="eastAsia" w:ascii="黑体" w:hAnsi="Times New Roman" w:eastAsia="黑体" w:cs="Times New Roman"/>
          <w:bCs/>
          <w:color w:val="000000"/>
          <w:sz w:val="21"/>
          <w:szCs w:val="28"/>
          <w:highlight w:val="none"/>
          <w:lang w:val="en-US" w:eastAsia="zh-CN" w:bidi="ar-SA"/>
        </w:rPr>
        <w:t xml:space="preserve">第四章  采购需求.</w:t>
      </w:r>
      <w:r>
        <w:rPr>
          <w:rFonts w:hint="eastAsia"/>
          <w:color w:val="000000"/>
          <w:highlight w:val="none"/>
          <w:lang w:val="en-US" w:eastAsia="zh-CN"/>
        </w:rPr>
        <w:t xml:space="preserve">...................................................................................................................................32</w:t>
      </w:r>
      <w:r/>
    </w:p>
    <w:p>
      <w:pPr>
        <w:pStyle w:val="831"/>
        <w:tabs>
          <w:tab w:val="right" w:pos="8953" w:leader="dot"/>
        </w:tabs>
        <w:rPr>
          <w:color w:val="000000"/>
          <w:highlight w:val="none"/>
        </w:rPr>
      </w:pPr>
      <w:r>
        <w:rPr>
          <w:color w:val="000000"/>
          <w:highlight w:val="none"/>
        </w:rPr>
        <w:fldChar w:fldCharType="begin"/>
      </w:r>
      <w:r>
        <w:rPr>
          <w:color w:val="000000"/>
          <w:highlight w:val="none"/>
        </w:rPr>
        <w:instrText xml:space="preserve"> HYPERLINK \l _Toc10394 </w:instrText>
      </w:r>
      <w:r>
        <w:rPr>
          <w:color w:val="000000"/>
          <w:highlight w:val="none"/>
        </w:rPr>
        <w:fldChar w:fldCharType="separate"/>
      </w:r>
      <w:r>
        <w:rPr>
          <w:rFonts w:hint="eastAsia" w:ascii="黑体" w:hAnsi="Times New Roman" w:eastAsia="黑体"/>
          <w:bCs/>
          <w:color w:val="000000"/>
          <w:szCs w:val="28"/>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_Toc10394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p>
    <w:p>
      <w:pPr>
        <w:pStyle w:val="831"/>
        <w:tabs>
          <w:tab w:val="right" w:pos="8953" w:leader="dot"/>
        </w:tabs>
        <w:rPr>
          <w:color w:val="000000"/>
          <w:highlight w:val="none"/>
        </w:rPr>
      </w:pPr>
      <w:r>
        <w:rPr>
          <w:color w:val="000000"/>
          <w:highlight w:val="none"/>
        </w:rPr>
        <w:fldChar w:fldCharType="begin"/>
      </w:r>
      <w:r>
        <w:rPr>
          <w:color w:val="000000"/>
          <w:highlight w:val="none"/>
        </w:rPr>
        <w:instrText xml:space="preserve"> HYPERLINK \l _Toc17090 </w:instrText>
      </w:r>
      <w:r>
        <w:rPr>
          <w:color w:val="000000"/>
          <w:highlight w:val="none"/>
        </w:rPr>
        <w:fldChar w:fldCharType="separate"/>
      </w:r>
      <w:r>
        <w:rPr>
          <w:rFonts w:hint="eastAsia" w:ascii="黑体" w:hAnsi="Times New Roman" w:eastAsia="黑体"/>
          <w:bCs/>
          <w:color w:val="000000"/>
          <w:szCs w:val="28"/>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_Toc17090 \h </w:instrText>
      </w:r>
      <w:r>
        <w:rPr>
          <w:color w:val="000000"/>
          <w:highlight w:val="none"/>
        </w:rPr>
        <w:fldChar w:fldCharType="separate"/>
      </w:r>
      <w:r>
        <w:rPr>
          <w:color w:val="000000"/>
          <w:highlight w:val="none"/>
        </w:rPr>
        <w:t xml:space="preserve">54</w:t>
      </w:r>
      <w:r>
        <w:rPr>
          <w:color w:val="000000"/>
          <w:highlight w:val="none"/>
        </w:rPr>
        <w:fldChar w:fldCharType="end"/>
      </w:r>
      <w:r>
        <w:rPr>
          <w:color w:val="000000"/>
          <w:highlight w:val="none"/>
        </w:rPr>
        <w:fldChar w:fldCharType="end"/>
      </w:r>
      <w:r/>
    </w:p>
    <w:p>
      <w:pPr>
        <w:pStyle w:val="840"/>
        <w:tabs>
          <w:tab w:val="right" w:pos="8953" w:leader="dot"/>
        </w:tabs>
        <w:rPr>
          <w:color w:val="000000"/>
          <w:highlight w:val="none"/>
        </w:rPr>
      </w:pPr>
      <w:r>
        <w:rPr>
          <w:color w:val="000000"/>
          <w:highlight w:val="none"/>
        </w:rPr>
      </w:r>
      <w:r/>
    </w:p>
    <w:p>
      <w:pPr>
        <w:rPr>
          <w:color w:val="000000"/>
          <w:highlight w:val="none"/>
        </w:rPr>
      </w:pPr>
      <w:r>
        <w:rPr>
          <w:color w:val="000000"/>
          <w:highlight w:val="none"/>
        </w:rPr>
        <w:fldChar w:fldCharType="end"/>
      </w:r>
      <w:r/>
    </w:p>
    <w:p>
      <w:pPr>
        <w:rPr>
          <w:color w:val="000000"/>
          <w:highlight w:val="none"/>
        </w:rPr>
      </w:pPr>
      <w:r>
        <w:rPr>
          <w:color w:val="000000"/>
          <w:highlight w:val="none"/>
        </w:rPr>
      </w:r>
      <w:bookmarkEnd w:id="8"/>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1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1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1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1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color w:val="000000"/>
          <w:highlight w:val="none"/>
        </w:rPr>
      </w:pPr>
      <w:r>
        <w:rPr>
          <w:rFonts w:hint="eastAsia"/>
          <w:color w:val="000000"/>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19"/>
        <w:rPr>
          <w:rFonts w:hint="eastAsia"/>
          <w:color w:val="000000"/>
          <w:highlight w:val="none"/>
        </w:rPr>
      </w:pPr>
      <w:r>
        <w:rPr>
          <w:rFonts w:hint="eastAsia"/>
          <w:color w:val="000000"/>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Lines w:val="0"/>
        <w:keepNext/>
        <w:pageBreakBefore w:val="0"/>
        <w:spacing w:line="360" w:lineRule="auto"/>
        <w:widowControl w:val="off"/>
        <w:rPr>
          <w:rFonts w:hint="eastAsia" w:ascii="黑体" w:hAnsi="Times New Roman" w:eastAsia="黑体"/>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9" w:name="_Toc21192"/>
      <w:r/>
      <w:bookmarkStart w:id="10" w:name="_Toc29250"/>
      <w:r/>
      <w:bookmarkStart w:id="11" w:name="_Toc7561"/>
      <w:r/>
      <w:bookmarkStart w:id="12" w:name="_Toc6734"/>
      <w:r/>
      <w:r/>
    </w:p>
    <w:p>
      <w:pPr>
        <w:jc w:val="center"/>
        <w:keepLines w:val="0"/>
        <w:keepNext/>
        <w:pageBreakBefore w:val="0"/>
        <w:spacing w:line="360" w:lineRule="auto"/>
        <w:widowControl w:val="off"/>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2"/>
      <w:r>
        <w:rPr>
          <w:rFonts w:hint="eastAsia" w:ascii="黑体" w:hAnsi="Times New Roman" w:eastAsia="黑体"/>
          <w:color w:val="000000"/>
          <w:sz w:val="44"/>
          <w:szCs w:val="44"/>
          <w:highlight w:val="none"/>
        </w:rPr>
        <w:t xml:space="preserve">投标邀请</w:t>
      </w:r>
      <w:bookmarkEnd w:id="9"/>
      <w:r/>
      <w:bookmarkEnd w:id="10"/>
      <w:r/>
      <w:bookmarkEnd w:id="11"/>
      <w:r/>
      <w:bookmarkEnd w:id="12"/>
      <w:r/>
      <w:r/>
    </w:p>
    <w:p>
      <w:pPr>
        <w:ind w:firstLine="480"/>
        <w:keepLines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连云港市红十字中心血站</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连云港市红十字中心血站采血车采购</w:t>
      </w:r>
      <w:r>
        <w:rPr>
          <w:rFonts w:hint="eastAsia" w:ascii="宋体" w:hAnsi="宋体"/>
          <w:color w:val="000000"/>
          <w:sz w:val="24"/>
          <w:szCs w:val="24"/>
          <w:highlight w:val="none"/>
        </w:rPr>
        <w:t xml:space="preserve">]([</w:t>
      </w:r>
      <w:r>
        <w:rPr>
          <w:rFonts w:hint="eastAsia"/>
          <w:color w:val="000000"/>
          <w:highlight w:val="none"/>
          <w:lang w:val="en-US" w:eastAsia="zh-CN"/>
        </w:rPr>
        <w:t xml:space="preserve">JSZC-320700-CQGX-G2026-0006</w:t>
      </w:r>
      <w:r>
        <w:rPr>
          <w:rFonts w:hint="eastAsia" w:ascii="宋体" w:hAnsi="宋体"/>
          <w:color w:val="000000"/>
          <w:sz w:val="24"/>
          <w:szCs w:val="24"/>
          <w:highlight w:val="none"/>
        </w:rPr>
        <w:t xml:space="preserve">])项目进行公开招标采购，欢迎符合条件的供应商投标。</w:t>
      </w:r>
      <w:r/>
    </w:p>
    <w:p>
      <w:pPr>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连云港市红十字中心血站采血车采购</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2026年7月</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lang w:val="en-US" w:eastAsia="zh-CN"/>
        </w:rPr>
        <w:t xml:space="preserve">日09点00分（北京时间）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left="0" w:firstLine="643"/>
        <w:keepLines/>
        <w:keepNext/>
        <w:pageBreakBefore w:val="0"/>
        <w:spacing w:line="360" w:lineRule="auto"/>
        <w:rPr>
          <w:rFonts w:ascii="Times New Roman" w:hAnsi="Times New Roman"/>
          <w:b/>
          <w:bCs/>
          <w:color w:val="000000"/>
          <w:sz w:val="32"/>
          <w:szCs w:val="32"/>
          <w:highlight w:val="none"/>
        </w:rPr>
        <w:outlineLvl w:val="0"/>
      </w:pPr>
      <w:r/>
      <w:bookmarkStart w:id="13" w:name="_Toc35393621"/>
      <w:r/>
      <w:bookmarkStart w:id="14" w:name="_Toc38985263"/>
      <w:r/>
      <w:bookmarkStart w:id="15" w:name="_Toc13202"/>
      <w:r/>
      <w:bookmarkStart w:id="16" w:name="_Toc28359079"/>
      <w:r/>
      <w:bookmarkStart w:id="17" w:name="_Toc26290"/>
      <w:r/>
      <w:bookmarkStart w:id="18" w:name="_Toc35393790"/>
      <w:r/>
      <w:bookmarkStart w:id="19" w:name="_Toc28359002"/>
      <w:r/>
      <w:bookmarkStart w:id="20" w:name="_Toc1799"/>
      <w:r/>
      <w:bookmarkStart w:id="21" w:name="_Hlk24379207"/>
      <w:r>
        <w:rPr>
          <w:rFonts w:hint="eastAsia" w:ascii="Times New Roman" w:hAnsi="Times New Roman"/>
          <w:b/>
          <w:bCs/>
          <w:color w:val="000000"/>
          <w:sz w:val="32"/>
          <w:szCs w:val="32"/>
          <w:highlight w:val="none"/>
        </w:rPr>
        <w:t xml:space="preserve">一、项目基本情况</w:t>
      </w:r>
      <w:bookmarkEnd w:id="13"/>
      <w:r/>
      <w:bookmarkEnd w:id="14"/>
      <w:r/>
      <w:bookmarkEnd w:id="15"/>
      <w:r/>
      <w:bookmarkEnd w:id="16"/>
      <w:r/>
      <w:bookmarkEnd w:id="17"/>
      <w:r/>
      <w:bookmarkEnd w:id="18"/>
      <w:r/>
      <w:bookmarkEnd w:id="19"/>
      <w:r/>
      <w:bookmarkEnd w:id="20"/>
      <w:r/>
      <w:r/>
    </w:p>
    <w:p>
      <w:pPr>
        <w:ind w:left="0" w:firstLine="48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JSZC-320700-CQGX-G2026-0006</w:t>
      </w:r>
      <w:r/>
    </w:p>
    <w:p>
      <w:pPr>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连云港市红十字中心血站采血车采购</w:t>
      </w:r>
      <w:bookmarkEnd w:id="21"/>
      <w:r/>
    </w:p>
    <w:p>
      <w:pPr>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color w:val="000000"/>
          <w:sz w:val="24"/>
          <w:szCs w:val="24"/>
          <w:highlight w:val="none"/>
        </w:rPr>
        <w:t xml:space="preserve">3.</w:t>
      </w:r>
      <w:r>
        <w:rPr>
          <w:rFonts w:hint="eastAsia" w:ascii="宋体" w:hAnsi="宋体" w:eastAsia="宋体" w:cs="宋体"/>
          <w:color w:val="000000"/>
          <w:sz w:val="24"/>
          <w:szCs w:val="24"/>
          <w:highlight w:val="none"/>
        </w:rPr>
        <w:t xml:space="preserve">预算金额：</w:t>
      </w:r>
      <w:r>
        <w:rPr>
          <w:rFonts w:hint="eastAsia" w:ascii="Times New Roman" w:eastAsia="宋体" w:cs="黑体"/>
          <w:color w:val="000000"/>
          <w:sz w:val="24"/>
          <w:szCs w:val="24"/>
          <w:highlight w:val="none"/>
          <w:lang w:val="en-US" w:eastAsia="zh-CN"/>
        </w:rPr>
        <w:t xml:space="preserve">300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(采购包一：</w:t>
      </w:r>
      <w:r>
        <w:rPr>
          <w:rFonts w:hint="eastAsia" w:ascii="宋体" w:hAnsi="宋体" w:cs="宋体"/>
          <w:b w:val="0"/>
          <w:bCs w:val="0"/>
          <w:color w:val="000000"/>
          <w:sz w:val="24"/>
          <w:szCs w:val="24"/>
          <w:highlight w:val="none"/>
          <w:lang w:val="en-US" w:eastAsia="zh-CN"/>
        </w:rPr>
        <w:t xml:space="preserve">165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155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投标报价超过最高限价的投标无效</w:t>
      </w:r>
      <w:r/>
    </w:p>
    <w:p>
      <w:pPr>
        <w:ind w:left="0" w:firstLine="480"/>
        <w:pageBreakBefore w:val="0"/>
        <w:spacing w:line="360" w:lineRule="auto"/>
        <w:rPr>
          <w:rFonts w:hint="eastAsia" w:ascii="宋体" w:hAnsi="宋体" w:cs="宋体"/>
          <w:color w:val="000000"/>
          <w:sz w:val="24"/>
          <w:szCs w:val="24"/>
          <w:highlight w:val="none"/>
          <w:lang w:eastAsia="zh-CN"/>
        </w:rPr>
      </w:pPr>
      <w:r>
        <w:rPr>
          <w:rFonts w:hint="eastAsia" w:ascii="宋体" w:hAnsi="宋体"/>
          <w:color w:val="000000"/>
          <w:sz w:val="24"/>
          <w:szCs w:val="24"/>
          <w:highlight w:val="none"/>
        </w:rPr>
        <w:t xml:space="preserve">5.</w:t>
      </w:r>
      <w:r>
        <w:rPr>
          <w:rFonts w:ascii="Times New Roman" w:hAnsi="Times New Roman" w:cs="Times New Roman"/>
          <w:color w:val="000000"/>
          <w:sz w:val="24"/>
          <w:szCs w:val="28"/>
          <w:highlight w:val="none"/>
        </w:rPr>
        <w:t xml:space="preserve">采购需求</w:t>
      </w:r>
      <w:r>
        <w:rPr>
          <w:rFonts w:hint="eastAsia" w:ascii="Times New Roman" w:hAnsi="Times New Roman" w:cs="Times New Roman"/>
          <w:color w:val="000000"/>
          <w:sz w:val="24"/>
          <w:szCs w:val="28"/>
          <w:highlight w:val="none"/>
          <w:lang w:eastAsia="zh-CN"/>
        </w:rPr>
        <w:t xml:space="preserve">：</w:t>
      </w:r>
      <w:r>
        <w:rPr>
          <w:rFonts w:hint="eastAsia" w:ascii="宋体" w:hAnsi="宋体" w:eastAsia="宋体" w:cs="宋体"/>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详细内容见本招标文件第四章</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p>
    <w:p>
      <w:pPr>
        <w:ind w:left="0" w:firstLine="482"/>
        <w:pageBreakBefore w:val="0"/>
        <w:spacing w:line="360" w:lineRule="auto"/>
        <w:rPr>
          <w:rFonts w:hint="eastAsia" w:ascii="宋体" w:hAnsi="宋体" w:eastAsia="宋体"/>
          <w:b/>
          <w:bCs/>
          <w:color w:val="000000"/>
          <w:sz w:val="24"/>
          <w:szCs w:val="24"/>
          <w:highlight w:val="none"/>
          <w:u w:val="single"/>
          <w:lang w:eastAsia="zh-CN"/>
        </w:rPr>
      </w:pPr>
      <w:r>
        <w:rPr>
          <w:rFonts w:hint="eastAsia" w:ascii="宋体" w:hAnsi="宋体" w:cs="宋体"/>
          <w:b/>
          <w:bCs/>
          <w:color w:val="000000"/>
          <w:sz w:val="24"/>
          <w:szCs w:val="24"/>
          <w:highlight w:val="none"/>
          <w:lang w:eastAsia="zh-CN"/>
        </w:rPr>
        <w:t xml:space="preserve">对项目采购需求部分的询问、质疑请与采购人联系，由采购人负责答复。</w:t>
      </w:r>
      <w:r/>
    </w:p>
    <w:p>
      <w:pPr>
        <w:ind w:left="0" w:firstLine="480"/>
        <w:pageBreakBefore w:val="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交货期：合同签订后</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rPr>
        <w:t xml:space="preserve">日历天内完成供货、安装调试，达到预期效果</w:t>
      </w:r>
      <w:r>
        <w:rPr>
          <w:rFonts w:hint="eastAsia" w:ascii="宋体" w:hAnsi="宋体"/>
          <w:color w:val="000000"/>
          <w:sz w:val="24"/>
          <w:szCs w:val="24"/>
          <w:highlight w:val="none"/>
          <w:lang w:eastAsia="zh-CN"/>
        </w:rPr>
        <w:t xml:space="preserve">。</w:t>
      </w:r>
      <w:r/>
    </w:p>
    <w:p>
      <w:pPr>
        <w:ind w:left="0" w:firstLine="643"/>
        <w:keepLines/>
        <w:keepNext/>
        <w:pageBreakBefore w:val="0"/>
        <w:spacing w:line="360" w:lineRule="auto"/>
        <w:rPr>
          <w:rFonts w:ascii="Times New Roman" w:hAnsi="Times New Roman"/>
          <w:b/>
          <w:bCs/>
          <w:color w:val="000000"/>
          <w:sz w:val="32"/>
          <w:szCs w:val="32"/>
          <w:highlight w:val="none"/>
        </w:rPr>
        <w:outlineLvl w:val="0"/>
      </w:pPr>
      <w:r/>
      <w:bookmarkStart w:id="22" w:name="_Toc28359080"/>
      <w:r/>
      <w:bookmarkStart w:id="23" w:name="_Toc30414"/>
      <w:r/>
      <w:bookmarkStart w:id="24" w:name="_Toc35393791"/>
      <w:r/>
      <w:bookmarkStart w:id="25" w:name="_Toc35393622"/>
      <w:r/>
      <w:bookmarkStart w:id="26" w:name="_Toc14290"/>
      <w:r/>
      <w:bookmarkStart w:id="27" w:name="_Toc38985264"/>
      <w:r/>
      <w:bookmarkStart w:id="28" w:name="_Toc28359003"/>
      <w:r/>
      <w:bookmarkStart w:id="29" w:name="_Toc18300"/>
      <w:r>
        <w:rPr>
          <w:rFonts w:hint="eastAsia" w:ascii="Times New Roman" w:hAnsi="Times New Roman"/>
          <w:b/>
          <w:bCs/>
          <w:color w:val="000000"/>
          <w:sz w:val="32"/>
          <w:szCs w:val="32"/>
          <w:highlight w:val="none"/>
        </w:rPr>
        <w:t xml:space="preserve">二、</w:t>
      </w:r>
      <w:r>
        <w:rPr>
          <w:rFonts w:hint="eastAsia" w:ascii="Times New Roman" w:hAnsi="Times New Roman"/>
          <w:b/>
          <w:bCs/>
          <w:color w:val="000000"/>
          <w:sz w:val="32"/>
          <w:szCs w:val="32"/>
          <w:highlight w:val="none"/>
          <w:lang w:val="en-US" w:eastAsia="zh-CN"/>
        </w:rPr>
        <w:t xml:space="preserve">采购包一至采购包二</w:t>
      </w:r>
      <w:r>
        <w:rPr>
          <w:rFonts w:hint="eastAsia" w:ascii="Times New Roman" w:hAnsi="Times New Roman"/>
          <w:b/>
          <w:bCs/>
          <w:color w:val="000000"/>
          <w:sz w:val="32"/>
          <w:szCs w:val="32"/>
          <w:highlight w:val="none"/>
        </w:rPr>
        <w:t xml:space="preserve">申请人的资格要求：</w:t>
      </w:r>
      <w:bookmarkEnd w:id="22"/>
      <w:r/>
      <w:bookmarkEnd w:id="23"/>
      <w:r/>
      <w:bookmarkEnd w:id="24"/>
      <w:r/>
      <w:bookmarkEnd w:id="25"/>
      <w:r/>
      <w:bookmarkEnd w:id="26"/>
      <w:r/>
      <w:bookmarkEnd w:id="27"/>
      <w:r/>
      <w:bookmarkEnd w:id="28"/>
      <w:r/>
      <w:bookmarkEnd w:id="29"/>
      <w:r/>
      <w:r/>
    </w:p>
    <w:p>
      <w:pPr>
        <w:ind w:left="0" w:firstLine="480"/>
        <w:pageBreakBefore w:val="0"/>
        <w:spacing w:line="360" w:lineRule="auto"/>
        <w:rPr>
          <w:rFonts w:hint="eastAsia" w:ascii="宋体" w:hAnsi="宋体"/>
          <w:color w:val="000000"/>
          <w:sz w:val="24"/>
          <w:szCs w:val="24"/>
          <w:highlight w:val="none"/>
        </w:rPr>
        <w:outlineLvl w:val="1"/>
      </w:pPr>
      <w:r/>
      <w:bookmarkStart w:id="30" w:name="_Toc18149"/>
      <w:r/>
      <w:bookmarkStart w:id="31" w:name="_Toc30471"/>
      <w:r/>
      <w:bookmarkStart w:id="32" w:name="_Toc9631"/>
      <w:r/>
      <w:bookmarkStart w:id="33" w:name="_Toc35393792"/>
      <w:r/>
      <w:bookmarkStart w:id="34" w:name="_Toc35393623"/>
      <w:r/>
      <w:bookmarkStart w:id="35" w:name="_Toc28359004"/>
      <w:r/>
      <w:bookmarkStart w:id="36" w:name="_Toc28359081"/>
      <w:r/>
      <w:bookmarkStart w:id="37"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bookmarkEnd w:id="30"/>
      <w:r/>
      <w:bookmarkEnd w:id="31"/>
      <w:r/>
      <w:bookmarkEnd w:id="32"/>
      <w:r/>
      <w:r/>
    </w:p>
    <w:p>
      <w:pPr>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法人或者其他组织的营业执照等证明文件，自然人的身份证明；</w:t>
      </w:r>
      <w:r/>
    </w:p>
    <w:p>
      <w:pPr>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上一年度的财务状况报告（成立不满一年无需提供）；</w:t>
      </w:r>
      <w:r/>
    </w:p>
    <w:p>
      <w:pPr>
        <w:ind w:left="0"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具备履行合同所必需的设备和专业技术能力的书面声明</w:t>
      </w:r>
      <w:r>
        <w:rPr>
          <w:rFonts w:hint="eastAsia" w:ascii="宋体" w:hAnsi="宋体"/>
          <w:color w:val="000000"/>
          <w:sz w:val="24"/>
          <w:szCs w:val="24"/>
          <w:highlight w:val="none"/>
          <w:lang w:val="en-US" w:eastAsia="zh-CN"/>
        </w:rPr>
        <w:t xml:space="preserve">及证明材料</w:t>
      </w:r>
      <w:r>
        <w:rPr>
          <w:rFonts w:hint="eastAsia" w:ascii="宋体" w:hAnsi="宋体"/>
          <w:color w:val="000000"/>
          <w:sz w:val="24"/>
          <w:szCs w:val="24"/>
          <w:highlight w:val="none"/>
        </w:rPr>
        <w:t xml:space="preserve">；</w:t>
      </w:r>
      <w:r/>
    </w:p>
    <w:p>
      <w:pPr>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参加政府采购活动前3年内在经营活动中没有重大违法记录的书面声明。</w:t>
      </w:r>
      <w:r/>
    </w:p>
    <w:p>
      <w:pPr>
        <w:ind w:left="0" w:firstLine="482"/>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根据连财购〔2023〕4号、连财购</w:t>
      </w:r>
      <w:r>
        <w:rPr>
          <w:rFonts w:hint="eastAsia" w:ascii="宋体" w:hAnsi="宋体"/>
          <w:b/>
          <w:bCs/>
          <w:color w:val="000000"/>
          <w:sz w:val="24"/>
          <w:szCs w:val="24"/>
          <w:highlight w:val="none"/>
          <w:lang w:eastAsia="zh-CN"/>
        </w:rPr>
        <w:t xml:space="preserve">〔2023〕9号</w:t>
      </w:r>
      <w:r>
        <w:rPr>
          <w:rFonts w:hint="eastAsia" w:ascii="宋体" w:hAnsi="宋体"/>
          <w:b/>
          <w:bCs/>
          <w:color w:val="000000"/>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left="0" w:firstLine="48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 无</w:t>
      </w:r>
      <w:r/>
    </w:p>
    <w:p>
      <w:pPr>
        <w:ind w:left="0" w:firstLine="480"/>
        <w:pageBreakBefore w:val="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不接受</w:t>
      </w:r>
      <w:r>
        <w:rPr>
          <w:rFonts w:hint="eastAsia" w:ascii="宋体" w:hAnsi="宋体"/>
          <w:b/>
          <w:bCs/>
          <w:color w:val="000000"/>
          <w:sz w:val="24"/>
          <w:szCs w:val="24"/>
          <w:highlight w:val="none"/>
          <w:u w:val="single"/>
        </w:rPr>
        <w:t xml:space="preserve"> </w:t>
      </w:r>
      <w:r>
        <w:rPr>
          <w:rFonts w:hint="eastAsia" w:ascii="宋体" w:hAnsi="宋体"/>
          <w:color w:val="000000"/>
          <w:sz w:val="24"/>
          <w:szCs w:val="24"/>
          <w:highlight w:val="none"/>
        </w:rPr>
        <w:t xml:space="preserve">联合体投标。</w:t>
      </w:r>
      <w:r/>
    </w:p>
    <w:p>
      <w:pPr>
        <w:ind w:left="0" w:firstLine="480"/>
        <w:pageBreakBefore w:val="0"/>
        <w:spacing w:line="360" w:lineRule="auto"/>
        <w:rPr>
          <w:rFonts w:ascii="宋体" w:hAnsi="宋体" w:eastAsia="宋体" w:cs="宋体"/>
          <w:color w:val="000000"/>
          <w:sz w:val="24"/>
          <w:szCs w:val="24"/>
          <w:highlight w:val="none"/>
          <w:lang w:val="en-US" w:eastAsia="zh-CN"/>
        </w:rPr>
        <w:outlineLvl w:val="1"/>
      </w:pPr>
      <w:r/>
      <w:bookmarkStart w:id="38" w:name="_Toc22039"/>
      <w:r/>
      <w:bookmarkStart w:id="39" w:name="_Toc19408"/>
      <w:r/>
      <w:bookmarkStart w:id="40" w:name="_Toc6462"/>
      <w:r>
        <w:rPr>
          <w:rFonts w:hint="eastAsia" w:ascii="宋体" w:hAnsi="宋体"/>
          <w:color w:val="000000"/>
          <w:sz w:val="24"/>
          <w:szCs w:val="24"/>
          <w:highlight w:val="none"/>
        </w:rPr>
        <w:t xml:space="preserve">（二）本项目的特定资格要求</w:t>
      </w:r>
      <w:bookmarkEnd w:id="38"/>
      <w:r/>
      <w:bookmarkEnd w:id="39"/>
      <w:r/>
      <w:bookmarkEnd w:id="40"/>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p>
    <w:p>
      <w:pPr>
        <w:ind w:firstLine="480"/>
        <w:spacing w:line="360" w:lineRule="auto"/>
        <w:rPr>
          <w:rFonts w:hint="eastAsia" w:ascii="宋体" w:hAnsi="宋体" w:eastAsia="宋体" w:cs="宋体"/>
          <w:color w:val="000000"/>
          <w:sz w:val="24"/>
          <w:szCs w:val="24"/>
          <w:highlight w:val="none"/>
        </w:rPr>
      </w:pPr>
      <w:r/>
      <w:bookmarkStart w:id="41" w:name="_Toc14896"/>
      <w:r/>
      <w:bookmarkStart w:id="42" w:name="_Toc28299"/>
      <w:r/>
      <w:bookmarkStart w:id="43" w:name="_Toc16701"/>
      <w:r>
        <w:rPr>
          <w:rFonts w:hint="eastAsia" w:ascii="宋体" w:hAnsi="宋体" w:eastAsia="宋体" w:cs="宋体"/>
          <w:color w:val="000000"/>
          <w:sz w:val="24"/>
          <w:szCs w:val="24"/>
          <w:highlight w:val="none"/>
        </w:rPr>
        <w:t xml:space="preserve">（三）本项目的其他资格要求：</w:t>
      </w:r>
      <w:r/>
    </w:p>
    <w:p>
      <w:pPr>
        <w:ind w:firstLine="480"/>
        <w:spacing w:line="360" w:lineRule="auto"/>
        <w:rPr>
          <w:rFonts w:hint="eastAsia" w:ascii="宋体" w:hAnsi="宋体" w:eastAsia="宋体" w:cs="宋体"/>
          <w:color w:val="000000"/>
          <w:sz w:val="24"/>
          <w:szCs w:val="24"/>
          <w:highlight w:val="none"/>
        </w:rPr>
      </w:pPr>
      <w:r/>
      <w:bookmarkStart w:id="44" w:name="OLE_LINK1"/>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u w:val="single"/>
          <w:lang w:eastAsia="zh-CN"/>
        </w:rPr>
        <w:t xml:space="preserve">不</w:t>
      </w:r>
      <w:r>
        <w:rPr>
          <w:rFonts w:hint="eastAsia" w:ascii="宋体" w:hAnsi="宋体" w:eastAsia="宋体" w:cs="宋体"/>
          <w:b/>
          <w:bCs/>
          <w:color w:val="000000"/>
          <w:sz w:val="24"/>
          <w:szCs w:val="24"/>
          <w:highlight w:val="none"/>
          <w:u w:val="single"/>
        </w:rPr>
        <w:t xml:space="preserve">接受</w:t>
      </w:r>
      <w:r>
        <w:rPr>
          <w:rFonts w:hint="eastAsia" w:ascii="宋体" w:hAnsi="宋体" w:eastAsia="宋体" w:cs="宋体"/>
          <w:color w:val="000000"/>
          <w:sz w:val="24"/>
          <w:szCs w:val="24"/>
          <w:highlight w:val="none"/>
        </w:rPr>
        <w:t xml:space="preserve">进口产品(进口产品是指通过中国海关报关验放进入中国境内且产自关境外的产品)。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.法律、法规规定的其他条件。</w:t>
      </w:r>
      <w:bookmarkEnd w:id="44"/>
      <w:r/>
      <w:r/>
    </w:p>
    <w:p>
      <w:pPr>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三、获取招标文件</w:t>
      </w:r>
      <w:bookmarkEnd w:id="33"/>
      <w:r/>
      <w:bookmarkEnd w:id="34"/>
      <w:r/>
      <w:bookmarkEnd w:id="35"/>
      <w:r/>
      <w:bookmarkEnd w:id="36"/>
      <w:r/>
      <w:bookmarkEnd w:id="37"/>
      <w:r/>
      <w:bookmarkEnd w:id="41"/>
      <w:r/>
      <w:bookmarkEnd w:id="42"/>
      <w:r/>
      <w:bookmarkEnd w:id="43"/>
      <w:r/>
      <w:r/>
    </w:p>
    <w:p>
      <w:pPr>
        <w:ind w:left="0" w:firstLine="480"/>
        <w:pageBreakBefore w:val="0"/>
        <w:spacing w:line="360" w:lineRule="auto"/>
        <w:rPr>
          <w:rFonts w:ascii="宋体" w:hAnsi="宋体" w:cs="宋体"/>
          <w:color w:val="000000"/>
          <w:sz w:val="24"/>
          <w:szCs w:val="24"/>
          <w:highlight w:val="none"/>
        </w:rPr>
      </w:pPr>
      <w:r/>
      <w:bookmarkStart w:id="45" w:name="_Toc28359005"/>
      <w:r/>
      <w:bookmarkStart w:id="46" w:name="_Toc28359082"/>
      <w:r/>
      <w:bookmarkStart w:id="47" w:name="_Toc38985266"/>
      <w:r/>
      <w:bookmarkStart w:id="48" w:name="_Toc35393624"/>
      <w:r/>
      <w:bookmarkStart w:id="49" w:name="_Toc35393793"/>
      <w:r>
        <w:rPr>
          <w:rFonts w:hint="eastAsia" w:ascii="宋体" w:hAnsi="宋体" w:cs="宋体"/>
          <w:color w:val="000000"/>
          <w:sz w:val="24"/>
          <w:szCs w:val="24"/>
          <w:highlight w:val="none"/>
        </w:rPr>
        <w:t xml:space="preserve">1.时间：自招标文件公告发布之日起5个工作日。</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（1）潜在投标人访问电子招标投标交易平台的网络地址和方法：</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①登录http://jszfcg.jsczt.cn/ ，或进入江苏政府采购网，点击“苏采云”进入系统。</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③潜在投标人访问“苏采云”系统的网络地址和方法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“苏采云”系统的网址:http://jszfcg.jsczt.cn/。</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④“CA数字证书”的获取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⑤招标文件(后缀名为“.kedt”)、供应商操作手册及政府采购客户端工具可通过“苏采云”系统--已报名项目--报名详情页面内相应链接进行下载。</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⑥招标代理机构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将数据电文形式的招标文件加载至“苏采云”系统，供潜在投标人下载或者查阅。</w:t>
      </w:r>
      <w:r/>
    </w:p>
    <w:p>
      <w:pPr>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⑦请潜在投标人提前安装相应的控件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详见《江苏省政府采购管理交易系统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供应商操作手册&gt;</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并使用谷歌浏览器登录“苏采云”系统参与不见面开评标。</w:t>
      </w:r>
      <w:r/>
    </w:p>
    <w:p>
      <w:pPr>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0" w:name="_Toc8601"/>
      <w:r/>
      <w:bookmarkStart w:id="51" w:name="_Toc31194"/>
      <w:r/>
      <w:bookmarkStart w:id="52" w:name="_Toc8505"/>
      <w:r>
        <w:rPr>
          <w:rFonts w:hint="eastAsia" w:ascii="Times New Roman" w:hAnsi="Times New Roman"/>
          <w:b/>
          <w:bCs/>
          <w:color w:val="000000"/>
          <w:sz w:val="32"/>
          <w:szCs w:val="32"/>
          <w:highlight w:val="none"/>
        </w:rPr>
        <w:t xml:space="preserve">四、提交投标文件</w:t>
      </w:r>
      <w:bookmarkEnd w:id="45"/>
      <w:r/>
      <w:bookmarkEnd w:id="46"/>
      <w:r>
        <w:rPr>
          <w:rFonts w:hint="eastAsia" w:ascii="Times New Roman" w:hAnsi="Times New Roman"/>
          <w:b/>
          <w:bCs/>
          <w:color w:val="000000"/>
          <w:sz w:val="32"/>
          <w:szCs w:val="32"/>
          <w:highlight w:val="none"/>
        </w:rPr>
        <w:t xml:space="preserve">截止时间、开标时间和地点</w:t>
      </w:r>
      <w:bookmarkEnd w:id="47"/>
      <w:r/>
      <w:bookmarkEnd w:id="48"/>
      <w:r/>
      <w:bookmarkEnd w:id="49"/>
      <w:r/>
      <w:bookmarkEnd w:id="50"/>
      <w:r/>
      <w:bookmarkEnd w:id="51"/>
      <w:r/>
      <w:bookmarkEnd w:id="52"/>
      <w:r/>
      <w:r/>
    </w:p>
    <w:p>
      <w:pPr>
        <w:ind w:left="0" w:firstLine="480"/>
        <w:pageBreakBefore w:val="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1.投标文件接收截止时间（</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lang w:val="en-US" w:eastAsia="zh-CN"/>
        </w:rPr>
        <w:t xml:space="preserve">年</w:t>
      </w:r>
      <w:r>
        <w:rPr>
          <w:rFonts w:hint="eastAsia" w:ascii="宋体" w:hAnsi="宋体"/>
          <w:bCs/>
          <w:color w:val="000000"/>
          <w:sz w:val="24"/>
          <w:szCs w:val="24"/>
          <w:highlight w:val="none"/>
          <w:u w:val="single"/>
          <w:lang w:val="en-US" w:eastAsia="zh-CN"/>
        </w:rPr>
        <w:t xml:space="preserve"> </w:t>
      </w:r>
      <w:r>
        <w:rPr>
          <w:rFonts w:hint="eastAsia" w:ascii="宋体" w:hAnsi="宋体"/>
          <w:bCs/>
          <w:i w:val="0"/>
          <w:iCs w:val="0"/>
          <w:color w:val="000000"/>
          <w:sz w:val="24"/>
          <w:szCs w:val="24"/>
          <w:highlight w:val="none"/>
          <w:u w:val="single"/>
          <w:lang w:val="en-US" w:eastAsia="zh-CN"/>
        </w:rPr>
        <w:t xml:space="preserve">7 </w:t>
      </w:r>
      <w:r>
        <w:rPr>
          <w:rFonts w:hint="eastAsia" w:ascii="宋体" w:hAnsi="宋体"/>
          <w:bCs/>
          <w:color w:val="000000"/>
          <w:sz w:val="24"/>
          <w:szCs w:val="24"/>
          <w:highlight w:val="none"/>
          <w:lang w:val="en-US" w:eastAsia="zh-CN"/>
        </w:rPr>
        <w:t xml:space="preserve">月</w:t>
      </w:r>
      <w:r>
        <w:rPr>
          <w:rFonts w:hint="eastAsia" w:ascii="宋体" w:hAnsi="宋体"/>
          <w:bCs/>
          <w:color w:val="000000"/>
          <w:sz w:val="24"/>
          <w:szCs w:val="24"/>
          <w:highlight w:val="none"/>
          <w:u w:val="single"/>
          <w:lang w:val="en-US" w:eastAsia="zh-CN"/>
        </w:rPr>
        <w:t xml:space="preserve">24</w:t>
      </w:r>
      <w:r>
        <w:rPr>
          <w:rFonts w:hint="eastAsia" w:ascii="宋体" w:hAnsi="宋体"/>
          <w:bCs/>
          <w:color w:val="000000"/>
          <w:sz w:val="24"/>
          <w:szCs w:val="24"/>
          <w:highlight w:val="none"/>
          <w:lang w:val="en-US" w:eastAsia="zh-CN"/>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lang w:val="en-US" w:eastAsia="zh-CN"/>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rPr>
        <w:t xml:space="preserve">。</w:t>
      </w:r>
      <w:r/>
    </w:p>
    <w:p>
      <w:pPr>
        <w:ind w:left="0" w:firstLine="480"/>
        <w:pageBreakBefore w:val="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bookmarkStart w:id="474" w:name="_GoBack"/>
      <w:r/>
      <w:bookmarkEnd w:id="474"/>
      <w:r/>
      <w:r/>
    </w:p>
    <w:p>
      <w:pPr>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3" w:name="_Toc28359007"/>
      <w:r/>
      <w:bookmarkStart w:id="54" w:name="_Toc21157"/>
      <w:r/>
      <w:bookmarkStart w:id="55" w:name="_Toc28359084"/>
      <w:r/>
      <w:bookmarkStart w:id="56" w:name="_Toc38985267"/>
      <w:r/>
      <w:bookmarkStart w:id="57" w:name="_Toc35393794"/>
      <w:r/>
      <w:bookmarkStart w:id="58" w:name="_Toc5614"/>
      <w:r/>
      <w:bookmarkStart w:id="59" w:name="_Toc35393625"/>
      <w:r/>
      <w:bookmarkStart w:id="60" w:name="_Toc32324"/>
      <w:r>
        <w:rPr>
          <w:rFonts w:hint="eastAsia" w:ascii="Times New Roman" w:hAnsi="Times New Roman"/>
          <w:b/>
          <w:bCs/>
          <w:color w:val="000000"/>
          <w:sz w:val="32"/>
          <w:szCs w:val="32"/>
          <w:highlight w:val="none"/>
        </w:rPr>
        <w:t xml:space="preserve">五、公告期限</w:t>
      </w:r>
      <w:bookmarkEnd w:id="53"/>
      <w:r/>
      <w:bookmarkEnd w:id="54"/>
      <w:r/>
      <w:bookmarkEnd w:id="55"/>
      <w:r/>
      <w:bookmarkEnd w:id="56"/>
      <w:r/>
      <w:bookmarkEnd w:id="57"/>
      <w:r/>
      <w:bookmarkEnd w:id="58"/>
      <w:r/>
      <w:bookmarkEnd w:id="59"/>
      <w:r/>
      <w:bookmarkEnd w:id="60"/>
      <w:r/>
      <w:r/>
    </w:p>
    <w:p>
      <w:pPr>
        <w:ind w:left="0" w:firstLine="480"/>
        <w:pageBreakBefore w:val="0"/>
        <w:spacing w:line="360" w:lineRule="auto"/>
        <w:rPr>
          <w:rFonts w:ascii="宋体" w:hAnsi="宋体" w:cs="宋体"/>
          <w:color w:val="000000"/>
          <w:sz w:val="24"/>
          <w:szCs w:val="24"/>
          <w:highlight w:val="none"/>
        </w:rPr>
      </w:pPr>
      <w:r/>
      <w:bookmarkStart w:id="61" w:name="_Toc35393795"/>
      <w:r/>
      <w:bookmarkStart w:id="62" w:name="_Toc35393626"/>
      <w:r/>
      <w:bookmarkStart w:id="63" w:name="_Toc38985268"/>
      <w:r>
        <w:rPr>
          <w:rFonts w:hint="eastAsia" w:ascii="宋体" w:hAnsi="宋体" w:cs="宋体"/>
          <w:color w:val="000000"/>
          <w:sz w:val="24"/>
          <w:szCs w:val="24"/>
          <w:highlight w:val="none"/>
        </w:rPr>
        <w:t xml:space="preserve">招标公告及招标文件公告期限为自本公告发布之日起5个工作日。</w:t>
      </w:r>
      <w:r/>
    </w:p>
    <w:p>
      <w:pPr>
        <w:ind w:left="0" w:firstLine="643"/>
        <w:keepLines/>
        <w:keepNext/>
        <w:pageBreakBefore w:val="0"/>
        <w:spacing w:line="360" w:lineRule="auto"/>
        <w:rPr>
          <w:rFonts w:ascii="Times New Roman" w:hAnsi="Times New Roman"/>
          <w:b/>
          <w:bCs/>
          <w:color w:val="000000"/>
          <w:sz w:val="32"/>
          <w:szCs w:val="32"/>
          <w:highlight w:val="none"/>
        </w:rPr>
        <w:outlineLvl w:val="0"/>
      </w:pPr>
      <w:r/>
      <w:bookmarkStart w:id="64" w:name="_Toc17168"/>
      <w:r/>
      <w:bookmarkStart w:id="65" w:name="_Toc12976"/>
      <w:r/>
      <w:bookmarkStart w:id="66" w:name="_Toc3150"/>
      <w:r>
        <w:rPr>
          <w:rFonts w:hint="eastAsia" w:ascii="Times New Roman" w:hAnsi="Times New Roman"/>
          <w:b/>
          <w:bCs/>
          <w:color w:val="000000"/>
          <w:sz w:val="32"/>
          <w:szCs w:val="32"/>
          <w:highlight w:val="none"/>
        </w:rPr>
        <w:t xml:space="preserve">六、其他补充事宜</w:t>
      </w:r>
      <w:bookmarkEnd w:id="61"/>
      <w:r/>
      <w:bookmarkEnd w:id="62"/>
      <w:r/>
      <w:bookmarkEnd w:id="63"/>
      <w:r/>
      <w:bookmarkEnd w:id="64"/>
      <w:r/>
      <w:bookmarkEnd w:id="65"/>
      <w:r/>
      <w:bookmarkEnd w:id="66"/>
      <w:r/>
      <w:r/>
    </w:p>
    <w:p>
      <w:pPr>
        <w:ind w:firstLine="480"/>
        <w:spacing w:line="360" w:lineRule="auto"/>
        <w:rPr>
          <w:rFonts w:ascii="宋体" w:hAnsi="宋体" w:cs="宋体"/>
          <w:color w:val="000000"/>
          <w:sz w:val="24"/>
          <w:szCs w:val="24"/>
          <w:highlight w:val="none"/>
        </w:rPr>
      </w:pPr>
      <w:r/>
      <w:bookmarkStart w:id="67" w:name="_Toc38985269"/>
      <w:r/>
      <w:bookmarkStart w:id="68" w:name="_Toc17112"/>
      <w:r/>
      <w:bookmarkStart w:id="69" w:name="_Toc35393796"/>
      <w:r/>
      <w:bookmarkStart w:id="70" w:name="_Toc35393627"/>
      <w:r/>
      <w:bookmarkStart w:id="71" w:name="_Toc14680"/>
      <w:r/>
      <w:bookmarkStart w:id="72" w:name="_Toc9562"/>
      <w:r/>
      <w:bookmarkStart w:id="73" w:name="_Toc28359085"/>
      <w:r/>
      <w:bookmarkStart w:id="74" w:name="_Toc28359008"/>
      <w:r>
        <w:rPr>
          <w:rFonts w:hint="eastAsia" w:ascii="宋体" w:hAnsi="宋体" w:cs="宋体"/>
          <w:color w:val="000000"/>
          <w:sz w:val="24"/>
          <w:szCs w:val="24"/>
          <w:highlight w:val="none"/>
        </w:rPr>
        <w:t xml:space="preserve">1.本招标文件中标注★的款项为实质性响应要求和条件，如不满足将按无效响应处理。</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000000"/>
          <w:sz w:val="24"/>
          <w:szCs w:val="24"/>
          <w:highlight w:val="none"/>
        </w:rPr>
        <w:t xml:space="preserve">江苏政府采购网</w:t>
      </w:r>
      <w:r>
        <w:rPr>
          <w:rFonts w:hint="eastAsia" w:ascii="宋体" w:hAnsi="宋体" w:cs="宋体"/>
          <w:color w:val="000000"/>
          <w:sz w:val="24"/>
          <w:szCs w:val="24"/>
          <w:highlight w:val="none"/>
        </w:rPr>
        <w:t xml:space="preserve">。若因投标人自身原因未及时关注本项目有关修改、补充或变更信息，导致投标文件编制或提交失误，由此造成的一切损失由投标人自行承担。</w:t>
      </w:r>
      <w:r/>
    </w:p>
    <w:p>
      <w:pPr>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七、本次招标联系方式</w:t>
      </w:r>
      <w:bookmarkEnd w:id="67"/>
      <w:r/>
      <w:bookmarkEnd w:id="68"/>
      <w:r/>
      <w:bookmarkEnd w:id="69"/>
      <w:r/>
      <w:bookmarkEnd w:id="70"/>
      <w:r/>
      <w:bookmarkEnd w:id="71"/>
      <w:r/>
      <w:bookmarkEnd w:id="72"/>
      <w:r/>
      <w:bookmarkEnd w:id="73"/>
      <w:r/>
      <w:bookmarkEnd w:id="74"/>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5" w:name="_Toc11503"/>
      <w:r/>
      <w:bookmarkStart w:id="76" w:name="_Toc10927"/>
      <w:r/>
      <w:bookmarkStart w:id="77" w:name="_Toc13285"/>
      <w:r>
        <w:rPr>
          <w:rFonts w:hint="eastAsia" w:ascii="宋体" w:hAnsi="宋体" w:eastAsia="宋体" w:cs="宋体"/>
          <w:color w:val="000000"/>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地址：连云港市海州区朝阳东路32-6号东盛阳光大厦A座1703号</w:t>
      </w:r>
      <w:r>
        <w:rPr>
          <w:rFonts w:hint="eastAsia" w:ascii="宋体" w:hAnsi="宋体" w:eastAsia="宋体" w:cs="宋体"/>
          <w:color w:val="000000"/>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电话：15705122288</w:t>
      </w:r>
      <w:r/>
    </w:p>
    <w:p>
      <w:pPr>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八、其他</w:t>
      </w:r>
      <w:bookmarkEnd w:id="75"/>
      <w:r/>
      <w:bookmarkEnd w:id="76"/>
      <w:r/>
      <w:bookmarkEnd w:id="77"/>
      <w:r/>
      <w:r/>
    </w:p>
    <w:p>
      <w:pPr>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p>
    <w:p>
      <w:pPr>
        <w:ind w:left="0" w:firstLine="480"/>
        <w:pageBreakBefore w:val="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p>
    <w:p>
      <w:pPr>
        <w:ind w:left="0" w:firstLine="480"/>
        <w:pageBreakBefore w:val="0"/>
        <w:spacing w:line="360" w:lineRule="auto"/>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有关本次招标的事项若存在变动或修改，敬请及时关注“江苏政府采购网”发布的更正公告。</w:t>
      </w:r>
      <w:r/>
    </w:p>
    <w:p>
      <w:pPr>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本次招标不收取投标保证金。</w:t>
      </w:r>
      <w:r/>
    </w:p>
    <w:p>
      <w:pPr>
        <w:ind w:left="0" w:right="0" w:firstLine="0"/>
        <w:jc w:val="center"/>
        <w:pageBreakBefore w:val="0"/>
        <w:spacing w:line="360" w:lineRule="auto"/>
        <w:widowControl w:val="off"/>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78" w:name="_Toc120614211"/>
      <w:r/>
      <w:bookmarkStart w:id="79" w:name="_Toc416"/>
      <w:r/>
      <w:bookmarkStart w:id="80" w:name="_Toc13224"/>
      <w:r/>
      <w:bookmarkStart w:id="81" w:name="_Toc8078"/>
      <w:r>
        <w:rPr>
          <w:rFonts w:hint="eastAsia" w:ascii="黑体" w:hAnsi="Arial" w:eastAsia="黑体" w:cs="Arial"/>
          <w:b/>
          <w:bCs/>
          <w:color w:val="000000"/>
          <w:sz w:val="44"/>
          <w:szCs w:val="44"/>
          <w:highlight w:val="none"/>
        </w:rPr>
        <w:t xml:space="preserve">第二章  </w:t>
      </w:r>
      <w:bookmarkEnd w:id="3"/>
      <w:r/>
      <w:bookmarkEnd w:id="4"/>
      <w:r/>
      <w:bookmarkEnd w:id="5"/>
      <w:r/>
      <w:bookmarkEnd w:id="6"/>
      <w:r/>
      <w:bookmarkEnd w:id="7"/>
      <w:r/>
      <w:bookmarkEnd w:id="78"/>
      <w:r/>
      <w:bookmarkStart w:id="82" w:name="_Toc513029202"/>
      <w:r/>
      <w:bookmarkStart w:id="83" w:name="_Toc20823274"/>
      <w:r/>
      <w:bookmarkStart w:id="84" w:name="_Toc120614213"/>
      <w:r/>
      <w:bookmarkStart w:id="85" w:name="_Toc16938518"/>
      <w:r>
        <w:rPr>
          <w:rFonts w:hint="eastAsia" w:ascii="黑体" w:hAnsi="Arial" w:eastAsia="黑体" w:cs="Arial"/>
          <w:b/>
          <w:bCs/>
          <w:color w:val="000000"/>
          <w:sz w:val="44"/>
          <w:szCs w:val="44"/>
          <w:highlight w:val="none"/>
        </w:rPr>
        <w:t xml:space="preserve">投标人须知</w:t>
      </w:r>
      <w:bookmarkEnd w:id="79"/>
      <w:r/>
      <w:bookmarkEnd w:id="80"/>
      <w:r/>
      <w:bookmarkEnd w:id="81"/>
      <w:r/>
      <w:bookmarkEnd w:id="82"/>
      <w:r/>
      <w:bookmarkEnd w:id="83"/>
      <w:r/>
      <w:bookmarkEnd w:id="84"/>
      <w:r/>
      <w:bookmarkEnd w:id="85"/>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86" w:name="_Toc513029203"/>
      <w:r/>
      <w:bookmarkStart w:id="87" w:name="_Toc9536"/>
      <w:r/>
      <w:bookmarkStart w:id="88" w:name="_Toc1786"/>
      <w:r/>
      <w:bookmarkStart w:id="89" w:name="_Toc28532"/>
      <w:r/>
      <w:bookmarkStart w:id="90" w:name="_Toc120614214"/>
      <w:r/>
      <w:bookmarkStart w:id="91" w:name="_Toc20823275"/>
      <w:r/>
      <w:bookmarkStart w:id="92" w:name="_Toc16938519"/>
      <w:r>
        <w:rPr>
          <w:rFonts w:hint="eastAsia" w:ascii="Times New Roman" w:hAnsi="Times New Roman"/>
          <w:b/>
          <w:bCs/>
          <w:color w:val="000000"/>
          <w:sz w:val="32"/>
          <w:szCs w:val="32"/>
          <w:highlight w:val="none"/>
        </w:rPr>
        <w:t xml:space="preserve">一、总则</w:t>
      </w:r>
      <w:bookmarkEnd w:id="86"/>
      <w:r/>
      <w:bookmarkEnd w:id="87"/>
      <w:r/>
      <w:bookmarkEnd w:id="88"/>
      <w:r/>
      <w:bookmarkEnd w:id="89"/>
      <w:r/>
      <w:bookmarkEnd w:id="90"/>
      <w:r/>
      <w:bookmarkEnd w:id="91"/>
      <w:r/>
      <w:bookmarkEnd w:id="92"/>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93" w:name="_Hlt16619475"/>
      <w:r/>
      <w:bookmarkEnd w:id="93"/>
      <w:r/>
      <w:bookmarkStart w:id="94" w:name="_Toc458694821"/>
      <w:r/>
      <w:bookmarkStart w:id="95" w:name="_Toc17897"/>
      <w:r/>
      <w:bookmarkStart w:id="96" w:name="_Toc2077"/>
      <w:r/>
      <w:bookmarkStart w:id="97" w:name="_Toc20823276"/>
      <w:r/>
      <w:bookmarkStart w:id="98" w:name="_Toc513029204"/>
      <w:r/>
      <w:bookmarkStart w:id="99" w:name="_Toc16938520"/>
      <w:r/>
      <w:bookmarkStart w:id="100" w:name="_Toc631"/>
      <w:r>
        <w:rPr>
          <w:rFonts w:hint="eastAsia" w:ascii="Arial" w:hAnsi="Arial" w:eastAsia="黑体" w:cs="Arial"/>
          <w:color w:val="000000"/>
          <w:sz w:val="28"/>
          <w:szCs w:val="28"/>
          <w:highlight w:val="none"/>
        </w:rPr>
        <w:t xml:space="preserve">1</w:t>
      </w:r>
      <w:bookmarkEnd w:id="94"/>
      <w:r>
        <w:rPr>
          <w:rFonts w:hint="eastAsia" w:ascii="Arial" w:hAnsi="Arial" w:eastAsia="黑体" w:cs="Arial"/>
          <w:color w:val="000000"/>
          <w:sz w:val="28"/>
          <w:szCs w:val="28"/>
          <w:highlight w:val="none"/>
        </w:rPr>
        <w:t xml:space="preserve">、招标方式</w:t>
      </w:r>
      <w:bookmarkEnd w:id="95"/>
      <w:r/>
      <w:bookmarkEnd w:id="96"/>
      <w:r/>
      <w:bookmarkEnd w:id="97"/>
      <w:r/>
      <w:bookmarkEnd w:id="98"/>
      <w:r/>
      <w:bookmarkEnd w:id="99"/>
      <w:r/>
      <w:bookmarkEnd w:id="100"/>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1" w:name="_Toc12127"/>
      <w:r/>
      <w:bookmarkStart w:id="102" w:name="_Toc10602"/>
      <w:r/>
      <w:bookmarkStart w:id="103" w:name="_Toc16938521"/>
      <w:r/>
      <w:bookmarkStart w:id="104" w:name="_Toc20823277"/>
      <w:r/>
      <w:bookmarkStart w:id="105" w:name="_Toc10189"/>
      <w:r/>
      <w:bookmarkStart w:id="106" w:name="_Toc513029205"/>
      <w:r>
        <w:rPr>
          <w:rFonts w:hint="eastAsia" w:ascii="Arial" w:hAnsi="Arial" w:eastAsia="黑体" w:cs="Arial"/>
          <w:color w:val="000000"/>
          <w:sz w:val="28"/>
          <w:szCs w:val="28"/>
          <w:highlight w:val="none"/>
        </w:rPr>
        <w:t xml:space="preserve">2、合格的投标人</w:t>
      </w:r>
      <w:bookmarkEnd w:id="101"/>
      <w:r/>
      <w:bookmarkEnd w:id="102"/>
      <w:r/>
      <w:bookmarkEnd w:id="103"/>
      <w:r/>
      <w:bookmarkEnd w:id="104"/>
      <w:r/>
      <w:bookmarkEnd w:id="105"/>
      <w:r/>
      <w:bookmarkEnd w:id="106"/>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7" w:name="_Toc278"/>
      <w:r/>
      <w:bookmarkStart w:id="108" w:name="_Toc21847"/>
      <w:r/>
      <w:bookmarkStart w:id="109" w:name="_Toc16938522"/>
      <w:r/>
      <w:bookmarkStart w:id="110" w:name="_Toc11936"/>
      <w:r/>
      <w:bookmarkStart w:id="111" w:name="_Toc513029206"/>
      <w:r/>
      <w:bookmarkStart w:id="112" w:name="_Toc20823278"/>
      <w:r>
        <w:rPr>
          <w:rFonts w:hint="eastAsia" w:ascii="Arial" w:hAnsi="Arial" w:eastAsia="黑体" w:cs="Arial"/>
          <w:color w:val="000000"/>
          <w:sz w:val="28"/>
          <w:szCs w:val="28"/>
          <w:highlight w:val="none"/>
        </w:rPr>
        <w:t xml:space="preserve">3、适用法律</w:t>
      </w:r>
      <w:bookmarkEnd w:id="107"/>
      <w:r/>
      <w:bookmarkEnd w:id="108"/>
      <w:r/>
      <w:bookmarkEnd w:id="109"/>
      <w:r/>
      <w:bookmarkEnd w:id="110"/>
      <w:r/>
      <w:bookmarkEnd w:id="111"/>
      <w:r/>
      <w:bookmarkEnd w:id="112"/>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13" w:name="_Toc27902"/>
      <w:r/>
      <w:bookmarkStart w:id="114" w:name="_Toc20823279"/>
      <w:r/>
      <w:bookmarkStart w:id="115" w:name="_Toc16938523"/>
      <w:r/>
      <w:bookmarkStart w:id="116" w:name="_Toc513029207"/>
      <w:r/>
      <w:bookmarkStart w:id="117" w:name="_Toc25633"/>
      <w:r/>
      <w:bookmarkStart w:id="118" w:name="_Toc10059"/>
      <w:r/>
      <w:bookmarkStart w:id="119" w:name="_Toc462564067"/>
      <w:r>
        <w:rPr>
          <w:rFonts w:hint="eastAsia" w:ascii="Arial" w:hAnsi="Arial" w:eastAsia="黑体" w:cs="Arial"/>
          <w:color w:val="000000"/>
          <w:sz w:val="28"/>
          <w:szCs w:val="28"/>
          <w:highlight w:val="none"/>
        </w:rPr>
        <w:t xml:space="preserve">4、投标费用</w:t>
      </w:r>
      <w:bookmarkEnd w:id="113"/>
      <w:r/>
      <w:bookmarkEnd w:id="114"/>
      <w:r/>
      <w:bookmarkEnd w:id="115"/>
      <w:r/>
      <w:bookmarkEnd w:id="116"/>
      <w:r/>
      <w:bookmarkEnd w:id="117"/>
      <w:r/>
      <w:bookmarkEnd w:id="118"/>
      <w:r/>
      <w:bookmarkEnd w:id="119"/>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）在任何情况下均无义务和责任承担这些费用。</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4.2本次招标采购代理服务费及其他：</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按照</w:t>
      </w:r>
      <w:r>
        <w:rPr>
          <w:rFonts w:hint="eastAsia" w:ascii="宋体" w:hAnsi="宋体"/>
          <w:color w:val="000000"/>
          <w:sz w:val="24"/>
          <w:szCs w:val="21"/>
          <w:highlight w:val="none"/>
        </w:rPr>
        <w:t xml:space="preserve">苏招协【2022】002号文规定的标准计取；</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（2）涉及本采购项目的其他费用，按相关规定执行。</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以上费用最终由中标人在领取中标通知书时一次性支付，投标人须将此部分费用综合考虑在报价中，不得单列。</w:t>
      </w:r>
      <w:r/>
    </w:p>
    <w:p>
      <w:pPr>
        <w:ind w:left="0" w:right="0" w:firstLine="602"/>
        <w:keepLines/>
        <w:keepNext/>
        <w:pageBreakBefore w:val="0"/>
        <w:spacing w:line="360" w:lineRule="auto"/>
        <w:widowControl w:val="off"/>
        <w:rPr>
          <w:rFonts w:hint="eastAsia" w:ascii="黑体" w:hAnsi="宋体" w:eastAsia="黑体" w:cs="Arial"/>
          <w:color w:val="000000"/>
          <w:sz w:val="28"/>
          <w:szCs w:val="28"/>
          <w:highlight w:val="none"/>
        </w:rPr>
        <w:outlineLvl w:val="1"/>
      </w:pPr>
      <w:r/>
      <w:bookmarkStart w:id="120" w:name="_Toc13039"/>
      <w:r/>
      <w:bookmarkStart w:id="121" w:name="_Toc13484"/>
      <w:r/>
      <w:bookmarkStart w:id="122" w:name="_Toc14146"/>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20"/>
      <w:r/>
      <w:bookmarkEnd w:id="121"/>
      <w:r/>
      <w:bookmarkEnd w:id="122"/>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23" w:name="_Toc513029209"/>
      <w:r/>
      <w:bookmarkStart w:id="124" w:name="_Toc2553"/>
      <w:r/>
      <w:bookmarkStart w:id="125" w:name="_Toc16938525"/>
      <w:r/>
      <w:bookmarkStart w:id="126" w:name="_Toc31399"/>
      <w:r/>
      <w:bookmarkStart w:id="127" w:name="_Toc120614215"/>
      <w:r/>
      <w:bookmarkStart w:id="128" w:name="_Toc20823281"/>
      <w:r/>
      <w:bookmarkStart w:id="129" w:name="_Toc23770"/>
      <w:r>
        <w:rPr>
          <w:rFonts w:hint="eastAsia" w:ascii="Times New Roman" w:hAnsi="Times New Roman"/>
          <w:b/>
          <w:bCs/>
          <w:color w:val="000000"/>
          <w:sz w:val="32"/>
          <w:szCs w:val="32"/>
          <w:highlight w:val="none"/>
        </w:rPr>
        <w:t xml:space="preserve">二、招标文件</w:t>
      </w:r>
      <w:bookmarkEnd w:id="123"/>
      <w:r/>
      <w:bookmarkEnd w:id="124"/>
      <w:r/>
      <w:bookmarkEnd w:id="125"/>
      <w:r/>
      <w:bookmarkEnd w:id="126"/>
      <w:r/>
      <w:bookmarkEnd w:id="127"/>
      <w:r/>
      <w:bookmarkEnd w:id="128"/>
      <w:r/>
      <w:bookmarkEnd w:id="129"/>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0" w:name="_Toc16938526"/>
      <w:r/>
      <w:bookmarkStart w:id="131" w:name="_Toc22903"/>
      <w:r/>
      <w:bookmarkStart w:id="132" w:name="_Toc20823282"/>
      <w:r/>
      <w:bookmarkStart w:id="133" w:name="_Toc17550"/>
      <w:r/>
      <w:bookmarkStart w:id="134" w:name="_Toc513029210"/>
      <w:r/>
      <w:bookmarkStart w:id="135" w:name="_Toc29450"/>
      <w:r>
        <w:rPr>
          <w:rFonts w:hint="eastAsia" w:ascii="Arial" w:hAnsi="Arial" w:eastAsia="黑体" w:cs="Arial"/>
          <w:color w:val="000000"/>
          <w:sz w:val="28"/>
          <w:szCs w:val="28"/>
          <w:highlight w:val="none"/>
        </w:rPr>
        <w:t xml:space="preserve">6、招标文件构成</w:t>
      </w:r>
      <w:bookmarkEnd w:id="130"/>
      <w:r/>
      <w:bookmarkEnd w:id="131"/>
      <w:r/>
      <w:bookmarkEnd w:id="132"/>
      <w:r/>
      <w:bookmarkEnd w:id="133"/>
      <w:r/>
      <w:bookmarkEnd w:id="134"/>
      <w:r/>
      <w:bookmarkEnd w:id="135"/>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left="0" w:right="0" w:firstLine="480"/>
        <w:pageBreakBefore w:val="0"/>
        <w:spacing w:line="360" w:lineRule="auto"/>
        <w:widowControl w:val="off"/>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联系解决。</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6" w:name="_Toc16938527"/>
      <w:r/>
      <w:bookmarkStart w:id="137" w:name="_Toc20823283"/>
      <w:r/>
      <w:bookmarkStart w:id="138" w:name="_Toc513029211"/>
      <w:r/>
      <w:bookmarkStart w:id="139" w:name="_Toc5975"/>
      <w:r/>
      <w:bookmarkStart w:id="140" w:name="_Toc26045"/>
      <w:r/>
      <w:bookmarkStart w:id="141" w:name="_Toc462564070"/>
      <w:r/>
      <w:bookmarkStart w:id="142" w:name="_Toc4869"/>
      <w:r>
        <w:rPr>
          <w:rFonts w:hint="eastAsia" w:ascii="Arial" w:hAnsi="Arial" w:eastAsia="黑体" w:cs="Arial"/>
          <w:color w:val="000000"/>
          <w:sz w:val="28"/>
          <w:szCs w:val="28"/>
          <w:highlight w:val="none"/>
        </w:rPr>
        <w:t xml:space="preserve">7、招标文件的澄清</w:t>
      </w:r>
      <w:bookmarkEnd w:id="136"/>
      <w:r/>
      <w:bookmarkEnd w:id="137"/>
      <w:r/>
      <w:bookmarkEnd w:id="138"/>
      <w:r/>
      <w:bookmarkEnd w:id="139"/>
      <w:r/>
      <w:bookmarkEnd w:id="140"/>
      <w:r/>
      <w:bookmarkEnd w:id="141"/>
      <w:r/>
      <w:bookmarkEnd w:id="142"/>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43" w:name="_Toc513029212"/>
      <w:r/>
      <w:bookmarkStart w:id="144" w:name="_Toc17024"/>
      <w:r/>
      <w:bookmarkStart w:id="145" w:name="_Toc20823284"/>
      <w:r/>
      <w:bookmarkStart w:id="146" w:name="_Toc13596"/>
      <w:r/>
      <w:bookmarkStart w:id="147" w:name="_Toc30493"/>
      <w:r/>
      <w:bookmarkStart w:id="148" w:name="_Toc462564071"/>
      <w:r/>
      <w:bookmarkStart w:id="149" w:name="_Toc16938528"/>
      <w:r>
        <w:rPr>
          <w:rFonts w:hint="eastAsia" w:ascii="Arial" w:hAnsi="Arial" w:eastAsia="黑体" w:cs="Arial"/>
          <w:color w:val="000000"/>
          <w:sz w:val="28"/>
          <w:szCs w:val="28"/>
          <w:highlight w:val="none"/>
        </w:rPr>
        <w:t xml:space="preserve">8、招标文件的修改</w:t>
      </w:r>
      <w:bookmarkEnd w:id="143"/>
      <w:r/>
      <w:bookmarkEnd w:id="144"/>
      <w:r/>
      <w:bookmarkEnd w:id="145"/>
      <w:r/>
      <w:bookmarkEnd w:id="146"/>
      <w:r/>
      <w:bookmarkEnd w:id="147"/>
      <w:r/>
      <w:bookmarkEnd w:id="148"/>
      <w:r/>
      <w:bookmarkEnd w:id="149"/>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可以对招标文件进行修改。</w:t>
      </w:r>
      <w:r/>
    </w:p>
    <w:p>
      <w:pPr>
        <w:ind w:left="0" w:right="0" w:firstLine="480"/>
        <w:pageBreakBefore w:val="0"/>
        <w:spacing w:line="360" w:lineRule="auto"/>
        <w:widowControl w:val="off"/>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50" w:name="_Toc513029213"/>
      <w:r/>
      <w:bookmarkStart w:id="151" w:name="_Toc462564072"/>
      <w:r/>
      <w:bookmarkStart w:id="152" w:name="_Toc120614216"/>
      <w:r/>
      <w:bookmarkStart w:id="153" w:name="_Toc30598"/>
      <w:r/>
      <w:bookmarkStart w:id="154" w:name="_Toc3031"/>
      <w:r/>
      <w:bookmarkStart w:id="155" w:name="_Toc20823285"/>
      <w:r/>
      <w:bookmarkStart w:id="156" w:name="_Toc27956"/>
      <w:r/>
      <w:bookmarkStart w:id="157" w:name="_Toc16938529"/>
      <w:r>
        <w:rPr>
          <w:rFonts w:hint="eastAsia" w:ascii="Times New Roman" w:hAnsi="Times New Roman"/>
          <w:b/>
          <w:bCs/>
          <w:color w:val="000000"/>
          <w:sz w:val="32"/>
          <w:szCs w:val="32"/>
          <w:highlight w:val="none"/>
        </w:rPr>
        <w:t xml:space="preserve">三、投标文件的编制</w:t>
      </w:r>
      <w:bookmarkEnd w:id="150"/>
      <w:r/>
      <w:bookmarkEnd w:id="151"/>
      <w:r/>
      <w:bookmarkEnd w:id="152"/>
      <w:r/>
      <w:bookmarkEnd w:id="153"/>
      <w:r/>
      <w:bookmarkEnd w:id="154"/>
      <w:r/>
      <w:bookmarkEnd w:id="155"/>
      <w:r/>
      <w:bookmarkEnd w:id="156"/>
      <w:r/>
      <w:bookmarkEnd w:id="157"/>
      <w:r/>
      <w:r/>
    </w:p>
    <w:p>
      <w:pPr>
        <w:ind w:left="0" w:right="0" w:firstLine="560"/>
        <w:keepLines/>
        <w:keepNext/>
        <w:pageBreakBefore w:val="0"/>
        <w:spacing w:line="360" w:lineRule="auto"/>
        <w:widowControl w:val="off"/>
        <w:rPr>
          <w:rFonts w:hint="eastAsia" w:ascii="Arial" w:hAnsi="Arial" w:eastAsia="黑体" w:cs="Arial"/>
          <w:b/>
          <w:color w:val="000000"/>
          <w:sz w:val="28"/>
          <w:szCs w:val="28"/>
          <w:highlight w:val="none"/>
        </w:rPr>
        <w:outlineLvl w:val="1"/>
      </w:pPr>
      <w:r/>
      <w:bookmarkStart w:id="158" w:name="_Toc24661"/>
      <w:r/>
      <w:bookmarkStart w:id="159" w:name="_Toc12620"/>
      <w:r/>
      <w:bookmarkStart w:id="160" w:name="_Toc462564073"/>
      <w:r/>
      <w:bookmarkStart w:id="161" w:name="_Toc16938530"/>
      <w:r/>
      <w:bookmarkStart w:id="162" w:name="_Toc30948"/>
      <w:r/>
      <w:bookmarkStart w:id="163" w:name="_Toc513029214"/>
      <w:r/>
      <w:bookmarkStart w:id="164" w:name="_Toc20823286"/>
      <w:r>
        <w:rPr>
          <w:rFonts w:hint="eastAsia" w:ascii="Arial" w:hAnsi="Arial" w:eastAsia="黑体" w:cs="Arial"/>
          <w:color w:val="000000"/>
          <w:sz w:val="28"/>
          <w:szCs w:val="28"/>
          <w:highlight w:val="none"/>
        </w:rPr>
        <w:t xml:space="preserve">9、投标文件的语言及度量衡单位</w:t>
      </w:r>
      <w:bookmarkEnd w:id="158"/>
      <w:r/>
      <w:bookmarkEnd w:id="159"/>
      <w:r/>
      <w:bookmarkEnd w:id="160"/>
      <w:r/>
      <w:bookmarkEnd w:id="161"/>
      <w:r/>
      <w:bookmarkEnd w:id="162"/>
      <w:r/>
      <w:bookmarkEnd w:id="163"/>
      <w:r/>
      <w:bookmarkEnd w:id="164"/>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65" w:name="_Toc462564074"/>
      <w:r/>
      <w:bookmarkStart w:id="166" w:name="_Toc16938531"/>
      <w:r/>
      <w:bookmarkStart w:id="167" w:name="_Toc27068"/>
      <w:r/>
      <w:bookmarkStart w:id="168" w:name="_Toc20823287"/>
      <w:r/>
      <w:bookmarkStart w:id="169" w:name="_Toc1965"/>
      <w:r/>
      <w:bookmarkStart w:id="170" w:name="_Toc513029215"/>
      <w:r/>
      <w:bookmarkStart w:id="171" w:name="_Toc5665"/>
      <w:r>
        <w:rPr>
          <w:rFonts w:hint="eastAsia" w:ascii="Arial" w:hAnsi="Arial" w:eastAsia="黑体" w:cs="Arial"/>
          <w:color w:val="000000"/>
          <w:sz w:val="28"/>
          <w:szCs w:val="28"/>
          <w:highlight w:val="none"/>
        </w:rPr>
        <w:t xml:space="preserve">10、投标文件构成</w:t>
      </w:r>
      <w:bookmarkEnd w:id="165"/>
      <w:r/>
      <w:bookmarkEnd w:id="166"/>
      <w:r/>
      <w:bookmarkEnd w:id="167"/>
      <w:r/>
      <w:bookmarkEnd w:id="168"/>
      <w:r/>
      <w:bookmarkEnd w:id="169"/>
      <w:r/>
      <w:bookmarkEnd w:id="170"/>
      <w:r/>
      <w:bookmarkEnd w:id="171"/>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72" w:name="_Hlt26954838"/>
      <w:r/>
      <w:bookmarkEnd w:id="172"/>
      <w:r/>
      <w:bookmarkStart w:id="173" w:name="_Hlt26670360"/>
      <w:r/>
      <w:bookmarkEnd w:id="173"/>
      <w:r/>
      <w:bookmarkStart w:id="174" w:name="_Hlt26668975"/>
      <w:r/>
      <w:bookmarkEnd w:id="174"/>
      <w:r/>
      <w:bookmarkStart w:id="175" w:name="_Toc14577357"/>
      <w:r/>
      <w:bookmarkStart w:id="176" w:name="_Toc513029219"/>
      <w:r/>
      <w:bookmarkStart w:id="177" w:name="_Toc1563"/>
      <w:r/>
      <w:bookmarkStart w:id="178" w:name="_Toc17939"/>
      <w:r/>
      <w:bookmarkStart w:id="179" w:name="_Toc10166"/>
      <w:r/>
      <w:bookmarkStart w:id="180" w:name="_Toc49090509"/>
      <w:r/>
      <w:bookmarkStart w:id="181" w:name="_Toc49090507"/>
      <w:r/>
      <w:bookmarkStart w:id="182" w:name="_Toc14577354"/>
      <w:r/>
      <w:bookmarkStart w:id="183" w:name="_Toc513029216"/>
      <w:r/>
      <w:bookmarkStart w:id="184" w:name="_Toc49090508"/>
      <w:r/>
      <w:bookmarkStart w:id="185" w:name="_Toc14577355"/>
      <w:r>
        <w:rPr>
          <w:rFonts w:hint="eastAsia" w:ascii="Arial" w:hAnsi="Arial" w:eastAsia="黑体" w:cs="Arial"/>
          <w:color w:val="000000"/>
          <w:sz w:val="28"/>
          <w:szCs w:val="28"/>
          <w:highlight w:val="none"/>
        </w:rPr>
        <w:t xml:space="preserve">11、证明投标人及投标标的符合招标文件规定的文件</w:t>
      </w:r>
      <w:bookmarkEnd w:id="175"/>
      <w:r/>
      <w:bookmarkEnd w:id="176"/>
      <w:r/>
      <w:bookmarkEnd w:id="177"/>
      <w:r/>
      <w:bookmarkEnd w:id="178"/>
      <w:r/>
      <w:bookmarkEnd w:id="179"/>
      <w:r/>
      <w:bookmarkEnd w:id="180"/>
      <w:r/>
      <w:bookmarkEnd w:id="181"/>
      <w:bookmarkEnd w:id="182"/>
      <w:bookmarkEnd w:id="183"/>
      <w:r/>
    </w:p>
    <w:p>
      <w:pPr>
        <w:ind w:righ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11.1 投标人应按照招标文件要求提交证明文件，证明其及投标标的符合招标文件规定。</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bookmarkEnd w:id="184"/>
      <w:bookmarkEnd w:id="185"/>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86" w:name="_Toc24538"/>
      <w:r/>
      <w:bookmarkStart w:id="187" w:name="_Toc30824"/>
      <w:r/>
      <w:bookmarkStart w:id="188" w:name="_Toc8226"/>
      <w:r>
        <w:rPr>
          <w:rFonts w:hint="eastAsia" w:ascii="Arial" w:hAnsi="Arial" w:eastAsia="黑体" w:cs="Arial"/>
          <w:color w:val="000000"/>
          <w:sz w:val="28"/>
          <w:szCs w:val="28"/>
          <w:highlight w:val="none"/>
        </w:rPr>
        <w:t xml:space="preserve">12、投标分项报价表</w:t>
      </w:r>
      <w:bookmarkEnd w:id="186"/>
      <w:r/>
      <w:bookmarkEnd w:id="187"/>
      <w:r/>
      <w:bookmarkEnd w:id="188"/>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投标人应按照招标文件规定格式填报投标分项报价表。</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color w:val="000000"/>
          <w:sz w:val="24"/>
          <w:szCs w:val="21"/>
          <w:highlight w:val="none"/>
          <w:lang w:val="en-US" w:eastAsia="zh-CN"/>
        </w:rPr>
        <w:t xml:space="preserve">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89" w:name="_Hlt26670486"/>
      <w:r/>
      <w:bookmarkEnd w:id="189"/>
      <w:r/>
      <w:bookmarkStart w:id="190" w:name="_Hlt26670482"/>
      <w:r/>
      <w:bookmarkEnd w:id="190"/>
      <w:r/>
      <w:bookmarkStart w:id="191" w:name="_Hlt26954846"/>
      <w:r/>
      <w:bookmarkEnd w:id="191"/>
      <w:r/>
      <w:bookmarkStart w:id="192" w:name="_Hlt26954848"/>
      <w:r/>
      <w:bookmarkEnd w:id="192"/>
      <w:r/>
      <w:bookmarkStart w:id="193" w:name="_Hlt26954731"/>
      <w:r/>
      <w:bookmarkEnd w:id="193"/>
      <w:r/>
      <w:bookmarkStart w:id="194" w:name="_Toc25844"/>
      <w:r/>
      <w:bookmarkStart w:id="195" w:name="_Toc31948"/>
      <w:r/>
      <w:bookmarkStart w:id="196" w:name="_Toc4358"/>
      <w:r>
        <w:rPr>
          <w:rFonts w:hint="eastAsia" w:ascii="Arial" w:hAnsi="Arial" w:eastAsia="黑体" w:cs="Arial"/>
          <w:color w:val="000000"/>
          <w:sz w:val="28"/>
          <w:szCs w:val="28"/>
          <w:highlight w:val="none"/>
        </w:rPr>
        <w:t xml:space="preserve">13、技术要求响应及偏离表、商务要求响应及偏离表</w:t>
      </w:r>
      <w:bookmarkEnd w:id="194"/>
      <w:r/>
      <w:bookmarkEnd w:id="195"/>
      <w:r/>
      <w:bookmarkEnd w:id="196"/>
      <w:r/>
      <w:r/>
    </w:p>
    <w:p>
      <w:pPr>
        <w:ind w:left="0" w:right="0" w:firstLine="480"/>
        <w:pageBreakBefore w:val="0"/>
        <w:spacing w:line="360" w:lineRule="auto"/>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p>
    <w:p>
      <w:pPr>
        <w:ind w:left="0" w:right="0" w:firstLine="480"/>
        <w:pageBreakBefore w:val="0"/>
        <w:spacing w:line="360" w:lineRule="auto"/>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97" w:name="_Toc17173"/>
      <w:r/>
      <w:bookmarkStart w:id="198" w:name="_Toc17573"/>
      <w:r/>
      <w:bookmarkStart w:id="199" w:name="_Toc30359"/>
      <w:r>
        <w:rPr>
          <w:rFonts w:hint="eastAsia" w:ascii="Arial" w:hAnsi="Arial" w:eastAsia="黑体" w:cs="Arial"/>
          <w:color w:val="000000"/>
          <w:sz w:val="28"/>
          <w:szCs w:val="28"/>
          <w:highlight w:val="none"/>
        </w:rPr>
        <w:t xml:space="preserve">14、服务承诺、培训计划、人员安排及其他</w:t>
      </w:r>
      <w:bookmarkEnd w:id="197"/>
      <w:r/>
      <w:bookmarkEnd w:id="198"/>
      <w:r/>
      <w:bookmarkEnd w:id="199"/>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00" w:name="_Toc8778"/>
      <w:r/>
      <w:bookmarkStart w:id="201" w:name="_Toc3415"/>
      <w:r/>
      <w:bookmarkStart w:id="202" w:name="_Toc17680"/>
      <w:r/>
      <w:bookmarkStart w:id="203" w:name="_Toc49090510"/>
      <w:r/>
      <w:bookmarkStart w:id="204" w:name="_Toc14577359"/>
      <w:r>
        <w:rPr>
          <w:rFonts w:hint="eastAsia" w:ascii="Arial" w:hAnsi="Arial" w:eastAsia="黑体" w:cs="Arial"/>
          <w:color w:val="000000"/>
          <w:sz w:val="28"/>
          <w:szCs w:val="28"/>
          <w:highlight w:val="none"/>
        </w:rPr>
        <w:t xml:space="preserve">15、投标函和开标一览表</w:t>
      </w:r>
      <w:bookmarkEnd w:id="200"/>
      <w:r/>
      <w:bookmarkEnd w:id="201"/>
      <w:r/>
      <w:bookmarkEnd w:id="202"/>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203"/>
      <w:bookmarkEnd w:id="204"/>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05" w:name="_Toc31751"/>
      <w:r/>
      <w:bookmarkStart w:id="206" w:name="_Toc2574"/>
      <w:r/>
      <w:bookmarkStart w:id="207" w:name="_Toc49090511"/>
      <w:r/>
      <w:bookmarkStart w:id="208" w:name="_Toc14577360"/>
      <w:r/>
      <w:bookmarkStart w:id="209" w:name="_Toc25921"/>
      <w:r>
        <w:rPr>
          <w:rFonts w:hint="eastAsia" w:ascii="Arial" w:hAnsi="Arial" w:eastAsia="黑体" w:cs="Arial"/>
          <w:color w:val="000000"/>
          <w:sz w:val="28"/>
          <w:szCs w:val="28"/>
          <w:highlight w:val="none"/>
        </w:rPr>
        <w:t xml:space="preserve">16、投标有效期</w:t>
      </w:r>
      <w:bookmarkEnd w:id="205"/>
      <w:r/>
      <w:bookmarkEnd w:id="206"/>
      <w:r/>
      <w:bookmarkEnd w:id="207"/>
      <w:r/>
      <w:bookmarkEnd w:id="208"/>
      <w:r/>
      <w:bookmarkEnd w:id="209"/>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10" w:name="_Toc29039"/>
      <w:r/>
      <w:bookmarkStart w:id="211" w:name="_Toc11289"/>
      <w:r/>
      <w:bookmarkStart w:id="212" w:name="_Toc11803"/>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bookmarkEnd w:id="210"/>
      <w:r/>
      <w:bookmarkEnd w:id="211"/>
      <w:r/>
      <w:bookmarkEnd w:id="212"/>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13" w:name="_Hlt26954852"/>
      <w:r/>
      <w:bookmarkEnd w:id="213"/>
      <w:r/>
      <w:bookmarkStart w:id="214" w:name="_Hlt26954739"/>
      <w:r/>
      <w:bookmarkEnd w:id="214"/>
      <w:r/>
      <w:bookmarkStart w:id="215" w:name="_Toc120614217"/>
      <w:r/>
      <w:bookmarkStart w:id="216" w:name="_Toc16938540"/>
      <w:r/>
      <w:bookmarkStart w:id="217" w:name="_Toc21332"/>
      <w:r/>
      <w:bookmarkStart w:id="218" w:name="_Toc11300"/>
      <w:r/>
      <w:bookmarkStart w:id="219" w:name="_Toc10725"/>
      <w:r/>
      <w:bookmarkStart w:id="220" w:name="_Toc20823296"/>
      <w:r/>
      <w:bookmarkStart w:id="221" w:name="_Toc513029224"/>
      <w:r>
        <w:rPr>
          <w:rFonts w:hint="eastAsia" w:ascii="Times New Roman" w:hAnsi="Times New Roman"/>
          <w:b/>
          <w:bCs/>
          <w:color w:val="000000"/>
          <w:sz w:val="32"/>
          <w:szCs w:val="32"/>
          <w:highlight w:val="none"/>
        </w:rPr>
        <w:t xml:space="preserve">四、投标文件的递交</w:t>
      </w:r>
      <w:bookmarkEnd w:id="215"/>
      <w:r/>
      <w:bookmarkEnd w:id="216"/>
      <w:r/>
      <w:bookmarkEnd w:id="217"/>
      <w:r/>
      <w:bookmarkEnd w:id="218"/>
      <w:r/>
      <w:bookmarkEnd w:id="219"/>
      <w:r/>
      <w:bookmarkEnd w:id="220"/>
      <w:r/>
      <w:bookmarkEnd w:id="221"/>
      <w:r/>
      <w:r/>
    </w:p>
    <w:p>
      <w:pPr>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22" w:name="_Toc20823297"/>
      <w:r/>
      <w:bookmarkStart w:id="223" w:name="_Toc513029225"/>
      <w:r/>
      <w:bookmarkStart w:id="224" w:name="_Toc462564084"/>
      <w:r/>
      <w:bookmarkStart w:id="225" w:name="_Toc16938541"/>
      <w:r/>
      <w:bookmarkStart w:id="226" w:name="_Toc25329"/>
      <w:r/>
      <w:bookmarkStart w:id="227" w:name="_Toc5063"/>
      <w:r/>
      <w:bookmarkStart w:id="228" w:name="_Toc31656"/>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22"/>
      <w:r/>
      <w:bookmarkEnd w:id="223"/>
      <w:r/>
      <w:bookmarkEnd w:id="224"/>
      <w:r/>
      <w:bookmarkEnd w:id="225"/>
      <w:r>
        <w:rPr>
          <w:rFonts w:hint="eastAsia" w:ascii="黑体" w:hAnsi="Arial" w:eastAsia="黑体" w:cs="Arial"/>
          <w:color w:val="000000"/>
          <w:sz w:val="28"/>
          <w:szCs w:val="28"/>
          <w:highlight w:val="none"/>
        </w:rPr>
        <w:t xml:space="preserve">的递交</w:t>
      </w:r>
      <w:bookmarkEnd w:id="226"/>
      <w:r/>
      <w:bookmarkEnd w:id="227"/>
      <w:r/>
      <w:bookmarkEnd w:id="228"/>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p>
    <w:p>
      <w:pPr>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229" w:name="_Toc16938542"/>
      <w:r/>
      <w:bookmarkStart w:id="230" w:name="_Toc20823298"/>
      <w:r/>
      <w:bookmarkStart w:id="231" w:name="_Toc513029226"/>
      <w:r/>
      <w:r/>
    </w:p>
    <w:p>
      <w:pPr>
        <w:ind w:left="0" w:right="0" w:firstLine="560"/>
        <w:keepLines/>
        <w:keepNext/>
        <w:pageBreakBefore w:val="0"/>
        <w:spacing w:line="360" w:lineRule="auto"/>
        <w:widowControl w:val="off"/>
        <w:rPr>
          <w:rFonts w:hint="eastAsia" w:ascii="宋体" w:hAnsi="宋体" w:eastAsia="黑体" w:cs="Arial"/>
          <w:bCs/>
          <w:color w:val="000000"/>
          <w:sz w:val="24"/>
          <w:szCs w:val="28"/>
          <w:highlight w:val="none"/>
        </w:rPr>
        <w:outlineLvl w:val="1"/>
      </w:pPr>
      <w:r/>
      <w:bookmarkStart w:id="232" w:name="_Toc29627"/>
      <w:r/>
      <w:bookmarkStart w:id="233" w:name="_Toc1387"/>
      <w:r/>
      <w:bookmarkStart w:id="234" w:name="_Toc7538"/>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29"/>
      <w:r/>
      <w:bookmarkEnd w:id="230"/>
      <w:r/>
      <w:bookmarkEnd w:id="231"/>
      <w:r/>
      <w:bookmarkEnd w:id="232"/>
      <w:r/>
      <w:bookmarkEnd w:id="233"/>
      <w:r/>
      <w:bookmarkEnd w:id="234"/>
      <w:r/>
      <w:r/>
    </w:p>
    <w:p>
      <w:pPr>
        <w:ind w:left="0" w:right="0" w:firstLine="482"/>
        <w:pageBreakBefore w:val="0"/>
        <w:spacing w:line="360" w:lineRule="auto"/>
        <w:widowControl w:val="off"/>
        <w:rPr>
          <w:rFonts w:hint="eastAsia" w:ascii="宋体" w:hAnsi="宋体"/>
          <w:b/>
          <w:bCs/>
          <w:i w:val="0"/>
          <w:iCs/>
          <w:color w:val="000000"/>
          <w:sz w:val="24"/>
          <w:szCs w:val="21"/>
          <w:highlight w:val="none"/>
          <w:u w:val="none"/>
        </w:rPr>
      </w:pPr>
      <w:r>
        <w:rPr>
          <w:rFonts w:ascii="宋体" w:hAnsi="宋体"/>
          <w:b/>
          <w:bCs/>
          <w:i w:val="0"/>
          <w:iCs/>
          <w:color w:val="000000"/>
          <w:sz w:val="24"/>
          <w:szCs w:val="21"/>
          <w:highlight w:val="none"/>
          <w:u w:val="none"/>
        </w:rPr>
        <w:t xml:space="preserve">19</w:t>
      </w:r>
      <w:r>
        <w:rPr>
          <w:rFonts w:hint="eastAsia" w:ascii="宋体" w:hAnsi="宋体"/>
          <w:b/>
          <w:bCs/>
          <w:i w:val="0"/>
          <w:iCs/>
          <w:color w:val="000000"/>
          <w:sz w:val="24"/>
          <w:szCs w:val="21"/>
          <w:highlight w:val="none"/>
          <w:u w:val="none"/>
        </w:rPr>
        <w:t xml:space="preserve">.1 投标人上传电子投标文件的时间不得迟于招标公告中规定的投标截止时间。</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pageBreakBefore w:val="0"/>
        <w:spacing w:line="360" w:lineRule="auto"/>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35" w:name="_Toc20823299"/>
      <w:r/>
      <w:bookmarkStart w:id="236" w:name="_Toc16938543"/>
      <w:r/>
      <w:bookmarkStart w:id="237" w:name="_Toc513029227"/>
      <w:r/>
      <w:bookmarkStart w:id="238" w:name="_Toc16299"/>
      <w:r/>
      <w:bookmarkStart w:id="239" w:name="_Toc1574"/>
      <w:r/>
      <w:bookmarkStart w:id="240" w:name="_Toc13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35"/>
      <w:r/>
      <w:bookmarkEnd w:id="236"/>
      <w:r/>
      <w:bookmarkEnd w:id="237"/>
      <w:r>
        <w:rPr>
          <w:rFonts w:hint="eastAsia" w:ascii="Arial" w:hAnsi="Arial" w:eastAsia="黑体" w:cs="Arial"/>
          <w:color w:val="000000"/>
          <w:sz w:val="28"/>
          <w:szCs w:val="28"/>
          <w:highlight w:val="none"/>
        </w:rPr>
        <w:t xml:space="preserve">的拒收</w:t>
      </w:r>
      <w:bookmarkEnd w:id="238"/>
      <w:r/>
      <w:bookmarkEnd w:id="239"/>
      <w:r/>
      <w:bookmarkEnd w:id="240"/>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拒绝接收在其规定的投标截止时间后上传的任何投标文件。</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41" w:name="_Toc9365"/>
      <w:r/>
      <w:bookmarkStart w:id="242" w:name="_Toc16243"/>
      <w:r/>
      <w:bookmarkStart w:id="243" w:name="_Toc19523"/>
      <w:r/>
      <w:bookmarkStart w:id="244" w:name="_Toc513029228"/>
      <w:r/>
      <w:bookmarkStart w:id="245" w:name="_Toc20823300"/>
      <w:r/>
      <w:bookmarkStart w:id="246"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41"/>
      <w:r/>
      <w:bookmarkEnd w:id="242"/>
      <w:r/>
      <w:bookmarkEnd w:id="243"/>
      <w:r/>
      <w:bookmarkEnd w:id="244"/>
      <w:r/>
      <w:bookmarkEnd w:id="245"/>
      <w:r/>
      <w:bookmarkEnd w:id="246"/>
      <w:r/>
      <w:r/>
    </w:p>
    <w:p>
      <w:pPr>
        <w:ind w:left="0" w:right="0" w:firstLine="480"/>
        <w:pageBreakBefore w:val="0"/>
        <w:spacing w:line="360" w:lineRule="auto"/>
        <w:widowControl w:val="off"/>
        <w:rPr>
          <w:rFonts w:hint="eastAsia" w:ascii="宋体" w:hAnsi="宋体"/>
          <w:color w:val="000000"/>
          <w:sz w:val="24"/>
          <w:szCs w:val="21"/>
          <w:highlight w:val="none"/>
        </w:rPr>
        <w:outlineLvl w:val="2"/>
      </w:pPr>
      <w:r/>
      <w:bookmarkStart w:id="247" w:name="_Toc7188"/>
      <w:r/>
      <w:bookmarkStart w:id="248" w:name="_Toc8719"/>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bookmarkEnd w:id="247"/>
      <w:r/>
      <w:bookmarkEnd w:id="248"/>
      <w:r/>
      <w:r/>
    </w:p>
    <w:p>
      <w:pPr>
        <w:ind w:left="0" w:right="0" w:firstLine="480"/>
        <w:pageBreakBefore w:val="0"/>
        <w:spacing w:line="360" w:lineRule="auto"/>
        <w:widowControl w:val="off"/>
        <w:rPr>
          <w:rFonts w:hint="eastAsia" w:ascii="宋体" w:hAnsi="宋体"/>
          <w:color w:val="000000"/>
          <w:sz w:val="24"/>
          <w:szCs w:val="21"/>
          <w:highlight w:val="none"/>
        </w:rPr>
        <w:outlineLvl w:val="3"/>
      </w:pPr>
      <w:r/>
      <w:bookmarkStart w:id="249" w:name="_Toc28208"/>
      <w:r/>
      <w:bookmarkStart w:id="250" w:name="_Toc26597"/>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bookmarkEnd w:id="249"/>
      <w:r/>
      <w:bookmarkEnd w:id="250"/>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left="0" w:right="0" w:firstLine="480"/>
        <w:pageBreakBefore w:val="0"/>
        <w:spacing w:line="360" w:lineRule="auto"/>
        <w:widowControl w:val="off"/>
        <w:rPr>
          <w:rFonts w:hint="eastAsia" w:ascii="宋体" w:hAnsi="宋体"/>
          <w:color w:val="000000"/>
          <w:sz w:val="24"/>
          <w:szCs w:val="24"/>
          <w:highlight w:val="none"/>
        </w:rPr>
        <w:outlineLvl w:val="3"/>
      </w:pPr>
      <w:r/>
      <w:bookmarkStart w:id="251" w:name="_Toc32228"/>
      <w:r/>
      <w:bookmarkStart w:id="252" w:name="_Toc11637"/>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bookmarkEnd w:id="251"/>
      <w:r/>
      <w:bookmarkEnd w:id="252"/>
      <w:r/>
      <w:r/>
    </w:p>
    <w:p>
      <w:pPr>
        <w:ind w:left="0" w:right="0" w:firstLine="480"/>
        <w:pageBreakBefore w:val="0"/>
        <w:spacing w:line="360" w:lineRule="auto"/>
        <w:widowControl w:val="off"/>
        <w:rPr>
          <w:rFonts w:hint="eastAsia" w:ascii="宋体" w:hAnsi="宋体"/>
          <w:color w:val="000000"/>
          <w:sz w:val="24"/>
          <w:szCs w:val="24"/>
          <w:highlight w:val="none"/>
        </w:rPr>
        <w:outlineLvl w:val="2"/>
      </w:pPr>
      <w:r/>
      <w:bookmarkStart w:id="253" w:name="_Toc25071"/>
      <w:r/>
      <w:bookmarkStart w:id="254" w:name="_Toc17076"/>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bookmarkEnd w:id="253"/>
      <w:r/>
      <w:bookmarkEnd w:id="254"/>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55" w:name="_Toc29813"/>
      <w:r/>
      <w:bookmarkStart w:id="256" w:name="_Toc26605"/>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End w:id="255"/>
      <w:r/>
      <w:bookmarkEnd w:id="256"/>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57" w:name="_Toc120614218"/>
      <w:r/>
      <w:bookmarkStart w:id="258" w:name="_Toc513029229"/>
      <w:r/>
      <w:bookmarkStart w:id="259" w:name="_Toc28323"/>
      <w:r/>
      <w:bookmarkStart w:id="260" w:name="_Toc20823301"/>
      <w:r/>
      <w:bookmarkStart w:id="261" w:name="_Toc28406"/>
      <w:r/>
      <w:bookmarkStart w:id="262" w:name="_Toc11957"/>
      <w:r/>
      <w:bookmarkStart w:id="263" w:name="_Toc16938545"/>
      <w:r>
        <w:rPr>
          <w:rFonts w:hint="eastAsia" w:ascii="Times New Roman" w:hAnsi="Times New Roman"/>
          <w:b/>
          <w:bCs/>
          <w:color w:val="000000"/>
          <w:sz w:val="32"/>
          <w:szCs w:val="32"/>
          <w:highlight w:val="none"/>
        </w:rPr>
        <w:t xml:space="preserve">五、开标与评标</w:t>
      </w:r>
      <w:bookmarkEnd w:id="257"/>
      <w:r/>
      <w:bookmarkEnd w:id="258"/>
      <w:r/>
      <w:bookmarkEnd w:id="259"/>
      <w:r/>
      <w:bookmarkEnd w:id="260"/>
      <w:r/>
      <w:bookmarkEnd w:id="261"/>
      <w:r/>
      <w:bookmarkEnd w:id="262"/>
      <w:r/>
      <w:bookmarkEnd w:id="263"/>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64" w:name="_Toc20823302"/>
      <w:r/>
      <w:bookmarkStart w:id="265" w:name="_Toc16555"/>
      <w:r/>
      <w:bookmarkStart w:id="266" w:name="_Toc513029230"/>
      <w:r/>
      <w:bookmarkStart w:id="267" w:name="_Toc16938546"/>
      <w:r/>
      <w:bookmarkStart w:id="268" w:name="_Toc130"/>
      <w:r/>
      <w:bookmarkStart w:id="269" w:name="_Toc25967"/>
      <w:r>
        <w:rPr>
          <w:rFonts w:hint="eastAsia" w:ascii="Arial" w:hAnsi="Arial" w:eastAsia="黑体" w:cs="Arial"/>
          <w:color w:val="000000"/>
          <w:sz w:val="28"/>
          <w:szCs w:val="28"/>
          <w:highlight w:val="none"/>
        </w:rPr>
        <w:t xml:space="preserve">22、开标</w:t>
      </w:r>
      <w:bookmarkEnd w:id="264"/>
      <w:r/>
      <w:bookmarkEnd w:id="265"/>
      <w:r/>
      <w:bookmarkEnd w:id="266"/>
      <w:r/>
      <w:bookmarkEnd w:id="267"/>
      <w:r/>
      <w:bookmarkEnd w:id="268"/>
      <w:r/>
      <w:bookmarkEnd w:id="269"/>
      <w:r/>
      <w:r/>
    </w:p>
    <w:p>
      <w:pPr>
        <w:ind w:left="0" w:right="0" w:firstLine="480"/>
        <w:pageBreakBefore w:val="0"/>
        <w:spacing w:line="360" w:lineRule="auto"/>
        <w:widowControl w:val="off"/>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0" w:name="_Toc11159"/>
      <w:r/>
      <w:bookmarkStart w:id="271" w:name="_Toc30290"/>
      <w:r/>
      <w:bookmarkStart w:id="272" w:name="_Toc8195"/>
      <w:r/>
      <w:bookmarkStart w:id="273" w:name="_Toc513029231"/>
      <w:r/>
      <w:bookmarkStart w:id="274" w:name="_Toc20823303"/>
      <w:r/>
      <w:bookmarkStart w:id="275"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bookmarkEnd w:id="270"/>
      <w:r/>
      <w:bookmarkEnd w:id="271"/>
      <w:r/>
      <w:bookmarkEnd w:id="272"/>
      <w:r/>
      <w:r/>
    </w:p>
    <w:p>
      <w:pPr>
        <w:ind w:left="0" w:right="0" w:firstLine="482"/>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p>
    <w:p>
      <w:pPr>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76" w:name="_Toc30587"/>
      <w:r/>
      <w:bookmarkStart w:id="277" w:name="_Toc26223"/>
      <w:r/>
      <w:bookmarkStart w:id="278" w:name="_Toc25904"/>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76"/>
      <w:r/>
      <w:bookmarkEnd w:id="277"/>
      <w:r/>
      <w:bookmarkEnd w:id="278"/>
      <w:r/>
      <w:bookmarkEnd w:id="273"/>
      <w:bookmarkEnd w:id="274"/>
      <w:bookmarkEnd w:id="275"/>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9" w:name="_Toc26197"/>
      <w:r/>
      <w:bookmarkStart w:id="280" w:name="_Toc513029232"/>
      <w:r/>
      <w:bookmarkStart w:id="281" w:name="_Toc16938548"/>
      <w:r/>
      <w:bookmarkStart w:id="282" w:name="_Toc12553"/>
      <w:r/>
      <w:bookmarkStart w:id="283" w:name="_Toc20823304"/>
      <w:r/>
      <w:bookmarkStart w:id="284" w:name="_Toc1468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79"/>
      <w:r/>
      <w:bookmarkEnd w:id="280"/>
      <w:r/>
      <w:bookmarkEnd w:id="281"/>
      <w:r/>
      <w:bookmarkEnd w:id="282"/>
      <w:r/>
      <w:bookmarkEnd w:id="283"/>
      <w:r/>
      <w:bookmarkEnd w:id="284"/>
      <w:r/>
      <w:r/>
    </w:p>
    <w:p>
      <w:pPr>
        <w:ind w:left="0" w:right="0" w:firstLine="480"/>
        <w:pageBreakBefore w:val="0"/>
        <w:spacing w:line="360" w:lineRule="auto"/>
        <w:widowControl w:val="off"/>
        <w:rPr>
          <w:rFonts w:ascii="宋体" w:hAnsi="宋体"/>
          <w:color w:val="000000"/>
          <w:sz w:val="24"/>
          <w:szCs w:val="24"/>
          <w:highlight w:val="none"/>
        </w:rPr>
      </w:pPr>
      <w:r/>
      <w:bookmarkStart w:id="285" w:name="_Toc16938549"/>
      <w:r/>
      <w:bookmarkStart w:id="286" w:name="_Toc513029233"/>
      <w:r/>
      <w:bookmarkStart w:id="287" w:name="_Toc20823305"/>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88" w:name="_Toc10236"/>
      <w:r/>
      <w:bookmarkStart w:id="289" w:name="_Toc30903"/>
      <w:r/>
      <w:bookmarkStart w:id="290" w:name="_Toc2968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85"/>
      <w:r/>
      <w:bookmarkEnd w:id="286"/>
      <w:r/>
      <w:bookmarkEnd w:id="287"/>
      <w:r/>
      <w:bookmarkEnd w:id="288"/>
      <w:r/>
      <w:bookmarkEnd w:id="289"/>
      <w:r/>
      <w:bookmarkEnd w:id="290"/>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26.1.3政府采购异常低价审查：</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lang w:val="en-US" w:eastAsia="zh-CN"/>
        </w:rPr>
        <w:t xml:space="preserve">一</w:t>
      </w: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rPr>
        <w:t xml:space="preserve">政府采购评审中出现下列情形之一的，评审委员会应当启动异常低价投标审查程序：</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1.</w:t>
      </w:r>
      <w:r>
        <w:rPr>
          <w:rFonts w:hint="eastAsia" w:ascii="宋体" w:hAnsi="宋体"/>
          <w:b/>
          <w:bCs w:val="0"/>
          <w:color w:val="000000"/>
          <w:sz w:val="24"/>
          <w:szCs w:val="21"/>
          <w:highlight w:val="none"/>
        </w:rPr>
        <w:t xml:space="preserve">投标报价低于全部通过符合性审查供应商投标报价平均值65%的，即投标报价&lt;全部通过符合性审查供应商投标报价平均值×65%； </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2.</w:t>
      </w:r>
      <w:r>
        <w:rPr>
          <w:rFonts w:hint="eastAsia" w:ascii="宋体" w:hAnsi="宋体"/>
          <w:b/>
          <w:bCs w:val="0"/>
          <w:color w:val="000000"/>
          <w:sz w:val="24"/>
          <w:szCs w:val="21"/>
          <w:highlight w:val="none"/>
        </w:rPr>
        <w:t xml:space="preserve">投标报价低于通过符合性审查的次低报价供应商投标报价65%的，即投标报价&lt;通过符合性审查的次低报价供应商投标报价×65%； </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3</w:t>
      </w:r>
      <w:r>
        <w:rPr>
          <w:rFonts w:hint="eastAsia" w:ascii="宋体" w:hAnsi="宋体"/>
          <w:b/>
          <w:bCs w:val="0"/>
          <w:color w:val="000000"/>
          <w:sz w:val="24"/>
          <w:szCs w:val="21"/>
          <w:highlight w:val="none"/>
        </w:rPr>
        <w:t xml:space="preserve">.投标报价低于采购项目最高限价65%的，即投标报价&lt;采购项目最高限价×65%； </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4.评审委员会基于专业判断，认为供应商报价过低，有可能影响产品质量或者不能诚信履约的其他情形。 </w:t>
      </w:r>
      <w:r/>
    </w:p>
    <w:p>
      <w:pPr>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val="0"/>
          <w:color w:val="000000"/>
          <w:sz w:val="24"/>
          <w:szCs w:val="21"/>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val="0"/>
          <w:color w:val="000000"/>
          <w:sz w:val="24"/>
          <w:szCs w:val="21"/>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未通过资格审查或符合性审查的投标人，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2"/>
        <w:pageBreakBefore w:val="0"/>
        <w:spacing w:line="360" w:lineRule="auto"/>
        <w:widowControl w:val="off"/>
        <w:rPr>
          <w:rFonts w:hint="eastAsia" w:ascii="宋体" w:hAnsi="宋体"/>
          <w:bCs/>
          <w:color w:val="000000"/>
          <w:sz w:val="24"/>
          <w:szCs w:val="21"/>
          <w:highlight w:val="none"/>
        </w:rPr>
      </w:pPr>
      <w:r>
        <w:rPr>
          <w:rFonts w:hint="eastAsia" w:ascii="宋体" w:hAnsi="宋体"/>
          <w:b/>
          <w:bCs/>
          <w:color w:val="000000"/>
          <w:sz w:val="24"/>
          <w:szCs w:val="24"/>
          <w:highlight w:val="none"/>
        </w:rPr>
        <w:t xml:space="preserve">所谓重大偏离或保留是指</w:t>
      </w:r>
      <w:r>
        <w:rPr>
          <w:rFonts w:hint="eastAsia" w:ascii="宋体" w:hAnsi="宋体"/>
          <w:color w:val="000000"/>
          <w:sz w:val="24"/>
          <w:szCs w:val="24"/>
          <w:highlight w:val="none"/>
        </w:rPr>
        <w:t xml:space="preserve">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p>
    <w:p>
      <w:pPr>
        <w:ind w:left="0" w:right="0" w:firstLine="480"/>
        <w:pageBreakBefore w:val="0"/>
        <w:spacing w:line="360" w:lineRule="auto"/>
        <w:widowControl w:val="off"/>
        <w:rPr>
          <w:rFonts w:ascii="宋体" w:hAnsi="宋体"/>
          <w:color w:val="000000"/>
          <w:sz w:val="24"/>
          <w:szCs w:val="21"/>
          <w:highlight w:val="none"/>
        </w:rPr>
      </w:pPr>
      <w:r/>
      <w:bookmarkStart w:id="291" w:name="_Toc16938550"/>
      <w:r/>
      <w:bookmarkStart w:id="292" w:name="_Toc513029234"/>
      <w:r/>
      <w:bookmarkStart w:id="293"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left="0" w:right="0" w:firstLine="480"/>
        <w:pageBreakBefore w:val="0"/>
        <w:spacing w:line="360" w:lineRule="auto"/>
        <w:widowControl w:val="off"/>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left="0" w:right="0" w:firstLine="480"/>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及评标委员会联系。</w:t>
      </w:r>
      <w:r/>
    </w:p>
    <w:p>
      <w:pPr>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94" w:name="_Toc17132"/>
      <w:r/>
      <w:bookmarkStart w:id="295" w:name="_Toc9821"/>
      <w:r/>
      <w:bookmarkStart w:id="296" w:name="_Toc3078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91"/>
      <w:r/>
      <w:bookmarkEnd w:id="292"/>
      <w:r/>
      <w:bookmarkEnd w:id="293"/>
      <w:r>
        <w:rPr>
          <w:rFonts w:hint="eastAsia" w:ascii="Arial" w:hAnsi="Arial" w:eastAsia="黑体" w:cs="Arial"/>
          <w:color w:val="000000"/>
          <w:sz w:val="28"/>
          <w:szCs w:val="28"/>
          <w:highlight w:val="none"/>
        </w:rPr>
        <w:t xml:space="preserve">无效投标条款和废标条款</w:t>
      </w:r>
      <w:bookmarkEnd w:id="294"/>
      <w:r/>
      <w:bookmarkEnd w:id="295"/>
      <w:r/>
      <w:bookmarkEnd w:id="296"/>
      <w:r/>
      <w:r/>
    </w:p>
    <w:p>
      <w:pPr>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97" w:name="_Toc9344"/>
      <w:r/>
      <w:bookmarkStart w:id="298" w:name="_Toc17838"/>
      <w:r/>
      <w:bookmarkStart w:id="299" w:name="_Toc20823307"/>
      <w:r/>
      <w:bookmarkStart w:id="300" w:name="_Toc513029235"/>
      <w:r/>
      <w:bookmarkStart w:id="301"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bookmarkEnd w:id="297"/>
      <w:r/>
      <w:bookmarkEnd w:id="298"/>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投标人未按照招标文件要求上传电子投标文件的。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left="0" w:right="0" w:firstLine="480"/>
        <w:pageBreakBefore w:val="0"/>
        <w:spacing w:line="360" w:lineRule="auto"/>
        <w:widowControl w:val="off"/>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left="0" w:right="0" w:firstLine="480"/>
        <w:pageBreakBefore w:val="0"/>
        <w:spacing w:line="360" w:lineRule="auto"/>
        <w:widowControl w:val="off"/>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val="0"/>
          <w:iCs w:val="0"/>
          <w:color w:val="000000"/>
          <w:sz w:val="24"/>
          <w:szCs w:val="21"/>
          <w:highlight w:val="none"/>
        </w:rPr>
        <w:t xml:space="preserve">（</w:t>
      </w:r>
      <w:r>
        <w:rPr>
          <w:rFonts w:hint="eastAsia" w:ascii="宋体" w:hAnsi="宋体"/>
          <w:bCs/>
          <w:i w:val="0"/>
          <w:iCs w:val="0"/>
          <w:color w:val="000000"/>
          <w:sz w:val="24"/>
          <w:szCs w:val="21"/>
          <w:highlight w:val="none"/>
          <w:u w:val="none"/>
        </w:rPr>
        <w:t xml:space="preserve">本招标文件中</w:t>
      </w:r>
      <w:r>
        <w:rPr>
          <w:rFonts w:hint="eastAsia" w:ascii="宋体" w:hAnsi="宋体"/>
          <w:bCs/>
          <w:i w:val="0"/>
          <w:iCs w:val="0"/>
          <w:color w:val="000000"/>
          <w:sz w:val="24"/>
          <w:szCs w:val="21"/>
          <w:highlight w:val="none"/>
          <w:u w:val="none"/>
          <w:lang w:val="en-US" w:eastAsia="zh-CN"/>
        </w:rPr>
        <w:t xml:space="preserve">标注“★”的条款</w:t>
      </w:r>
      <w:r>
        <w:rPr>
          <w:rFonts w:hint="eastAsia" w:ascii="宋体" w:hAnsi="宋体"/>
          <w:bCs/>
          <w:i w:val="0"/>
          <w:iCs w:val="0"/>
          <w:color w:val="000000"/>
          <w:sz w:val="24"/>
          <w:szCs w:val="21"/>
          <w:highlight w:val="none"/>
          <w:u w:val="none"/>
        </w:rPr>
        <w:t xml:space="preserve">为实质性要求和条件）</w:t>
      </w:r>
      <w:r>
        <w:rPr>
          <w:rFonts w:hint="eastAsia" w:ascii="宋体" w:hAnsi="宋体"/>
          <w:bCs/>
          <w:i w:val="0"/>
          <w:iCs w:val="0"/>
          <w:color w:val="000000"/>
          <w:sz w:val="24"/>
          <w:szCs w:val="21"/>
          <w:highlight w:val="none"/>
          <w:u w:val="none"/>
          <w:lang w:eastAsia="zh-CN"/>
        </w:rPr>
        <w:t xml:space="preserve">。</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p>
    <w:p>
      <w:pPr>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2" w:name="_Toc10487"/>
      <w:r/>
      <w:bookmarkStart w:id="303" w:name="_Toc13304"/>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bookmarkEnd w:id="302"/>
      <w:r/>
      <w:bookmarkEnd w:id="303"/>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p>
    <w:p>
      <w:pPr>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系统故障</w:t>
      </w:r>
      <w:r>
        <w:rPr>
          <w:rFonts w:ascii="宋体" w:hAnsi="宋体"/>
          <w:bCs/>
          <w:color w:val="000000"/>
          <w:sz w:val="24"/>
          <w:szCs w:val="21"/>
          <w:highlight w:val="none"/>
        </w:rPr>
        <w:t xml:space="preserve">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p>
    <w:p>
      <w:pPr>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4" w:name="_Toc19806"/>
      <w:r/>
      <w:bookmarkStart w:id="305" w:name="_Toc1894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bookmarkEnd w:id="304"/>
      <w:r/>
      <w:bookmarkEnd w:id="305"/>
      <w:r/>
      <w:r/>
    </w:p>
    <w:p>
      <w:pPr>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06" w:name="_Toc27006"/>
      <w:r/>
      <w:bookmarkStart w:id="307" w:name="_Toc30678"/>
      <w:r/>
      <w:bookmarkStart w:id="308" w:name="_Toc659"/>
      <w:r/>
      <w:bookmarkStart w:id="309" w:name="_Toc120614219"/>
      <w:r>
        <w:rPr>
          <w:rFonts w:hint="eastAsia" w:ascii="Times New Roman" w:hAnsi="Times New Roman"/>
          <w:b/>
          <w:bCs/>
          <w:color w:val="000000"/>
          <w:sz w:val="32"/>
          <w:szCs w:val="32"/>
          <w:highlight w:val="none"/>
        </w:rPr>
        <w:t xml:space="preserve">六、</w:t>
      </w:r>
      <w:bookmarkEnd w:id="299"/>
      <w:r/>
      <w:bookmarkEnd w:id="300"/>
      <w:r/>
      <w:bookmarkEnd w:id="301"/>
      <w:r>
        <w:rPr>
          <w:rFonts w:hint="eastAsia" w:ascii="Times New Roman" w:hAnsi="Times New Roman"/>
          <w:b/>
          <w:bCs/>
          <w:color w:val="000000"/>
          <w:sz w:val="32"/>
          <w:szCs w:val="32"/>
          <w:highlight w:val="none"/>
        </w:rPr>
        <w:t xml:space="preserve">定标</w:t>
      </w:r>
      <w:bookmarkEnd w:id="306"/>
      <w:r/>
      <w:bookmarkEnd w:id="307"/>
      <w:r/>
      <w:bookmarkEnd w:id="308"/>
      <w:r/>
      <w:bookmarkEnd w:id="309"/>
      <w:r/>
      <w:r/>
    </w:p>
    <w:p>
      <w:pPr>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10" w:name="_Toc513029238"/>
      <w:r/>
      <w:bookmarkStart w:id="311" w:name="_Toc16938554"/>
      <w:r/>
      <w:bookmarkStart w:id="312" w:name="_Toc20823310"/>
      <w:r/>
      <w:bookmarkStart w:id="313" w:name="_Toc9988"/>
      <w:r/>
      <w:bookmarkStart w:id="314" w:name="_Toc5155"/>
      <w:r/>
      <w:bookmarkStart w:id="315" w:name="_Toc28031"/>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310"/>
      <w:r>
        <w:rPr>
          <w:rFonts w:hint="eastAsia" w:ascii="黑体" w:hAnsi="宋体" w:eastAsia="黑体"/>
          <w:bCs/>
          <w:color w:val="000000"/>
          <w:sz w:val="30"/>
          <w:szCs w:val="30"/>
          <w:highlight w:val="none"/>
        </w:rPr>
        <w:t xml:space="preserve">确定</w:t>
      </w:r>
      <w:bookmarkEnd w:id="311"/>
      <w:r/>
      <w:bookmarkEnd w:id="312"/>
      <w:r>
        <w:rPr>
          <w:rFonts w:hint="eastAsia" w:ascii="黑体" w:hAnsi="宋体" w:eastAsia="黑体"/>
          <w:bCs/>
          <w:color w:val="000000"/>
          <w:sz w:val="30"/>
          <w:szCs w:val="30"/>
          <w:highlight w:val="none"/>
        </w:rPr>
        <w:t xml:space="preserve">中标单位</w:t>
      </w:r>
      <w:bookmarkEnd w:id="313"/>
      <w:r/>
      <w:bookmarkEnd w:id="314"/>
      <w:r/>
      <w:bookmarkEnd w:id="315"/>
      <w:r/>
      <w:r/>
    </w:p>
    <w:p>
      <w:pPr>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6" w:name="_Toc562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w:t>
      </w:r>
      <w:bookmarkEnd w:id="316"/>
      <w:r>
        <w:rPr>
          <w:rFonts w:hint="eastAsia" w:ascii="宋体" w:hAnsi="宋体"/>
          <w:bCs/>
          <w:color w:val="000000"/>
          <w:sz w:val="24"/>
          <w:szCs w:val="21"/>
          <w:highlight w:val="none"/>
        </w:rPr>
        <w:t xml:space="preserve"> </w:t>
      </w:r>
      <w:r/>
    </w:p>
    <w:p>
      <w:pPr>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7" w:name="_Toc8063"/>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bookmarkEnd w:id="317"/>
      <w:r/>
      <w:r/>
    </w:p>
    <w:p>
      <w:pPr>
        <w:ind w:left="0" w:right="0" w:firstLine="480"/>
        <w:pageBreakBefore w:val="0"/>
        <w:spacing w:line="360" w:lineRule="auto"/>
        <w:widowControl w:val="off"/>
        <w:rPr>
          <w:rFonts w:hint="eastAsia" w:ascii="宋体" w:hAnsi="宋体"/>
          <w:color w:val="000000"/>
          <w:sz w:val="24"/>
          <w:szCs w:val="24"/>
          <w:highlight w:val="none"/>
        </w:rPr>
        <w:outlineLvl w:val="2"/>
      </w:pPr>
      <w:r/>
      <w:bookmarkStart w:id="318" w:name="_Toc23527"/>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bookmarkEnd w:id="318"/>
      <w:r/>
      <w:r/>
    </w:p>
    <w:p>
      <w:pPr>
        <w:ind w:left="0" w:right="0" w:firstLine="480"/>
        <w:pageBreakBefore w:val="0"/>
        <w:spacing w:line="360" w:lineRule="auto"/>
        <w:widowControl w:val="off"/>
        <w:rPr>
          <w:rFonts w:hint="eastAsia" w:ascii="宋体" w:hAnsi="宋体"/>
          <w:color w:val="000000"/>
          <w:sz w:val="24"/>
          <w:szCs w:val="24"/>
          <w:highlight w:val="none"/>
        </w:rPr>
        <w:outlineLvl w:val="2"/>
      </w:pPr>
      <w:r/>
      <w:bookmarkStart w:id="319" w:name="_Toc18243"/>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bookmarkEnd w:id="319"/>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p>
    <w:p>
      <w:pPr>
        <w:ind w:left="0" w:right="0" w:firstLine="480"/>
        <w:pageBreakBefore w:val="0"/>
        <w:spacing w:line="360" w:lineRule="auto"/>
        <w:widowControl w:val="off"/>
        <w:rPr>
          <w:rFonts w:ascii="宋体" w:hAnsi="宋体"/>
          <w:color w:val="000000"/>
          <w:sz w:val="24"/>
          <w:szCs w:val="24"/>
          <w:highlight w:val="none"/>
        </w:rPr>
        <w:outlineLvl w:val="2"/>
      </w:pPr>
      <w:r/>
      <w:bookmarkStart w:id="320" w:name="_Toc24868"/>
      <w:r/>
      <w:bookmarkStart w:id="321"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bookmarkEnd w:id="320"/>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28.5.5</w:t>
      </w:r>
      <w:r>
        <w:rPr>
          <w:rFonts w:hint="eastAsia" w:ascii="宋体" w:hAnsi="宋体"/>
          <w:color w:val="000000"/>
          <w:sz w:val="24"/>
          <w:szCs w:val="24"/>
          <w:highlight w:val="none"/>
        </w:rPr>
        <w:t xml:space="preserve">不同投标人的投标文件相互混装；</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28.5.6</w:t>
      </w:r>
      <w:r>
        <w:rPr>
          <w:rFonts w:hint="eastAsia" w:ascii="宋体" w:hAnsi="宋体"/>
          <w:color w:val="000000"/>
          <w:sz w:val="24"/>
          <w:szCs w:val="24"/>
          <w:highlight w:val="none"/>
        </w:rPr>
        <w:t xml:space="preserve">不同投标人的投标保证金从同一单位或者个人的账户转出。</w:t>
      </w:r>
      <w:r/>
    </w:p>
    <w:p>
      <w:pPr>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2" w:name="_Toc1683"/>
      <w:r/>
      <w:bookmarkStart w:id="323" w:name="_Toc17050"/>
      <w:r/>
      <w:bookmarkStart w:id="324" w:name="_Toc8384"/>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321"/>
      <w:r/>
      <w:bookmarkEnd w:id="322"/>
      <w:r/>
      <w:bookmarkEnd w:id="323"/>
      <w:r/>
      <w:bookmarkEnd w:id="324"/>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或采购人提出质疑。上述应知其权益受到损害之日，是指：</w:t>
      </w:r>
      <w:r/>
    </w:p>
    <w:p>
      <w:pPr>
        <w:ind w:left="0" w:right="0" w:firstLine="480"/>
        <w:pageBreakBefore w:val="0"/>
        <w:spacing w:line="360" w:lineRule="auto"/>
        <w:widowControl w:val="off"/>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p>
    <w:p>
      <w:pPr>
        <w:ind w:left="0" w:right="0" w:firstLine="480"/>
        <w:pageBreakBefore w:val="0"/>
        <w:spacing w:line="360" w:lineRule="auto"/>
        <w:widowControl w:val="off"/>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highlight w:val="none"/>
          <w:lang w:eastAsia="zh-CN"/>
        </w:rPr>
        <w:t xml:space="preserve">采购代理机构</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pageBreakBefore w:val="0"/>
        <w:spacing w:line="360" w:lineRule="auto"/>
        <w:widowControl w:val="off"/>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lang w:eastAsia="zh-CN"/>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不接受未填写快递运单的快件）。</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质疑接收部门为</w:t>
      </w:r>
      <w:r>
        <w:rPr>
          <w:rFonts w:hint="eastAsia" w:ascii="宋体" w:hAnsi="宋体"/>
          <w:color w:val="000000"/>
          <w:sz w:val="24"/>
          <w:szCs w:val="24"/>
          <w:highlight w:val="none"/>
          <w:lang w:val="en-US" w:eastAsia="zh-CN"/>
        </w:rPr>
        <w:t xml:space="preserve">招标代理部</w:t>
      </w:r>
      <w:r>
        <w:rPr>
          <w:rFonts w:hint="eastAsia" w:ascii="宋体" w:hAnsi="宋体"/>
          <w:color w:val="000000"/>
          <w:sz w:val="24"/>
          <w:szCs w:val="24"/>
          <w:highlight w:val="none"/>
        </w:rPr>
        <w:t xml:space="preserve">（快递运单上的收件人填写“</w:t>
      </w:r>
      <w:r>
        <w:rPr>
          <w:rFonts w:hint="eastAsia" w:ascii="宋体" w:hAnsi="宋体"/>
          <w:color w:val="000000"/>
          <w:sz w:val="24"/>
          <w:szCs w:val="24"/>
          <w:highlight w:val="none"/>
          <w:lang w:val="en-US" w:eastAsia="zh-CN"/>
        </w:rPr>
        <w:t xml:space="preserve">招标代理部夏工收</w:t>
      </w:r>
      <w:r>
        <w:rPr>
          <w:rFonts w:hint="eastAsia" w:ascii="宋体" w:hAnsi="宋体"/>
          <w:color w:val="000000"/>
          <w:sz w:val="24"/>
          <w:szCs w:val="24"/>
          <w:highlight w:val="none"/>
        </w:rPr>
        <w:t xml:space="preserve">”即可），联系地址：</w:t>
      </w:r>
      <w:r>
        <w:rPr>
          <w:rFonts w:hint="eastAsia" w:ascii="宋体" w:hAnsi="宋体"/>
          <w:color w:val="000000"/>
          <w:sz w:val="24"/>
          <w:szCs w:val="24"/>
          <w:highlight w:val="none"/>
          <w:lang w:eastAsia="zh-CN"/>
        </w:rPr>
        <w:t xml:space="preserve">连云港市海州区朝阳东路32-6号东盛阳光大厦A座1703号</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eastAsia="zh-CN"/>
        </w:rPr>
        <w:t xml:space="preserve">15705122288</w:t>
      </w:r>
      <w:r>
        <w:rPr>
          <w:rFonts w:hint="eastAsia" w:ascii="宋体" w:hAnsi="宋体"/>
          <w:color w:val="000000"/>
          <w:sz w:val="24"/>
          <w:szCs w:val="24"/>
          <w:highlight w:val="none"/>
        </w:rPr>
        <w:t xml:space="preserve">。</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5" w:name="_Toc4826"/>
      <w:r/>
      <w:bookmarkStart w:id="326" w:name="_Toc27058"/>
      <w:r/>
      <w:bookmarkStart w:id="327" w:name="_Toc26690"/>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bookmarkEnd w:id="325"/>
      <w:r/>
      <w:bookmarkEnd w:id="326"/>
      <w:r/>
      <w:bookmarkEnd w:id="327"/>
      <w:r/>
      <w:r/>
    </w:p>
    <w:p>
      <w:pPr>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28" w:name="_Toc120614220"/>
      <w:r/>
      <w:bookmarkStart w:id="329" w:name="_Toc2990"/>
      <w:r/>
      <w:bookmarkStart w:id="330" w:name="_Toc31722"/>
      <w:r/>
      <w:bookmarkStart w:id="331" w:name="_Toc2338"/>
      <w:r/>
      <w:bookmarkStart w:id="332" w:name="_Toc16938552"/>
      <w:r/>
      <w:bookmarkStart w:id="333" w:name="_Toc20823308"/>
      <w:r/>
      <w:bookmarkStart w:id="334" w:name="_Toc513029236"/>
      <w:r>
        <w:rPr>
          <w:rFonts w:hint="eastAsia" w:ascii="Times New Roman" w:hAnsi="Times New Roman"/>
          <w:b/>
          <w:bCs/>
          <w:color w:val="000000"/>
          <w:sz w:val="32"/>
          <w:szCs w:val="32"/>
          <w:highlight w:val="none"/>
        </w:rPr>
        <w:t xml:space="preserve">七、授予合同</w:t>
      </w:r>
      <w:bookmarkEnd w:id="328"/>
      <w:r/>
      <w:bookmarkEnd w:id="329"/>
      <w:r/>
      <w:bookmarkEnd w:id="330"/>
      <w:r/>
      <w:bookmarkEnd w:id="331"/>
      <w:r/>
      <w:bookmarkEnd w:id="332"/>
      <w:bookmarkEnd w:id="333"/>
      <w:bookmarkEnd w:id="334"/>
      <w:r/>
    </w:p>
    <w:p>
      <w:pPr>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35" w:name="_Toc6612"/>
      <w:r/>
      <w:bookmarkStart w:id="336" w:name="_Toc10267"/>
      <w:r/>
      <w:bookmarkStart w:id="337" w:name="_Toc19630"/>
      <w:r/>
      <w:bookmarkStart w:id="338" w:name="_Toc16938553"/>
      <w:r/>
      <w:bookmarkStart w:id="339" w:name="_Toc20823309"/>
      <w:r/>
      <w:bookmarkStart w:id="340"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bookmarkEnd w:id="335"/>
      <w:r/>
      <w:bookmarkEnd w:id="336"/>
      <w:r/>
      <w:bookmarkEnd w:id="337"/>
      <w:r/>
      <w:r/>
    </w:p>
    <w:p>
      <w:pPr>
        <w:ind w:left="0" w:right="0" w:firstLine="480"/>
        <w:pageBreakBefore w:val="0"/>
        <w:spacing w:line="360" w:lineRule="auto"/>
        <w:widowControl w:val="off"/>
        <w:rPr>
          <w:rFonts w:hint="eastAsia" w:ascii="宋体" w:hAnsi="宋体"/>
          <w:color w:val="000000"/>
          <w:sz w:val="24"/>
          <w:szCs w:val="24"/>
          <w:highlight w:val="none"/>
        </w:rPr>
        <w:outlineLvl w:val="2"/>
      </w:pPr>
      <w:r/>
      <w:bookmarkStart w:id="341" w:name="_Toc24840"/>
      <w:r/>
      <w:bookmarkStart w:id="342" w:name="_Toc14805"/>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bookmarkEnd w:id="341"/>
      <w:r/>
      <w:bookmarkEnd w:id="342"/>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43" w:name="_Toc2982"/>
      <w:r/>
      <w:bookmarkStart w:id="344" w:name="_Toc12082"/>
      <w:r/>
      <w:bookmarkStart w:id="345" w:name="_Toc3105"/>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bookmarkEnd w:id="343"/>
      <w:r/>
      <w:bookmarkEnd w:id="344"/>
      <w:r/>
      <w:bookmarkEnd w:id="345"/>
      <w:r/>
      <w:r/>
    </w:p>
    <w:p>
      <w:pPr>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338"/>
      <w:bookmarkEnd w:id="339"/>
      <w:bookmarkEnd w:id="340"/>
      <w:r/>
    </w:p>
    <w:p>
      <w:pPr>
        <w:ind w:left="0" w:right="0" w:firstLine="600"/>
        <w:keepLines/>
        <w:keepNext/>
        <w:pageBreakBefore w:val="0"/>
        <w:spacing w:line="360" w:lineRule="auto"/>
        <w:widowControl w:val="off"/>
        <w:rPr>
          <w:rFonts w:ascii="黑体" w:hAnsi="宋体" w:eastAsia="黑体"/>
          <w:bCs/>
          <w:color w:val="000000"/>
          <w:sz w:val="30"/>
          <w:szCs w:val="30"/>
          <w:highlight w:val="none"/>
        </w:rPr>
        <w:outlineLvl w:val="1"/>
      </w:pPr>
      <w:r/>
      <w:bookmarkStart w:id="346" w:name="_Toc2406"/>
      <w:r/>
      <w:bookmarkStart w:id="347" w:name="_Toc29301"/>
      <w:r/>
      <w:bookmarkStart w:id="348" w:name="_Toc1741"/>
      <w:r/>
      <w:bookmarkStart w:id="349" w:name="_Toc120614221"/>
      <w:r/>
      <w:bookmarkStart w:id="350" w:name="_Toc20823314"/>
      <w:r/>
      <w:bookmarkStart w:id="351" w:name="_Toc513029242"/>
      <w:r/>
      <w:bookmarkStart w:id="352" w:name="_Toc16938558"/>
      <w:r/>
      <w:bookmarkStart w:id="353"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bookmarkEnd w:id="346"/>
      <w:r/>
      <w:bookmarkEnd w:id="347"/>
      <w:r/>
      <w:bookmarkEnd w:id="348"/>
      <w:r/>
      <w:r/>
    </w:p>
    <w:p>
      <w:pPr>
        <w:ind w:left="0" w:right="0" w:firstLine="48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left="0" w:right="0" w:firstLine="600"/>
        <w:keepLines/>
        <w:keepNext/>
        <w:pageBreakBefore w:val="0"/>
        <w:spacing w:line="360" w:lineRule="auto"/>
        <w:widowControl w:val="off"/>
        <w:rPr>
          <w:rFonts w:hint="eastAsia" w:ascii="Times New Roman" w:hAnsi="Times New Roman"/>
          <w:color w:val="000000"/>
          <w:szCs w:val="21"/>
          <w:highlight w:val="none"/>
          <w:lang w:val="en-US" w:eastAsia="en-US"/>
        </w:rPr>
        <w:outlineLvl w:val="1"/>
      </w:pPr>
      <w:r>
        <w:rPr>
          <w:rFonts w:hint="eastAsia" w:ascii="黑体" w:hAnsi="宋体" w:eastAsia="黑体" w:cs="Times New Roman"/>
          <w:bCs/>
          <w:color w:val="000000"/>
          <w:sz w:val="30"/>
          <w:szCs w:val="30"/>
          <w:highlight w:val="none"/>
          <w:lang w:val="en-US" w:eastAsia="zh-CN"/>
        </w:rPr>
        <w:t xml:space="preserve">34、政府采购政策功能</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34.1</w:t>
      </w:r>
      <w:r>
        <w:rPr>
          <w:rFonts w:hint="eastAsia" w:ascii="宋体" w:hAnsi="宋体"/>
          <w:bCs/>
          <w:color w:val="000000"/>
          <w:sz w:val="24"/>
          <w:szCs w:val="24"/>
          <w:highlight w:val="none"/>
        </w:rPr>
        <w:t xml:space="preserve">支持绿色发展</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34.2</w:t>
      </w:r>
      <w:r>
        <w:rPr>
          <w:rFonts w:hint="eastAsia" w:ascii="宋体" w:hAnsi="宋体"/>
          <w:bCs/>
          <w:color w:val="000000"/>
          <w:sz w:val="24"/>
          <w:szCs w:val="24"/>
          <w:highlight w:val="none"/>
        </w:rPr>
        <w:t xml:space="preserve">政府采购需求标准</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本项目执行《绿色数据中心政府采购需求</w:t>
      </w:r>
      <w:r>
        <w:rPr>
          <w:rFonts w:hint="eastAsia" w:ascii="宋体" w:hAnsi="宋体"/>
          <w:bCs/>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349"/>
      <w:bookmarkEnd w:id="350"/>
      <w:bookmarkEnd w:id="351"/>
      <w:bookmarkEnd w:id="352"/>
      <w:bookmarkEnd w:id="353"/>
      <w:r/>
    </w:p>
    <w:p>
      <w:pPr>
        <w:rPr>
          <w:color w:val="000000"/>
          <w:highlight w:val="none"/>
        </w:rPr>
      </w:pPr>
      <w:r/>
      <w:bookmarkStart w:id="354" w:name="_Hlt16619350"/>
      <w:r/>
      <w:bookmarkStart w:id="355" w:name="_Toc6055"/>
      <w:r/>
      <w:bookmarkStart w:id="356" w:name="_Toc20823346"/>
      <w:r/>
      <w:bookmarkStart w:id="357" w:name="_Toc16938590"/>
      <w:r/>
      <w:bookmarkStart w:id="358" w:name="_Toc120614244"/>
      <w:r/>
      <w:bookmarkStart w:id="359" w:name="_Toc479757211"/>
      <w:r/>
      <w:bookmarkStart w:id="360" w:name="_Toc462564139"/>
      <w:r/>
      <w:r/>
    </w:p>
    <w:p>
      <w:pPr>
        <w:rPr>
          <w:color w:val="000000"/>
          <w:highlight w:val="none"/>
        </w:rPr>
      </w:pPr>
      <w:r>
        <w:rPr>
          <w:color w:val="000000"/>
          <w:highlight w:val="none"/>
        </w:rPr>
      </w:r>
      <w:r/>
    </w:p>
    <w:p>
      <w:pPr>
        <w:jc w:val="center"/>
        <w:rPr>
          <w:rFonts w:hint="eastAsia" w:ascii="黑体" w:hAnsi="黑体" w:eastAsia="黑体" w:cs="黑体"/>
          <w:color w:val="000000"/>
          <w:sz w:val="44"/>
          <w:szCs w:val="44"/>
          <w:highlight w:val="none"/>
        </w:rPr>
        <w:outlineLvl w:val="0"/>
      </w:pPr>
      <w:r/>
      <w:bookmarkStart w:id="361" w:name="_Toc31682"/>
      <w:r>
        <w:rPr>
          <w:rFonts w:hint="eastAsia" w:ascii="黑体" w:hAnsi="黑体" w:eastAsia="黑体" w:cs="黑体"/>
          <w:color w:val="000000"/>
          <w:sz w:val="44"/>
          <w:szCs w:val="44"/>
          <w:highlight w:val="none"/>
        </w:rPr>
        <w:t xml:space="preserve">第三章  合同文本</w:t>
      </w:r>
      <w:bookmarkEnd w:id="361"/>
      <w:r/>
      <w:r/>
    </w:p>
    <w:p>
      <w:pPr>
        <w:pStyle w:val="818"/>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18"/>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18"/>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18"/>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818"/>
        <w:jc w:val="center"/>
        <w:spacing w:after="0"/>
        <w:rPr>
          <w:rFonts w:ascii="宋体" w:hAnsi="宋体" w:cs="宋体"/>
          <w:b/>
          <w:color w:val="000000"/>
          <w:sz w:val="48"/>
          <w:szCs w:val="48"/>
          <w:highlight w:val="none"/>
        </w:rPr>
      </w:pPr>
      <w:r>
        <w:rPr>
          <w:rFonts w:ascii="宋体" w:hAnsi="宋体" w:cs="宋体"/>
          <w:b/>
          <w:color w:val="000000"/>
          <w:sz w:val="48"/>
          <w:szCs w:val="48"/>
          <w:highlight w:val="none"/>
        </w:rPr>
        <w:t xml:space="preserve">连云港市政府采购货物买卖合同</w:t>
      </w:r>
      <w:r/>
    </w:p>
    <w:p>
      <w:pPr>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1100"/>
        <w:rPr>
          <w:color w:val="000000"/>
          <w:sz w:val="30"/>
          <w:szCs w:val="30"/>
          <w:highlight w:val="none"/>
        </w:rPr>
      </w:pPr>
      <w:r>
        <w:rPr>
          <w:color w:val="000000"/>
          <w:sz w:val="30"/>
          <w:szCs w:val="30"/>
          <w:highlight w:val="none"/>
        </w:rPr>
      </w:r>
      <w:r/>
    </w:p>
    <w:p>
      <w:pPr>
        <w:ind w:left="420"/>
        <w:rPr>
          <w:color w:val="000000"/>
          <w:sz w:val="32"/>
          <w:szCs w:val="32"/>
          <w:highlight w:val="none"/>
        </w:rPr>
      </w:pPr>
      <w:r>
        <w:rPr>
          <w:rFonts w:ascii="宋体" w:hAnsi="宋体" w:cs="宋体"/>
          <w:color w:val="000000"/>
          <w:sz w:val="32"/>
          <w:szCs w:val="32"/>
          <w:highlight w:val="none"/>
        </w:rPr>
        <w:t xml:space="preserve">项目名称：</w:t>
      </w:r>
      <w:r/>
    </w:p>
    <w:p>
      <w:pPr>
        <w:ind w:left="420"/>
        <w:rPr>
          <w:color w:val="000000"/>
          <w:sz w:val="32"/>
          <w:szCs w:val="32"/>
          <w:highlight w:val="none"/>
          <w:u w:val="single"/>
        </w:rPr>
      </w:pPr>
      <w:r>
        <w:rPr>
          <w:rFonts w:ascii="宋体"/>
          <w:color w:val="000000"/>
          <w:sz w:val="32"/>
          <w:szCs w:val="32"/>
          <w:highlight w:val="none"/>
        </w:rPr>
        <w:t xml:space="preserve">合同编号：</w:t>
      </w:r>
      <w:r/>
    </w:p>
    <w:p>
      <w:pPr>
        <w:ind w:left="420"/>
        <w:rPr>
          <w:color w:val="000000"/>
          <w:sz w:val="32"/>
          <w:szCs w:val="32"/>
          <w:highlight w:val="none"/>
        </w:rPr>
      </w:pPr>
      <w:r>
        <w:rPr>
          <w:rFonts w:ascii="宋体"/>
          <w:color w:val="000000"/>
          <w:sz w:val="32"/>
          <w:szCs w:val="32"/>
          <w:highlight w:val="none"/>
        </w:rPr>
        <w:t xml:space="preserve">甲    方：</w:t>
      </w:r>
      <w:r/>
    </w:p>
    <w:p>
      <w:pPr>
        <w:ind w:left="420"/>
        <w:rPr>
          <w:color w:val="000000"/>
          <w:sz w:val="32"/>
          <w:szCs w:val="32"/>
          <w:highlight w:val="none"/>
          <w:u w:val="single"/>
        </w:rPr>
      </w:pPr>
      <w:r>
        <w:rPr>
          <w:rFonts w:ascii="宋体"/>
          <w:color w:val="000000"/>
          <w:sz w:val="32"/>
          <w:szCs w:val="32"/>
          <w:highlight w:val="none"/>
        </w:rPr>
        <w:t xml:space="preserve">乙    方：</w:t>
      </w:r>
      <w:r/>
    </w:p>
    <w:p>
      <w:pPr>
        <w:ind w:left="420"/>
        <w:rPr>
          <w:color w:val="000000"/>
          <w:sz w:val="32"/>
          <w:szCs w:val="32"/>
          <w:highlight w:val="none"/>
        </w:rPr>
      </w:pPr>
      <w:r>
        <w:rPr>
          <w:rFonts w:ascii="宋体"/>
          <w:color w:val="000000"/>
          <w:sz w:val="32"/>
          <w:szCs w:val="32"/>
          <w:highlight w:val="none"/>
        </w:rPr>
        <w:t xml:space="preserve">签订时间：</w:t>
      </w:r>
      <w:r/>
    </w:p>
    <w:p>
      <w:pPr>
        <w:jc w:val="center"/>
        <w:widowControl/>
        <w:rPr>
          <w:rFonts w:hint="eastAsia" w:ascii="黑体" w:hAnsi="黑体" w:eastAsia="黑体"/>
          <w:color w:val="000000"/>
          <w:sz w:val="44"/>
          <w:szCs w:val="44"/>
          <w:highlight w:val="none"/>
        </w:rPr>
      </w:pPr>
      <w:r>
        <w:rPr>
          <w:rFonts w:eastAsia="黑体"/>
          <w:color w:val="000000"/>
          <w:sz w:val="44"/>
          <w:szCs w:val="44"/>
          <w:highlight w:val="none"/>
        </w:rPr>
        <w:br w:type="page" w:clear="all"/>
      </w:r>
      <w:r>
        <w:rPr>
          <w:rFonts w:hint="eastAsia" w:ascii="黑体" w:hAnsi="黑体" w:eastAsia="黑体"/>
          <w:color w:val="000000"/>
          <w:sz w:val="44"/>
          <w:szCs w:val="44"/>
          <w:highlight w:val="none"/>
        </w:rPr>
        <w:t xml:space="preserve">使用说明</w:t>
      </w:r>
      <w:r/>
    </w:p>
    <w:p>
      <w:pPr>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1.本合同标准文本适用于购买现成货物的采购项目，不包括需要供应商定制开发、创新研发的货物采购项目。</w:t>
      </w:r>
      <w:r/>
    </w:p>
    <w:p>
      <w:pPr>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p>
    <w:p>
      <w:pPr>
        <w:jc w:val="left"/>
        <w:widowControl/>
        <w:rPr>
          <w:rFonts w:hint="eastAsia" w:ascii="黑体" w:hAnsi="黑体" w:eastAsia="黑体" w:cs="Arial"/>
          <w:color w:val="000000"/>
          <w:sz w:val="28"/>
          <w:szCs w:val="28"/>
          <w:highlight w:val="none"/>
        </w:rPr>
      </w:pPr>
      <w:r/>
      <w:bookmarkStart w:id="362" w:name="_Toc22209"/>
      <w:r>
        <w:rPr>
          <w:rFonts w:hint="eastAsia" w:ascii="黑体" w:hAnsi="黑体" w:eastAsia="黑体"/>
          <w:b/>
          <w:color w:val="000000"/>
          <w:sz w:val="28"/>
          <w:szCs w:val="28"/>
          <w:highlight w:val="none"/>
        </w:rPr>
        <w:br w:type="page" w:clear="all"/>
      </w:r>
      <w:r/>
    </w:p>
    <w:p>
      <w:pPr>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第一节 政府采购合同协议书</w:t>
      </w:r>
      <w:bookmarkEnd w:id="362"/>
      <w:r/>
      <w:r/>
    </w:p>
    <w:p>
      <w:pPr>
        <w:rPr>
          <w:rFonts w:ascii="宋体" w:hAnsi="宋体" w:cs="宋体"/>
          <w:color w:val="000000"/>
          <w:sz w:val="21"/>
          <w:szCs w:val="21"/>
          <w:highlight w:val="none"/>
        </w:rPr>
      </w:pPr>
      <w:r>
        <w:rPr>
          <w:rFonts w:ascii="宋体" w:hAnsi="宋体" w:cs="宋体"/>
          <w:color w:val="000000"/>
          <w:sz w:val="21"/>
          <w:szCs w:val="21"/>
          <w:highlight w:val="none"/>
        </w:rPr>
        <w:t xml:space="preserve">甲方（全称）：（采购人、受采购人委托签订合同的单位或采购文件约定的合同甲方）</w:t>
      </w:r>
      <w:r/>
    </w:p>
    <w:p>
      <w:pPr>
        <w:rPr>
          <w:rFonts w:ascii="宋体" w:hAnsi="宋体" w:cs="宋体"/>
          <w:color w:val="000000"/>
          <w:sz w:val="21"/>
          <w:szCs w:val="21"/>
          <w:highlight w:val="none"/>
        </w:rPr>
      </w:pPr>
      <w:r>
        <w:rPr>
          <w:rFonts w:ascii="宋体" w:hAnsi="宋体" w:cs="宋体"/>
          <w:color w:val="000000"/>
          <w:sz w:val="21"/>
          <w:szCs w:val="21"/>
          <w:highlight w:val="none"/>
        </w:rPr>
        <w:t xml:space="preserve">乙方1（全称）：（供应商）</w:t>
      </w:r>
      <w:r/>
    </w:p>
    <w:p>
      <w:pPr>
        <w:rPr>
          <w:rFonts w:ascii="宋体" w:hAnsi="宋体" w:cs="宋体"/>
          <w:color w:val="000000"/>
          <w:sz w:val="21"/>
          <w:szCs w:val="21"/>
          <w:highlight w:val="none"/>
        </w:rPr>
      </w:pPr>
      <w:r>
        <w:rPr>
          <w:rFonts w:ascii="宋体" w:hAnsi="宋体" w:cs="宋体"/>
          <w:color w:val="000000"/>
          <w:sz w:val="21"/>
          <w:szCs w:val="21"/>
          <w:highlight w:val="none"/>
        </w:rPr>
        <w:t xml:space="preserve">乙方2（全称）：（联合体成员供应商或其他合同主体）（如有）</w:t>
      </w:r>
      <w:r/>
    </w:p>
    <w:p>
      <w:pPr>
        <w:rPr>
          <w:rFonts w:ascii="宋体" w:hAnsi="宋体" w:cs="宋体"/>
          <w:color w:val="000000"/>
          <w:sz w:val="21"/>
          <w:szCs w:val="21"/>
          <w:highlight w:val="none"/>
        </w:rPr>
      </w:pPr>
      <w:r>
        <w:rPr>
          <w:rFonts w:ascii="宋体" w:hAnsi="宋体" w:cs="宋体"/>
          <w:color w:val="000000"/>
          <w:sz w:val="21"/>
          <w:szCs w:val="21"/>
          <w:highlight w:val="none"/>
        </w:rPr>
        <w:t xml:space="preserve">乙方3（全称）：（联合体成员供应商或其他合同主体）（如有）</w:t>
      </w:r>
      <w:r/>
    </w:p>
    <w:p>
      <w:pPr>
        <w:rPr>
          <w:rFonts w:ascii="宋体" w:hAnsi="宋体" w:cs="宋体"/>
          <w:color w:val="000000"/>
          <w:sz w:val="21"/>
          <w:szCs w:val="21"/>
          <w:highlight w:val="none"/>
        </w:rPr>
      </w:pPr>
      <w:r>
        <w:rPr>
          <w:rFonts w:ascii="宋体" w:hAnsi="宋体" w:cs="宋体"/>
          <w:color w:val="000000"/>
          <w:sz w:val="21"/>
          <w:szCs w:val="21"/>
          <w:highlight w:val="none"/>
        </w:rPr>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1.项目信息</w:t>
      </w:r>
      <w:r/>
    </w:p>
    <w:p>
      <w:pPr>
        <w:pStyle w:val="819"/>
        <w:ind w:left="0" w:firstLine="420"/>
        <w:spacing w:after="0"/>
        <w:rPr>
          <w:rFonts w:ascii="宋体" w:hAnsi="宋体" w:cs="宋体"/>
          <w:color w:val="000000"/>
          <w:sz w:val="21"/>
          <w:szCs w:val="21"/>
          <w:highlight w:val="none"/>
          <w:u w:val="single"/>
        </w:rPr>
      </w:pPr>
      <w:r>
        <w:rPr>
          <w:rFonts w:ascii="宋体" w:hAnsi="宋体" w:cs="宋体"/>
          <w:color w:val="000000"/>
          <w:sz w:val="21"/>
          <w:szCs w:val="21"/>
          <w:highlight w:val="none"/>
        </w:rPr>
        <w:t xml:space="preserve">（1）采购项目名称：</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采购项目编号：</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（2）采购计划编号：</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（3）项目内容：</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采购标的及数量（台/套/个/架/组等）：</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品牌：    规格型号：    </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采购标的的技术要求、商务要求具体见附件。</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①涉及信息类产品，请填写该产品关键部件的品牌、型号：</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标的名称：</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②涉及车辆采购，请填写是否属于新能源汽车：</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    数量：    金额：</w:t>
      </w:r>
      <w:r/>
    </w:p>
    <w:p>
      <w:pPr>
        <w:pStyle w:val="819"/>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（4）政府采购组织形式：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政府集中采购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部门集中采购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分散采购</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（5）政府采购方式：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公开招标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邀请招标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竞争性谈判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竞争性磋商</w:t>
      </w:r>
      <w:r/>
    </w:p>
    <w:p>
      <w:pPr>
        <w:pStyle w:val="1104"/>
        <w:numPr>
          <w:ilvl w:val="0"/>
          <w:numId w:val="0"/>
        </w:numPr>
        <w:ind w:firstLine="2436"/>
        <w:jc w:val="both"/>
        <w:spacing w:line="240" w:lineRule="auto"/>
        <w:rPr>
          <w:rFonts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询价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单一来源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框架协议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其他：</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（注：在框架协议采购的第二阶段，可选择使用该合同文本）</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（6）中标（成交）采购标的制造商是否为中小企业：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本合同是否为专门面向中小企业的采购合同（中小企业预留合同）：</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若本项目不专门面向中小企业采购，是否给予小微企业评审优惠：</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中标（成交）采购标的制造商是否为残疾人福利性单位：</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中标（成交）采购标的制造商是否为监狱企业：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（7）合同是否分包：</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分包主要内容：</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分包供应商/制造商名称（如供应商和制造商不同，请分别填写）：</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分包供应商/制造商类型（如果供应商和制造商不同，只填写制造商类型）：</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大型企业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小微型企业</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残疾人福利性单位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监狱企业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（8）中标（成交）供应商是否为外商投资企业：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pStyle w:val="1104"/>
        <w:ind w:firstLine="945"/>
        <w:jc w:val="both"/>
        <w:spacing w:line="240" w:lineRule="auto"/>
        <w:tabs>
          <w:tab w:val="left" w:pos="1340"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 xml:space="preserve">外商投资企业类型：</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全部由外国投资者投资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部分由外国投资者投资</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（9）是否涉及进口产品：</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是，《政府采购品目分类目录》底级品目名称：金额：</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国别：    品牌：    规格型号：</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（10）是否涉及节能产品：</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是，《节能产品政府采购品目清单》的底级品目名称：</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是否涉及环境标志产品：</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是，《环境标志产品政府采购品目清单》的底级品目名称：</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是否涉及绿色产品：</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是，绿色产品政府采购相关政策确定的底级品目名称：</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pStyle w:val="819"/>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（11）涉及商品包装和快递包装的，是否参考《商品包装政府采购需求标准（试行）》、《快递包装政府采购需求标准（试行）》明确产品及相关快递服务的具体包装要求：</w:t>
      </w:r>
      <w:r/>
    </w:p>
    <w:p>
      <w:pPr>
        <w:numPr>
          <w:ilvl w:val="0"/>
          <w:numId w:val="0"/>
        </w:num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不涉及</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2.合同金额</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（1）合同金额小写：</w:t>
      </w:r>
      <w:r/>
    </w:p>
    <w:p>
      <w:pPr>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分包金额（如有）小写：</w:t>
      </w:r>
      <w:r/>
    </w:p>
    <w:p>
      <w:pPr>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（注：固定单价合同应填写单价和最高限价）</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（2）合同定价方式（采用组合定价方式的，可以勾选多项）：</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固定总价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固定单价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固定费率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p>
    <w:p>
      <w:pPr>
        <w:pStyle w:val="1016"/>
        <w:rPr>
          <w:rFonts w:ascii="宋体" w:hAnsi="宋体" w:cs="宋体"/>
          <w:color w:val="000000"/>
          <w:sz w:val="21"/>
          <w:szCs w:val="21"/>
          <w:highlight w:val="none"/>
        </w:rPr>
      </w:pPr>
      <w:r>
        <w:rPr>
          <w:rFonts w:ascii="宋体" w:hAnsi="宋体" w:cs="宋体"/>
          <w:color w:val="000000"/>
          <w:sz w:val="21"/>
          <w:szCs w:val="21"/>
          <w:highlight w:val="none"/>
        </w:rPr>
        <w:t xml:space="preserve">（3）付款方式（按项目实际勾选填写）：</w:t>
      </w:r>
      <w:r/>
    </w:p>
    <w:p>
      <w:pPr>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全额付款：</w:t>
      </w:r>
      <w:r>
        <w:rPr>
          <w:rFonts w:ascii="宋体" w:hAnsi="宋体" w:cs="宋体"/>
          <w:color w:val="000000"/>
          <w:sz w:val="21"/>
          <w:szCs w:val="21"/>
          <w:highlight w:val="none"/>
          <w:u w:val="single"/>
        </w:rPr>
        <w:t xml:space="preserve">     （应明确一次性支付合同款项的条件）                </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分期付款：</w:t>
      </w:r>
      <w:r>
        <w:rPr>
          <w:rFonts w:ascii="宋体" w:hAnsi="宋体" w:cs="宋体"/>
          <w:color w:val="000000"/>
          <w:sz w:val="21"/>
          <w:szCs w:val="21"/>
          <w:highlight w:val="none"/>
          <w:u w:val="single"/>
        </w:rPr>
        <w:t xml:space="preserve">  （应明确分期支付合同款项的各期比例和支付条件，各期支付条件应与分期履约验收情况挂钩） </w:t>
      </w:r>
      <w:r>
        <w:rPr>
          <w:rFonts w:ascii="宋体" w:hAnsi="宋体" w:cs="宋体"/>
          <w:color w:val="000000"/>
          <w:sz w:val="21"/>
          <w:szCs w:val="21"/>
          <w:highlight w:val="none"/>
        </w:rPr>
        <w:t xml:space="preserve">，其中涉及预付款的：</w:t>
      </w:r>
      <w:r>
        <w:rPr>
          <w:rFonts w:ascii="宋体" w:hAnsi="宋体" w:cs="宋体"/>
          <w:color w:val="000000"/>
          <w:sz w:val="21"/>
          <w:szCs w:val="21"/>
          <w:highlight w:val="none"/>
          <w:u w:val="single"/>
        </w:rPr>
        <w:t xml:space="preserve"> （应明确预付款的支付比例和支付条件） </w:t>
      </w:r>
      <w:r/>
    </w:p>
    <w:p>
      <w:pPr>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w:t>
      </w:r>
      <w:r>
        <w:rPr>
          <w:rFonts w:ascii="宋体" w:hAnsi="宋体" w:cs="宋体"/>
          <w:color w:val="000000"/>
          <w:sz w:val="21"/>
          <w:szCs w:val="21"/>
          <w:highlight w:val="none"/>
          <w:u w:val="single"/>
        </w:rPr>
        <w:t xml:space="preserve">      （应明确按照成本补偿方式的支付方式和支付条件）   </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w:t>
      </w:r>
      <w:r>
        <w:rPr>
          <w:rFonts w:ascii="宋体" w:hAnsi="宋体" w:cs="宋体"/>
          <w:color w:val="000000"/>
          <w:sz w:val="21"/>
          <w:szCs w:val="21"/>
          <w:highlight w:val="none"/>
          <w:u w:val="single"/>
        </w:rPr>
        <w:t xml:space="preserve">      （应明确按照绩效激励方式的支付方式和支付条件）   </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3.合同履行</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（1）起始日期：    年  月  日，完成日期：    年  月  日。</w:t>
      </w:r>
      <w:r/>
    </w:p>
    <w:p>
      <w:pPr>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（2）履约地点：</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（3）履约担保：是否收取履约保证金：</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pStyle w:val="1104"/>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收取履约保证金形式：</w:t>
      </w:r>
      <w:r/>
    </w:p>
    <w:p>
      <w:pPr>
        <w:pStyle w:val="1104"/>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收取履约保证金金额：</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履约担保期限：</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（4）分期履行要求：</w:t>
      </w:r>
      <w:r/>
    </w:p>
    <w:p>
      <w:pPr>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（5）风险处置措施和替代方案：</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4.合同验收</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（1）验收组织方式：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自行组织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委托第三方组织</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验收主体：</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是否邀请本项目的其他供应商参加验收：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是否邀请专家参加验收：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是否邀请服务对象参加验收：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是否邀请第三方检测机构参加验收：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是否进行抽查检测：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是，抽查比例：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是否存在破坏性检测：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w:t>
      </w:r>
      <w:r>
        <w:rPr>
          <w:rFonts w:ascii="宋体" w:hAnsi="宋体" w:cs="宋体"/>
          <w:color w:val="000000"/>
          <w:sz w:val="21"/>
          <w:szCs w:val="21"/>
          <w:highlight w:val="none"/>
          <w:u w:val="single"/>
        </w:rPr>
        <w:t xml:space="preserve">（应明确对被破坏的检测产品的处理方式）</w:t>
      </w:r>
      <w:r>
        <w:rPr>
          <w:rFonts w:ascii="宋体" w:hAnsi="宋体" w:cs="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p>
    <w:p>
      <w:pPr>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验收组织的其他事项：</w:t>
      </w:r>
      <w:r/>
    </w:p>
    <w:p>
      <w:pPr>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（2）履约验收时间：</w:t>
      </w:r>
      <w:r>
        <w:rPr>
          <w:rFonts w:ascii="宋体" w:hAnsi="宋体" w:cs="宋体"/>
          <w:color w:val="000000"/>
          <w:sz w:val="21"/>
          <w:szCs w:val="21"/>
          <w:highlight w:val="none"/>
          <w:u w:val="single"/>
        </w:rPr>
        <w:t xml:space="preserve">（计划于何时验收/供应商提出验收申请之日起   日内组织验收）</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（3）履约验收方式：</w:t>
      </w:r>
      <w:r/>
    </w:p>
    <w:p>
      <w:p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一次性验收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分期/分项验收：</w:t>
      </w:r>
      <w:r>
        <w:rPr>
          <w:rFonts w:ascii="宋体" w:hAnsi="宋体" w:cs="宋体"/>
          <w:color w:val="000000"/>
          <w:sz w:val="21"/>
          <w:szCs w:val="21"/>
          <w:highlight w:val="none"/>
          <w:u w:val="single"/>
        </w:rPr>
        <w:t xml:space="preserve">（应明确分期/分项验收的工作安排）</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（4）履约验收程序：</w:t>
      </w:r>
      <w:r/>
    </w:p>
    <w:p>
      <w:pPr>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（5）履约验收的内容：</w:t>
      </w:r>
      <w:r>
        <w:rPr>
          <w:rFonts w:ascii="宋体" w:hAnsi="宋体" w:cs="宋体"/>
          <w:color w:val="000000"/>
          <w:sz w:val="21"/>
          <w:szCs w:val="21"/>
          <w:highlight w:val="none"/>
          <w:u w:val="single"/>
        </w:rPr>
        <w:t xml:space="preserve">（应当包括每一项技术和商务要求的履约情况，特别是落实政府采购扶持中小企业，支持绿色发展和乡村振兴等政策情况）</w:t>
      </w:r>
      <w:r/>
    </w:p>
    <w:p>
      <w:pPr>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（6）履约验收标准：</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（7）是否以采购活动中供应商提供的样品作为参考：</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否</w:t>
      </w:r>
      <w:r/>
    </w:p>
    <w:p>
      <w:pPr>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（8）履约验收其他事项：</w:t>
      </w:r>
      <w:r>
        <w:rPr>
          <w:rFonts w:ascii="宋体" w:hAnsi="宋体" w:cs="宋体"/>
          <w:color w:val="000000"/>
          <w:sz w:val="21"/>
          <w:szCs w:val="21"/>
          <w:highlight w:val="none"/>
          <w:u w:val="single"/>
        </w:rPr>
        <w:t xml:space="preserve">（产权过户登记等）</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5.组成合同的文件</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本协议书与下列文件一起构成合同文件，如下述文件之间有任何抵触、矛盾或歧义，应按以下顺序解释：</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（1）政府采购合同协议书及其变更、补充协议</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（2）政府采购合同专用条款</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（3）政府采购合同通用条款</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（4）中标（成交）通知书</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（5）投标（响应）文件</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（6）采购文件</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（7）有关技术文件，图纸</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（8）国家法律、行政法规和规章制度规定或合同约定的作为合同组成部分的其他文件</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6.合同生效</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本合同自        生效。</w:t>
      </w:r>
      <w:r/>
    </w:p>
    <w:p>
      <w:pPr>
        <w:pStyle w:val="819"/>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7.合同份数</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本合同一式    份，甲方执    份，乙方执    份，均具有同等法律效力。</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合同订立时间：     年  月  日</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合同订立地点：</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附件：具体标的及其技术要求和商务要求、联合协议、分包意向协议等。</w:t>
      </w:r>
      <w:r/>
    </w:p>
    <w:p>
      <w:pPr>
        <w:rPr>
          <w:color w:val="000000"/>
          <w:sz w:val="21"/>
          <w:szCs w:val="22"/>
          <w:highlight w:val="none"/>
        </w:rPr>
      </w:pPr>
      <w:r>
        <w:rPr>
          <w:rFonts w:ascii="宋体"/>
          <w:color w:val="000000"/>
          <w:sz w:val="21"/>
          <w:szCs w:val="22"/>
          <w:highlight w:val="none"/>
        </w:rPr>
        <w:br w:type="page" w:clear="all"/>
      </w:r>
      <w:r/>
    </w:p>
    <w:tbl>
      <w:tblPr>
        <w:tblStyle w:val="77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503"/>
        <w:gridCol w:w="1178"/>
        <w:gridCol w:w="3228"/>
      </w:tblGrid>
      <w:tr>
        <w:trPr>
          <w:jc w:val="center"/>
          <w:trHeight w:val="809"/>
        </w:trPr>
        <w:tc>
          <w:tcPr>
            <w:gridSpan w:val="2"/>
            <w:tcW w:w="4629" w:type="dxa"/>
            <w:vAlign w:val="center"/>
            <w:textDirection w:val="lrTb"/>
            <w:noWrap w:val="false"/>
          </w:tcPr>
          <w:p>
            <w:pPr>
              <w:jc w:val="center"/>
              <w:rPr>
                <w:color w:val="000000"/>
                <w:sz w:val="21"/>
                <w:szCs w:val="22"/>
                <w:highlight w:val="none"/>
              </w:rPr>
            </w:pPr>
            <w:r>
              <w:rPr>
                <w:rFonts w:ascii="宋体"/>
                <w:color w:val="000000"/>
                <w:sz w:val="21"/>
                <w:szCs w:val="21"/>
                <w:highlight w:val="none"/>
              </w:rPr>
              <w:t xml:space="preserve">甲方（采购人</w:t>
            </w:r>
            <w:r>
              <w:rPr>
                <w:rFonts w:ascii="宋体" w:hAnsi="宋体"/>
                <w:color w:val="000000"/>
                <w:sz w:val="21"/>
                <w:szCs w:val="21"/>
                <w:highlight w:val="none"/>
              </w:rPr>
              <w:t xml:space="preserve">、受采购人委托签订合同的单位或</w:t>
            </w:r>
            <w:r>
              <w:rPr>
                <w:rFonts w:ascii="宋体"/>
                <w:color w:val="000000"/>
                <w:sz w:val="21"/>
                <w:szCs w:val="21"/>
                <w:highlight w:val="none"/>
              </w:rPr>
              <w:t xml:space="preserve">采购文件约定的合同甲方）</w:t>
            </w:r>
            <w:r/>
          </w:p>
        </w:tc>
        <w:tc>
          <w:tcPr>
            <w:gridSpan w:val="2"/>
            <w:tcW w:w="4406" w:type="dxa"/>
            <w:vAlign w:val="center"/>
            <w:textDirection w:val="lrTb"/>
            <w:noWrap w:val="false"/>
          </w:tcPr>
          <w:p>
            <w:pPr>
              <w:jc w:val="center"/>
              <w:rPr>
                <w:color w:val="000000"/>
                <w:sz w:val="21"/>
                <w:szCs w:val="22"/>
                <w:highlight w:val="none"/>
              </w:rPr>
            </w:pPr>
            <w:r>
              <w:rPr>
                <w:rFonts w:ascii="宋体"/>
                <w:color w:val="000000"/>
                <w:sz w:val="21"/>
                <w:szCs w:val="21"/>
                <w:highlight w:val="none"/>
              </w:rPr>
              <w:t xml:space="preserve">乙方（供应商）</w:t>
            </w:r>
            <w:r/>
          </w:p>
        </w:tc>
      </w:tr>
      <w:tr>
        <w:trPr>
          <w:jc w:val="center"/>
          <w:trHeight w:val="917"/>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单位名称（公章或合同章）</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单位名称（公章或合同章）</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1171"/>
        </w:trPr>
        <w:tc>
          <w:tcPr>
            <w:tcW w:w="1126" w:type="dxa"/>
            <w:vAlign w:val="center"/>
            <w:vMerge w:val="restart"/>
            <w:textDirection w:val="lrTb"/>
            <w:noWrap w:val="false"/>
          </w:tcPr>
          <w:p>
            <w:pPr>
              <w:jc w:val="center"/>
              <w:rPr>
                <w:color w:val="000000"/>
                <w:sz w:val="21"/>
                <w:szCs w:val="21"/>
                <w:highlight w:val="none"/>
              </w:rPr>
            </w:pPr>
            <w:r>
              <w:rPr>
                <w:rFonts w:ascii="宋体"/>
                <w:color w:val="000000"/>
                <w:sz w:val="21"/>
                <w:szCs w:val="21"/>
                <w:highlight w:val="none"/>
              </w:rPr>
              <w:t xml:space="preserve">法定代表人</w:t>
            </w:r>
            <w:r/>
          </w:p>
          <w:p>
            <w:pPr>
              <w:ind w:firstLine="100"/>
              <w:jc w:val="center"/>
              <w:rPr>
                <w:color w:val="000000"/>
                <w:sz w:val="21"/>
                <w:szCs w:val="21"/>
                <w:highlight w:val="none"/>
              </w:rPr>
            </w:pPr>
            <w:r>
              <w:rPr>
                <w:rFonts w:ascii="宋体"/>
                <w:color w:val="000000"/>
                <w:sz w:val="21"/>
                <w:szCs w:val="21"/>
                <w:highlight w:val="none"/>
              </w:rPr>
              <w:t xml:space="preserve">或其委托代理人（签章）</w:t>
            </w:r>
            <w:r/>
          </w:p>
        </w:tc>
        <w:tc>
          <w:tcPr>
            <w:tcW w:w="1436" w:type="dxa"/>
            <w:vAlign w:val="center"/>
            <w:vMerge w:val="restart"/>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法定代表人</w:t>
            </w:r>
            <w:r/>
          </w:p>
          <w:p>
            <w:pPr>
              <w:jc w:val="center"/>
              <w:rPr>
                <w:color w:val="000000"/>
                <w:sz w:val="21"/>
                <w:szCs w:val="21"/>
                <w:highlight w:val="none"/>
              </w:rPr>
            </w:pPr>
            <w:r>
              <w:rPr>
                <w:rFonts w:ascii="宋体"/>
                <w:color w:val="000000"/>
                <w:sz w:val="21"/>
                <w:szCs w:val="21"/>
                <w:highlight w:val="none"/>
              </w:rPr>
              <w:t xml:space="preserve">或其委托代理人</w:t>
            </w:r>
            <w:r/>
          </w:p>
          <w:p>
            <w:pPr>
              <w:jc w:val="center"/>
              <w:rPr>
                <w:color w:val="000000"/>
                <w:sz w:val="21"/>
                <w:szCs w:val="21"/>
                <w:highlight w:val="none"/>
              </w:rPr>
            </w:pPr>
            <w:r>
              <w:rPr>
                <w:rFonts w:ascii="宋体"/>
                <w:color w:val="000000"/>
                <w:sz w:val="21"/>
                <w:szCs w:val="21"/>
                <w:highlight w:val="none"/>
              </w:rPr>
              <w:t xml:space="preserve">（签章）</w:t>
            </w:r>
            <w:r/>
          </w:p>
        </w:tc>
        <w:tc>
          <w:tcPr>
            <w:tcW w:w="1259"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483"/>
        </w:trPr>
        <w:tc>
          <w:tcPr>
            <w:tcW w:w="1126"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436"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拥有者性别</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住所</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住所</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联 系 人</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联 系 人</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联系电话</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联系电话</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通信地址</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通信地址</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邮政编码</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邮政编码</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电子邮箱</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电子邮箱</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tcW w:w="1126"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统一社会信用代码</w:t>
            </w:r>
            <w:r/>
          </w:p>
        </w:tc>
        <w:tc>
          <w:tcPr>
            <w:tcW w:w="143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统一社会信用代码</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gridSpan w:val="2"/>
            <w:tcW w:w="4629" w:type="dxa"/>
            <w:vAlign w:val="center"/>
            <w:vMerge w:val="restart"/>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开户名称</w:t>
            </w:r>
            <w:r/>
          </w:p>
        </w:tc>
        <w:tc>
          <w:tcPr>
            <w:tcW w:w="1259"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gridSpan w:val="2"/>
            <w:tcW w:w="4629"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开户银行</w:t>
            </w:r>
            <w:r/>
          </w:p>
        </w:tc>
        <w:tc>
          <w:tcPr>
            <w:tcW w:w="1260"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483"/>
        </w:trPr>
        <w:tc>
          <w:tcPr>
            <w:gridSpan w:val="2"/>
            <w:tcW w:w="4629"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jc w:val="center"/>
              <w:rPr>
                <w:color w:val="000000"/>
                <w:sz w:val="21"/>
                <w:szCs w:val="21"/>
                <w:highlight w:val="none"/>
              </w:rPr>
            </w:pPr>
            <w:r>
              <w:rPr>
                <w:rFonts w:ascii="宋体"/>
                <w:color w:val="000000"/>
                <w:sz w:val="21"/>
                <w:szCs w:val="21"/>
                <w:highlight w:val="none"/>
              </w:rPr>
              <w:t xml:space="preserve">银行账号</w:t>
            </w:r>
            <w:r/>
          </w:p>
        </w:tc>
        <w:tc>
          <w:tcPr>
            <w:tcW w:w="1260" w:type="dxa"/>
            <w:vAlign w:val="center"/>
            <w:textDirection w:val="lrTb"/>
            <w:noWrap w:val="false"/>
          </w:tcPr>
          <w:p>
            <w:pPr>
              <w:jc w:val="center"/>
              <w:rPr>
                <w:color w:val="000000"/>
                <w:spacing w:val="20"/>
                <w:sz w:val="21"/>
                <w:szCs w:val="21"/>
                <w:highlight w:val="none"/>
              </w:rPr>
            </w:pPr>
            <w:r>
              <w:rPr>
                <w:color w:val="000000"/>
                <w:spacing w:val="20"/>
                <w:sz w:val="21"/>
                <w:szCs w:val="21"/>
                <w:highlight w:val="none"/>
              </w:rPr>
            </w:r>
            <w:r/>
          </w:p>
        </w:tc>
      </w:tr>
      <w:tr>
        <w:trPr>
          <w:jc w:val="center"/>
          <w:trHeight w:val="586"/>
        </w:trPr>
        <w:tc>
          <w:tcPr>
            <w:gridSpan w:val="4"/>
            <w:tcW w:w="9035" w:type="dxa"/>
            <w:vAlign w:val="center"/>
            <w:textDirection w:val="lrTb"/>
            <w:noWrap w:val="false"/>
          </w:tcPr>
          <w:p>
            <w:pPr>
              <w:pStyle w:val="819"/>
              <w:ind w:left="0"/>
              <w:jc w:val="left"/>
              <w:spacing w:after="0"/>
              <w:rPr>
                <w:color w:val="000000"/>
                <w:spacing w:val="20"/>
                <w:sz w:val="21"/>
                <w:szCs w:val="21"/>
                <w:highlight w:val="none"/>
              </w:rPr>
            </w:pPr>
            <w:r>
              <w:rPr>
                <w:rFonts w:ascii="宋体" w:hAnsi="宋体"/>
                <w:color w:val="000000"/>
                <w:sz w:val="21"/>
                <w:szCs w:val="21"/>
                <w:highlight w:val="none"/>
              </w:rPr>
              <w:t xml:space="preserve">注：涉及联合体或其他合同主体的信息应按上表格式加列。</w:t>
            </w:r>
            <w:r/>
          </w:p>
        </w:tc>
      </w:tr>
    </w:tbl>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第二节 政府采购合同通用条款</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1.定义</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1.1 合同当事人</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（3）其他合同主体是指除采购人和供应商以外，依法参与合同缔结或履行，享有权利、承担义务的合同当事人。</w:t>
      </w:r>
      <w:r/>
    </w:p>
    <w:p>
      <w:pPr>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1.2 本合同下列术语应解释为：</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p>
    <w:p>
      <w:pPr>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（7）其他术语解释，见【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2.合同标的及金额</w:t>
      </w:r>
      <w:r/>
    </w:p>
    <w:p>
      <w:pPr>
        <w:ind w:firstLine="420"/>
        <w:rPr>
          <w:rFonts w:ascii="宋体" w:hAnsi="宋体" w:cs="宋体"/>
          <w:b/>
          <w:i/>
          <w:color w:val="000000"/>
          <w:sz w:val="21"/>
          <w:szCs w:val="21"/>
          <w:highlight w:val="none"/>
        </w:rPr>
      </w:pPr>
      <w:r>
        <w:rPr>
          <w:rFonts w:ascii="宋体" w:hAnsi="宋体" w:cs="宋体"/>
          <w:color w:val="000000"/>
          <w:sz w:val="21"/>
          <w:szCs w:val="21"/>
          <w:highlight w:val="none"/>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3.履行合同的时间、地点和方式</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3.1 乙方应当在约定的时间、地点，按照约定方式履行合同。</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4.甲方的权利和义务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4.3 甲方有权要求乙方对缺陷部分予以修复，并按合同约定享有货物保修及其他合同约定的权利。</w:t>
      </w:r>
      <w:r/>
    </w:p>
    <w:p>
      <w:pPr>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4.4 甲方应当按照合同约定及时对交付的货物进行验收，未在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约定的期限内对乙方履约提出任何异议或者向乙方作出任何说明的，视为验收通过。</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4.5 甲方应当根据合同约定及时向乙方支付合同价款，不得以内部人员变更、履行内部付款流程等为由，拒绝或迟延支付。</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4.6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约定应由甲方承担的其他义务和责任。</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5. 乙方的权利和义务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5.1 签署合同后，乙方应确定项目负责人（或项目联系人），负责与本合同有关的事务。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8"/>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5.3 乙方有权根据合同约定向甲方收取合同价款。</w:t>
      </w:r>
      <w:r/>
    </w:p>
    <w:p>
      <w:pPr>
        <w:pStyle w:val="818"/>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5.4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约定应由乙方承担的其他义务和责任。</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6.合同履行</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6.1 甲乙双方应当按照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约定顺序履行合同义务；如果没有先后顺序的，应当同时履行。</w:t>
      </w:r>
      <w:r/>
    </w:p>
    <w:p>
      <w:pPr>
        <w:ind w:firstLine="420"/>
        <w:rPr>
          <w:rFonts w:ascii="宋体" w:hAnsi="宋体" w:cs="宋体"/>
          <w:color w:val="000000"/>
          <w:sz w:val="21"/>
          <w:szCs w:val="22"/>
          <w:highlight w:val="none"/>
        </w:rPr>
      </w:pPr>
      <w:r>
        <w:rPr>
          <w:rFonts w:ascii="宋体" w:hAnsi="宋体" w:cs="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7.货物包装、运输、保险和交付要求</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7.1 本合同涉及商品包装、快递包装的，除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另有约定外，包装应适应远距离运输、防潮、防震、防锈和防野蛮装卸等要求，确保货物安全无损地运抵</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约定的指定现场。</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7.2 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另有约定外，乙方负责办理将货物运抵本合同规定的交货地点，并装卸、交付至甲方的一切运输事项，相关费用应包含在合同价款中。</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7.3 货物保险要求按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7.5 乙方在运输到达之前应提前通知甲方，并提示货物运输装卸的注意事项，甲方配合乙方做好货物的接收工作。</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7.6 如因包装、运输问题导致货物损毁、丢失或者品质下降，甲方有权要求降价、换货、拒收部分或整批货物，由此产生的费用和损失，均由乙方承担。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8.质量标准和保证</w:t>
      </w:r>
      <w:r/>
    </w:p>
    <w:p>
      <w:pPr>
        <w:pStyle w:val="822"/>
        <w:ind w:firstLine="420"/>
        <w:rPr>
          <w:rFonts w:ascii="宋体" w:hAnsi="宋体" w:cs="宋体"/>
          <w:b/>
          <w:color w:val="000000"/>
          <w:sz w:val="21"/>
          <w:szCs w:val="20"/>
          <w:highlight w:val="none"/>
        </w:rPr>
      </w:pPr>
      <w:r>
        <w:rPr>
          <w:rFonts w:ascii="宋体" w:hAnsi="宋体" w:cs="宋体"/>
          <w:color w:val="000000"/>
          <w:sz w:val="21"/>
          <w:szCs w:val="20"/>
          <w:highlight w:val="none"/>
        </w:rPr>
        <w:t xml:space="preserve">8.1 质量标准</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2"/>
        <w:ind w:firstLine="420"/>
        <w:rPr>
          <w:rFonts w:ascii="宋体" w:hAnsi="宋体" w:cs="宋体"/>
          <w:color w:val="000000"/>
          <w:sz w:val="21"/>
          <w:szCs w:val="20"/>
          <w:highlight w:val="none"/>
        </w:rPr>
      </w:pPr>
      <w:r>
        <w:rPr>
          <w:rFonts w:ascii="宋体" w:hAnsi="宋体" w:cs="宋体"/>
          <w:color w:val="000000"/>
          <w:sz w:val="21"/>
          <w:szCs w:val="20"/>
          <w:highlight w:val="none"/>
        </w:rPr>
        <w:t xml:space="preserve">（2）采用中华人民共和国法定计量单位。</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（3）乙方所提供的货物应符合国家有关安全、环保、卫生的规定。</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8.2 保证</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规定或乙方书面承诺（两者以较长的为准）的质量保证期内，本保证保持有效。</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（2）在质量保证期内所发现的缺陷，甲方应尽快以书面形式通知乙方。</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（3）乙方收到通知后，应在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规定的响应时间内以合理的速度免费维修或更换有缺陷的货物或部件。</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rPr>
          <w:rFonts w:ascii="宋体" w:hAnsi="宋体" w:cs="宋体"/>
          <w:color w:val="000000"/>
          <w:sz w:val="21"/>
          <w:szCs w:val="22"/>
          <w:highlight w:val="none"/>
        </w:rPr>
      </w:pPr>
      <w:r>
        <w:rPr>
          <w:rFonts w:ascii="宋体" w:hAnsi="宋体" w:cs="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9.权利瑕疵担保</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9.1 乙方保证对其出售的货物享有合法的权利。</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9.2 </w:t>
      </w:r>
      <w:r>
        <w:rPr>
          <w:rFonts w:ascii="宋体" w:hAnsi="宋体" w:cs="宋体"/>
          <w:color w:val="000000"/>
          <w:sz w:val="21"/>
          <w:szCs w:val="15"/>
          <w:highlight w:val="none"/>
        </w:rPr>
        <w:t xml:space="preserve">乙方保证在交付的货物上不存在抵押权等担保物权。</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10.知识产权保护</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10.1 乙方对其所销售的货物应当享有知识产权或经权利人合法授权，保证没有侵犯任何第三人的知识产权等权利。</w:t>
      </w:r>
      <w:bookmarkStart w:id="363" w:name="_Hlk163047038"/>
      <w:r>
        <w:rPr>
          <w:rFonts w:ascii="宋体" w:hAnsi="宋体" w:cs="宋体"/>
          <w:color w:val="000000"/>
          <w:sz w:val="21"/>
          <w:szCs w:val="15"/>
          <w:highlight w:val="none"/>
        </w:rPr>
        <w:t xml:space="preserve">因违反前述约定对第三人构成侵权的，应当由乙方向第三人承担法律责任；甲方依法向第三人赔偿后，有权向乙方追偿。甲方有其他损失的，乙方应当赔偿</w:t>
      </w:r>
      <w:bookmarkEnd w:id="363"/>
      <w:r>
        <w:rPr>
          <w:rFonts w:ascii="宋体" w:hAnsi="宋体" w:cs="宋体"/>
          <w:color w:val="000000"/>
          <w:sz w:val="21"/>
          <w:szCs w:val="21"/>
          <w:highlight w:val="none"/>
        </w:rPr>
        <w:t xml:space="preserve">。</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11.保密义务</w:t>
      </w:r>
      <w:r/>
    </w:p>
    <w:p>
      <w:pPr>
        <w:ind w:firstLine="420"/>
        <w:rPr>
          <w:rFonts w:ascii="宋体" w:hAnsi="宋体" w:cs="宋体"/>
          <w:color w:val="000000"/>
          <w:sz w:val="21"/>
          <w:szCs w:val="15"/>
          <w:highlight w:val="none"/>
        </w:rPr>
      </w:pPr>
      <w:r>
        <w:rPr>
          <w:rFonts w:ascii="宋体" w:hAnsi="宋体" w:cs="宋体"/>
          <w:color w:val="000000"/>
          <w:sz w:val="2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中约定。</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12.合同价款支付</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12.1 合同价款支付按照国库集中支付制度及财政管理相关规定执行。</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13.履约保证金</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13.1 </w:t>
      </w:r>
      <w:r>
        <w:rPr>
          <w:rFonts w:ascii="宋体" w:hAnsi="宋体" w:cs="宋体"/>
          <w:color w:val="000000"/>
          <w:sz w:val="21"/>
          <w:szCs w:val="15"/>
          <w:highlight w:val="none"/>
        </w:rPr>
        <w:t xml:space="preserve">乙方应当以支票、汇票、本票或者金融机构、担保机构出具的保函等非现金形式提交。</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13.2 如果乙方出现</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约定情形的</w:t>
      </w:r>
      <w:r>
        <w:rPr>
          <w:rFonts w:ascii="宋体" w:hAnsi="宋体" w:cs="宋体"/>
          <w:color w:val="00000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000000"/>
          <w:sz w:val="21"/>
          <w:szCs w:val="22"/>
          <w:highlight w:val="none"/>
        </w:rPr>
      </w:pPr>
      <w:r>
        <w:rPr>
          <w:rFonts w:ascii="宋体" w:hAnsi="宋体" w:cs="宋体"/>
          <w:color w:val="000000"/>
          <w:sz w:val="21"/>
          <w:szCs w:val="21"/>
          <w:highlight w:val="none"/>
        </w:rPr>
        <w:t xml:space="preserve">13.3 甲方在项目通过验收后按照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规定的时间内将履约保证金退还乙方；逾期退还的，乙方可要求甲方支付违约金，违约金按照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规定支付。</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14.售后服务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14.1 除项目不涉及或采购活动中明确约定无须承担外，乙方还应提供下列服务：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（1）货物的现场移动、安装、调试、启动监督及技术支持；</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（2）提供货物组装和维修所需的专用工具和辅助材料；</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（3）在</w:t>
      </w:r>
      <w:r>
        <w:rPr>
          <w:rFonts w:ascii="宋体" w:hAnsi="宋体" w:cs="宋体"/>
          <w:b/>
          <w:color w:val="000000"/>
          <w:sz w:val="21"/>
          <w:szCs w:val="15"/>
          <w:highlight w:val="none"/>
        </w:rPr>
        <w:t xml:space="preserve">【政府采购合同专用条款】</w:t>
      </w:r>
      <w:r>
        <w:rPr>
          <w:rFonts w:ascii="宋体" w:hAnsi="宋体" w:cs="宋体"/>
          <w:color w:val="000000"/>
          <w:sz w:val="21"/>
          <w:szCs w:val="21"/>
          <w:highlight w:val="none"/>
        </w:rPr>
        <w:t xml:space="preserve">约定的期限内对所有的货物实施运行监督、维修，但前提条件是该服务并不能免除乙方在质量保证期内所承担的义务；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（4）在制造商所在地或指定现场就货物的安装、启动、运营、维护、废弃处置等对甲方操作人员进行培训</w:t>
      </w:r>
      <w:r>
        <w:rPr>
          <w:rFonts w:ascii="宋体" w:hAnsi="宋体" w:cs="宋体"/>
          <w:color w:val="000000"/>
          <w:sz w:val="21"/>
          <w:szCs w:val="15"/>
          <w:highlight w:val="none"/>
        </w:rPr>
        <w:t xml:space="preserve">；</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（5）依照法律、行政法规的规定或者按照</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约定，货物在有效使用年限届满后应予回收的，乙方负有自行或者委托第三人对货物予以回收的义务；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规定由乙方提供的其他服务。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15.违约责任</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15.1 质量瑕疵的违约责任</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乙方提供的产品不符合合同约定的质量标准或存在产品质量缺陷，甲方有权要求乙方根据</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要求及时修理、重作、更换，并承担由此给甲方造成的损失。</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15.2 迟延交货的违约责任</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规定执行。如果涉及公共利益，且赔偿金额无法弥补公共利益损失，甲方可要求继续履行或者采取其他补救措施。</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15.3 迟延支付的违约责任</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甲方存在迟延支付乙方合同款项的，应当承担</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规定的逾期付款利息。</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15.4 其他违约责任根据项目实际需要按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16.合同变更、中止与终止</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16.1 合同的变更</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16.2 合同的中止</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（1）合同履行过程中因供应商就采购文件、采购过程或结果提起投诉的，甲方认为有必要的，可以中止合同的履行。</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（4）甲方不得以行政区划调整、政府换届、机构或者职能调整以及相关责任人更替为由中止合同。</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16.3 合同的终止</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（1）合同因有效期限届满而终止；</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（2）乙方未按合同约定履行，构成根本性违约的，甲方有权终止合同，并追究乙方的违约责任。</w:t>
      </w:r>
      <w:r/>
    </w:p>
    <w:p>
      <w:pPr>
        <w:pStyle w:val="1104"/>
        <w:jc w:val="both"/>
        <w:spacing w:line="240"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t xml:space="preserve">16.4 </w:t>
      </w:r>
      <w:r>
        <w:rPr>
          <w:rFonts w:ascii="宋体" w:hAnsi="宋体" w:eastAsia="宋体" w:cs="宋体"/>
          <w:color w:val="000000"/>
          <w:sz w:val="21"/>
          <w:szCs w:val="21"/>
          <w:highlight w:val="none"/>
        </w:rPr>
        <w:t xml:space="preserve">涉及国家利益、社会公共利益的情形</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17.合同分包</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17.1 乙方不得将合同转包给其他供应商。涉及合同分包的，乙方应根据采购文件和投标（响应）文件规定进行合同分包。</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18.不可抗力</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18.1 不可抗力是指合同双方不能预见、不能避免且不能克服的客观情况。</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19.解决争议的方法</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19.2 选择仲裁的，应在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中明确仲裁机构及仲裁地；通过诉讼方式解决的，可以在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20.政府采购政策</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20.1 </w:t>
      </w:r>
      <w:r>
        <w:rPr>
          <w:rFonts w:ascii="宋体" w:hAnsi="宋体" w:cs="宋体"/>
          <w:color w:val="000000"/>
          <w:sz w:val="21"/>
          <w:szCs w:val="22"/>
          <w:highlight w:val="none"/>
          <w:lang w:val="en-GB"/>
        </w:rPr>
        <w:t xml:space="preserve">本合同应当按照规定执行政府采购政策。</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20.2 本合同依法执行政府采购政策的方式和内容，属于合同履约验收的范围。</w:t>
      </w:r>
      <w:r>
        <w:rPr>
          <w:rFonts w:ascii="宋体" w:hAnsi="宋体" w:cs="宋体"/>
          <w:color w:val="000000"/>
          <w:sz w:val="21"/>
          <w:szCs w:val="22"/>
          <w:highlight w:val="none"/>
        </w:rPr>
        <w:t xml:space="preserve">甲乙双方</w:t>
      </w:r>
      <w:r>
        <w:rPr>
          <w:rFonts w:ascii="宋体" w:hAnsi="宋体" w:cs="宋体"/>
          <w:color w:val="000000"/>
          <w:sz w:val="21"/>
          <w:szCs w:val="22"/>
          <w:highlight w:val="none"/>
          <w:lang w:val="en-GB"/>
        </w:rPr>
        <w:t xml:space="preserve">未按规定要求执行政府采购政策造成损失的</w:t>
      </w:r>
      <w:r>
        <w:rPr>
          <w:rFonts w:ascii="宋体" w:hAnsi="宋体" w:cs="宋体"/>
          <w:color w:val="000000"/>
          <w:sz w:val="21"/>
          <w:szCs w:val="21"/>
          <w:highlight w:val="none"/>
        </w:rPr>
        <w:t xml:space="preserve">，有过错的一方应当承担赔偿责任，双方都有过错的，各自承担相应的责任。</w:t>
      </w:r>
      <w:r/>
    </w:p>
    <w:p>
      <w:pPr>
        <w:pStyle w:val="818"/>
        <w:ind w:firstLine="420"/>
        <w:spacing w:after="0"/>
        <w:rPr>
          <w:rFonts w:ascii="宋体" w:hAnsi="宋体" w:cs="宋体"/>
          <w:color w:val="000000"/>
          <w:sz w:val="21"/>
          <w:szCs w:val="22"/>
          <w:highlight w:val="none"/>
        </w:rPr>
      </w:pPr>
      <w:r>
        <w:rPr>
          <w:rFonts w:ascii="宋体" w:hAnsi="宋体"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21.法律适用</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21.1 本合同的订立、生效、解释、履行及与本合同有关的争议解决，均适用法律、行政法规。</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22.通知</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pStyle w:val="1104"/>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22.3 本合同一方给另一方的通知均应采用书面形式，传真或快递送到本合同中规定的对方的地址和办理签收手续。</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23.合同未尽事项</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23.1 合同未尽事项见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t xml:space="preserve">    23.2 合同附件与合同正文具有同等的法律效力。</w:t>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ind w:firstLine="420"/>
        <w:rPr>
          <w:rFonts w:ascii="宋体" w:hAnsi="宋体" w:cs="宋体"/>
          <w:color w:val="000000"/>
          <w:sz w:val="21"/>
          <w:szCs w:val="21"/>
          <w:highlight w:val="none"/>
        </w:rPr>
      </w:pPr>
      <w:r>
        <w:rPr>
          <w:rFonts w:ascii="宋体" w:hAnsi="宋体" w:cs="宋体"/>
          <w:color w:val="000000"/>
          <w:sz w:val="21"/>
          <w:szCs w:val="21"/>
          <w:highlight w:val="none"/>
        </w:rPr>
      </w:r>
      <w:r/>
    </w:p>
    <w:p>
      <w:pPr>
        <w:rPr>
          <w:rFonts w:hint="eastAsia" w:ascii="黑体" w:hAnsi="黑体" w:eastAsia="黑体"/>
          <w:color w:val="000000"/>
          <w:sz w:val="28"/>
          <w:szCs w:val="28"/>
          <w:highlight w:val="none"/>
        </w:rPr>
      </w:pPr>
      <w:r/>
      <w:bookmarkStart w:id="364" w:name="_Toc20313"/>
      <w:r>
        <w:rPr>
          <w:rFonts w:hint="eastAsia" w:ascii="黑体" w:hAnsi="黑体" w:eastAsia="黑体"/>
          <w:color w:val="000000"/>
          <w:sz w:val="28"/>
          <w:szCs w:val="28"/>
          <w:highlight w:val="none"/>
        </w:rPr>
        <w:br w:type="page" w:clear="all"/>
      </w:r>
      <w:r/>
    </w:p>
    <w:p>
      <w:pPr>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第三节 政府采购合同专用条款</w:t>
      </w:r>
      <w:bookmarkEnd w:id="364"/>
      <w:r/>
      <w:r/>
    </w:p>
    <w:tbl>
      <w:tblPr>
        <w:tblStyle w:val="77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第1.2（6）项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604"/>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第1.2（7）项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第4.4款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第4.6款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第5.4款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约定乙方承担的其他义务和责任</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第6.1款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第7.1款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包装特殊要求</w:t>
            </w:r>
            <w:r/>
          </w:p>
        </w:tc>
        <w:tc>
          <w:tcPr>
            <w:tcW w:w="5170" w:type="dxa"/>
            <w:vAlign w:val="center"/>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667"/>
        </w:trPr>
        <w:tc>
          <w:tcPr>
            <w:tcW w:w="1607" w:type="dxa"/>
            <w:vAlign w:val="center"/>
            <w:vMerge w:val="continue"/>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指定现场</w:t>
            </w:r>
            <w:r/>
          </w:p>
        </w:tc>
        <w:tc>
          <w:tcPr>
            <w:tcW w:w="5170" w:type="dxa"/>
            <w:vAlign w:val="center"/>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72"/>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第7.2款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运输特殊要求</w:t>
            </w:r>
            <w:r/>
          </w:p>
        </w:tc>
        <w:tc>
          <w:tcPr>
            <w:tcW w:w="5170" w:type="dxa"/>
            <w:vAlign w:val="center"/>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667"/>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第7.3款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保险要求</w:t>
            </w:r>
            <w:r/>
          </w:p>
        </w:tc>
        <w:tc>
          <w:tcPr>
            <w:tcW w:w="5170" w:type="dxa"/>
            <w:vAlign w:val="center"/>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第8.2（1）项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质量保证期</w:t>
            </w:r>
            <w:r/>
          </w:p>
        </w:tc>
        <w:tc>
          <w:tcPr>
            <w:tcW w:w="5170" w:type="dxa"/>
            <w:vAlign w:val="center"/>
            <w:textDirection w:val="lrTb"/>
            <w:noWrap w:val="false"/>
          </w:tcPr>
          <w:p>
            <w:pPr>
              <w:ind w:firstLine="420"/>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第8.2（3）项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货物质量缺陷</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响应时间</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pStyle w:val="1104"/>
              <w:ind w:firstLine="0"/>
              <w:jc w:val="center"/>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第11.1款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第12.2款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第13.2款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履约保证金不予退还的情形</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第13.3款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第14.1（3）项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第14.1（5）项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第14.1（6）项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第15.1款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第15.2（2）项</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第15.3款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第15.4款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其他违约责任</w:t>
            </w:r>
            <w:r/>
          </w:p>
        </w:tc>
        <w:tc>
          <w:tcPr>
            <w:tcW w:w="5170" w:type="dxa"/>
            <w:vAlign w:val="center"/>
            <w:textDirection w:val="lrTb"/>
            <w:noWrap w:val="false"/>
          </w:tcPr>
          <w:p>
            <w:pPr>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jc w:val="center"/>
          <w:trHeight w:val="90"/>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第19.2款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解决争议的方法</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t xml:space="preserve">因本合同及合同有关事项发生的争议，按下列第（ ）种方式解决：</w:t>
            </w:r>
            <w:r/>
          </w:p>
          <w:p>
            <w:pPr>
              <w:jc w:val="left"/>
              <w:rPr>
                <w:rFonts w:ascii="宋体" w:hAnsi="宋体" w:cs="宋体"/>
                <w:color w:val="000000"/>
                <w:sz w:val="21"/>
                <w:szCs w:val="21"/>
                <w:highlight w:val="none"/>
              </w:rPr>
            </w:pPr>
            <w:r>
              <w:rPr>
                <w:rFonts w:ascii="宋体" w:hAnsi="宋体" w:cs="宋体"/>
                <w:color w:val="000000"/>
                <w:sz w:val="21"/>
                <w:szCs w:val="21"/>
                <w:highlight w:val="none"/>
              </w:rPr>
              <w:t xml:space="preserve">（1）向仲裁委员会申请仲裁，仲裁地点为        ；</w:t>
            </w:r>
            <w:r/>
          </w:p>
          <w:p>
            <w:pPr>
              <w:jc w:val="left"/>
              <w:rPr>
                <w:rFonts w:ascii="宋体" w:hAnsi="宋体" w:cs="宋体"/>
                <w:color w:val="000000"/>
                <w:sz w:val="21"/>
                <w:szCs w:val="21"/>
                <w:highlight w:val="none"/>
                <w:u w:val="single"/>
              </w:rPr>
            </w:pPr>
            <w:r>
              <w:rPr>
                <w:rFonts w:ascii="宋体" w:hAnsi="宋体" w:cs="宋体"/>
                <w:color w:val="000000"/>
                <w:sz w:val="21"/>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p>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第23.1款</w:t>
            </w:r>
            <w:r/>
          </w:p>
        </w:tc>
        <w:tc>
          <w:tcPr>
            <w:tcW w:w="174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 w:val="21"/>
                <w:szCs w:val="21"/>
                <w:highlight w:val="none"/>
              </w:rPr>
            </w:pPr>
            <w:r>
              <w:rPr>
                <w:rFonts w:ascii="宋体" w:hAnsi="宋体" w:cs="宋体"/>
                <w:color w:val="000000"/>
                <w:sz w:val="21"/>
                <w:szCs w:val="21"/>
                <w:highlight w:val="none"/>
              </w:rPr>
            </w:r>
            <w:r/>
          </w:p>
        </w:tc>
      </w:tr>
    </w:tbl>
    <w:p>
      <w:pPr>
        <w:rPr>
          <w:color w:val="000000"/>
          <w:highlight w:val="none"/>
        </w:rPr>
      </w:pPr>
      <w:r>
        <w:rPr>
          <w:color w:val="000000"/>
          <w:highlight w:val="none"/>
        </w:rPr>
      </w:r>
      <w:r/>
    </w:p>
    <w:p>
      <w:pPr>
        <w:rPr>
          <w:color w:val="000000"/>
          <w:highlight w:val="none"/>
        </w:rPr>
      </w:pPr>
      <w:r>
        <w:rPr>
          <w:color w:val="000000"/>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color w:val="000000"/>
          <w:sz w:val="44"/>
          <w:szCs w:val="44"/>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color w:val="000000"/>
          <w:sz w:val="44"/>
          <w:szCs w:val="44"/>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color w:val="000000"/>
          <w:sz w:val="44"/>
          <w:szCs w:val="44"/>
          <w:highlight w:val="none"/>
        </w:rPr>
      </w:r>
      <w:r/>
    </w:p>
    <w:p>
      <w:p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bookmarkEnd w:id="354"/>
      <w:bookmarkEnd w:id="355"/>
      <w:bookmarkEnd w:id="356"/>
      <w:bookmarkEnd w:id="357"/>
      <w:bookmarkEnd w:id="358"/>
      <w:r/>
    </w:p>
    <w:p>
      <w:pPr>
        <w:numPr>
          <w:ilvl w:val="0"/>
          <w:numId w:val="0"/>
        </w:numPr>
        <w:jc w:val="center"/>
        <w:spacing w:line="360" w:lineRule="auto"/>
        <w:rPr>
          <w:rFonts w:hint="eastAsia" w:ascii="Times New Roman" w:hAnsi="Times New Roman" w:eastAsia="宋体" w:cs="Times New Roman"/>
          <w:color w:val="000000"/>
          <w:highlight w:val="none"/>
        </w:rPr>
        <w:outlineLvl w:val="0"/>
      </w:pPr>
      <w:r/>
      <w:bookmarkStart w:id="365" w:name="_Toc26554093"/>
      <w:r/>
      <w:bookmarkStart w:id="366" w:name="_Toc49090575"/>
      <w:r>
        <w:rPr>
          <w:rFonts w:hint="eastAsia" w:ascii="Arial" w:hAnsi="Arial" w:eastAsia="幼圆" w:cs="Arial"/>
          <w:b/>
          <w:bCs/>
          <w:color w:val="000000"/>
          <w:sz w:val="44"/>
          <w:szCs w:val="44"/>
          <w:highlight w:val="none"/>
          <w:lang w:val="en-US" w:eastAsia="zh-CN" w:bidi="ar-SA"/>
        </w:rPr>
        <w:t xml:space="preserve">第四章</w:t>
      </w:r>
      <w:bookmarkStart w:id="367" w:name="_Toc15270"/>
      <w:r>
        <w:rPr>
          <w:rFonts w:hint="eastAsia" w:ascii="Arial" w:hAnsi="Arial" w:eastAsia="幼圆" w:cs="Arial"/>
          <w:b/>
          <w:bCs/>
          <w:color w:val="000000"/>
          <w:sz w:val="44"/>
          <w:szCs w:val="44"/>
          <w:highlight w:val="none"/>
        </w:rPr>
        <w:t xml:space="preserve">采购需求</w:t>
      </w:r>
      <w:bookmarkEnd w:id="367"/>
      <w:r/>
      <w:r/>
    </w:p>
    <w:p>
      <w:pPr>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采购包一</w:t>
      </w:r>
      <w:r/>
    </w:p>
    <w:p>
      <w:pP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p>
    <w:p>
      <w:pPr>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p>
    <w:p>
      <w:pPr>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p>
    <w:p>
      <w:pPr>
        <w:spacing w:line="360" w:lineRule="auto"/>
        <w:rPr>
          <w:rFonts w:ascii="宋体" w:hAnsi="宋体" w:eastAsia="宋体" w:cs="Times New Roman"/>
          <w:b/>
          <w:bCs/>
          <w:color w:val="000000"/>
          <w:sz w:val="24"/>
          <w:szCs w:val="24"/>
          <w:highlight w:val="none"/>
        </w:rPr>
      </w:pPr>
      <w:r/>
      <w:bookmarkStart w:id="368" w:name="_Toc103953737"/>
      <w:r>
        <w:rPr>
          <w:rFonts w:hint="eastAsia" w:ascii="宋体" w:hAnsi="宋体" w:eastAsia="宋体" w:cs="Times New Roman"/>
          <w:b/>
          <w:bCs/>
          <w:color w:val="000000"/>
          <w:sz w:val="24"/>
          <w:szCs w:val="24"/>
          <w:highlight w:val="none"/>
        </w:rPr>
        <w:t xml:space="preserve">二、项目背景</w:t>
      </w:r>
      <w:bookmarkEnd w:id="368"/>
      <w:r/>
    </w:p>
    <w:p>
      <w:pPr>
        <w:numPr>
          <w:ilvl w:val="0"/>
          <w:numId w:val="0"/>
        </w:numPr>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p>
    <w:p>
      <w:pPr>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p>
    <w:p>
      <w:pPr>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p>
    <w:tbl>
      <w:tblPr>
        <w:tblStyle w:val="1102"/>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ind w:left="7"/>
              <w:jc w:val="center"/>
              <w:spacing w:before="46"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序号</w:t>
            </w:r>
            <w:r/>
          </w:p>
        </w:tc>
        <w:tc>
          <w:tcPr>
            <w:tcW w:w="4202" w:type="dxa"/>
            <w:vAlign w:val="center"/>
            <w:textDirection w:val="lrTb"/>
            <w:noWrap w:val="false"/>
          </w:tcPr>
          <w:p>
            <w:pPr>
              <w:ind w:left="381"/>
              <w:jc w:val="center"/>
              <w:spacing w:before="46"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货物名称</w:t>
            </w:r>
            <w:r/>
          </w:p>
        </w:tc>
        <w:tc>
          <w:tcPr>
            <w:tcW w:w="1220" w:type="dxa"/>
            <w:vAlign w:val="center"/>
            <w:textDirection w:val="lrTb"/>
            <w:noWrap w:val="false"/>
          </w:tcPr>
          <w:p>
            <w:pPr>
              <w:ind w:left="233"/>
              <w:jc w:val="center"/>
              <w:spacing w:before="46"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单位</w:t>
            </w:r>
            <w:r/>
          </w:p>
        </w:tc>
        <w:tc>
          <w:tcPr>
            <w:tcW w:w="1537" w:type="dxa"/>
            <w:vAlign w:val="center"/>
            <w:textDirection w:val="lrTb"/>
            <w:noWrap w:val="false"/>
          </w:tcPr>
          <w:p>
            <w:pPr>
              <w:ind w:left="304"/>
              <w:jc w:val="center"/>
              <w:spacing w:before="47"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数量</w:t>
            </w:r>
            <w:r/>
          </w:p>
        </w:tc>
        <w:tc>
          <w:tcPr>
            <w:tcW w:w="1715" w:type="dxa"/>
            <w:vAlign w:val="center"/>
            <w:textDirection w:val="lrTb"/>
            <w:noWrap w:val="false"/>
          </w:tcPr>
          <w:p>
            <w:pPr>
              <w:jc w:val="center"/>
              <w:spacing w:before="46"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en-US" w:bidi="ar-SA"/>
              </w:rPr>
              <w:t xml:space="preserve">中小企业划分标准所属行业</w:t>
            </w:r>
            <w:r/>
          </w:p>
        </w:tc>
      </w:tr>
      <w:tr>
        <w:trPr>
          <w:trHeight w:val="526"/>
        </w:trPr>
        <w:tc>
          <w:tcPr>
            <w:tcW w:w="823" w:type="dxa"/>
            <w:vAlign w:val="center"/>
            <w:textDirection w:val="lrTb"/>
            <w:noWrap w:val="false"/>
          </w:tcPr>
          <w:p>
            <w:pPr>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1</w:t>
            </w:r>
            <w:r/>
          </w:p>
        </w:tc>
        <w:tc>
          <w:tcPr>
            <w:tcW w:w="4202" w:type="dxa"/>
            <w:vAlign w:val="center"/>
            <w:textDirection w:val="lrTb"/>
            <w:noWrap w:val="false"/>
          </w:tcPr>
          <w:p>
            <w:pPr>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采血车</w:t>
            </w:r>
            <w:r/>
          </w:p>
        </w:tc>
        <w:tc>
          <w:tcPr>
            <w:tcW w:w="1220" w:type="dxa"/>
            <w:vAlign w:val="center"/>
            <w:textDirection w:val="lrTb"/>
            <w:noWrap w:val="false"/>
          </w:tcPr>
          <w:p>
            <w:pPr>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辆</w:t>
            </w:r>
            <w:r/>
          </w:p>
        </w:tc>
        <w:tc>
          <w:tcPr>
            <w:tcW w:w="1537" w:type="dxa"/>
            <w:vAlign w:val="center"/>
            <w:textDirection w:val="lrTb"/>
            <w:noWrap w:val="false"/>
          </w:tcPr>
          <w:p>
            <w:pPr>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w:t>
            </w:r>
            <w:r/>
          </w:p>
        </w:tc>
        <w:tc>
          <w:tcPr>
            <w:tcW w:w="1715" w:type="dxa"/>
            <w:vAlign w:val="center"/>
            <w:textDirection w:val="lrTb"/>
            <w:noWrap w:val="false"/>
          </w:tcPr>
          <w:p>
            <w:pPr>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工业</w:t>
            </w:r>
            <w:r/>
          </w:p>
        </w:tc>
      </w:tr>
    </w:tbl>
    <w:p>
      <w:pPr>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tbl>
      <w:tblPr>
        <w:tblStyle w:val="772"/>
        <w:tblpPr w:horzAnchor="page" w:tblpX="1271" w:vertAnchor="text" w:tblpY="453" w:leftFromText="180" w:topFromText="0" w:rightFromText="180" w:bottomFromText="0"/>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 w:type="dxa"/>
          <w:top w:w="-1" w:type="dxa"/>
          <w:right w:w="-1" w:type="dxa"/>
          <w:bottom w:w="-1" w:type="dxa"/>
        </w:tblCellMar>
        <w:tblLook w:val="04A0" w:firstRow="1" w:lastRow="0" w:firstColumn="1" w:lastColumn="0" w:noHBand="0" w:noVBand="1"/>
      </w:tblPr>
      <w:tblGrid>
        <w:gridCol w:w="797"/>
        <w:gridCol w:w="2016"/>
        <w:gridCol w:w="6326"/>
      </w:tblGrid>
      <w:tr>
        <w:trPr>
          <w:trHeight w:val="331"/>
          <w:tblHeader/>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p>
        </w:tc>
        <w:tc>
          <w:tcPr>
            <w:gridSpan w:val="2"/>
            <w:tcMar>
              <w:left w:w="-1" w:type="dxa"/>
              <w:top w:w="-1" w:type="dxa"/>
              <w:right w:w="-1" w:type="dxa"/>
              <w:bottom w:w="-1" w:type="dxa"/>
            </w:tcMar>
            <w:tcW w:w="8342"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p>
        </w:tc>
      </w:tr>
      <w:tr>
        <w:trPr>
          <w:trHeight w:val="685"/>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rPr>
              <w:t xml:space="preserve">底盘</w:t>
            </w:r>
            <w:r>
              <w:rPr>
                <w:rFonts w:ascii="宋体" w:hAnsi="宋体" w:eastAsia="宋体" w:cs="Times New Roman"/>
                <w:b/>
                <w:bCs/>
                <w:color w:val="000000"/>
                <w:szCs w:val="21"/>
                <w:highlight w:val="none"/>
              </w:rPr>
              <w:t xml:space="preserve">要求</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1.1</w:t>
            </w:r>
            <w:r>
              <w:rPr>
                <w:rFonts w:hint="eastAsia" w:ascii="宋体" w:hAnsi="宋体" w:eastAsia="宋体" w:cs="宋体"/>
                <w:b/>
                <w:bCs/>
                <w:color w:val="000000"/>
                <w:highlight w:val="none"/>
                <w:lang w:eastAsia="zh-CN"/>
              </w:rPr>
              <w:t xml:space="preserve">★</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总长</w:t>
            </w:r>
            <w:r>
              <w:rPr>
                <w:rFonts w:hint="eastAsia" w:ascii="宋体" w:hAnsi="宋体" w:eastAsia="宋体" w:cs="Times New Roman"/>
                <w:b/>
                <w:bCs/>
                <w:color w:val="000000"/>
                <w:szCs w:val="21"/>
                <w:highlight w:val="none"/>
              </w:rPr>
              <w:t xml:space="preserve">（mm）</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10900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1.2</w:t>
            </w:r>
            <w:r>
              <w:rPr>
                <w:rFonts w:hint="eastAsia" w:ascii="宋体" w:hAnsi="宋体" w:eastAsia="宋体" w:cs="宋体"/>
                <w:b/>
                <w:bCs/>
                <w:color w:val="000000"/>
                <w:highlight w:val="none"/>
                <w:lang w:eastAsia="zh-CN"/>
              </w:rPr>
              <w:t xml:space="preserve">★</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总宽</w:t>
            </w:r>
            <w:r>
              <w:rPr>
                <w:rFonts w:hint="eastAsia" w:ascii="宋体" w:hAnsi="宋体" w:eastAsia="宋体" w:cs="Times New Roman"/>
                <w:b/>
                <w:bCs/>
                <w:color w:val="000000"/>
                <w:szCs w:val="21"/>
                <w:highlight w:val="none"/>
              </w:rPr>
              <w:t xml:space="preserve">（mm）</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≥25</w:t>
            </w:r>
            <w:r>
              <w:rPr>
                <w:rFonts w:hint="eastAsia" w:ascii="宋体" w:hAnsi="宋体" w:eastAsia="宋体" w:cs="宋体"/>
                <w:b/>
                <w:bCs/>
                <w:color w:val="000000"/>
                <w:szCs w:val="21"/>
                <w:highlight w:val="none"/>
                <w:lang w:val="en-US" w:eastAsia="zh-CN"/>
              </w:rPr>
              <w:t xml:space="preserve">00</w:t>
            </w:r>
            <w:r/>
          </w:p>
        </w:tc>
      </w:tr>
      <w:tr>
        <w:trPr>
          <w:trHeight w:val="375"/>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p>
        </w:tc>
        <w:tc>
          <w:tcPr>
            <w:tcMar>
              <w:left w:w="-1" w:type="dxa"/>
              <w:top w:w="-1" w:type="dxa"/>
              <w:right w:w="-1" w:type="dxa"/>
              <w:bottom w:w="-1" w:type="dxa"/>
            </w:tcMar>
            <w:tcW w:w="6326" w:type="dxa"/>
            <w:vAlign w:val="center"/>
            <w:textDirection w:val="lrTb"/>
            <w:noWrap w:val="false"/>
          </w:tcPr>
          <w:p>
            <w:pPr>
              <w:jc w:val="left"/>
              <w:tabs>
                <w:tab w:val="left" w:pos="1998"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2200/3170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rPr>
              <w:t xml:space="preserve">（mm）</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≥1980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rPr>
              <w:t xml:space="preserve">（mm）</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lang w:val="en-US" w:eastAsia="zh-CN"/>
              </w:rPr>
              <w:t xml:space="preserve">6300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rPr>
              <w:t xml:space="preserve">（kg）</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5500/10900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rPr>
              <w:t xml:space="preserve">（mm）</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≥2080/18</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≥9人</w:t>
            </w:r>
            <w:r/>
          </w:p>
        </w:tc>
      </w:tr>
      <w:tr>
        <w:trPr>
          <w:trHeight w:val="60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p>
        </w:tc>
        <w:tc>
          <w:tcPr>
            <w:tcMar>
              <w:left w:w="-1" w:type="dxa"/>
              <w:top w:w="-1" w:type="dxa"/>
              <w:right w:w="-1" w:type="dxa"/>
              <w:bottom w:w="-1" w:type="dxa"/>
            </w:tcMar>
            <w:tcW w:w="2016" w:type="dxa"/>
            <w:vAlign w:val="center"/>
            <w:textDirection w:val="lrTb"/>
            <w:noWrap w:val="false"/>
          </w:tcPr>
          <w:p>
            <w:pPr>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8000</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2</w:t>
            </w:r>
            <w:r/>
          </w:p>
        </w:tc>
        <w:tc>
          <w:tcPr>
            <w:gridSpan w:val="2"/>
            <w:tcMar>
              <w:left w:w="-1" w:type="dxa"/>
              <w:top w:w="-1" w:type="dxa"/>
              <w:right w:w="-1" w:type="dxa"/>
              <w:bottom w:w="-1" w:type="dxa"/>
            </w:tcMar>
            <w:tcW w:w="8342" w:type="dxa"/>
            <w:vAlign w:val="center"/>
            <w:textDirection w:val="lrTb"/>
            <w:noWrap w:val="false"/>
          </w:tcPr>
          <w:p>
            <w:pPr>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发动机</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直喷增压中冷</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p>
        </w:tc>
        <w:tc>
          <w:tcPr>
            <w:tcMar>
              <w:left w:w="-1" w:type="dxa"/>
              <w:top w:w="-1" w:type="dxa"/>
              <w:right w:w="-1" w:type="dxa"/>
              <w:bottom w:w="-1" w:type="dxa"/>
            </w:tcMar>
            <w:tcW w:w="6326" w:type="dxa"/>
            <w:vAlign w:val="center"/>
            <w:textDirection w:val="lrTb"/>
            <w:noWrap w:val="false"/>
          </w:tcPr>
          <w:p>
            <w:pPr>
              <w:jc w:val="left"/>
              <w:tabs>
                <w:tab w:val="left" w:pos="1492"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206KW</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2.3</w:t>
            </w:r>
            <w:r>
              <w:rPr>
                <w:rFonts w:hint="eastAsia" w:ascii="宋体" w:hAnsi="宋体" w:eastAsia="宋体" w:cs="宋体"/>
                <w:b/>
                <w:bCs/>
                <w:color w:val="000000"/>
                <w:highlight w:val="none"/>
                <w:lang w:eastAsia="zh-CN"/>
              </w:rPr>
              <w:t xml:space="preserve">★</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排放标准</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国六排放</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p>
        </w:tc>
        <w:tc>
          <w:tcPr>
            <w:gridSpan w:val="2"/>
            <w:tcMar>
              <w:left w:w="-1" w:type="dxa"/>
              <w:top w:w="-1" w:type="dxa"/>
              <w:right w:w="-1" w:type="dxa"/>
              <w:bottom w:w="-1" w:type="dxa"/>
            </w:tcMar>
            <w:tcW w:w="8342" w:type="dxa"/>
            <w:vAlign w:val="center"/>
            <w:textDirection w:val="lrTb"/>
            <w:noWrap w:val="false"/>
          </w:tcPr>
          <w:p>
            <w:pPr>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rPr>
              <w:t xml:space="preserve">要求</w:t>
            </w:r>
            <w:r/>
          </w:p>
        </w:tc>
      </w:tr>
      <w:tr>
        <w:trPr>
          <w:trHeight w:val="9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p>
          <w:p>
            <w:pPr>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单片干式离合器总成，液压远程距离操控，带气助力</w:t>
            </w:r>
            <w:r/>
          </w:p>
        </w:tc>
      </w:tr>
      <w:tr>
        <w:trPr>
          <w:trHeight w:val="466"/>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3.3</w:t>
            </w:r>
            <w:r>
              <w:rPr>
                <w:rFonts w:hint="eastAsia" w:ascii="宋体" w:hAnsi="宋体" w:eastAsia="宋体" w:cs="宋体"/>
                <w:b/>
                <w:bCs/>
                <w:color w:val="000000"/>
                <w:highlight w:val="none"/>
                <w:lang w:eastAsia="zh-CN"/>
              </w:rPr>
              <w:t xml:space="preserve">★</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行驶系统</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rPr>
              <w:t xml:space="preserve">气囊悬架+前盘后鼓（前后一体化免维护轴承单元）</w:t>
            </w:r>
            <w:r/>
          </w:p>
        </w:tc>
      </w:tr>
      <w:tr>
        <w:trPr>
          <w:trHeight w:val="64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w:t>
            </w:r>
            <w:r>
              <w:rPr>
                <w:rFonts w:hint="eastAsia" w:ascii="宋体" w:hAnsi="宋体" w:eastAsia="宋体" w:cs="宋体"/>
                <w:color w:val="000000"/>
                <w:szCs w:val="21"/>
                <w:highlight w:val="none"/>
                <w:lang w:bidi="ar"/>
              </w:rPr>
              <w:t xml:space="preserve">主镜片≥360mm*205mm（镜片最宽*最长），曲率半径R≥1300mm</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p>
        </w:tc>
      </w:tr>
      <w:tr>
        <w:trPr>
          <w:trHeight w:val="4656"/>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b/>
                <w:bCs/>
                <w:color w:val="000000"/>
                <w:szCs w:val="21"/>
                <w:highlight w:val="none"/>
                <w:lang w:eastAsia="zh-CN"/>
              </w:rPr>
            </w:pPr>
            <w:r>
              <w:rPr>
                <w:rFonts w:ascii="宋体" w:hAnsi="宋体" w:eastAsia="宋体" w:cs="Times New Roman"/>
                <w:b/>
                <w:bCs/>
                <w:color w:val="000000"/>
                <w:szCs w:val="21"/>
                <w:highlight w:val="none"/>
              </w:rPr>
              <w:t xml:space="preserve">3.</w:t>
            </w:r>
            <w:r>
              <w:rPr>
                <w:rFonts w:hint="eastAsia" w:ascii="宋体" w:hAnsi="宋体" w:eastAsia="宋体" w:cs="Times New Roman"/>
                <w:b/>
                <w:bCs/>
                <w:color w:val="000000"/>
                <w:szCs w:val="21"/>
                <w:highlight w:val="none"/>
                <w:lang w:val="en-US" w:eastAsia="zh-CN"/>
              </w:rPr>
              <w:t xml:space="preserve">7</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车载</w:t>
            </w:r>
            <w:r>
              <w:rPr>
                <w:rFonts w:ascii="宋体" w:hAnsi="宋体" w:eastAsia="宋体" w:cs="Times New Roman"/>
                <w:b/>
                <w:bCs/>
                <w:color w:val="000000"/>
                <w:szCs w:val="21"/>
                <w:highlight w:val="none"/>
              </w:rPr>
              <w:t xml:space="preserve">空调</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一、行车空调1套：顶置空调，</w:t>
            </w:r>
            <w:r>
              <w:rPr>
                <w:rFonts w:hint="eastAsia" w:ascii="宋体" w:hAnsi="宋体" w:eastAsia="宋体" w:cs="Times New Roman"/>
                <w:b/>
                <w:bCs/>
                <w:color w:val="000000"/>
                <w:szCs w:val="21"/>
                <w:highlight w:val="none"/>
              </w:rPr>
              <w:t xml:space="preserve">制冷量≥</w:t>
            </w:r>
            <w:r>
              <w:rPr>
                <w:rFonts w:hint="eastAsia" w:ascii="宋体" w:hAnsi="宋体" w:eastAsia="宋体" w:cs="Times New Roman"/>
                <w:b/>
                <w:bCs/>
                <w:color w:val="000000"/>
                <w:szCs w:val="21"/>
                <w:highlight w:val="none"/>
                <w:lang w:val="en-US" w:eastAsia="zh-CN"/>
              </w:rPr>
              <w:t xml:space="preserve">27000kcal/h  </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二、驻车空调一套：风管式、参数要求如下：</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1．空调形式：一拖四结构</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2．制冷类型：冷暖</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3．定频/定频：变频</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4．能效等级：一级能效</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5．APF：≥5.1</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6．IPLV：≥7.1</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7．制冷量(W)：≥15500</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8．制冷功率(W)：≤4800</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9．制热量(W)：≥18000</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10．制热功率(W)：≤4650</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11．外机噪音(dB(A)：≤56</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12．电压/频率（V/Hz）：220/50</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13．制冷剂新冷媒：R410a</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14．出风方式：行车、驻车共用一套风道和出风口，出风均匀，出风口风量大小及朝向可自由调节，避免空调吹人的缺点</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15．检修方便性：大顶上部装饰罩分体设计，上部可直接取下，确保不漏水</w:t>
            </w:r>
            <w:r/>
          </w:p>
          <w:p>
            <w:pPr>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16.风管机回风口安装在车内，回风口上安装过滤网，防止灰尘进入冷凝器影响空调效果，定期可拆除车顶回风栅清洗滤网。 </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0L油箱，</w:t>
            </w:r>
            <w:r>
              <w:rPr>
                <w:rFonts w:ascii="宋体" w:hAnsi="宋体" w:eastAsia="宋体" w:cs="Times New Roman"/>
                <w:color w:val="000000"/>
                <w:szCs w:val="21"/>
                <w:highlight w:val="none"/>
              </w:rPr>
              <w:t xml:space="preserve">高密度聚乙烯材质</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pPr>
            <w:r>
              <w:rPr>
                <w:rFonts w:hint="eastAsia" w:ascii="Times New Roman" w:hAnsi="Times New Roman" w:eastAsia="宋体" w:cs="Arial"/>
                <w:color w:val="000000"/>
                <w:szCs w:val="21"/>
                <w:highlight w:val="none"/>
              </w:rPr>
              <w:t xml:space="preserve">全承载</w:t>
            </w:r>
            <w:r/>
          </w:p>
        </w:tc>
      </w:tr>
      <w:tr>
        <w:trPr>
          <w:trHeight w:val="376"/>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p>
        </w:tc>
        <w:tc>
          <w:tcPr>
            <w:tcMar>
              <w:left w:w="-1" w:type="dxa"/>
              <w:top w:w="-1" w:type="dxa"/>
              <w:right w:w="-1" w:type="dxa"/>
              <w:bottom w:w="-1" w:type="dxa"/>
            </w:tcMar>
            <w:tcW w:w="6326" w:type="dxa"/>
            <w:vAlign w:val="center"/>
            <w:textDirection w:val="lrTb"/>
            <w:noWrap w:val="false"/>
          </w:tcPr>
          <w:p>
            <w:pPr>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断面宽度≥295mm，扁平率≥80%，轮毂直径≥22.5英寸</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5</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蓄电池</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宋体"/>
                <w:color w:val="000000"/>
                <w:szCs w:val="21"/>
                <w:highlight w:val="none"/>
                <w:shd w:val="clear" w:color="auto" w:fill="ffffff"/>
              </w:rPr>
              <w:t xml:space="preserve">≥195Ah免维护蓄电池2个</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p>
        </w:tc>
        <w:tc>
          <w:tcPr>
            <w:gridSpan w:val="2"/>
            <w:tcMar>
              <w:left w:w="-1" w:type="dxa"/>
              <w:top w:w="-1" w:type="dxa"/>
              <w:right w:w="-1" w:type="dxa"/>
              <w:bottom w:w="-1" w:type="dxa"/>
            </w:tcMar>
            <w:tcW w:w="834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宋体"/>
                <w:b/>
                <w:color w:val="000000"/>
                <w:szCs w:val="21"/>
                <w:highlight w:val="none"/>
              </w:rPr>
              <w:t xml:space="preserve">车身配置要求</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p>
        </w:tc>
      </w:tr>
      <w:tr>
        <w:trPr>
          <w:trHeight w:val="95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3</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行车记录仪及车内监控</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4</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司机窗</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p>
        </w:tc>
      </w:tr>
      <w:tr>
        <w:trPr>
          <w:trHeight w:val="64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5</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Times New Roman"/>
                <w:color w:val="000000"/>
                <w:szCs w:val="21"/>
                <w:highlight w:val="none"/>
              </w:rPr>
              <w:outlineLvl w:val="0"/>
            </w:pPr>
            <w:r>
              <w:rPr>
                <w:rFonts w:hint="eastAsia" w:ascii="宋体" w:hAnsi="宋体" w:eastAsia="宋体" w:cs="宋体"/>
                <w:color w:val="000000"/>
                <w:szCs w:val="21"/>
                <w:highlight w:val="none"/>
                <w:lang w:bidi="ar"/>
              </w:rPr>
              <w:t xml:space="preserve">车辆左右两侧</w:t>
            </w:r>
            <w:r>
              <w:rPr>
                <w:rFonts w:hint="eastAsia" w:ascii="宋体" w:hAnsi="宋体" w:eastAsia="宋体" w:cs="宋体"/>
                <w:color w:val="000000"/>
                <w:szCs w:val="21"/>
                <w:highlight w:val="none"/>
                <w:lang w:val="en-US" w:eastAsia="zh-CN" w:bidi="ar"/>
              </w:rPr>
              <w:t xml:space="preserve">均有双层真空</w:t>
            </w:r>
            <w:r>
              <w:rPr>
                <w:rFonts w:hint="eastAsia" w:ascii="宋体" w:hAnsi="宋体" w:eastAsia="宋体" w:cs="宋体"/>
                <w:color w:val="000000"/>
                <w:szCs w:val="21"/>
                <w:highlight w:val="none"/>
                <w:lang w:bidi="ar"/>
              </w:rPr>
              <w:t xml:space="preserve">玻璃</w:t>
            </w:r>
            <w:r>
              <w:rPr>
                <w:rFonts w:hint="eastAsia" w:ascii="宋体" w:hAnsi="宋体" w:eastAsia="宋体" w:cs="宋体"/>
                <w:color w:val="000000"/>
                <w:szCs w:val="21"/>
                <w:highlight w:val="none"/>
                <w:lang w:val="en-US" w:eastAsia="zh-CN" w:bidi="ar"/>
              </w:rPr>
              <w:t xml:space="preserve">的</w:t>
            </w:r>
            <w:r>
              <w:rPr>
                <w:rFonts w:hint="eastAsia" w:ascii="宋体" w:hAnsi="宋体" w:eastAsia="宋体" w:cs="宋体"/>
                <w:color w:val="000000"/>
                <w:szCs w:val="21"/>
                <w:highlight w:val="none"/>
                <w:lang w:bidi="ar"/>
              </w:rPr>
              <w:t xml:space="preserve">可推拉窗户；其中拓展舱上</w:t>
            </w:r>
            <w:r>
              <w:rPr>
                <w:rFonts w:ascii="宋体" w:hAnsi="宋体" w:eastAsia="宋体" w:cs="宋体"/>
                <w:color w:val="000000"/>
                <w:szCs w:val="21"/>
                <w:highlight w:val="none"/>
                <w:lang w:bidi="ar"/>
              </w:rPr>
              <w:t xml:space="preserve">车窗可推拉</w:t>
            </w:r>
            <w:r>
              <w:rPr>
                <w:rFonts w:hint="eastAsia" w:ascii="宋体" w:hAnsi="宋体" w:eastAsia="宋体" w:cs="宋体"/>
                <w:color w:val="000000"/>
                <w:szCs w:val="21"/>
                <w:highlight w:val="none"/>
                <w:lang w:bidi="ar"/>
              </w:rPr>
              <w:t xml:space="preserve">；</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6</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p>
        </w:tc>
        <w:tc>
          <w:tcPr>
            <w:tcMar>
              <w:left w:w="-1" w:type="dxa"/>
              <w:top w:w="-1" w:type="dxa"/>
              <w:right w:w="-1" w:type="dxa"/>
              <w:bottom w:w="-1" w:type="dxa"/>
            </w:tcMar>
            <w:tcW w:w="6326" w:type="dxa"/>
            <w:vAlign w:val="center"/>
            <w:textDirection w:val="lrTb"/>
            <w:noWrap w:val="false"/>
          </w:tcPr>
          <w:p>
            <w:pPr>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7</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8</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p>
        </w:tc>
        <w:tc>
          <w:tcPr>
            <w:tcMar>
              <w:left w:w="-1" w:type="dxa"/>
              <w:top w:w="-1" w:type="dxa"/>
              <w:right w:w="-1" w:type="dxa"/>
              <w:bottom w:w="-1" w:type="dxa"/>
            </w:tcMar>
            <w:tcW w:w="6326" w:type="dxa"/>
            <w:vAlign w:val="center"/>
            <w:textDirection w:val="lrTb"/>
            <w:noWrap w:val="false"/>
          </w:tcPr>
          <w:p>
            <w:pPr>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行李舱</w:t>
            </w:r>
            <w:r>
              <w:rPr>
                <w:rFonts w:ascii="宋体" w:hAnsi="宋体" w:eastAsia="宋体" w:cs="Times New Roman"/>
                <w:color w:val="000000"/>
                <w:sz w:val="21"/>
                <w:szCs w:val="21"/>
                <w:highlight w:val="none"/>
                <w:lang w:val="en-US" w:eastAsia="zh-CN" w:bidi="ar-SA"/>
              </w:rPr>
              <w:t xml:space="preserve">上翻门</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9</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p>
        </w:tc>
      </w:tr>
      <w:tr>
        <w:trPr>
          <w:trHeight w:val="429"/>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0</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p>
        </w:tc>
        <w:tc>
          <w:tcPr>
            <w:tcMar>
              <w:left w:w="-1" w:type="dxa"/>
              <w:top w:w="-1" w:type="dxa"/>
              <w:right w:w="-1" w:type="dxa"/>
              <w:bottom w:w="-1" w:type="dxa"/>
            </w:tcMar>
            <w:tcW w:w="6326" w:type="dxa"/>
            <w:vAlign w:val="center"/>
            <w:textDirection w:val="lrTb"/>
            <w:noWrap w:val="false"/>
          </w:tcPr>
          <w:p>
            <w:pPr>
              <w:spacing w:line="276"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抽拉箱体两侧各4个条幅挂钩</w:t>
            </w:r>
            <w:r/>
          </w:p>
        </w:tc>
      </w:tr>
      <w:tr>
        <w:trPr>
          <w:trHeight w:val="1168"/>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w:t>
            </w:r>
            <w:r>
              <w:rPr>
                <w:rFonts w:hint="eastAsia" w:ascii="宋体" w:hAnsi="宋体" w:eastAsia="宋体" w:cs="Times New Roman"/>
                <w:color w:val="000000"/>
                <w:szCs w:val="21"/>
                <w:highlight w:val="none"/>
                <w:shd w:val="clear" w:color="auto" w:fill="ffffff"/>
                <w:lang w:val="en-US" w:eastAsia="zh-CN"/>
              </w:rPr>
              <w:t xml:space="preserve">100</w:t>
            </w:r>
            <w:r>
              <w:rPr>
                <w:rFonts w:ascii="宋体" w:hAnsi="宋体" w:eastAsia="宋体" w:cs="Times New Roman"/>
                <w:color w:val="000000"/>
                <w:szCs w:val="21"/>
                <w:highlight w:val="none"/>
                <w:shd w:val="clear" w:color="auto" w:fill="ffffff"/>
              </w:rPr>
              <w:t xml:space="preserve">m3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w:t>
            </w:r>
            <w:r>
              <w:rPr>
                <w:rFonts w:hint="eastAsia" w:ascii="宋体" w:hAnsi="宋体" w:eastAsia="宋体" w:cs="Times New Roman"/>
                <w:color w:val="000000"/>
                <w:szCs w:val="21"/>
                <w:highlight w:val="none"/>
                <w:shd w:val="clear" w:color="auto" w:fill="ffffff"/>
                <w:lang w:val="en-US" w:eastAsia="zh-CN"/>
              </w:rPr>
              <w:t xml:space="preserve">12</w:t>
            </w:r>
            <w:r>
              <w:rPr>
                <w:rFonts w:ascii="宋体" w:hAnsi="宋体" w:eastAsia="宋体" w:cs="Times New Roman"/>
                <w:color w:val="000000"/>
                <w:szCs w:val="21"/>
                <w:highlight w:val="none"/>
                <w:shd w:val="clear" w:color="auto" w:fill="ffffff"/>
              </w:rPr>
              <w:t xml:space="preserve">00m3/h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p>
        </w:tc>
      </w:tr>
      <w:tr>
        <w:trPr>
          <w:trHeight w:val="84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p>
        </w:tc>
      </w:tr>
      <w:tr>
        <w:trPr>
          <w:trHeight w:val="9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4.13</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 w:val="0"/>
                <w:bCs w:val="0"/>
                <w:color w:val="000000"/>
                <w:szCs w:val="21"/>
                <w:highlight w:val="none"/>
              </w:rPr>
            </w:pPr>
            <w:r>
              <w:rPr>
                <w:rFonts w:hint="eastAsia" w:ascii="宋体" w:hAnsi="宋体" w:eastAsia="宋体" w:cs="宋体"/>
                <w:b w:val="0"/>
                <w:bCs w:val="0"/>
                <w:color w:val="000000"/>
                <w:szCs w:val="21"/>
                <w:highlight w:val="none"/>
                <w:lang w:bidi="ar"/>
              </w:rPr>
              <w:t xml:space="preserve">拓展舱部分</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1、抽拉箱体控制方式：配电柜按钮操作和遥控器操作两种方式；抽拉舱手动电动两套操作系统，在电动失效情况下，通过手动方式能够保证抽拉舱的打开和收回；</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2、抽拉厢体方管采用不小于16Mn冷拉无缝钢管</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3、拓展行程：≥600mm</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4、拓展完成时间：≤60s</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5、减速电机功率：≥550w</w:t>
            </w:r>
            <w:r/>
          </w:p>
          <w:p>
            <w:pPr>
              <w:jc w:val="lef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6、单侧抽拉舱滑道承重≥560kg，不需要外部支撑装置。能保证抽拉舱滑道在抽拉舱打开闭合过程中平稳运行，不得有变形、下沉现象。提供厂家检测报告</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7、减速电机和齿条处齿轮通过万向节柔性链接；有“未收回报警功能，且不受控制箱电源总开关控制</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8、抽拉厢体尺寸：尺寸长度≥4100mm，内高：≥1570mm；抽拉厢体地板与车内地板高度差小于100mm</w:t>
            </w:r>
            <w:r/>
          </w:p>
          <w:p>
            <w:pPr>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9、抽拉厢体带随舱联动遮雨帘</w:t>
            </w:r>
            <w:r/>
          </w:p>
          <w:p>
            <w:pPr>
              <w:jc w:val="left"/>
              <w:rPr>
                <w:rFonts w:ascii="Times New Roman" w:hAnsi="Times New Roman" w:eastAsia="宋体" w:cs="Times New Roman"/>
                <w:color w:val="000000"/>
                <w:szCs w:val="24"/>
                <w:highlight w:val="none"/>
              </w:rPr>
            </w:pPr>
            <w:r>
              <w:rPr>
                <w:rFonts w:hint="eastAsia" w:ascii="宋体" w:hAnsi="宋体" w:eastAsia="宋体" w:cs="Times New Roman"/>
                <w:color w:val="000000"/>
                <w:szCs w:val="21"/>
                <w:highlight w:val="none"/>
              </w:rPr>
              <w:t xml:space="preserve">10、每个抽拉舱配备至少两个侧窗</w:t>
            </w:r>
            <w:r/>
          </w:p>
          <w:p>
            <w:pPr>
              <w:jc w:val="left"/>
              <w:rPr>
                <w:rFonts w:hint="eastAsia" w:ascii="宋体" w:hAnsi="宋体" w:eastAsia="宋体" w:cs="Times New Roman"/>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11、</w:t>
            </w:r>
            <w:r>
              <w:rPr>
                <w:rFonts w:hint="eastAsia" w:ascii="宋体" w:hAnsi="宋体" w:eastAsia="宋体" w:cs="Times New Roman"/>
                <w:color w:val="000000"/>
                <w:szCs w:val="21"/>
                <w:highlight w:val="none"/>
              </w:rPr>
              <w:t xml:space="preserve">抽拉箱</w:t>
            </w:r>
            <w:r>
              <w:rPr>
                <w:rFonts w:hint="eastAsia" w:ascii="宋体" w:hAnsi="宋体" w:eastAsia="宋体" w:cs="Times New Roman"/>
                <w:color w:val="000000"/>
                <w:szCs w:val="21"/>
                <w:highlight w:val="none"/>
                <w:lang w:val="en-US" w:eastAsia="zh-CN"/>
              </w:rPr>
              <w:t xml:space="preserve">体材料采用玻璃钢一体化成型，避免渗水漏水。</w:t>
            </w:r>
            <w:r>
              <w:rPr>
                <w:rFonts w:hint="eastAsia" w:ascii="宋体" w:hAnsi="宋体" w:eastAsia="宋体" w:cs="宋体"/>
                <w:b/>
                <w:bCs w:val="0"/>
                <w:color w:val="000000"/>
                <w:szCs w:val="21"/>
                <w:highlight w:val="none"/>
                <w:lang w:val="en-US" w:eastAsia="zh-CN"/>
              </w:rPr>
              <w:t xml:space="preserve">(提供承诺并加盖供应商公章，格式自拟）</w:t>
            </w:r>
            <w:r/>
          </w:p>
          <w:p>
            <w:pPr>
              <w:jc w:val="left"/>
              <w:rPr>
                <w:rFonts w:hint="eastAsia" w:ascii="宋体" w:hAnsi="宋体" w:eastAsia="宋体" w:cs="Times New Roman"/>
                <w:color w:val="000000"/>
                <w:highlight w:val="none"/>
                <w:lang w:val="en-US" w:eastAsia="zh-CN"/>
              </w:rPr>
            </w:pPr>
            <w:r>
              <w:rPr>
                <w:rFonts w:hint="eastAsia" w:ascii="宋体" w:hAnsi="宋体" w:eastAsia="宋体" w:cs="Times New Roman"/>
                <w:color w:val="000000"/>
                <w:szCs w:val="21"/>
                <w:highlight w:val="none"/>
                <w:lang w:val="en-US" w:eastAsia="zh-CN"/>
              </w:rPr>
              <w:t xml:space="preserve">12、拓展仓防水要满足降雨强度100 mm/h连续30 min，拓展仓完全伸出状态情况下拓展仓内部顶板、侧壁、滑轨内腔无滴水、无流水、无可见渗水痕迹。</w:t>
            </w:r>
            <w:r/>
          </w:p>
          <w:p>
            <w:pPr>
              <w:jc w:val="left"/>
              <w:rPr>
                <w:rFonts w:ascii="宋体" w:hAnsi="宋体" w:eastAsia="宋体" w:cs="Times New Roman"/>
                <w:color w:val="000000"/>
                <w:highlight w:val="none"/>
                <w:lang w:val="en-US" w:eastAsia="zh-CN"/>
              </w:rPr>
            </w:pPr>
            <w:r>
              <w:rPr>
                <w:rFonts w:hint="eastAsia" w:ascii="宋体" w:hAnsi="宋体" w:eastAsia="宋体" w:cs="Times New Roman"/>
                <w:b/>
                <w:bCs/>
                <w:color w:val="000000"/>
                <w:highlight w:val="none"/>
                <w:lang w:val="en-US" w:eastAsia="zh-CN"/>
              </w:rPr>
              <w:t xml:space="preserve">▲13、拓展为对称拓展</w:t>
            </w:r>
            <w:r/>
          </w:p>
        </w:tc>
      </w:tr>
      <w:tr>
        <w:trPr>
          <w:trHeight w:val="2689"/>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4.14</w:t>
            </w:r>
            <w:r/>
          </w:p>
        </w:tc>
        <w:tc>
          <w:tcPr>
            <w:tcMar>
              <w:left w:w="-1" w:type="dxa"/>
              <w:top w:w="-1" w:type="dxa"/>
              <w:right w:w="-1" w:type="dxa"/>
              <w:bottom w:w="-1" w:type="dxa"/>
            </w:tcMar>
            <w:tcW w:w="2016" w:type="dxa"/>
            <w:vAlign w:val="center"/>
            <w:textDirection w:val="lrTb"/>
            <w:noWrap w:val="false"/>
          </w:tcPr>
          <w:p>
            <w:pPr>
              <w:jc w:val="left"/>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拓展舱功能要求</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1、抽拉舱手动电动两套操作系统，在电动失效情况下，通过手动方式能够保证抽拉舱的打开和收回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2、限位开关：在抽拉舱打开和闭合时，通过行程开关控制抽拉舱的打开和闭合行程 </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3、抽拉舱自锁功能：在抽拉舱打开、闭合及行程过程中停止时，抽拉舱都具有锁止功能，不会因受外力发生移动</w:t>
            </w:r>
            <w:r/>
          </w:p>
          <w:p>
            <w:pPr>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4、</w:t>
            </w:r>
            <w:r>
              <w:rPr>
                <w:rFonts w:ascii="宋体" w:hAnsi="宋体" w:eastAsia="宋体" w:cs="Times New Roman"/>
                <w:b/>
                <w:bCs/>
                <w:color w:val="000000"/>
                <w:szCs w:val="21"/>
                <w:highlight w:val="none"/>
              </w:rPr>
              <w:t xml:space="preserve">通过环境适应性检测-高低温试验，满足GB/T 2423.1-2008</w:t>
            </w:r>
            <w:r>
              <w:rPr>
                <w:rFonts w:hint="eastAsia" w:ascii="宋体" w:hAnsi="宋体" w:eastAsia="宋体" w:cs="Times New Roman"/>
                <w:b/>
                <w:bCs/>
                <w:color w:val="000000"/>
                <w:szCs w:val="21"/>
                <w:highlight w:val="none"/>
                <w:lang w:eastAsia="zh-CN"/>
              </w:rPr>
              <w:t xml:space="preserve">要求</w:t>
            </w:r>
            <w:r>
              <w:rPr>
                <w:rFonts w:ascii="宋体" w:hAnsi="宋体" w:eastAsia="宋体" w:cs="Times New Roman"/>
                <w:b/>
                <w:bCs/>
                <w:color w:val="000000"/>
                <w:szCs w:val="21"/>
                <w:highlight w:val="none"/>
              </w:rPr>
              <w:t xml:space="preserve">, 低温-25</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测试4小时、高温50</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测试4小时检测</w:t>
            </w:r>
            <w:r/>
          </w:p>
          <w:p>
            <w:p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p>
          <w:p>
            <w:pPr>
              <w:numPr>
                <w:ilvl w:val="0"/>
                <w:numId w:val="4"/>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抽拉箱体内侧可满足4个采血台，8把采血椅；</w:t>
            </w:r>
            <w:r/>
          </w:p>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ascii="宋体" w:hAnsi="宋体" w:eastAsia="宋体" w:cs="Times New Roman"/>
                <w:color w:val="000000"/>
                <w:szCs w:val="21"/>
                <w:highlight w:val="none"/>
              </w:rPr>
              <w:t xml:space="preserve">、拓展箱体有拓展安全警示，以防发生意外。</w:t>
            </w:r>
            <w:r/>
          </w:p>
          <w:p>
            <w:pPr>
              <w:jc w:val="left"/>
              <w:rPr>
                <w:rFonts w:ascii="宋体" w:hAnsi="宋体" w:eastAsia="宋体" w:cs="宋体"/>
                <w:color w:val="000000"/>
                <w:sz w:val="24"/>
                <w:szCs w:val="24"/>
                <w:highlight w:val="none"/>
                <w:lang w:val="en-US" w:eastAsia="zh-CN"/>
              </w:rPr>
            </w:pPr>
            <w:r>
              <w:rPr>
                <w:rFonts w:hint="eastAsia" w:ascii="宋体" w:hAnsi="宋体" w:eastAsia="宋体" w:cs="Times New Roman"/>
                <w:color w:val="000000"/>
                <w:szCs w:val="21"/>
                <w:highlight w:val="none"/>
                <w:lang w:val="en-US" w:eastAsia="zh-CN"/>
              </w:rPr>
              <w:t xml:space="preserve">7、</w:t>
            </w:r>
            <w:r>
              <w:rPr>
                <w:rFonts w:ascii="宋体" w:hAnsi="宋体" w:eastAsia="宋体" w:cs="Times New Roman"/>
                <w:color w:val="000000"/>
                <w:szCs w:val="21"/>
                <w:highlight w:val="none"/>
                <w:lang w:val="en-US" w:eastAsia="zh-CN"/>
              </w:rPr>
              <w:t xml:space="preserve">抽拉舱内侧防夹功能：采用红外线网络防夹结构，遇到障碍后在 1S 内停止， 并返回一段距离。</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p>
        </w:tc>
        <w:tc>
          <w:tcPr>
            <w:gridSpan w:val="2"/>
            <w:tcMar>
              <w:left w:w="-1" w:type="dxa"/>
              <w:top w:w="-1" w:type="dxa"/>
              <w:right w:w="-1" w:type="dxa"/>
              <w:bottom w:w="-1" w:type="dxa"/>
            </w:tcMar>
            <w:tcW w:w="8342" w:type="dxa"/>
            <w:vAlign w:val="center"/>
            <w:textDirection w:val="lrTb"/>
            <w:noWrap w:val="false"/>
          </w:tcPr>
          <w:p>
            <w:pPr>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车辆</w:t>
            </w:r>
            <w:r>
              <w:rPr>
                <w:rFonts w:ascii="宋体" w:hAnsi="宋体" w:eastAsia="宋体" w:cs="Times New Roman"/>
                <w:b/>
                <w:color w:val="000000"/>
                <w:szCs w:val="21"/>
                <w:highlight w:val="none"/>
              </w:rPr>
              <w:t xml:space="preserve">内饰</w:t>
            </w:r>
            <w:r/>
          </w:p>
        </w:tc>
      </w:tr>
      <w:tr>
        <w:trPr>
          <w:trHeight w:val="5465"/>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p>
        </w:tc>
        <w:tc>
          <w:tcPr>
            <w:tcMar>
              <w:left w:w="-1" w:type="dxa"/>
              <w:top w:w="-1" w:type="dxa"/>
              <w:right w:w="-1" w:type="dxa"/>
              <w:bottom w:w="-1" w:type="dxa"/>
            </w:tcMar>
            <w:tcW w:w="6326" w:type="dxa"/>
            <w:vAlign w:val="center"/>
            <w:textDirection w:val="lrTb"/>
            <w:noWrap w:val="false"/>
          </w:tcPr>
          <w:p>
            <w:pPr>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软包吊顶商务风道，窗立柱（依布局情况，选带窗立柱灯带）；</w:t>
            </w:r>
            <w:r/>
          </w:p>
          <w:p>
            <w:pPr>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办公家具米灰色，仿石材花纹贴面板白色；</w:t>
            </w:r>
            <w:r/>
          </w:p>
          <w:p>
            <w:pPr>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动车窗帘（抽拉舱内软布窗帘），窗帘、圆凳、护栏隔板为米黄色</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可定制图案</w:t>
            </w:r>
            <w:r>
              <w:rPr>
                <w:rFonts w:hint="eastAsia" w:ascii="宋体" w:hAnsi="宋体" w:eastAsia="宋体" w:cs="Times New Roman"/>
                <w:color w:val="000000"/>
                <w:szCs w:val="21"/>
                <w:highlight w:val="none"/>
              </w:rPr>
              <w:t xml:space="preserve">；</w:t>
            </w:r>
            <w:r/>
          </w:p>
          <w:p>
            <w:pPr>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窗帘、围帘：阻燃，提供动车窗帘的阻燃检测报告和环保检测报告；</w:t>
            </w:r>
            <w:r/>
          </w:p>
          <w:p>
            <w:pPr>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座椅颜色：乘客座椅、长条休息椅米橙拼色；</w:t>
            </w:r>
            <w:r/>
          </w:p>
          <w:p>
            <w:pPr>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家具面料要求：</w:t>
            </w:r>
            <w:r/>
          </w:p>
          <w:p>
            <w:pPr>
              <w:ind w:left="0" w:firstLine="0"/>
              <w:jc w:val="left"/>
              <w:keepLines w:val="0"/>
              <w:keepNext w:val="0"/>
              <w:pageBreakBefore w:val="0"/>
              <w:widowControl w:val="off"/>
              <w:rPr>
                <w:rFonts w:hint="eastAsia" w:ascii="宋体" w:hAnsi="宋体" w:eastAsia="宋体" w:cs="Times New Roman"/>
                <w:color w:val="000000"/>
                <w:szCs w:val="21"/>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rPr>
              <w:t xml:space="preserve">环保性能；绿色环保零甲醛，TVOC≤50ugC/g，苯和甲苯≤5ug/g。</w:t>
            </w:r>
            <w:r/>
          </w:p>
          <w:p>
            <w:pPr>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（提供第三方检测报告）；</w:t>
            </w:r>
            <w:r/>
          </w:p>
          <w:p>
            <w:pPr>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抗菌性能：抗菌按照GB/T 31402</w:t>
            </w:r>
            <w:r>
              <w:rPr>
                <w:rFonts w:hint="eastAsia" w:ascii="宋体" w:hAnsi="宋体" w:eastAsia="宋体" w:cs="Times New Roman"/>
                <w:b/>
                <w:bCs/>
                <w:color w:val="000000"/>
                <w:szCs w:val="21"/>
                <w:highlight w:val="none"/>
                <w:lang w:val="en-US" w:eastAsia="zh-CN"/>
              </w:rPr>
              <w:t xml:space="preserve">-2023《塑料和其他无孔材料表面抗菌活性的测定》</w:t>
            </w:r>
            <w:r>
              <w:rPr>
                <w:rFonts w:hint="eastAsia" w:ascii="宋体" w:hAnsi="宋体" w:eastAsia="宋体" w:cs="Times New Roman"/>
                <w:b/>
                <w:bCs/>
                <w:color w:val="000000"/>
                <w:szCs w:val="21"/>
                <w:highlight w:val="none"/>
              </w:rPr>
              <w:t xml:space="preserve">塑料表面抗菌性能试验方法，大肠杆菌抗菌率99.9%，金黄色葡萄球菌抗菌率99.9%，白色念珠菌抗菌率92.2%（提供第三方测试报告）</w:t>
            </w:r>
            <w:r/>
          </w:p>
          <w:p>
            <w:pPr>
              <w:jc w:val="left"/>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防霉性能：</w:t>
            </w:r>
            <w:r>
              <w:rPr>
                <w:rFonts w:hint="eastAsia" w:ascii="Calibri" w:hAnsi="Calibri" w:eastAsia="宋体" w:cs="Times New Roman"/>
                <w:b/>
                <w:bCs/>
                <w:color w:val="000000"/>
                <w:sz w:val="21"/>
                <w:szCs w:val="22"/>
                <w:highlight w:val="none"/>
                <w:lang w:val="en-US" w:eastAsia="zh-CN" w:bidi="ar-SA"/>
              </w:rPr>
              <w:t xml:space="preserve">按照QB/T4341-2012</w:t>
            </w:r>
            <w:r>
              <w:rPr>
                <w:rFonts w:ascii="Arial" w:hAnsi="Arial" w:eastAsia="Arial" w:cs="Arial"/>
                <w:b/>
                <w:bCs/>
                <w:i w:val="0"/>
                <w:iCs w:val="0"/>
                <w:caps w:val="0"/>
                <w:color w:val="000000"/>
                <w:spacing w:val="0"/>
                <w:sz w:val="19"/>
                <w:szCs w:val="19"/>
                <w:highlight w:val="none"/>
                <w:shd w:val="clear" w:color="auto" w:fill="ffffff"/>
                <w:lang w:val="en-US" w:eastAsia="zh-CN" w:bidi="ar-SA"/>
              </w:rPr>
              <w:t xml:space="preserve">《抗菌聚氨酯合成革抗菌性能试验方法和抗菌效果》</w:t>
            </w:r>
            <w:r>
              <w:rPr>
                <w:rFonts w:hint="eastAsia" w:ascii="宋体" w:hAnsi="宋体" w:eastAsia="宋体" w:cs="Times New Roman"/>
                <w:b/>
                <w:bCs/>
                <w:color w:val="000000"/>
                <w:sz w:val="21"/>
                <w:szCs w:val="21"/>
                <w:highlight w:val="none"/>
                <w:lang w:val="en-US" w:eastAsia="zh-CN" w:bidi="ar-SA"/>
              </w:rPr>
              <w:t xml:space="preserve">黄曲霉、黑曲霉、青霉、木霉等进行28天实验，28°C温度、85%湿度环境，无霉菌生长。</w:t>
            </w:r>
            <w:r/>
          </w:p>
          <w:p>
            <w:pPr>
              <w:ind w:left="0" w:firstLine="0"/>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rPr>
              <w:t xml:space="preserve">（提供第三方测试报告）</w:t>
            </w:r>
            <w:r/>
          </w:p>
        </w:tc>
      </w:tr>
      <w:tr>
        <w:trPr>
          <w:trHeight w:val="1758"/>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p>
          <w:p>
            <w:pPr>
              <w:numPr>
                <w:ilvl w:val="0"/>
                <w:numId w:val="6"/>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环保性能：按照GB 18580-2025《室内装饰装修材料—人造板及其制品中甲醛释放量》标准，甲醛≤0.027mg/m3；</w:t>
            </w:r>
            <w:r/>
          </w:p>
          <w:p>
            <w:pPr>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p>
          <w:p>
            <w:pPr>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7911-2024《热固性树脂浸渍纸高压装饰层积板（HPL）》标准，耐磨性能满足≥4级；</w:t>
            </w:r>
            <w:r/>
          </w:p>
          <w:p>
            <w:pPr>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（提供第三方测试报告）</w:t>
            </w:r>
            <w:r/>
          </w:p>
          <w:p>
            <w:pPr>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7911-2024《热固性树脂浸渍纸高压装饰层积板（HPL）》标准，质量增加率≤9%，厚度增加率≤10%；</w:t>
            </w:r>
            <w:r/>
          </w:p>
          <w:p>
            <w:pPr>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（提供第三方测试报告）</w:t>
            </w:r>
            <w:r/>
          </w:p>
        </w:tc>
      </w:tr>
      <w:tr>
        <w:trPr>
          <w:trHeight w:val="50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p>
          <w:p>
            <w:pPr>
              <w:numPr>
                <w:ilvl w:val="0"/>
                <w:numId w:val="0"/>
              </w:numPr>
              <w:ind w:left="0" w:firstLine="0"/>
              <w:jc w:val="left"/>
              <w:rPr>
                <w:rFonts w:ascii="宋体" w:hAnsi="宋体" w:eastAsia="宋体" w:cs="Times New Roman"/>
                <w:color w:val="000000"/>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Cs w:val="21"/>
                <w:highlight w:val="none"/>
              </w:rPr>
              <w:t xml:space="preserve">耐磨性能：参照GB/T 18102-2020,使用P180粒度砂布粘在砂轮上，负载4.9N，60r/min,可以达到循环20000次，不漏底。</w:t>
            </w:r>
            <w:r/>
          </w:p>
          <w:p>
            <w:pPr>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（提供第三方检测报告）</w:t>
            </w:r>
            <w:r/>
          </w:p>
        </w:tc>
      </w:tr>
      <w:tr>
        <w:trPr>
          <w:trHeight w:val="331"/>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p>
        </w:tc>
        <w:tc>
          <w:tcPr>
            <w:gridSpan w:val="2"/>
            <w:tcMar>
              <w:left w:w="-1" w:type="dxa"/>
              <w:top w:w="-1" w:type="dxa"/>
              <w:right w:w="-1" w:type="dxa"/>
              <w:bottom w:w="-1" w:type="dxa"/>
            </w:tcMar>
            <w:tcW w:w="8342" w:type="dxa"/>
            <w:vAlign w:val="center"/>
            <w:textDirection w:val="lrTb"/>
            <w:noWrap w:val="false"/>
          </w:tcPr>
          <w:p>
            <w:pPr>
              <w:jc w:val="left"/>
              <w:rPr>
                <w:rFonts w:ascii="宋体" w:hAnsi="宋体" w:eastAsia="宋体" w:cs="Times New Roman"/>
                <w:bCs/>
                <w:color w:val="000000"/>
                <w:szCs w:val="21"/>
                <w:highlight w:val="none"/>
              </w:rPr>
            </w:pPr>
            <w:r>
              <w:rPr>
                <w:rFonts w:hint="eastAsia" w:ascii="宋体" w:hAnsi="宋体" w:eastAsia="宋体" w:cs="宋体"/>
                <w:b/>
                <w:bCs/>
                <w:color w:val="000000"/>
                <w:szCs w:val="21"/>
                <w:highlight w:val="none"/>
                <w:lang w:bidi="ar"/>
              </w:rPr>
              <w:t xml:space="preserve">车辆上装及功能部分</w:t>
            </w:r>
            <w:r/>
          </w:p>
        </w:tc>
      </w:tr>
      <w:tr>
        <w:trPr>
          <w:trHeight w:val="9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outlineLvl w:val="0"/>
            </w:pPr>
            <w:r>
              <w:rPr>
                <w:rFonts w:ascii="宋体" w:hAnsi="宋体" w:eastAsia="宋体" w:cs="Times New Roman"/>
                <w:bCs/>
                <w:color w:val="000000"/>
                <w:szCs w:val="21"/>
                <w:highlight w:val="none"/>
              </w:rPr>
              <w:t xml:space="preserve">医用冰箱</w:t>
            </w:r>
            <w:r/>
          </w:p>
        </w:tc>
        <w:tc>
          <w:tcPr>
            <w:tcMar>
              <w:left w:w="-1" w:type="dxa"/>
              <w:top w:w="-1" w:type="dxa"/>
              <w:right w:w="-1" w:type="dxa"/>
              <w:bottom w:w="-1" w:type="dxa"/>
            </w:tcMar>
            <w:tcW w:w="6326" w:type="dxa"/>
            <w:vAlign w:val="center"/>
            <w:textDirection w:val="lrTb"/>
            <w:noWrap w:val="false"/>
          </w:tcPr>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1.门体：采用立式单门设计，两层玻璃发泡门带电加热，32℃、85%湿度环境下不凝露，自关门功能。</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2.市电供电，微电脑控制，箱内温度恒定控制在4±1℃范围内，控温精度0.1°C。</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3.显示：LED数码管显示，显示箱内上下温传感器温度，平均温度，可通过指示灯查看电源，开门，冷凝器脏状态。</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4.风冷设计，保证箱内任意角落的温度都维持在标定的温度范围内，配置1个测试孔设计，满足用户根据实际需要检测箱内温度。</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5.多种故障报警：高低温报警、断电报警、开门报警、传感器故障报警、电池电量低报警。两种报警方式（声音蜂鸣报警和灯光闪烁报警）。</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6.多重保护功能：开机延时保护、停机间隔保护、显示面板密码保护、断电记忆数据保护、传感器故障保护运行等。</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7.冷凝水汇集后自动电加热蒸发，免除人工处理冷凝水的烦恼。</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 具有远程报警功能，可连接报警器到其他房间实现报警功能， 具有RS485网络接口，连接后可以将温度数据传输到用户监控软件端。</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 配备四个脚轮，两个底脚；灵活，可移动、可通过底脚锁定，若在移动装置（车辆、轮船等）中使用时，可拆除底脚、脚轮将冷藏箱进行固定。</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10.压缩机：车载专用直流压缩机，制冷迅速（常温下空载30分钟可降至设定温度），高可靠性（移动运输制冷设备专用），高效节能，低噪音，使用寿命长。</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11.冷凝风机：高效节能，低噪音，使用寿命长。</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噪声声压级≤41dB（A）。有效容积≥279L。</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13.不锈钢内胆设计，防腐可靠。</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14.门体机械锁，带独立锁扣，有效防止车辆行驶过程中门体打开。</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15.后备电池设计，满足断电后报警并继续显示箱内实时温度需求。</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箱内8路传感器(上温传感器、下温传感器、控制传感器、防低温机械温控器、防高温机械温控器、化霜传感器、冷凝器脏堵传感器、环境温湿度传感器)，主控传感器为高精度PT100，环境温湿度传感器可显示环境温湿度；配置防低温机械温控器与防高温机械温控器，电控板故障时可直接控制压机开停，防止温低影响血液安全。</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17.箱内设置LED照明灯，外部独立灯开关。</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18.标配USB接口，可下载温度数据，报警记录等信息，可以存储箱内温度数据10年，实现产品整个生命周期的温度数据可追溯。</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 5个可抽拉下沉式蘸塑搁架，15个蘸塑血筐，5个内门，可减小开门取血的冷量散失。</w:t>
            </w:r>
            <w:r/>
          </w:p>
          <w:p>
            <w:pPr>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20.★具有医疗器械注册证（提供证书扫描件加盖投标人公章）</w:t>
            </w:r>
            <w:r>
              <w:rPr>
                <w:rFonts w:hint="eastAsia" w:ascii="宋体" w:hAnsi="宋体" w:eastAsia="宋体" w:cs="宋体"/>
                <w:color w:val="000000"/>
                <w:sz w:val="21"/>
                <w:szCs w:val="21"/>
                <w:highlight w:val="none"/>
                <w:lang w:val="en-US" w:eastAsia="zh-CN" w:bidi="ar-SA"/>
              </w:rPr>
              <w:t xml:space="preserve">。</w:t>
            </w:r>
            <w:r/>
          </w:p>
        </w:tc>
      </w:tr>
      <w:tr>
        <w:trPr>
          <w:trHeight w:val="1193"/>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p>
        </w:tc>
        <w:tc>
          <w:tcPr>
            <w:tcMar>
              <w:left w:w="-1" w:type="dxa"/>
              <w:top w:w="-1" w:type="dxa"/>
              <w:right w:w="-1" w:type="dxa"/>
              <w:bottom w:w="-1" w:type="dxa"/>
            </w:tcMar>
            <w:tcW w:w="6326" w:type="dxa"/>
            <w:vAlign w:val="center"/>
            <w:textDirection w:val="lrTb"/>
            <w:noWrap w:val="false"/>
          </w:tcPr>
          <w:p>
            <w:pPr>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p>
        </w:tc>
      </w:tr>
      <w:tr>
        <w:trPr>
          <w:trHeight w:val="9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
                <w:bCs/>
                <w:color w:val="000000"/>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Times New Roman"/>
                <w:b/>
                <w:bCs/>
                <w:color w:val="000000"/>
                <w:highlight w:val="none"/>
              </w:rPr>
              <w:t xml:space="preserve">采血椅6件</w:t>
            </w:r>
            <w:r/>
          </w:p>
          <w:p>
            <w:pPr>
              <w:jc w:val="left"/>
              <w:rPr>
                <w:rFonts w:ascii="宋体" w:hAnsi="宋体" w:eastAsia="宋体" w:cs="Times New Roman"/>
                <w:b/>
                <w:bCs/>
                <w:color w:val="000000"/>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Times New Roman"/>
                <w:b/>
                <w:bCs/>
                <w:color w:val="000000"/>
                <w:highlight w:val="none"/>
              </w:rPr>
              <w:t xml:space="preserve">▲高铁商务座外观款式，采血椅可靠墙摆设不影响靠背躺下，不需预留空间。躺下时靠背座椅向前、向下移动，角度110-170。背部和腿部的角度电动调节。长≥160cm。宽≥80cm，高≥110cm。扶手宽≥13cm，配扶手垫，扶手垫可外展30~45度。椅背位置可自动调节，轻松选择舒适体位。自带USB充电插口。</w:t>
            </w:r>
            <w:r/>
          </w:p>
          <w:p>
            <w:pPr>
              <w:jc w:val="left"/>
              <w:rPr>
                <w:rFonts w:ascii="宋体" w:hAnsi="宋体" w:eastAsia="宋体" w:cs="Times New Roman"/>
                <w:color w:val="000000"/>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Times New Roman"/>
                <w:b/>
                <w:bCs/>
                <w:color w:val="000000"/>
                <w:highlight w:val="none"/>
              </w:rPr>
              <w:t xml:space="preserve">注：提供采血椅外观实物图及扶手垫实物图</w:t>
            </w:r>
            <w:r>
              <w:rPr>
                <w:rFonts w:ascii="宋体" w:hAnsi="宋体" w:eastAsia="宋体" w:cs="Times New Roman"/>
                <w:color w:val="000000"/>
                <w:highlight w:val="none"/>
              </w:rPr>
              <w:t xml:space="preserve">。</w:t>
            </w:r>
            <w:r/>
          </w:p>
        </w:tc>
      </w:tr>
      <w:tr>
        <w:trPr>
          <w:trHeight w:val="95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highlight w:val="none"/>
                <w14:ligatures w14: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ascii="宋体" w:hAnsi="宋体" w:eastAsia="宋体" w:cs="Times New Roman"/>
                <w:color w:val="000000"/>
                <w:highlight w:val="none"/>
                <w:lang w:val="en-US" w:eastAsia="zh-CN"/>
              </w:rPr>
              <w:t xml:space="preserve">，</w:t>
            </w:r>
            <w:r>
              <w:rPr>
                <w:rFonts w:ascii="宋体" w:hAnsi="宋体" w:eastAsia="宋体" w:cs="Times New Roman"/>
                <w:b/>
                <w:bCs/>
                <w:color w:val="000000"/>
                <w:highlight w:val="none"/>
              </w:rPr>
              <w:t xml:space="preserve">冰箱（柜)一台。</w:t>
            </w:r>
            <w:r/>
          </w:p>
        </w:tc>
      </w:tr>
      <w:tr>
        <w:trPr>
          <w:trHeight w:val="1880"/>
        </w:trPr>
        <w:tc>
          <w:tcPr>
            <w:tcMar>
              <w:left w:w="-1" w:type="dxa"/>
              <w:top w:w="-1" w:type="dxa"/>
              <w:right w:w="-1" w:type="dxa"/>
              <w:bottom w:w="-1" w:type="dxa"/>
            </w:tcMar>
            <w:tcW w:w="797" w:type="dxa"/>
            <w:vAlign w:val="center"/>
            <w:textDirection w:val="lrTb"/>
            <w:noWrap w:val="false"/>
          </w:tcPr>
          <w:p>
            <w:pPr>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p>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p>
          <w:p>
            <w:pPr>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光色：6000-6500K纯白，LED光通量：850lm</w:t>
            </w:r>
            <w:r>
              <w:rPr>
                <w:rFonts w:hint="eastAsia" w:ascii="宋体" w:hAnsi="宋体" w:eastAsia="宋体" w:cs="Times New Roman"/>
                <w:color w:val="000000"/>
                <w:szCs w:val="21"/>
                <w:highlight w:val="none"/>
                <w:lang w:eastAsia="zh-CN"/>
              </w:rPr>
              <w:t xml:space="preserve">；</w:t>
            </w:r>
            <w:r/>
          </w:p>
          <w:p>
            <w:pPr>
              <w:jc w:val="left"/>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val="en-US" w:eastAsia="zh-CN"/>
              </w:rPr>
              <w:t xml:space="preserve">.</w:t>
            </w:r>
            <w:r/>
          </w:p>
        </w:tc>
      </w:tr>
      <w:tr>
        <w:trPr>
          <w:trHeight w:val="64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p>
        </w:tc>
        <w:tc>
          <w:tcPr>
            <w:tcMar>
              <w:left w:w="-1" w:type="dxa"/>
              <w:top w:w="-1" w:type="dxa"/>
              <w:right w:w="-1" w:type="dxa"/>
              <w:bottom w:w="-1" w:type="dxa"/>
            </w:tcMar>
            <w:tcW w:w="6326" w:type="dxa"/>
            <w:vAlign w:val="center"/>
            <w:textDirection w:val="lrTb"/>
            <w:noWrap w:val="false"/>
          </w:tcPr>
          <w:p>
            <w:pPr>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kW充逆变一体机，50m电缆盘（手摇式）1套， 配电箱（含漏电保护器、空气开关，插座等)</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满足锂电无法使用时可接市电使用工作</w:t>
            </w:r>
            <w:r>
              <w:rPr>
                <w:rFonts w:hint="eastAsia" w:ascii="宋体" w:hAnsi="宋体" w:eastAsia="宋体" w:cs="宋体"/>
                <w:color w:val="000000"/>
                <w:szCs w:val="21"/>
                <w:highlight w:val="none"/>
                <w:lang w:bidi="ar"/>
              </w:rPr>
              <w:t xml:space="preserve">。</w:t>
            </w:r>
            <w:r/>
          </w:p>
        </w:tc>
      </w:tr>
      <w:tr>
        <w:trPr>
          <w:trHeight w:val="13959"/>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7</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p>
        </w:tc>
        <w:tc>
          <w:tcPr>
            <w:tcMar>
              <w:left w:w="-1" w:type="dxa"/>
              <w:top w:w="-1" w:type="dxa"/>
              <w:right w:w="-1" w:type="dxa"/>
              <w:bottom w:w="-1" w:type="dxa"/>
            </w:tcMar>
            <w:tcW w:w="6326" w:type="dxa"/>
            <w:vAlign w:val="center"/>
            <w:textDirection w:val="lrTb"/>
            <w:noWrap w:val="false"/>
          </w:tcPr>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一、锂电池系统</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（一）磷酸铁锂动力电池组1套，具体要求如下： </w:t>
            </w:r>
            <w:r/>
          </w:p>
          <w:p>
            <w:pPr>
              <w:jc w:val="left"/>
              <w:tabs>
                <w:tab w:val="left" w:pos="4151" w:leader="none"/>
              </w:tabs>
              <w:rPr>
                <w:rFonts w:hint="eastAsia" w:ascii="宋体" w:hAnsi="宋体" w:eastAsia="宋体" w:cs="宋体"/>
                <w:b/>
                <w:bCs/>
                <w:color w:val="000000"/>
                <w:highlight w:val="none"/>
                <w:lang w:val="en-US" w:eastAsia="zh-CN"/>
              </w:rPr>
              <w:outlineLvl w:val="0"/>
            </w:pPr>
            <w:r>
              <w:rPr>
                <w:rFonts w:hint="eastAsia" w:ascii="宋体" w:hAnsi="宋体" w:eastAsia="宋体" w:cs="宋体"/>
                <w:b/>
                <w:bCs/>
                <w:color w:val="000000"/>
                <w:highlight w:val="none"/>
                <w:lang w:val="en-US" w:eastAsia="zh-CN"/>
              </w:rPr>
              <w:t xml:space="preserve">▲1.电池包为动力电池包，电池类型：磷酸铁锂动力电池；电池能量密度：≥175Wh/kg。整套电池组额定存储能量：≥88kWh，放电率≥93%</w:t>
            </w:r>
            <w:r/>
          </w:p>
          <w:p>
            <w:pPr>
              <w:jc w:val="left"/>
              <w:tabs>
                <w:tab w:val="left" w:pos="4151" w:leader="none"/>
              </w:tabs>
              <w:rPr>
                <w:rFonts w:hint="eastAsia" w:ascii="宋体" w:hAnsi="宋体" w:eastAsia="宋体" w:cs="宋体"/>
                <w:b/>
                <w:bCs/>
                <w:color w:val="000000"/>
                <w:highlight w:val="none"/>
                <w:lang w:val="en-US" w:eastAsia="zh-CN"/>
              </w:rPr>
              <w:outlineLvl w:val="0"/>
            </w:pPr>
            <w:r>
              <w:rPr>
                <w:rFonts w:hint="eastAsia" w:ascii="宋体" w:hAnsi="宋体" w:eastAsia="宋体" w:cs="宋体"/>
                <w:b/>
                <w:bCs/>
                <w:color w:val="000000"/>
                <w:highlight w:val="none"/>
                <w:lang w:val="en-US" w:eastAsia="zh-CN"/>
              </w:rPr>
              <w:t xml:space="preserve">（提供第三方机构出具的符合GB38032-2020和GB38031-2020、中机函[2017]2号强检报告）</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2.存储环境温度：-35～65℃，长期存储温度控制在35℃以下。</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3.工作温度：电池系统：-35～65℃；电芯充电：0～65℃；电芯放电：-35～65℃。</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4.工作环境相对湿度：≤90%。</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5.额定容量：≥268Ah。</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6.标称电压：≥328.44V。</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7.工作电压范围：204～387.6V。</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8.出货状态SOC：≥40%。</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9.热管理方式：自然冷却，加热膜加热。</w:t>
            </w:r>
            <w:r/>
          </w:p>
          <w:p>
            <w:pPr>
              <w:jc w:val="left"/>
              <w:tabs>
                <w:tab w:val="left" w:pos="4151" w:leader="none"/>
              </w:tabs>
              <w:rPr>
                <w:rFonts w:hint="eastAsia" w:ascii="宋体" w:hAnsi="宋体" w:eastAsia="宋体" w:cs="宋体"/>
                <w:b/>
                <w:bCs/>
                <w:color w:val="000000"/>
                <w:highlight w:val="none"/>
                <w:lang w:val="en-US" w:eastAsia="zh-CN"/>
              </w:rPr>
              <w:outlineLvl w:val="0"/>
            </w:pPr>
            <w:r>
              <w:rPr>
                <w:rFonts w:hint="eastAsia" w:ascii="宋体" w:hAnsi="宋体" w:eastAsia="宋体" w:cs="宋体"/>
                <w:b/>
                <w:bCs/>
                <w:color w:val="000000"/>
                <w:highlight w:val="none"/>
                <w:lang w:val="en-US" w:eastAsia="zh-CN"/>
              </w:rPr>
              <w:t xml:space="preserve">▲10.电芯，须提供含低温放电、高温放电、耐振动测试</w:t>
            </w:r>
            <w:r/>
          </w:p>
          <w:p>
            <w:pPr>
              <w:jc w:val="left"/>
              <w:tabs>
                <w:tab w:val="left" w:pos="4151" w:leader="none"/>
              </w:tabs>
              <w:rPr>
                <w:rFonts w:hint="eastAsia" w:ascii="宋体" w:hAnsi="宋体" w:eastAsia="宋体" w:cs="宋体"/>
                <w:b/>
                <w:bCs/>
                <w:color w:val="000000"/>
                <w:highlight w:val="none"/>
                <w:lang w:val="en-US" w:eastAsia="zh-CN"/>
              </w:rPr>
              <w:outlineLvl w:val="0"/>
            </w:pPr>
            <w:r>
              <w:rPr>
                <w:rFonts w:hint="eastAsia" w:ascii="宋体" w:hAnsi="宋体" w:eastAsia="宋体" w:cs="宋体"/>
                <w:b/>
                <w:bCs/>
                <w:color w:val="000000"/>
                <w:highlight w:val="none"/>
                <w:lang w:val="en-US" w:eastAsia="zh-CN"/>
              </w:rPr>
              <w:t xml:space="preserve">提供第三方机构出具的符合GB/T31486-2024、GB38031-2020检测报告</w:t>
            </w:r>
            <w:r/>
          </w:p>
          <w:p>
            <w:pPr>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11.电池电芯与电池管理系统为同一企业生产</w:t>
            </w:r>
            <w:r/>
          </w:p>
          <w:p>
            <w:pPr>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须提供电池包国家GB 38032-2020和GB 38031-2020强检报告；</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12.SOC工作范围: 0%～100%。</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13.BOL最大持续充电电流:≥250A；BOL最大持续放电电流:≥250 A；BOL短时峰值放电电流:≥400A（30s）；BOL短时峰值回充电流:≥400A（30s）。</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14.自放电率/月: ≤5%。</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15.绝缘要求: ≥8MΩ。</w:t>
            </w:r>
            <w:r/>
          </w:p>
          <w:p>
            <w:pPr>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16.IP防护等级: 样品防护等级不低于 IP6X、IPX8，</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t xml:space="preserve">。</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17.系统总质量: ≤800 kg。</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18.电源系统应设有泄压和透气装置，泄压压力≥50 kPa。</w:t>
            </w:r>
            <w:r/>
          </w:p>
          <w:p>
            <w:pPr>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19.电池组须提供完善的检修通道和安全熔断装置，热事故发生后，至少有240秒以上的逃生时间</w:t>
            </w:r>
            <w:r/>
          </w:p>
          <w:p>
            <w:pPr>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（提供第三方机构出具符合GB38032-2020的检测报告）。</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20.电池应具有智能均衡系统，自带故障诊断反馈功能。</w:t>
            </w:r>
            <w:r/>
          </w:p>
          <w:p>
            <w:pPr>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（提供第三方机构出具符合GB/T31486-2024的检测报告）</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二、逆变器1套，具体要求如下：</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额定输出功率：≥15KW；输出电压：220V AC；；具有过温、过载、输出短路、过电流、过电压、欠电压、工作时负载突变等即时停机保护功能。</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三、车载充电机1套，具体要求如下：</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额定输出功率：≥20KW；最大充电电流30A；接入电压380V AC；。   </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四、锂电池充电要求：</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配备交流充电插座及充电枪各1套，在血站指定地方安装充电配套设备,充电枪配线不小于15米；安装不锈钢柜，用于收纳充电枪、电线等；锂电池室仓门上设计充电开口，给锂电池充电时无需打开仓门。</w:t>
            </w:r>
            <w:r/>
          </w:p>
        </w:tc>
      </w:tr>
      <w:tr>
        <w:trPr>
          <w:trHeight w:val="56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8</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采血称8台</w:t>
            </w:r>
            <w:r/>
          </w:p>
        </w:tc>
        <w:tc>
          <w:tcPr>
            <w:tcMar>
              <w:left w:w="-1" w:type="dxa"/>
              <w:top w:w="-1" w:type="dxa"/>
              <w:right w:w="-1" w:type="dxa"/>
              <w:bottom w:w="-1" w:type="dxa"/>
            </w:tcMar>
            <w:tcW w:w="6326" w:type="dxa"/>
            <w:vAlign w:val="center"/>
            <w:textDirection w:val="lrTb"/>
            <w:noWrap w:val="false"/>
          </w:tcPr>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p>
          <w:p>
            <w:pPr>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p>
          <w:p>
            <w:pPr>
              <w:jc w:val="left"/>
              <w:rPr>
                <w:rFonts w:hint="eastAsia" w:ascii="宋体" w:hAnsi="宋体" w:eastAsia="宋体" w:cs="宋体"/>
                <w:color w:val="000000"/>
                <w:szCs w:val="24"/>
                <w:highlight w:val="none"/>
                <w:lang w:eastAsia="zh-CN"/>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9</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热合机1台</w:t>
            </w:r>
            <w:r/>
          </w:p>
        </w:tc>
        <w:tc>
          <w:tcPr>
            <w:tcMar>
              <w:left w:w="-1" w:type="dxa"/>
              <w:top w:w="-1" w:type="dxa"/>
              <w:right w:w="-1" w:type="dxa"/>
              <w:bottom w:w="-1" w:type="dxa"/>
            </w:tcMar>
            <w:tcW w:w="6326" w:type="dxa"/>
            <w:vAlign w:val="center"/>
            <w:textDirection w:val="lrTb"/>
            <w:noWrap w:val="false"/>
          </w:tcPr>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p>
          <w:p>
            <w:pPr>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p>
          <w:p>
            <w:pPr>
              <w:numPr>
                <w:ilvl w:val="0"/>
                <w:numId w:val="7"/>
              </w:numPr>
              <w:ind w:left="420" w:hanging="420"/>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0</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离心机1台</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p>
          <w:p>
            <w:pPr>
              <w:jc w:val="left"/>
              <w:rPr>
                <w:rFonts w:ascii="宋体" w:hAnsi="宋体" w:eastAsia="宋体" w:cs="宋体"/>
                <w:color w:val="000000"/>
                <w:szCs w:val="24"/>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p>
        </w:tc>
      </w:tr>
      <w:tr>
        <w:trPr>
          <w:trHeight w:val="642"/>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1</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采血综合工作站2套</w:t>
            </w:r>
            <w:r/>
          </w:p>
        </w:tc>
        <w:tc>
          <w:tcPr>
            <w:tcMar>
              <w:left w:w="-1" w:type="dxa"/>
              <w:top w:w="-1" w:type="dxa"/>
              <w:right w:w="-1" w:type="dxa"/>
              <w:bottom w:w="-1" w:type="dxa"/>
            </w:tcMar>
            <w:tcW w:w="6326" w:type="dxa"/>
            <w:vAlign w:val="center"/>
            <w:textDirection w:val="lrTb"/>
            <w:noWrap w:val="false"/>
          </w:tcPr>
          <w:p>
            <w:pPr>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p>
        </w:tc>
      </w:tr>
      <w:tr>
        <w:trPr>
          <w:trHeight w:val="731"/>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p>
        </w:tc>
        <w:tc>
          <w:tcPr>
            <w:tcMar>
              <w:left w:w="-1" w:type="dxa"/>
              <w:top w:w="-1" w:type="dxa"/>
              <w:right w:w="-1" w:type="dxa"/>
              <w:bottom w:w="-1" w:type="dxa"/>
            </w:tcMar>
            <w:tcW w:w="2016" w:type="dxa"/>
            <w:vAlign w:val="center"/>
            <w:textDirection w:val="lrTb"/>
            <w:noWrap w:val="false"/>
          </w:tcPr>
          <w:p>
            <w:pPr>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二代身份证采集系统1套</w:t>
            </w:r>
            <w:r/>
          </w:p>
        </w:tc>
        <w:tc>
          <w:tcPr>
            <w:tcMar>
              <w:left w:w="-1" w:type="dxa"/>
              <w:top w:w="-1" w:type="dxa"/>
              <w:right w:w="-1" w:type="dxa"/>
              <w:bottom w:w="-1" w:type="dxa"/>
            </w:tcMar>
            <w:tcW w:w="6326" w:type="dxa"/>
            <w:vAlign w:val="center"/>
            <w:textDirection w:val="lrTb"/>
            <w:noWrap w:val="false"/>
          </w:tcPr>
          <w:p>
            <w:pPr>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可读取、查询第二代居民身份证全部信息</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可验证第二代居民身份证真伪。</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p>
        </w:tc>
        <w:tc>
          <w:tcPr>
            <w:tcMar>
              <w:left w:w="-1" w:type="dxa"/>
              <w:top w:w="-1" w:type="dxa"/>
              <w:right w:w="-1" w:type="dxa"/>
              <w:bottom w:w="-1" w:type="dxa"/>
            </w:tcMar>
            <w:tcW w:w="2016" w:type="dxa"/>
            <w:vAlign w:val="center"/>
            <w:textDirection w:val="lrTb"/>
            <w:noWrap w:val="false"/>
          </w:tcPr>
          <w:p>
            <w:pPr>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血液信息核对器</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套</w:t>
            </w:r>
            <w:r/>
          </w:p>
        </w:tc>
        <w:tc>
          <w:tcPr>
            <w:tcMar>
              <w:left w:w="-1" w:type="dxa"/>
              <w:top w:w="-1" w:type="dxa"/>
              <w:right w:w="-1" w:type="dxa"/>
              <w:bottom w:w="-1" w:type="dxa"/>
            </w:tcMar>
            <w:tcW w:w="6326" w:type="dxa"/>
            <w:vAlign w:val="center"/>
            <w:textDirection w:val="lrTb"/>
            <w:noWrap w:val="false"/>
          </w:tcPr>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血液信息核对器具备有采血登记、四码智能核对、数据实时上传等强大功能。</w:t>
            </w:r>
            <w:r/>
          </w:p>
          <w:p>
            <w:pPr>
              <w:rPr>
                <w:rFonts w:ascii="宋体" w:hAnsi="宋体" w:eastAsia="宋体" w:cs="宋体"/>
                <w:bCs/>
                <w:color w:val="000000"/>
                <w:szCs w:val="21"/>
                <w:highlight w:val="none"/>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p>
        </w:tc>
        <w:tc>
          <w:tcPr>
            <w:tcMar>
              <w:left w:w="-1" w:type="dxa"/>
              <w:top w:w="-1" w:type="dxa"/>
              <w:right w:w="-1" w:type="dxa"/>
              <w:bottom w:w="-1" w:type="dxa"/>
            </w:tcMar>
            <w:tcW w:w="6326"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p>
          <w:p>
            <w:pPr>
              <w:jc w:val="left"/>
              <w:rPr>
                <w:rFonts w:hint="eastAsia" w:ascii="宋体" w:hAnsi="宋体" w:eastAsia="宋体" w:cs="Times New Roman"/>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p>
        </w:tc>
      </w:tr>
      <w:tr>
        <w:trPr>
          <w:trHeight w:val="904"/>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p>
        </w:tc>
        <w:tc>
          <w:tcPr>
            <w:tcMar>
              <w:left w:w="-1" w:type="dxa"/>
              <w:top w:w="-1" w:type="dxa"/>
              <w:right w:w="-1" w:type="dxa"/>
              <w:bottom w:w="-1" w:type="dxa"/>
            </w:tcMar>
            <w:tcW w:w="2016" w:type="dxa"/>
            <w:vAlign w:val="center"/>
            <w:textDirection w:val="lrTb"/>
            <w:noWrap w:val="false"/>
          </w:tcPr>
          <w:p>
            <w:pPr>
              <w:jc w:val="left"/>
              <w:rPr>
                <w:rFonts w:hint="eastAsia" w:ascii="宋体" w:hAnsi="宋体" w:eastAsia="宋体" w:cs="Times New Roman"/>
                <w:bCs/>
                <w:color w:val="000000"/>
                <w:szCs w:val="21"/>
                <w:highlight w:val="none"/>
                <w:lang w:eastAsia="zh-CN"/>
              </w:rPr>
            </w:pPr>
            <w:r>
              <w:rPr>
                <w:rFonts w:ascii="宋体" w:hAnsi="宋体" w:eastAsia="宋体" w:cs="Times New Roman"/>
                <w:bCs/>
                <w:color w:val="000000"/>
                <w:szCs w:val="21"/>
                <w:highlight w:val="none"/>
              </w:rPr>
              <w:t xml:space="preserve">焊接质量要求</w:t>
            </w:r>
            <w:r/>
          </w:p>
        </w:tc>
        <w:tc>
          <w:tcPr>
            <w:tcMar>
              <w:left w:w="-1" w:type="dxa"/>
              <w:top w:w="-1" w:type="dxa"/>
              <w:right w:w="-1" w:type="dxa"/>
              <w:bottom w:w="-1" w:type="dxa"/>
            </w:tcMar>
            <w:tcW w:w="6326" w:type="dxa"/>
            <w:vAlign w:val="center"/>
            <w:textDirection w:val="lrTb"/>
            <w:noWrap w:val="false"/>
          </w:tcPr>
          <w:p>
            <w:p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p>
        </w:tc>
        <w:tc>
          <w:tcPr>
            <w:tcMar>
              <w:left w:w="-1" w:type="dxa"/>
              <w:top w:w="-1" w:type="dxa"/>
              <w:right w:w="-1" w:type="dxa"/>
              <w:bottom w:w="-1" w:type="dxa"/>
            </w:tcMar>
            <w:tcW w:w="6326" w:type="dxa"/>
            <w:vAlign w:val="center"/>
            <w:textDirection w:val="lrTb"/>
            <w:noWrap w:val="false"/>
          </w:tcPr>
          <w:p>
            <w:p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整车低压线束采用汽车用薄壁绝缘低压电线，电线为镀锡铜线。（提供第三方机构出具的检测报告扫描件，原件备查）</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（10mm，0.5kg，3圈）--卷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后耐压（3%NaCl盐水中浸渍10min后，1kV，1min），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标准进行测试，无裂纹，无击穿。（提供第三方机构出具的检测报告扫描件，原件备查）</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p>
          <w:p>
            <w:pPr>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防护波纹管燃烧性能：水平燃烧特性和垂直燃烧特性分别满足GB/T 2408中的HB级和V-0级。</w:t>
            </w:r>
            <w:r/>
          </w:p>
          <w:p>
            <w:pPr>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w:t>
            </w:r>
            <w:r>
              <w:rPr>
                <w:rFonts w:hint="eastAsia" w:ascii="宋体" w:hAnsi="宋体" w:eastAsia="宋体" w:cs="Times New Roman"/>
                <w:bCs/>
                <w:color w:val="000000"/>
                <w:sz w:val="21"/>
                <w:szCs w:val="21"/>
                <w:highlight w:val="none"/>
                <w:lang w:val="en-US" w:eastAsia="zh-CN" w:bidi="ar-SA"/>
              </w:rPr>
              <w:t xml:space="preserve">符合GB/T 2408-2021</w:t>
            </w:r>
            <w:r>
              <w:rPr>
                <w:rFonts w:ascii="宋体" w:hAnsi="宋体" w:eastAsia="宋体" w:cs="Times New Roman"/>
                <w:bCs/>
                <w:color w:val="000000"/>
                <w:sz w:val="21"/>
                <w:szCs w:val="21"/>
                <w:highlight w:val="none"/>
                <w:lang w:val="en-US" w:eastAsia="zh-CN" w:bidi="ar-SA"/>
              </w:rPr>
              <w:t xml:space="preserve">的检测报告扫描件）</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g/g，甲醛&lt;10mg/Kg，气味等极≤3。</w:t>
            </w:r>
            <w:r/>
          </w:p>
          <w:p>
            <w:pPr>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p>
        </w:tc>
        <w:tc>
          <w:tcPr>
            <w:tcMar>
              <w:left w:w="-1" w:type="dxa"/>
              <w:top w:w="-1" w:type="dxa"/>
              <w:right w:w="-1" w:type="dxa"/>
              <w:bottom w:w="-1" w:type="dxa"/>
            </w:tcMar>
            <w:tcW w:w="2016"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整车图案要求</w:t>
            </w:r>
            <w:r/>
          </w:p>
          <w:p>
            <w:pPr>
              <w:jc w:val="left"/>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1、外观贴膜要求不含汞、铅、镉，甲醛含量＜10mg/kg，甲苯含量＜5ug/g。</w:t>
            </w:r>
            <w:r/>
          </w:p>
          <w:p>
            <w:pPr>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p>
          <w:p>
            <w:pPr>
              <w:numPr>
                <w:ilvl w:val="0"/>
                <w:numId w:val="0"/>
              </w:numPr>
              <w:ind w:left="0" w:firstLine="0"/>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p>
          <w:p>
            <w:pPr>
              <w:numPr>
                <w:ilvl w:val="0"/>
                <w:numId w:val="0"/>
              </w:numPr>
              <w:jc w:val="left"/>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p>
        </w:tc>
      </w:tr>
      <w:tr>
        <w:trPr>
          <w:trHeight w:val="90"/>
        </w:trPr>
        <w:tc>
          <w:tcPr>
            <w:tcMar>
              <w:left w:w="-1" w:type="dxa"/>
              <w:top w:w="-1" w:type="dxa"/>
              <w:right w:w="-1" w:type="dxa"/>
              <w:bottom w:w="-1" w:type="dxa"/>
            </w:tcMar>
            <w:tcW w:w="797" w:type="dxa"/>
            <w:vAlign w:val="center"/>
            <w:textDirection w:val="lrTb"/>
            <w:noWrap w:val="false"/>
          </w:tcPr>
          <w:p>
            <w:pPr>
              <w:jc w:val="center"/>
              <w:rPr>
                <w:rFonts w:hint="default" w:ascii="宋体" w:hAnsi="宋体" w:eastAsia="宋体" w:cs="Times New Roman"/>
                <w:color w:val="000000"/>
                <w:szCs w:val="21"/>
                <w:highlight w:val="none"/>
                <w:lang w:val="en-US" w:eastAsia="zh-CN"/>
              </w:rPr>
            </w:pPr>
            <w:r>
              <w:rPr>
                <w:rFonts w:hint="eastAsia" w:ascii="宋体" w:hAnsi="宋体" w:cs="Times New Roman"/>
                <w:color w:val="000000"/>
                <w:szCs w:val="21"/>
                <w:highlight w:val="none"/>
                <w:lang w:val="en-US" w:eastAsia="zh-CN"/>
              </w:rPr>
              <w:t xml:space="preserve">11</w:t>
            </w:r>
            <w:r/>
          </w:p>
        </w:tc>
        <w:tc>
          <w:tcPr>
            <w:tcMar>
              <w:left w:w="-1" w:type="dxa"/>
              <w:top w:w="-1" w:type="dxa"/>
              <w:right w:w="-1" w:type="dxa"/>
              <w:bottom w:w="-1" w:type="dxa"/>
            </w:tcMar>
            <w:tcW w:w="2016" w:type="dxa"/>
            <w:vAlign w:val="center"/>
            <w:textDirection w:val="lrTb"/>
            <w:noWrap w:val="false"/>
          </w:tcPr>
          <w:p>
            <w:pPr>
              <w:numPr>
                <w:ilvl w:val="0"/>
                <w:numId w:val="0"/>
              </w:numPr>
              <w:ind w:left="0" w:firstLine="0"/>
              <w:jc w:val="left"/>
              <w:widowControl w:val="off"/>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自动体外除颤仪一台</w:t>
            </w:r>
            <w:r/>
          </w:p>
        </w:tc>
        <w:tc>
          <w:tcPr>
            <w:tcMar>
              <w:left w:w="-1" w:type="dxa"/>
              <w:top w:w="-1" w:type="dxa"/>
              <w:right w:w="-1" w:type="dxa"/>
              <w:bottom w:w="-1" w:type="dxa"/>
            </w:tcMar>
            <w:tcW w:w="6326" w:type="dxa"/>
            <w:vAlign w:val="center"/>
            <w:textDirection w:val="lrTb"/>
            <w:noWrap w:val="false"/>
          </w:tcPr>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（一）物理功能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整机重量（含电池、电极片）≤2.5Kg。</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设备主机具备与机器一体化的提手，携带便捷。</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设备运行条件：温度-5℃-+50℃（从室温环境进入到-20℃环境后，至少能工作60分钟）。</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湿度5%-95%相对湿度，无冷凝。</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设备具有机盖保护装置，待机时除颤电极片位于机盖内。</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6.</w:t>
            </w:r>
            <w:r>
              <w:rPr>
                <w:rFonts w:hint="eastAsia" w:ascii="宋体" w:hAnsi="宋体" w:eastAsia="宋体" w:cs="Times New Roman"/>
                <w:color w:val="000000"/>
                <w:sz w:val="21"/>
                <w:szCs w:val="21"/>
                <w:highlight w:val="none"/>
                <w:lang w:val="en-US" w:eastAsia="zh-CN" w:bidi="ar-SA"/>
              </w:rPr>
              <w:t xml:space="preserve">设备具有屏幕，屏幕尺寸≥7英寸，可以显示动画指导施救者操作。</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7.</w:t>
            </w:r>
            <w:r>
              <w:rPr>
                <w:rFonts w:hint="eastAsia" w:ascii="宋体" w:hAnsi="宋体" w:eastAsia="宋体" w:cs="Times New Roman"/>
                <w:color w:val="000000"/>
                <w:sz w:val="21"/>
                <w:szCs w:val="21"/>
                <w:highlight w:val="none"/>
                <w:lang w:val="en-US" w:eastAsia="zh-CN" w:bidi="ar-SA"/>
              </w:rPr>
              <w:t xml:space="preserve">从任何不低于1.6米高的位置意外跌落仍可正常使用。</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8.</w:t>
            </w:r>
            <w:r>
              <w:rPr>
                <w:rFonts w:hint="eastAsia" w:ascii="宋体" w:hAnsi="宋体" w:eastAsia="宋体" w:cs="Times New Roman"/>
                <w:color w:val="000000"/>
                <w:sz w:val="21"/>
                <w:szCs w:val="21"/>
                <w:highlight w:val="none"/>
                <w:lang w:val="en-US" w:eastAsia="zh-CN" w:bidi="ar-SA"/>
              </w:rPr>
              <w:t xml:space="preserve">设备防尘防水级别：系统具有防尘防水设计, 级别应不低于IP65。</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9.</w:t>
            </w:r>
            <w:r>
              <w:rPr>
                <w:rFonts w:hint="eastAsia" w:ascii="宋体" w:hAnsi="宋体" w:eastAsia="宋体" w:cs="Times New Roman"/>
                <w:color w:val="000000"/>
                <w:sz w:val="21"/>
                <w:szCs w:val="21"/>
                <w:highlight w:val="none"/>
                <w:lang w:val="en-US" w:eastAsia="zh-CN" w:bidi="ar-SA"/>
              </w:rPr>
              <w:t xml:space="preserve">具备音量自动调节，适应吵杂环境。</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10.</w:t>
            </w:r>
            <w:r>
              <w:rPr>
                <w:rFonts w:hint="eastAsia" w:ascii="宋体" w:hAnsi="宋体" w:eastAsia="宋体" w:cs="Times New Roman"/>
                <w:color w:val="000000"/>
                <w:sz w:val="21"/>
                <w:szCs w:val="21"/>
                <w:highlight w:val="none"/>
                <w:lang w:val="en-US" w:eastAsia="zh-CN" w:bidi="ar-SA"/>
              </w:rPr>
              <w:t xml:space="preserve">具备屏幕亮度自动调节，适应不同环境。</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11.</w:t>
            </w:r>
            <w:r>
              <w:rPr>
                <w:rFonts w:hint="eastAsia" w:ascii="宋体" w:hAnsi="宋体" w:eastAsia="宋体" w:cs="Times New Roman"/>
                <w:color w:val="000000"/>
                <w:sz w:val="21"/>
                <w:szCs w:val="21"/>
                <w:highlight w:val="none"/>
                <w:lang w:val="en-US" w:eastAsia="zh-CN" w:bidi="ar-SA"/>
              </w:rPr>
              <w:t xml:space="preserve">设备上需要有明显的使用年限铭牌标志，使用寿命：10年（铭牌需出厂自带）。</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（二）操作面板</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12.</w:t>
            </w:r>
            <w:r>
              <w:rPr>
                <w:rFonts w:hint="eastAsia" w:ascii="宋体" w:hAnsi="宋体" w:eastAsia="宋体" w:cs="Times New Roman"/>
                <w:color w:val="000000"/>
                <w:sz w:val="21"/>
                <w:szCs w:val="21"/>
                <w:highlight w:val="none"/>
                <w:lang w:val="en-US" w:eastAsia="zh-CN" w:bidi="ar-SA"/>
              </w:rPr>
              <w:t xml:space="preserve">语音提示：标配中文语言，指导操作流程与心肺复苏，可实现一键切换。</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13.</w:t>
            </w:r>
            <w:r>
              <w:rPr>
                <w:rFonts w:hint="eastAsia" w:ascii="宋体" w:hAnsi="宋体" w:eastAsia="宋体" w:cs="Times New Roman"/>
                <w:color w:val="000000"/>
                <w:sz w:val="21"/>
                <w:szCs w:val="21"/>
                <w:highlight w:val="none"/>
                <w:lang w:val="en-US" w:eastAsia="zh-CN" w:bidi="ar-SA"/>
              </w:rPr>
              <w:t xml:space="preserve">具有成人/儿童一键切换功能。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（三）除颤功能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14.</w:t>
            </w:r>
            <w:r>
              <w:rPr>
                <w:rFonts w:hint="eastAsia" w:ascii="宋体" w:hAnsi="宋体" w:eastAsia="宋体" w:cs="Times New Roman"/>
                <w:color w:val="000000"/>
                <w:sz w:val="21"/>
                <w:szCs w:val="21"/>
                <w:highlight w:val="none"/>
                <w:lang w:val="en-US" w:eastAsia="zh-CN" w:bidi="ar-SA"/>
              </w:rPr>
              <w:t xml:space="preserve">除颤脉冲形式：采用双相波除颤技术，成人除颤能量最高可达360焦耳，儿童除颤能量最大可达100焦耳。</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15.</w:t>
            </w:r>
            <w:r>
              <w:rPr>
                <w:rFonts w:hint="eastAsia" w:ascii="宋体" w:hAnsi="宋体" w:eastAsia="宋体" w:cs="Times New Roman"/>
                <w:color w:val="000000"/>
                <w:sz w:val="21"/>
                <w:szCs w:val="21"/>
                <w:highlight w:val="none"/>
                <w:lang w:val="en-US" w:eastAsia="zh-CN" w:bidi="ar-SA"/>
              </w:rPr>
              <w:t xml:space="preserve">成人模式下，首次电击没有消除室颤时，第二次和第三次电击分别会自动提供更高级别能量，第三次后的后续电击维持最大能量。</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16.</w:t>
            </w:r>
            <w:r>
              <w:rPr>
                <w:rFonts w:hint="eastAsia" w:ascii="宋体" w:hAnsi="宋体" w:eastAsia="宋体" w:cs="Times New Roman"/>
                <w:color w:val="000000"/>
                <w:sz w:val="21"/>
                <w:szCs w:val="21"/>
                <w:highlight w:val="none"/>
                <w:lang w:val="en-US" w:eastAsia="zh-CN" w:bidi="ar-SA"/>
              </w:rPr>
              <w:t xml:space="preserve">儿童模式下，首次电击没有消除室颤时，第二次和第三次电击分别会自动提供更高级别能量，第三次后的后续电击维持最大能量。</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17.</w:t>
            </w:r>
            <w:r>
              <w:rPr>
                <w:rFonts w:hint="eastAsia" w:ascii="宋体" w:hAnsi="宋体" w:eastAsia="宋体" w:cs="Times New Roman"/>
                <w:color w:val="000000"/>
                <w:sz w:val="21"/>
                <w:szCs w:val="21"/>
                <w:highlight w:val="none"/>
                <w:lang w:val="en-US" w:eastAsia="zh-CN" w:bidi="ar-SA"/>
              </w:rPr>
              <w:t xml:space="preserve">开机到200J放电准备就绪时间≤7秒。</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（四）心律分析</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18.</w:t>
            </w:r>
            <w:r>
              <w:rPr>
                <w:rFonts w:hint="eastAsia" w:ascii="宋体" w:hAnsi="宋体" w:eastAsia="宋体" w:cs="Times New Roman"/>
                <w:color w:val="000000"/>
                <w:sz w:val="21"/>
                <w:szCs w:val="21"/>
                <w:highlight w:val="none"/>
                <w:lang w:val="en-US" w:eastAsia="zh-CN" w:bidi="ar-SA"/>
              </w:rPr>
              <w:t xml:space="preserve">心律识别系统数据库至少包含6种数据库。</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19.</w:t>
            </w:r>
            <w:r>
              <w:rPr>
                <w:rFonts w:hint="eastAsia" w:ascii="宋体" w:hAnsi="宋体" w:eastAsia="宋体" w:cs="Times New Roman"/>
                <w:color w:val="000000"/>
                <w:sz w:val="21"/>
                <w:szCs w:val="21"/>
                <w:highlight w:val="none"/>
                <w:lang w:val="en-US" w:eastAsia="zh-CN" w:bidi="ar-SA"/>
              </w:rPr>
              <w:t xml:space="preserve">分析充电时间：分析充电到200J≤5秒。</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（五）电极片功能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20.</w:t>
            </w:r>
            <w:r>
              <w:rPr>
                <w:rFonts w:hint="eastAsia" w:ascii="宋体" w:hAnsi="宋体" w:eastAsia="宋体" w:cs="Times New Roman"/>
                <w:color w:val="000000"/>
                <w:sz w:val="21"/>
                <w:szCs w:val="21"/>
                <w:highlight w:val="none"/>
                <w:lang w:val="en-US" w:eastAsia="zh-CN" w:bidi="ar-SA"/>
              </w:rPr>
              <w:t xml:space="preserve">电极片采用预插方式，无需现场连接。</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21.</w:t>
            </w:r>
            <w:r>
              <w:rPr>
                <w:rFonts w:hint="eastAsia" w:ascii="宋体" w:hAnsi="宋体" w:eastAsia="宋体" w:cs="Times New Roman"/>
                <w:color w:val="000000"/>
                <w:sz w:val="21"/>
                <w:szCs w:val="21"/>
                <w:highlight w:val="none"/>
                <w:lang w:val="en-US" w:eastAsia="zh-CN" w:bidi="ar-SA"/>
              </w:rPr>
              <w:t xml:space="preserve">单副电极片有效期≥60个月。</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22.AED可配置多功能电极片，提供按压实时监测、反馈功能，可评估当前按压频率和按压深度是否良好，语音和视屏提示按压过深、过浅、过快、过慢。</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（六）电池功能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3</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电池类型：一次性免维护4.2Ah锂电池。</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4</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电池性能：能支持连续360焦耳能量除颤不少于200次。</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低电量放电次数：至少6次360J放电和30分钟操作。</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6</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所配置电池寿命需满足待机时间≥6年。</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7</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设备电池独立设计，一键开启，无需工具拆卸螺丝安装，设备跌落电池不会散落。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8</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存储容量：设备存储容量≥3GB，可存储录音时间≥90分钟。</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9</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内部的自检功能：设备每天、每月、每半年进行一次系统自检，支持最高360焦耳大能量充放电自检。</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30</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设备具备提示功能，直观醒目。</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1</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设备可存储自检报告≥3000份，事件≥2000个，日志数据≥5000条。</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（七）其他附件</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2</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AED设备配备4合1急救配件包一体设计（包含：一次性手套、呼吸膜、安全剪刀、剃毛刀）。</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3</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支持内置4G无线数据传输功能。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4</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数据传输：可通过USB和无线传输多方式导出。</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（八）AED管理系统平台</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AED管理系统平台可显示设备状态，方便日常维护，设备发生急救事件可通过管理平台通知绑定管理员。</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6</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物联网功能：具有AED地图（可显示AED状态、设备编号、具体位置等）；物联网系统管理：AED设备耗材管理、设备管理（包括自检报告、开关机记录、急救记录等）、急救人员管理、权限管理等功能。</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7</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系统反馈功能：系统根据AED自检结果，正常/故障显示设备不同状态，故障时发出信息到设备管理者；具有急救事件实时反馈功能，AED一旦开机用于抢救病人时即刻反馈，在平台上提示急救状态，同时系统会自动通过短信、微信等方式即刻通知AED所关联的管理者或急救员；具有位置管理功能，当AED偏离实际安装地点，系统可自动通知管理员，并提示AED所在位置。</w:t>
            </w:r>
            <w:r/>
          </w:p>
          <w:p>
            <w:pPr>
              <w:numPr>
                <w:ilvl w:val="0"/>
                <w:numId w:val="0"/>
              </w:numPr>
              <w:ind w:left="0" w:firstLine="0"/>
              <w:jc w:val="left"/>
              <w:widowControl w:val="off"/>
              <w:rPr>
                <w:rFonts w:hint="eastAsia" w:ascii="宋体" w:hAnsi="宋体" w:eastAsia="宋体" w:cs="Times New Roman"/>
                <w:color w:val="000000"/>
                <w:sz w:val="21"/>
                <w:szCs w:val="21"/>
                <w:highlight w:val="none"/>
                <w:lang w:val="en-US" w:eastAsia="zh-CN" w:bidi="ar-SA"/>
              </w:rPr>
            </w:pP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8</w:t>
            </w:r>
            <w:r>
              <w:rPr>
                <w:rFonts w:hint="default"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AED管理平台具备微信端、电脑端和app端三种入口方式。</w:t>
            </w:r>
            <w:r/>
          </w:p>
        </w:tc>
      </w:tr>
    </w:tbl>
    <w:p>
      <w:pPr>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p>
    <w:p>
      <w:pPr>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采购包二</w:t>
      </w:r>
      <w:r/>
    </w:p>
    <w:p>
      <w:pP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p>
    <w:p>
      <w:pPr>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p>
    <w:p>
      <w:pPr>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p>
    <w:p>
      <w:pPr>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二、项目背景</w:t>
      </w:r>
      <w:r/>
    </w:p>
    <w:p>
      <w:pPr>
        <w:numPr>
          <w:ilvl w:val="0"/>
          <w:numId w:val="0"/>
        </w:numPr>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p>
    <w:p>
      <w:pPr>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p>
    <w:p>
      <w:pPr>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p>
    <w:tbl>
      <w:tblPr>
        <w:tblStyle w:val="1102"/>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ind w:left="7"/>
              <w:jc w:val="center"/>
              <w:spacing w:before="46"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序号</w:t>
            </w:r>
            <w:r/>
          </w:p>
        </w:tc>
        <w:tc>
          <w:tcPr>
            <w:tcW w:w="4202" w:type="dxa"/>
            <w:vAlign w:val="center"/>
            <w:textDirection w:val="lrTb"/>
            <w:noWrap w:val="false"/>
          </w:tcPr>
          <w:p>
            <w:pPr>
              <w:ind w:left="381"/>
              <w:jc w:val="center"/>
              <w:spacing w:before="46"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货物名称</w:t>
            </w:r>
            <w:r/>
          </w:p>
        </w:tc>
        <w:tc>
          <w:tcPr>
            <w:tcW w:w="1220" w:type="dxa"/>
            <w:vAlign w:val="center"/>
            <w:textDirection w:val="lrTb"/>
            <w:noWrap w:val="false"/>
          </w:tcPr>
          <w:p>
            <w:pPr>
              <w:ind w:left="233"/>
              <w:jc w:val="center"/>
              <w:spacing w:before="46"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单位</w:t>
            </w:r>
            <w:r/>
          </w:p>
        </w:tc>
        <w:tc>
          <w:tcPr>
            <w:tcW w:w="1537" w:type="dxa"/>
            <w:vAlign w:val="center"/>
            <w:textDirection w:val="lrTb"/>
            <w:noWrap w:val="false"/>
          </w:tcPr>
          <w:p>
            <w:pPr>
              <w:ind w:left="304"/>
              <w:jc w:val="center"/>
              <w:spacing w:before="47"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数量</w:t>
            </w:r>
            <w:r/>
          </w:p>
        </w:tc>
        <w:tc>
          <w:tcPr>
            <w:tcW w:w="1715" w:type="dxa"/>
            <w:vAlign w:val="center"/>
            <w:textDirection w:val="lrTb"/>
            <w:noWrap w:val="false"/>
          </w:tcPr>
          <w:p>
            <w:pPr>
              <w:jc w:val="center"/>
              <w:spacing w:before="46"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en-US" w:bidi="ar-SA"/>
              </w:rPr>
              <w:t xml:space="preserve">中小企业划分标准所属行业</w:t>
            </w:r>
            <w:r/>
          </w:p>
        </w:tc>
      </w:tr>
      <w:tr>
        <w:trPr>
          <w:trHeight w:val="526"/>
        </w:trPr>
        <w:tc>
          <w:tcPr>
            <w:tcW w:w="823" w:type="dxa"/>
            <w:vAlign w:val="center"/>
            <w:textDirection w:val="lrTb"/>
            <w:noWrap w:val="false"/>
          </w:tcPr>
          <w:p>
            <w:pPr>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pPr>
            <w:r>
              <w:rPr>
                <w:rFonts w:hint="eastAsia" w:ascii="宋体" w:hAnsi="宋体" w:eastAsia="宋体" w:cs="宋体"/>
                <w:color w:val="000000"/>
                <w:spacing w:val="7"/>
                <w:sz w:val="24"/>
                <w:szCs w:val="24"/>
                <w:highlight w:val="none"/>
                <w:lang w:val="en-US" w:eastAsia="en-US" w:bidi="ar-SA"/>
              </w:rPr>
              <w:t xml:space="preserve">1</w:t>
            </w:r>
            <w:r/>
          </w:p>
        </w:tc>
        <w:tc>
          <w:tcPr>
            <w:tcW w:w="4202" w:type="dxa"/>
            <w:vAlign w:val="center"/>
            <w:textDirection w:val="lrTb"/>
            <w:noWrap w:val="false"/>
          </w:tcPr>
          <w:p>
            <w:pPr>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采血车</w:t>
            </w:r>
            <w:r/>
          </w:p>
        </w:tc>
        <w:tc>
          <w:tcPr>
            <w:tcW w:w="1220" w:type="dxa"/>
            <w:vAlign w:val="center"/>
            <w:textDirection w:val="lrTb"/>
            <w:noWrap w:val="false"/>
          </w:tcPr>
          <w:p>
            <w:pPr>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辆</w:t>
            </w:r>
            <w:r/>
          </w:p>
        </w:tc>
        <w:tc>
          <w:tcPr>
            <w:tcW w:w="1537" w:type="dxa"/>
            <w:vAlign w:val="center"/>
            <w:textDirection w:val="lrTb"/>
            <w:noWrap w:val="false"/>
          </w:tcPr>
          <w:p>
            <w:pPr>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w:t>
            </w:r>
            <w:r/>
          </w:p>
        </w:tc>
        <w:tc>
          <w:tcPr>
            <w:tcW w:w="1715" w:type="dxa"/>
            <w:vAlign w:val="center"/>
            <w:textDirection w:val="lrTb"/>
            <w:noWrap w:val="false"/>
          </w:tcPr>
          <w:p>
            <w:pPr>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工业</w:t>
            </w:r>
            <w:r/>
          </w:p>
        </w:tc>
      </w:tr>
    </w:tbl>
    <w:p>
      <w:pPr>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p>
    <w:tbl>
      <w:tblPr>
        <w:tblStyle w:val="772"/>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 w:type="dxa"/>
          <w:top w:w="-1" w:type="dxa"/>
          <w:right w:w="-1" w:type="dxa"/>
          <w:bottom w:w="-1" w:type="dxa"/>
        </w:tblCellMar>
        <w:tblLook w:val="04A0" w:firstRow="1" w:lastRow="0" w:firstColumn="1" w:lastColumn="0" w:noHBand="0" w:noVBand="1"/>
      </w:tblPr>
      <w:tblGrid>
        <w:gridCol w:w="791"/>
        <w:gridCol w:w="2004"/>
        <w:gridCol w:w="6284"/>
      </w:tblGrid>
      <w:tr>
        <w:trPr>
          <w:jc w:val="center"/>
          <w:trHeight w:val="354"/>
          <w:tblHeader/>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p>
        </w:tc>
        <w:tc>
          <w:tcPr>
            <w:gridSpan w:val="2"/>
            <w:tcMar>
              <w:left w:w="-1" w:type="dxa"/>
              <w:top w:w="-1" w:type="dxa"/>
              <w:right w:w="-1" w:type="dxa"/>
              <w:bottom w:w="-1" w:type="dxa"/>
            </w:tcMar>
            <w:tcW w:w="8288" w:type="dxa"/>
            <w:vAlign w:val="center"/>
            <w:textDirection w:val="lrTb"/>
            <w:noWrap w:val="false"/>
          </w:tcPr>
          <w:p>
            <w:pPr>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p>
        </w:tc>
      </w:tr>
      <w:tr>
        <w:trPr>
          <w:jc w:val="center"/>
          <w:trHeight w:val="733"/>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lang w:val="en-US" w:eastAsia="zh-CN"/>
              </w:rPr>
              <w:t xml:space="preserve">底盘</w:t>
            </w:r>
            <w:r>
              <w:rPr>
                <w:rFonts w:ascii="宋体" w:hAnsi="宋体" w:eastAsia="宋体" w:cs="Times New Roman"/>
                <w:b/>
                <w:bCs/>
                <w:color w:val="000000"/>
                <w:szCs w:val="21"/>
                <w:highlight w:val="none"/>
              </w:rPr>
              <w:t xml:space="preserve">要求</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宋体"/>
                <w:color w:val="000000"/>
                <w:highlight w:val="none"/>
                <w:lang w:eastAsia="zh-CN"/>
              </w:rPr>
              <w:t xml:space="preserve">★</w:t>
            </w:r>
            <w:r/>
          </w:p>
        </w:tc>
        <w:tc>
          <w:tcPr>
            <w:tcMar>
              <w:left w:w="-1" w:type="dxa"/>
              <w:top w:w="-1" w:type="dxa"/>
              <w:right w:w="-1" w:type="dxa"/>
              <w:bottom w:w="-1" w:type="dxa"/>
            </w:tcMar>
            <w:tcW w:w="2004" w:type="dxa"/>
            <w:vAlign w:val="center"/>
            <w:textDirection w:val="lrTb"/>
            <w:noWrap w:val="false"/>
          </w:tcPr>
          <w:p>
            <w:pPr>
              <w:ind w:left="0" w:right="0" w:firstLine="0"/>
              <w:jc w:val="left"/>
              <w:rPr>
                <w:rFonts w:hint="eastAsia" w:ascii="宋体" w:hAnsi="宋体" w:eastAsia="宋体" w:cs="Times New Roman"/>
                <w:bCs/>
                <w:color w:val="000000"/>
                <w:szCs w:val="21"/>
                <w:highlight w:val="none"/>
                <w:lang w:eastAsia="zh-CN"/>
              </w:rPr>
            </w:pPr>
            <w:r>
              <w:rPr>
                <w:rFonts w:ascii="宋体" w:hAnsi="宋体" w:eastAsia="宋体" w:cs="Times New Roman"/>
                <w:color w:val="000000"/>
                <w:szCs w:val="21"/>
                <w:highlight w:val="none"/>
              </w:rPr>
              <w:t xml:space="preserve">总长</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8190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1.2</w:t>
            </w:r>
            <w:r>
              <w:rPr>
                <w:rFonts w:hint="eastAsia" w:ascii="宋体" w:hAnsi="宋体" w:eastAsia="宋体" w:cs="宋体"/>
                <w:color w:val="000000"/>
                <w:highlight w:val="none"/>
                <w:lang w:eastAsia="zh-CN"/>
              </w:rPr>
              <w:t xml:space="preserve">★</w:t>
            </w:r>
            <w:r/>
          </w:p>
        </w:tc>
        <w:tc>
          <w:tcPr>
            <w:tcMar>
              <w:left w:w="-1" w:type="dxa"/>
              <w:top w:w="-1" w:type="dxa"/>
              <w:right w:w="-1" w:type="dxa"/>
              <w:bottom w:w="-1" w:type="dxa"/>
            </w:tcMar>
            <w:tcW w:w="2004" w:type="dxa"/>
            <w:vAlign w:val="center"/>
            <w:textDirection w:val="lrTb"/>
            <w:noWrap w:val="false"/>
          </w:tcPr>
          <w:p>
            <w:pPr>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总宽</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≥25</w:t>
            </w:r>
            <w:r>
              <w:rPr>
                <w:rFonts w:hint="eastAsia" w:ascii="宋体" w:hAnsi="宋体" w:eastAsia="宋体" w:cs="Times New Roman"/>
                <w:bCs/>
                <w:color w:val="000000"/>
                <w:szCs w:val="21"/>
                <w:highlight w:val="none"/>
                <w:lang w:val="en-US" w:eastAsia="zh-CN"/>
              </w:rPr>
              <w:t xml:space="preserve">0</w:t>
            </w:r>
            <w:r>
              <w:rPr>
                <w:rFonts w:ascii="宋体" w:hAnsi="宋体" w:eastAsia="宋体" w:cs="Times New Roman"/>
                <w:bCs/>
                <w:color w:val="000000"/>
                <w:szCs w:val="21"/>
                <w:highlight w:val="none"/>
              </w:rPr>
              <w:t xml:space="preserve">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1770/2450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1950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39</w:t>
            </w:r>
            <w:r>
              <w:rPr>
                <w:rFonts w:hint="eastAsia" w:ascii="宋体" w:hAnsi="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lang w:val="en-US" w:eastAsia="zh-CN"/>
              </w:rPr>
              <w:t xml:space="preserve">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3480/7100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2030</w:t>
            </w:r>
            <w:r>
              <w:rPr>
                <w:rFonts w:ascii="宋体" w:hAnsi="宋体" w:eastAsia="宋体" w:cs="Times New Roman"/>
                <w:bCs/>
                <w:color w:val="000000"/>
                <w:szCs w:val="21"/>
                <w:highlight w:val="none"/>
              </w:rPr>
              <w:t xml:space="preserve">/18</w:t>
            </w:r>
            <w:r>
              <w:rPr>
                <w:rFonts w:hint="eastAsia" w:ascii="宋体" w:hAnsi="宋体" w:eastAsia="宋体" w:cs="Times New Roman"/>
                <w:bCs/>
                <w:color w:val="000000"/>
                <w:szCs w:val="21"/>
                <w:highlight w:val="none"/>
              </w:rPr>
              <w:t xml:space="preserve">35</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7人</w:t>
            </w:r>
            <w:r/>
          </w:p>
        </w:tc>
      </w:tr>
      <w:tr>
        <w:trPr>
          <w:jc w:val="center"/>
          <w:trHeight w:val="643"/>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p>
        </w:tc>
        <w:tc>
          <w:tcPr>
            <w:tcMar>
              <w:left w:w="-1" w:type="dxa"/>
              <w:top w:w="-1" w:type="dxa"/>
              <w:right w:w="-1" w:type="dxa"/>
              <w:bottom w:w="-1" w:type="dxa"/>
            </w:tcMar>
            <w:tcW w:w="2004" w:type="dxa"/>
            <w:vAlign w:val="center"/>
            <w:textDirection w:val="lrTb"/>
            <w:noWrap w:val="false"/>
          </w:tcPr>
          <w:p>
            <w:pPr>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rPr>
            </w:pPr>
            <w:r>
              <w:rPr>
                <w:rFonts w:ascii="宋体" w:hAnsi="宋体" w:eastAsia="宋体" w:cs="Times New Roman"/>
                <w:bCs/>
                <w:color w:val="000000"/>
                <w:szCs w:val="21"/>
                <w:highlight w:val="none"/>
              </w:rPr>
              <w:t xml:space="preserve">≤11</w:t>
            </w:r>
            <w:r>
              <w:rPr>
                <w:rFonts w:hint="eastAsia" w:ascii="宋体" w:hAnsi="宋体" w:eastAsia="宋体" w:cs="Times New Roman"/>
                <w:bCs/>
                <w:color w:val="000000"/>
                <w:szCs w:val="21"/>
                <w:highlight w:val="none"/>
                <w:lang w:val="en-US" w:eastAsia="zh-CN"/>
              </w:rPr>
              <w:t xml:space="preserve">600</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w:t>
            </w:r>
            <w:r/>
          </w:p>
        </w:tc>
        <w:tc>
          <w:tcPr>
            <w:gridSpan w:val="2"/>
            <w:tcMar>
              <w:left w:w="-1" w:type="dxa"/>
              <w:top w:w="-1" w:type="dxa"/>
              <w:right w:w="-1" w:type="dxa"/>
              <w:bottom w:w="-1" w:type="dxa"/>
            </w:tcMar>
            <w:tcW w:w="8288" w:type="dxa"/>
            <w:vAlign w:val="center"/>
            <w:textDirection w:val="lrTb"/>
            <w:noWrap w:val="false"/>
          </w:tcPr>
          <w:p>
            <w:pPr>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发动机</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直列增压中冷</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p>
        </w:tc>
        <w:tc>
          <w:tcPr>
            <w:tcMar>
              <w:left w:w="-1" w:type="dxa"/>
              <w:top w:w="-1" w:type="dxa"/>
              <w:right w:w="-1" w:type="dxa"/>
              <w:bottom w:w="-1" w:type="dxa"/>
            </w:tcMar>
            <w:tcW w:w="2004" w:type="dxa"/>
            <w:vAlign w:val="center"/>
            <w:textDirection w:val="lrTb"/>
            <w:noWrap w:val="false"/>
          </w:tcPr>
          <w:p>
            <w:pPr>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额定功率</w:t>
            </w:r>
            <w:r/>
          </w:p>
        </w:tc>
        <w:tc>
          <w:tcPr>
            <w:tcMar>
              <w:left w:w="-1" w:type="dxa"/>
              <w:top w:w="-1" w:type="dxa"/>
              <w:right w:w="-1" w:type="dxa"/>
              <w:bottom w:w="-1" w:type="dxa"/>
            </w:tcMar>
            <w:tcW w:w="6284" w:type="dxa"/>
            <w:vAlign w:val="center"/>
            <w:textDirection w:val="lrTb"/>
            <w:noWrap w:val="false"/>
          </w:tcPr>
          <w:p>
            <w:pPr>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69</w:t>
            </w:r>
            <w:r>
              <w:rPr>
                <w:rFonts w:hint="eastAsia" w:ascii="宋体" w:hAnsi="宋体" w:eastAsia="宋体" w:cs="宋体"/>
                <w:b w:val="0"/>
                <w:bCs w:val="0"/>
                <w:color w:val="000000"/>
                <w:szCs w:val="21"/>
                <w:highlight w:val="none"/>
              </w:rPr>
              <w:t xml:space="preserve">KW</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2.3</w:t>
            </w:r>
            <w:r>
              <w:rPr>
                <w:rFonts w:hint="eastAsia" w:ascii="宋体" w:hAnsi="宋体" w:eastAsia="宋体" w:cs="宋体"/>
                <w:color w:val="000000"/>
                <w:highlight w:val="none"/>
                <w:lang w:eastAsia="zh-CN"/>
              </w:rPr>
              <w:t xml:space="preserve">★</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排放标准</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国六排放</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p>
        </w:tc>
        <w:tc>
          <w:tcPr>
            <w:gridSpan w:val="2"/>
            <w:tcMar>
              <w:left w:w="-1" w:type="dxa"/>
              <w:top w:w="-1" w:type="dxa"/>
              <w:right w:w="-1" w:type="dxa"/>
              <w:bottom w:w="-1" w:type="dxa"/>
            </w:tcMar>
            <w:tcW w:w="8288" w:type="dxa"/>
            <w:vAlign w:val="center"/>
            <w:textDirection w:val="lrTb"/>
            <w:noWrap w:val="false"/>
          </w:tcPr>
          <w:p>
            <w:pPr>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lang w:val="en-US" w:eastAsia="zh-CN"/>
              </w:rPr>
              <w:t xml:space="preserve">要求</w:t>
            </w:r>
            <w:r/>
          </w:p>
        </w:tc>
      </w:tr>
      <w:tr>
        <w:trPr>
          <w:jc w:val="center"/>
          <w:trHeight w:val="68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p>
          <w:p>
            <w:pPr>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单片干式离合器总成，液压远程距离操控，带气助力</w:t>
            </w:r>
            <w:r/>
          </w:p>
        </w:tc>
      </w:tr>
      <w:tr>
        <w:trPr>
          <w:jc w:val="center"/>
          <w:trHeight w:val="68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3.3</w:t>
            </w:r>
            <w:r>
              <w:rPr>
                <w:rFonts w:hint="eastAsia" w:ascii="宋体" w:hAnsi="宋体" w:eastAsia="宋体" w:cs="宋体"/>
                <w:color w:val="000000"/>
                <w:highlight w:val="none"/>
                <w:lang w:eastAsia="zh-CN"/>
              </w:rPr>
              <w:t xml:space="preserve">★</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行驶系统</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多片簧（前板簧片数≤8，后板簧片数≤</w:t>
            </w:r>
            <w:r>
              <w:rPr>
                <w:rFonts w:hint="eastAsia" w:ascii="宋体" w:hAnsi="宋体" w:eastAsia="宋体" w:cs="Times New Roman"/>
                <w:bCs/>
                <w:color w:val="000000"/>
                <w:szCs w:val="21"/>
                <w:highlight w:val="none"/>
                <w:lang w:val="en-US" w:eastAsia="zh-CN"/>
              </w:rPr>
              <w:t xml:space="preserve">10</w:t>
            </w:r>
            <w:r>
              <w:rPr>
                <w:rFonts w:ascii="宋体" w:hAnsi="宋体" w:eastAsia="宋体" w:cs="Times New Roman"/>
                <w:bCs/>
                <w:color w:val="000000"/>
                <w:szCs w:val="21"/>
                <w:highlight w:val="none"/>
              </w:rPr>
              <w:t xml:space="preserve">）</w:t>
            </w:r>
            <w:r/>
          </w:p>
          <w:p>
            <w:pPr>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前盘后盘(前后一体化免维护轴承单元)</w:t>
            </w:r>
            <w:r/>
          </w:p>
        </w:tc>
      </w:tr>
      <w:tr>
        <w:trPr>
          <w:jc w:val="center"/>
          <w:trHeight w:val="68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电动兔耳外后视镜，集成前视镜、补盲镜，电加热除霜，主镜片≥201mm*389mm（镜片最宽*最长），曲率半径R≥1300mm。</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7</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车载</w:t>
            </w:r>
            <w:r>
              <w:rPr>
                <w:rFonts w:ascii="宋体" w:hAnsi="宋体" w:eastAsia="宋体" w:cs="Times New Roman"/>
                <w:color w:val="000000"/>
                <w:szCs w:val="21"/>
                <w:highlight w:val="none"/>
              </w:rPr>
              <w:t xml:space="preserve">空调</w:t>
            </w:r>
            <w:r/>
          </w:p>
        </w:tc>
        <w:tc>
          <w:tcPr>
            <w:tcMar>
              <w:left w:w="-1" w:type="dxa"/>
              <w:top w:w="-1" w:type="dxa"/>
              <w:right w:w="-1" w:type="dxa"/>
              <w:bottom w:w="-1" w:type="dxa"/>
            </w:tcMar>
            <w:tcW w:w="6284" w:type="dxa"/>
            <w:vAlign w:val="center"/>
            <w:textDirection w:val="lrTb"/>
            <w:noWrap w:val="false"/>
          </w:tcPr>
          <w:p>
            <w:pPr>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行车空调一套：</w:t>
            </w:r>
            <w:r>
              <w:rPr>
                <w:rFonts w:ascii="宋体" w:hAnsi="宋体" w:eastAsia="宋体" w:cs="Times New Roman"/>
                <w:color w:val="000000"/>
                <w:szCs w:val="21"/>
                <w:highlight w:val="none"/>
              </w:rPr>
              <w:t xml:space="preserve">顶置空调（制冷量≥18000Kcal/h）</w:t>
            </w:r>
            <w:r/>
          </w:p>
          <w:p>
            <w:pPr>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驻车空调一套：要求如下</w:t>
            </w:r>
            <w:r/>
          </w:p>
          <w:p>
            <w:pPr>
              <w:ind w:left="0" w:right="0" w:firstLine="0"/>
              <w:jc w:val="left"/>
              <w:spacing w:line="240" w:lineRule="auto"/>
              <w:rPr>
                <w:rFonts w:eastAsia="宋体" w:cs="Times New Roman"/>
                <w:color w:val="000000"/>
                <w:highlight w:val="none"/>
              </w:rPr>
            </w:pPr>
            <w:r>
              <w:rPr>
                <w:rFonts w:ascii="宋体" w:hAnsi="宋体" w:eastAsia="宋体" w:cs="Times New Roman"/>
                <w:color w:val="000000"/>
                <w:highlight w:val="none"/>
              </w:rPr>
              <w:t xml:space="preserve">风管式空调1套，技术参数如下：</w:t>
            </w:r>
            <w:r/>
          </w:p>
          <w:p>
            <w:pPr>
              <w:numPr>
                <w:ilvl w:val="0"/>
                <w:numId w:val="0"/>
              </w:numPr>
              <w:ind w:right="0"/>
              <w:jc w:val="left"/>
              <w:spacing w:before="0" w:after="0"/>
              <w:rPr>
                <w:rFonts w:ascii="Calibri" w:hAnsi="Calibri" w:eastAsia="Calibri" w:cs="Times New Roman"/>
                <w:color w:val="000000"/>
                <w:sz w:val="21"/>
                <w:highlight w:val="none"/>
              </w:rPr>
            </w:pPr>
            <w:r>
              <w:rPr>
                <w:rFonts w:hint="eastAsia" w:ascii="宋体" w:hAnsi="宋体" w:eastAsia="宋体" w:cs="Times New Roman"/>
                <w:color w:val="000000"/>
                <w:highlight w:val="none"/>
                <w:lang w:val="en-US" w:eastAsia="zh-CN"/>
              </w:rPr>
              <w:t xml:space="preserve">1.</w:t>
            </w:r>
            <w:r>
              <w:rPr>
                <w:rFonts w:ascii="宋体" w:hAnsi="宋体" w:eastAsia="宋体" w:cs="Times New Roman"/>
                <w:color w:val="000000"/>
                <w:highlight w:val="none"/>
              </w:rPr>
              <w:t xml:space="preserve">空调形式：风管式，一拖二</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2.</w:t>
            </w:r>
            <w:r>
              <w:rPr>
                <w:rFonts w:ascii="宋体" w:hAnsi="宋体" w:eastAsia="宋体" w:cs="Times New Roman"/>
                <w:color w:val="000000"/>
                <w:highlight w:val="none"/>
              </w:rPr>
              <w:t xml:space="preserve">制冷类型：冷暖</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3.</w:t>
            </w:r>
            <w:r>
              <w:rPr>
                <w:rFonts w:ascii="宋体" w:hAnsi="宋体" w:eastAsia="宋体" w:cs="Times New Roman"/>
                <w:color w:val="000000"/>
                <w:highlight w:val="none"/>
              </w:rPr>
              <w:t xml:space="preserve">定频/定频：变频</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能效等级：一级能效</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5.</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APF: ≥5.23</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6.</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制冷量(W)：≥10000</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7.</w:t>
            </w:r>
            <w:r>
              <w:rPr>
                <w:rFonts w:ascii="宋体" w:hAnsi="宋体" w:eastAsia="宋体" w:cs="Times New Roman"/>
                <w:color w:val="000000"/>
                <w:highlight w:val="none"/>
              </w:rPr>
              <w:t xml:space="preserve">制冷功率(W)：≤2550</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8.</w:t>
            </w:r>
            <w:r>
              <w:rPr>
                <w:rFonts w:ascii="宋体" w:hAnsi="宋体" w:eastAsia="宋体" w:cs="Times New Roman"/>
                <w:color w:val="000000"/>
                <w:highlight w:val="none"/>
              </w:rPr>
              <w:t xml:space="preserve">制热量(W)：≥12000</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9.</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制热功率(W)：≤2970</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10.</w:t>
            </w:r>
            <w:r>
              <w:rPr>
                <w:rFonts w:ascii="宋体" w:hAnsi="宋体" w:eastAsia="宋体" w:cs="Times New Roman"/>
                <w:color w:val="000000"/>
                <w:highlight w:val="none"/>
              </w:rPr>
              <w:t xml:space="preserve">外机噪音(dB(A)): ≤54</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11.</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电压/频率（V/Hz）: 220/50</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12.</w:t>
            </w:r>
            <w:r>
              <w:rPr>
                <w:rFonts w:ascii="宋体" w:hAnsi="宋体" w:eastAsia="宋体" w:cs="Times New Roman"/>
                <w:color w:val="000000"/>
                <w:highlight w:val="none"/>
              </w:rPr>
              <w:t xml:space="preserve">制冷剂新冷媒：R410A</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13.</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出风方式：行车、驻车共用一套风道和出风口，出风均匀，出风口风量大小及朝向可自由调节，避免空调吹人的缺点</w:t>
            </w:r>
            <w:r/>
          </w:p>
          <w:p>
            <w:pPr>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检修方便性：大顶上部装饰罩分体设计，上部可直接取下，确保不漏水</w:t>
            </w:r>
            <w:r/>
          </w:p>
          <w:p>
            <w:pPr>
              <w:numPr>
                <w:ilvl w:val="0"/>
                <w:numId w:val="0"/>
              </w:numPr>
              <w:ind w:right="0"/>
              <w:jc w:val="left"/>
              <w:rPr>
                <w:rFonts w:ascii="宋体" w:hAnsi="宋体" w:eastAsia="宋体" w:cs="Times New Roman"/>
                <w:color w:val="000000"/>
                <w:szCs w:val="21"/>
                <w:highlight w:val="none"/>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 w:val="21"/>
                <w:highlight w:val="none"/>
                <w:lang w:val="en-US" w:eastAsia="zh-CN"/>
              </w:rPr>
              <w:t xml:space="preserve">15.</w:t>
            </w:r>
            <w:r>
              <w:rPr>
                <w:rFonts w:ascii="宋体" w:hAnsi="宋体" w:eastAsia="宋体" w:cs="Times New Roman"/>
                <w:color w:val="000000"/>
                <w:sz w:val="21"/>
                <w:highlight w:val="none"/>
              </w:rPr>
              <w:t xml:space="preserve">风管机回风口安装在车内，回风口上安装过滤网，防止灰尘进入冷凝器影响空调效果，定期可拆除车顶回风栅清洗滤网。</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200L油箱，</w:t>
            </w:r>
            <w:r>
              <w:rPr>
                <w:rFonts w:ascii="宋体" w:hAnsi="宋体" w:eastAsia="宋体" w:cs="Times New Roman"/>
                <w:color w:val="000000"/>
                <w:szCs w:val="21"/>
                <w:highlight w:val="none"/>
              </w:rPr>
              <w:t xml:space="preserve">高密度聚乙烯材质</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半承载式钢管骨架，平地板结构</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断面宽度</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255</w:t>
            </w:r>
            <w:r>
              <w:rPr>
                <w:rFonts w:hint="eastAsia" w:ascii="宋体" w:hAnsi="宋体" w:eastAsia="宋体" w:cs="Times New Roman"/>
                <w:bCs/>
                <w:color w:val="000000"/>
                <w:szCs w:val="21"/>
                <w:highlight w:val="none"/>
              </w:rPr>
              <w:t xml:space="preserve">mm</w:t>
            </w:r>
            <w:r>
              <w:rPr>
                <w:rFonts w:ascii="宋体" w:hAnsi="宋体" w:eastAsia="宋体" w:cs="Times New Roman"/>
                <w:bCs/>
                <w:color w:val="000000"/>
                <w:szCs w:val="21"/>
                <w:highlight w:val="none"/>
              </w:rPr>
              <w:t xml:space="preserve">，扁平率</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70</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轮毂</w:t>
            </w:r>
            <w:r>
              <w:rPr>
                <w:rFonts w:ascii="宋体" w:hAnsi="宋体" w:eastAsia="宋体" w:cs="Times New Roman"/>
                <w:bCs/>
                <w:color w:val="000000"/>
                <w:szCs w:val="21"/>
                <w:highlight w:val="none"/>
              </w:rPr>
              <w:t xml:space="preserve">直径</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22.5英寸</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15</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rPr>
              <w:t xml:space="preserve">蓄电池</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shd w:val="clear" w:color="auto" w:fill="ffffff"/>
              </w:rPr>
              <w:t xml:space="preserve">≥150Ah免维护蓄电池2个</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p>
        </w:tc>
        <w:tc>
          <w:tcPr>
            <w:gridSpan w:val="2"/>
            <w:tcMar>
              <w:left w:w="-1" w:type="dxa"/>
              <w:top w:w="-1" w:type="dxa"/>
              <w:right w:w="-1" w:type="dxa"/>
              <w:bottom w:w="-1" w:type="dxa"/>
            </w:tcMar>
            <w:tcW w:w="8288"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hint="eastAsia" w:ascii="宋体" w:hAnsi="宋体" w:eastAsia="宋体" w:cs="宋体"/>
                <w:b/>
                <w:color w:val="000000"/>
                <w:sz w:val="21"/>
                <w:szCs w:val="21"/>
                <w:highlight w:val="none"/>
                <w:lang w:val="en-US" w:eastAsia="zh-CN"/>
              </w:rPr>
              <w:t xml:space="preserve">车身</w:t>
            </w:r>
            <w:r>
              <w:rPr>
                <w:rFonts w:hint="eastAsia" w:ascii="宋体" w:hAnsi="宋体" w:eastAsia="宋体" w:cs="宋体"/>
                <w:b/>
                <w:color w:val="000000"/>
                <w:sz w:val="21"/>
                <w:szCs w:val="21"/>
                <w:highlight w:val="none"/>
              </w:rPr>
              <w:t xml:space="preserve">配置</w:t>
            </w:r>
            <w:r>
              <w:rPr>
                <w:rFonts w:hint="eastAsia" w:ascii="宋体" w:hAnsi="宋体" w:eastAsia="宋体" w:cs="宋体"/>
                <w:b/>
                <w:color w:val="000000"/>
                <w:sz w:val="21"/>
                <w:szCs w:val="21"/>
                <w:highlight w:val="none"/>
                <w:lang w:val="en-US" w:eastAsia="zh-CN"/>
              </w:rPr>
              <w:t xml:space="preserve">要求</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p>
        </w:tc>
      </w:tr>
      <w:tr>
        <w:trPr>
          <w:jc w:val="center"/>
          <w:trHeight w:val="1016"/>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3</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b w:val="0"/>
                <w:bCs w:val="0"/>
                <w:color w:val="000000"/>
                <w:szCs w:val="21"/>
                <w:highlight w:val="none"/>
              </w:rPr>
              <w:t xml:space="preserve">行车记录仪及车内监控</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4</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
                <w:color w:val="000000"/>
                <w:szCs w:val="21"/>
                <w:highlight w:val="none"/>
              </w:rPr>
              <w:outlineLvl w:val="0"/>
            </w:pPr>
            <w:r>
              <w:rPr>
                <w:rFonts w:ascii="宋体" w:hAnsi="宋体" w:eastAsia="宋体" w:cs="Times New Roman"/>
                <w:color w:val="000000"/>
                <w:szCs w:val="21"/>
                <w:highlight w:val="none"/>
              </w:rPr>
              <w:t xml:space="preserve">司机窗</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5</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p>
        </w:tc>
        <w:tc>
          <w:tcPr>
            <w:tcMar>
              <w:left w:w="-1" w:type="dxa"/>
              <w:top w:w="-1" w:type="dxa"/>
              <w:right w:w="-1" w:type="dxa"/>
              <w:bottom w:w="-1" w:type="dxa"/>
            </w:tcMar>
            <w:tcW w:w="6284" w:type="dxa"/>
            <w:vAlign w:val="center"/>
            <w:textDirection w:val="lrTb"/>
            <w:noWrap w:val="false"/>
          </w:tcPr>
          <w:p>
            <w:pPr>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深灰</w:t>
            </w:r>
            <w:r>
              <w:rPr>
                <w:rFonts w:ascii="宋体" w:hAnsi="宋体" w:eastAsia="宋体" w:cs="Times New Roman"/>
                <w:color w:val="000000"/>
                <w:sz w:val="21"/>
                <w:szCs w:val="21"/>
                <w:highlight w:val="none"/>
                <w:lang w:val="en-US" w:eastAsia="zh-CN" w:bidi="ar-SA"/>
              </w:rPr>
              <w:t xml:space="preserve">色：全封闭普通玻璃（两侧后上内嵌式推拉窗）</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p>
        </w:tc>
        <w:tc>
          <w:tcPr>
            <w:tcMar>
              <w:left w:w="-1" w:type="dxa"/>
              <w:top w:w="-1" w:type="dxa"/>
              <w:right w:w="-1" w:type="dxa"/>
              <w:bottom w:w="-1" w:type="dxa"/>
            </w:tcMar>
            <w:tcW w:w="6284" w:type="dxa"/>
            <w:vAlign w:val="center"/>
            <w:textDirection w:val="lrTb"/>
            <w:noWrap w:val="false"/>
          </w:tcPr>
          <w:p>
            <w:pPr>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7</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8</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p>
        </w:tc>
        <w:tc>
          <w:tcPr>
            <w:tcMar>
              <w:left w:w="-1" w:type="dxa"/>
              <w:top w:w="-1" w:type="dxa"/>
              <w:right w:w="-1" w:type="dxa"/>
              <w:bottom w:w="-1" w:type="dxa"/>
            </w:tcMar>
            <w:tcW w:w="6284" w:type="dxa"/>
            <w:vAlign w:val="center"/>
            <w:textDirection w:val="lrTb"/>
            <w:noWrap w:val="false"/>
          </w:tcPr>
          <w:p>
            <w:pPr>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全铝上移门（锂电池舱上翻门）</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9</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p>
        </w:tc>
      </w:tr>
      <w:tr>
        <w:trPr>
          <w:jc w:val="center"/>
          <w:trHeight w:val="733"/>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0</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内嵌式车身两侧条幅挂钩，不突出车身蒙皮，整洁美观。（左右各4 个），提供同类产品实车照片。</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适用体积：≥60m3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循环风量：≥600m3/h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p>
        </w:tc>
      </w:tr>
      <w:tr>
        <w:trPr>
          <w:jc w:val="center"/>
          <w:trHeight w:val="2339"/>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2</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p>
        </w:tc>
        <w:tc>
          <w:tcPr>
            <w:gridSpan w:val="2"/>
            <w:tcMar>
              <w:left w:w="-1" w:type="dxa"/>
              <w:top w:w="-1" w:type="dxa"/>
              <w:right w:w="-1" w:type="dxa"/>
              <w:bottom w:w="-1" w:type="dxa"/>
            </w:tcMar>
            <w:tcW w:w="8288" w:type="dxa"/>
            <w:vAlign w:val="center"/>
            <w:textDirection w:val="lrTb"/>
            <w:noWrap w:val="false"/>
          </w:tcPr>
          <w:p>
            <w:pPr>
              <w:ind w:left="0" w:right="0" w:firstLine="0"/>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en-US" w:eastAsia="zh-CN"/>
              </w:rPr>
              <w:t xml:space="preserve">车辆</w:t>
            </w:r>
            <w:r>
              <w:rPr>
                <w:rFonts w:ascii="宋体" w:hAnsi="宋体" w:eastAsia="宋体" w:cs="Times New Roman"/>
                <w:b/>
                <w:color w:val="000000"/>
                <w:szCs w:val="21"/>
                <w:highlight w:val="none"/>
              </w:rPr>
              <w:t xml:space="preserve">内饰</w:t>
            </w:r>
            <w:r/>
          </w:p>
        </w:tc>
      </w:tr>
      <w:tr>
        <w:trPr>
          <w:jc w:val="center"/>
          <w:trHeight w:val="4657"/>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前后顶：前后顶可根据需求设计，环保材质；</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顶、裙板：家装风格，材质为环保PP蜂窝板，顶部两侧长条照明灯；</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窗帘：动车窗帘（禁止折叠帘）；</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窗立柱及窗框：亮白色吸塑带造型窗立柱，材质为环保材料；</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风道：亮白色PVC商务开模成型扁平带圆弧型风道，采用环保材质；</w:t>
            </w:r>
            <w:r/>
          </w:p>
          <w:p>
            <w:pPr>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家具面料要求：</w:t>
            </w:r>
            <w:r/>
          </w:p>
          <w:p>
            <w:pPr>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环保性能；绿色环保零甲醛，TVOC≤50ugC/g，苯和甲苯≤5ug/g。</w:t>
            </w:r>
            <w:r/>
          </w:p>
          <w:p>
            <w:pPr>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（提供第三方检测报告）；</w:t>
            </w:r>
            <w:r/>
          </w:p>
          <w:p>
            <w:pPr>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抗菌性能：抗菌按照GB/T 31402-2023塑料表面抗菌性能试验方法，大肠杆菌抗菌率99.9%，金黄色葡萄球菌抗菌率99.9%，白色念珠菌抗菌率92.2%</w:t>
            </w:r>
            <w:r/>
          </w:p>
          <w:p>
            <w:pPr>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（提供第三方测试报告）；</w:t>
            </w:r>
            <w:r/>
          </w:p>
          <w:p>
            <w:pPr>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防霉性能：</w:t>
            </w:r>
            <w:r>
              <w:rPr>
                <w:rFonts w:hint="eastAsia" w:eastAsia="宋体" w:cs="Times New Roman"/>
                <w:color w:val="000000"/>
                <w:highlight w:val="none"/>
                <w:lang w:eastAsia="zh-CN"/>
              </w:rPr>
              <w:t xml:space="preserve">按照</w:t>
            </w:r>
            <w:r>
              <w:rPr>
                <w:rFonts w:hint="eastAsia" w:ascii="Times New Roman" w:eastAsia="宋体" w:cs="Times New Roman"/>
                <w:color w:val="000000"/>
                <w:highlight w:val="none"/>
                <w:lang w:val="en-US" w:eastAsia="zh-CN"/>
              </w:rPr>
              <w:t xml:space="preserve">QB/T4341-2012</w:t>
            </w:r>
            <w:r>
              <w:rPr>
                <w:rFonts w:ascii="Arial" w:hAnsi="Arial" w:eastAsia="Arial" w:cs="Arial"/>
                <w:i w:val="0"/>
                <w:iCs w:val="0"/>
                <w:caps w:val="0"/>
                <w:color w:val="000000"/>
                <w:spacing w:val="0"/>
                <w:sz w:val="19"/>
                <w:szCs w:val="19"/>
                <w:highlight w:val="none"/>
                <w:shd w:val="clear" w:color="auto" w:fill="ffffff"/>
              </w:rPr>
              <w:t xml:space="preserve">《抗菌聚氨酯合成革抗菌性能试验方法和抗菌效果》</w:t>
            </w:r>
            <w:r>
              <w:rPr>
                <w:rFonts w:hint="eastAsia" w:ascii="Arial" w:hAnsi="Arial" w:eastAsia="宋体" w:cs="Arial"/>
                <w:i w:val="0"/>
                <w:iCs w:val="0"/>
                <w:caps w:val="0"/>
                <w:color w:val="000000"/>
                <w:spacing w:val="0"/>
                <w:sz w:val="19"/>
                <w:szCs w:val="19"/>
                <w:highlight w:val="none"/>
                <w:shd w:val="clear" w:color="auto" w:fill="ffffff"/>
                <w:lang w:eastAsia="zh-CN"/>
              </w:rPr>
              <w:t xml:space="preserve">的标准，</w:t>
            </w:r>
            <w:r>
              <w:rPr>
                <w:rFonts w:hint="eastAsia" w:ascii="宋体" w:hAnsi="宋体" w:eastAsia="宋体" w:cs="Times New Roman"/>
                <w:color w:val="000000"/>
                <w:szCs w:val="21"/>
                <w:highlight w:val="none"/>
                <w:lang w:val="en-US" w:eastAsia="zh-CN"/>
              </w:rPr>
              <w:t xml:space="preserve">黄曲霉、黑曲霉、青霉、木霉等进行28天实验，28°C温度、85%湿度环境，无霉菌生长；</w:t>
            </w:r>
            <w:r/>
          </w:p>
          <w:p>
            <w:p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（提供第三方测试报告）</w:t>
            </w:r>
            <w:r/>
          </w:p>
        </w:tc>
      </w:tr>
      <w:tr>
        <w:trPr>
          <w:jc w:val="center"/>
          <w:trHeight w:val="2873"/>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p>
          <w:p>
            <w:pPr>
              <w:numPr>
                <w:ilvl w:val="0"/>
                <w:numId w:val="1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w:t>
            </w:r>
            <w:r>
              <w:rPr>
                <w:rFonts w:ascii="宋体" w:hAnsi="宋体" w:eastAsia="宋体" w:cs="Times New Roman"/>
                <w:i w:val="0"/>
                <w:iCs w:val="0"/>
                <w:color w:val="000000"/>
                <w:szCs w:val="21"/>
                <w:highlight w:val="none"/>
              </w:rPr>
              <w:t xml:space="preserve">GB 18580</w:t>
            </w:r>
            <w:r>
              <w:rPr>
                <w:rFonts w:ascii="宋体" w:hAnsi="宋体" w:eastAsia="宋体" w:cs="Times New Roman"/>
                <w:color w:val="000000"/>
                <w:szCs w:val="21"/>
                <w:highlight w:val="none"/>
              </w:rPr>
              <w:t xml:space="preserve">-2025《室内装饰装修材料—人造板及其制品中甲醛释放量》标准，甲醛≤0.027mg/m3；</w:t>
            </w:r>
            <w:r/>
          </w:p>
          <w:p>
            <w:pPr>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（提供第三方检测报告）</w:t>
            </w:r>
            <w:r/>
          </w:p>
          <w:p>
            <w:pPr>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7911-2024《热固性树脂浸渍纸高压装饰层积板（HPL）》标准，耐磨性能满足≥4级；</w:t>
            </w:r>
            <w:r/>
          </w:p>
          <w:p>
            <w:pPr>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（提供第三方测试报告）</w:t>
            </w:r>
            <w:r/>
          </w:p>
          <w:p>
            <w:pPr>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7911-2024《热固性树脂浸渍纸高压装饰层积板（HPL）》标准，质量增加率≤9%，厚度增加率≤10%；</w:t>
            </w:r>
            <w:r/>
          </w:p>
          <w:p>
            <w:pPr>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（提供第三方测试报告）</w:t>
            </w:r>
            <w:r/>
          </w:p>
        </w:tc>
      </w:tr>
      <w:tr>
        <w:trPr>
          <w:jc w:val="center"/>
          <w:trHeight w:val="1346"/>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p>
          <w:p>
            <w:pPr>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耐磨性能：参照GB/T 181022020</w:t>
            </w:r>
            <w:r>
              <w:rPr>
                <w:rFonts w:hint="eastAsia" w:ascii="宋体" w:hAnsi="宋体" w:eastAsia="宋体" w:cs="Times New Roman"/>
                <w:color w:val="000000"/>
                <w:szCs w:val="21"/>
                <w:highlight w:val="none"/>
                <w:lang w:eastAsia="zh-CN"/>
              </w:rPr>
              <w:t xml:space="preserve">的标准</w:t>
            </w:r>
            <w:r>
              <w:rPr>
                <w:rFonts w:ascii="宋体" w:hAnsi="宋体" w:eastAsia="宋体" w:cs="Times New Roman"/>
                <w:color w:val="000000"/>
                <w:szCs w:val="21"/>
                <w:highlight w:val="none"/>
              </w:rPr>
              <w:t xml:space="preserve">,使用P180粒度砂布粘在砂轮上，负载4.9N，60r/min,可以达到循环20000次，不漏底。</w:t>
            </w:r>
            <w:r/>
          </w:p>
          <w:p>
            <w:pPr>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（提供第三方检测报告）</w:t>
            </w:r>
            <w:r/>
          </w:p>
        </w:tc>
      </w:tr>
      <w:tr>
        <w:trPr>
          <w:jc w:val="center"/>
          <w:trHeight w:val="354"/>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p>
        </w:tc>
        <w:tc>
          <w:tcPr>
            <w:gridSpan w:val="2"/>
            <w:tcMar>
              <w:left w:w="-1" w:type="dxa"/>
              <w:top w:w="-1" w:type="dxa"/>
              <w:right w:w="-1" w:type="dxa"/>
              <w:bottom w:w="-1" w:type="dxa"/>
            </w:tcMar>
            <w:tcW w:w="8288" w:type="dxa"/>
            <w:vAlign w:val="center"/>
            <w:textDirection w:val="lrTb"/>
            <w:noWrap w:val="false"/>
          </w:tcPr>
          <w:p>
            <w:pPr>
              <w:ind w:left="0" w:right="0" w:firstLine="0"/>
              <w:jc w:val="left"/>
              <w:rPr>
                <w:rFonts w:ascii="宋体" w:hAnsi="宋体" w:eastAsia="宋体" w:cs="Times New Roman"/>
                <w:bCs/>
                <w:color w:val="000000"/>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车辆上装及功能部分</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 w:val="21"/>
                <w:szCs w:val="21"/>
                <w:highlight w:val="none"/>
                <w:lang w:eastAsia="zh-CN"/>
              </w:rPr>
              <w:outlineLvl w:val="0"/>
            </w:pPr>
            <w:r>
              <w:rPr>
                <w:rFonts w:ascii="宋体" w:hAnsi="宋体" w:eastAsia="宋体" w:cs="Times New Roman"/>
                <w:bCs/>
                <w:color w:val="000000"/>
                <w:szCs w:val="21"/>
                <w:highlight w:val="none"/>
              </w:rPr>
              <w:t xml:space="preserve">医用冰箱</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1、有效容积≥158L</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2、风冷，电加热补偿系统，精确微电脑控制，箱内的温度恒定控制在4±1℃范围内；</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3、上下点数字温度显示，平均温度显示，分辨率0.1℃，便于准确观察监控箱内温度；</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4、设定点可以调整校对，校对范围2℃~8℃，校对0.5增量</w:t>
            </w:r>
            <w:r>
              <w:rPr>
                <w:rFonts w:hint="eastAsia" w:ascii="宋体" w:hAnsi="宋体" w:eastAsia="宋体" w:cs="Times New Roman"/>
                <w:color w:val="000000"/>
                <w:szCs w:val="21"/>
                <w:highlight w:val="none"/>
              </w:rPr>
              <w:t xml:space="preserve">；</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安全系统：双重显示运行参数（数字显示，记录仪记录）故障报警（高低温报警、断电报警、传感器故障报警、开门报警、后备电池低电量报警）三种报警方式（声音蜂鸣报警、灯光闪烁报警、远程信号报警）内置蓄电池，断电后可持续显示箱内温度及声光报警48小时；两种安全运行程序（传感器故障安全运行程序、数字紊乱安全运行程序）</w:t>
            </w:r>
            <w:r>
              <w:rPr>
                <w:rFonts w:hint="eastAsia" w:ascii="宋体" w:hAnsi="宋体" w:eastAsia="宋体" w:cs="Times New Roman"/>
                <w:color w:val="000000"/>
                <w:szCs w:val="21"/>
                <w:highlight w:val="none"/>
              </w:rPr>
              <w:t xml:space="preserve">；</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6、全透明程序：外门防凝露技术的应用， 85%湿度无凝露，保证对箱内情况的观察；内部小门透明设计；透明真空钢化玻璃门</w:t>
            </w:r>
            <w:r>
              <w:rPr>
                <w:rFonts w:hint="eastAsia" w:ascii="宋体" w:hAnsi="宋体" w:eastAsia="宋体" w:cs="Times New Roman"/>
                <w:color w:val="000000"/>
                <w:szCs w:val="21"/>
                <w:highlight w:val="none"/>
              </w:rPr>
              <w:t xml:space="preserve">；</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7、人性化设计：自动化霜功能，适合高温高湿地区；安全门锁设计，防止随意开启；大屏幕数字温度显示，便于观察；血液分类分层存放，便于存取操作；脚轮方便使用； </w:t>
            </w:r>
            <w:r/>
          </w:p>
          <w:p>
            <w:pPr>
              <w:ind w:left="0" w:right="0" w:firstLine="0"/>
              <w:jc w:val="left"/>
              <w:spacing w:before="20"/>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★具有医疗器械注册证（提供证书扫描件加盖投标人公章）</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p>
        </w:tc>
        <w:tc>
          <w:tcPr>
            <w:tcMar>
              <w:left w:w="-1" w:type="dxa"/>
              <w:top w:w="-1" w:type="dxa"/>
              <w:right w:w="-1" w:type="dxa"/>
              <w:bottom w:w="-1" w:type="dxa"/>
            </w:tcMar>
            <w:tcW w:w="6284" w:type="dxa"/>
            <w:vAlign w:val="center"/>
            <w:textDirection w:val="lrTb"/>
            <w:noWrap w:val="false"/>
          </w:tcPr>
          <w:p>
            <w:pPr>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lang w:val="en-US" w:eastAsia="zh-CN"/>
              </w:rPr>
              <w:t xml:space="preserve">2</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p>
        </w:tc>
        <w:tc>
          <w:tcPr>
            <w:tcMar>
              <w:left w:w="-1" w:type="dxa"/>
              <w:top w:w="-1" w:type="dxa"/>
              <w:right w:w="-1" w:type="dxa"/>
              <w:bottom w:w="-1" w:type="dxa"/>
            </w:tcMar>
            <w:tcW w:w="6284" w:type="dxa"/>
            <w:vAlign w:val="center"/>
            <w:textDirection w:val="lrTb"/>
            <w:noWrap w:val="false"/>
          </w:tcPr>
          <w:p>
            <w:pPr>
              <w:jc w:val="left"/>
              <w:rPr>
                <w:rFonts w:hint="eastAsia" w:ascii="宋体" w:hAnsi="宋体" w:eastAsia="宋体" w:cs="Times New Roman"/>
                <w:b/>
                <w:bCs/>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1"/>
                <w:szCs w:val="21"/>
                <w:highlight w:val="none"/>
                <w:lang w:val="en-US" w:eastAsia="zh-CN"/>
              </w:rPr>
              <w:t xml:space="preserve">采血椅2件：</w:t>
            </w:r>
            <w:r/>
          </w:p>
          <w:p>
            <w:pPr>
              <w:jc w:val="left"/>
              <w:rPr>
                <w:rFonts w:hint="eastAsia" w:ascii="宋体" w:hAnsi="宋体" w:eastAsia="宋体" w:cs="Times New Roman"/>
                <w:b/>
                <w:bCs/>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1"/>
                <w:szCs w:val="21"/>
                <w:highlight w:val="none"/>
                <w:lang w:val="en-US" w:eastAsia="zh-CN"/>
              </w:rPr>
              <w:t xml:space="preserve">▲高铁商务座外观款式，采血椅可靠墙摆设不影响靠背躺下，不需预留空间。躺下时靠背座椅向前、向下移动，角度110-170。背部和腿部的角度电动调节。长≥160cm。宽≥80cm，高≥110cm。扶手宽≥13cm，配扶手垫，扶手垫可外展30~45度。椅背位置可自动调节，轻松选择舒适体位。自带USB充电插口。</w:t>
            </w:r>
            <w:r/>
          </w:p>
          <w:p>
            <w:pPr>
              <w:jc w:val="left"/>
              <w:rPr>
                <w:b/>
                <w:bC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1"/>
                <w:szCs w:val="21"/>
                <w:highlight w:val="none"/>
                <w:lang w:val="en-US" w:eastAsia="zh-CN"/>
              </w:rPr>
              <w:t xml:space="preserve">注：提供采血椅外观实物图及扶手垫实物图。</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color w:val="000000"/>
                <w:highlight w:val="none"/>
                <w14:ligatures w14: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ascii="宋体" w:hAnsi="宋体" w:eastAsia="宋体" w:cs="Times New Roman"/>
                <w:b/>
                <w:bCs/>
                <w:color w:val="000000"/>
                <w:highlight w:val="none"/>
              </w:rPr>
              <w:t xml:space="preserve">冰箱（柜)一台。</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p>
        </w:tc>
        <w:tc>
          <w:tcPr>
            <w:tcMar>
              <w:left w:w="-1" w:type="dxa"/>
              <w:top w:w="-1" w:type="dxa"/>
              <w:right w:w="-1" w:type="dxa"/>
              <w:bottom w:w="-1" w:type="dxa"/>
            </w:tcMar>
            <w:tcW w:w="628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光色：6000-6500K纯白，LED光通量：850lm，</w:t>
            </w:r>
            <w:r/>
          </w:p>
          <w:p>
            <w:pPr>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eastAsia="zh-CN"/>
              </w:rPr>
              <w:t xml:space="preserve">。</w:t>
            </w:r>
            <w:r/>
          </w:p>
        </w:tc>
      </w:tr>
      <w:tr>
        <w:trPr>
          <w:jc w:val="center"/>
          <w:trHeight w:val="684"/>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p>
        </w:tc>
        <w:tc>
          <w:tcPr>
            <w:tcMar>
              <w:left w:w="-1" w:type="dxa"/>
              <w:top w:w="-1" w:type="dxa"/>
              <w:right w:w="-1" w:type="dxa"/>
              <w:bottom w:w="-1" w:type="dxa"/>
            </w:tcMar>
            <w:tcW w:w="6284" w:type="dxa"/>
            <w:vAlign w:val="center"/>
            <w:textDirection w:val="lrTb"/>
            <w:noWrap w:val="false"/>
          </w:tcPr>
          <w:p>
            <w:pPr>
              <w:ind w:left="0" w:right="0" w:firstLine="0"/>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i w:val="0"/>
                <w:iCs w:val="0"/>
                <w:color w:val="000000"/>
                <w:sz w:val="21"/>
                <w:szCs w:val="21"/>
                <w:highlight w:val="none"/>
                <w:u w:val="none"/>
                <w:lang w:val="en-US" w:eastAsia="zh-CN" w:bidi="ar"/>
              </w:rPr>
              <w:t xml:space="preserve">2kW充逆变一体机，50m电缆盘（手摇式）1套， 配电箱（含漏电保护器、空气开关，插座等)。</w:t>
            </w:r>
            <w:r/>
          </w:p>
        </w:tc>
      </w:tr>
      <w:tr>
        <w:trPr>
          <w:jc w:val="center"/>
          <w:trHeight w:val="1052"/>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6.7</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p>
        </w:tc>
        <w:tc>
          <w:tcPr>
            <w:tcMar>
              <w:left w:w="-1" w:type="dxa"/>
              <w:top w:w="-1" w:type="dxa"/>
              <w:right w:w="-1" w:type="dxa"/>
              <w:bottom w:w="-1" w:type="dxa"/>
            </w:tcMar>
            <w:tcW w:w="6284" w:type="dxa"/>
            <w:vAlign w:val="center"/>
            <w:textDirection w:val="lrTb"/>
            <w:noWrap w:val="false"/>
          </w:tcPr>
          <w:p>
            <w:pPr>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rPr>
              <w:t xml:space="preserve">一、锂电池系统</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（一）磷酸铁锂动力电池组1套，具体要求如下： </w:t>
            </w:r>
            <w:r/>
          </w:p>
          <w:p>
            <w:pPr>
              <w:ind w:left="0" w:right="0" w:firstLine="0"/>
              <w:jc w:val="left"/>
              <w:rPr>
                <w:rFonts w:hint="eastAsia" w:ascii="宋体" w:hAnsi="宋体" w:eastAsia="宋体" w:cs="Arial"/>
                <w:b w:val="0"/>
                <w:bCs/>
                <w:color w:val="000000"/>
                <w:highlight w:val="none"/>
                <w:lang w:val="en-US" w:eastAsia="zh-CN"/>
              </w:rPr>
            </w:pPr>
            <w:r>
              <w:rPr>
                <w:rFonts w:hint="eastAsia" w:ascii="宋体" w:hAnsi="宋体" w:eastAsia="宋体" w:cs="Arial"/>
                <w:b w:val="0"/>
                <w:bCs/>
                <w:color w:val="000000"/>
                <w:highlight w:val="none"/>
                <w:lang w:val="en-US" w:eastAsia="zh-CN"/>
              </w:rPr>
              <w:t xml:space="preserve">▲1.电池包为动力电池包，电池类型：磷酸铁锂动力电池；电池能量密度：≥170Wh/kg。整套电池组额定存储能量：≥77kWh，放电率≥93%</w:t>
            </w:r>
            <w:r/>
          </w:p>
          <w:p>
            <w:pPr>
              <w:ind w:left="0" w:right="0" w:firstLine="0"/>
              <w:jc w:val="left"/>
              <w:rPr>
                <w:rFonts w:hint="eastAsia" w:ascii="宋体" w:hAnsi="宋体" w:eastAsia="宋体" w:cs="Arial"/>
                <w:b w:val="0"/>
                <w:bCs/>
                <w:color w:val="000000"/>
                <w:highlight w:val="none"/>
                <w:lang w:val="en-US" w:eastAsia="zh-CN"/>
              </w:rPr>
            </w:pPr>
            <w:r>
              <w:rPr>
                <w:rFonts w:hint="eastAsia" w:ascii="宋体" w:hAnsi="宋体" w:eastAsia="宋体" w:cs="Arial"/>
                <w:b w:val="0"/>
                <w:bCs/>
                <w:color w:val="000000"/>
                <w:highlight w:val="none"/>
                <w:lang w:val="en-US" w:eastAsia="zh-CN"/>
              </w:rPr>
              <w:t xml:space="preserve">（提供第三方机构出具的符合GB38032-2020和GB38031-2020、中机函[2017]2号强检报告）</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2.存储环境温度：-35～65℃，长期存储温度控制在35℃以下。</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3.工作温度：电池系统：-35～65℃；电芯充电：0～65℃；电芯放电：-35～65℃。</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4.工作环境相对湿度：≤90%。</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5.额定容量：≥200Ah。</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6.标称电压：≥386.4V。</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7.工作电压范围：240～456V。</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8.出货状态SOC：≥40%。</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9.热管理方式：自然冷却，加热膜加热。</w:t>
            </w:r>
            <w:r/>
          </w:p>
          <w:p>
            <w:pPr>
              <w:ind w:left="0" w:right="0" w:firstLine="0"/>
              <w:jc w:val="left"/>
              <w:rPr>
                <w:rFonts w:hint="eastAsia" w:ascii="宋体" w:hAnsi="宋体" w:eastAsia="宋体" w:cs="Arial"/>
                <w:b w:val="0"/>
                <w:bCs/>
                <w:color w:val="000000"/>
                <w:highlight w:val="none"/>
                <w:lang w:val="en-US" w:eastAsia="zh-CN"/>
              </w:rPr>
            </w:pPr>
            <w:r>
              <w:rPr>
                <w:rFonts w:hint="eastAsia" w:ascii="宋体" w:hAnsi="宋体" w:eastAsia="宋体" w:cs="Arial"/>
                <w:b w:val="0"/>
                <w:bCs/>
                <w:color w:val="000000"/>
                <w:highlight w:val="none"/>
                <w:lang w:val="en-US" w:eastAsia="zh-CN"/>
              </w:rPr>
              <w:t xml:space="preserve">▲10.电芯，须提供含低温放电、高温放电、耐振动</w:t>
            </w:r>
            <w:r/>
          </w:p>
          <w:p>
            <w:pPr>
              <w:ind w:left="0" w:right="0" w:firstLine="0"/>
              <w:jc w:val="left"/>
              <w:rPr>
                <w:rFonts w:hint="eastAsia" w:ascii="宋体" w:hAnsi="宋体" w:eastAsia="宋体" w:cs="Arial"/>
                <w:b w:val="0"/>
                <w:bCs/>
                <w:color w:val="000000"/>
                <w:highlight w:val="none"/>
                <w:lang w:val="en-US" w:eastAsia="zh-CN"/>
              </w:rPr>
            </w:pPr>
            <w:r>
              <w:rPr>
                <w:rFonts w:hint="eastAsia" w:ascii="宋体" w:hAnsi="宋体" w:eastAsia="宋体" w:cs="Arial"/>
                <w:b w:val="0"/>
                <w:bCs/>
                <w:color w:val="000000"/>
                <w:highlight w:val="none"/>
                <w:lang w:val="en-US" w:eastAsia="zh-CN"/>
              </w:rPr>
              <w:t xml:space="preserve">提供第三方机构出具的符合GB/T31486-2024、GB38031-2020检测报告</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11.电池电芯与电池管理系统为同一企业生产（须提供电池包国家GB 38032-2020和GB 38031-2020强检报告）；</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12.SOC工作范围: 0%～100%。</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13.BOL最大持续充电电流:≥250A；BOL最大持续放电电流:≥250 A；BOL短时峰值放电电流:≥400A（30s）；BOL短时峰值回充电流:≥400A（30s）。</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14.自放电率/月: ≤5%。</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15.绝缘要求: ≥8MΩ。</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16.IP防护等级: 样品防护等级不低于 IP6X、IPX8</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提供第三方机构出具符合GB/T4208-2017的检测报告。</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17.系统总质量: ≤800 kg。</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18.电源系统应设有泄压和透气装置，泄压压力≥50 kPa。</w:t>
            </w:r>
            <w:r/>
          </w:p>
          <w:p>
            <w:pPr>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19.电池组须提供完善的检修通道和安全熔断装置，热事故发生后，至少有240秒以上的逃生时间</w:t>
            </w:r>
            <w:r>
              <w:rPr>
                <w:rFonts w:hint="eastAsia" w:ascii="宋体" w:hAnsi="宋体" w:eastAsia="宋体" w:cs="Arial"/>
                <w:b w:val="0"/>
                <w:bCs/>
                <w:color w:val="000000"/>
                <w:highlight w:val="none"/>
                <w:lang w:eastAsia="zh-CN"/>
              </w:rPr>
              <w:t xml:space="preserve">；</w:t>
            </w:r>
            <w:r/>
          </w:p>
          <w:p>
            <w:pPr>
              <w:ind w:left="0" w:right="0" w:firstLine="0"/>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（提供第三方机构出具符合GB38032-2020的检测报告）</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20.电池应具有智能均衡系统，自带故障诊断反馈功能。</w:t>
            </w:r>
            <w:r/>
          </w:p>
          <w:p>
            <w:pPr>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Arial"/>
                <w:b w:val="0"/>
                <w:bCs/>
                <w:color w:val="000000"/>
                <w:highlight w:val="none"/>
                <w:lang w:eastAsia="zh-CN"/>
              </w:rPr>
              <w:t xml:space="preserve">；</w:t>
            </w:r>
            <w:r/>
          </w:p>
          <w:p>
            <w:pPr>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（提供第三方机构出具符合GB/T31486-2024的检测报告）</w:t>
            </w:r>
            <w:r/>
          </w:p>
          <w:p>
            <w:pPr>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二</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、逆变器1套，具体要求如下：</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额定输出功率：≥15KW；输出电压：220V AC；；具有过温、过载、输出短路、过电流、过电压、欠电压、工作时负载突变等即时停机保护功能。</w:t>
            </w:r>
            <w:r/>
          </w:p>
          <w:p>
            <w:pPr>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三</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、车载充电机1套，具体要求如下：</w:t>
            </w:r>
            <w:r/>
          </w:p>
          <w:p>
            <w:pPr>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额定输出功率：≥20KW；最大充电电流30A；接入电压380V AC；。   </w:t>
            </w:r>
            <w:r/>
          </w:p>
          <w:p>
            <w:pPr>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四</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、锂电池充电要求：</w:t>
            </w:r>
            <w:r/>
          </w:p>
          <w:p>
            <w:pPr>
              <w:ind w:left="0" w:right="0" w:firstLine="0"/>
              <w:jc w:val="left"/>
              <w:rPr>
                <w:rFonts w:ascii="宋体" w:hAnsi="宋体" w:eastAsia="宋体" w:cs="Times New Roman"/>
                <w:color w:val="000000"/>
                <w:szCs w:val="21"/>
                <w:highlight w:val="none"/>
              </w:rPr>
            </w:pPr>
            <w:r>
              <w:rPr>
                <w:rFonts w:hint="eastAsia" w:ascii="宋体" w:hAnsi="宋体" w:eastAsia="宋体" w:cs="Arial"/>
                <w:b w:val="0"/>
                <w:bCs/>
                <w:color w:val="000000"/>
                <w:highlight w:val="none"/>
              </w:rPr>
              <w:t xml:space="preserve">配备交流充电插座及充电枪各1套，在血站指定地方安装充电配套设备,充电枪配线不小于15米；安装不锈钢柜，用于收纳充电枪、电线等；锂电池室仓门上设计充电开口，给锂电池充电时无需打开仓门。</w:t>
            </w:r>
            <w:r/>
          </w:p>
        </w:tc>
      </w:tr>
      <w:tr>
        <w:trPr>
          <w:jc w:val="center"/>
          <w:trHeight w:val="3699"/>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6.8</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采血称4台</w:t>
            </w:r>
            <w:r/>
          </w:p>
        </w:tc>
        <w:tc>
          <w:tcPr>
            <w:tcMar>
              <w:left w:w="-1" w:type="dxa"/>
              <w:top w:w="-1" w:type="dxa"/>
              <w:right w:w="-1" w:type="dxa"/>
              <w:bottom w:w="-1" w:type="dxa"/>
            </w:tcMar>
            <w:tcW w:w="6284" w:type="dxa"/>
            <w:vAlign w:val="center"/>
            <w:textDirection w:val="lrTb"/>
            <w:noWrap w:val="false"/>
          </w:tcPr>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p>
          <w:p>
            <w:pPr>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p>
          <w:p>
            <w:pPr>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p>
          <w:p>
            <w:pPr>
              <w:jc w:val="lef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6.9</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热合机1台</w:t>
            </w:r>
            <w:r/>
          </w:p>
        </w:tc>
        <w:tc>
          <w:tcPr>
            <w:tcMar>
              <w:left w:w="-1" w:type="dxa"/>
              <w:top w:w="-1" w:type="dxa"/>
              <w:right w:w="-1" w:type="dxa"/>
              <w:bottom w:w="-1" w:type="dxa"/>
            </w:tcMar>
            <w:tcW w:w="6284" w:type="dxa"/>
            <w:vAlign w:val="center"/>
            <w:textDirection w:val="lrTb"/>
            <w:noWrap w:val="false"/>
          </w:tcPr>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p>
          <w:p>
            <w:pPr>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p>
          <w:p>
            <w:pPr>
              <w:numPr>
                <w:ilvl w:val="0"/>
                <w:numId w:val="7"/>
              </w:numPr>
              <w:contextualSpacing/>
              <w:ind w:left="420" w:hanging="420"/>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p>
        </w:tc>
      </w:tr>
      <w:tr>
        <w:trPr>
          <w:jc w:val="center"/>
          <w:trHeight w:val="343"/>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6.10</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离心机1台</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p>
          <w:p>
            <w:pPr>
              <w:jc w:val="left"/>
              <w:rPr>
                <w:rFonts w:hint="eastAsia" w:ascii="宋体" w:hAnsi="宋体" w:eastAsia="宋体" w:cs="宋体"/>
                <w:color w:val="000000"/>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p>
        </w:tc>
      </w:tr>
      <w:tr>
        <w:trPr>
          <w:jc w:val="center"/>
          <w:trHeight w:val="766"/>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6.11</w:t>
            </w:r>
            <w:r/>
          </w:p>
        </w:tc>
        <w:tc>
          <w:tcPr>
            <w:tcMar>
              <w:left w:w="-1" w:type="dxa"/>
              <w:top w:w="-1" w:type="dxa"/>
              <w:right w:w="-1" w:type="dxa"/>
              <w:bottom w:w="-1" w:type="dxa"/>
            </w:tcMar>
            <w:tcW w:w="2004" w:type="dxa"/>
            <w:vAlign w:val="center"/>
            <w:textDirection w:val="lrTb"/>
            <w:noWrap w:val="false"/>
          </w:tcPr>
          <w:p>
            <w:pPr>
              <w:ind w:left="0" w:right="0" w:firstLine="0"/>
              <w:jc w:val="left"/>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采血综合工作站2套</w:t>
            </w:r>
            <w:r/>
          </w:p>
        </w:tc>
        <w:tc>
          <w:tcPr>
            <w:tcMar>
              <w:left w:w="-1" w:type="dxa"/>
              <w:top w:w="-1" w:type="dxa"/>
              <w:right w:w="-1" w:type="dxa"/>
              <w:bottom w:w="-1" w:type="dxa"/>
            </w:tcMar>
            <w:tcW w:w="6284" w:type="dxa"/>
            <w:vAlign w:val="center"/>
            <w:textDirection w:val="lrTb"/>
            <w:noWrap w:val="false"/>
          </w:tcPr>
          <w:p>
            <w:pPr>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p>
          <w:p>
            <w:p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p>
          <w:p>
            <w:pPr>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6.12</w:t>
            </w:r>
            <w:r/>
          </w:p>
        </w:tc>
        <w:tc>
          <w:tcPr>
            <w:tcMar>
              <w:left w:w="-1" w:type="dxa"/>
              <w:top w:w="-1" w:type="dxa"/>
              <w:right w:w="-1" w:type="dxa"/>
              <w:bottom w:w="-1" w:type="dxa"/>
            </w:tcMar>
            <w:tcW w:w="2004" w:type="dxa"/>
            <w:vAlign w:val="center"/>
            <w:textDirection w:val="lrTb"/>
            <w:noWrap w:val="false"/>
          </w:tcPr>
          <w:p>
            <w:pPr>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二代身份证采集系统1套</w:t>
            </w:r>
            <w:r/>
          </w:p>
        </w:tc>
        <w:tc>
          <w:tcPr>
            <w:tcMar>
              <w:left w:w="-1" w:type="dxa"/>
              <w:top w:w="-1" w:type="dxa"/>
              <w:right w:w="-1" w:type="dxa"/>
              <w:bottom w:w="-1" w:type="dxa"/>
            </w:tcMar>
            <w:tcW w:w="6284" w:type="dxa"/>
            <w:vAlign w:val="center"/>
            <w:textDirection w:val="lrTb"/>
            <w:noWrap w:val="false"/>
          </w:tcPr>
          <w:p>
            <w:pPr>
              <w:numPr>
                <w:ilvl w:val="0"/>
                <w:numId w:val="0"/>
              </w:numPr>
              <w:ind w:left="0" w:firstLine="0"/>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可读取、查询第二代居民身份证全部信息,可验证第二代居民身份证真伪。</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6.13</w:t>
            </w:r>
            <w:r/>
          </w:p>
        </w:tc>
        <w:tc>
          <w:tcPr>
            <w:tcMar>
              <w:left w:w="-1" w:type="dxa"/>
              <w:top w:w="-1" w:type="dxa"/>
              <w:right w:w="-1" w:type="dxa"/>
              <w:bottom w:w="-1" w:type="dxa"/>
            </w:tcMar>
            <w:tcW w:w="2004" w:type="dxa"/>
            <w:vAlign w:val="center"/>
            <w:textDirection w:val="lrTb"/>
            <w:noWrap w:val="false"/>
          </w:tcPr>
          <w:p>
            <w:pPr>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血液信息核对器8套</w:t>
            </w:r>
            <w:r/>
          </w:p>
        </w:tc>
        <w:tc>
          <w:tcPr>
            <w:tcMar>
              <w:left w:w="-1" w:type="dxa"/>
              <w:top w:w="-1" w:type="dxa"/>
              <w:right w:w="-1" w:type="dxa"/>
              <w:bottom w:w="-1" w:type="dxa"/>
            </w:tcMar>
            <w:tcW w:w="6284" w:type="dxa"/>
            <w:vAlign w:val="center"/>
            <w:textDirection w:val="lrTb"/>
            <w:noWrap w:val="false"/>
          </w:tcPr>
          <w:p>
            <w:pPr>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血液信息核对器具备有采血登记、四码智能核对、数据实时上传等强大功能。</w:t>
            </w:r>
            <w:r/>
          </w:p>
          <w:p>
            <w:pPr>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p>
        </w:tc>
      </w:tr>
      <w:tr>
        <w:trPr>
          <w:jc w:val="center"/>
          <w:trHeight w:val="99"/>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p>
        </w:tc>
        <w:tc>
          <w:tcPr>
            <w:tcMar>
              <w:left w:w="-1" w:type="dxa"/>
              <w:top w:w="-1" w:type="dxa"/>
              <w:right w:w="-1" w:type="dxa"/>
              <w:bottom w:w="-1" w:type="dxa"/>
            </w:tcMar>
            <w:tcW w:w="6284" w:type="dxa"/>
            <w:vAlign w:val="center"/>
            <w:textDirection w:val="lrTb"/>
            <w:noWrap w:val="false"/>
          </w:tcPr>
          <w:p>
            <w:pPr>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p>
          <w:p>
            <w:pPr>
              <w:jc w:val="left"/>
              <w:rPr>
                <w:rFonts w:ascii="宋体" w:hAnsi="宋体" w:eastAsia="宋体" w:cs="方正小标宋_GBK"/>
                <w:b w:val="0"/>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p>
        </w:tc>
      </w:tr>
      <w:tr>
        <w:trPr>
          <w:jc w:val="center"/>
          <w:trHeight w:val="966"/>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焊接质量要求</w:t>
            </w:r>
            <w:r/>
          </w:p>
        </w:tc>
        <w:tc>
          <w:tcPr>
            <w:tcMar>
              <w:left w:w="-1" w:type="dxa"/>
              <w:top w:w="-1" w:type="dxa"/>
              <w:right w:w="-1" w:type="dxa"/>
              <w:bottom w:w="-1" w:type="dxa"/>
            </w:tcMar>
            <w:tcW w:w="6284" w:type="dxa"/>
            <w:vAlign w:val="center"/>
            <w:textDirection w:val="lrTb"/>
            <w:noWrap w:val="false"/>
          </w:tcPr>
          <w:p>
            <w:pPr>
              <w:jc w:val="left"/>
              <w:widowControl w:val="off"/>
              <w:rPr>
                <w:rFonts w:ascii="宋体" w:hAnsi="宋体" w:eastAsia="宋体" w:cs="方正小标宋_GBK"/>
                <w:b w:val="0"/>
                <w:bCs/>
                <w:color w:val="000000"/>
                <w:sz w:val="21"/>
                <w:szCs w:val="21"/>
                <w:highlight w:val="none"/>
                <w:lang w:val="en-US" w:eastAsia="zh-CN" w:bidi="ar-SA"/>
              </w:rPr>
            </w:pPr>
            <w:r>
              <w:rPr>
                <w:rFonts w:ascii="宋体" w:hAnsi="宋体" w:eastAsia="宋体" w:cs="方正小标宋_GBK"/>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p>
        </w:tc>
      </w:tr>
      <w:tr>
        <w:trPr>
          <w:jc w:val="center"/>
          <w:trHeight w:val="4353"/>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p>
        </w:tc>
        <w:tc>
          <w:tcPr>
            <w:tcMar>
              <w:left w:w="-1" w:type="dxa"/>
              <w:top w:w="-1" w:type="dxa"/>
              <w:right w:w="-1" w:type="dxa"/>
              <w:bottom w:w="-1" w:type="dxa"/>
            </w:tcMar>
            <w:tcW w:w="6284" w:type="dxa"/>
            <w:vAlign w:val="center"/>
            <w:textDirection w:val="lrTb"/>
            <w:noWrap w:val="false"/>
          </w:tcPr>
          <w:p>
            <w:p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绕（10mm，0.5kg，3圈）--卷绕后耐压（3%NaCl盐水中浸渍10min后，1kV，1min），</w:t>
            </w:r>
            <w:r>
              <w:rPr>
                <w:rFonts w:ascii="宋体" w:hAnsi="宋体" w:eastAsia="宋体" w:cs="Times New Roman"/>
                <w:bCs/>
                <w:color w:val="000000"/>
                <w:sz w:val="21"/>
                <w:szCs w:val="21"/>
                <w:highlight w:val="none"/>
                <w:lang w:val="en-US" w:eastAsia="zh-CN" w:bidi="ar-SA"/>
              </w:rPr>
              <w:t xml:space="preserve">按照按照GB/T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p>
          <w:p>
            <w:pPr>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w:t>
            </w:r>
            <w:r>
              <w:rPr>
                <w:rFonts w:hint="eastAsia" w:ascii="宋体" w:hAnsi="宋体" w:eastAsia="宋体" w:cs="Times New Roman"/>
                <w:bCs/>
                <w:color w:val="000000"/>
                <w:sz w:val="21"/>
                <w:szCs w:val="21"/>
                <w:highlight w:val="none"/>
                <w:lang w:val="en-US" w:eastAsia="zh-CN" w:bidi="ar-SA"/>
              </w:rPr>
              <w:t xml:space="preserve">GB/T 2408-2021</w:t>
            </w:r>
            <w:r>
              <w:rPr>
                <w:rFonts w:ascii="宋体" w:hAnsi="宋体" w:eastAsia="宋体" w:cs="Times New Roman"/>
                <w:bCs/>
                <w:color w:val="000000"/>
                <w:sz w:val="21"/>
                <w:szCs w:val="21"/>
                <w:highlight w:val="none"/>
                <w:lang w:val="en-US" w:eastAsia="zh-CN" w:bidi="ar-SA"/>
              </w:rPr>
              <w:t xml:space="preserve">中的HB级和V-0级。</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（提供第三方机构出具检测报告扫描件）</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w:t>
            </w:r>
            <w:r>
              <w:rPr>
                <w:rFonts w:hint="eastAsia" w:ascii="宋体" w:hAnsi="宋体" w:eastAsia="宋体" w:cs="Times New Roman"/>
                <w:bCs/>
                <w:color w:val="000000"/>
                <w:sz w:val="21"/>
                <w:szCs w:val="21"/>
                <w:highlight w:val="none"/>
                <w:lang w:val="en-US" w:eastAsia="zh-CN" w:bidi="ar-SA"/>
              </w:rPr>
              <w:t xml:space="preserve">等级</w:t>
            </w:r>
            <w:r>
              <w:rPr>
                <w:rFonts w:ascii="宋体" w:hAnsi="宋体" w:eastAsia="宋体" w:cs="Times New Roman"/>
                <w:bCs/>
                <w:color w:val="000000"/>
                <w:sz w:val="21"/>
                <w:szCs w:val="21"/>
                <w:highlight w:val="none"/>
                <w:lang w:val="en-US" w:eastAsia="zh-CN" w:bidi="ar-SA"/>
              </w:rPr>
              <w:t xml:space="preserve">≤3。</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p>
        </w:tc>
        <w:tc>
          <w:tcPr>
            <w:tcMar>
              <w:left w:w="-1" w:type="dxa"/>
              <w:top w:w="-1" w:type="dxa"/>
              <w:right w:w="-1" w:type="dxa"/>
              <w:bottom w:w="-1" w:type="dxa"/>
            </w:tcMar>
            <w:tcW w:w="2004" w:type="dxa"/>
            <w:vAlign w:val="center"/>
            <w:textDirection w:val="lrTb"/>
            <w:noWrap w:val="false"/>
          </w:tcPr>
          <w:p>
            <w:pPr>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整车图案要求</w:t>
            </w:r>
            <w:r/>
          </w:p>
        </w:tc>
        <w:tc>
          <w:tcPr>
            <w:tcMar>
              <w:left w:w="-1" w:type="dxa"/>
              <w:top w:w="-1" w:type="dxa"/>
              <w:right w:w="-1" w:type="dxa"/>
              <w:bottom w:w="-1" w:type="dxa"/>
            </w:tcMar>
            <w:tcW w:w="6284" w:type="dxa"/>
            <w:vAlign w:val="center"/>
            <w:textDirection w:val="lrTb"/>
            <w:noWrap w:val="false"/>
          </w:tcPr>
          <w:p>
            <w:pPr>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p>
          <w:p>
            <w:pPr>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p>
          <w:p>
            <w:pPr>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r>
              <w:rPr>
                <w:rFonts w:hint="eastAsia" w:ascii="Times New Roman" w:eastAsia="宋体" w:cs="Times New Roman"/>
                <w:color w:val="000000"/>
                <w:highlight w:val="none"/>
                <w:lang w:val="en-US" w:eastAsia="zh-CN"/>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p>
          <w:p>
            <w:pPr>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p>
        </w:tc>
      </w:tr>
      <w:tr>
        <w:trPr>
          <w:jc w:val="center"/>
          <w:trHeight w:val="90"/>
        </w:trPr>
        <w:tc>
          <w:tcPr>
            <w:tcMar>
              <w:left w:w="-1" w:type="dxa"/>
              <w:top w:w="-1" w:type="dxa"/>
              <w:right w:w="-1" w:type="dxa"/>
              <w:bottom w:w="-1" w:type="dxa"/>
            </w:tcMar>
            <w:tcW w:w="791" w:type="dxa"/>
            <w:vAlign w:val="center"/>
            <w:textDirection w:val="lrTb"/>
            <w:noWrap w:val="false"/>
          </w:tcPr>
          <w:p>
            <w:pPr>
              <w:ind w:left="0" w:right="0" w:firstLine="0"/>
              <w:jc w:val="center"/>
              <w:rPr>
                <w:rFonts w:hint="default" w:ascii="宋体" w:hAnsi="宋体" w:eastAsia="宋体" w:cs="Times New Roman"/>
                <w:color w:val="000000"/>
                <w:szCs w:val="21"/>
                <w:highlight w:val="none"/>
                <w:lang w:val="en-US" w:eastAsia="zh-CN"/>
              </w:rPr>
            </w:pPr>
            <w:r>
              <w:rPr>
                <w:rFonts w:hint="eastAsia" w:ascii="宋体" w:hAnsi="宋体" w:cs="Times New Roman"/>
                <w:color w:val="000000"/>
                <w:szCs w:val="21"/>
                <w:highlight w:val="none"/>
                <w:lang w:val="en-US" w:eastAsia="zh-CN"/>
              </w:rPr>
              <w:t xml:space="preserve">11</w:t>
            </w:r>
            <w:r/>
          </w:p>
        </w:tc>
        <w:tc>
          <w:tcPr>
            <w:tcMar>
              <w:left w:w="-1" w:type="dxa"/>
              <w:top w:w="-1" w:type="dxa"/>
              <w:right w:w="-1" w:type="dxa"/>
              <w:bottom w:w="-1" w:type="dxa"/>
            </w:tcMar>
            <w:tcW w:w="2004" w:type="dxa"/>
            <w:vAlign w:val="center"/>
            <w:textDirection w:val="lrTb"/>
            <w:noWrap w:val="false"/>
          </w:tcPr>
          <w:p>
            <w:pPr>
              <w:numPr>
                <w:ilvl w:val="0"/>
                <w:numId w:val="0"/>
              </w:numPr>
              <w:ind w:left="0"/>
              <w:jc w:val="left"/>
              <w:widowControl w:val="off"/>
              <w:rPr>
                <w:rFonts w:hint="default"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自动体外除颤仪一台</w:t>
            </w:r>
            <w:r/>
          </w:p>
        </w:tc>
        <w:tc>
          <w:tcPr>
            <w:tcMar>
              <w:left w:w="-1" w:type="dxa"/>
              <w:top w:w="-1" w:type="dxa"/>
              <w:right w:w="-1" w:type="dxa"/>
              <w:bottom w:w="-1" w:type="dxa"/>
            </w:tcMar>
            <w:tcW w:w="6284" w:type="dxa"/>
            <w:vAlign w:val="center"/>
            <w:textDirection w:val="lrTb"/>
            <w:noWrap w:val="false"/>
          </w:tcPr>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（一）物理功能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t xml:space="preserve">整机重量（含电池、电极片）≤2.5Kg。</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设备主机具备与机器一体化的提手，携带便捷。</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设备运行条件：温度-5℃-+50℃（从室温环境进入到-20℃环境后，至少能工作60分钟）。</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4.</w:t>
            </w:r>
            <w:r>
              <w:rPr>
                <w:rFonts w:hint="eastAsia" w:ascii="宋体" w:hAnsi="宋体" w:eastAsia="宋体" w:cs="Times New Roman"/>
                <w:bCs/>
                <w:color w:val="000000"/>
                <w:sz w:val="21"/>
                <w:szCs w:val="21"/>
                <w:highlight w:val="none"/>
                <w:lang w:val="en-US" w:eastAsia="zh-CN" w:bidi="ar-SA"/>
              </w:rPr>
              <w:t xml:space="preserve">湿度5%-95%相对湿度，无冷凝。</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5.</w:t>
            </w:r>
            <w:r>
              <w:rPr>
                <w:rFonts w:hint="eastAsia" w:ascii="宋体" w:hAnsi="宋体" w:eastAsia="宋体" w:cs="Times New Roman"/>
                <w:bCs/>
                <w:color w:val="000000"/>
                <w:sz w:val="21"/>
                <w:szCs w:val="21"/>
                <w:highlight w:val="none"/>
                <w:lang w:val="en-US" w:eastAsia="zh-CN" w:bidi="ar-SA"/>
              </w:rPr>
              <w:t xml:space="preserve">设备具有机盖保护装置，待机时除颤电极片位于机盖内。</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6.</w:t>
            </w:r>
            <w:r>
              <w:rPr>
                <w:rFonts w:hint="eastAsia" w:ascii="宋体" w:hAnsi="宋体" w:eastAsia="宋体" w:cs="Times New Roman"/>
                <w:bCs/>
                <w:color w:val="000000"/>
                <w:sz w:val="21"/>
                <w:szCs w:val="21"/>
                <w:highlight w:val="none"/>
                <w:lang w:val="en-US" w:eastAsia="zh-CN" w:bidi="ar-SA"/>
              </w:rPr>
              <w:t xml:space="preserve">设备具有屏幕，屏幕尺寸≥7英寸，可以显示动画指导施救者操作。</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7.</w:t>
            </w:r>
            <w:r>
              <w:rPr>
                <w:rFonts w:hint="eastAsia" w:ascii="宋体" w:hAnsi="宋体" w:eastAsia="宋体" w:cs="Times New Roman"/>
                <w:bCs/>
                <w:color w:val="000000"/>
                <w:sz w:val="21"/>
                <w:szCs w:val="21"/>
                <w:highlight w:val="none"/>
                <w:lang w:val="en-US" w:eastAsia="zh-CN" w:bidi="ar-SA"/>
              </w:rPr>
              <w:t xml:space="preserve">从任何不低于1.6米高的位置意外跌落仍可正常使用。</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8.</w:t>
            </w:r>
            <w:r>
              <w:rPr>
                <w:rFonts w:hint="eastAsia" w:ascii="宋体" w:hAnsi="宋体" w:eastAsia="宋体" w:cs="Times New Roman"/>
                <w:bCs/>
                <w:color w:val="000000"/>
                <w:sz w:val="21"/>
                <w:szCs w:val="21"/>
                <w:highlight w:val="none"/>
                <w:lang w:val="en-US" w:eastAsia="zh-CN" w:bidi="ar-SA"/>
              </w:rPr>
              <w:t xml:space="preserve">设备防尘防水级别：系统具有防尘防水设计, 级别应不低于IP65。</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9.</w:t>
            </w:r>
            <w:r>
              <w:rPr>
                <w:rFonts w:hint="eastAsia" w:ascii="宋体" w:hAnsi="宋体" w:eastAsia="宋体" w:cs="Times New Roman"/>
                <w:bCs/>
                <w:color w:val="000000"/>
                <w:sz w:val="21"/>
                <w:szCs w:val="21"/>
                <w:highlight w:val="none"/>
                <w:lang w:val="en-US" w:eastAsia="zh-CN" w:bidi="ar-SA"/>
              </w:rPr>
              <w:t xml:space="preserve">具备音量自动调节，适应吵杂环境。</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10.</w:t>
            </w:r>
            <w:r>
              <w:rPr>
                <w:rFonts w:hint="eastAsia" w:ascii="宋体" w:hAnsi="宋体" w:eastAsia="宋体" w:cs="Times New Roman"/>
                <w:bCs/>
                <w:color w:val="000000"/>
                <w:sz w:val="21"/>
                <w:szCs w:val="21"/>
                <w:highlight w:val="none"/>
                <w:lang w:val="en-US" w:eastAsia="zh-CN" w:bidi="ar-SA"/>
              </w:rPr>
              <w:t xml:space="preserve">具备屏幕亮度自动调节，适应不同环境。</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11.</w:t>
            </w:r>
            <w:r>
              <w:rPr>
                <w:rFonts w:hint="eastAsia" w:ascii="宋体" w:hAnsi="宋体" w:eastAsia="宋体" w:cs="Times New Roman"/>
                <w:bCs/>
                <w:color w:val="000000"/>
                <w:sz w:val="21"/>
                <w:szCs w:val="21"/>
                <w:highlight w:val="none"/>
                <w:lang w:val="en-US" w:eastAsia="zh-CN" w:bidi="ar-SA"/>
              </w:rPr>
              <w:t xml:space="preserve">设备上需要有明显的使用年限铭牌标志，使用寿命：10年（铭牌需出厂自带）。</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（二）操作面板</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12.</w:t>
            </w:r>
            <w:r>
              <w:rPr>
                <w:rFonts w:hint="eastAsia" w:ascii="宋体" w:hAnsi="宋体" w:eastAsia="宋体" w:cs="Times New Roman"/>
                <w:bCs/>
                <w:color w:val="000000"/>
                <w:sz w:val="21"/>
                <w:szCs w:val="21"/>
                <w:highlight w:val="none"/>
                <w:lang w:val="en-US" w:eastAsia="zh-CN" w:bidi="ar-SA"/>
              </w:rPr>
              <w:t xml:space="preserve">语音提示：标配中文语言，指导操作流程与心肺复苏，可实现一键切换。</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13.</w:t>
            </w:r>
            <w:r>
              <w:rPr>
                <w:rFonts w:hint="eastAsia" w:ascii="宋体" w:hAnsi="宋体" w:eastAsia="宋体" w:cs="Times New Roman"/>
                <w:bCs/>
                <w:color w:val="000000"/>
                <w:sz w:val="21"/>
                <w:szCs w:val="21"/>
                <w:highlight w:val="none"/>
                <w:lang w:val="en-US" w:eastAsia="zh-CN" w:bidi="ar-SA"/>
              </w:rPr>
              <w:t xml:space="preserve">具有成人/儿童一键切换功能。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（三）除颤功能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14.</w:t>
            </w:r>
            <w:r>
              <w:rPr>
                <w:rFonts w:hint="eastAsia" w:ascii="宋体" w:hAnsi="宋体" w:eastAsia="宋体" w:cs="Times New Roman"/>
                <w:bCs/>
                <w:color w:val="000000"/>
                <w:sz w:val="21"/>
                <w:szCs w:val="21"/>
                <w:highlight w:val="none"/>
                <w:lang w:val="en-US" w:eastAsia="zh-CN" w:bidi="ar-SA"/>
              </w:rPr>
              <w:t xml:space="preserve">除颤脉冲形式：采用双相波除颤技术，成人除颤能量最高可达360焦耳，儿童除颤能量最大可达100焦耳。</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15.</w:t>
            </w:r>
            <w:r>
              <w:rPr>
                <w:rFonts w:hint="eastAsia" w:ascii="宋体" w:hAnsi="宋体" w:eastAsia="宋体" w:cs="Times New Roman"/>
                <w:bCs/>
                <w:color w:val="000000"/>
                <w:sz w:val="21"/>
                <w:szCs w:val="21"/>
                <w:highlight w:val="none"/>
                <w:lang w:val="en-US" w:eastAsia="zh-CN" w:bidi="ar-SA"/>
              </w:rPr>
              <w:t xml:space="preserve">成人模式下，首次电击没有消除室颤时，第二次和第三次电击分别会自动提供更高级别能量，第三次后的后续电击维持最大能量。</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16.</w:t>
            </w:r>
            <w:r>
              <w:rPr>
                <w:rFonts w:hint="eastAsia" w:ascii="宋体" w:hAnsi="宋体" w:eastAsia="宋体" w:cs="Times New Roman"/>
                <w:bCs/>
                <w:color w:val="000000"/>
                <w:sz w:val="21"/>
                <w:szCs w:val="21"/>
                <w:highlight w:val="none"/>
                <w:lang w:val="en-US" w:eastAsia="zh-CN" w:bidi="ar-SA"/>
              </w:rPr>
              <w:t xml:space="preserve">儿童模式下，首次电击没有消除室颤时，第二次和第三次电击分别会自动提供更高级别能量，第三次后的后续电击维持最大能量。</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17.</w:t>
            </w:r>
            <w:r>
              <w:rPr>
                <w:rFonts w:hint="eastAsia" w:ascii="宋体" w:hAnsi="宋体" w:eastAsia="宋体" w:cs="Times New Roman"/>
                <w:bCs/>
                <w:color w:val="000000"/>
                <w:sz w:val="21"/>
                <w:szCs w:val="21"/>
                <w:highlight w:val="none"/>
                <w:lang w:val="en-US" w:eastAsia="zh-CN" w:bidi="ar-SA"/>
              </w:rPr>
              <w:t xml:space="preserve">开机到200J放电准备就绪时间≤7秒。</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（四）心律分析</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18.</w:t>
            </w:r>
            <w:r>
              <w:rPr>
                <w:rFonts w:hint="eastAsia" w:ascii="宋体" w:hAnsi="宋体" w:eastAsia="宋体" w:cs="Times New Roman"/>
                <w:bCs/>
                <w:color w:val="000000"/>
                <w:sz w:val="21"/>
                <w:szCs w:val="21"/>
                <w:highlight w:val="none"/>
                <w:lang w:val="en-US" w:eastAsia="zh-CN" w:bidi="ar-SA"/>
              </w:rPr>
              <w:t xml:space="preserve">心律识别系统数据库至少包含6种数据库。</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19.</w:t>
            </w:r>
            <w:r>
              <w:rPr>
                <w:rFonts w:hint="eastAsia" w:ascii="宋体" w:hAnsi="宋体" w:eastAsia="宋体" w:cs="Times New Roman"/>
                <w:bCs/>
                <w:color w:val="000000"/>
                <w:sz w:val="21"/>
                <w:szCs w:val="21"/>
                <w:highlight w:val="none"/>
                <w:lang w:val="en-US" w:eastAsia="zh-CN" w:bidi="ar-SA"/>
              </w:rPr>
              <w:t xml:space="preserve">分析充电时间：分析充电到200J≤5秒。</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（五）电极片功能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20.</w:t>
            </w:r>
            <w:r>
              <w:rPr>
                <w:rFonts w:hint="eastAsia" w:ascii="宋体" w:hAnsi="宋体" w:eastAsia="宋体" w:cs="Times New Roman"/>
                <w:bCs/>
                <w:color w:val="000000"/>
                <w:sz w:val="21"/>
                <w:szCs w:val="21"/>
                <w:highlight w:val="none"/>
                <w:lang w:val="en-US" w:eastAsia="zh-CN" w:bidi="ar-SA"/>
              </w:rPr>
              <w:t xml:space="preserve">电极片采用预插方式，无需现场连接。</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21.</w:t>
            </w:r>
            <w:r>
              <w:rPr>
                <w:rFonts w:hint="eastAsia" w:ascii="宋体" w:hAnsi="宋体" w:eastAsia="宋体" w:cs="Times New Roman"/>
                <w:bCs/>
                <w:color w:val="000000"/>
                <w:sz w:val="21"/>
                <w:szCs w:val="21"/>
                <w:highlight w:val="none"/>
                <w:lang w:val="en-US" w:eastAsia="zh-CN" w:bidi="ar-SA"/>
              </w:rPr>
              <w:t xml:space="preserve">单副电极片有效期≥60个月。</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22.AED可配置多功能电极片，提供按压实时监测、反馈功能，可评估当前按压频率和按压深度是否良好，语音和视屏提示按压过深、过浅、过快、过慢。</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（六）电池功能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3</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电池类型：一次性免维护4.2Ah锂电池。</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4</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电池性能：能支持连续360焦耳能量除颤不少于200次。</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5</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低电量放电次数：至少6次360J放电和30分钟操作。</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6</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所配置电池寿命需满足待机时间≥6年。</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7</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设备电池独立设计，一键开启，无需工具拆卸螺丝安装，设备跌落电池不会散落。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8</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存储容量：设备存储容量≥3GB，可存储录音时间≥90分钟。</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2</w:t>
            </w:r>
            <w:r>
              <w:rPr>
                <w:rFonts w:hint="eastAsia" w:ascii="宋体" w:hAnsi="宋体" w:eastAsia="宋体" w:cs="Times New Roman"/>
                <w:bCs/>
                <w:color w:val="000000"/>
                <w:sz w:val="21"/>
                <w:szCs w:val="21"/>
                <w:highlight w:val="none"/>
                <w:lang w:val="en-US" w:eastAsia="zh-CN" w:bidi="ar-SA"/>
              </w:rPr>
              <w:t xml:space="preserve">9</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内部的自检功能：设备每天、每月、每半年进行一次系统自检，支持最高360焦耳大能量充放电自检。</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30</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设备具备提示功能，直观醒目。</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1</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设备可存储自检报告≥3000份，事件≥2000个，日志数据≥5000条。</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（七）其他附件</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2</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AED设备配备4合1急救配件包一体设计（包含：一次性手套、呼吸膜、安全剪刀、剃毛刀）。</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3</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支持内置4G无线数据传输功能。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4</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数据传输：可通过USB和无线传输多方式导出。</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（八）AED管理系统平台</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5</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AED管理系统平台可显示设备状态，方便日常维护，设备发生急救事件可通过管理平台通知绑定管理员。</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6</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物联网功能：具有AED地图（可显示AED状态、设备编号、具体位置等）；物联网系统管理：AED设备耗材管理、设备管理（包括自检报告、开关机记录、急救记录等）、急救人员管理、权限管理等功能。</w:t>
            </w:r>
            <w:r/>
          </w:p>
          <w:p>
            <w:pPr>
              <w:numPr>
                <w:ilvl w:val="0"/>
                <w:numId w:val="0"/>
              </w:numPr>
              <w:ind w:left="0"/>
              <w:jc w:val="left"/>
              <w:widowControl w:val="off"/>
              <w:rPr>
                <w:rFonts w:hint="eastAsia"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7</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系统反馈功能：系统根据AED自检结果，正常/故障显示设备不同状态，故障时发出信息到设备管理者；具有急救事件实时反馈功能，AED一旦开机用于抢救病人时即刻反馈，在平台上提示急救状态，同时系统会自动通过短信、微信等方式即刻通知AED所关联的管理者或急救员；具有位置管理功能，当AED偏离实际安装地点，系统可自动通知管理员，并提示AED所在位置。</w:t>
            </w:r>
            <w:r/>
          </w:p>
          <w:p>
            <w:pPr>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default" w:ascii="宋体" w:hAnsi="宋体" w:eastAsia="宋体" w:cs="Times New Roman"/>
                <w:bCs/>
                <w:color w:val="000000"/>
                <w:sz w:val="21"/>
                <w:szCs w:val="21"/>
                <w:highlight w:val="none"/>
                <w:lang w:val="en-US" w:eastAsia="zh-CN" w:bidi="ar-SA"/>
              </w:rPr>
              <w:t xml:space="preserve">3</w:t>
            </w:r>
            <w:r>
              <w:rPr>
                <w:rFonts w:hint="eastAsia" w:ascii="宋体" w:hAnsi="宋体" w:eastAsia="宋体" w:cs="Times New Roman"/>
                <w:bCs/>
                <w:color w:val="000000"/>
                <w:sz w:val="21"/>
                <w:szCs w:val="21"/>
                <w:highlight w:val="none"/>
                <w:lang w:val="en-US" w:eastAsia="zh-CN" w:bidi="ar-SA"/>
              </w:rPr>
              <w:t xml:space="preserve">8</w:t>
            </w:r>
            <w:r>
              <w:rPr>
                <w:rFonts w:hint="default"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t xml:space="preserve">AED管理平台具备微信端、电脑端和app端三种入口方式。</w:t>
            </w:r>
            <w:r/>
          </w:p>
        </w:tc>
      </w:tr>
    </w:tbl>
    <w:p>
      <w:pPr>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Times New Roman" w:hAnsi="Times New Roman" w:eastAsia="宋体" w:cs="Times New Roman"/>
          <w:color w:val="000000"/>
          <w:highlight w:val="none"/>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p>
    <w:p>
      <w:pPr>
        <w:ind w:firstLine="480"/>
        <w:jc w:val="center"/>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left="0"/>
        <w:jc w:val="center"/>
        <w:keepLines w:val="0"/>
        <w:keepNext/>
        <w:pageBreakBefore w:val="0"/>
        <w:spacing w:line="360" w:lineRule="auto"/>
        <w:widowControl w:val="off"/>
        <w:rPr>
          <w:rFonts w:hint="eastAsia" w:ascii="Times New Roman" w:hAnsi="Times New Roman"/>
          <w:color w:val="000000"/>
          <w:szCs w:val="21"/>
          <w:highlight w:val="none"/>
        </w:rPr>
        <w:outlineLvl w:val="0"/>
      </w:pPr>
      <w:r/>
      <w:bookmarkStart w:id="369" w:name="_Toc19917"/>
      <w:r/>
      <w:bookmarkStart w:id="370" w:name="_Toc23911"/>
      <w:r/>
      <w:bookmarkStart w:id="371" w:name="_Toc23116"/>
      <w:r/>
      <w:bookmarkStart w:id="372" w:name="_Toc10394"/>
      <w:r/>
      <w:bookmarkStart w:id="373" w:name="_Toc120614281"/>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bookmarkEnd w:id="369"/>
      <w:r/>
      <w:bookmarkEnd w:id="370"/>
      <w:r/>
      <w:bookmarkEnd w:id="371"/>
      <w:r/>
      <w:bookmarkEnd w:id="372"/>
      <w:r/>
      <w:r/>
    </w:p>
    <w:p>
      <w:pPr>
        <w:ind w:left="0" w:firstLine="439"/>
        <w:jc w:val="left"/>
        <w:keepLines w:val="0"/>
        <w:pageBreakBefore w:val="0"/>
        <w:spacing w:line="360" w:lineRule="auto"/>
        <w:widowControl w:val="off"/>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本项目</w:t>
      </w:r>
      <w:r>
        <w:rPr>
          <w:rFonts w:ascii="Arial" w:hAnsi="Arial" w:cs="Arial"/>
          <w:color w:val="000000"/>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highlight w:val="none"/>
        </w:rPr>
        <w:t xml:space="preserve">。本项目选取</w:t>
      </w:r>
      <w:r>
        <w:rPr>
          <w:rFonts w:hint="eastAsia" w:ascii="Arial" w:hAnsi="Arial" w:cs="Arial"/>
          <w:color w:val="000000"/>
          <w:sz w:val="24"/>
          <w:szCs w:val="24"/>
          <w:highlight w:val="none"/>
          <w:lang w:val="en-US" w:eastAsia="zh-CN"/>
        </w:rPr>
        <w:t xml:space="preserve">1</w:t>
      </w:r>
      <w:r>
        <w:rPr>
          <w:rFonts w:hint="eastAsia" w:ascii="Arial" w:hAnsi="Arial" w:cs="Arial"/>
          <w:color w:val="000000"/>
          <w:sz w:val="24"/>
          <w:szCs w:val="24"/>
          <w:highlight w:val="none"/>
        </w:rPr>
        <w:t xml:space="preserve">名中标候选人。</w:t>
      </w:r>
      <w:r/>
    </w:p>
    <w:p>
      <w:pPr>
        <w:ind w:left="0" w:firstLine="441"/>
        <w:jc w:val="center"/>
        <w:keepLines w:val="0"/>
        <w:pageBreakBefore w:val="0"/>
        <w:spacing w:line="360" w:lineRule="auto"/>
        <w:widowControl w:val="off"/>
        <w:rPr>
          <w:rFonts w:hint="eastAsia" w:ascii="宋体" w:hAnsi="宋体"/>
          <w:b/>
          <w:color w:val="000000"/>
          <w:sz w:val="24"/>
          <w:szCs w:val="24"/>
          <w:highlight w:val="none"/>
        </w:rPr>
        <w:outlineLvl w:val="0"/>
      </w:pPr>
      <w:r/>
      <w:bookmarkStart w:id="374" w:name="_Toc22145"/>
      <w:r/>
      <w:bookmarkStart w:id="375" w:name="_Toc2560"/>
      <w:r/>
      <w:bookmarkStart w:id="376" w:name="_Toc28841"/>
      <w:r>
        <w:rPr>
          <w:rFonts w:hint="eastAsia" w:ascii="宋体" w:hAnsi="宋体"/>
          <w:b/>
          <w:color w:val="000000"/>
          <w:sz w:val="24"/>
          <w:szCs w:val="24"/>
          <w:highlight w:val="none"/>
        </w:rPr>
        <w:t xml:space="preserve">政府采购政策功能落实</w:t>
      </w:r>
      <w:bookmarkEnd w:id="374"/>
      <w:r/>
      <w:bookmarkEnd w:id="375"/>
      <w:r/>
      <w:bookmarkEnd w:id="376"/>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rPr>
          <w:rFonts w:ascii="宋体" w:hAnsi="宋体" w:eastAsia="宋体" w:cs="宋体"/>
          <w:color w:val="000000"/>
          <w:sz w:val="24"/>
          <w:szCs w:val="24"/>
          <w:highlight w:val="none"/>
        </w:rPr>
        <w:t xml:space="preserve"> </w:t>
      </w:r>
      <w:bookmarkStart w:id="377" w:name="_Toc23678"/>
      <w:r>
        <w:rPr>
          <w:rFonts w:hint="eastAsia" w:ascii="宋体" w:hAnsi="宋体" w:eastAsia="宋体" w:cs="Times New Roman"/>
          <w:color w:val="000000"/>
          <w:sz w:val="24"/>
          <w:szCs w:val="24"/>
          <w:highlight w:val="none"/>
        </w:rPr>
        <w:t xml:space="preserve">1、小微型企业价格扣除</w:t>
      </w:r>
      <w:bookmarkEnd w:id="377"/>
      <w:r/>
      <w:r/>
    </w:p>
    <w:p>
      <w:pPr>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（1）本项目对小型和微型企业产品给予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的扣除价格，用扣除后的价格参与评审。</w:t>
      </w:r>
      <w:r/>
    </w:p>
    <w:p>
      <w:pPr>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（2）供应商需按照采购文件的要求提供相应的《小微企业声明函》。</w:t>
      </w:r>
      <w:r/>
    </w:p>
    <w:p>
      <w:pPr>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（3）企业标准请参照《关于印发中小企业划型标准规定的通知》（工信部联企业[2011]300号）文件规定自行填写。</w:t>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8" w:name="_Toc3954"/>
      <w:r>
        <w:rPr>
          <w:rFonts w:hint="eastAsia" w:ascii="宋体" w:hAnsi="宋体" w:eastAsia="宋体" w:cs="Times New Roman"/>
          <w:color w:val="000000"/>
          <w:sz w:val="24"/>
          <w:szCs w:val="24"/>
          <w:highlight w:val="none"/>
        </w:rPr>
        <w:t xml:space="preserve">2、残疾人福利单位价格扣除</w:t>
      </w:r>
      <w:bookmarkEnd w:id="378"/>
      <w:r/>
      <w:r/>
    </w:p>
    <w:p>
      <w:pPr>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（1）本项目对残疾人福利性单位视同小型、微型企业，给予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p>
    <w:p>
      <w:pPr>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（2）残疾人福利单位需按照采购文件的要求提供《残疾人福利性单位声明函》。</w:t>
      </w:r>
      <w:r/>
    </w:p>
    <w:p>
      <w:pPr>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（3）残疾人福利单位标准请参照《关于促进残疾人就业政府采购政策的通知》（财库〔2017〕141号）。</w:t>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9" w:name="_Toc30762"/>
      <w:r>
        <w:rPr>
          <w:rFonts w:hint="eastAsia" w:ascii="宋体" w:hAnsi="宋体" w:eastAsia="宋体" w:cs="Times New Roman"/>
          <w:color w:val="000000"/>
          <w:sz w:val="24"/>
          <w:szCs w:val="24"/>
          <w:highlight w:val="none"/>
        </w:rPr>
        <w:t xml:space="preserve">3、监狱和戒毒企业价格扣除</w:t>
      </w:r>
      <w:bookmarkEnd w:id="379"/>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（1）本项目对监狱和戒毒企业（简称监狱企业）视同小型、微型企业，给予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（3）监狱企业标准请参照《关于政府采购支持监狱企业发展有关问题的通知》（</w:t>
      </w:r>
      <w:r>
        <w:rPr>
          <w:rFonts w:ascii="宋体" w:hAnsi="宋体" w:eastAsia="宋体" w:cs="Times New Roman"/>
          <w:color w:val="000000"/>
          <w:sz w:val="24"/>
          <w:szCs w:val="24"/>
          <w:highlight w:val="none"/>
        </w:rPr>
        <w:t xml:space="preserve">财库[2014]68号</w:t>
      </w:r>
      <w:r>
        <w:rPr>
          <w:rFonts w:hint="eastAsia" w:ascii="宋体" w:hAnsi="宋体" w:eastAsia="宋体" w:cs="Times New Roman"/>
          <w:color w:val="000000"/>
          <w:sz w:val="24"/>
          <w:szCs w:val="24"/>
          <w:highlight w:val="none"/>
        </w:rPr>
        <w:t xml:space="preserve">）。</w:t>
      </w:r>
      <w:r/>
    </w:p>
    <w:p>
      <w:pPr>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80" w:name="_Toc19065"/>
      <w:r>
        <w:rPr>
          <w:rFonts w:hint="eastAsia" w:ascii="宋体" w:hAnsi="宋体" w:eastAsia="宋体" w:cs="Times New Roman"/>
          <w:color w:val="000000"/>
          <w:sz w:val="24"/>
          <w:szCs w:val="24"/>
          <w:highlight w:val="none"/>
        </w:rPr>
        <w:t xml:space="preserve">4、残疾人福利单位、监狱企业属于小型、微型企业的，不重复享受政策。</w:t>
      </w:r>
      <w:bookmarkEnd w:id="380"/>
      <w:r/>
      <w:r/>
    </w:p>
    <w:p>
      <w:pPr>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0" w:firstLine="480"/>
        <w:jc w:val="center"/>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采购本国产品的支持政策</w:t>
      </w:r>
      <w:r/>
    </w:p>
    <w:p>
      <w:pPr>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（3）投标人需按照招标文件的要求提供《关于符合本国产品标准的声明函》（以下简称《声明函》），如不提供将不享受本国产品价格评审优惠。</w:t>
      </w:r>
      <w:r/>
    </w:p>
    <w:p>
      <w:pPr>
        <w:ind w:left="0" w:firstLine="480"/>
        <w:jc w:val="left"/>
        <w:keepLines w:val="0"/>
        <w:pageBreakBefore w:val="0"/>
        <w:spacing w:line="360" w:lineRule="auto"/>
        <w:widowControl w:val="off"/>
        <w:rPr>
          <w:rFonts w:hint="eastAsia" w:ascii="宋体" w:hAnsi="宋体"/>
          <w:b/>
          <w:bCs/>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（5）政府采购中的本国产品标准及其他未尽事宜详见《国务院办公厅关于在政府采购中实施本国产品标准及相关政策的通知》（国办发〔2025〕34号）。</w:t>
      </w:r>
      <w:r/>
    </w:p>
    <w:p>
      <w:pPr>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left"/>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color w:val="000000"/>
          <w:sz w:val="24"/>
          <w:szCs w:val="24"/>
          <w:highlight w:val="none"/>
          <w:lang w:val="en-US" w:eastAsia="zh-CN"/>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381" w:name="_Toc11139"/>
      <w:r/>
      <w:bookmarkStart w:id="382" w:name="_Toc4451"/>
      <w:r/>
      <w:bookmarkStart w:id="383" w:name="_Toc14997"/>
      <w:r/>
      <w:r/>
    </w:p>
    <w:p>
      <w:pPr>
        <w:ind w:left="0" w:firstLine="482"/>
        <w:jc w:val="center"/>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b/>
          <w:color w:val="000000"/>
          <w:sz w:val="24"/>
          <w:szCs w:val="24"/>
          <w:highlight w:val="none"/>
        </w:rPr>
        <w:t xml:space="preserve">评标方法与评标标准</w:t>
      </w:r>
      <w:bookmarkEnd w:id="381"/>
      <w:r/>
      <w:bookmarkEnd w:id="382"/>
      <w:r/>
      <w:bookmarkEnd w:id="383"/>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（一）评标时，评标委员会以招标文件为评标依据，评标委员会各成员独立对每个投标人的投标文件进行评价，并汇总每个投标人的得分。评标过程中，不得去掉报价中的最高报价和最低报价。</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（二）本项目评分总分为100分，按四舍五入取至小数点后两位。</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（三）总得分=价格分+商务技术分。</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综合评分法</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1.价格分（30分）  </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投标报价得分=（评标基准价/投标报价）×30分</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因落实政府采购政策进行价格调整的，以调整后的价格计算评标基准价和投标报价，小数点后保留两位。评标过程中，不得去掉报价中的最高报价和最低报价。</w:t>
      </w:r>
      <w:r/>
    </w:p>
    <w:p>
      <w:pPr>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2.</w:t>
      </w:r>
      <w:r>
        <w:rPr>
          <w:rFonts w:hint="eastAsia" w:ascii="Arial" w:hAnsi="Arial"/>
          <w:color w:val="000000"/>
          <w:sz w:val="24"/>
          <w:szCs w:val="24"/>
          <w:highlight w:val="none"/>
          <w:lang w:eastAsia="zh-CN"/>
        </w:rPr>
        <w:t xml:space="preserve">商务</w:t>
      </w:r>
      <w:r>
        <w:rPr>
          <w:rFonts w:hint="eastAsia" w:ascii="Arial" w:hAnsi="Arial"/>
          <w:color w:val="000000"/>
          <w:sz w:val="24"/>
          <w:szCs w:val="24"/>
          <w:highlight w:val="none"/>
        </w:rPr>
        <w:t xml:space="preserve">技术分（</w:t>
      </w:r>
      <w:r>
        <w:rPr>
          <w:rFonts w:hint="eastAsia" w:ascii="Arial" w:hAnsi="Arial"/>
          <w:color w:val="000000"/>
          <w:sz w:val="24"/>
          <w:szCs w:val="24"/>
          <w:highlight w:val="none"/>
          <w:lang w:val="en-US" w:eastAsia="zh-CN"/>
        </w:rPr>
        <w:t xml:space="preserve">7</w:t>
      </w:r>
      <w:r>
        <w:rPr>
          <w:rFonts w:hint="eastAsia" w:ascii="Arial" w:hAnsi="Arial"/>
          <w:color w:val="000000"/>
          <w:sz w:val="24"/>
          <w:szCs w:val="24"/>
          <w:highlight w:val="none"/>
        </w:rPr>
        <w:t xml:space="preserve">0分）</w:t>
      </w:r>
      <w:r/>
    </w:p>
    <w:tbl>
      <w:tblPr>
        <w:tblStyle w:val="1102"/>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9"/>
        <w:gridCol w:w="8160"/>
      </w:tblGrid>
      <w:tr>
        <w:trPr>
          <w:trHeight w:val="321"/>
        </w:trPr>
        <w:tc>
          <w:tcPr>
            <w:tcW w:w="1429" w:type="dxa"/>
            <w:vAlign w:val="top"/>
            <w:textDirection w:val="lrTb"/>
            <w:noWrap w:val="false"/>
          </w:tcPr>
          <w:p>
            <w:pPr>
              <w:pStyle w:val="1111"/>
              <w:ind w:left="359"/>
              <w:spacing w:before="40" w:line="208" w:lineRule="auto"/>
              <w:widowControl/>
              <w:rPr>
                <w:color w:val="000000"/>
                <w:highlight w:val="none"/>
              </w:rPr>
            </w:pPr>
            <w:r>
              <w:rPr>
                <w:b/>
                <w:bCs/>
                <w:color w:val="000000"/>
                <w:spacing w:val="-5"/>
                <w:highlight w:val="none"/>
              </w:rPr>
              <w:t xml:space="preserve">评分项</w:t>
            </w:r>
            <w:r/>
          </w:p>
        </w:tc>
        <w:tc>
          <w:tcPr>
            <w:tcW w:w="8160" w:type="dxa"/>
            <w:vAlign w:val="top"/>
            <w:textDirection w:val="lrTb"/>
            <w:noWrap w:val="false"/>
          </w:tcPr>
          <w:p>
            <w:pPr>
              <w:ind w:left="3611"/>
              <w:jc w:val="left"/>
              <w:spacing w:before="40" w:line="208" w:lineRule="auto"/>
              <w:widowControl/>
              <w:rPr>
                <w:rFonts w:ascii="仿宋" w:hAnsi="仿宋" w:eastAsia="仿宋" w:cs="仿宋"/>
                <w:color w:val="000000"/>
                <w:sz w:val="24"/>
                <w:szCs w:val="24"/>
                <w:highlight w:val="none"/>
                <w:lang w:eastAsia="en-US"/>
              </w:rPr>
            </w:pPr>
            <w:r>
              <w:rPr>
                <w:rFonts w:ascii="仿宋" w:hAnsi="仿宋" w:eastAsia="仿宋" w:cs="仿宋"/>
                <w:b/>
                <w:bCs/>
                <w:color w:val="000000"/>
                <w:spacing w:val="-7"/>
                <w:sz w:val="24"/>
                <w:szCs w:val="24"/>
                <w:highlight w:val="none"/>
                <w:lang w:eastAsia="en-US"/>
              </w:rPr>
              <w:t xml:space="preserve">评分标准</w:t>
            </w:r>
            <w:r/>
          </w:p>
        </w:tc>
      </w:tr>
      <w:tr>
        <w:trPr>
          <w:trHeight w:val="1872"/>
        </w:trPr>
        <w:tc>
          <w:tcPr>
            <w:tcW w:w="1429" w:type="dxa"/>
            <w:vAlign w:val="center"/>
            <w:textDirection w:val="lrTb"/>
            <w:noWrap w:val="false"/>
          </w:tcPr>
          <w:p>
            <w:pPr>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产品技术响应情况</w:t>
            </w:r>
            <w:r/>
          </w:p>
          <w:p>
            <w:pPr>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（23 分）</w:t>
            </w:r>
            <w:r/>
          </w:p>
        </w:tc>
        <w:tc>
          <w:tcPr>
            <w:tcW w:w="8160" w:type="dxa"/>
            <w:vAlign w:val="top"/>
            <w:textDirection w:val="lrTb"/>
            <w:noWrap w:val="false"/>
          </w:tcPr>
          <w:p>
            <w:pPr>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产品技术参数全部满足招标要求的得满分23分。每一项重要响应指标负偏离（缺、漏项视为负偏离）扣</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分；每一项非重要响应指标负偏离（缺、漏项视为负偏离）扣</w:t>
            </w:r>
            <w:r>
              <w:rPr>
                <w:rFonts w:hint="eastAsia" w:ascii="宋体" w:hAnsi="宋体" w:eastAsia="宋体" w:cs="Times New Roman"/>
                <w:color w:val="000000"/>
                <w:sz w:val="24"/>
                <w:szCs w:val="24"/>
                <w:highlight w:val="none"/>
                <w:lang w:val="en-US" w:eastAsia="zh-CN"/>
              </w:rPr>
              <w:t xml:space="preserve">0.2</w:t>
            </w:r>
            <w:r>
              <w:rPr>
                <w:rFonts w:ascii="宋体" w:hAnsi="宋体" w:eastAsia="宋体" w:cs="Times New Roman"/>
                <w:color w:val="000000"/>
                <w:sz w:val="24"/>
                <w:szCs w:val="24"/>
                <w:highlight w:val="none"/>
                <w:lang w:val="en-US" w:eastAsia="zh-CN"/>
              </w:rPr>
              <w:t xml:space="preserve">分。本项最高得23分,最低得0分。“技术参数要求”中加“★”标志的为实质性要求和条件，投标人必须作出满足或者优于原要求和条件的响应，否则投标无效;“技术参数要求”中加“▲”标志的为重要响应指标，其余为非重要响应指标。</w:t>
            </w:r>
            <w:r/>
          </w:p>
          <w:p>
            <w:pPr>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b/>
                <w:bCs/>
                <w:color w:val="000000"/>
                <w:sz w:val="24"/>
                <w:szCs w:val="24"/>
                <w:highlight w:val="none"/>
                <w:lang w:val="en-US" w:eastAsia="zh-CN"/>
              </w:rPr>
              <w:t xml:space="preserve">（技术参数要求投标人应在技术要求响应及偏离表逐一列出所有参数性能配置等偏离情况，同时</w:t>
            </w:r>
            <w:r>
              <w:rPr>
                <w:rFonts w:hint="eastAsia" w:ascii="宋体" w:hAnsi="宋体" w:eastAsia="宋体" w:cs="Times New Roman"/>
                <w:b/>
                <w:bCs/>
                <w:color w:val="000000"/>
                <w:sz w:val="24"/>
                <w:szCs w:val="24"/>
                <w:highlight w:val="none"/>
                <w:lang w:val="en-US" w:eastAsia="zh-CN"/>
              </w:rPr>
              <w:t xml:space="preserve">按照招标文件要求</w:t>
            </w:r>
            <w:r>
              <w:rPr>
                <w:rFonts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en-US" w:eastAsia="zh-CN"/>
              </w:rPr>
              <w:t xml:space="preserve">相应的</w:t>
            </w:r>
            <w:r>
              <w:rPr>
                <w:rFonts w:ascii="宋体" w:hAnsi="宋体" w:eastAsia="宋体" w:cs="Times New Roman"/>
                <w:b/>
                <w:bCs/>
                <w:color w:val="000000"/>
                <w:sz w:val="24"/>
                <w:szCs w:val="24"/>
                <w:highlight w:val="none"/>
                <w:lang w:val="en-US" w:eastAsia="zh-CN"/>
              </w:rPr>
              <w:t xml:space="preserve">证材料证明（包括但不限于：检测报告、</w:t>
            </w:r>
            <w:r>
              <w:rPr>
                <w:rFonts w:hint="eastAsia" w:ascii="宋体" w:hAnsi="宋体" w:eastAsia="宋体" w:cs="Times New Roman"/>
                <w:b/>
                <w:bCs/>
                <w:color w:val="000000"/>
                <w:sz w:val="24"/>
                <w:szCs w:val="24"/>
                <w:highlight w:val="none"/>
                <w:lang w:val="en-US" w:eastAsia="zh-CN"/>
              </w:rPr>
              <w:t xml:space="preserve">承诺函</w:t>
            </w:r>
            <w:r>
              <w:rPr>
                <w:rFonts w:ascii="宋体" w:hAnsi="宋体" w:eastAsia="宋体" w:cs="Times New Roman"/>
                <w:b/>
                <w:bCs/>
                <w:color w:val="000000"/>
                <w:sz w:val="24"/>
                <w:szCs w:val="24"/>
                <w:highlight w:val="none"/>
                <w:lang w:val="en-US" w:eastAsia="zh-CN"/>
              </w:rPr>
              <w:t xml:space="preserve">等）并逐条详细标注出佐证材料证明所在位置）</w:t>
            </w:r>
            <w:r/>
          </w:p>
        </w:tc>
      </w:tr>
      <w:tr>
        <w:trPr>
          <w:trHeight w:val="1560"/>
        </w:trPr>
        <w:tc>
          <w:tcPr>
            <w:tcW w:w="1429" w:type="dxa"/>
            <w:vAlign w:val="center"/>
            <w:vMerge w:val="restart"/>
            <w:textDirection w:val="lrTb"/>
            <w:noWrap w:val="false"/>
          </w:tcPr>
          <w:p>
            <w:pPr>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制造商综合</w:t>
            </w:r>
            <w:r/>
          </w:p>
          <w:p>
            <w:pPr>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实力</w:t>
            </w:r>
            <w:r/>
          </w:p>
          <w:p>
            <w:pPr>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（5 分）</w:t>
            </w:r>
            <w:r/>
          </w:p>
        </w:tc>
        <w:tc>
          <w:tcPr>
            <w:tcW w:w="8160" w:type="dxa"/>
            <w:vAlign w:val="top"/>
            <w:textDirection w:val="lrTb"/>
            <w:noWrap w:val="false"/>
          </w:tcPr>
          <w:p>
            <w:pPr>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供应商所供货物制造商具有质量管理体系认证证书、职业健康安全管理体系认证证书、 环境管理体系认证证书每提供一个得 1 分；本项满分 3 分。</w:t>
            </w:r>
            <w:r/>
          </w:p>
          <w:p>
            <w:pPr>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注：需上传证书原件扫描件，未提供或扫描件模糊不清评审专家无法判定的 不得分。</w:t>
            </w:r>
            <w:r/>
          </w:p>
        </w:tc>
      </w:tr>
      <w:tr>
        <w:trPr>
          <w:trHeight w:val="939"/>
        </w:trPr>
        <w:tc>
          <w:tcPr>
            <w:tcW w:w="1429" w:type="dxa"/>
            <w:vAlign w:val="top"/>
            <w:vMerge w:val="continue"/>
            <w:textDirection w:val="lrTb"/>
            <w:noWrap w:val="false"/>
          </w:tcPr>
          <w:p>
            <w:pPr>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tc>
        <w:tc>
          <w:tcPr>
            <w:tcW w:w="8160" w:type="dxa"/>
            <w:vAlign w:val="top"/>
            <w:textDirection w:val="lrTb"/>
            <w:noWrap w:val="false"/>
          </w:tcPr>
          <w:p>
            <w:pPr>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供应商所供货物制造商拥客车实验能力，获得中国合格评定国家认可委员会 CNAS 颁发的实验室认可证书得 2 分，本项满分 2 分。</w:t>
            </w:r>
            <w:r/>
          </w:p>
          <w:p>
            <w:pPr>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注：需上传证书原件扫描件否则不得分。</w:t>
            </w:r>
            <w:r/>
          </w:p>
        </w:tc>
      </w:tr>
      <w:tr>
        <w:trPr>
          <w:trHeight w:val="1359"/>
        </w:trPr>
        <w:tc>
          <w:tcPr>
            <w:tcW w:w="1429" w:type="dxa"/>
            <w:vAlign w:val="center"/>
            <w:textDirection w:val="lrTb"/>
            <w:noWrap w:val="false"/>
          </w:tcPr>
          <w:p>
            <w:pPr>
              <w:pStyle w:val="1111"/>
              <w:ind w:left="120"/>
              <w:jc w:val="both"/>
              <w:spacing w:before="249" w:line="220" w:lineRule="auto"/>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类似业绩</w:t>
            </w:r>
            <w:r/>
          </w:p>
          <w:p>
            <w:pPr>
              <w:pStyle w:val="1111"/>
              <w:ind w:left="280"/>
              <w:jc w:val="both"/>
              <w:spacing w:line="351" w:lineRule="exact"/>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（6分）</w:t>
            </w:r>
            <w:r/>
          </w:p>
        </w:tc>
        <w:tc>
          <w:tcPr>
            <w:tcW w:w="8160" w:type="dxa"/>
            <w:vAlign w:val="top"/>
            <w:textDirection w:val="lrTb"/>
            <w:noWrap w:val="false"/>
          </w:tcPr>
          <w:p>
            <w:pPr>
              <w:jc w:val="left"/>
              <w:spacing w:line="46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供应商或制造商自20</w:t>
            </w: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t xml:space="preserve">年1月1日至今（以合同签订时间为准）承担的类似项目业绩</w:t>
            </w:r>
            <w:r>
              <w:rPr>
                <w:rFonts w:hint="eastAsia" w:ascii="宋体" w:hAnsi="宋体" w:eastAsia="宋体" w:cs="宋体"/>
                <w:color w:val="000000"/>
                <w:sz w:val="24"/>
                <w:szCs w:val="24"/>
                <w:highlight w:val="none"/>
                <w:lang w:val="en-US" w:eastAsia="zh-CN"/>
              </w:rPr>
              <w:t xml:space="preserve">（业绩中需包含采血车）</w:t>
            </w:r>
            <w:r>
              <w:rPr>
                <w:rFonts w:ascii="宋体" w:hAnsi="宋体" w:eastAsia="宋体" w:cs="宋体"/>
                <w:color w:val="000000"/>
                <w:sz w:val="24"/>
                <w:szCs w:val="24"/>
                <w:highlight w:val="none"/>
                <w:lang w:val="en-US" w:eastAsia="zh-CN"/>
              </w:rPr>
              <w:t xml:space="preserve">，每个计</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2分，该项最高</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6分。</w:t>
            </w:r>
            <w:r/>
          </w:p>
          <w:p>
            <w:pPr>
              <w:jc w:val="left"/>
              <w:spacing w:line="460" w:lineRule="exact"/>
              <w:widowControl/>
              <w:rPr>
                <w:rFonts w:hint="eastAsia" w:ascii="宋体" w:hAnsi="宋体" w:eastAsia="宋体" w:cs="Times New Roman"/>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投标文件中提供</w:t>
            </w: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扫描件并加盖投标人公章，时间、标的内容以合同为准，否则不得分</w:t>
            </w:r>
            <w:r>
              <w:rPr>
                <w:rFonts w:hint="eastAsia" w:ascii="宋体" w:hAnsi="宋体" w:cs="宋体"/>
                <w:b/>
                <w:bCs/>
                <w:color w:val="000000"/>
                <w:sz w:val="24"/>
                <w:szCs w:val="24"/>
                <w:highlight w:val="none"/>
                <w:lang w:eastAsia="zh-CN"/>
              </w:rPr>
              <w:t xml:space="preserve">。</w:t>
            </w:r>
            <w:r/>
          </w:p>
        </w:tc>
      </w:tr>
      <w:tr>
        <w:trPr>
          <w:trHeight w:val="1359"/>
        </w:trPr>
        <w:tc>
          <w:tcPr>
            <w:tcW w:w="1429" w:type="dxa"/>
            <w:vAlign w:val="center"/>
            <w:textDirection w:val="lrTb"/>
            <w:noWrap w:val="false"/>
          </w:tcPr>
          <w:p>
            <w:pPr>
              <w:jc w:val="center"/>
              <w:keepLines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免费质保期（4分）</w:t>
            </w:r>
            <w:r/>
          </w:p>
        </w:tc>
        <w:tc>
          <w:tcPr>
            <w:tcW w:w="8160" w:type="dxa"/>
            <w:vAlign w:val="center"/>
            <w:textDirection w:val="lrTb"/>
            <w:noWrap w:val="false"/>
          </w:tcPr>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根据招标文件中免费质保期的相关要求，在满足文件要求的基础上每增加1年加2分。本项最高得4分。</w:t>
            </w:r>
            <w:r/>
          </w:p>
          <w:p>
            <w:pPr>
              <w:jc w:val="left"/>
              <w:spacing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注：提供免费质保期承诺并加盖投标人公章，未按要求提供不得分。</w:t>
            </w:r>
            <w:r/>
          </w:p>
        </w:tc>
      </w:tr>
      <w:tr>
        <w:trPr>
          <w:trHeight w:val="1359"/>
        </w:trPr>
        <w:tc>
          <w:tcPr>
            <w:tcW w:w="1429" w:type="dxa"/>
            <w:vAlign w:val="center"/>
            <w:textDirection w:val="lrTb"/>
            <w:noWrap w:val="false"/>
          </w:tcPr>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安装调试方案（8分）</w:t>
            </w:r>
            <w:r/>
          </w:p>
        </w:tc>
        <w:tc>
          <w:tcPr>
            <w:tcW w:w="8160" w:type="dxa"/>
            <w:vAlign w:val="center"/>
            <w:textDirection w:val="lrTb"/>
            <w:noWrap w:val="false"/>
          </w:tcPr>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p>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trHeight w:val="1359"/>
        </w:trPr>
        <w:tc>
          <w:tcPr>
            <w:tcW w:w="1429" w:type="dxa"/>
            <w:vAlign w:val="center"/>
            <w:textDirection w:val="lrTb"/>
            <w:noWrap w:val="false"/>
          </w:tcPr>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售后服务</w:t>
            </w:r>
            <w:r/>
          </w:p>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p>
        </w:tc>
        <w:tc>
          <w:tcPr>
            <w:tcW w:w="8160" w:type="dxa"/>
            <w:vAlign w:val="center"/>
            <w:textDirection w:val="lrTb"/>
            <w:noWrap w:val="false"/>
          </w:tcPr>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售后服务方案及服务承诺，进行综合评审，内容包含：①故障响应及抵达现场处置时限；②设备定期维护周期、实施细则；定期回访周期、回访内容；③设备出保后全保服务收费标准；保修期外维修零配件专属折扣优惠及其他增值保养优惠；④日常设备保养、故障维修便捷性保障措施。方案包含以上4项内容得8分。每缺少一项扣2分；以上内容中存在瑕疵或错误的每有1处，扣1分，扣完为止。 </w:t>
            </w:r>
            <w:r/>
          </w:p>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trHeight w:val="1359"/>
        </w:trPr>
        <w:tc>
          <w:tcPr>
            <w:tcW w:w="1429" w:type="dxa"/>
            <w:vAlign w:val="center"/>
            <w:textDirection w:val="lrTb"/>
            <w:noWrap w:val="false"/>
          </w:tcPr>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培训方案</w:t>
            </w:r>
            <w:r/>
          </w:p>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p>
        </w:tc>
        <w:tc>
          <w:tcPr>
            <w:tcW w:w="8160" w:type="dxa"/>
            <w:vAlign w:val="center"/>
            <w:textDirection w:val="lrTb"/>
            <w:noWrap w:val="false"/>
          </w:tcPr>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p>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trHeight w:val="1359"/>
        </w:trPr>
        <w:tc>
          <w:tcPr>
            <w:tcW w:w="1429" w:type="dxa"/>
            <w:vAlign w:val="center"/>
            <w:textDirection w:val="lrTb"/>
            <w:noWrap w:val="false"/>
          </w:tcPr>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备品备件</w:t>
            </w:r>
            <w:r/>
          </w:p>
          <w:p>
            <w:pPr>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 分）</w:t>
            </w:r>
            <w:r/>
          </w:p>
        </w:tc>
        <w:tc>
          <w:tcPr>
            <w:tcW w:w="8160" w:type="dxa"/>
            <w:vAlign w:val="center"/>
            <w:textDirection w:val="lrTb"/>
            <w:noWrap w:val="false"/>
          </w:tcPr>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p>
          <w:p>
            <w:pPr>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bl>
    <w:p>
      <w:pPr>
        <w:ind w:left="0" w:firstLine="480"/>
        <w:jc w:val="left"/>
        <w:keepLines w:val="0"/>
        <w:pageBreakBefore w:val="0"/>
        <w:spacing w:line="360" w:lineRule="auto"/>
        <w:widowControl w:val="off"/>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Next/>
        <w:rPr>
          <w:rFonts w:ascii="黑体" w:hAnsi="Times New Roman" w:eastAsia="黑体"/>
          <w:bCs/>
          <w:color w:val="000000"/>
          <w:sz w:val="44"/>
          <w:szCs w:val="28"/>
          <w:highlight w:val="none"/>
        </w:rPr>
        <w:outlineLvl w:val="9"/>
      </w:pPr>
      <w:r>
        <w:rPr>
          <w:rFonts w:ascii="黑体" w:hAnsi="Times New Roman" w:eastAsia="黑体"/>
          <w:bCs/>
          <w:color w:val="000000"/>
          <w:sz w:val="44"/>
          <w:szCs w:val="28"/>
          <w:highlight w:val="none"/>
        </w:rPr>
      </w:r>
      <w:r/>
    </w:p>
    <w:p>
      <w:pPr>
        <w:jc w:val="center"/>
        <w:keepNext/>
        <w:rPr>
          <w:rFonts w:hint="eastAsia" w:ascii="黑体" w:hAnsi="Times New Roman" w:eastAsia="黑体"/>
          <w:bCs/>
          <w:color w:val="000000"/>
          <w:sz w:val="44"/>
          <w:szCs w:val="28"/>
          <w:highlight w:val="none"/>
        </w:rPr>
        <w:outlineLvl w:val="0"/>
      </w:pPr>
      <w:r/>
      <w:bookmarkStart w:id="384" w:name="_Toc20963"/>
      <w:r/>
      <w:bookmarkStart w:id="385" w:name="_Toc14448"/>
      <w:r/>
      <w:bookmarkStart w:id="386" w:name="_Toc17090"/>
      <w:r/>
      <w:bookmarkStart w:id="387" w:name="_Toc20444"/>
      <w:r>
        <w:rPr>
          <w:rFonts w:hint="eastAsia" w:ascii="黑体" w:hAnsi="Times New Roman" w:eastAsia="黑体"/>
          <w:bCs/>
          <w:color w:val="000000"/>
          <w:sz w:val="44"/>
          <w:szCs w:val="28"/>
          <w:highlight w:val="none"/>
        </w:rPr>
        <w:t xml:space="preserve">第六章  投标</w:t>
      </w:r>
      <w:bookmarkEnd w:id="365"/>
      <w:r/>
      <w:bookmarkEnd w:id="366"/>
      <w:r/>
      <w:bookmarkEnd w:id="373"/>
      <w:r>
        <w:rPr>
          <w:rFonts w:hint="eastAsia" w:ascii="黑体" w:hAnsi="Times New Roman" w:eastAsia="黑体"/>
          <w:bCs/>
          <w:color w:val="000000"/>
          <w:sz w:val="44"/>
          <w:szCs w:val="28"/>
          <w:highlight w:val="none"/>
        </w:rPr>
        <w:t xml:space="preserve">文件格式</w:t>
      </w:r>
      <w:bookmarkEnd w:id="384"/>
      <w:r/>
      <w:bookmarkEnd w:id="385"/>
      <w:r/>
      <w:bookmarkEnd w:id="386"/>
      <w:r/>
      <w:bookmarkEnd w:id="387"/>
      <w:r/>
      <w:r/>
    </w:p>
    <w:p>
      <w:pPr>
        <w:jc w:val="center"/>
        <w:rPr>
          <w:rFonts w:hint="eastAsia" w:ascii="宋体" w:hAnsi="宋体"/>
          <w:b/>
          <w:color w:val="000000"/>
          <w:sz w:val="72"/>
          <w:szCs w:val="21"/>
          <w:highlight w:val="none"/>
        </w:rPr>
      </w:pPr>
      <w:r/>
      <w:bookmarkStart w:id="388" w:name="_Hlt26955039"/>
      <w:r/>
      <w:bookmarkEnd w:id="388"/>
      <w:r/>
      <w:bookmarkStart w:id="389" w:name="_Hlt26671244"/>
      <w:r/>
      <w:bookmarkEnd w:id="389"/>
      <w:r/>
      <w:bookmarkStart w:id="390" w:name="_Toc120614282"/>
      <w:r/>
      <w:bookmarkStart w:id="391" w:name="_Toc26554094"/>
      <w:r/>
      <w:bookmarkStart w:id="392" w:name="_Toc49090576"/>
      <w:r/>
      <w:r/>
    </w:p>
    <w:p>
      <w:pPr>
        <w:jc w:val="center"/>
        <w:rPr>
          <w:rFonts w:hint="eastAsia" w:ascii="宋体" w:hAnsi="宋体"/>
          <w:b/>
          <w:color w:val="000000"/>
          <w:sz w:val="72"/>
          <w:szCs w:val="21"/>
          <w:highlight w:val="none"/>
        </w:rPr>
        <w:outlineLvl w:val="0"/>
      </w:pPr>
      <w:r/>
      <w:bookmarkStart w:id="393" w:name="_Toc28513"/>
      <w:r/>
      <w:bookmarkStart w:id="394" w:name="_Toc23832"/>
      <w:r/>
      <w:bookmarkStart w:id="395" w:name="_Toc20259"/>
      <w:r>
        <w:rPr>
          <w:rFonts w:hint="eastAsia" w:ascii="宋体" w:hAnsi="宋体"/>
          <w:b/>
          <w:color w:val="000000"/>
          <w:sz w:val="72"/>
          <w:szCs w:val="21"/>
          <w:highlight w:val="none"/>
        </w:rPr>
        <w:t xml:space="preserve">投  标  文  件</w:t>
      </w:r>
      <w:bookmarkEnd w:id="393"/>
      <w:r/>
      <w:bookmarkEnd w:id="394"/>
      <w:r/>
      <w:bookmarkEnd w:id="395"/>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p>
    <w:p>
      <w:pPr>
        <w:ind w:firstLine="1084"/>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p>
    <w:p>
      <w:pPr>
        <w:keepLines w:val="0"/>
        <w:keepNext w:val="0"/>
        <w:pageBreakBefore w:val="0"/>
        <w:spacing w:line="360" w:lineRule="auto"/>
        <w:widowControl w:val="off"/>
        <w:rPr>
          <w:rFonts w:hint="eastAsia"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日期：</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一、法人或者其他组织的营业执照等证明文件，自然人的身份证明</w:t>
      </w:r>
      <w:r/>
    </w:p>
    <w:p>
      <w:pPr>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二、上一年度的财务状况报告（投标人成立不满一年无需提供）</w:t>
      </w:r>
      <w:r/>
    </w:p>
    <w:p>
      <w:pPr>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四、具备履行合同所必需的设备和专业技术能力的书面声明</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六、特定资格要求的证明文件（如果本项目设置特定资格要求，则需要提供）</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七、法人授权书</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八、投标函</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九、小微企业声明函</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十、残疾人福利性单位声明函</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十一、联合体协议</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十二、投标分项报价表</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十三、技术要求响应及偏离表</w:t>
      </w:r>
      <w:r/>
    </w:p>
    <w:p>
      <w:pPr>
        <w:keepLines w:val="0"/>
        <w:keepNext w:val="0"/>
        <w:pageBreakBefore w:val="0"/>
        <w:spacing w:line="360" w:lineRule="auto"/>
        <w:widowControl w:val="off"/>
        <w:rPr>
          <w:rFonts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十四、商务要求响应及偏离表</w:t>
      </w:r>
      <w:r/>
    </w:p>
    <w:p>
      <w:pPr>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十五、开标一览表</w:t>
      </w:r>
      <w:r/>
    </w:p>
    <w:p>
      <w:pPr>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十六、类似项目业绩一览表 </w:t>
      </w:r>
      <w:r/>
    </w:p>
    <w:p>
      <w:pPr>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十七、项目团队人员一览表</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6" w:name="_Toc1059"/>
      <w:r/>
      <w:bookmarkStart w:id="397" w:name="_Toc10784"/>
      <w:r/>
      <w:bookmarkStart w:id="398" w:name="_Toc27320"/>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rPr>
          <w:rFonts w:hint="eastAsia" w:ascii="黑体" w:hAnsi="黑体" w:eastAsia="黑体"/>
          <w:i w:val="0"/>
          <w:iCs/>
          <w:color w:val="000000"/>
          <w:sz w:val="32"/>
          <w:szCs w:val="32"/>
          <w:highlight w:val="none"/>
          <w:u w:val="single"/>
        </w:rPr>
        <w:t xml:space="preserve">一、法人或者其他组织的营业执照等证明文件，自然人的身份证明</w:t>
      </w:r>
      <w:bookmarkEnd w:id="396"/>
      <w:r/>
      <w:bookmarkEnd w:id="397"/>
      <w:r/>
      <w:bookmarkEnd w:id="398"/>
      <w:r/>
      <w:r/>
    </w:p>
    <w:p>
      <w:pPr>
        <w:ind w:firstLine="480"/>
        <w:keepLines w:val="0"/>
        <w:keepNext w:val="0"/>
        <w:pageBreakBefore w:val="0"/>
        <w:spacing w:line="360" w:lineRule="auto"/>
        <w:widowControl w:val="off"/>
        <w:rPr>
          <w:rFonts w:ascii="宋体" w:hAnsi="宋体"/>
          <w:i w:val="0"/>
          <w:iCs/>
          <w:color w:val="000000"/>
          <w:sz w:val="24"/>
          <w:szCs w:val="21"/>
          <w:highlight w:val="none"/>
        </w:rPr>
      </w:pPr>
      <w:r>
        <w:rPr>
          <w:rFonts w:ascii="宋体" w:hAnsi="宋体"/>
          <w:i w:val="0"/>
          <w:iCs/>
          <w:color w:val="000000"/>
          <w:sz w:val="24"/>
          <w:szCs w:val="21"/>
          <w:highlight w:val="none"/>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9" w:name="_Toc15381"/>
      <w:r/>
      <w:bookmarkStart w:id="400" w:name="_Toc24960"/>
      <w:r/>
      <w:bookmarkStart w:id="401" w:name="_Toc12625"/>
      <w:r>
        <w:rPr>
          <w:rFonts w:hint="eastAsia" w:ascii="黑体" w:hAnsi="黑体" w:eastAsia="黑体"/>
          <w:i w:val="0"/>
          <w:iCs/>
          <w:color w:val="000000"/>
          <w:sz w:val="32"/>
          <w:szCs w:val="32"/>
          <w:highlight w:val="none"/>
          <w:u w:val="single"/>
        </w:rPr>
        <w:t xml:space="preserve">二、上一年度的财务状况报告</w:t>
      </w:r>
      <w:bookmarkEnd w:id="399"/>
      <w:r/>
      <w:bookmarkEnd w:id="400"/>
      <w:r/>
      <w:bookmarkEnd w:id="401"/>
      <w:r/>
      <w:r/>
    </w:p>
    <w:p>
      <w:pPr>
        <w:ind w:firstLine="480"/>
        <w:keepLines w:val="0"/>
        <w:keepNext w:val="0"/>
        <w:pageBreakBefore w:val="0"/>
        <w:spacing w:line="360" w:lineRule="auto"/>
        <w:widowControl w:val="off"/>
        <w:rPr>
          <w:rFonts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p>
    <w:p>
      <w:pPr>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p>
    <w:p>
      <w:pPr>
        <w:pStyle w:val="1103"/>
        <w:rPr>
          <w:color w:val="000000"/>
          <w:highlight w:val="none"/>
        </w:rPr>
      </w:pPr>
      <w:r>
        <w:rPr>
          <w:color w:val="000000"/>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keepLines w:val="0"/>
        <w:keepNext w:val="0"/>
        <w:pageBreakBefore w:val="0"/>
        <w:spacing w:line="360" w:lineRule="auto"/>
        <w:widowControl w:val="off"/>
        <w:rPr>
          <w:rFonts w:ascii="宋体" w:hAnsi="宋体"/>
          <w:bCs/>
          <w:i w:val="0"/>
          <w:iCs/>
          <w:color w:val="000000"/>
          <w:sz w:val="24"/>
          <w:szCs w:val="21"/>
          <w:highlight w:val="none"/>
        </w:rPr>
      </w:pPr>
      <w:r>
        <w:rPr>
          <w:rFonts w:ascii="宋体" w:hAnsi="宋体"/>
          <w:bCs/>
          <w:i w:val="0"/>
          <w:iCs/>
          <w:color w:val="000000"/>
          <w:sz w:val="24"/>
          <w:szCs w:val="21"/>
          <w:highlight w:val="none"/>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2" w:name="_Toc287"/>
      <w:r/>
      <w:bookmarkStart w:id="403" w:name="_Toc22415"/>
      <w:r/>
      <w:bookmarkStart w:id="404" w:name="_Toc18488"/>
      <w:r>
        <w:rPr>
          <w:rFonts w:hint="eastAsia" w:ascii="黑体" w:hAnsi="黑体" w:eastAsia="黑体"/>
          <w:i w:val="0"/>
          <w:iCs/>
          <w:color w:val="000000"/>
          <w:sz w:val="32"/>
          <w:szCs w:val="32"/>
          <w:highlight w:val="none"/>
          <w:u w:val="single"/>
        </w:rPr>
        <w:t xml:space="preserve">三、依法缴纳税收和社会保障资金的相关材料</w:t>
      </w:r>
      <w:bookmarkEnd w:id="402"/>
      <w:r/>
      <w:bookmarkEnd w:id="403"/>
      <w:r/>
      <w:bookmarkEnd w:id="404"/>
      <w:r/>
      <w:r/>
    </w:p>
    <w:p>
      <w:pPr>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p>
    <w:p>
      <w:pPr>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p>
    <w:p>
      <w:pPr>
        <w:pStyle w:val="1103"/>
        <w:rPr>
          <w:color w:val="000000"/>
          <w:highlight w:val="none"/>
        </w:rPr>
      </w:pPr>
      <w:r>
        <w:rPr>
          <w:color w:val="000000"/>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5" w:name="_Toc28185"/>
      <w:r/>
      <w:bookmarkStart w:id="406" w:name="_Toc25206"/>
      <w:r/>
      <w:bookmarkStart w:id="407" w:name="_Toc22102"/>
      <w:r>
        <w:rPr>
          <w:rFonts w:hint="eastAsia" w:ascii="黑体" w:hAnsi="黑体" w:eastAsia="黑体"/>
          <w:i w:val="0"/>
          <w:iCs/>
          <w:color w:val="000000"/>
          <w:sz w:val="32"/>
          <w:szCs w:val="32"/>
          <w:highlight w:val="none"/>
          <w:u w:val="single"/>
        </w:rPr>
        <w:t xml:space="preserve">四、具备履行合同所必需的设备和专业技术能力的书面声明</w:t>
      </w:r>
      <w:bookmarkEnd w:id="405"/>
      <w:r/>
      <w:bookmarkEnd w:id="406"/>
      <w:r/>
      <w:bookmarkEnd w:id="407"/>
      <w:r>
        <w:rPr>
          <w:rFonts w:hint="eastAsia" w:ascii="黑体" w:hAnsi="黑体" w:eastAsia="黑体"/>
          <w:i w:val="0"/>
          <w:iCs/>
          <w:color w:val="000000"/>
          <w:sz w:val="32"/>
          <w:szCs w:val="32"/>
          <w:highlight w:val="none"/>
          <w:u w:val="single"/>
          <w:lang w:val="en-US" w:eastAsia="zh-CN"/>
        </w:rPr>
        <w:t xml:space="preserve">及证明材料</w:t>
      </w:r>
      <w:r/>
    </w:p>
    <w:p>
      <w:pPr>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主要设备有：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p>
    <w:p>
      <w:pPr>
        <w:ind w:firstLine="49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Cs/>
          <w:i w:val="0"/>
          <w:iCs/>
          <w:color w:val="000000"/>
          <w:sz w:val="24"/>
          <w:szCs w:val="21"/>
          <w:highlight w:val="none"/>
        </w:rPr>
        <w:t xml:space="preserve">主要专业技术能力有：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    </w:t>
      </w:r>
      <w:r/>
    </w:p>
    <w:p>
      <w:pPr>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附主要设备和主要专业技术能力的证明材料如下：</w:t>
      </w:r>
      <w:r/>
    </w:p>
    <w:p>
      <w:pPr>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ind w:firstLine="602"/>
        <w:keepLines w:val="0"/>
        <w:keepNext w:val="0"/>
        <w:pageBreakBefore w:val="0"/>
        <w:spacing w:line="360" w:lineRule="auto"/>
        <w:widowControl w:val="off"/>
        <w:rPr>
          <w:rFonts w:hint="eastAsia" w:ascii="宋体" w:hAnsi="宋体" w:eastAsia="宋体"/>
          <w:b/>
          <w:bCs w:val="0"/>
          <w:i w:val="0"/>
          <w:iCs/>
          <w:color w:val="000000"/>
          <w:sz w:val="30"/>
          <w:szCs w:val="30"/>
          <w:highlight w:val="none"/>
          <w:lang w:eastAsia="zh-CN"/>
        </w:rPr>
      </w:pPr>
      <w:r>
        <w:rPr>
          <w:rFonts w:hint="eastAsia" w:ascii="宋体" w:hAnsi="宋体"/>
          <w:b/>
          <w:bCs w:val="0"/>
          <w:i w:val="0"/>
          <w:iCs/>
          <w:color w:val="000000"/>
          <w:sz w:val="30"/>
          <w:szCs w:val="30"/>
          <w:highlight w:val="none"/>
        </w:rPr>
        <w:t xml:space="preserve">特别提醒</w:t>
      </w:r>
      <w:r>
        <w:rPr>
          <w:rFonts w:hint="eastAsia" w:ascii="宋体" w:hAnsi="宋体"/>
          <w:b/>
          <w:bCs w:val="0"/>
          <w:i w:val="0"/>
          <w:iCs/>
          <w:color w:val="000000"/>
          <w:sz w:val="30"/>
          <w:szCs w:val="30"/>
          <w:highlight w:val="none"/>
          <w:lang w:eastAsia="zh-CN"/>
        </w:rPr>
        <w:t xml:space="preserve">：</w:t>
      </w:r>
      <w:r>
        <w:rPr>
          <w:rFonts w:hint="eastAsia" w:ascii="宋体" w:hAnsi="宋体"/>
          <w:b/>
          <w:bCs w:val="0"/>
          <w:i w:val="0"/>
          <w:iCs/>
          <w:color w:val="000000"/>
          <w:sz w:val="30"/>
          <w:szCs w:val="30"/>
          <w:highlight w:val="none"/>
        </w:rPr>
        <w:t xml:space="preserve">请认真填写此声明，并提供</w:t>
      </w:r>
      <w:r>
        <w:rPr>
          <w:rFonts w:hint="eastAsia" w:ascii="宋体" w:hAnsi="宋体"/>
          <w:b/>
          <w:bCs w:val="0"/>
          <w:i w:val="0"/>
          <w:iCs/>
          <w:color w:val="000000"/>
          <w:sz w:val="30"/>
          <w:szCs w:val="30"/>
          <w:highlight w:val="none"/>
          <w:lang w:val="en-US" w:eastAsia="zh-CN"/>
        </w:rPr>
        <w:t xml:space="preserve">对应的</w:t>
      </w:r>
      <w:r>
        <w:rPr>
          <w:rFonts w:hint="eastAsia" w:ascii="宋体" w:hAnsi="宋体"/>
          <w:b/>
          <w:bCs w:val="0"/>
          <w:i w:val="0"/>
          <w:iCs/>
          <w:color w:val="000000"/>
          <w:sz w:val="30"/>
          <w:szCs w:val="30"/>
          <w:highlight w:val="none"/>
        </w:rPr>
        <w:t xml:space="preserve">证明材料，如设备采购发票、合同、</w:t>
      </w:r>
      <w:r>
        <w:rPr>
          <w:rFonts w:hint="eastAsia" w:ascii="宋体" w:hAnsi="宋体"/>
          <w:b/>
          <w:bCs w:val="0"/>
          <w:i w:val="0"/>
          <w:iCs/>
          <w:color w:val="000000"/>
          <w:sz w:val="30"/>
          <w:szCs w:val="30"/>
          <w:highlight w:val="none"/>
          <w:lang w:val="en-US" w:eastAsia="zh-CN"/>
        </w:rPr>
        <w:t xml:space="preserve">运输工具</w:t>
      </w:r>
      <w:r>
        <w:rPr>
          <w:rFonts w:hint="eastAsia" w:ascii="宋体" w:hAnsi="宋体"/>
          <w:b/>
          <w:bCs w:val="0"/>
          <w:i w:val="0"/>
          <w:iCs/>
          <w:color w:val="000000"/>
          <w:sz w:val="30"/>
          <w:szCs w:val="30"/>
          <w:highlight w:val="none"/>
        </w:rPr>
        <w:t xml:space="preserve">、</w:t>
      </w:r>
      <w:r>
        <w:rPr>
          <w:rFonts w:hint="eastAsia" w:ascii="宋体" w:hAnsi="宋体"/>
          <w:b/>
          <w:bCs w:val="0"/>
          <w:i w:val="0"/>
          <w:iCs/>
          <w:color w:val="000000"/>
          <w:sz w:val="30"/>
          <w:szCs w:val="30"/>
          <w:highlight w:val="none"/>
          <w:lang w:val="en-US" w:eastAsia="zh-CN"/>
        </w:rPr>
        <w:t xml:space="preserve">企业生产能力、专业技术能力、</w:t>
      </w:r>
      <w:r>
        <w:rPr>
          <w:rFonts w:hint="eastAsia" w:ascii="宋体" w:hAnsi="宋体"/>
          <w:b/>
          <w:bCs w:val="0"/>
          <w:i w:val="0"/>
          <w:iCs/>
          <w:color w:val="000000"/>
          <w:sz w:val="30"/>
          <w:szCs w:val="30"/>
          <w:highlight w:val="none"/>
        </w:rPr>
        <w:t xml:space="preserve">人员专业证书等</w:t>
      </w:r>
      <w:r>
        <w:rPr>
          <w:rFonts w:hint="eastAsia" w:ascii="宋体" w:hAnsi="宋体"/>
          <w:b/>
          <w:bCs w:val="0"/>
          <w:i w:val="0"/>
          <w:iCs/>
          <w:color w:val="000000"/>
          <w:sz w:val="30"/>
          <w:szCs w:val="30"/>
          <w:highlight w:val="none"/>
          <w:lang w:val="en-US" w:eastAsia="zh-CN"/>
        </w:rPr>
        <w:t xml:space="preserve">的证明材料</w:t>
      </w:r>
      <w:r>
        <w:rPr>
          <w:rFonts w:hint="eastAsia" w:ascii="宋体" w:hAnsi="宋体"/>
          <w:b/>
          <w:bCs w:val="0"/>
          <w:i w:val="0"/>
          <w:iCs/>
          <w:color w:val="000000"/>
          <w:sz w:val="30"/>
          <w:szCs w:val="30"/>
          <w:highlight w:val="none"/>
        </w:rPr>
        <w:t xml:space="preserve">。否则自行承担无效响应的风险</w:t>
      </w:r>
      <w:r>
        <w:rPr>
          <w:rFonts w:hint="eastAsia" w:ascii="宋体" w:hAnsi="宋体"/>
          <w:b/>
          <w:bCs w:val="0"/>
          <w:i w:val="0"/>
          <w:iCs/>
          <w:color w:val="000000"/>
          <w:sz w:val="30"/>
          <w:szCs w:val="30"/>
          <w:highlight w:val="none"/>
          <w:lang w:eastAsia="zh-CN"/>
        </w:rPr>
        <w:t xml:space="preserve">。</w:t>
      </w:r>
      <w:r/>
    </w:p>
    <w:p>
      <w:pPr>
        <w:keepLines w:val="0"/>
        <w:keepNext w:val="0"/>
        <w:pageBreakBefore w:val="0"/>
        <w:spacing w:line="360" w:lineRule="auto"/>
        <w:widowControl w:val="off"/>
        <w:rPr>
          <w:rFonts w:hint="eastAsia" w:ascii="Times New Roman" w:hAnsi="Times New Roman"/>
          <w:i w:val="0"/>
          <w:iCs/>
          <w:color w:val="000000"/>
          <w:szCs w:val="21"/>
          <w:highlight w:val="none"/>
          <w:lang w:val="en-US" w:eastAsia="en-US"/>
        </w:rPr>
      </w:pPr>
      <w:r>
        <w:rPr>
          <w:rFonts w:hint="eastAsia" w:ascii="Times New Roman" w:hAnsi="Times New Roman"/>
          <w:i w:val="0"/>
          <w:iCs/>
          <w:color w:val="000000"/>
          <w:szCs w:val="21"/>
          <w:highlight w:val="none"/>
          <w:lang w:val="en-US" w:eastAsia="en-US"/>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8" w:name="_Toc29063"/>
      <w:r/>
      <w:bookmarkStart w:id="409" w:name="_Toc2490"/>
      <w:r/>
      <w:bookmarkStart w:id="410" w:name="_Toc26845"/>
      <w:r>
        <w:rPr>
          <w:rFonts w:hint="eastAsia" w:ascii="黑体" w:hAnsi="黑体" w:eastAsia="黑体"/>
          <w:i w:val="0"/>
          <w:iCs/>
          <w:color w:val="000000"/>
          <w:sz w:val="32"/>
          <w:szCs w:val="32"/>
          <w:highlight w:val="none"/>
          <w:u w:val="single"/>
        </w:rPr>
        <w:t xml:space="preserve">五、参加政府采购活动前 3 年内在经营活动中没有重大违法记录的书面声明</w:t>
      </w:r>
      <w:bookmarkEnd w:id="408"/>
      <w:r/>
      <w:bookmarkEnd w:id="409"/>
      <w:r/>
      <w:bookmarkEnd w:id="410"/>
      <w:r/>
      <w:r/>
    </w:p>
    <w:p>
      <w:pPr>
        <w:keepLines w:val="0"/>
        <w:keepNext w:val="0"/>
        <w:pageBreakBefore w:val="0"/>
        <w:spacing w:line="360" w:lineRule="auto"/>
        <w:widowControl w:val="off"/>
        <w:rPr>
          <w:rFonts w:hint="eastAsia" w:ascii="宋体" w:hAnsi="宋体"/>
          <w:b/>
          <w:bCs/>
          <w:i w:val="0"/>
          <w:iCs/>
          <w:color w:val="000000"/>
          <w:sz w:val="44"/>
          <w:szCs w:val="44"/>
          <w:highlight w:val="none"/>
        </w:rPr>
      </w:pPr>
      <w:r>
        <w:rPr>
          <w:rFonts w:hint="eastAsia" w:ascii="宋体" w:hAnsi="宋体"/>
          <w:b/>
          <w:bCs/>
          <w:i w:val="0"/>
          <w:iCs/>
          <w:color w:val="000000"/>
          <w:sz w:val="44"/>
          <w:szCs w:val="44"/>
          <w:highlight w:val="none"/>
        </w:rPr>
        <w:t xml:space="preserve">                 声  明</w:t>
      </w:r>
      <w:r/>
    </w:p>
    <w:p>
      <w:pPr>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
          <w:bCs/>
          <w:i w:val="0"/>
          <w:iCs/>
          <w:color w:val="000000"/>
          <w:sz w:val="24"/>
          <w:szCs w:val="21"/>
          <w:highlight w:val="none"/>
        </w:rPr>
        <w:t xml:space="preserve">    </w:t>
      </w:r>
      <w:r>
        <w:rPr>
          <w:rFonts w:hint="eastAsia" w:ascii="宋体" w:hAnsi="宋体"/>
          <w:bCs/>
          <w:i w:val="0"/>
          <w:i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1" w:name="_Toc12832"/>
      <w:r/>
      <w:bookmarkStart w:id="412" w:name="_Toc15663"/>
      <w:r/>
      <w:bookmarkStart w:id="413" w:name="_Toc20071"/>
      <w:r>
        <w:rPr>
          <w:rFonts w:hint="eastAsia" w:ascii="黑体" w:hAnsi="黑体" w:eastAsia="黑体"/>
          <w:i w:val="0"/>
          <w:iCs/>
          <w:color w:val="000000"/>
          <w:sz w:val="32"/>
          <w:szCs w:val="32"/>
          <w:highlight w:val="none"/>
          <w:u w:val="single"/>
        </w:rPr>
        <w:t xml:space="preserve">六、特定资格要求的证明文件</w:t>
      </w:r>
      <w:bookmarkEnd w:id="411"/>
      <w:r/>
      <w:bookmarkEnd w:id="412"/>
      <w:r/>
      <w:bookmarkEnd w:id="413"/>
      <w:r/>
      <w:r/>
    </w:p>
    <w:p>
      <w:pPr>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t xml:space="preserve">   如果本项目申请人的特定资格要求中要求提供的，必须提供。</w:t>
      </w:r>
      <w:r/>
    </w:p>
    <w:p>
      <w:pPr>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r>
      <w:bookmarkEnd w:id="390"/>
      <w:bookmarkEnd w:id="391"/>
      <w:bookmarkEnd w:id="392"/>
      <w:r/>
    </w:p>
    <w:p>
      <w:pPr>
        <w:spacing w:line="460" w:lineRule="exact"/>
        <w:rPr>
          <w:rFonts w:hint="eastAsia" w:ascii="宋体" w:hAnsi="宋体"/>
          <w:bCs/>
          <w:i w:val="0"/>
          <w:iCs/>
          <w:color w:val="000000"/>
          <w:sz w:val="24"/>
          <w:szCs w:val="21"/>
          <w:highlight w:val="none"/>
        </w:rPr>
      </w:pPr>
      <w:r/>
      <w:bookmarkStart w:id="414" w:name="_Toc120614284"/>
      <w:r/>
      <w:r/>
    </w:p>
    <w:p>
      <w:pPr>
        <w:jc w:val="cente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5" w:name="_Toc3418"/>
      <w:r/>
      <w:bookmarkStart w:id="416" w:name="_Toc15264"/>
      <w:r/>
      <w:bookmarkStart w:id="417" w:name="_Toc5432"/>
      <w:r>
        <w:rPr>
          <w:rFonts w:hint="eastAsia" w:ascii="黑体" w:hAnsi="黑体" w:eastAsia="黑体"/>
          <w:i w:val="0"/>
          <w:iCs/>
          <w:color w:val="000000"/>
          <w:sz w:val="32"/>
          <w:szCs w:val="32"/>
          <w:highlight w:val="none"/>
          <w:u w:val="single"/>
        </w:rPr>
        <w:t xml:space="preserve">七、法人授权书</w:t>
      </w:r>
      <w:bookmarkEnd w:id="415"/>
      <w:r/>
      <w:bookmarkEnd w:id="416"/>
      <w:r/>
      <w:bookmarkEnd w:id="417"/>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418" w:name="_Hlt26671380"/>
      <w:r/>
      <w:bookmarkEnd w:id="418"/>
      <w:r/>
      <w:bookmarkStart w:id="419" w:name="_Hlt26955070"/>
      <w:r/>
      <w:bookmarkEnd w:id="419"/>
      <w:r/>
      <w:bookmarkStart w:id="420" w:name="_格式3__银行出具的资信证明"/>
      <w:r/>
      <w:bookmarkEnd w:id="420"/>
      <w:r>
        <w:rPr>
          <w:rFonts w:hint="eastAsia" w:ascii="Times New Roman" w:hAnsi="Times New Roman"/>
          <w:color w:val="000000"/>
          <w:sz w:val="24"/>
          <w:szCs w:val="24"/>
          <w:highlight w:val="none"/>
          <w:u w:val="single"/>
        </w:rPr>
        <w:t xml:space="preserve">                                         </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7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7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
          <w:color w:val="000000"/>
          <w:sz w:val="24"/>
          <w:szCs w:val="24"/>
          <w:highlight w:val="none"/>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如实填写联系方式并在评审过程中保持联系方式畅通，评审过程中如联系不上，由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承担一切不利后果。</w:t>
      </w:r>
      <w:r/>
    </w:p>
    <w:p>
      <w:pPr>
        <w:ind w:firstLine="420"/>
        <w:rPr>
          <w:rFonts w:hint="eastAsia" w:ascii="Times New Roman" w:hAnsi="Times New Roman"/>
          <w:i/>
          <w:color w:val="000000"/>
          <w:sz w:val="24"/>
          <w:szCs w:val="24"/>
          <w:highlight w:val="none"/>
          <w:u w:val="single"/>
          <w:lang w:val="en-US" w:eastAsia="en-US"/>
        </w:rPr>
      </w:pPr>
      <w:r>
        <w:rPr>
          <w:rFonts w:hint="eastAsia" w:ascii="Times New Roman" w:hAnsi="Times New Roman"/>
          <w:i/>
          <w:color w:val="000000"/>
          <w:sz w:val="24"/>
          <w:szCs w:val="24"/>
          <w:highlight w:val="none"/>
          <w:u w:val="single"/>
          <w:lang w:val="en-US" w:eastAsia="en-US"/>
        </w:rPr>
      </w:r>
      <w:r/>
    </w:p>
    <w:p>
      <w:pPr>
        <w:rPr>
          <w:rFonts w:hint="eastAsia" w:ascii="Times New Roman" w:hAnsi="Times New Roman"/>
          <w:color w:val="000000"/>
          <w:szCs w:val="21"/>
          <w:highlight w:val="none"/>
          <w:lang w:val="en-US" w:eastAsia="en-US"/>
        </w:rPr>
      </w:pPr>
      <w:r>
        <w:rPr>
          <w:rFonts w:hint="eastAsia" w:ascii="Times New Roman" w:hAnsi="Times New Roman"/>
          <w:color w:val="000000"/>
          <w:szCs w:val="21"/>
          <w:highlight w:val="none"/>
          <w:lang w:val="en-US" w:eastAsia="en-US"/>
        </w:rPr>
      </w:r>
      <w:r/>
    </w:p>
    <w:p>
      <w:pPr>
        <w:keepLines w:val="0"/>
        <w:keepNext w:val="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left="0"/>
        <w:jc w:val="center"/>
        <w:keepLines/>
        <w:keepNext/>
        <w:pageBreakBefore w:val="0"/>
        <w:spacing w:line="480" w:lineRule="auto"/>
        <w:widowControl w:val="off"/>
        <w:rPr>
          <w:rFonts w:ascii="黑体" w:hAnsi="黑体" w:eastAsia="黑体"/>
          <w:b/>
          <w:i w:val="0"/>
          <w:iCs/>
          <w:color w:val="000000"/>
          <w:sz w:val="32"/>
          <w:szCs w:val="32"/>
          <w:highlight w:val="none"/>
          <w:u w:val="single"/>
        </w:rPr>
        <w:outlineLvl w:val="0"/>
      </w:pPr>
      <w:r>
        <w:rPr>
          <w:rFonts w:ascii="宋体" w:hAnsi="宋体" w:eastAsia="幼圆" w:cs="Arial"/>
          <w:b/>
          <w:color w:val="000000"/>
          <w:sz w:val="24"/>
          <w:szCs w:val="44"/>
          <w:highlight w:val="none"/>
        </w:rPr>
        <w:br w:type="page" w:clear="all"/>
      </w:r>
      <w:bookmarkStart w:id="421" w:name="_Toc25622"/>
      <w:r/>
      <w:bookmarkStart w:id="422" w:name="_Toc16937"/>
      <w:r/>
      <w:bookmarkStart w:id="423" w:name="_Toc27534"/>
      <w:r>
        <w:rPr>
          <w:rFonts w:hint="eastAsia" w:ascii="黑体" w:hAnsi="黑体" w:eastAsia="黑体" w:cs="Arial"/>
          <w:b/>
          <w:i w:val="0"/>
          <w:iCs/>
          <w:color w:val="000000"/>
          <w:sz w:val="32"/>
          <w:szCs w:val="32"/>
          <w:highlight w:val="none"/>
          <w:u w:val="single"/>
        </w:rPr>
        <w:t xml:space="preserve">八、</w:t>
      </w:r>
      <w:r>
        <w:rPr>
          <w:rFonts w:hint="eastAsia" w:ascii="黑体" w:hAnsi="黑体" w:eastAsia="黑体"/>
          <w:b/>
          <w:i w:val="0"/>
          <w:iCs/>
          <w:color w:val="000000"/>
          <w:sz w:val="32"/>
          <w:szCs w:val="32"/>
          <w:highlight w:val="none"/>
          <w:u w:val="single"/>
        </w:rPr>
        <w:t xml:space="preserve">投标函</w:t>
      </w:r>
      <w:bookmarkEnd w:id="421"/>
      <w:r/>
      <w:bookmarkEnd w:id="422"/>
      <w:r/>
      <w:bookmarkEnd w:id="423"/>
      <w:r/>
      <w:r/>
    </w:p>
    <w:p>
      <w:pPr>
        <w:ind w:left="0"/>
        <w:jc w:val="left"/>
        <w:pageBreakBefore w:val="0"/>
        <w:spacing w:line="48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left="0" w:firstLine="240"/>
        <w:jc w:val="center"/>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321"/>
        <w:jc w:val="center"/>
        <w:spacing w:line="560" w:lineRule="exact"/>
        <w:rPr>
          <w:rFonts w:hint="eastAsia" w:ascii="黑体" w:hAnsi="黑体" w:eastAsia="黑体"/>
          <w:b/>
          <w:color w:val="000000"/>
          <w:sz w:val="32"/>
          <w:szCs w:val="32"/>
          <w:highlight w:val="none"/>
        </w:rPr>
        <w:outlineLvl w:val="0"/>
      </w:pPr>
      <w:r/>
      <w:bookmarkStart w:id="424" w:name="_Toc27774"/>
      <w:r/>
      <w:bookmarkStart w:id="425" w:name="_Toc1063"/>
      <w:r/>
      <w:bookmarkStart w:id="426" w:name="_Toc12477"/>
      <w:r>
        <w:rPr>
          <w:rFonts w:hint="eastAsia" w:ascii="黑体" w:hAnsi="黑体" w:eastAsia="黑体"/>
          <w:b/>
          <w:color w:val="000000"/>
          <w:sz w:val="32"/>
          <w:szCs w:val="32"/>
          <w:highlight w:val="none"/>
        </w:rPr>
        <w:t xml:space="preserve">九、小微企业声明函（货物）（分包号：**）</w:t>
      </w:r>
      <w:bookmarkEnd w:id="424"/>
      <w:r/>
      <w:bookmarkEnd w:id="425"/>
      <w:r/>
      <w:bookmarkEnd w:id="426"/>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p>
    <w:p>
      <w:pPr>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p>
    <w:p>
      <w:pPr>
        <w:jc w:val="center"/>
        <w:spacing w:line="460" w:lineRule="exact"/>
        <w:rPr>
          <w:rFonts w:hint="eastAsia" w:ascii="黑体" w:hAnsi="黑体" w:eastAsia="黑体"/>
          <w:b/>
          <w:color w:val="000000"/>
          <w:sz w:val="32"/>
          <w:szCs w:val="32"/>
          <w:highlight w:val="none"/>
        </w:rPr>
        <w:outlineLvl w:val="0"/>
      </w:pPr>
      <w:r>
        <w:rPr>
          <w:rFonts w:ascii="黑体" w:hAnsi="黑体" w:eastAsia="黑体"/>
          <w:b/>
          <w:color w:val="000000"/>
          <w:sz w:val="32"/>
          <w:szCs w:val="32"/>
          <w:highlight w:val="none"/>
        </w:rPr>
        <w:br w:type="page" w:clear="all"/>
      </w:r>
      <w:bookmarkStart w:id="427" w:name="_Toc15569"/>
      <w:r/>
      <w:bookmarkStart w:id="428" w:name="_Toc5496"/>
      <w:r/>
      <w:bookmarkStart w:id="429" w:name="_Toc9330"/>
      <w:r>
        <w:rPr>
          <w:rFonts w:hint="eastAsia" w:ascii="黑体" w:hAnsi="黑体" w:eastAsia="黑体"/>
          <w:b/>
          <w:color w:val="000000"/>
          <w:sz w:val="32"/>
          <w:szCs w:val="32"/>
          <w:highlight w:val="none"/>
        </w:rPr>
        <w:t xml:space="preserve">十、残疾人福利性单位声明函（分包号：**）</w:t>
      </w:r>
      <w:bookmarkEnd w:id="427"/>
      <w:r/>
      <w:bookmarkEnd w:id="428"/>
      <w:r/>
      <w:bookmarkEnd w:id="429"/>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60" w:firstLine="624"/>
        <w:jc w:val="center"/>
        <w:spacing w:line="588"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lang w:val="en-US" w:eastAsia="zh-CN"/>
        </w:rPr>
      </w:pPr>
      <w:r>
        <w:rPr>
          <w:rFonts w:hint="eastAsia" w:ascii="黑体" w:hAnsi="黑体" w:eastAsia="黑体"/>
          <w:b/>
          <w:color w:val="000000"/>
          <w:sz w:val="32"/>
          <w:szCs w:val="32"/>
          <w:highlight w:val="none"/>
        </w:rPr>
        <w:t xml:space="preserve">关于符合本国产品标准的声明函（分包号：**）</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1116965</wp:posOffset>
                </wp:positionH>
                <wp:positionV relativeFrom="paragraph">
                  <wp:posOffset>962660</wp:posOffset>
                </wp:positionV>
                <wp:extent cx="866140" cy="762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6614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88.0pt;mso-position-horizontal:absolute;mso-position-vertical-relative:text;margin-top:75.8pt;mso-position-vertical:absolute;width:68.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2353310</wp:posOffset>
                </wp:positionH>
                <wp:positionV relativeFrom="paragraph">
                  <wp:posOffset>945515</wp:posOffset>
                </wp:positionV>
                <wp:extent cx="65786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65786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185.3pt;mso-position-horizontal:absolute;mso-position-vertical-relative:text;margin-top:74.5pt;mso-position-vertical:absolute;width:51.8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4775200</wp:posOffset>
                </wp:positionH>
                <wp:positionV relativeFrom="paragraph">
                  <wp:posOffset>224790</wp:posOffset>
                </wp:positionV>
                <wp:extent cx="714375" cy="762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71437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76.0pt;mso-position-horizontal:absolute;mso-position-vertical-relative:text;margin-top:17.7pt;mso-position-vertical:absolute;width:56.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4769485</wp:posOffset>
                </wp:positionH>
                <wp:positionV relativeFrom="paragraph">
                  <wp:posOffset>569595</wp:posOffset>
                </wp:positionV>
                <wp:extent cx="614680" cy="762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6146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75.5pt;mso-position-horizontal:absolute;mso-position-vertical-relative:text;margin-top:44.8pt;mso-position-vertical:absolute;width:48.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3483610</wp:posOffset>
                </wp:positionH>
                <wp:positionV relativeFrom="paragraph">
                  <wp:posOffset>608965</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74.3pt;mso-position-horizontal:absolute;mso-position-vertical-relative:text;margin-top:47.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2404745</wp:posOffset>
                </wp:positionH>
                <wp:positionV relativeFrom="paragraph">
                  <wp:posOffset>585470</wp:posOffset>
                </wp:positionV>
                <wp:extent cx="744855" cy="8826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744855" cy="882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89.3pt;mso-position-horizontal:absolute;mso-position-vertical-relative:text;margin-top:46.1pt;mso-position-vertical:absolute;width:58.6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。（产品名称1） 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（关键组件）</w:t>
      </w:r>
      <w:r>
        <w:rPr>
          <w:rFonts w:hint="eastAsia" w:ascii="宋体" w:hAnsi="宋体" w:eastAsia="宋体" w:cs="Times New Roman"/>
          <w:color w:val="000000"/>
          <w:sz w:val="24"/>
          <w:szCs w:val="21"/>
          <w:highlight w:val="none"/>
          <w:lang w:val="en-US" w:eastAsia="zh-CN"/>
        </w:rPr>
        <w:t xml:space="preserve">在中国境内生产。</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（关键工序）</w:t>
      </w:r>
      <w:r>
        <w:rPr>
          <w:rFonts w:hint="eastAsia" w:ascii="宋体" w:hAnsi="宋体" w:eastAsia="宋体" w:cs="Times New Roman"/>
          <w:color w:val="000000"/>
          <w:sz w:val="24"/>
          <w:szCs w:val="21"/>
          <w:highlight w:val="none"/>
          <w:lang w:val="en-US" w:eastAsia="zh-CN"/>
        </w:rPr>
        <w:t xml:space="preserve">在中国境内完成。</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2362200</wp:posOffset>
                </wp:positionH>
                <wp:positionV relativeFrom="paragraph">
                  <wp:posOffset>944880</wp:posOffset>
                </wp:positionV>
                <wp:extent cx="593090" cy="762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9309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86.0pt;mso-position-horizontal:absolute;mso-position-vertical-relative:text;margin-top:74.4pt;mso-position-vertical:absolute;width:46.7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1224915</wp:posOffset>
                </wp:positionH>
                <wp:positionV relativeFrom="paragraph">
                  <wp:posOffset>980440</wp:posOffset>
                </wp:positionV>
                <wp:extent cx="65278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6527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96.4pt;mso-position-horizontal:absolute;mso-position-vertical-relative:text;margin-top:77.2pt;mso-position-vertical:absolute;width:51.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4726305</wp:posOffset>
                </wp:positionH>
                <wp:positionV relativeFrom="paragraph">
                  <wp:posOffset>553720</wp:posOffset>
                </wp:positionV>
                <wp:extent cx="626745" cy="8636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626745" cy="863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2.1pt;mso-position-horizontal:absolute;mso-position-vertical-relative:text;margin-top:43.6pt;mso-position-vertical:absolute;width:49.3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3545205</wp:posOffset>
                </wp:positionH>
                <wp:positionV relativeFrom="paragraph">
                  <wp:posOffset>584835</wp:posOffset>
                </wp:positionV>
                <wp:extent cx="775335" cy="7810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75334" cy="781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79.1pt;mso-position-horizontal:absolute;mso-position-vertical-relative:text;margin-top:46.0pt;mso-position-vertical:absolute;width:61.0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2431415</wp:posOffset>
                </wp:positionH>
                <wp:positionV relativeFrom="paragraph">
                  <wp:posOffset>588010</wp:posOffset>
                </wp:positionV>
                <wp:extent cx="634365" cy="9906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63436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1.4pt;mso-position-horizontal:absolute;mso-position-vertical-relative:text;margin-top:46.3pt;mso-position-vertical:absolute;width:49.9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4730115</wp:posOffset>
                </wp:positionH>
                <wp:positionV relativeFrom="paragraph">
                  <wp:posOffset>186690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72.4pt;mso-position-horizontal:absolute;mso-position-vertical-relative:text;margin-top:1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的（关键组件）在中国境内生产。（产品名称1）的（关键工序）在中国境内完成。</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本公司（单位）对上述声明内容的真实性负责。如有虚假，愿承担相应法律责任。</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公司（单位）名称（盖章）：　        </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                                日期：　   年　  月　  日         </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1.产品如有型号，请在“产品名称”栏一并填写。</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2.生产厂名与厂址应与生产厂营业执照载明的相关信息保持一致。</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3.该产品的中国境内生产的组件成本占比相关要求实施前，“规定比例”栏可不填，下同。</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4.该产品的关键组件要求实施前，“关键组件”栏可不填，下同。</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5.该产品的关键工序要求实施前，“关键工序”栏可不填，下同。</w:t>
      </w:r>
      <w:r/>
    </w:p>
    <w:p>
      <w:pPr>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6.用斜线划除的地方无需填写。</w:t>
      </w:r>
      <w:r/>
    </w:p>
    <w:p>
      <w:pPr>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7.请供应商如实填写，如填写有误，将承担一切不利后果。</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8.供应商提供虚假《声明函》、虚假证明文件谋取中标的，依照《中华人民共和国政府采购法》等法律法规规定追究相应责任。</w:t>
      </w:r>
      <w:r/>
    </w:p>
    <w:p>
      <w:pPr>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9.中标人的《声明函》或有关证明文件随中标结果公开，接受社会监督。</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outlineLvl w:val="0"/>
      </w:pPr>
      <w:r/>
      <w:bookmarkStart w:id="430" w:name="_Toc22676"/>
      <w:r/>
      <w:bookmarkStart w:id="431" w:name="_Toc27656"/>
      <w:r/>
      <w:bookmarkStart w:id="432" w:name="_Toc23517"/>
      <w:r/>
      <w:r/>
    </w:p>
    <w:p>
      <w:pPr>
        <w:jc w:val="center"/>
        <w:spacing w:line="560" w:lineRule="exact"/>
        <w:rPr>
          <w:rFonts w:hint="eastAsia" w:ascii="黑体" w:hAnsi="黑体" w:eastAsia="黑体"/>
          <w:b/>
          <w:color w:val="000000"/>
          <w:sz w:val="32"/>
          <w:szCs w:val="32"/>
          <w:highlight w:val="none"/>
        </w:rPr>
        <w:outlineLvl w:val="0"/>
      </w:pPr>
      <w:r>
        <w:rPr>
          <w:rFonts w:hint="eastAsia" w:ascii="黑体" w:hAnsi="黑体" w:eastAsia="黑体"/>
          <w:b/>
          <w:color w:val="000000"/>
          <w:sz w:val="32"/>
          <w:szCs w:val="32"/>
          <w:highlight w:val="none"/>
        </w:rPr>
      </w:r>
      <w:r/>
    </w:p>
    <w:p>
      <w:pPr>
        <w:jc w:val="center"/>
        <w:spacing w:line="56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十一、联合体协议（参考格式）</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rPr>
        <w:t xml:space="preserve">（分包号：**）</w:t>
      </w:r>
      <w:bookmarkEnd w:id="430"/>
      <w:r/>
      <w:bookmarkEnd w:id="431"/>
      <w:r/>
      <w:bookmarkEnd w:id="432"/>
      <w:r/>
      <w:r/>
    </w:p>
    <w:p>
      <w:pPr>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p>
    <w:p>
      <w:pPr>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Lines w:val="0"/>
        <w:keepNext w:val="0"/>
        <w:pageBreakBefore w:val="0"/>
        <w:spacing w:line="360" w:lineRule="auto"/>
        <w:widowControl w:val="off"/>
        <w:rPr>
          <w:rFonts w:hint="eastAsia" w:ascii="黑体" w:hAnsi="黑体" w:eastAsia="黑体"/>
          <w:b/>
          <w:color w:val="000000"/>
          <w:sz w:val="32"/>
          <w:szCs w:val="32"/>
          <w:highlight w:val="none"/>
        </w:rPr>
        <w:outlineLvl w:val="0"/>
      </w:pPr>
      <w:r/>
      <w:bookmarkStart w:id="433" w:name="_Toc12020"/>
      <w:r/>
      <w:bookmarkStart w:id="434" w:name="_Toc24081"/>
      <w:r/>
      <w:bookmarkStart w:id="435" w:name="_Toc13988"/>
      <w:r>
        <w:rPr>
          <w:rFonts w:hint="eastAsia" w:ascii="黑体" w:hAnsi="黑体" w:eastAsia="黑体"/>
          <w:b/>
          <w:color w:val="000000"/>
          <w:sz w:val="32"/>
          <w:szCs w:val="32"/>
          <w:highlight w:val="none"/>
        </w:rPr>
        <w:t xml:space="preserve">十二、投标分项报价表（分包号：***）</w:t>
      </w:r>
      <w:bookmarkEnd w:id="433"/>
      <w:r/>
      <w:bookmarkEnd w:id="434"/>
      <w:r/>
      <w:bookmarkEnd w:id="435"/>
      <w:r/>
      <w:r/>
    </w:p>
    <w:p>
      <w:pPr>
        <w:jc w:val="center"/>
        <w:keepLines w:val="0"/>
        <w:keepNext w:val="0"/>
        <w:pageBreakBefore w:val="0"/>
        <w:spacing w:line="360" w:lineRule="auto"/>
        <w:widowControl w:val="off"/>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t xml:space="preserve">投标分项报价表</w:t>
      </w:r>
      <w:r/>
    </w:p>
    <w:p>
      <w:pPr>
        <w:ind w:left="0" w:right="0" w:firstLine="0"/>
        <w:keepLines w:val="0"/>
        <w:keepNext w:val="0"/>
        <w:pageBreakBefore w:val="0"/>
        <w:spacing w:before="0" w:after="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项目名称：                  项目编号：               分包号：</w:t>
      </w:r>
      <w:r/>
    </w:p>
    <w:p>
      <w:pPr>
        <w:ind w:left="0" w:right="0" w:firstLine="0"/>
        <w:jc w:val="center"/>
        <w:keepLines w:val="0"/>
        <w:keepNext w:val="0"/>
        <w:pageBreakBefore w:val="0"/>
        <w:spacing w:before="0" w:after="0" w:line="36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单位：元</w:t>
      </w:r>
      <w:r/>
    </w:p>
    <w:tbl>
      <w:tblPr>
        <w:tblStyle w:val="84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trPr>
          <w:trHeight w:val="663"/>
        </w:trPr>
        <w:tc>
          <w:tcPr>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序号</w:t>
            </w:r>
            <w:r/>
          </w:p>
        </w:tc>
        <w:tc>
          <w:tcPr>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货物（标的）名称</w:t>
            </w:r>
            <w:r/>
          </w:p>
        </w:tc>
        <w:tc>
          <w:tcPr>
            <w:tcMar>
              <w:left w:w="108" w:type="dxa"/>
              <w:top w:w="0" w:type="dxa"/>
              <w:right w:w="108" w:type="dxa"/>
              <w:bottom w:w="0" w:type="dxa"/>
            </w:tcMar>
            <w:tcW w:w="57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品牌</w:t>
            </w:r>
            <w:r/>
          </w:p>
        </w:tc>
        <w:tc>
          <w:tcPr>
            <w:tcMar>
              <w:left w:w="108" w:type="dxa"/>
              <w:top w:w="0" w:type="dxa"/>
              <w:right w:w="108" w:type="dxa"/>
              <w:bottom w:w="0" w:type="dxa"/>
            </w:tcMar>
            <w:tcW w:w="101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是否符合本国产品标准</w:t>
            </w:r>
            <w:r/>
          </w:p>
        </w:tc>
        <w:tc>
          <w:tcPr>
            <w:tcMar>
              <w:left w:w="108" w:type="dxa"/>
              <w:top w:w="0" w:type="dxa"/>
              <w:right w:w="108" w:type="dxa"/>
              <w:bottom w:w="0" w:type="dxa"/>
            </w:tcMar>
            <w:tcW w:w="615"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规格型号</w:t>
            </w:r>
            <w:r/>
          </w:p>
        </w:tc>
        <w:tc>
          <w:tcPr>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w:t>
            </w:r>
            <w:r/>
          </w:p>
        </w:tc>
        <w:tc>
          <w:tcPr>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制造商企业类型</w:t>
            </w:r>
            <w:r/>
          </w:p>
        </w:tc>
        <w:tc>
          <w:tcPr>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单价</w:t>
            </w:r>
            <w:r/>
          </w:p>
        </w:tc>
        <w:tc>
          <w:tcPr>
            <w:tcMar>
              <w:left w:w="108" w:type="dxa"/>
              <w:top w:w="0" w:type="dxa"/>
              <w:right w:w="108" w:type="dxa"/>
              <w:bottom w:w="0" w:type="dxa"/>
            </w:tcMar>
            <w:tcW w:w="76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数量</w:t>
            </w:r>
            <w:r/>
          </w:p>
        </w:tc>
        <w:tc>
          <w:tcPr>
            <w:tcMar>
              <w:left w:w="108" w:type="dxa"/>
              <w:top w:w="0" w:type="dxa"/>
              <w:right w:w="108" w:type="dxa"/>
              <w:bottom w:w="0" w:type="dxa"/>
            </w:tcMar>
            <w:tcW w:w="778"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计量单位</w:t>
            </w:r>
            <w:r/>
          </w:p>
        </w:tc>
        <w:tc>
          <w:tcPr>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单项合计价</w:t>
            </w:r>
            <w:r/>
          </w:p>
        </w:tc>
      </w:tr>
      <w:tr>
        <w:trPr>
          <w:trHeight w:val="581"/>
        </w:trPr>
        <w:tc>
          <w:tcPr>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p>
        </w:tc>
        <w:tc>
          <w:tcPr>
            <w:tcMar>
              <w:left w:w="108" w:type="dxa"/>
              <w:top w:w="0" w:type="dxa"/>
              <w:right w:w="108" w:type="dxa"/>
              <w:bottom w:w="0" w:type="dxa"/>
            </w:tcMar>
            <w:tcW w:w="104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572"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15"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2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0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6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7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88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r>
      <w:tr>
        <w:trPr>
          <w:trHeight w:val="548"/>
        </w:trPr>
        <w:tc>
          <w:tcPr>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p>
        </w:tc>
        <w:tc>
          <w:tcPr>
            <w:tcMar>
              <w:left w:w="108" w:type="dxa"/>
              <w:top w:w="0" w:type="dxa"/>
              <w:right w:w="108" w:type="dxa"/>
              <w:bottom w:w="0" w:type="dxa"/>
            </w:tcMar>
            <w:tcW w:w="104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572"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15"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2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0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6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7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88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r>
      <w:tr>
        <w:trPr>
          <w:trHeight w:val="551"/>
        </w:trPr>
        <w:tc>
          <w:tcPr>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p>
        </w:tc>
        <w:tc>
          <w:tcPr>
            <w:tcMar>
              <w:left w:w="108" w:type="dxa"/>
              <w:top w:w="0" w:type="dxa"/>
              <w:right w:w="108" w:type="dxa"/>
              <w:bottom w:w="0" w:type="dxa"/>
            </w:tcMar>
            <w:tcW w:w="104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572"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15"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2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0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6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7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88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r>
      <w:tr>
        <w:trPr>
          <w:trHeight w:val="547"/>
        </w:trPr>
        <w:tc>
          <w:tcPr>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p>
        </w:tc>
        <w:tc>
          <w:tcPr>
            <w:tcMar>
              <w:left w:w="108" w:type="dxa"/>
              <w:top w:w="0" w:type="dxa"/>
              <w:right w:w="108" w:type="dxa"/>
              <w:bottom w:w="0" w:type="dxa"/>
            </w:tcMar>
            <w:tcW w:w="104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572"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1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15"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02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604"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63"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778"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c>
          <w:tcPr>
            <w:tcMar>
              <w:left w:w="108" w:type="dxa"/>
              <w:top w:w="0" w:type="dxa"/>
              <w:right w:w="108" w:type="dxa"/>
              <w:bottom w:w="0" w:type="dxa"/>
            </w:tcMar>
            <w:tcW w:w="880" w:type="dxa"/>
            <w:vAlign w:val="center"/>
            <w:textDirection w:val="lrTb"/>
            <w:noWrap/>
          </w:tcPr>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r>
      <w:tr>
        <w:trPr>
          <w:trHeight w:val="567"/>
        </w:trPr>
        <w:tc>
          <w:tcPr>
            <w:gridSpan w:val="6"/>
            <w:tcMar>
              <w:left w:w="108" w:type="dxa"/>
              <w:top w:w="0" w:type="dxa"/>
              <w:right w:w="108" w:type="dxa"/>
              <w:bottom w:w="0" w:type="dxa"/>
            </w:tcMar>
            <w:tcW w:w="4730" w:type="dxa"/>
            <w:vAlign w:val="center"/>
            <w:textDirection w:val="lrTb"/>
            <w:noWrap/>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总计（元）</w:t>
            </w:r>
            <w:r/>
          </w:p>
        </w:tc>
        <w:tc>
          <w:tcPr>
            <w:gridSpan w:val="5"/>
            <w:tcMar>
              <w:left w:w="108" w:type="dxa"/>
              <w:top w:w="0" w:type="dxa"/>
              <w:right w:w="108" w:type="dxa"/>
              <w:bottom w:w="0" w:type="dxa"/>
            </w:tcMar>
            <w:tcW w:w="4345"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tc>
      </w:tr>
      <w:tr>
        <w:trPr>
          <w:trHeight w:val="567"/>
        </w:trPr>
        <w:tc>
          <w:tcPr>
            <w:gridSpan w:val="11"/>
            <w:tcMar>
              <w:left w:w="108" w:type="dxa"/>
              <w:top w:w="0" w:type="dxa"/>
              <w:right w:w="108" w:type="dxa"/>
              <w:bottom w:w="0" w:type="dxa"/>
            </w:tcMar>
            <w:tcW w:w="9075" w:type="dxa"/>
            <w:vAlign w:val="center"/>
            <w:textDirection w:val="lrTb"/>
            <w:noWrap/>
          </w:tcPr>
          <w:p>
            <w:pPr>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投标人（盖章）：</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法定代表人（单位负责人）或委托代理人（签字或盖章）：</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日期：年月日</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 </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填报说明：</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1、“制造商企业类型”栏填写内容为“大型”“中型”“小型”“微型”“监狱企业”或“残疾人福利性单位”。</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2、以上报价包含货物费用、运杂费、安装施工费、集成费、税金和其他费用。</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3、请供应商如实、正确填写本表，所填内容将作为评审的依据，其内容应与对应的证明资料相符。</w:t>
      </w:r>
      <w:r/>
    </w:p>
    <w:p>
      <w:pPr>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4、行数或事项不够，可自行增加。</w:t>
      </w:r>
      <w:r/>
    </w:p>
    <w:p>
      <w:pPr>
        <w:ind w:left="0" w:right="0" w:firstLine="420"/>
        <w:jc w:val="both"/>
        <w:keepLines w:val="0"/>
        <w:keepNext w:val="0"/>
        <w:pageBreakBefore w:val="0"/>
        <w:spacing w:before="0" w:after="0" w:line="360" w:lineRule="auto"/>
        <w:widowControl w:val="off"/>
        <w:rPr>
          <w:rFonts w:ascii="Calibri" w:hAnsi="Calibri" w:eastAsia="Calibri" w:cs="Calibri"/>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highlight w:val="none"/>
        </w:rPr>
        <w:t xml:space="preserve">5.</w:t>
      </w:r>
      <w:r>
        <w:rPr>
          <w:rFonts w:ascii="宋体" w:hAnsi="宋体" w:eastAsia="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sz w:val="24"/>
          <w:highlight w:val="none"/>
        </w:rPr>
        <w:t xml:space="preserve">80%</w:t>
      </w:r>
      <w:r>
        <w:rPr>
          <w:rFonts w:ascii="宋体" w:hAnsi="宋体" w:eastAsia="宋体" w:cs="宋体"/>
          <w:b/>
          <w:bCs/>
          <w:color w:val="000000"/>
          <w:sz w:val="24"/>
          <w:highlight w:val="none"/>
        </w:rPr>
        <w:t xml:space="preserve">的，将不享受本国产品价格评审优惠。</w:t>
      </w:r>
      <w:r/>
    </w:p>
    <w:p>
      <w:pPr>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Start w:id="436" w:name="_Toc1696"/>
      <w:r/>
      <w:bookmarkStart w:id="437" w:name="_Toc23242"/>
      <w:r/>
      <w:bookmarkStart w:id="438" w:name="_Toc32263"/>
      <w:r>
        <w:rPr>
          <w:rFonts w:hint="eastAsia" w:ascii="黑体" w:hAnsi="黑体" w:eastAsia="黑体"/>
          <w:b/>
          <w:color w:val="000000"/>
          <w:sz w:val="32"/>
          <w:szCs w:val="32"/>
          <w:highlight w:val="none"/>
        </w:rPr>
        <w:t xml:space="preserve">十三、技术要求响应及偏离表（分包号：**）</w:t>
      </w:r>
      <w:bookmarkEnd w:id="436"/>
      <w:r/>
      <w:bookmarkEnd w:id="437"/>
      <w:r/>
      <w:bookmarkEnd w:id="438"/>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87"/>
        <w:gridCol w:w="2569"/>
        <w:gridCol w:w="1519"/>
        <w:gridCol w:w="1687"/>
      </w:tblGrid>
      <w:tr>
        <w:trPr>
          <w:cantSplit/>
        </w:trPr>
        <w:tc>
          <w:tcPr>
            <w:tcW w:w="807"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587"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56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51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c>
          <w:tcPr>
            <w:tcW w:w="1687"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p>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5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p>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p>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bookmarkEnd w:id="414"/>
      <w:r/>
    </w:p>
    <w:p>
      <w:pPr>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Start w:id="439" w:name="_Hlt26955054"/>
      <w:r/>
      <w:bookmarkEnd w:id="439"/>
      <w:r/>
      <w:bookmarkStart w:id="440" w:name="_Toc9363"/>
      <w:r/>
      <w:bookmarkStart w:id="441" w:name="_Toc30504"/>
      <w:r/>
      <w:bookmarkStart w:id="442" w:name="_Toc27818"/>
      <w:r>
        <w:rPr>
          <w:rFonts w:hint="eastAsia" w:ascii="黑体" w:hAnsi="黑体" w:eastAsia="黑体"/>
          <w:b/>
          <w:color w:val="000000"/>
          <w:sz w:val="32"/>
          <w:szCs w:val="32"/>
          <w:highlight w:val="none"/>
        </w:rPr>
        <w:t xml:space="preserve">十四、商务要求响应及偏离表（分包号：**）</w:t>
      </w:r>
      <w:bookmarkEnd w:id="440"/>
      <w:r/>
      <w:bookmarkEnd w:id="441"/>
      <w:r/>
      <w:bookmarkEnd w:id="442"/>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32"/>
        <w:gridCol w:w="2306"/>
        <w:gridCol w:w="1669"/>
        <w:gridCol w:w="1932"/>
      </w:tblGrid>
      <w:tr>
        <w:trPr>
          <w:cantSplit/>
        </w:trPr>
        <w:tc>
          <w:tcPr>
            <w:tcW w:w="730" w:type="dxa"/>
            <w:vAlign w:val="center"/>
            <w:textDirection w:val="lrTb"/>
            <w:noWrap w:val="false"/>
          </w:tcPr>
          <w:p>
            <w:pPr>
              <w:jc w:val="center"/>
              <w:rPr>
                <w:rFonts w:hint="eastAsia" w:ascii="宋体" w:hAnsi="宋体"/>
                <w:color w:val="000000"/>
                <w:sz w:val="24"/>
                <w:szCs w:val="24"/>
                <w:highlight w:val="none"/>
              </w:rPr>
            </w:pPr>
            <w:r/>
            <w:bookmarkStart w:id="443" w:name="_Hlt26955064"/>
            <w:r/>
            <w:bookmarkEnd w:id="443"/>
            <w:r/>
            <w:bookmarkStart w:id="444" w:name="_Hlt26671343"/>
            <w:r/>
            <w:bookmarkEnd w:id="444"/>
            <w:r/>
            <w:bookmarkStart w:id="445" w:name="_Hlt26782999"/>
            <w:r/>
            <w:bookmarkEnd w:id="445"/>
            <w:r/>
            <w:bookmarkStart w:id="446" w:name="_Hlt24879081"/>
            <w:r/>
            <w:bookmarkEnd w:id="446"/>
            <w:r/>
            <w:bookmarkStart w:id="447" w:name="_Hlt26671372"/>
            <w:r/>
            <w:bookmarkEnd w:id="447"/>
            <w:r/>
            <w:bookmarkStart w:id="448" w:name="_Hlt26580838"/>
            <w:r/>
            <w:bookmarkEnd w:id="448"/>
            <w:r/>
            <w:bookmarkStart w:id="449" w:name="_Hlt26609391"/>
            <w:r/>
            <w:bookmarkEnd w:id="449"/>
            <w:r/>
            <w:bookmarkStart w:id="450" w:name="_Hlt26955056"/>
            <w:r/>
            <w:bookmarkEnd w:id="450"/>
            <w:r>
              <w:rPr>
                <w:rFonts w:hint="eastAsia" w:ascii="宋体" w:hAnsi="宋体"/>
                <w:color w:val="000000"/>
                <w:sz w:val="24"/>
                <w:szCs w:val="24"/>
                <w:highlight w:val="none"/>
              </w:rPr>
              <w:t xml:space="preserve">序号</w:t>
            </w:r>
            <w:r/>
          </w:p>
        </w:tc>
        <w:tc>
          <w:tcPr>
            <w:tcW w:w="25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30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66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c>
          <w:tcPr>
            <w:tcW w:w="19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p>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30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p>
    <w:p>
      <w:pPr>
        <w:jc w:val="left"/>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p>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p>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rPr>
          <w:rFonts w:hint="eastAsia" w:ascii="宋体" w:hAnsi="宋体"/>
          <w:color w:val="000000"/>
          <w:sz w:val="24"/>
          <w:szCs w:val="21"/>
          <w:highlight w:val="none"/>
          <w:lang w:val="en-US" w:eastAsia="en-US"/>
        </w:rPr>
      </w:pPr>
      <w:r/>
      <w:bookmarkStart w:id="451" w:name="_Hlt26609389"/>
      <w:r/>
      <w:bookmarkEnd w:id="451"/>
      <w:r/>
      <w:bookmarkStart w:id="452" w:name="_Hlt26955066"/>
      <w:r/>
      <w:bookmarkEnd w:id="452"/>
      <w:r/>
      <w:bookmarkStart w:id="453" w:name="_Hlt26671374"/>
      <w:r/>
      <w:bookmarkEnd w:id="453"/>
      <w:r/>
      <w:bookmarkStart w:id="454" w:name="_Toc462564146"/>
      <w:r/>
      <w:bookmarkEnd w:id="359"/>
      <w:bookmarkEnd w:id="360"/>
      <w:bookmarkEnd w:id="454"/>
      <w:r/>
    </w:p>
    <w:p>
      <w:pPr>
        <w:jc w:val="center"/>
        <w:rPr>
          <w:rFonts w:hint="eastAsia" w:ascii="黑体" w:hAnsi="黑体" w:eastAsia="黑体"/>
          <w:b/>
          <w:color w:val="000000"/>
          <w:sz w:val="32"/>
          <w:szCs w:val="32"/>
          <w:highlight w:val="none"/>
        </w:rPr>
      </w:pPr>
      <w:r/>
      <w:bookmarkStart w:id="455" w:name="_格式2__法定代表人授权书"/>
      <w:r/>
      <w:bookmarkEnd w:id="455"/>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both"/>
        <w:keepLines w:val="0"/>
        <w:keepNext w:val="0"/>
        <w:pageBreakBefore w:val="0"/>
        <w:spacing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keepLines w:val="0"/>
        <w:keepNext w:val="0"/>
        <w:pageBreakBefore w:val="0"/>
        <w:spacing w:line="360" w:lineRule="auto"/>
        <w:widowControl w:val="off"/>
        <w:rPr>
          <w:rFonts w:hint="eastAsia" w:ascii="Times New Roman" w:hAnsi="Times New Roman" w:eastAsia="仿宋_GB2312"/>
          <w:color w:val="000000"/>
          <w:sz w:val="24"/>
          <w:szCs w:val="20"/>
          <w:highlight w:val="none"/>
        </w:rPr>
        <w:outlineLvl w:val="0"/>
      </w:pPr>
      <w:r/>
      <w:bookmarkStart w:id="456" w:name="_Toc7688"/>
      <w:r/>
      <w:bookmarkStart w:id="457" w:name="_Toc21985"/>
      <w:r/>
      <w:bookmarkStart w:id="458" w:name="_Toc16334"/>
      <w:r>
        <w:rPr>
          <w:rFonts w:hint="eastAsia" w:ascii="黑体" w:hAnsi="黑体" w:eastAsia="黑体"/>
          <w:b/>
          <w:i w:val="0"/>
          <w:iCs/>
          <w:color w:val="000000"/>
          <w:sz w:val="32"/>
          <w:szCs w:val="32"/>
          <w:highlight w:val="none"/>
          <w:u w:val="single"/>
        </w:rPr>
        <w:t xml:space="preserve">十五、开标一览表</w:t>
      </w:r>
      <w:bookmarkEnd w:id="456"/>
      <w:r/>
      <w:bookmarkEnd w:id="457"/>
      <w:r/>
      <w:bookmarkEnd w:id="458"/>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p>
    <w:p>
      <w:pPr>
        <w:ind w:firstLine="480"/>
        <w:keepLines w:val="0"/>
        <w:keepNext w:val="0"/>
        <w:pageBreakBefore w:val="0"/>
        <w:spacing w:line="360" w:lineRule="auto"/>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p>
    <w:p>
      <w:pPr>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9"/>
        <w:gridCol w:w="6271"/>
      </w:tblGrid>
      <w:tr>
        <w:trPr>
          <w:cantSplit/>
          <w:jc w:val="center"/>
          <w:trHeight w:val="725"/>
        </w:trPr>
        <w:tc>
          <w:tcPr>
            <w:gridSpan w:val="2"/>
            <w:tcW w:w="8700" w:type="dxa"/>
            <w:vAlign w:val="center"/>
            <w:textDirection w:val="lrTb"/>
            <w:noWrap w:val="false"/>
          </w:tcPr>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p>
        </w:tc>
      </w:tr>
      <w:tr>
        <w:trPr>
          <w:cantSplit/>
          <w:jc w:val="center"/>
          <w:trHeight w:val="612"/>
        </w:trPr>
        <w:tc>
          <w:tcPr>
            <w:gridSpan w:val="2"/>
            <w:tcW w:w="8700" w:type="dxa"/>
            <w:vAlign w:val="center"/>
            <w:textDirection w:val="lrTb"/>
            <w:noWrap w:val="false"/>
          </w:tcPr>
          <w:p>
            <w:pPr>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p>
        </w:tc>
      </w:tr>
      <w:tr>
        <w:trPr>
          <w:cantSplit/>
          <w:jc w:val="center"/>
          <w:trHeight w:val="612"/>
        </w:trPr>
        <w:tc>
          <w:tcPr>
            <w:tcW w:w="2429" w:type="dxa"/>
            <w:vAlign w:val="center"/>
            <w:textDirection w:val="lrTb"/>
            <w:noWrap w:val="false"/>
          </w:tcPr>
          <w:p>
            <w:pPr>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p>
        </w:tc>
        <w:tc>
          <w:tcPr>
            <w:tcW w:w="6271" w:type="dxa"/>
            <w:vAlign w:val="center"/>
            <w:textDirection w:val="lrTb"/>
            <w:noWrap w:val="false"/>
          </w:tcPr>
          <w:p>
            <w:pPr>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2"/>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single"/>
          <w:lang w:val="en-US" w:eastAsia="zh-CN"/>
        </w:rPr>
        <w:outlineLvl w:val="0"/>
      </w:pPr>
      <w:r>
        <w:rPr>
          <w:rFonts w:hint="eastAsia" w:ascii="黑体" w:hAnsi="黑体" w:eastAsia="黑体" w:cs="Times New Roman"/>
          <w:b/>
          <w:i w:val="0"/>
          <w:iCs/>
          <w:color w:val="000000"/>
          <w:sz w:val="32"/>
          <w:szCs w:val="32"/>
          <w:highlight w:val="none"/>
          <w:u w:val="single"/>
          <w:lang w:val="en-US" w:eastAsia="zh-CN"/>
        </w:rPr>
        <w:t xml:space="preserve">十六、类似项目业绩一览表 </w:t>
      </w:r>
      <w:r/>
    </w:p>
    <w:p>
      <w:pPr>
        <w:jc w:val="center"/>
        <w:keepLines w:val="0"/>
        <w:keepNext w:val="0"/>
        <w:pageBreakBefore w:val="0"/>
        <w:spacing w:line="360" w:lineRule="auto"/>
        <w:widowControl w:val="off"/>
        <w:rPr>
          <w:rFonts w:hint="eastAsia" w:ascii="黑体" w:hAnsi="黑体" w:eastAsia="黑体" w:cs="Times New Roman"/>
          <w:b/>
          <w:bCs w:val="0"/>
          <w:i w:val="0"/>
          <w:iCs/>
          <w:color w:val="000000"/>
          <w:sz w:val="32"/>
          <w:szCs w:val="32"/>
          <w:highlight w:val="none"/>
          <w:u w:val="none"/>
          <w:lang w:val="en-US" w:eastAsia="zh-CN"/>
        </w:rPr>
        <w:outlineLvl w:val="0"/>
      </w:pPr>
      <w:r>
        <w:rPr>
          <w:rFonts w:hint="eastAsia" w:ascii="黑体" w:hAnsi="黑体" w:eastAsia="黑体" w:cs="Times New Roman"/>
          <w:b/>
          <w:bCs w:val="0"/>
          <w:i w:val="0"/>
          <w:iCs/>
          <w:color w:val="000000"/>
          <w:sz w:val="32"/>
          <w:szCs w:val="32"/>
          <w:highlight w:val="none"/>
          <w:u w:val="none"/>
          <w:lang w:val="en-US" w:eastAsia="zh-CN"/>
        </w:rPr>
        <w:t xml:space="preserve">类似项目业绩一览表</w:t>
      </w:r>
      <w:r/>
    </w:p>
    <w:p>
      <w:pPr>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p>
    <w:tbl>
      <w:tblPr>
        <w:tblStyle w:val="77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508"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508"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508"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2508"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2508"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p>
    <w:p>
      <w:pPr>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p>
    <w:p>
      <w:pPr>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rFonts w:ascii="Arial" w:hAnsi="Arial" w:cs="Arial"/>
          <w:iCs/>
          <w:color w:val="000000"/>
          <w:sz w:val="36"/>
          <w:highlight w:val="none"/>
        </w:rPr>
      </w:pPr>
      <w:r>
        <w:rPr>
          <w:rFonts w:hint="eastAsia" w:ascii="Arial" w:hAnsi="Arial" w:cs="Arial"/>
          <w:iCs/>
          <w:color w:val="000000"/>
          <w:sz w:val="36"/>
          <w:highlight w:val="none"/>
        </w:rPr>
        <w:br w:type="page" w:clear="all"/>
      </w:r>
      <w:r/>
    </w:p>
    <w:p>
      <w:pPr>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十七、项目团队人员一览表 </w:t>
      </w:r>
      <w:r/>
    </w:p>
    <w:p>
      <w:pPr>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项目团队人员一览表</w:t>
      </w:r>
      <w:r/>
    </w:p>
    <w:p>
      <w:pPr>
        <w:ind w:firstLine="24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p>
    <w:tbl>
      <w:tblPr>
        <w:tblStyle w:val="772"/>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36"/>
        <w:gridCol w:w="2379"/>
        <w:gridCol w:w="1205"/>
        <w:gridCol w:w="1205"/>
        <w:gridCol w:w="1701"/>
      </w:tblGrid>
      <w:tr>
        <w:trPr>
          <w:cantSplit/>
          <w:jc w:val="center"/>
          <w:trHeight w:val="992"/>
        </w:trPr>
        <w:tc>
          <w:tcPr>
            <w:tcW w:w="101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53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p>
        </w:tc>
        <w:tc>
          <w:tcPr>
            <w:tcW w:w="237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20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20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p>
        </w:tc>
      </w:tr>
      <w:tr>
        <w:trPr>
          <w:cantSplit/>
          <w:jc w:val="center"/>
          <w:trHeight w:val="686"/>
        </w:trPr>
        <w:tc>
          <w:tcPr>
            <w:tcW w:w="101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86"/>
        </w:trPr>
        <w:tc>
          <w:tcPr>
            <w:tcW w:w="101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86"/>
        </w:trPr>
        <w:tc>
          <w:tcPr>
            <w:tcW w:w="101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707"/>
        </w:trPr>
        <w:tc>
          <w:tcPr>
            <w:tcW w:w="101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p>
    <w:p>
      <w:pPr>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p>
    <w:p>
      <w:pPr>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p>
    <w:p>
      <w:pPr>
        <w:rPr>
          <w:color w:val="000000"/>
          <w:highlight w:val="none"/>
        </w:rPr>
      </w:pPr>
      <w:r>
        <w:rPr>
          <w:color w:val="000000"/>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ascii="宋体" w:hAnsi="宋体" w:cs="仿宋"/>
          <w:b/>
          <w:bCs/>
          <w:color w:val="000000"/>
          <w:sz w:val="32"/>
          <w:szCs w:val="32"/>
          <w:highlight w:val="none"/>
        </w:rPr>
        <w:outlineLvl w:val="0"/>
      </w:pPr>
      <w:r/>
      <w:bookmarkStart w:id="459" w:name="_Toc6132"/>
      <w:r/>
      <w:bookmarkStart w:id="460" w:name="_Toc24376"/>
      <w:r/>
      <w:bookmarkStart w:id="461" w:name="_Toc10161"/>
      <w:r>
        <w:rPr>
          <w:rFonts w:hint="eastAsia" w:ascii="宋体" w:hAnsi="宋体" w:cs="仿宋"/>
          <w:b/>
          <w:bCs/>
          <w:color w:val="000000"/>
          <w:sz w:val="32"/>
          <w:szCs w:val="32"/>
          <w:highlight w:val="none"/>
        </w:rPr>
        <w:t xml:space="preserve">质疑函范本</w:t>
      </w:r>
      <w:bookmarkEnd w:id="459"/>
      <w:r/>
      <w:bookmarkEnd w:id="460"/>
      <w:r/>
      <w:bookmarkEnd w:id="461"/>
      <w:r/>
      <w:r/>
    </w:p>
    <w:p>
      <w:pPr>
        <w:spacing w:before="290" w:line="360" w:lineRule="auto"/>
        <w:rPr>
          <w:rFonts w:ascii="宋体" w:hAnsi="宋体" w:cs="仿宋"/>
          <w:bCs/>
          <w:color w:val="000000"/>
          <w:sz w:val="24"/>
          <w:szCs w:val="24"/>
          <w:highlight w:val="none"/>
        </w:rPr>
        <w:outlineLvl w:val="1"/>
      </w:pPr>
      <w:r/>
      <w:bookmarkStart w:id="462" w:name="_Toc20669"/>
      <w:r/>
      <w:bookmarkStart w:id="463" w:name="_Toc2710"/>
      <w:r/>
      <w:bookmarkStart w:id="464" w:name="_Toc24492"/>
      <w:r>
        <w:rPr>
          <w:rFonts w:hint="eastAsia" w:ascii="宋体" w:hAnsi="宋体" w:cs="仿宋"/>
          <w:bCs/>
          <w:color w:val="000000"/>
          <w:sz w:val="24"/>
          <w:szCs w:val="24"/>
          <w:highlight w:val="none"/>
        </w:rPr>
        <w:t xml:space="preserve">一、质疑供应商基本信息</w:t>
      </w:r>
      <w:bookmarkEnd w:id="462"/>
      <w:r/>
      <w:bookmarkEnd w:id="463"/>
      <w:r/>
      <w:bookmarkEnd w:id="464"/>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outlineLvl w:val="1"/>
      </w:pPr>
      <w:r/>
      <w:bookmarkStart w:id="465" w:name="_Toc12024"/>
      <w:r/>
      <w:bookmarkStart w:id="466" w:name="_Toc475"/>
      <w:r/>
      <w:bookmarkStart w:id="467" w:name="_Toc4247"/>
      <w:r>
        <w:rPr>
          <w:rFonts w:hint="eastAsia" w:ascii="宋体" w:hAnsi="宋体" w:cs="仿宋"/>
          <w:bCs/>
          <w:color w:val="000000"/>
          <w:sz w:val="24"/>
          <w:szCs w:val="24"/>
          <w:highlight w:val="none"/>
        </w:rPr>
        <w:t xml:space="preserve">二、质疑项目基本情况</w:t>
      </w:r>
      <w:bookmarkEnd w:id="465"/>
      <w:r/>
      <w:bookmarkEnd w:id="466"/>
      <w:r/>
      <w:bookmarkEnd w:id="467"/>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outlineLvl w:val="1"/>
      </w:pPr>
      <w:r/>
      <w:bookmarkStart w:id="468" w:name="_Toc30649"/>
      <w:r/>
      <w:bookmarkStart w:id="469" w:name="_Toc12821"/>
      <w:r/>
      <w:bookmarkStart w:id="470" w:name="_Toc574"/>
      <w:r>
        <w:rPr>
          <w:rFonts w:hint="eastAsia" w:ascii="宋体" w:hAnsi="宋体" w:cs="仿宋"/>
          <w:bCs/>
          <w:color w:val="000000"/>
          <w:sz w:val="24"/>
          <w:szCs w:val="24"/>
          <w:highlight w:val="none"/>
        </w:rPr>
        <w:t xml:space="preserve">三、质疑事项具体内容</w:t>
      </w:r>
      <w:bookmarkEnd w:id="468"/>
      <w:r/>
      <w:bookmarkEnd w:id="469"/>
      <w:r/>
      <w:bookmarkEnd w:id="470"/>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outlineLvl w:val="1"/>
      </w:pPr>
      <w:r/>
      <w:bookmarkStart w:id="471" w:name="_Toc4518"/>
      <w:r/>
      <w:bookmarkStart w:id="472" w:name="_Toc26511"/>
      <w:r/>
      <w:bookmarkStart w:id="473" w:name="_Toc3672"/>
      <w:r>
        <w:rPr>
          <w:rFonts w:hint="eastAsia" w:ascii="宋体" w:hAnsi="宋体" w:cs="仿宋"/>
          <w:bCs/>
          <w:color w:val="000000"/>
          <w:sz w:val="24"/>
          <w:szCs w:val="24"/>
          <w:highlight w:val="none"/>
        </w:rPr>
        <w:t xml:space="preserve">四、与质疑事项相关的质疑请求</w:t>
      </w:r>
      <w:bookmarkEnd w:id="471"/>
      <w:r/>
      <w:bookmarkEnd w:id="472"/>
      <w:r/>
      <w:bookmarkEnd w:id="473"/>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highlight w:val="none"/>
          <w:lang w:val="en-US" w:eastAsia="en-US"/>
        </w:rPr>
      </w:pPr>
      <w:r>
        <w:rPr>
          <w:rFonts w:hint="eastAsia" w:ascii="Times New Roman" w:hAnsi="Times New Roman"/>
          <w:color w:val="000000"/>
          <w:sz w:val="24"/>
          <w:szCs w:val="24"/>
          <w:highlight w:val="none"/>
          <w:lang w:val="en-US" w:eastAsia="en-US"/>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Tahoma">
    <w:panose1 w:val="020B0604030504040204"/>
  </w:font>
  <w:font w:name="MS Mincho">
    <w:panose1 w:val="02020603050405090304"/>
  </w:font>
  <w:font w:name="楷体_GB2312">
    <w:panose1 w:val="02010609060101010101"/>
  </w:font>
  <w:font w:name="Arial">
    <w:panose1 w:val="020B0604020202020204"/>
  </w:font>
  <w:font w:name="方正幼线_GBK">
    <w:panose1 w:val="020B0503020202020204"/>
  </w:font>
  <w:font w:name="Arial Unicode MS">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853"/>
        <w:rFonts w:ascii="宋体" w:hAnsi="宋体"/>
      </w:rPr>
      <w:framePr w:wrap="around" w:vAnchor="text" w:hAnchor="margin" w:xAlign="center" w:y="1"/>
    </w:pPr>
    <w:r>
      <w:rPr>
        <w:rFonts w:ascii="宋体" w:hAnsi="宋体"/>
      </w:rPr>
      <w:fldChar w:fldCharType="begin"/>
    </w:r>
    <w:r>
      <w:rPr>
        <w:rStyle w:val="853"/>
        <w:rFonts w:ascii="宋体" w:hAnsi="宋体"/>
      </w:rPr>
      <w:instrText xml:space="preserve">PAGE  </w:instrText>
    </w:r>
    <w:r>
      <w:rPr>
        <w:rFonts w:ascii="宋体" w:hAnsi="宋体"/>
      </w:rPr>
      <w:fldChar w:fldCharType="separate"/>
    </w:r>
    <w:r>
      <w:rPr>
        <w:rStyle w:val="853"/>
        <w:rFonts w:ascii="宋体" w:hAnsi="宋体"/>
      </w:rPr>
      <w:t xml:space="preserve">４２</w:t>
    </w:r>
    <w:r>
      <w:rPr>
        <w:rFonts w:ascii="宋体" w:hAnsi="宋体"/>
      </w:rPr>
      <w:fldChar w:fldCharType="end"/>
    </w:r>
    <w:r/>
  </w:p>
  <w:p>
    <w:pPr>
      <w:pStyle w:val="108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853"/>
      </w:rPr>
      <w:framePr w:wrap="around" w:vAnchor="text" w:hAnchor="margin" w:xAlign="center" w:y="1"/>
    </w:pPr>
    <w:r>
      <w:fldChar w:fldCharType="begin"/>
    </w:r>
    <w:r>
      <w:rPr>
        <w:rStyle w:val="853"/>
      </w:rPr>
      <w:instrText xml:space="preserve">PAGE  </w:instrText>
    </w:r>
    <w:r>
      <w:fldChar w:fldCharType="separate"/>
    </w:r>
    <w:r>
      <w:rPr>
        <w:rStyle w:val="853"/>
      </w:rPr>
      <w:t xml:space="preserve">1</w:t>
    </w:r>
    <w:r>
      <w:fldChar w:fldCharType="end"/>
    </w:r>
    <w:r/>
  </w:p>
  <w:p>
    <w:pPr>
      <w:pStyle w:val="10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Style w:val="853"/>
                              <w:rFonts w:ascii="宋体" w:hAnsi="宋体"/>
                            </w:rPr>
                          </w:pPr>
                          <w:r>
                            <w:rPr>
                              <w:rFonts w:ascii="宋体" w:hAnsi="宋体"/>
                            </w:rPr>
                            <w:fldChar w:fldCharType="begin"/>
                          </w:r>
                          <w:r>
                            <w:rPr>
                              <w:rStyle w:val="853"/>
                              <w:rFonts w:ascii="宋体" w:hAnsi="宋体"/>
                            </w:rPr>
                            <w:instrText xml:space="preserve">PAGE  </w:instrText>
                          </w:r>
                          <w:r>
                            <w:rPr>
                              <w:rFonts w:ascii="宋体" w:hAnsi="宋体"/>
                            </w:rPr>
                            <w:fldChar w:fldCharType="separate"/>
                          </w:r>
                          <w:r>
                            <w:rPr>
                              <w:rStyle w:val="853"/>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Style w:val="853"/>
                        <w:rFonts w:ascii="宋体" w:hAnsi="宋体"/>
                      </w:rPr>
                    </w:pPr>
                    <w:r>
                      <w:rPr>
                        <w:rFonts w:ascii="宋体" w:hAnsi="宋体"/>
                      </w:rPr>
                      <w:fldChar w:fldCharType="begin"/>
                    </w:r>
                    <w:r>
                      <w:rPr>
                        <w:rStyle w:val="853"/>
                        <w:rFonts w:ascii="宋体" w:hAnsi="宋体"/>
                      </w:rPr>
                      <w:instrText xml:space="preserve">PAGE  </w:instrText>
                    </w:r>
                    <w:r>
                      <w:rPr>
                        <w:rFonts w:ascii="宋体" w:hAnsi="宋体"/>
                      </w:rPr>
                      <w:fldChar w:fldCharType="separate"/>
                    </w:r>
                    <w:r>
                      <w:rPr>
                        <w:rStyle w:val="853"/>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lowerRoman"/>
      <w:pStyle w:val="998"/>
      <w:isLgl w:val="false"/>
      <w:suff w:val="tab"/>
      <w:lvlText w:val="%6."/>
      <w:lvlJc w:val="left"/>
      <w:pPr>
        <w:ind w:left="2520" w:hanging="420"/>
      </w:pPr>
    </w:lvl>
    <w:lvl w:ilvl="6">
      <w:start w:val="1"/>
      <w:numFmt w:val="decimal"/>
      <w:pStyle w:val="1000"/>
      <w:isLgl w:val="false"/>
      <w:suff w:val="tab"/>
      <w:lvlText w:val="%7."/>
      <w:lvlJc w:val="left"/>
      <w:pPr>
        <w:ind w:left="2940" w:hanging="420"/>
      </w:pPr>
    </w:lvl>
    <w:lvl w:ilvl="7">
      <w:start w:val="1"/>
      <w:numFmt w:val="lowerLetter"/>
      <w:pStyle w:val="1002"/>
      <w:isLgl w:val="false"/>
      <w:suff w:val="tab"/>
      <w:lvlText w:val="%8)"/>
      <w:lvlJc w:val="left"/>
      <w:pPr>
        <w:ind w:left="3360" w:hanging="420"/>
      </w:pPr>
    </w:lvl>
    <w:lvl w:ilvl="8">
      <w:start w:val="1"/>
      <w:numFmt w:val="lowerRoman"/>
      <w:pStyle w:val="1004"/>
      <w:isLgl w:val="false"/>
      <w:suff w:val="tab"/>
      <w:lvlText w:val="%9."/>
      <w:lvlJc w:val="lef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097"/>
    <w:uiPriority w:val="0"/>
    <w:qFormat/>
    <w:pPr>
      <w:jc w:val="both"/>
      <w:widowControl w:val="off"/>
    </w:pPr>
    <w:rPr>
      <w:rFonts w:hint="default" w:ascii="Calibri" w:hAnsi="Calibri" w:eastAsia="宋体" w:cs="Times New Roman"/>
      <w:sz w:val="21"/>
      <w:szCs w:val="22"/>
      <w:lang w:val="en-US" w:eastAsia="zh-CN" w:bidi="ar-SA"/>
    </w:rPr>
  </w:style>
  <w:style w:type="paragraph" w:styleId="762">
    <w:name w:val="Heading 1"/>
    <w:basedOn w:val="761"/>
    <w:next w:val="761"/>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pPr>
      <w:ind w:left="1701" w:right="0" w:firstLine="0"/>
      <w:spacing w:after="57"/>
    </w:pPr>
  </w:style>
  <w:style w:type="paragraph" w:styleId="774">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toc 5"/>
    <w:basedOn w:val="761"/>
    <w:next w:val="761"/>
    <w:uiPriority w:val="39"/>
    <w:unhideWhenUsed/>
    <w:pPr>
      <w:ind w:left="1134" w:right="0" w:firstLine="0"/>
      <w:spacing w:after="57"/>
    </w:pPr>
  </w:style>
  <w:style w:type="paragraph" w:styleId="776">
    <w:name w:val="toc 3"/>
    <w:basedOn w:val="761"/>
    <w:next w:val="761"/>
    <w:uiPriority w:val="39"/>
    <w:unhideWhenUsed/>
    <w:pPr>
      <w:ind w:left="567" w:right="0" w:firstLine="0"/>
      <w:spacing w:after="57"/>
    </w:pPr>
  </w:style>
  <w:style w:type="paragraph" w:styleId="777">
    <w:name w:val="toc 8"/>
    <w:basedOn w:val="761"/>
    <w:next w:val="761"/>
    <w:uiPriority w:val="39"/>
    <w:unhideWhenUsed/>
    <w:qFormat/>
    <w:pPr>
      <w:ind w:left="1984" w:right="0" w:firstLine="0"/>
      <w:spacing w:after="57"/>
    </w:pPr>
  </w:style>
  <w:style w:type="paragraph" w:styleId="778">
    <w:name w:val="endnote text"/>
    <w:basedOn w:val="761"/>
    <w:uiPriority w:val="99"/>
    <w:semiHidden/>
    <w:unhideWhenUsed/>
    <w:qFormat/>
    <w:pPr>
      <w:spacing w:after="0" w:line="240" w:lineRule="auto"/>
    </w:pPr>
    <w:rPr>
      <w:sz w:val="20"/>
    </w:rPr>
  </w:style>
  <w:style w:type="paragraph" w:styleId="779">
    <w:name w:val="Footer"/>
    <w:basedOn w:val="761"/>
    <w:uiPriority w:val="99"/>
    <w:unhideWhenUsed/>
    <w:qFormat/>
    <w:pPr>
      <w:spacing w:after="0" w:line="240" w:lineRule="auto"/>
      <w:tabs>
        <w:tab w:val="center" w:pos="7143" w:leader="none"/>
        <w:tab w:val="right" w:pos="14287" w:leader="none"/>
      </w:tabs>
    </w:pPr>
  </w:style>
  <w:style w:type="paragraph" w:styleId="780">
    <w:name w:val="Header"/>
    <w:basedOn w:val="761"/>
    <w:uiPriority w:val="99"/>
    <w:unhideWhenUsed/>
    <w:qFormat/>
    <w:pPr>
      <w:spacing w:after="0" w:line="240" w:lineRule="auto"/>
      <w:tabs>
        <w:tab w:val="center" w:pos="7143" w:leader="none"/>
        <w:tab w:val="right" w:pos="14287" w:leader="none"/>
      </w:tabs>
    </w:pPr>
  </w:style>
  <w:style w:type="paragraph" w:styleId="781">
    <w:name w:val="toc 1"/>
    <w:basedOn w:val="761"/>
    <w:next w:val="761"/>
    <w:uiPriority w:val="39"/>
    <w:unhideWhenUsed/>
    <w:qFormat/>
    <w:pPr>
      <w:ind w:left="0" w:right="0" w:firstLine="0"/>
      <w:spacing w:after="57"/>
    </w:pPr>
  </w:style>
  <w:style w:type="paragraph" w:styleId="782">
    <w:name w:val="toc 4"/>
    <w:basedOn w:val="761"/>
    <w:next w:val="761"/>
    <w:uiPriority w:val="39"/>
    <w:unhideWhenUsed/>
    <w:pPr>
      <w:ind w:left="850" w:right="0" w:firstLine="0"/>
      <w:spacing w:after="57"/>
    </w:pPr>
  </w:style>
  <w:style w:type="paragraph" w:styleId="783">
    <w:name w:val="Subtitle"/>
    <w:basedOn w:val="761"/>
    <w:next w:val="761"/>
    <w:uiPriority w:val="11"/>
    <w:qFormat/>
    <w:pPr>
      <w:spacing w:before="200" w:after="200"/>
    </w:pPr>
    <w:rPr>
      <w:sz w:val="24"/>
      <w:szCs w:val="24"/>
    </w:rPr>
  </w:style>
  <w:style w:type="paragraph" w:styleId="784">
    <w:name w:val="footnote text"/>
    <w:basedOn w:val="761"/>
    <w:uiPriority w:val="99"/>
    <w:semiHidden/>
    <w:unhideWhenUsed/>
    <w:qFormat/>
    <w:pPr>
      <w:spacing w:after="40" w:line="240" w:lineRule="auto"/>
    </w:pPr>
    <w:rPr>
      <w:sz w:val="18"/>
    </w:rPr>
  </w:style>
  <w:style w:type="paragraph" w:styleId="785">
    <w:name w:val="toc 6"/>
    <w:basedOn w:val="761"/>
    <w:next w:val="761"/>
    <w:uiPriority w:val="39"/>
    <w:unhideWhenUsed/>
    <w:qFormat/>
    <w:pPr>
      <w:ind w:left="1417" w:right="0" w:firstLine="0"/>
      <w:spacing w:after="57"/>
    </w:pPr>
  </w:style>
  <w:style w:type="paragraph" w:styleId="786">
    <w:name w:val="table of figures"/>
    <w:basedOn w:val="761"/>
    <w:next w:val="761"/>
    <w:uiPriority w:val="99"/>
    <w:unhideWhenUsed/>
    <w:pPr>
      <w:spacing w:after="0" w:afterAutospacing="0"/>
    </w:pPr>
  </w:style>
  <w:style w:type="paragraph" w:styleId="787">
    <w:name w:val="toc 2"/>
    <w:basedOn w:val="761"/>
    <w:next w:val="761"/>
    <w:uiPriority w:val="39"/>
    <w:unhideWhenUsed/>
    <w:qFormat/>
    <w:pPr>
      <w:ind w:left="283" w:right="0" w:firstLine="0"/>
      <w:spacing w:after="57"/>
    </w:pPr>
  </w:style>
  <w:style w:type="paragraph" w:styleId="788">
    <w:name w:val="toc 9"/>
    <w:basedOn w:val="761"/>
    <w:next w:val="761"/>
    <w:uiPriority w:val="39"/>
    <w:unhideWhenUsed/>
    <w:qFormat/>
    <w:pPr>
      <w:ind w:left="2268" w:right="0" w:firstLine="0"/>
      <w:spacing w:after="57"/>
    </w:pPr>
  </w:style>
  <w:style w:type="paragraph" w:styleId="789">
    <w:name w:val="Normal (Web)"/>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790">
    <w:name w:val="Title"/>
    <w:basedOn w:val="761"/>
    <w:next w:val="761"/>
    <w:uiPriority w:val="10"/>
    <w:qFormat/>
    <w:pPr>
      <w:contextualSpacing/>
      <w:spacing w:before="300" w:after="200"/>
    </w:pPr>
    <w:rPr>
      <w:sz w:val="48"/>
      <w:szCs w:val="48"/>
    </w:rPr>
  </w:style>
  <w:style w:type="table" w:styleId="7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paragraph" w:styleId="795" w:customStyle="1">
    <w:name w:val="标题 111"/>
    <w:basedOn w:val="761"/>
    <w:next w:val="761"/>
    <w:link w:val="806"/>
    <w:uiPriority w:val="9"/>
    <w:qFormat/>
    <w:pPr>
      <w:keepLines/>
      <w:keepNext/>
      <w:spacing w:before="480" w:after="200"/>
      <w:outlineLvl w:val="0"/>
    </w:pPr>
    <w:rPr>
      <w:rFonts w:ascii="Arial" w:hAnsi="Arial" w:eastAsia="Arial" w:cs="Arial"/>
      <w:sz w:val="40"/>
      <w:szCs w:val="40"/>
    </w:rPr>
  </w:style>
  <w:style w:type="paragraph" w:styleId="796" w:customStyle="1">
    <w:name w:val="标题 2111"/>
    <w:basedOn w:val="761"/>
    <w:next w:val="761"/>
    <w:link w:val="807"/>
    <w:uiPriority w:val="9"/>
    <w:unhideWhenUsed/>
    <w:qFormat/>
    <w:pPr>
      <w:keepLines/>
      <w:keepNext/>
      <w:spacing w:before="360" w:after="200"/>
      <w:outlineLvl w:val="1"/>
    </w:pPr>
    <w:rPr>
      <w:rFonts w:ascii="Arial" w:hAnsi="Arial" w:eastAsia="Arial" w:cs="Arial"/>
      <w:sz w:val="34"/>
    </w:rPr>
  </w:style>
  <w:style w:type="paragraph" w:styleId="797" w:customStyle="1">
    <w:name w:val="标题 311"/>
    <w:basedOn w:val="761"/>
    <w:next w:val="761"/>
    <w:link w:val="808"/>
    <w:uiPriority w:val="9"/>
    <w:unhideWhenUsed/>
    <w:qFormat/>
    <w:pPr>
      <w:keepLines/>
      <w:keepNext/>
      <w:spacing w:before="320" w:after="200"/>
      <w:outlineLvl w:val="2"/>
    </w:pPr>
    <w:rPr>
      <w:rFonts w:ascii="Arial" w:hAnsi="Arial" w:eastAsia="Arial" w:cs="Arial"/>
      <w:sz w:val="30"/>
      <w:szCs w:val="30"/>
    </w:rPr>
  </w:style>
  <w:style w:type="paragraph" w:styleId="798" w:customStyle="1">
    <w:name w:val="标题 411"/>
    <w:basedOn w:val="761"/>
    <w:next w:val="761"/>
    <w:link w:val="809"/>
    <w:uiPriority w:val="9"/>
    <w:unhideWhenUsed/>
    <w:qFormat/>
    <w:pPr>
      <w:keepLines/>
      <w:keepNext/>
      <w:spacing w:before="320" w:after="200"/>
      <w:outlineLvl w:val="3"/>
    </w:pPr>
    <w:rPr>
      <w:rFonts w:ascii="Arial" w:hAnsi="Arial" w:eastAsia="Arial" w:cs="Arial"/>
      <w:b/>
      <w:bCs/>
      <w:sz w:val="26"/>
      <w:szCs w:val="26"/>
    </w:rPr>
  </w:style>
  <w:style w:type="paragraph" w:styleId="799" w:customStyle="1">
    <w:name w:val="标题 511"/>
    <w:basedOn w:val="761"/>
    <w:next w:val="761"/>
    <w:link w:val="810"/>
    <w:uiPriority w:val="9"/>
    <w:unhideWhenUsed/>
    <w:qFormat/>
    <w:pPr>
      <w:keepLines/>
      <w:keepNext/>
      <w:spacing w:before="320" w:after="200"/>
      <w:outlineLvl w:val="4"/>
    </w:pPr>
    <w:rPr>
      <w:rFonts w:ascii="Arial" w:hAnsi="Arial" w:eastAsia="Arial" w:cs="Arial"/>
      <w:b/>
      <w:bCs/>
      <w:sz w:val="24"/>
      <w:szCs w:val="24"/>
    </w:rPr>
  </w:style>
  <w:style w:type="paragraph" w:styleId="800" w:customStyle="1">
    <w:name w:val="标题 611"/>
    <w:basedOn w:val="761"/>
    <w:next w:val="761"/>
    <w:link w:val="811"/>
    <w:uiPriority w:val="9"/>
    <w:unhideWhenUsed/>
    <w:qFormat/>
    <w:pPr>
      <w:keepLines/>
      <w:keepNext/>
      <w:spacing w:before="320" w:after="200"/>
      <w:outlineLvl w:val="5"/>
    </w:pPr>
    <w:rPr>
      <w:rFonts w:ascii="Arial" w:hAnsi="Arial" w:eastAsia="Arial" w:cs="Arial"/>
      <w:b/>
      <w:bCs/>
      <w:sz w:val="22"/>
      <w:szCs w:val="22"/>
    </w:rPr>
  </w:style>
  <w:style w:type="paragraph" w:styleId="801" w:customStyle="1">
    <w:name w:val="标题 711"/>
    <w:basedOn w:val="761"/>
    <w:next w:val="761"/>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802" w:customStyle="1">
    <w:name w:val="标题 811"/>
    <w:basedOn w:val="761"/>
    <w:next w:val="761"/>
    <w:link w:val="813"/>
    <w:uiPriority w:val="9"/>
    <w:unhideWhenUsed/>
    <w:qFormat/>
    <w:pPr>
      <w:keepLines/>
      <w:keepNext/>
      <w:spacing w:before="320" w:after="200"/>
      <w:outlineLvl w:val="7"/>
    </w:pPr>
    <w:rPr>
      <w:rFonts w:ascii="Arial" w:hAnsi="Arial" w:eastAsia="Arial" w:cs="Arial"/>
      <w:i/>
      <w:iCs/>
      <w:sz w:val="22"/>
      <w:szCs w:val="22"/>
    </w:rPr>
  </w:style>
  <w:style w:type="paragraph" w:styleId="803" w:customStyle="1">
    <w:name w:val="标题 911"/>
    <w:basedOn w:val="761"/>
    <w:next w:val="761"/>
    <w:link w:val="814"/>
    <w:uiPriority w:val="9"/>
    <w:unhideWhenUsed/>
    <w:qFormat/>
    <w:pPr>
      <w:keepLines/>
      <w:keepNext/>
      <w:spacing w:before="320" w:after="200"/>
      <w:outlineLvl w:val="8"/>
    </w:pPr>
    <w:rPr>
      <w:rFonts w:ascii="Arial" w:hAnsi="Arial" w:eastAsia="Arial" w:cs="Arial"/>
      <w:i/>
      <w:iCs/>
      <w:sz w:val="21"/>
      <w:szCs w:val="21"/>
    </w:rPr>
  </w:style>
  <w:style w:type="character" w:styleId="804" w:customStyle="1">
    <w:name w:val="默认段落字体11"/>
    <w:link w:val="761"/>
    <w:uiPriority w:val="1"/>
    <w:unhideWhenUsed/>
    <w:qFormat/>
  </w:style>
  <w:style w:type="table" w:styleId="805" w:customStyle="1">
    <w:name w:val="普通表格11"/>
    <w:uiPriority w:val="99"/>
    <w:unhideWhenUsed/>
    <w:qFormat/>
    <w:tblPr/>
  </w:style>
  <w:style w:type="character" w:styleId="806" w:customStyle="1">
    <w:name w:val="Heading 1 Char"/>
    <w:link w:val="795"/>
    <w:uiPriority w:val="9"/>
    <w:qFormat/>
    <w:rPr>
      <w:rFonts w:ascii="Arial" w:hAnsi="Arial" w:eastAsia="Arial" w:cs="Arial"/>
      <w:sz w:val="40"/>
      <w:szCs w:val="40"/>
    </w:rPr>
  </w:style>
  <w:style w:type="character" w:styleId="807" w:customStyle="1">
    <w:name w:val="Heading 2 Char"/>
    <w:link w:val="796"/>
    <w:uiPriority w:val="9"/>
    <w:qFormat/>
    <w:rPr>
      <w:rFonts w:ascii="Arial" w:hAnsi="Arial" w:eastAsia="Arial" w:cs="Arial"/>
      <w:sz w:val="34"/>
    </w:rPr>
  </w:style>
  <w:style w:type="character" w:styleId="808" w:customStyle="1">
    <w:name w:val="Heading 3 Char"/>
    <w:link w:val="797"/>
    <w:uiPriority w:val="9"/>
    <w:qFormat/>
    <w:rPr>
      <w:rFonts w:ascii="Arial" w:hAnsi="Arial" w:eastAsia="Arial" w:cs="Arial"/>
      <w:sz w:val="30"/>
      <w:szCs w:val="30"/>
    </w:rPr>
  </w:style>
  <w:style w:type="character" w:styleId="809" w:customStyle="1">
    <w:name w:val="Heading 4 Char"/>
    <w:link w:val="798"/>
    <w:uiPriority w:val="9"/>
    <w:qFormat/>
    <w:rPr>
      <w:rFonts w:ascii="Arial" w:hAnsi="Arial" w:eastAsia="Arial" w:cs="Arial"/>
      <w:b/>
      <w:bCs/>
      <w:sz w:val="26"/>
      <w:szCs w:val="26"/>
    </w:rPr>
  </w:style>
  <w:style w:type="character" w:styleId="810" w:customStyle="1">
    <w:name w:val="Heading 5 Char"/>
    <w:link w:val="799"/>
    <w:uiPriority w:val="9"/>
    <w:rPr>
      <w:rFonts w:ascii="Arial" w:hAnsi="Arial" w:eastAsia="Arial" w:cs="Arial"/>
      <w:b/>
      <w:bCs/>
      <w:sz w:val="24"/>
      <w:szCs w:val="24"/>
    </w:rPr>
  </w:style>
  <w:style w:type="character" w:styleId="811" w:customStyle="1">
    <w:name w:val="Heading 6 Char"/>
    <w:link w:val="800"/>
    <w:uiPriority w:val="9"/>
    <w:qFormat/>
    <w:rPr>
      <w:rFonts w:ascii="Arial" w:hAnsi="Arial" w:eastAsia="Arial" w:cs="Arial"/>
      <w:b/>
      <w:bCs/>
      <w:sz w:val="22"/>
      <w:szCs w:val="22"/>
    </w:rPr>
  </w:style>
  <w:style w:type="character" w:styleId="812" w:customStyle="1">
    <w:name w:val="Heading 7 Char"/>
    <w:link w:val="801"/>
    <w:uiPriority w:val="9"/>
    <w:qFormat/>
    <w:rPr>
      <w:rFonts w:ascii="Arial" w:hAnsi="Arial" w:eastAsia="Arial" w:cs="Arial"/>
      <w:b/>
      <w:bCs/>
      <w:i/>
      <w:iCs/>
      <w:sz w:val="22"/>
      <w:szCs w:val="22"/>
    </w:rPr>
  </w:style>
  <w:style w:type="character" w:styleId="813" w:customStyle="1">
    <w:name w:val="Heading 8 Char"/>
    <w:link w:val="802"/>
    <w:uiPriority w:val="9"/>
    <w:qFormat/>
    <w:rPr>
      <w:rFonts w:ascii="Arial" w:hAnsi="Arial" w:eastAsia="Arial" w:cs="Arial"/>
      <w:i/>
      <w:iCs/>
      <w:sz w:val="22"/>
      <w:szCs w:val="22"/>
    </w:rPr>
  </w:style>
  <w:style w:type="character" w:styleId="814" w:customStyle="1">
    <w:name w:val="Heading 9 Char"/>
    <w:link w:val="803"/>
    <w:uiPriority w:val="9"/>
    <w:qFormat/>
    <w:rPr>
      <w:rFonts w:ascii="Arial" w:hAnsi="Arial" w:eastAsia="Arial" w:cs="Arial"/>
      <w:i/>
      <w:iCs/>
      <w:sz w:val="21"/>
      <w:szCs w:val="21"/>
    </w:rPr>
  </w:style>
  <w:style w:type="paragraph" w:styleId="815" w:customStyle="1">
    <w:name w:val="目录 711"/>
    <w:basedOn w:val="761"/>
    <w:next w:val="761"/>
    <w:uiPriority w:val="39"/>
    <w:unhideWhenUsed/>
    <w:qFormat/>
    <w:pPr>
      <w:ind w:left="1701" w:right="0" w:firstLine="0"/>
      <w:spacing w:after="57"/>
    </w:pPr>
  </w:style>
  <w:style w:type="paragraph" w:styleId="816" w:customStyle="1">
    <w:name w:val="题注1"/>
    <w:basedOn w:val="761"/>
    <w:next w:val="761"/>
    <w:uiPriority w:val="35"/>
    <w:unhideWhenUsed/>
    <w:qFormat/>
    <w:pPr>
      <w:spacing w:line="276" w:lineRule="auto"/>
    </w:pPr>
    <w:rPr>
      <w:b/>
      <w:bCs/>
      <w:color w:val="4f81bd"/>
      <w:sz w:val="18"/>
      <w:szCs w:val="18"/>
    </w:rPr>
  </w:style>
  <w:style w:type="paragraph" w:styleId="817" w:customStyle="1">
    <w:name w:val="批注文字11"/>
    <w:basedOn w:val="761"/>
    <w:uiPriority w:val="99"/>
    <w:unhideWhenUsed/>
    <w:qFormat/>
    <w:pPr>
      <w:jc w:val="left"/>
    </w:pPr>
  </w:style>
  <w:style w:type="paragraph" w:styleId="818" w:customStyle="1">
    <w:name w:val="正文文本111"/>
    <w:basedOn w:val="761"/>
    <w:uiPriority w:val="0"/>
    <w:unhideWhenUsed/>
    <w:qFormat/>
    <w:pPr>
      <w:spacing w:after="120"/>
    </w:pPr>
  </w:style>
  <w:style w:type="paragraph" w:styleId="819" w:customStyle="1">
    <w:name w:val="正文文本缩进11"/>
    <w:basedOn w:val="761"/>
    <w:uiPriority w:val="0"/>
    <w:qFormat/>
    <w:pPr>
      <w:ind w:firstLine="645"/>
    </w:pPr>
    <w:rPr>
      <w:rFonts w:ascii="楷体_GB2312" w:eastAsia="楷体_GB2312"/>
      <w:sz w:val="32"/>
      <w:szCs w:val="20"/>
    </w:rPr>
  </w:style>
  <w:style w:type="paragraph" w:styleId="820" w:customStyle="1">
    <w:name w:val="目录 511"/>
    <w:basedOn w:val="761"/>
    <w:next w:val="761"/>
    <w:uiPriority w:val="39"/>
    <w:unhideWhenUsed/>
    <w:qFormat/>
    <w:pPr>
      <w:ind w:left="1134" w:right="0" w:firstLine="0"/>
      <w:spacing w:after="57"/>
    </w:pPr>
  </w:style>
  <w:style w:type="paragraph" w:styleId="821" w:customStyle="1">
    <w:name w:val="目录 311"/>
    <w:basedOn w:val="761"/>
    <w:next w:val="761"/>
    <w:uiPriority w:val="39"/>
    <w:unhideWhenUsed/>
    <w:qFormat/>
    <w:pPr>
      <w:ind w:left="567" w:right="0" w:firstLine="0"/>
      <w:spacing w:after="57"/>
    </w:pPr>
  </w:style>
  <w:style w:type="paragraph" w:styleId="822" w:customStyle="1">
    <w:name w:val="纯文本11"/>
    <w:basedOn w:val="761"/>
    <w:uiPriority w:val="0"/>
    <w:qFormat/>
    <w:rPr>
      <w:rFonts w:ascii="Tahoma" w:hAnsi="黑体" w:cs="方正小标宋_GBK"/>
      <w:szCs w:val="20"/>
    </w:rPr>
  </w:style>
  <w:style w:type="paragraph" w:styleId="823" w:customStyle="1">
    <w:name w:val="目录 811"/>
    <w:basedOn w:val="761"/>
    <w:next w:val="761"/>
    <w:uiPriority w:val="39"/>
    <w:unhideWhenUsed/>
    <w:qFormat/>
    <w:pPr>
      <w:ind w:left="1984" w:right="0" w:firstLine="0"/>
      <w:spacing w:after="57"/>
    </w:pPr>
  </w:style>
  <w:style w:type="paragraph" w:styleId="824" w:customStyle="1">
    <w:name w:val="尾注文本1"/>
    <w:basedOn w:val="761"/>
    <w:link w:val="825"/>
    <w:uiPriority w:val="99"/>
    <w:unhideWhenUsed/>
    <w:qFormat/>
    <w:pPr>
      <w:spacing w:after="0" w:line="240" w:lineRule="auto"/>
    </w:pPr>
    <w:rPr>
      <w:sz w:val="20"/>
    </w:rPr>
  </w:style>
  <w:style w:type="character" w:styleId="825" w:customStyle="1">
    <w:name w:val="Endnote Text Char"/>
    <w:link w:val="824"/>
    <w:uiPriority w:val="99"/>
    <w:qFormat/>
    <w:rPr>
      <w:sz w:val="20"/>
    </w:rPr>
  </w:style>
  <w:style w:type="paragraph" w:styleId="826" w:customStyle="1">
    <w:name w:val="批注框文本11"/>
    <w:basedOn w:val="761"/>
    <w:uiPriority w:val="0"/>
    <w:qFormat/>
    <w:rPr>
      <w:sz w:val="18"/>
      <w:szCs w:val="18"/>
    </w:rPr>
  </w:style>
  <w:style w:type="paragraph" w:styleId="827" w:customStyle="1">
    <w:name w:val="页脚11"/>
    <w:basedOn w:val="761"/>
    <w:link w:val="849"/>
    <w:uiPriority w:val="99"/>
    <w:unhideWhenUsed/>
    <w:qFormat/>
    <w:pPr>
      <w:spacing w:after="0" w:line="240" w:lineRule="auto"/>
      <w:tabs>
        <w:tab w:val="center" w:pos="7143" w:leader="none"/>
        <w:tab w:val="right" w:pos="14287" w:leader="none"/>
      </w:tabs>
    </w:pPr>
  </w:style>
  <w:style w:type="character" w:styleId="828" w:customStyle="1">
    <w:name w:val="Footer Char"/>
    <w:link w:val="827"/>
    <w:uiPriority w:val="99"/>
    <w:qFormat/>
  </w:style>
  <w:style w:type="paragraph" w:styleId="829" w:customStyle="1">
    <w:name w:val="页眉11"/>
    <w:basedOn w:val="761"/>
    <w:link w:val="830"/>
    <w:uiPriority w:val="99"/>
    <w:unhideWhenUsed/>
    <w:qFormat/>
    <w:pPr>
      <w:spacing w:after="0" w:line="240" w:lineRule="auto"/>
      <w:tabs>
        <w:tab w:val="center" w:pos="7143" w:leader="none"/>
        <w:tab w:val="right" w:pos="14287" w:leader="none"/>
      </w:tabs>
    </w:pPr>
  </w:style>
  <w:style w:type="character" w:styleId="830" w:customStyle="1">
    <w:name w:val="Header Char"/>
    <w:link w:val="829"/>
    <w:uiPriority w:val="99"/>
    <w:qFormat/>
  </w:style>
  <w:style w:type="paragraph" w:styleId="831" w:customStyle="1">
    <w:name w:val="目录 111"/>
    <w:basedOn w:val="761"/>
    <w:next w:val="761"/>
    <w:uiPriority w:val="39"/>
    <w:unhideWhenUsed/>
    <w:qFormat/>
    <w:pPr>
      <w:ind w:left="0" w:right="0" w:firstLine="0"/>
      <w:spacing w:after="57"/>
    </w:pPr>
  </w:style>
  <w:style w:type="paragraph" w:styleId="832" w:customStyle="1">
    <w:name w:val="目录 411"/>
    <w:basedOn w:val="761"/>
    <w:next w:val="761"/>
    <w:uiPriority w:val="39"/>
    <w:unhideWhenUsed/>
    <w:qFormat/>
    <w:pPr>
      <w:ind w:left="850" w:right="0" w:firstLine="0"/>
      <w:spacing w:after="57"/>
    </w:pPr>
  </w:style>
  <w:style w:type="paragraph" w:styleId="833" w:customStyle="1">
    <w:name w:val="副标题1"/>
    <w:basedOn w:val="761"/>
    <w:next w:val="761"/>
    <w:link w:val="834"/>
    <w:uiPriority w:val="11"/>
    <w:qFormat/>
    <w:pPr>
      <w:spacing w:before="200" w:after="200"/>
    </w:pPr>
    <w:rPr>
      <w:sz w:val="24"/>
      <w:szCs w:val="24"/>
    </w:rPr>
  </w:style>
  <w:style w:type="character" w:styleId="834" w:customStyle="1">
    <w:name w:val="Subtitle Char"/>
    <w:link w:val="833"/>
    <w:uiPriority w:val="11"/>
    <w:qFormat/>
    <w:rPr>
      <w:sz w:val="24"/>
      <w:szCs w:val="24"/>
    </w:rPr>
  </w:style>
  <w:style w:type="paragraph" w:styleId="835" w:customStyle="1">
    <w:name w:val="脚注文本1"/>
    <w:basedOn w:val="761"/>
    <w:link w:val="836"/>
    <w:uiPriority w:val="99"/>
    <w:unhideWhenUsed/>
    <w:qFormat/>
    <w:pPr>
      <w:spacing w:after="40" w:line="240" w:lineRule="auto"/>
    </w:pPr>
    <w:rPr>
      <w:sz w:val="18"/>
    </w:rPr>
  </w:style>
  <w:style w:type="character" w:styleId="836" w:customStyle="1">
    <w:name w:val="Footnote Text Char"/>
    <w:link w:val="835"/>
    <w:uiPriority w:val="99"/>
    <w:qFormat/>
    <w:rPr>
      <w:sz w:val="18"/>
    </w:rPr>
  </w:style>
  <w:style w:type="paragraph" w:styleId="837" w:customStyle="1">
    <w:name w:val="目录 611"/>
    <w:basedOn w:val="761"/>
    <w:next w:val="761"/>
    <w:uiPriority w:val="39"/>
    <w:unhideWhenUsed/>
    <w:qFormat/>
    <w:pPr>
      <w:ind w:left="1417" w:right="0" w:firstLine="0"/>
      <w:spacing w:after="57"/>
    </w:pPr>
  </w:style>
  <w:style w:type="paragraph" w:styleId="838" w:customStyle="1">
    <w:name w:val="正文文本缩进 311"/>
    <w:basedOn w:val="761"/>
    <w:uiPriority w:val="0"/>
    <w:qFormat/>
    <w:pPr>
      <w:ind w:firstLine="480"/>
      <w:spacing w:line="360" w:lineRule="auto"/>
      <w:tabs>
        <w:tab w:val="left" w:pos="2112" w:leader="none"/>
      </w:tabs>
    </w:pPr>
    <w:rPr>
      <w:sz w:val="24"/>
    </w:rPr>
  </w:style>
  <w:style w:type="paragraph" w:styleId="839" w:customStyle="1">
    <w:name w:val="图表目录11"/>
    <w:basedOn w:val="761"/>
    <w:next w:val="761"/>
    <w:uiPriority w:val="99"/>
    <w:unhideWhenUsed/>
    <w:qFormat/>
    <w:pPr>
      <w:spacing w:after="0" w:afterAutospacing="0"/>
    </w:pPr>
  </w:style>
  <w:style w:type="paragraph" w:styleId="840" w:customStyle="1">
    <w:name w:val="目录 211"/>
    <w:basedOn w:val="761"/>
    <w:next w:val="761"/>
    <w:uiPriority w:val="39"/>
    <w:unhideWhenUsed/>
    <w:qFormat/>
    <w:pPr>
      <w:ind w:left="283" w:right="0" w:firstLine="0"/>
      <w:spacing w:after="57"/>
    </w:pPr>
  </w:style>
  <w:style w:type="paragraph" w:styleId="841" w:customStyle="1">
    <w:name w:val="目录 911"/>
    <w:basedOn w:val="761"/>
    <w:next w:val="761"/>
    <w:uiPriority w:val="39"/>
    <w:unhideWhenUsed/>
    <w:qFormat/>
    <w:pPr>
      <w:ind w:left="2268" w:right="0" w:firstLine="0"/>
      <w:spacing w:after="57"/>
    </w:pPr>
  </w:style>
  <w:style w:type="paragraph" w:styleId="842" w:customStyle="1">
    <w:name w:val="普通(网站)11"/>
    <w:basedOn w:val="761"/>
    <w:uiPriority w:val="0"/>
    <w:qFormat/>
    <w:pPr>
      <w:jc w:val="left"/>
      <w:spacing w:beforeAutospacing="1" w:afterAutospacing="1"/>
    </w:pPr>
    <w:rPr>
      <w:sz w:val="24"/>
    </w:rPr>
  </w:style>
  <w:style w:type="paragraph" w:styleId="843" w:customStyle="1">
    <w:name w:val="标题11"/>
    <w:basedOn w:val="761"/>
    <w:next w:val="761"/>
    <w:link w:val="844"/>
    <w:uiPriority w:val="10"/>
    <w:qFormat/>
    <w:pPr>
      <w:contextualSpacing/>
      <w:spacing w:before="300" w:after="200"/>
    </w:pPr>
    <w:rPr>
      <w:sz w:val="48"/>
      <w:szCs w:val="48"/>
    </w:rPr>
  </w:style>
  <w:style w:type="character" w:styleId="844" w:customStyle="1">
    <w:name w:val="Title Char"/>
    <w:link w:val="843"/>
    <w:uiPriority w:val="10"/>
    <w:qFormat/>
    <w:rPr>
      <w:sz w:val="48"/>
      <w:szCs w:val="48"/>
    </w:rPr>
  </w:style>
  <w:style w:type="table" w:styleId="845" w:customStyle="1">
    <w:name w:val="网格型11"/>
    <w:uiPriority w:val="59"/>
    <w:qFormat/>
    <w:pPr>
      <w:spacing w:after="0" w:line="240" w:lineRule="auto"/>
    </w:pPr>
    <w:tblPr/>
  </w:style>
  <w:style w:type="character" w:styleId="846" w:customStyle="1">
    <w:name w:val="尾注引用1"/>
    <w:link w:val="761"/>
    <w:uiPriority w:val="99"/>
    <w:unhideWhenUsed/>
    <w:qFormat/>
    <w:rPr>
      <w:vertAlign w:val="superscript"/>
    </w:rPr>
  </w:style>
  <w:style w:type="character" w:styleId="847" w:customStyle="1">
    <w:name w:val="超链接11"/>
    <w:link w:val="761"/>
    <w:uiPriority w:val="99"/>
    <w:unhideWhenUsed/>
    <w:qFormat/>
    <w:rPr>
      <w:color w:val="0000ff"/>
      <w:u w:val="single"/>
    </w:rPr>
  </w:style>
  <w:style w:type="character" w:styleId="848" w:customStyle="1">
    <w:name w:val="脚注引用1"/>
    <w:link w:val="761"/>
    <w:uiPriority w:val="99"/>
    <w:unhideWhenUsed/>
    <w:qFormat/>
    <w:rPr>
      <w:vertAlign w:val="superscript"/>
    </w:rPr>
  </w:style>
  <w:style w:type="character" w:styleId="849" w:customStyle="1">
    <w:name w:val="Caption Char"/>
    <w:link w:val="827"/>
    <w:uiPriority w:val="99"/>
    <w:qFormat/>
  </w:style>
  <w:style w:type="paragraph" w:styleId="850" w:customStyle="1">
    <w:name w:val="正文文本1"/>
    <w:basedOn w:val="761"/>
    <w:next w:val="851"/>
    <w:link w:val="852"/>
    <w:uiPriority w:val="0"/>
    <w:qFormat/>
    <w:rPr>
      <w:rFonts w:ascii="楷体_GB2312" w:hAnsi="Arial" w:eastAsia="楷体_GB2312" w:cs="Times New Roman"/>
      <w:sz w:val="28"/>
      <w:szCs w:val="28"/>
    </w:rPr>
  </w:style>
  <w:style w:type="paragraph" w:styleId="851"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852" w:customStyle="1">
    <w:name w:val="正文文本 Char"/>
    <w:link w:val="850"/>
    <w:uiPriority w:val="0"/>
    <w:qFormat/>
    <w:rPr>
      <w:rFonts w:ascii="楷体_GB2312" w:hAnsi="Arial" w:eastAsia="楷体_GB2312" w:cs="Times New Roman"/>
      <w:sz w:val="28"/>
      <w:szCs w:val="28"/>
    </w:rPr>
  </w:style>
  <w:style w:type="character" w:styleId="853" w:customStyle="1">
    <w:name w:val="页码1"/>
    <w:link w:val="761"/>
    <w:uiPriority w:val="0"/>
    <w:qFormat/>
  </w:style>
  <w:style w:type="paragraph" w:styleId="854">
    <w:name w:val="List Paragraph"/>
    <w:basedOn w:val="761"/>
    <w:uiPriority w:val="34"/>
    <w:qFormat/>
    <w:pPr>
      <w:contextualSpacing/>
      <w:ind w:left="720"/>
    </w:pPr>
  </w:style>
  <w:style w:type="paragraph" w:styleId="855">
    <w:name w:val="No Spacing"/>
    <w:uiPriority w:val="1"/>
    <w:qFormat/>
    <w:pPr>
      <w:spacing w:before="0" w:after="0" w:line="240" w:lineRule="auto"/>
    </w:pPr>
    <w:rPr>
      <w:rFonts w:hint="default" w:ascii="Calibri" w:hAnsi="Calibri" w:eastAsia="宋体" w:cs="Times New Roman"/>
    </w:rPr>
  </w:style>
  <w:style w:type="paragraph" w:styleId="856">
    <w:name w:val="Quote"/>
    <w:basedOn w:val="761"/>
    <w:next w:val="761"/>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61"/>
    <w:next w:val="761"/>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table" w:styleId="860" w:customStyle="1">
    <w:name w:val="Table Grid Light"/>
    <w:uiPriority w:val="59"/>
    <w:qFormat/>
    <w:pPr>
      <w:spacing w:after="0" w:line="240" w:lineRule="auto"/>
    </w:pPr>
    <w:tblPr/>
  </w:style>
  <w:style w:type="table" w:styleId="861" w:customStyle="1">
    <w:name w:val="Plain Table 1"/>
    <w:uiPriority w:val="59"/>
    <w:qFormat/>
    <w:pPr>
      <w:spacing w:after="0" w:line="240" w:lineRule="auto"/>
    </w:pPr>
    <w:tblPr/>
  </w:style>
  <w:style w:type="table" w:styleId="862" w:customStyle="1">
    <w:name w:val="Plain Table 2"/>
    <w:uiPriority w:val="59"/>
    <w:qFormat/>
    <w:pPr>
      <w:spacing w:after="0" w:line="240" w:lineRule="auto"/>
    </w:pPr>
    <w:tblPr/>
  </w:style>
  <w:style w:type="table" w:styleId="863" w:customStyle="1">
    <w:name w:val="Plain Table 3"/>
    <w:uiPriority w:val="99"/>
    <w:qFormat/>
    <w:pPr>
      <w:spacing w:after="0" w:line="240" w:lineRule="auto"/>
    </w:pPr>
    <w:tblPr/>
  </w:style>
  <w:style w:type="table" w:styleId="864" w:customStyle="1">
    <w:name w:val="Plain Table 4"/>
    <w:uiPriority w:val="99"/>
    <w:qFormat/>
    <w:pPr>
      <w:spacing w:after="0" w:line="240" w:lineRule="auto"/>
    </w:pPr>
    <w:tblPr/>
  </w:style>
  <w:style w:type="table" w:styleId="865" w:customStyle="1">
    <w:name w:val="Plain Table 5"/>
    <w:uiPriority w:val="99"/>
    <w:qFormat/>
    <w:pPr>
      <w:spacing w:after="0" w:line="240" w:lineRule="auto"/>
    </w:pPr>
    <w:tblPr/>
  </w:style>
  <w:style w:type="table" w:styleId="866" w:customStyle="1">
    <w:name w:val="Grid Table 1 Light"/>
    <w:uiPriority w:val="99"/>
    <w:qFormat/>
    <w:pPr>
      <w:spacing w:after="0" w:line="240" w:lineRule="auto"/>
    </w:pPr>
    <w:tblPr/>
  </w:style>
  <w:style w:type="table" w:styleId="867" w:customStyle="1">
    <w:name w:val="Grid Table 1 Light - Accent 1"/>
    <w:uiPriority w:val="99"/>
    <w:qFormat/>
    <w:pPr>
      <w:spacing w:after="0" w:line="240" w:lineRule="auto"/>
    </w:pPr>
    <w:tblPr/>
  </w:style>
  <w:style w:type="table" w:styleId="868" w:customStyle="1">
    <w:name w:val="Grid Table 1 Light - Accent 2"/>
    <w:uiPriority w:val="99"/>
    <w:qFormat/>
    <w:pPr>
      <w:spacing w:after="0" w:line="240" w:lineRule="auto"/>
    </w:pPr>
    <w:tblPr/>
  </w:style>
  <w:style w:type="table" w:styleId="869" w:customStyle="1">
    <w:name w:val="Grid Table 1 Light - Accent 3"/>
    <w:uiPriority w:val="99"/>
    <w:qFormat/>
    <w:pPr>
      <w:spacing w:after="0" w:line="240" w:lineRule="auto"/>
    </w:pPr>
    <w:tblPr/>
  </w:style>
  <w:style w:type="table" w:styleId="870" w:customStyle="1">
    <w:name w:val="Grid Table 1 Light - Accent 4"/>
    <w:uiPriority w:val="99"/>
    <w:qFormat/>
    <w:pPr>
      <w:spacing w:after="0" w:line="240" w:lineRule="auto"/>
    </w:pPr>
    <w:tblPr/>
  </w:style>
  <w:style w:type="table" w:styleId="871" w:customStyle="1">
    <w:name w:val="Grid Table 1 Light - Accent 5"/>
    <w:uiPriority w:val="99"/>
    <w:qFormat/>
    <w:pPr>
      <w:spacing w:after="0" w:line="240" w:lineRule="auto"/>
    </w:pPr>
    <w:tblPr/>
  </w:style>
  <w:style w:type="table" w:styleId="872" w:customStyle="1">
    <w:name w:val="Grid Table 1 Light - Accent 6"/>
    <w:uiPriority w:val="99"/>
    <w:qFormat/>
    <w:pPr>
      <w:spacing w:after="0" w:line="240" w:lineRule="auto"/>
    </w:pPr>
    <w:tblPr/>
  </w:style>
  <w:style w:type="table" w:styleId="873" w:customStyle="1">
    <w:name w:val="Grid Table 2"/>
    <w:uiPriority w:val="99"/>
    <w:qFormat/>
    <w:pPr>
      <w:spacing w:after="0" w:line="240" w:lineRule="auto"/>
    </w:pPr>
    <w:tblPr/>
  </w:style>
  <w:style w:type="table" w:styleId="874" w:customStyle="1">
    <w:name w:val="Grid Table 2 - Accent 1"/>
    <w:uiPriority w:val="99"/>
    <w:qFormat/>
    <w:pPr>
      <w:spacing w:after="0" w:line="240" w:lineRule="auto"/>
    </w:pPr>
    <w:tblPr/>
  </w:style>
  <w:style w:type="table" w:styleId="875" w:customStyle="1">
    <w:name w:val="Grid Table 2 - Accent 2"/>
    <w:uiPriority w:val="99"/>
    <w:qFormat/>
    <w:pPr>
      <w:spacing w:after="0" w:line="240" w:lineRule="auto"/>
    </w:pPr>
    <w:tblPr/>
  </w:style>
  <w:style w:type="table" w:styleId="876" w:customStyle="1">
    <w:name w:val="Grid Table 2 - Accent 3"/>
    <w:uiPriority w:val="99"/>
    <w:qFormat/>
    <w:pPr>
      <w:spacing w:after="0" w:line="240" w:lineRule="auto"/>
    </w:pPr>
    <w:tblPr/>
  </w:style>
  <w:style w:type="table" w:styleId="877" w:customStyle="1">
    <w:name w:val="Grid Table 2 - Accent 4"/>
    <w:uiPriority w:val="99"/>
    <w:qFormat/>
    <w:pPr>
      <w:spacing w:after="0" w:line="240" w:lineRule="auto"/>
    </w:pPr>
    <w:tblPr/>
  </w:style>
  <w:style w:type="table" w:styleId="878" w:customStyle="1">
    <w:name w:val="Grid Table 2 - Accent 5"/>
    <w:uiPriority w:val="99"/>
    <w:qFormat/>
    <w:pPr>
      <w:spacing w:after="0" w:line="240" w:lineRule="auto"/>
    </w:pPr>
    <w:tblPr/>
  </w:style>
  <w:style w:type="table" w:styleId="879" w:customStyle="1">
    <w:name w:val="Grid Table 2 - Accent 6"/>
    <w:uiPriority w:val="99"/>
    <w:qFormat/>
    <w:pPr>
      <w:spacing w:after="0" w:line="240" w:lineRule="auto"/>
    </w:pPr>
    <w:tblPr/>
  </w:style>
  <w:style w:type="table" w:styleId="880" w:customStyle="1">
    <w:name w:val="Grid Table 3"/>
    <w:uiPriority w:val="99"/>
    <w:qFormat/>
    <w:pPr>
      <w:spacing w:after="0" w:line="240" w:lineRule="auto"/>
    </w:pPr>
    <w:tblPr/>
  </w:style>
  <w:style w:type="table" w:styleId="881" w:customStyle="1">
    <w:name w:val="Grid Table 3 - Accent 1"/>
    <w:uiPriority w:val="99"/>
    <w:qFormat/>
    <w:pPr>
      <w:spacing w:after="0" w:line="240" w:lineRule="auto"/>
    </w:pPr>
    <w:tblPr/>
  </w:style>
  <w:style w:type="table" w:styleId="882" w:customStyle="1">
    <w:name w:val="Grid Table 3 - Accent 2"/>
    <w:uiPriority w:val="99"/>
    <w:qFormat/>
    <w:pPr>
      <w:spacing w:after="0" w:line="240" w:lineRule="auto"/>
    </w:pPr>
    <w:tblPr/>
  </w:style>
  <w:style w:type="table" w:styleId="883" w:customStyle="1">
    <w:name w:val="Grid Table 3 - Accent 3"/>
    <w:uiPriority w:val="99"/>
    <w:qFormat/>
    <w:pPr>
      <w:spacing w:after="0" w:line="240" w:lineRule="auto"/>
    </w:pPr>
    <w:tblPr/>
  </w:style>
  <w:style w:type="table" w:styleId="884" w:customStyle="1">
    <w:name w:val="Grid Table 3 - Accent 4"/>
    <w:uiPriority w:val="99"/>
    <w:qFormat/>
    <w:pPr>
      <w:spacing w:after="0" w:line="240" w:lineRule="auto"/>
    </w:pPr>
    <w:tblPr/>
  </w:style>
  <w:style w:type="table" w:styleId="885" w:customStyle="1">
    <w:name w:val="Grid Table 3 - Accent 5"/>
    <w:uiPriority w:val="99"/>
    <w:qFormat/>
    <w:pPr>
      <w:spacing w:after="0" w:line="240" w:lineRule="auto"/>
    </w:pPr>
    <w:tblPr/>
  </w:style>
  <w:style w:type="table" w:styleId="886" w:customStyle="1">
    <w:name w:val="Grid Table 3 - Accent 6"/>
    <w:uiPriority w:val="99"/>
    <w:qFormat/>
    <w:pPr>
      <w:spacing w:after="0" w:line="240" w:lineRule="auto"/>
    </w:pPr>
    <w:tblPr/>
  </w:style>
  <w:style w:type="table" w:styleId="887" w:customStyle="1">
    <w:name w:val="Grid Table 4"/>
    <w:uiPriority w:val="59"/>
    <w:qFormat/>
    <w:pPr>
      <w:spacing w:after="0" w:line="240" w:lineRule="auto"/>
    </w:pPr>
    <w:tblPr/>
  </w:style>
  <w:style w:type="table" w:styleId="888" w:customStyle="1">
    <w:name w:val="Grid Table 4 - Accent 1"/>
    <w:uiPriority w:val="59"/>
    <w:qFormat/>
    <w:pPr>
      <w:spacing w:after="0" w:line="240" w:lineRule="auto"/>
    </w:pPr>
    <w:tblPr/>
  </w:style>
  <w:style w:type="table" w:styleId="889" w:customStyle="1">
    <w:name w:val="Grid Table 4 - Accent 2"/>
    <w:uiPriority w:val="59"/>
    <w:qFormat/>
    <w:pPr>
      <w:spacing w:after="0" w:line="240" w:lineRule="auto"/>
    </w:pPr>
    <w:tblPr/>
  </w:style>
  <w:style w:type="table" w:styleId="890" w:customStyle="1">
    <w:name w:val="Grid Table 4 - Accent 3"/>
    <w:uiPriority w:val="59"/>
    <w:qFormat/>
    <w:pPr>
      <w:spacing w:after="0" w:line="240" w:lineRule="auto"/>
    </w:pPr>
    <w:tblPr/>
  </w:style>
  <w:style w:type="table" w:styleId="891" w:customStyle="1">
    <w:name w:val="Grid Table 4 - Accent 4"/>
    <w:uiPriority w:val="59"/>
    <w:qFormat/>
    <w:pPr>
      <w:spacing w:after="0" w:line="240" w:lineRule="auto"/>
    </w:pPr>
    <w:tblPr/>
  </w:style>
  <w:style w:type="table" w:styleId="892" w:customStyle="1">
    <w:name w:val="Grid Table 4 - Accent 5"/>
    <w:uiPriority w:val="59"/>
    <w:qFormat/>
    <w:pPr>
      <w:spacing w:after="0" w:line="240" w:lineRule="auto"/>
    </w:pPr>
    <w:tblPr/>
  </w:style>
  <w:style w:type="table" w:styleId="893" w:customStyle="1">
    <w:name w:val="Grid Table 4 - Accent 6"/>
    <w:uiPriority w:val="59"/>
    <w:qFormat/>
    <w:pPr>
      <w:spacing w:after="0" w:line="240" w:lineRule="auto"/>
    </w:pPr>
    <w:tblPr/>
  </w:style>
  <w:style w:type="table" w:styleId="894" w:customStyle="1">
    <w:name w:val="Grid Table 5 Dark"/>
    <w:uiPriority w:val="99"/>
    <w:qFormat/>
    <w:pPr>
      <w:spacing w:after="0" w:line="240" w:lineRule="auto"/>
    </w:pPr>
    <w:tblPr/>
  </w:style>
  <w:style w:type="table" w:styleId="895" w:customStyle="1">
    <w:name w:val="Grid Table 5 Dark- Accent 1"/>
    <w:uiPriority w:val="99"/>
    <w:qFormat/>
    <w:pPr>
      <w:spacing w:after="0" w:line="240" w:lineRule="auto"/>
    </w:pPr>
    <w:tblPr/>
  </w:style>
  <w:style w:type="table" w:styleId="896" w:customStyle="1">
    <w:name w:val="Grid Table 5 Dark - Accent 2"/>
    <w:uiPriority w:val="99"/>
    <w:qFormat/>
    <w:pPr>
      <w:spacing w:after="0" w:line="240" w:lineRule="auto"/>
    </w:pPr>
    <w:tblPr/>
  </w:style>
  <w:style w:type="table" w:styleId="897" w:customStyle="1">
    <w:name w:val="Grid Table 5 Dark - Accent 3"/>
    <w:uiPriority w:val="99"/>
    <w:qFormat/>
    <w:pPr>
      <w:spacing w:after="0" w:line="240" w:lineRule="auto"/>
    </w:pPr>
    <w:tblPr/>
  </w:style>
  <w:style w:type="table" w:styleId="898" w:customStyle="1">
    <w:name w:val="Grid Table 5 Dark- Accent 4"/>
    <w:uiPriority w:val="99"/>
    <w:qFormat/>
    <w:pPr>
      <w:spacing w:after="0" w:line="240" w:lineRule="auto"/>
    </w:pPr>
    <w:tblPr/>
  </w:style>
  <w:style w:type="table" w:styleId="899" w:customStyle="1">
    <w:name w:val="Grid Table 5 Dark - Accent 5"/>
    <w:uiPriority w:val="99"/>
    <w:qFormat/>
    <w:pPr>
      <w:spacing w:after="0" w:line="240" w:lineRule="auto"/>
    </w:pPr>
    <w:tblPr/>
  </w:style>
  <w:style w:type="table" w:styleId="900" w:customStyle="1">
    <w:name w:val="Grid Table 5 Dark - Accent 6"/>
    <w:uiPriority w:val="99"/>
    <w:qFormat/>
    <w:pPr>
      <w:spacing w:after="0" w:line="240" w:lineRule="auto"/>
    </w:pPr>
    <w:tblPr/>
  </w:style>
  <w:style w:type="table" w:styleId="901" w:customStyle="1">
    <w:name w:val="Grid Table 6 Colorful"/>
    <w:uiPriority w:val="99"/>
    <w:qFormat/>
    <w:pPr>
      <w:spacing w:after="0" w:line="240" w:lineRule="auto"/>
    </w:pPr>
    <w:tblPr/>
  </w:style>
  <w:style w:type="table" w:styleId="902" w:customStyle="1">
    <w:name w:val="Grid Table 6 Colorful - Accent 1"/>
    <w:uiPriority w:val="99"/>
    <w:qFormat/>
    <w:pPr>
      <w:spacing w:after="0" w:line="240" w:lineRule="auto"/>
    </w:pPr>
    <w:tblPr/>
  </w:style>
  <w:style w:type="table" w:styleId="903" w:customStyle="1">
    <w:name w:val="Grid Table 6 Colorful - Accent 2"/>
    <w:uiPriority w:val="99"/>
    <w:qFormat/>
    <w:pPr>
      <w:spacing w:after="0" w:line="240" w:lineRule="auto"/>
    </w:pPr>
    <w:tblPr/>
  </w:style>
  <w:style w:type="table" w:styleId="904" w:customStyle="1">
    <w:name w:val="Grid Table 6 Colorful - Accent 3"/>
    <w:uiPriority w:val="99"/>
    <w:qFormat/>
    <w:pPr>
      <w:spacing w:after="0" w:line="240" w:lineRule="auto"/>
    </w:pPr>
    <w:tblPr/>
  </w:style>
  <w:style w:type="table" w:styleId="905" w:customStyle="1">
    <w:name w:val="Grid Table 6 Colorful - Accent 4"/>
    <w:uiPriority w:val="99"/>
    <w:qFormat/>
    <w:pPr>
      <w:spacing w:after="0" w:line="240" w:lineRule="auto"/>
    </w:pPr>
    <w:tblPr/>
  </w:style>
  <w:style w:type="table" w:styleId="906" w:customStyle="1">
    <w:name w:val="Grid Table 6 Colorful - Accent 5"/>
    <w:uiPriority w:val="99"/>
    <w:qFormat/>
    <w:pPr>
      <w:spacing w:after="0" w:line="240" w:lineRule="auto"/>
    </w:pPr>
    <w:tblPr/>
  </w:style>
  <w:style w:type="table" w:styleId="907" w:customStyle="1">
    <w:name w:val="Grid Table 6 Colorful - Accent 6"/>
    <w:uiPriority w:val="99"/>
    <w:qFormat/>
    <w:pPr>
      <w:spacing w:after="0" w:line="240" w:lineRule="auto"/>
    </w:pPr>
    <w:tblPr/>
  </w:style>
  <w:style w:type="table" w:styleId="908" w:customStyle="1">
    <w:name w:val="Grid Table 7 Colorful"/>
    <w:uiPriority w:val="99"/>
    <w:qFormat/>
    <w:pPr>
      <w:spacing w:after="0" w:line="240" w:lineRule="auto"/>
    </w:pPr>
    <w:tblPr/>
  </w:style>
  <w:style w:type="table" w:styleId="909" w:customStyle="1">
    <w:name w:val="Grid Table 7 Colorful - Accent 1"/>
    <w:uiPriority w:val="99"/>
    <w:qFormat/>
    <w:pPr>
      <w:spacing w:after="0" w:line="240" w:lineRule="auto"/>
    </w:pPr>
    <w:tblPr/>
  </w:style>
  <w:style w:type="table" w:styleId="910" w:customStyle="1">
    <w:name w:val="Grid Table 7 Colorful - Accent 2"/>
    <w:uiPriority w:val="99"/>
    <w:qFormat/>
    <w:pPr>
      <w:spacing w:after="0" w:line="240" w:lineRule="auto"/>
    </w:pPr>
    <w:tblPr/>
  </w:style>
  <w:style w:type="table" w:styleId="911" w:customStyle="1">
    <w:name w:val="Grid Table 7 Colorful - Accent 3"/>
    <w:uiPriority w:val="99"/>
    <w:qFormat/>
    <w:pPr>
      <w:spacing w:after="0" w:line="240" w:lineRule="auto"/>
    </w:pPr>
    <w:tblPr/>
  </w:style>
  <w:style w:type="table" w:styleId="912" w:customStyle="1">
    <w:name w:val="Grid Table 7 Colorful - Accent 4"/>
    <w:uiPriority w:val="99"/>
    <w:qFormat/>
    <w:pPr>
      <w:spacing w:after="0" w:line="240" w:lineRule="auto"/>
    </w:pPr>
    <w:tblPr/>
  </w:style>
  <w:style w:type="table" w:styleId="913" w:customStyle="1">
    <w:name w:val="Grid Table 7 Colorful - Accent 5"/>
    <w:uiPriority w:val="99"/>
    <w:qFormat/>
    <w:pPr>
      <w:spacing w:after="0" w:line="240" w:lineRule="auto"/>
    </w:pPr>
    <w:tblPr/>
  </w:style>
  <w:style w:type="table" w:styleId="914" w:customStyle="1">
    <w:name w:val="Grid Table 7 Colorful - Accent 6"/>
    <w:uiPriority w:val="99"/>
    <w:qFormat/>
    <w:pPr>
      <w:spacing w:after="0" w:line="240" w:lineRule="auto"/>
    </w:pPr>
    <w:tblPr/>
  </w:style>
  <w:style w:type="table" w:styleId="915" w:customStyle="1">
    <w:name w:val="List Table 1 Light"/>
    <w:uiPriority w:val="99"/>
    <w:qFormat/>
    <w:pPr>
      <w:spacing w:after="0" w:line="240" w:lineRule="auto"/>
    </w:pPr>
    <w:tblPr/>
  </w:style>
  <w:style w:type="table" w:styleId="916" w:customStyle="1">
    <w:name w:val="List Table 1 Light - Accent 1"/>
    <w:uiPriority w:val="99"/>
    <w:qFormat/>
    <w:pPr>
      <w:spacing w:after="0" w:line="240" w:lineRule="auto"/>
    </w:pPr>
    <w:tblPr/>
  </w:style>
  <w:style w:type="table" w:styleId="917" w:customStyle="1">
    <w:name w:val="List Table 1 Light - Accent 2"/>
    <w:uiPriority w:val="99"/>
    <w:qFormat/>
    <w:pPr>
      <w:spacing w:after="0" w:line="240" w:lineRule="auto"/>
    </w:pPr>
    <w:tblPr/>
  </w:style>
  <w:style w:type="table" w:styleId="918" w:customStyle="1">
    <w:name w:val="List Table 1 Light - Accent 3"/>
    <w:uiPriority w:val="99"/>
    <w:qFormat/>
    <w:pPr>
      <w:spacing w:after="0" w:line="240" w:lineRule="auto"/>
    </w:pPr>
    <w:tblPr/>
  </w:style>
  <w:style w:type="table" w:styleId="919" w:customStyle="1">
    <w:name w:val="List Table 1 Light - Accent 4"/>
    <w:uiPriority w:val="99"/>
    <w:qFormat/>
    <w:pPr>
      <w:spacing w:after="0" w:line="240" w:lineRule="auto"/>
    </w:pPr>
    <w:tblPr/>
  </w:style>
  <w:style w:type="table" w:styleId="920" w:customStyle="1">
    <w:name w:val="List Table 1 Light - Accent 5"/>
    <w:uiPriority w:val="99"/>
    <w:qFormat/>
    <w:pPr>
      <w:spacing w:after="0" w:line="240" w:lineRule="auto"/>
    </w:pPr>
    <w:tblPr/>
  </w:style>
  <w:style w:type="table" w:styleId="921" w:customStyle="1">
    <w:name w:val="List Table 1 Light - Accent 6"/>
    <w:uiPriority w:val="99"/>
    <w:qFormat/>
    <w:pPr>
      <w:spacing w:after="0" w:line="240" w:lineRule="auto"/>
    </w:pPr>
    <w:tblPr/>
  </w:style>
  <w:style w:type="table" w:styleId="922" w:customStyle="1">
    <w:name w:val="List Table 2"/>
    <w:uiPriority w:val="99"/>
    <w:qFormat/>
    <w:pPr>
      <w:spacing w:after="0" w:line="240" w:lineRule="auto"/>
    </w:pPr>
    <w:tblPr/>
  </w:style>
  <w:style w:type="table" w:styleId="923" w:customStyle="1">
    <w:name w:val="List Table 2 - Accent 1"/>
    <w:uiPriority w:val="99"/>
    <w:qFormat/>
    <w:pPr>
      <w:spacing w:after="0" w:line="240" w:lineRule="auto"/>
    </w:pPr>
    <w:tblPr/>
  </w:style>
  <w:style w:type="table" w:styleId="924" w:customStyle="1">
    <w:name w:val="List Table 2 - Accent 2"/>
    <w:uiPriority w:val="99"/>
    <w:qFormat/>
    <w:pPr>
      <w:spacing w:after="0" w:line="240" w:lineRule="auto"/>
    </w:pPr>
    <w:tblPr/>
  </w:style>
  <w:style w:type="table" w:styleId="925" w:customStyle="1">
    <w:name w:val="List Table 2 - Accent 3"/>
    <w:uiPriority w:val="99"/>
    <w:qFormat/>
    <w:pPr>
      <w:spacing w:after="0" w:line="240" w:lineRule="auto"/>
    </w:pPr>
    <w:tblPr/>
  </w:style>
  <w:style w:type="table" w:styleId="926" w:customStyle="1">
    <w:name w:val="List Table 2 - Accent 4"/>
    <w:uiPriority w:val="99"/>
    <w:qFormat/>
    <w:pPr>
      <w:spacing w:after="0" w:line="240" w:lineRule="auto"/>
    </w:pPr>
    <w:tblPr/>
  </w:style>
  <w:style w:type="table" w:styleId="927" w:customStyle="1">
    <w:name w:val="List Table 2 - Accent 5"/>
    <w:uiPriority w:val="99"/>
    <w:qFormat/>
    <w:pPr>
      <w:spacing w:after="0" w:line="240" w:lineRule="auto"/>
    </w:pPr>
    <w:tblPr/>
  </w:style>
  <w:style w:type="table" w:styleId="928" w:customStyle="1">
    <w:name w:val="List Table 2 - Accent 6"/>
    <w:uiPriority w:val="99"/>
    <w:qFormat/>
    <w:pPr>
      <w:spacing w:after="0" w:line="240" w:lineRule="auto"/>
    </w:pPr>
    <w:tblPr/>
  </w:style>
  <w:style w:type="table" w:styleId="929" w:customStyle="1">
    <w:name w:val="List Table 3"/>
    <w:uiPriority w:val="99"/>
    <w:qFormat/>
    <w:pPr>
      <w:spacing w:after="0" w:line="240" w:lineRule="auto"/>
    </w:pPr>
    <w:tblPr/>
  </w:style>
  <w:style w:type="table" w:styleId="930" w:customStyle="1">
    <w:name w:val="List Table 3 - Accent 1"/>
    <w:uiPriority w:val="99"/>
    <w:qFormat/>
    <w:pPr>
      <w:spacing w:after="0" w:line="240" w:lineRule="auto"/>
    </w:pPr>
    <w:tblPr/>
  </w:style>
  <w:style w:type="table" w:styleId="931" w:customStyle="1">
    <w:name w:val="List Table 3 - Accent 2"/>
    <w:uiPriority w:val="99"/>
    <w:qFormat/>
    <w:pPr>
      <w:spacing w:after="0" w:line="240" w:lineRule="auto"/>
    </w:pPr>
    <w:tblPr/>
  </w:style>
  <w:style w:type="table" w:styleId="932" w:customStyle="1">
    <w:name w:val="List Table 3 - Accent 3"/>
    <w:uiPriority w:val="99"/>
    <w:qFormat/>
    <w:pPr>
      <w:spacing w:after="0" w:line="240" w:lineRule="auto"/>
    </w:pPr>
    <w:tblPr/>
  </w:style>
  <w:style w:type="table" w:styleId="933" w:customStyle="1">
    <w:name w:val="List Table 3 - Accent 4"/>
    <w:uiPriority w:val="99"/>
    <w:qFormat/>
    <w:pPr>
      <w:spacing w:after="0" w:line="240" w:lineRule="auto"/>
    </w:pPr>
    <w:tblPr/>
  </w:style>
  <w:style w:type="table" w:styleId="934" w:customStyle="1">
    <w:name w:val="List Table 3 - Accent 5"/>
    <w:uiPriority w:val="99"/>
    <w:qFormat/>
    <w:pPr>
      <w:spacing w:after="0" w:line="240" w:lineRule="auto"/>
    </w:pPr>
    <w:tblPr/>
  </w:style>
  <w:style w:type="table" w:styleId="935" w:customStyle="1">
    <w:name w:val="List Table 3 - Accent 6"/>
    <w:uiPriority w:val="99"/>
    <w:qFormat/>
    <w:pPr>
      <w:spacing w:after="0" w:line="240" w:lineRule="auto"/>
    </w:pPr>
    <w:tblPr/>
  </w:style>
  <w:style w:type="table" w:styleId="936" w:customStyle="1">
    <w:name w:val="List Table 4"/>
    <w:uiPriority w:val="99"/>
    <w:pPr>
      <w:spacing w:after="0" w:line="240" w:lineRule="auto"/>
    </w:pPr>
    <w:tblPr/>
  </w:style>
  <w:style w:type="table" w:styleId="937" w:customStyle="1">
    <w:name w:val="List Table 4 - Accent 1"/>
    <w:uiPriority w:val="99"/>
    <w:qFormat/>
    <w:pPr>
      <w:spacing w:after="0" w:line="240" w:lineRule="auto"/>
    </w:pPr>
    <w:tblPr/>
  </w:style>
  <w:style w:type="table" w:styleId="938" w:customStyle="1">
    <w:name w:val="List Table 4 - Accent 2"/>
    <w:uiPriority w:val="99"/>
    <w:pPr>
      <w:spacing w:after="0" w:line="240" w:lineRule="auto"/>
    </w:pPr>
    <w:tblPr/>
  </w:style>
  <w:style w:type="table" w:styleId="939" w:customStyle="1">
    <w:name w:val="List Table 4 - Accent 3"/>
    <w:uiPriority w:val="99"/>
    <w:qFormat/>
    <w:pPr>
      <w:spacing w:after="0" w:line="240" w:lineRule="auto"/>
    </w:pPr>
    <w:tblPr/>
  </w:style>
  <w:style w:type="table" w:styleId="940" w:customStyle="1">
    <w:name w:val="List Table 4 - Accent 4"/>
    <w:uiPriority w:val="99"/>
    <w:qFormat/>
    <w:pPr>
      <w:spacing w:after="0" w:line="240" w:lineRule="auto"/>
    </w:pPr>
    <w:tblPr/>
  </w:style>
  <w:style w:type="table" w:styleId="941" w:customStyle="1">
    <w:name w:val="List Table 4 - Accent 5"/>
    <w:uiPriority w:val="99"/>
    <w:qFormat/>
    <w:pPr>
      <w:spacing w:after="0" w:line="240" w:lineRule="auto"/>
    </w:pPr>
    <w:tblPr/>
  </w:style>
  <w:style w:type="table" w:styleId="942" w:customStyle="1">
    <w:name w:val="List Table 4 - Accent 6"/>
    <w:uiPriority w:val="99"/>
    <w:pPr>
      <w:spacing w:after="0" w:line="240" w:lineRule="auto"/>
    </w:pPr>
    <w:tblPr/>
  </w:style>
  <w:style w:type="table" w:styleId="943" w:customStyle="1">
    <w:name w:val="List Table 5 Dark"/>
    <w:uiPriority w:val="99"/>
    <w:qFormat/>
    <w:pPr>
      <w:spacing w:after="0" w:line="240" w:lineRule="auto"/>
    </w:pPr>
    <w:tblPr/>
  </w:style>
  <w:style w:type="table" w:styleId="944" w:customStyle="1">
    <w:name w:val="List Table 5 Dark - Accent 1"/>
    <w:uiPriority w:val="99"/>
    <w:qFormat/>
    <w:pPr>
      <w:spacing w:after="0" w:line="240" w:lineRule="auto"/>
    </w:pPr>
    <w:tblPr/>
  </w:style>
  <w:style w:type="table" w:styleId="945" w:customStyle="1">
    <w:name w:val="List Table 5 Dark - Accent 2"/>
    <w:uiPriority w:val="99"/>
    <w:qFormat/>
    <w:pPr>
      <w:spacing w:after="0" w:line="240" w:lineRule="auto"/>
    </w:pPr>
    <w:tblPr/>
  </w:style>
  <w:style w:type="table" w:styleId="946" w:customStyle="1">
    <w:name w:val="List Table 5 Dark - Accent 3"/>
    <w:uiPriority w:val="99"/>
    <w:pPr>
      <w:spacing w:after="0" w:line="240" w:lineRule="auto"/>
    </w:pPr>
    <w:tblPr/>
  </w:style>
  <w:style w:type="table" w:styleId="947" w:customStyle="1">
    <w:name w:val="List Table 5 Dark - Accent 4"/>
    <w:uiPriority w:val="99"/>
    <w:qFormat/>
    <w:pPr>
      <w:spacing w:after="0" w:line="240" w:lineRule="auto"/>
    </w:pPr>
    <w:tblPr/>
  </w:style>
  <w:style w:type="table" w:styleId="948" w:customStyle="1">
    <w:name w:val="List Table 5 Dark - Accent 5"/>
    <w:uiPriority w:val="99"/>
    <w:qFormat/>
    <w:pPr>
      <w:spacing w:after="0" w:line="240" w:lineRule="auto"/>
    </w:pPr>
    <w:tblPr/>
  </w:style>
  <w:style w:type="table" w:styleId="949" w:customStyle="1">
    <w:name w:val="List Table 5 Dark - Accent 6"/>
    <w:uiPriority w:val="99"/>
    <w:qFormat/>
    <w:pPr>
      <w:spacing w:after="0" w:line="240" w:lineRule="auto"/>
    </w:pPr>
    <w:tblPr/>
  </w:style>
  <w:style w:type="table" w:styleId="950" w:customStyle="1">
    <w:name w:val="List Table 6 Colorful"/>
    <w:uiPriority w:val="99"/>
    <w:qFormat/>
    <w:pPr>
      <w:spacing w:after="0" w:line="240" w:lineRule="auto"/>
    </w:pPr>
    <w:tblPr/>
  </w:style>
  <w:style w:type="table" w:styleId="951" w:customStyle="1">
    <w:name w:val="List Table 6 Colorful - Accent 1"/>
    <w:uiPriority w:val="99"/>
    <w:qFormat/>
    <w:pPr>
      <w:spacing w:after="0" w:line="240" w:lineRule="auto"/>
    </w:pPr>
    <w:tblPr/>
  </w:style>
  <w:style w:type="table" w:styleId="952" w:customStyle="1">
    <w:name w:val="List Table 6 Colorful - Accent 2"/>
    <w:uiPriority w:val="99"/>
    <w:qFormat/>
    <w:pPr>
      <w:spacing w:after="0" w:line="240" w:lineRule="auto"/>
    </w:pPr>
    <w:tblPr/>
  </w:style>
  <w:style w:type="table" w:styleId="953" w:customStyle="1">
    <w:name w:val="List Table 6 Colorful - Accent 3"/>
    <w:uiPriority w:val="99"/>
    <w:qFormat/>
    <w:pPr>
      <w:spacing w:after="0" w:line="240" w:lineRule="auto"/>
    </w:pPr>
    <w:tblPr/>
  </w:style>
  <w:style w:type="table" w:styleId="954" w:customStyle="1">
    <w:name w:val="List Table 6 Colorful - Accent 4"/>
    <w:uiPriority w:val="99"/>
    <w:pPr>
      <w:spacing w:after="0" w:line="240" w:lineRule="auto"/>
    </w:pPr>
    <w:tblPr/>
  </w:style>
  <w:style w:type="table" w:styleId="955" w:customStyle="1">
    <w:name w:val="List Table 6 Colorful - Accent 5"/>
    <w:uiPriority w:val="99"/>
    <w:pPr>
      <w:spacing w:after="0" w:line="240" w:lineRule="auto"/>
    </w:pPr>
    <w:tblPr/>
  </w:style>
  <w:style w:type="table" w:styleId="956" w:customStyle="1">
    <w:name w:val="List Table 6 Colorful - Accent 6"/>
    <w:uiPriority w:val="99"/>
    <w:pPr>
      <w:spacing w:after="0" w:line="240" w:lineRule="auto"/>
    </w:pPr>
    <w:tblPr/>
  </w:style>
  <w:style w:type="table" w:styleId="957" w:customStyle="1">
    <w:name w:val="List Table 7 Colorful"/>
    <w:uiPriority w:val="99"/>
    <w:qFormat/>
    <w:pPr>
      <w:spacing w:after="0" w:line="240" w:lineRule="auto"/>
    </w:pPr>
    <w:tblPr/>
  </w:style>
  <w:style w:type="table" w:styleId="958" w:customStyle="1">
    <w:name w:val="List Table 7 Colorful - Accent 1"/>
    <w:uiPriority w:val="99"/>
    <w:qFormat/>
    <w:pPr>
      <w:spacing w:after="0" w:line="240" w:lineRule="auto"/>
    </w:pPr>
    <w:tblPr/>
  </w:style>
  <w:style w:type="table" w:styleId="959" w:customStyle="1">
    <w:name w:val="List Table 7 Colorful - Accent 2"/>
    <w:uiPriority w:val="99"/>
    <w:pPr>
      <w:spacing w:after="0" w:line="240" w:lineRule="auto"/>
    </w:pPr>
    <w:tblPr/>
  </w:style>
  <w:style w:type="table" w:styleId="960" w:customStyle="1">
    <w:name w:val="List Table 7 Colorful - Accent 3"/>
    <w:uiPriority w:val="99"/>
    <w:qFormat/>
    <w:pPr>
      <w:spacing w:after="0" w:line="240" w:lineRule="auto"/>
    </w:pPr>
    <w:tblPr/>
  </w:style>
  <w:style w:type="table" w:styleId="961" w:customStyle="1">
    <w:name w:val="List Table 7 Colorful - Accent 4"/>
    <w:uiPriority w:val="99"/>
    <w:qFormat/>
    <w:pPr>
      <w:spacing w:after="0" w:line="240" w:lineRule="auto"/>
    </w:pPr>
    <w:tblPr/>
  </w:style>
  <w:style w:type="table" w:styleId="962" w:customStyle="1">
    <w:name w:val="List Table 7 Colorful - Accent 5"/>
    <w:uiPriority w:val="99"/>
    <w:qFormat/>
    <w:pPr>
      <w:spacing w:after="0" w:line="240" w:lineRule="auto"/>
    </w:pPr>
    <w:tblPr/>
  </w:style>
  <w:style w:type="table" w:styleId="963" w:customStyle="1">
    <w:name w:val="List Table 7 Colorful - Accent 6"/>
    <w:uiPriority w:val="99"/>
    <w:qFormat/>
    <w:pPr>
      <w:spacing w:after="0" w:line="240" w:lineRule="auto"/>
    </w:pPr>
    <w:tblPr/>
  </w:style>
  <w:style w:type="table" w:styleId="964" w:customStyle="1">
    <w:name w:val="Lined - Accent"/>
    <w:uiPriority w:val="99"/>
    <w:qFormat/>
    <w:pPr>
      <w:spacing w:after="0" w:line="240" w:lineRule="auto"/>
    </w:pPr>
    <w:rPr>
      <w:color w:val="404040"/>
    </w:rPr>
    <w:tblPr/>
  </w:style>
  <w:style w:type="table" w:styleId="965" w:customStyle="1">
    <w:name w:val="Lined - Accent 1"/>
    <w:uiPriority w:val="99"/>
    <w:qFormat/>
    <w:pPr>
      <w:spacing w:after="0" w:line="240" w:lineRule="auto"/>
    </w:pPr>
    <w:rPr>
      <w:color w:val="404040"/>
    </w:rPr>
    <w:tblPr/>
  </w:style>
  <w:style w:type="table" w:styleId="966" w:customStyle="1">
    <w:name w:val="Lined - Accent 2"/>
    <w:uiPriority w:val="99"/>
    <w:qFormat/>
    <w:pPr>
      <w:spacing w:after="0" w:line="240" w:lineRule="auto"/>
    </w:pPr>
    <w:rPr>
      <w:color w:val="404040"/>
    </w:rPr>
    <w:tblPr/>
  </w:style>
  <w:style w:type="table" w:styleId="967" w:customStyle="1">
    <w:name w:val="Lined - Accent 3"/>
    <w:uiPriority w:val="99"/>
    <w:qFormat/>
    <w:pPr>
      <w:spacing w:after="0" w:line="240" w:lineRule="auto"/>
    </w:pPr>
    <w:rPr>
      <w:color w:val="404040"/>
    </w:rPr>
    <w:tblPr/>
  </w:style>
  <w:style w:type="table" w:styleId="968" w:customStyle="1">
    <w:name w:val="Lined - Accent 4"/>
    <w:uiPriority w:val="99"/>
    <w:qFormat/>
    <w:pPr>
      <w:spacing w:after="0" w:line="240" w:lineRule="auto"/>
    </w:pPr>
    <w:rPr>
      <w:color w:val="404040"/>
    </w:rPr>
    <w:tblPr/>
  </w:style>
  <w:style w:type="table" w:styleId="969" w:customStyle="1">
    <w:name w:val="Lined - Accent 5"/>
    <w:uiPriority w:val="99"/>
    <w:qFormat/>
    <w:pPr>
      <w:spacing w:after="0" w:line="240" w:lineRule="auto"/>
    </w:pPr>
    <w:rPr>
      <w:color w:val="404040"/>
    </w:rPr>
    <w:tblPr/>
  </w:style>
  <w:style w:type="table" w:styleId="970" w:customStyle="1">
    <w:name w:val="Lined - Accent 6"/>
    <w:uiPriority w:val="99"/>
    <w:qFormat/>
    <w:pPr>
      <w:spacing w:after="0" w:line="240" w:lineRule="auto"/>
    </w:pPr>
    <w:rPr>
      <w:color w:val="404040"/>
    </w:rPr>
    <w:tblPr/>
  </w:style>
  <w:style w:type="table" w:styleId="971" w:customStyle="1">
    <w:name w:val="Bordered &amp; Lined - Accent"/>
    <w:uiPriority w:val="99"/>
    <w:qFormat/>
    <w:pPr>
      <w:spacing w:after="0" w:line="240" w:lineRule="auto"/>
    </w:pPr>
    <w:rPr>
      <w:color w:val="404040"/>
    </w:rPr>
    <w:tblPr/>
  </w:style>
  <w:style w:type="table" w:styleId="972" w:customStyle="1">
    <w:name w:val="Bordered &amp; Lined - Accent 1"/>
    <w:uiPriority w:val="99"/>
    <w:qFormat/>
    <w:pPr>
      <w:spacing w:after="0" w:line="240" w:lineRule="auto"/>
    </w:pPr>
    <w:rPr>
      <w:color w:val="404040"/>
    </w:rPr>
    <w:tblPr/>
  </w:style>
  <w:style w:type="table" w:styleId="973" w:customStyle="1">
    <w:name w:val="Bordered &amp; Lined - Accent 2"/>
    <w:uiPriority w:val="99"/>
    <w:qFormat/>
    <w:pPr>
      <w:spacing w:after="0" w:line="240" w:lineRule="auto"/>
    </w:pPr>
    <w:rPr>
      <w:color w:val="404040"/>
    </w:rPr>
    <w:tblPr/>
  </w:style>
  <w:style w:type="table" w:styleId="974" w:customStyle="1">
    <w:name w:val="Bordered &amp; Lined - Accent 3"/>
    <w:uiPriority w:val="99"/>
    <w:pPr>
      <w:spacing w:after="0" w:line="240" w:lineRule="auto"/>
    </w:pPr>
    <w:rPr>
      <w:color w:val="404040"/>
    </w:rPr>
    <w:tblPr/>
  </w:style>
  <w:style w:type="table" w:styleId="975" w:customStyle="1">
    <w:name w:val="Bordered &amp; Lined - Accent 4"/>
    <w:uiPriority w:val="99"/>
    <w:pPr>
      <w:spacing w:after="0" w:line="240" w:lineRule="auto"/>
    </w:pPr>
    <w:rPr>
      <w:color w:val="404040"/>
    </w:rPr>
    <w:tblPr/>
  </w:style>
  <w:style w:type="table" w:styleId="976" w:customStyle="1">
    <w:name w:val="Bordered &amp; Lined - Accent 5"/>
    <w:uiPriority w:val="99"/>
    <w:pPr>
      <w:spacing w:after="0" w:line="240" w:lineRule="auto"/>
    </w:pPr>
    <w:rPr>
      <w:color w:val="404040"/>
    </w:rPr>
    <w:tblPr/>
  </w:style>
  <w:style w:type="table" w:styleId="977" w:customStyle="1">
    <w:name w:val="Bordered &amp; Lined - Accent 6"/>
    <w:uiPriority w:val="99"/>
    <w:qFormat/>
    <w:pPr>
      <w:spacing w:after="0" w:line="240" w:lineRule="auto"/>
    </w:pPr>
    <w:rPr>
      <w:color w:val="404040"/>
    </w:rPr>
    <w:tblPr/>
  </w:style>
  <w:style w:type="table" w:styleId="978" w:customStyle="1">
    <w:name w:val="Bordered"/>
    <w:uiPriority w:val="99"/>
    <w:pPr>
      <w:spacing w:after="0" w:line="240" w:lineRule="auto"/>
    </w:pPr>
    <w:tblPr/>
  </w:style>
  <w:style w:type="table" w:styleId="979" w:customStyle="1">
    <w:name w:val="Bordered - Accent 1"/>
    <w:uiPriority w:val="99"/>
    <w:qFormat/>
    <w:pPr>
      <w:spacing w:after="0" w:line="240" w:lineRule="auto"/>
    </w:pPr>
    <w:tblPr/>
  </w:style>
  <w:style w:type="table" w:styleId="980" w:customStyle="1">
    <w:name w:val="Bordered - Accent 2"/>
    <w:uiPriority w:val="99"/>
    <w:qFormat/>
    <w:pPr>
      <w:spacing w:after="0" w:line="240" w:lineRule="auto"/>
    </w:pPr>
    <w:tblPr/>
  </w:style>
  <w:style w:type="table" w:styleId="981" w:customStyle="1">
    <w:name w:val="Bordered - Accent 3"/>
    <w:uiPriority w:val="99"/>
    <w:qFormat/>
    <w:pPr>
      <w:spacing w:after="0" w:line="240" w:lineRule="auto"/>
    </w:pPr>
    <w:tblPr/>
  </w:style>
  <w:style w:type="table" w:styleId="982" w:customStyle="1">
    <w:name w:val="Bordered - Accent 4"/>
    <w:uiPriority w:val="99"/>
    <w:qFormat/>
    <w:pPr>
      <w:spacing w:after="0" w:line="240" w:lineRule="auto"/>
    </w:pPr>
    <w:tblPr/>
  </w:style>
  <w:style w:type="table" w:styleId="983" w:customStyle="1">
    <w:name w:val="Bordered - Accent 5"/>
    <w:uiPriority w:val="99"/>
    <w:qFormat/>
    <w:pPr>
      <w:spacing w:after="0" w:line="240" w:lineRule="auto"/>
    </w:pPr>
    <w:tblPr/>
  </w:style>
  <w:style w:type="table" w:styleId="984" w:customStyle="1">
    <w:name w:val="Bordered - Accent 6"/>
    <w:uiPriority w:val="99"/>
    <w:pPr>
      <w:spacing w:after="0" w:line="240" w:lineRule="auto"/>
    </w:pPr>
    <w:tblPr/>
  </w:style>
  <w:style w:type="paragraph" w:styleId="985" w:customStyle="1">
    <w:name w:val="TOC Heading"/>
    <w:uiPriority w:val="39"/>
    <w:unhideWhenUsed/>
    <w:qFormat/>
    <w:rPr>
      <w:rFonts w:hint="default" w:ascii="Calibri" w:hAnsi="Calibri" w:eastAsia="宋体" w:cs="Times New Roman"/>
    </w:rPr>
  </w:style>
  <w:style w:type="paragraph" w:styleId="986" w:customStyle="1">
    <w:name w:val="标题 11"/>
    <w:basedOn w:val="761"/>
    <w:next w:val="761"/>
    <w:link w:val="987"/>
    <w:uiPriority w:val="0"/>
    <w:qFormat/>
    <w:pPr>
      <w:jc w:val="center"/>
      <w:keepNext/>
      <w:outlineLvl w:val="0"/>
    </w:pPr>
    <w:rPr>
      <w:rFonts w:ascii="楷体_GB2312" w:hAnsi="Times New Roman" w:eastAsia="楷体_GB2312" w:cs="Times New Roman"/>
      <w:sz w:val="28"/>
      <w:szCs w:val="28"/>
    </w:rPr>
  </w:style>
  <w:style w:type="character" w:styleId="987" w:customStyle="1">
    <w:name w:val="标题 1 Char"/>
    <w:link w:val="986"/>
    <w:uiPriority w:val="0"/>
    <w:rPr>
      <w:rFonts w:ascii="楷体_GB2312" w:hAnsi="Times New Roman" w:eastAsia="楷体_GB2312" w:cs="Times New Roman"/>
      <w:sz w:val="28"/>
      <w:szCs w:val="28"/>
    </w:rPr>
  </w:style>
  <w:style w:type="paragraph" w:styleId="988" w:customStyle="1">
    <w:name w:val="标题 21"/>
    <w:basedOn w:val="761"/>
    <w:next w:val="989"/>
    <w:link w:val="9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9" w:customStyle="1">
    <w:name w:val="正文缩进1"/>
    <w:basedOn w:val="761"/>
    <w:link w:val="991"/>
    <w:uiPriority w:val="0"/>
    <w:pPr>
      <w:ind w:firstLine="420"/>
    </w:pPr>
    <w:rPr>
      <w:szCs w:val="21"/>
    </w:rPr>
  </w:style>
  <w:style w:type="character" w:styleId="990" w:customStyle="1">
    <w:name w:val="标题 2 Char"/>
    <w:link w:val="988"/>
    <w:uiPriority w:val="0"/>
    <w:qFormat/>
    <w:rPr>
      <w:rFonts w:ascii="Arial" w:hAnsi="Arial" w:eastAsia="幼圆" w:cs="Arial"/>
      <w:b/>
      <w:bCs/>
      <w:sz w:val="44"/>
      <w:szCs w:val="44"/>
    </w:rPr>
  </w:style>
  <w:style w:type="character" w:styleId="991" w:customStyle="1">
    <w:name w:val="正文缩进 Char"/>
    <w:link w:val="989"/>
    <w:uiPriority w:val="0"/>
    <w:rPr>
      <w:szCs w:val="21"/>
    </w:rPr>
  </w:style>
  <w:style w:type="paragraph" w:styleId="992" w:customStyle="1">
    <w:name w:val="标题 31"/>
    <w:basedOn w:val="761"/>
    <w:next w:val="989"/>
    <w:link w:val="993"/>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93" w:customStyle="1">
    <w:name w:val="标题 3 Char"/>
    <w:link w:val="992"/>
    <w:uiPriority w:val="0"/>
    <w:qFormat/>
    <w:rPr>
      <w:rFonts w:ascii="Times New Roman" w:hAnsi="Times New Roman" w:eastAsia="宋体" w:cs="Times New Roman"/>
      <w:b/>
      <w:bCs/>
      <w:sz w:val="32"/>
      <w:szCs w:val="32"/>
    </w:rPr>
  </w:style>
  <w:style w:type="paragraph" w:styleId="994" w:customStyle="1">
    <w:name w:val="标题 41"/>
    <w:basedOn w:val="761"/>
    <w:next w:val="989"/>
    <w:link w:val="995"/>
    <w:uiPriority w:val="0"/>
    <w:qFormat/>
    <w:pPr>
      <w:keepLines/>
      <w:keepNext/>
      <w:spacing w:before="280" w:after="290" w:line="376" w:lineRule="auto"/>
      <w:outlineLvl w:val="3"/>
    </w:pPr>
    <w:rPr>
      <w:rFonts w:ascii="Arial" w:hAnsi="Arial" w:eastAsia="黑体" w:cs="Arial"/>
      <w:b/>
      <w:bCs/>
      <w:sz w:val="28"/>
      <w:szCs w:val="28"/>
    </w:rPr>
  </w:style>
  <w:style w:type="character" w:styleId="995" w:customStyle="1">
    <w:name w:val="标题 4 Char"/>
    <w:link w:val="994"/>
    <w:uiPriority w:val="0"/>
    <w:qFormat/>
    <w:rPr>
      <w:rFonts w:ascii="Arial" w:hAnsi="Arial" w:eastAsia="黑体" w:cs="Arial"/>
      <w:b/>
      <w:bCs/>
      <w:sz w:val="28"/>
      <w:szCs w:val="28"/>
    </w:rPr>
  </w:style>
  <w:style w:type="paragraph" w:styleId="996" w:customStyle="1">
    <w:name w:val="标题 51"/>
    <w:basedOn w:val="761"/>
    <w:next w:val="989"/>
    <w:link w:val="997"/>
    <w:uiPriority w:val="0"/>
    <w:qFormat/>
    <w:pPr>
      <w:keepNext/>
      <w:outlineLvl w:val="4"/>
    </w:pPr>
    <w:rPr>
      <w:rFonts w:ascii="宋体" w:hAnsi="Times New Roman" w:eastAsia="宋体" w:cs="Times New Roman"/>
      <w:color w:val="000000"/>
      <w:sz w:val="28"/>
      <w:szCs w:val="28"/>
    </w:rPr>
  </w:style>
  <w:style w:type="character" w:styleId="997" w:customStyle="1">
    <w:name w:val="标题 5 Char"/>
    <w:link w:val="996"/>
    <w:uiPriority w:val="0"/>
    <w:rPr>
      <w:rFonts w:ascii="宋体" w:hAnsi="Times New Roman" w:eastAsia="宋体" w:cs="Times New Roman"/>
      <w:color w:val="000000"/>
      <w:sz w:val="28"/>
      <w:szCs w:val="28"/>
    </w:rPr>
  </w:style>
  <w:style w:type="paragraph" w:styleId="998" w:customStyle="1">
    <w:name w:val="标题 61"/>
    <w:basedOn w:val="761"/>
    <w:next w:val="761"/>
    <w:link w:val="99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99" w:customStyle="1">
    <w:name w:val="标题 6 Char"/>
    <w:link w:val="998"/>
    <w:uiPriority w:val="0"/>
    <w:qFormat/>
    <w:rPr>
      <w:rFonts w:ascii="Arial" w:hAnsi="Arial" w:eastAsia="黑体" w:cs="Times New Roman"/>
      <w:b/>
      <w:bCs/>
      <w:sz w:val="24"/>
      <w:szCs w:val="24"/>
    </w:rPr>
  </w:style>
  <w:style w:type="paragraph" w:styleId="1000" w:customStyle="1">
    <w:name w:val="标题 71"/>
    <w:basedOn w:val="761"/>
    <w:next w:val="761"/>
    <w:link w:val="100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001" w:customStyle="1">
    <w:name w:val="标题 7 Char"/>
    <w:link w:val="1000"/>
    <w:uiPriority w:val="0"/>
    <w:qFormat/>
    <w:rPr>
      <w:rFonts w:ascii="Times New Roman" w:hAnsi="Times New Roman" w:eastAsia="宋体" w:cs="Times New Roman"/>
      <w:b/>
      <w:bCs/>
      <w:sz w:val="24"/>
      <w:szCs w:val="24"/>
    </w:rPr>
  </w:style>
  <w:style w:type="paragraph" w:styleId="1002" w:customStyle="1">
    <w:name w:val="标题 81"/>
    <w:basedOn w:val="761"/>
    <w:next w:val="761"/>
    <w:link w:val="10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003" w:customStyle="1">
    <w:name w:val="标题 8 Char"/>
    <w:link w:val="1002"/>
    <w:uiPriority w:val="0"/>
    <w:qFormat/>
    <w:rPr>
      <w:rFonts w:ascii="Arial" w:hAnsi="Arial" w:eastAsia="黑体" w:cs="Times New Roman"/>
      <w:sz w:val="24"/>
      <w:szCs w:val="24"/>
    </w:rPr>
  </w:style>
  <w:style w:type="paragraph" w:styleId="1004" w:customStyle="1">
    <w:name w:val="标题 91"/>
    <w:basedOn w:val="761"/>
    <w:next w:val="761"/>
    <w:link w:val="10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05" w:customStyle="1">
    <w:name w:val="标题 9 Char"/>
    <w:link w:val="1004"/>
    <w:uiPriority w:val="0"/>
    <w:qFormat/>
    <w:rPr>
      <w:rFonts w:ascii="Arial" w:hAnsi="Arial" w:eastAsia="黑体" w:cs="Times New Roman"/>
      <w:szCs w:val="21"/>
    </w:rPr>
  </w:style>
  <w:style w:type="character" w:styleId="1006" w:customStyle="1">
    <w:name w:val="默认段落字体1"/>
    <w:link w:val="761"/>
    <w:uiPriority w:val="1"/>
    <w:unhideWhenUsed/>
    <w:qFormat/>
  </w:style>
  <w:style w:type="table" w:styleId="1007" w:customStyle="1">
    <w:name w:val="普通表格1"/>
    <w:uiPriority w:val="99"/>
    <w:unhideWhenUsed/>
    <w:qFormat/>
    <w:tblPr/>
  </w:style>
  <w:style w:type="character" w:styleId="1008" w:customStyle="1">
    <w:name w:val="访问过的超链接"/>
    <w:link w:val="761"/>
    <w:uiPriority w:val="0"/>
    <w:qFormat/>
    <w:rPr>
      <w:color w:val="800080"/>
      <w:u w:val="single"/>
    </w:rPr>
  </w:style>
  <w:style w:type="character" w:styleId="1009" w:customStyle="1">
    <w:name w:val="font5 Char"/>
    <w:link w:val="761"/>
    <w:uiPriority w:val="0"/>
    <w:qFormat/>
    <w:rPr>
      <w:rFonts w:ascii="宋体" w:hAnsi="宋体" w:eastAsia="宋体"/>
      <w:sz w:val="28"/>
      <w:szCs w:val="28"/>
      <w:lang w:val="en-US" w:eastAsia="zh-CN" w:bidi="ar-SA"/>
    </w:rPr>
  </w:style>
  <w:style w:type="character" w:styleId="1010" w:customStyle="1">
    <w:name w:val="批注引用1"/>
    <w:link w:val="761"/>
    <w:uiPriority w:val="0"/>
    <w:semiHidden/>
    <w:qFormat/>
    <w:rPr>
      <w:sz w:val="21"/>
      <w:szCs w:val="21"/>
    </w:rPr>
  </w:style>
  <w:style w:type="character" w:styleId="1011" w:customStyle="1">
    <w:name w:val="要点1"/>
    <w:link w:val="761"/>
    <w:uiPriority w:val="0"/>
    <w:qFormat/>
    <w:rPr>
      <w:b/>
      <w:bCs/>
    </w:rPr>
  </w:style>
  <w:style w:type="character" w:styleId="1012" w:customStyle="1">
    <w:name w:val="超链接1"/>
    <w:link w:val="761"/>
    <w:uiPriority w:val="0"/>
    <w:qFormat/>
    <w:rPr>
      <w:color w:val="0000ff"/>
      <w:u w:val="single"/>
    </w:rPr>
  </w:style>
  <w:style w:type="character" w:styleId="1013" w:customStyle="1">
    <w:name w:val="二级目录 Char"/>
    <w:link w:val="1014"/>
    <w:uiPriority w:val="0"/>
    <w:qFormat/>
    <w:rPr>
      <w:b/>
      <w:sz w:val="30"/>
      <w:szCs w:val="28"/>
    </w:rPr>
  </w:style>
  <w:style w:type="paragraph" w:styleId="1014" w:customStyle="1">
    <w:name w:val="二级目录"/>
    <w:next w:val="761"/>
    <w:link w:val="101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761"/>
    <w:link w:val="1015"/>
    <w:uiPriority w:val="0"/>
    <w:qFormat/>
    <w:pPr>
      <w:contextualSpacing/>
      <w:ind w:left="720"/>
      <w:jc w:val="left"/>
      <w:widowControl/>
    </w:pPr>
    <w:rPr>
      <w:rFonts w:ascii="Calibri" w:hAnsi="Calibri"/>
      <w:sz w:val="24"/>
      <w:szCs w:val="24"/>
      <w:lang w:eastAsia="en-US" w:bidi="en-US"/>
    </w:rPr>
  </w:style>
  <w:style w:type="paragraph" w:styleId="1017" w:customStyle="1">
    <w:name w:val="Body Text(ch)"/>
    <w:basedOn w:val="761"/>
    <w:next w:val="850"/>
    <w:uiPriority w:val="0"/>
    <w:qFormat/>
    <w:pPr>
      <w:spacing w:after="120"/>
    </w:pPr>
    <w:rPr>
      <w:rFonts w:ascii="宋体" w:hAnsi="Arial" w:eastAsia="宋体" w:cs="Times New Roman"/>
      <w:bCs/>
      <w:iCs/>
      <w:szCs w:val="24"/>
    </w:rPr>
  </w:style>
  <w:style w:type="paragraph" w:styleId="1018" w:customStyle="1">
    <w:name w:val="目录 91"/>
    <w:basedOn w:val="761"/>
    <w:next w:val="761"/>
    <w:uiPriority w:val="0"/>
    <w:semiHidden/>
    <w:qFormat/>
    <w:pPr>
      <w:ind w:left="1680"/>
      <w:jc w:val="left"/>
    </w:pPr>
    <w:rPr>
      <w:rFonts w:ascii="Times New Roman" w:hAnsi="Times New Roman" w:eastAsia="宋体" w:cs="Times New Roman"/>
      <w:szCs w:val="21"/>
    </w:rPr>
  </w:style>
  <w:style w:type="paragraph" w:styleId="1019" w:customStyle="1">
    <w:name w:val="正文文本缩进 21"/>
    <w:basedOn w:val="761"/>
    <w:link w:val="1020"/>
    <w:uiPriority w:val="0"/>
    <w:qFormat/>
    <w:pPr>
      <w:ind w:left="630" w:firstLine="645"/>
    </w:pPr>
    <w:rPr>
      <w:rFonts w:ascii="Arial" w:hAnsi="Arial" w:eastAsia="仿宋_GB2312" w:cs="Arial"/>
      <w:sz w:val="32"/>
      <w:szCs w:val="32"/>
    </w:rPr>
  </w:style>
  <w:style w:type="character" w:styleId="1020" w:customStyle="1">
    <w:name w:val="正文文本缩进 2 Char"/>
    <w:link w:val="1019"/>
    <w:uiPriority w:val="0"/>
    <w:qFormat/>
    <w:rPr>
      <w:rFonts w:ascii="Arial" w:hAnsi="Arial" w:eastAsia="仿宋_GB2312" w:cs="Arial"/>
      <w:sz w:val="32"/>
      <w:szCs w:val="32"/>
    </w:rPr>
  </w:style>
  <w:style w:type="paragraph" w:styleId="1021" w:customStyle="1">
    <w:name w:val="图表目录1"/>
    <w:basedOn w:val="761"/>
    <w:next w:val="761"/>
    <w:uiPriority w:val="0"/>
    <w:semiHidden/>
    <w:qFormat/>
    <w:pPr>
      <w:ind w:left="840" w:hanging="420"/>
    </w:pPr>
    <w:rPr>
      <w:rFonts w:ascii="Times New Roman" w:hAnsi="Times New Roman" w:eastAsia="宋体" w:cs="Times New Roman"/>
      <w:szCs w:val="21"/>
    </w:rPr>
  </w:style>
  <w:style w:type="paragraph" w:styleId="1022"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Char"/>
    <w:basedOn w:val="761"/>
    <w:uiPriority w:val="0"/>
    <w:qFormat/>
    <w:pPr>
      <w:ind w:firstLine="200"/>
      <w:tabs>
        <w:tab w:val="left" w:pos="360" w:leader="none"/>
      </w:tabs>
    </w:pPr>
    <w:rPr>
      <w:rFonts w:ascii="Times New Roman" w:hAnsi="Times New Roman" w:eastAsia="宋体" w:cs="Times New Roman"/>
      <w:sz w:val="28"/>
      <w:szCs w:val="30"/>
    </w:rPr>
  </w:style>
  <w:style w:type="paragraph" w:styleId="1024" w:customStyle="1">
    <w:name w:val=" Char"/>
    <w:basedOn w:val="1025"/>
    <w:uiPriority w:val="0"/>
    <w:qFormat/>
    <w:rPr>
      <w:rFonts w:ascii="Tahoma" w:hAnsi="Tahoma"/>
      <w:sz w:val="24"/>
      <w:szCs w:val="24"/>
    </w:rPr>
  </w:style>
  <w:style w:type="paragraph" w:styleId="1025" w:customStyle="1">
    <w:name w:val="文档结构图1"/>
    <w:basedOn w:val="761"/>
    <w:link w:val="1026"/>
    <w:uiPriority w:val="0"/>
    <w:semiHidden/>
    <w:qFormat/>
    <w:pPr>
      <w:shd w:val="clear" w:color="auto" w:fill="000080"/>
    </w:pPr>
    <w:rPr>
      <w:rFonts w:ascii="Times New Roman" w:hAnsi="Times New Roman" w:eastAsia="宋体" w:cs="Times New Roman"/>
      <w:szCs w:val="21"/>
    </w:rPr>
  </w:style>
  <w:style w:type="character" w:styleId="1026" w:customStyle="1">
    <w:name w:val="文档结构图 Char"/>
    <w:link w:val="1025"/>
    <w:uiPriority w:val="0"/>
    <w:semiHidden/>
    <w:qFormat/>
    <w:rPr>
      <w:rFonts w:ascii="Times New Roman" w:hAnsi="Times New Roman" w:eastAsia="宋体" w:cs="Times New Roman"/>
      <w:szCs w:val="21"/>
      <w:shd w:val="clear" w:color="auto" w:fill="000080"/>
    </w:rPr>
  </w:style>
  <w:style w:type="paragraph" w:styleId="1027" w:customStyle="1">
    <w:name w:val="批注文字1"/>
    <w:basedOn w:val="761"/>
    <w:link w:val="1028"/>
    <w:uiPriority w:val="0"/>
    <w:unhideWhenUsed/>
    <w:qFormat/>
    <w:pPr>
      <w:jc w:val="left"/>
    </w:pPr>
  </w:style>
  <w:style w:type="character" w:styleId="1028" w:customStyle="1">
    <w:name w:val="批注文字 Char"/>
    <w:basedOn w:val="1006"/>
    <w:link w:val="1027"/>
    <w:uiPriority w:val="99"/>
    <w:semiHidden/>
    <w:qFormat/>
  </w:style>
  <w:style w:type="paragraph" w:styleId="1029" w:customStyle="1">
    <w:name w:val="批注主题1"/>
    <w:basedOn w:val="1027"/>
    <w:next w:val="1027"/>
    <w:link w:val="1030"/>
    <w:uiPriority w:val="0"/>
    <w:semiHidden/>
    <w:qFormat/>
    <w:rPr>
      <w:rFonts w:ascii="Times New Roman" w:hAnsi="Times New Roman" w:eastAsia="宋体" w:cs="Times New Roman"/>
      <w:b/>
      <w:bCs/>
      <w:szCs w:val="21"/>
    </w:rPr>
  </w:style>
  <w:style w:type="character" w:styleId="1030" w:customStyle="1">
    <w:name w:val="批注主题 Char"/>
    <w:link w:val="1029"/>
    <w:uiPriority w:val="0"/>
    <w:semiHidden/>
    <w:qFormat/>
    <w:rPr>
      <w:rFonts w:ascii="Times New Roman" w:hAnsi="Times New Roman" w:eastAsia="宋体" w:cs="Times New Roman"/>
      <w:b/>
      <w:bCs/>
      <w:szCs w:val="21"/>
    </w:rPr>
  </w:style>
  <w:style w:type="paragraph" w:styleId="1031" w:customStyle="1">
    <w:name w:val="索引 11"/>
    <w:basedOn w:val="761"/>
    <w:next w:val="761"/>
    <w:uiPriority w:val="0"/>
    <w:semiHidden/>
    <w:qFormat/>
    <w:pPr>
      <w:spacing w:line="240" w:lineRule="atLeast"/>
    </w:pPr>
    <w:rPr>
      <w:rFonts w:ascii="Times New Roman" w:hAnsi="Times New Roman" w:eastAsia="宋体" w:cs="Times New Roman"/>
      <w:b/>
      <w:bCs/>
      <w:szCs w:val="21"/>
    </w:rPr>
  </w:style>
  <w:style w:type="paragraph" w:styleId="1032" w:customStyle="1">
    <w:name w:val="普通正文"/>
    <w:basedOn w:val="76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table_lines"/>
    <w:basedOn w:val="761"/>
    <w:uiPriority w:val="0"/>
    <w:qFormat/>
    <w:pPr>
      <w:jc w:val="left"/>
      <w:widowControl/>
    </w:pPr>
    <w:rPr>
      <w:rFonts w:ascii="Times New Roman" w:hAnsi="Times New Roman" w:eastAsia="宋体" w:cs="Times New Roman"/>
      <w:sz w:val="20"/>
      <w:szCs w:val="20"/>
      <w:lang w:val="de-DE" w:eastAsia="de-DE"/>
    </w:rPr>
  </w:style>
  <w:style w:type="paragraph" w:styleId="10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5" w:customStyle="1">
    <w:name w:val="目录 31"/>
    <w:basedOn w:val="761"/>
    <w:next w:val="761"/>
    <w:uiPriority w:val="0"/>
    <w:semiHidden/>
    <w:qFormat/>
    <w:pPr>
      <w:ind w:left="420"/>
      <w:jc w:val="left"/>
    </w:pPr>
    <w:rPr>
      <w:rFonts w:ascii="Times New Roman" w:hAnsi="Times New Roman" w:eastAsia="宋体" w:cs="Times New Roman"/>
      <w:i/>
      <w:iCs/>
      <w:szCs w:val="24"/>
    </w:rPr>
  </w:style>
  <w:style w:type="paragraph" w:styleId="1036" w:customStyle="1">
    <w:name w:val="正文文本缩进1"/>
    <w:basedOn w:val="761"/>
    <w:link w:val="1037"/>
    <w:uiPriority w:val="0"/>
    <w:unhideWhenUsed/>
    <w:qFormat/>
    <w:pPr>
      <w:ind w:left="420"/>
      <w:spacing w:after="120"/>
    </w:pPr>
  </w:style>
  <w:style w:type="character" w:styleId="1037" w:customStyle="1">
    <w:name w:val="正文文本缩进 Char"/>
    <w:basedOn w:val="1006"/>
    <w:link w:val="1036"/>
    <w:uiPriority w:val="99"/>
    <w:semiHidden/>
    <w:qFormat/>
  </w:style>
  <w:style w:type="paragraph" w:styleId="1038" w:customStyle="1">
    <w:name w:val="正文首行缩进 21"/>
    <w:basedOn w:val="1036"/>
    <w:link w:val="1039"/>
    <w:uiPriority w:val="0"/>
    <w:qFormat/>
    <w:pPr>
      <w:ind w:left="0" w:firstLine="420"/>
      <w:spacing w:after="0" w:line="360" w:lineRule="auto"/>
    </w:pPr>
    <w:rPr>
      <w:rFonts w:ascii="宋体" w:hAnsi="宋体" w:eastAsia="宋体" w:cs="Times New Roman"/>
      <w:szCs w:val="20"/>
    </w:rPr>
  </w:style>
  <w:style w:type="character" w:styleId="1039" w:customStyle="1">
    <w:name w:val="正文首行缩进 2 Char"/>
    <w:link w:val="1038"/>
    <w:uiPriority w:val="0"/>
    <w:qFormat/>
    <w:rPr>
      <w:rFonts w:ascii="宋体" w:hAnsi="宋体" w:eastAsia="宋体" w:cs="Times New Roman"/>
      <w:szCs w:val="20"/>
    </w:rPr>
  </w:style>
  <w:style w:type="paragraph" w:styleId="1040" w:customStyle="1">
    <w:name w:val="正文文本缩进 31"/>
    <w:basedOn w:val="761"/>
    <w:link w:val="1041"/>
    <w:uiPriority w:val="0"/>
    <w:qFormat/>
    <w:pPr>
      <w:ind w:left="645" w:firstLine="645"/>
    </w:pPr>
    <w:rPr>
      <w:rFonts w:ascii="Arial" w:hAnsi="Arial" w:eastAsia="仿宋_GB2312" w:cs="Arial"/>
      <w:color w:val="ffff00"/>
      <w:sz w:val="32"/>
      <w:szCs w:val="32"/>
    </w:rPr>
  </w:style>
  <w:style w:type="character" w:styleId="1041" w:customStyle="1">
    <w:name w:val="正文文本缩进 3 Char"/>
    <w:link w:val="1040"/>
    <w:uiPriority w:val="0"/>
    <w:qFormat/>
    <w:rPr>
      <w:rFonts w:ascii="Arial" w:hAnsi="Arial" w:eastAsia="仿宋_GB2312" w:cs="Arial"/>
      <w:color w:val="ffff00"/>
      <w:sz w:val="32"/>
      <w:szCs w:val="32"/>
    </w:rPr>
  </w:style>
  <w:style w:type="paragraph" w:styleId="1042" w:customStyle="1">
    <w:name w:val="目录 61"/>
    <w:basedOn w:val="761"/>
    <w:next w:val="761"/>
    <w:uiPriority w:val="0"/>
    <w:semiHidden/>
    <w:qFormat/>
    <w:pPr>
      <w:ind w:left="1050"/>
      <w:jc w:val="left"/>
    </w:pPr>
    <w:rPr>
      <w:rFonts w:ascii="Times New Roman" w:hAnsi="Times New Roman" w:eastAsia="宋体" w:cs="Times New Roman"/>
      <w:szCs w:val="21"/>
    </w:rPr>
  </w:style>
  <w:style w:type="paragraph" w:styleId="1043" w:customStyle="1">
    <w:name w:val="font7"/>
    <w:basedOn w:val="76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4" w:customStyle="1">
    <w:name w:val=" Char Char Char Char"/>
    <w:basedOn w:val="1025"/>
    <w:uiPriority w:val="0"/>
    <w:qFormat/>
    <w:pPr>
      <w:spacing w:line="360" w:lineRule="auto"/>
    </w:pPr>
    <w:rPr>
      <w:rFonts w:ascii="Tahoma" w:hAnsi="Tahoma"/>
      <w:sz w:val="24"/>
      <w:szCs w:val="24"/>
    </w:rPr>
  </w:style>
  <w:style w:type="paragraph" w:styleId="1045" w:customStyle="1">
    <w:name w:val="正文文本 31"/>
    <w:basedOn w:val="761"/>
    <w:link w:val="1046"/>
    <w:uiPriority w:val="0"/>
    <w:qFormat/>
    <w:rPr>
      <w:rFonts w:ascii="仿宋_GB2312" w:hAnsi="Arial" w:eastAsia="仿宋_GB2312" w:cs="Times New Roman"/>
      <w:sz w:val="32"/>
      <w:szCs w:val="32"/>
    </w:rPr>
  </w:style>
  <w:style w:type="character" w:styleId="1046" w:customStyle="1">
    <w:name w:val="正文文本 3 Char"/>
    <w:link w:val="1045"/>
    <w:uiPriority w:val="0"/>
    <w:qFormat/>
    <w:rPr>
      <w:rFonts w:ascii="仿宋_GB2312" w:hAnsi="Arial" w:eastAsia="仿宋_GB2312" w:cs="Times New Roman"/>
      <w:sz w:val="32"/>
      <w:szCs w:val="32"/>
    </w:rPr>
  </w:style>
  <w:style w:type="paragraph" w:styleId="1047" w:customStyle="1">
    <w:name w:val="普通(网站)1"/>
    <w:basedOn w:val="761"/>
    <w:uiPriority w:val="99"/>
    <w:qFormat/>
    <w:pPr>
      <w:jc w:val="left"/>
      <w:spacing w:before="100" w:beforeAutospacing="1" w:after="100" w:afterAutospacing="1"/>
      <w:widowControl/>
    </w:pPr>
    <w:rPr>
      <w:rFonts w:ascii="宋体" w:hAnsi="宋体" w:eastAsia="宋体" w:cs="宋体"/>
      <w:sz w:val="24"/>
      <w:szCs w:val="24"/>
    </w:rPr>
  </w:style>
  <w:style w:type="paragraph" w:styleId="1048" w:customStyle="1">
    <w:name w:val="目录 41"/>
    <w:basedOn w:val="761"/>
    <w:next w:val="761"/>
    <w:uiPriority w:val="0"/>
    <w:semiHidden/>
    <w:qFormat/>
    <w:pPr>
      <w:ind w:left="630"/>
      <w:jc w:val="left"/>
    </w:pPr>
    <w:rPr>
      <w:rFonts w:ascii="Times New Roman" w:hAnsi="Times New Roman" w:eastAsia="宋体" w:cs="Times New Roman"/>
      <w:szCs w:val="21"/>
    </w:rPr>
  </w:style>
  <w:style w:type="paragraph" w:styleId="1049" w:customStyle="1">
    <w:name w:val="列出段落"/>
    <w:basedOn w:val="761"/>
    <w:uiPriority w:val="0"/>
    <w:qFormat/>
    <w:pPr>
      <w:contextualSpacing/>
      <w:ind w:left="720"/>
      <w:jc w:val="left"/>
      <w:widowControl/>
    </w:pPr>
    <w:rPr>
      <w:rFonts w:ascii="Calibri" w:hAnsi="Calibri" w:eastAsia="宋体" w:cs="Times New Roman"/>
      <w:sz w:val="24"/>
      <w:szCs w:val="24"/>
      <w:lang w:eastAsia="en-US" w:bidi="en-US"/>
    </w:rPr>
  </w:style>
  <w:style w:type="paragraph" w:styleId="1050" w:customStyle="1">
    <w:name w:val="4"/>
    <w:basedOn w:val="761"/>
    <w:next w:val="1040"/>
    <w:uiPriority w:val="0"/>
    <w:qFormat/>
    <w:pPr>
      <w:ind w:firstLine="420"/>
      <w:spacing w:line="360" w:lineRule="auto"/>
    </w:pPr>
    <w:rPr>
      <w:rFonts w:ascii="Times New Roman" w:hAnsi="Times New Roman" w:eastAsia="宋体" w:cs="Times New Roman"/>
      <w:color w:val="ff0000"/>
      <w:sz w:val="24"/>
      <w:szCs w:val="24"/>
    </w:rPr>
  </w:style>
  <w:style w:type="paragraph" w:styleId="1051" w:customStyle="1">
    <w:name w:val="普通 (Web)"/>
    <w:basedOn w:val="761"/>
    <w:uiPriority w:val="0"/>
    <w:qFormat/>
    <w:pPr>
      <w:jc w:val="left"/>
      <w:spacing w:before="100" w:beforeAutospacing="1" w:after="100" w:afterAutospacing="1"/>
      <w:widowControl/>
    </w:pPr>
    <w:rPr>
      <w:rFonts w:ascii="宋体" w:hAnsi="宋体" w:eastAsia="宋体" w:cs="Times New Roman"/>
      <w:sz w:val="24"/>
      <w:szCs w:val="24"/>
    </w:rPr>
  </w:style>
  <w:style w:type="paragraph" w:styleId="1052" w:customStyle="1">
    <w:name w:val=" Char Char Char Char Char Char Char Char Char Char"/>
    <w:basedOn w:val="761"/>
    <w:uiPriority w:val="0"/>
    <w:qFormat/>
    <w:pPr>
      <w:spacing w:line="360" w:lineRule="auto"/>
    </w:pPr>
    <w:rPr>
      <w:rFonts w:ascii="Times New Roman" w:hAnsi="Times New Roman" w:eastAsia="宋体" w:cs="Times New Roman"/>
      <w:sz w:val="24"/>
      <w:szCs w:val="20"/>
    </w:rPr>
  </w:style>
  <w:style w:type="paragraph" w:styleId="1053" w:customStyle="1">
    <w:name w:val="列表 21"/>
    <w:basedOn w:val="761"/>
    <w:uiPriority w:val="0"/>
    <w:qFormat/>
    <w:pPr>
      <w:ind w:left="100" w:hanging="200"/>
    </w:pPr>
    <w:rPr>
      <w:rFonts w:ascii="Times New Roman" w:hAnsi="Times New Roman" w:eastAsia="宋体" w:cs="Times New Roman"/>
      <w:szCs w:val="21"/>
    </w:rPr>
  </w:style>
  <w:style w:type="paragraph" w:styleId="1054" w:customStyle="1">
    <w:name w:val="正文首行缩进1"/>
    <w:basedOn w:val="761"/>
    <w:link w:val="1055"/>
    <w:uiPriority w:val="0"/>
    <w:qFormat/>
    <w:pPr>
      <w:ind w:firstLine="200"/>
      <w:spacing w:line="360" w:lineRule="auto"/>
    </w:pPr>
    <w:rPr>
      <w:rFonts w:ascii="仿宋_GB2312" w:hAnsi="Times New Roman" w:eastAsia="仿宋_GB2312" w:cs="Times New Roman"/>
      <w:sz w:val="30"/>
      <w:szCs w:val="30"/>
    </w:rPr>
  </w:style>
  <w:style w:type="character" w:styleId="1055" w:customStyle="1">
    <w:name w:val="正文首行缩进 Char"/>
    <w:link w:val="1054"/>
    <w:uiPriority w:val="0"/>
    <w:qFormat/>
    <w:rPr>
      <w:rFonts w:ascii="仿宋_GB2312" w:hAnsi="Times New Roman" w:eastAsia="仿宋_GB2312" w:cs="Times New Roman"/>
      <w:sz w:val="30"/>
      <w:szCs w:val="30"/>
    </w:rPr>
  </w:style>
  <w:style w:type="paragraph" w:styleId="1056" w:customStyle="1">
    <w:name w:val="样式1"/>
    <w:basedOn w:val="761"/>
    <w:uiPriority w:val="0"/>
    <w:qFormat/>
    <w:pPr>
      <w:numPr>
        <w:ilvl w:val="0"/>
        <w:numId w:val="3"/>
      </w:numPr>
    </w:pPr>
    <w:rPr>
      <w:rFonts w:ascii="宋体" w:hAnsi="宋体" w:eastAsia="宋体" w:cs="Times New Roman"/>
      <w:szCs w:val="21"/>
    </w:rPr>
  </w:style>
  <w:style w:type="paragraph" w:styleId="1057" w:customStyle="1">
    <w:name w:val="font6"/>
    <w:basedOn w:val="76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8" w:customStyle="1">
    <w:name w:val="目录 51"/>
    <w:basedOn w:val="761"/>
    <w:next w:val="761"/>
    <w:uiPriority w:val="0"/>
    <w:semiHidden/>
    <w:qFormat/>
    <w:pPr>
      <w:ind w:left="840"/>
      <w:jc w:val="left"/>
    </w:pPr>
    <w:rPr>
      <w:rFonts w:ascii="Times New Roman" w:hAnsi="Times New Roman" w:eastAsia="宋体" w:cs="Times New Roman"/>
      <w:szCs w:val="21"/>
    </w:rPr>
  </w:style>
  <w:style w:type="paragraph" w:styleId="1059" w:customStyle="1">
    <w:name w:val="目录 11"/>
    <w:basedOn w:val="761"/>
    <w:next w:val="76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60" w:customStyle="1">
    <w:name w:val="纯文本1"/>
    <w:basedOn w:val="761"/>
    <w:link w:val="1061"/>
    <w:uiPriority w:val="0"/>
    <w:qFormat/>
    <w:rPr>
      <w:rFonts w:ascii="宋体" w:hAnsi="Courier New" w:eastAsia="宋体" w:cs="Courier New"/>
      <w:szCs w:val="21"/>
    </w:rPr>
  </w:style>
  <w:style w:type="character" w:styleId="1061" w:customStyle="1">
    <w:name w:val="纯文本 Char"/>
    <w:link w:val="1060"/>
    <w:uiPriority w:val="0"/>
    <w:qFormat/>
    <w:rPr>
      <w:rFonts w:ascii="宋体" w:hAnsi="Courier New" w:eastAsia="宋体" w:cs="Courier New"/>
      <w:szCs w:val="21"/>
    </w:rPr>
  </w:style>
  <w:style w:type="paragraph" w:styleId="1062" w:customStyle="1">
    <w:name w:val="批注框文本1"/>
    <w:basedOn w:val="761"/>
    <w:link w:val="1063"/>
    <w:uiPriority w:val="0"/>
    <w:semiHidden/>
    <w:qFormat/>
    <w:rPr>
      <w:rFonts w:ascii="Times New Roman" w:hAnsi="Times New Roman" w:eastAsia="宋体" w:cs="Times New Roman"/>
      <w:sz w:val="18"/>
      <w:szCs w:val="18"/>
    </w:rPr>
  </w:style>
  <w:style w:type="character" w:styleId="1063" w:customStyle="1">
    <w:name w:val="批注框文本 Char"/>
    <w:link w:val="1062"/>
    <w:uiPriority w:val="0"/>
    <w:semiHidden/>
    <w:qFormat/>
    <w:rPr>
      <w:rFonts w:ascii="Times New Roman" w:hAnsi="Times New Roman" w:eastAsia="宋体" w:cs="Times New Roman"/>
      <w:sz w:val="18"/>
      <w:szCs w:val="18"/>
    </w:rPr>
  </w:style>
  <w:style w:type="paragraph" w:styleId="1064"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列表1"/>
    <w:basedOn w:val="761"/>
    <w:uiPriority w:val="0"/>
    <w:qFormat/>
    <w:pPr>
      <w:ind w:left="200" w:hanging="200"/>
    </w:pPr>
    <w:rPr>
      <w:rFonts w:ascii="Times New Roman" w:hAnsi="Times New Roman" w:eastAsia="宋体" w:cs="Times New Roman"/>
      <w:szCs w:val="21"/>
    </w:rPr>
  </w:style>
  <w:style w:type="paragraph" w:styleId="1066"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7" w:customStyle="1">
    <w:name w:val="日期1"/>
    <w:basedOn w:val="761"/>
    <w:next w:val="761"/>
    <w:link w:val="1068"/>
    <w:uiPriority w:val="0"/>
    <w:qFormat/>
    <w:rPr>
      <w:rFonts w:ascii="Times New Roman" w:hAnsi="Times New Roman" w:eastAsia="宋体" w:cs="Times New Roman"/>
      <w:sz w:val="24"/>
      <w:szCs w:val="24"/>
    </w:rPr>
  </w:style>
  <w:style w:type="character" w:styleId="1068" w:customStyle="1">
    <w:name w:val="日期 Char"/>
    <w:link w:val="1067"/>
    <w:uiPriority w:val="0"/>
    <w:qFormat/>
    <w:rPr>
      <w:rFonts w:ascii="Times New Roman" w:hAnsi="Times New Roman" w:eastAsia="宋体" w:cs="Times New Roman"/>
      <w:sz w:val="24"/>
      <w:szCs w:val="24"/>
    </w:rPr>
  </w:style>
  <w:style w:type="paragraph" w:styleId="1069" w:customStyle="1">
    <w:name w:val="标题3"/>
    <w:basedOn w:val="761"/>
    <w:next w:val="761"/>
    <w:uiPriority w:val="0"/>
    <w:qFormat/>
    <w:pPr>
      <w:ind w:firstLine="624"/>
      <w:spacing w:line="590" w:lineRule="atLeast"/>
    </w:pPr>
    <w:rPr>
      <w:rFonts w:ascii="方正黑体_GBK" w:hAnsi="Times New Roman" w:eastAsia="方正黑体_GBK" w:cs="Times New Roman"/>
      <w:sz w:val="32"/>
      <w:szCs w:val="32"/>
    </w:rPr>
  </w:style>
  <w:style w:type="paragraph" w:styleId="1070"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2" w:customStyle="1">
    <w:name w:val="Char Char Char Char Char Char Char Char"/>
    <w:basedOn w:val="761"/>
    <w:uiPriority w:val="0"/>
    <w:qFormat/>
    <w:pPr>
      <w:jc w:val="left"/>
      <w:spacing w:after="160" w:line="240" w:lineRule="exact"/>
      <w:widowControl/>
    </w:pPr>
    <w:rPr>
      <w:rFonts w:ascii="Verdana" w:hAnsi="Verdana" w:eastAsia="宋体" w:cs="Times New Roman"/>
      <w:sz w:val="20"/>
      <w:szCs w:val="20"/>
      <w:lang w:eastAsia="en-US"/>
    </w:rPr>
  </w:style>
  <w:style w:type="paragraph" w:styleId="1073" w:customStyle="1">
    <w:name w:val="正文文本 21"/>
    <w:basedOn w:val="761"/>
    <w:link w:val="1074"/>
    <w:uiPriority w:val="0"/>
    <w:qFormat/>
    <w:pPr>
      <w:jc w:val="center"/>
      <w:widowControl/>
    </w:pPr>
    <w:rPr>
      <w:rFonts w:ascii="楷体_GB2312" w:hAnsi="Times New Roman" w:eastAsia="楷体_GB2312" w:cs="Times New Roman"/>
      <w:sz w:val="28"/>
      <w:szCs w:val="28"/>
    </w:rPr>
  </w:style>
  <w:style w:type="character" w:styleId="1074" w:customStyle="1">
    <w:name w:val="正文文本 2 Char"/>
    <w:link w:val="1073"/>
    <w:uiPriority w:val="0"/>
    <w:qFormat/>
    <w:rPr>
      <w:rFonts w:ascii="楷体_GB2312" w:hAnsi="Times New Roman" w:eastAsia="楷体_GB2312" w:cs="Times New Roman"/>
      <w:sz w:val="28"/>
      <w:szCs w:val="28"/>
    </w:rPr>
  </w:style>
  <w:style w:type="paragraph" w:styleId="1075" w:customStyle="1">
    <w:name w:val="列表 31"/>
    <w:basedOn w:val="761"/>
    <w:uiPriority w:val="0"/>
    <w:qFormat/>
    <w:pPr>
      <w:ind w:left="100" w:hanging="200"/>
    </w:pPr>
    <w:rPr>
      <w:rFonts w:ascii="Times New Roman" w:hAnsi="Times New Roman" w:eastAsia="宋体" w:cs="Times New Roman"/>
      <w:szCs w:val="21"/>
    </w:rPr>
  </w:style>
  <w:style w:type="paragraph" w:styleId="1076" w:customStyle="1">
    <w:name w:val="目录 71"/>
    <w:basedOn w:val="761"/>
    <w:next w:val="761"/>
    <w:uiPriority w:val="0"/>
    <w:semiHidden/>
    <w:qFormat/>
    <w:pPr>
      <w:ind w:left="1260"/>
      <w:jc w:val="left"/>
    </w:pPr>
    <w:rPr>
      <w:rFonts w:ascii="Times New Roman" w:hAnsi="Times New Roman" w:eastAsia="宋体" w:cs="Times New Roman"/>
      <w:szCs w:val="21"/>
    </w:rPr>
  </w:style>
  <w:style w:type="paragraph" w:styleId="1077" w:customStyle="1">
    <w:name w:val="目录 21"/>
    <w:basedOn w:val="761"/>
    <w:next w:val="761"/>
    <w:uiPriority w:val="0"/>
    <w:semiHidden/>
    <w:qFormat/>
    <w:pPr>
      <w:ind w:left="210"/>
      <w:jc w:val="left"/>
    </w:pPr>
    <w:rPr>
      <w:rFonts w:ascii="Times New Roman" w:hAnsi="Times New Roman" w:eastAsia="宋体" w:cs="Times New Roman"/>
      <w:smallCaps/>
      <w:szCs w:val="24"/>
    </w:rPr>
  </w:style>
  <w:style w:type="paragraph" w:styleId="1078"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9" w:customStyle="1">
    <w:name w:val="页眉1"/>
    <w:basedOn w:val="761"/>
    <w:link w:val="108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80" w:customStyle="1">
    <w:name w:val="页眉 Char"/>
    <w:link w:val="1079"/>
    <w:uiPriority w:val="0"/>
    <w:qFormat/>
    <w:rPr>
      <w:rFonts w:ascii="Times New Roman" w:hAnsi="Times New Roman" w:eastAsia="宋体" w:cs="Times New Roman"/>
      <w:sz w:val="18"/>
      <w:szCs w:val="18"/>
    </w:rPr>
  </w:style>
  <w:style w:type="paragraph" w:styleId="1081" w:customStyle="1">
    <w:name w:val="页脚1"/>
    <w:basedOn w:val="761"/>
    <w:link w:val="108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82" w:customStyle="1">
    <w:name w:val="页脚 Char"/>
    <w:link w:val="1081"/>
    <w:uiPriority w:val="0"/>
    <w:qFormat/>
    <w:rPr>
      <w:rFonts w:ascii="Times New Roman" w:hAnsi="Times New Roman" w:eastAsia="宋体" w:cs="Times New Roman"/>
      <w:sz w:val="18"/>
      <w:szCs w:val="18"/>
    </w:rPr>
  </w:style>
  <w:style w:type="paragraph" w:styleId="1083" w:customStyle="1">
    <w:name w:val=" Char Char Char Char Char Char Char Char"/>
    <w:basedOn w:val="761"/>
    <w:uiPriority w:val="0"/>
    <w:qFormat/>
    <w:pPr>
      <w:jc w:val="left"/>
      <w:spacing w:after="160" w:line="240" w:lineRule="exact"/>
      <w:widowControl/>
    </w:pPr>
    <w:rPr>
      <w:rFonts w:ascii="Verdana" w:hAnsi="Verdana" w:eastAsia="宋体" w:cs="Times New Roman"/>
      <w:sz w:val="20"/>
      <w:szCs w:val="20"/>
      <w:lang w:eastAsia="en-US"/>
    </w:rPr>
  </w:style>
  <w:style w:type="paragraph" w:styleId="1084" w:customStyle="1">
    <w:name w:val="目录 81"/>
    <w:basedOn w:val="761"/>
    <w:next w:val="761"/>
    <w:uiPriority w:val="0"/>
    <w:semiHidden/>
    <w:qFormat/>
    <w:pPr>
      <w:ind w:left="1470"/>
      <w:jc w:val="left"/>
    </w:pPr>
    <w:rPr>
      <w:rFonts w:ascii="Times New Roman" w:hAnsi="Times New Roman" w:eastAsia="宋体" w:cs="Times New Roman"/>
      <w:szCs w:val="21"/>
    </w:rPr>
  </w:style>
  <w:style w:type="paragraph" w:styleId="1085" w:customStyle="1">
    <w:name w:val="xl30"/>
    <w:basedOn w:val="76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86" w:customStyle="1">
    <w:name w:val="Char Char Char Char"/>
    <w:basedOn w:val="1025"/>
    <w:uiPriority w:val="0"/>
    <w:qFormat/>
    <w:pPr>
      <w:spacing w:line="360" w:lineRule="auto"/>
    </w:pPr>
    <w:rPr>
      <w:rFonts w:ascii="Tahoma" w:hAnsi="Tahoma"/>
      <w:sz w:val="24"/>
      <w:szCs w:val="24"/>
    </w:rPr>
  </w:style>
  <w:style w:type="paragraph" w:styleId="1087" w:customStyle="1">
    <w:name w:val="table_1stline"/>
    <w:basedOn w:val="76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88" w:customStyle="1">
    <w:name w:val="font5"/>
    <w:basedOn w:val="76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89" w:customStyle="1">
    <w:name w:val="标题1"/>
    <w:basedOn w:val="761"/>
    <w:next w:val="76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0" w:customStyle="1">
    <w:name w:val="修订"/>
    <w:uiPriority w:val="99"/>
    <w:semiHidden/>
    <w:qFormat/>
    <w:rPr>
      <w:rFonts w:hint="default" w:ascii="Times New Roman" w:hAnsi="Times New Roman" w:eastAsia="宋体" w:cs="Times New Roman"/>
      <w:sz w:val="21"/>
      <w:szCs w:val="21"/>
      <w:lang w:val="en-US" w:eastAsia="zh-CN" w:bidi="ar-SA"/>
    </w:rPr>
  </w:style>
  <w:style w:type="table" w:styleId="1091" w:customStyle="1">
    <w:name w:val="网格型1"/>
    <w:basedOn w:val="1007"/>
    <w:uiPriority w:val="0"/>
    <w:qFormat/>
    <w:pPr>
      <w:jc w:val="both"/>
      <w:widowControl w:val="off"/>
    </w:pPr>
    <w:rPr>
      <w:rFonts w:ascii="Times New Roman" w:hAnsi="Times New Roman" w:eastAsia="宋体" w:cs="Times New Roman"/>
      <w:sz w:val="20"/>
      <w:szCs w:val="20"/>
    </w:rPr>
    <w:tblPr/>
  </w:style>
  <w:style w:type="paragraph" w:styleId="10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3" w:customStyle="1">
    <w:name w:val="索引 41"/>
    <w:basedOn w:val="761"/>
    <w:next w:val="761"/>
    <w:uiPriority w:val="99"/>
    <w:qFormat/>
    <w:pPr>
      <w:ind w:left="600"/>
    </w:pPr>
  </w:style>
  <w:style w:type="paragraph" w:styleId="1094" w:customStyle="1">
    <w:name w:val="正文文本缩进 211"/>
    <w:basedOn w:val="761"/>
    <w:uiPriority w:val="0"/>
    <w:qFormat/>
    <w:pPr>
      <w:ind w:firstLine="630"/>
      <w:spacing w:before="120"/>
      <w:tabs>
        <w:tab w:val="left" w:pos="0" w:leader="none"/>
      </w:tabs>
    </w:pPr>
    <w:rPr>
      <w:bCs/>
    </w:rPr>
  </w:style>
  <w:style w:type="character" w:styleId="1095" w:customStyle="1">
    <w:name w:val="font11"/>
    <w:basedOn w:val="804"/>
    <w:link w:val="761"/>
    <w:uiPriority w:val="0"/>
    <w:qFormat/>
    <w:rPr>
      <w:rFonts w:hint="eastAsia" w:ascii="宋体" w:hAnsi="宋体" w:eastAsia="宋体" w:cs="宋体"/>
      <w:color w:val="000000"/>
      <w:sz w:val="20"/>
      <w:szCs w:val="20"/>
      <w:u w:val="none"/>
    </w:rPr>
  </w:style>
  <w:style w:type="character" w:styleId="1096" w:customStyle="1">
    <w:name w:val="font71"/>
    <w:basedOn w:val="804"/>
    <w:link w:val="761"/>
    <w:uiPriority w:val="0"/>
    <w:qFormat/>
    <w:rPr>
      <w:rFonts w:hint="eastAsia" w:ascii="宋体" w:hAnsi="宋体" w:eastAsia="宋体" w:cs="宋体"/>
      <w:b/>
      <w:bCs/>
      <w:color w:val="000000"/>
      <w:sz w:val="24"/>
      <w:szCs w:val="24"/>
      <w:u w:val="none"/>
    </w:rPr>
  </w:style>
  <w:style w:type="character" w:styleId="1097" w:customStyle="1">
    <w:name w:val="font81"/>
    <w:basedOn w:val="804"/>
    <w:link w:val="761"/>
    <w:uiPriority w:val="0"/>
    <w:qFormat/>
    <w:rPr>
      <w:rFonts w:hint="eastAsia" w:ascii="宋体" w:hAnsi="宋体" w:eastAsia="宋体" w:cs="宋体"/>
      <w:color w:val="000000"/>
      <w:sz w:val="21"/>
      <w:szCs w:val="21"/>
      <w:u w:val="none"/>
    </w:rPr>
  </w:style>
  <w:style w:type="character" w:styleId="1098" w:customStyle="1">
    <w:name w:val="标题 2 字符"/>
    <w:link w:val="1099"/>
    <w:uiPriority w:val="0"/>
    <w:qFormat/>
    <w:rPr>
      <w:rFonts w:ascii="Arial" w:hAnsi="Arial" w:eastAsia="方正幼线_GBK" w:cs="Arial"/>
      <w:b/>
      <w:bCs/>
      <w:sz w:val="44"/>
      <w:szCs w:val="44"/>
    </w:rPr>
  </w:style>
  <w:style w:type="paragraph" w:styleId="1099" w:customStyle="1">
    <w:name w:val="标题 211"/>
    <w:basedOn w:val="761"/>
    <w:next w:val="989"/>
    <w:link w:val="1098"/>
    <w:uiPriority w:val="0"/>
    <w:qFormat/>
    <w:pPr>
      <w:jc w:val="center"/>
      <w:keepLines/>
      <w:keepNext/>
      <w:spacing w:before="260" w:after="260" w:line="416" w:lineRule="auto"/>
      <w:outlineLvl w:val="1"/>
    </w:pPr>
    <w:rPr>
      <w:rFonts w:ascii="Arial" w:hAnsi="Arial" w:eastAsia="方正幼线_GBK" w:cs="Arial"/>
      <w:b/>
      <w:bCs/>
      <w:sz w:val="44"/>
      <w:szCs w:val="44"/>
    </w:rPr>
  </w:style>
  <w:style w:type="paragraph" w:styleId="1100" w:customStyle="1">
    <w:name w:val="正文首行缩进11"/>
    <w:basedOn w:val="1101"/>
    <w:uiPriority w:val="0"/>
    <w:qFormat/>
    <w:pPr>
      <w:ind w:firstLine="200"/>
      <w:spacing w:line="360" w:lineRule="auto"/>
    </w:pPr>
    <w:rPr>
      <w:rFonts w:ascii="仿宋_GB2312" w:hAnsi="Times New Roman" w:eastAsia="仿宋_GB2312"/>
      <w:sz w:val="30"/>
      <w:szCs w:val="30"/>
    </w:rPr>
  </w:style>
  <w:style w:type="paragraph" w:styleId="1101" w:customStyle="1">
    <w:name w:val="正文文本11"/>
    <w:basedOn w:val="761"/>
    <w:next w:val="761"/>
    <w:uiPriority w:val="0"/>
    <w:qFormat/>
    <w:rPr>
      <w:rFonts w:ascii="楷体_GB2312" w:hAnsi="Arial" w:eastAsia="楷体_GB2312"/>
      <w:sz w:val="28"/>
      <w:szCs w:val="28"/>
      <w:lang w:eastAsia="en-US"/>
    </w:rPr>
  </w:style>
  <w:style w:type="table" w:styleId="1102" w:customStyle="1">
    <w:name w:val="Table Normal"/>
    <w:uiPriority w:val="0"/>
    <w:unhideWhenUsed/>
    <w:qFormat/>
    <w:tblPr/>
  </w:style>
  <w:style w:type="paragraph" w:styleId="110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11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5" w:customStyle="1">
    <w:name w:val="Table Paragraph"/>
    <w:basedOn w:val="761"/>
    <w:uiPriority w:val="1"/>
    <w:qFormat/>
    <w:pPr>
      <w:jc w:val="left"/>
    </w:pPr>
    <w:rPr>
      <w:rFonts w:ascii="宋体" w:hAnsi="宋体" w:cs="宋体"/>
      <w:sz w:val="22"/>
      <w:szCs w:val="22"/>
      <w:lang w:eastAsia="en-US"/>
    </w:rPr>
  </w:style>
  <w:style w:type="paragraph" w:styleId="1106" w:customStyle="1">
    <w:name w:val="id_d0f102370a1e"/>
    <w:basedOn w:val="1107"/>
    <w:uiPriority w:val="0"/>
    <w:qFormat/>
    <w:pPr>
      <w:jc w:val="both"/>
      <w:widowControl w:val="off"/>
    </w:pPr>
  </w:style>
  <w:style w:type="paragraph" w:styleId="1107" w:customStyle="1">
    <w:name w:val="id_36cafeb06c55"/>
    <w:uiPriority w:val="0"/>
    <w:qFormat/>
    <w:rPr>
      <w:rFonts w:hint="default" w:ascii="Calibri" w:hAnsi="Calibri" w:eastAsia="宋体" w:cs="Times New Roman"/>
      <w:sz w:val="21"/>
      <w:szCs w:val="22"/>
      <w:lang w:val="en-US" w:eastAsia="zh-CN" w:bidi="ar-SA"/>
    </w:rPr>
  </w:style>
  <w:style w:type="paragraph" w:styleId="1108" w:customStyle="1">
    <w:name w:val="id_b992ff4b9f97"/>
    <w:basedOn w:val="1106"/>
    <w:uiPriority w:val="0"/>
    <w:qFormat/>
    <w:pPr>
      <w:ind w:firstLine="420"/>
    </w:pPr>
  </w:style>
  <w:style w:type="paragraph" w:styleId="1109" w:customStyle="1">
    <w:name w:val="id_30bfa26e5538"/>
    <w:basedOn w:val="1110"/>
    <w:uiPriority w:val="0"/>
    <w:qFormat/>
    <w:pPr>
      <w:jc w:val="both"/>
      <w:widowControl w:val="off"/>
    </w:pPr>
  </w:style>
  <w:style w:type="paragraph" w:styleId="1110" w:customStyle="1">
    <w:name w:val="id_dd5e433b3c81"/>
    <w:uiPriority w:val="0"/>
    <w:qFormat/>
    <w:rPr>
      <w:rFonts w:hint="default" w:ascii="Calibri" w:hAnsi="Calibri" w:eastAsia="宋体" w:cs="Times New Roman"/>
      <w:sz w:val="21"/>
      <w:szCs w:val="22"/>
      <w:lang w:val="en-US" w:eastAsia="zh-CN" w:bidi="ar-SA"/>
    </w:rPr>
  </w:style>
  <w:style w:type="paragraph" w:styleId="1111" w:customStyle="1">
    <w:name w:val="Table Text"/>
    <w:uiPriority w:val="0"/>
    <w:semiHidden/>
    <w:qFormat/>
    <w:pPr>
      <w:jc w:val="left"/>
      <w:spacing w:line="240" w:lineRule="auto"/>
    </w:pPr>
    <w:rPr>
      <w:rFonts w:hint="default" w:ascii="宋体" w:hAnsi="宋体" w:eastAsia="宋体" w:cs="宋体"/>
      <w:color w:val="000000"/>
      <w:sz w:val="24"/>
      <w:szCs w:val="24"/>
      <w:lang w:val="en-US" w:eastAsia="en-US" w:bidi="ar-SA"/>
    </w:rPr>
  </w:style>
  <w:style w:type="numbering" w:styleId="20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杨阳</cp:lastModifiedBy>
  <cp:revision>6</cp:revision>
  <dcterms:created xsi:type="dcterms:W3CDTF">2023-03-16T02:13:00Z</dcterms:created>
  <dcterms:modified xsi:type="dcterms:W3CDTF">2026-07-10T07:27:17Z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6C0CD1F9855241A7BB3D1AFF27289C0A_13</vt:lpwstr>
  </property>
  <property fmtid="{D5CDD505-2E9C-101B-9397-08002B2CF9AE}" pid="4" name="KSOTemplateDocerSaveRecord">
    <vt:lpwstr>eyJoZGlkIjoiMTk3OTVkYjJjYTEyY2M4ZmRjZmMzNmM3YTdkMGNkYWQiLCJ1c2VySWQiOiIzODEzNTcxNTUifQ==</vt:lpwstr>
  </property>
</Properties>
</file>