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ind w:firstLine="420"/>
        <w:jc w:val="center"/>
        <w:rPr>
          <w:rFonts w:ascii="Times New Roman" w:hAnsi="Times New Roman" w:eastAsia="黑体"/>
          <w:color w:val="auto"/>
          <w:sz w:val="40"/>
          <w:szCs w:val="36"/>
          <w:highlight w:val="none"/>
        </w:rPr>
      </w:pPr>
      <w:r>
        <w:rPr>
          <w:rFonts w:ascii="Times New Roman" w:hAnsi="Times New Roman" w:eastAsia="黑体"/>
          <w:color w:val="auto"/>
          <w:sz w:val="40"/>
          <w:szCs w:val="36"/>
          <w:highlight w:val="none"/>
        </w:rPr>
      </w:r>
      <w:r/>
    </w:p>
    <w:p>
      <w:pPr>
        <w:jc w:val="center"/>
        <w:spacing w:before="120" w:after="120" w:line="360" w:lineRule="auto"/>
        <w:rPr>
          <w:rFonts w:ascii="黑体" w:eastAsia="黑体" w:cs="黑体"/>
          <w:b/>
          <w:bCs/>
          <w:color w:val="auto"/>
          <w:sz w:val="84"/>
          <w:szCs w:val="24"/>
          <w:highlight w:val="none"/>
        </w:rPr>
      </w:pPr>
      <w:r>
        <w:rPr>
          <w:rFonts w:hint="eastAsia" w:ascii="黑体" w:eastAsia="黑体" w:cs="黑体"/>
          <w:b/>
          <w:bCs/>
          <w:color w:val="auto"/>
          <w:sz w:val="84"/>
          <w:szCs w:val="24"/>
          <w:highlight w:val="none"/>
        </w:rPr>
        <w:t xml:space="preserve">招 标 文 件</w:t>
      </w:r>
      <w:r/>
    </w:p>
    <w:p>
      <w:pPr>
        <w:jc w:val="center"/>
        <w:spacing w:before="120" w:after="120" w:line="360" w:lineRule="auto"/>
        <w:rPr>
          <w:rFonts w:hint="eastAsia" w:ascii="楷体" w:eastAsia="楷体" w:cs="楷体"/>
          <w:b/>
          <w:color w:val="auto"/>
          <w:sz w:val="36"/>
          <w:szCs w:val="36"/>
          <w:highlight w:val="none"/>
        </w:rPr>
      </w:pPr>
      <w:r>
        <w:rPr>
          <w:rFonts w:hint="eastAsia" w:ascii="楷体" w:eastAsia="楷体" w:cs="楷体"/>
          <w:b/>
          <w:color w:val="auto"/>
          <w:sz w:val="36"/>
          <w:szCs w:val="36"/>
          <w:highlight w:val="none"/>
        </w:rPr>
      </w:r>
      <w:r/>
    </w:p>
    <w:p>
      <w:pPr>
        <w:jc w:val="center"/>
        <w:spacing w:before="120" w:after="120" w:line="360" w:lineRule="auto"/>
        <w:rPr>
          <w:rFonts w:ascii="楷体" w:eastAsia="楷体" w:cs="楷体"/>
          <w:b/>
          <w:color w:val="auto"/>
          <w:sz w:val="36"/>
          <w:szCs w:val="36"/>
          <w:highlight w:val="none"/>
        </w:rPr>
      </w:pPr>
      <w:r>
        <w:rPr>
          <w:rFonts w:hint="eastAsia" w:ascii="楷体" w:eastAsia="楷体" w:cs="楷体"/>
          <w:b/>
          <w:color w:val="auto"/>
          <w:sz w:val="36"/>
          <w:szCs w:val="36"/>
          <w:highlight w:val="none"/>
        </w:rPr>
        <w:t xml:space="preserve">项目名称：</w:t>
      </w:r>
      <w:r>
        <w:rPr>
          <w:rFonts w:hint="eastAsia" w:ascii="楷体" w:eastAsia="楷体" w:cs="楷体"/>
          <w:b/>
          <w:color w:val="auto"/>
          <w:sz w:val="36"/>
          <w:szCs w:val="36"/>
          <w:highlight w:val="none"/>
          <w:lang w:eastAsia="zh-CN"/>
        </w:rPr>
        <w:t xml:space="preserve">省厅清河路9号办公点综合楼中央空调更新</w:t>
      </w:r>
      <w:r>
        <w:rPr>
          <w:rFonts w:hint="eastAsia" w:ascii="楷体" w:eastAsia="楷体" w:cs="楷体"/>
          <w:b/>
          <w:color w:val="auto"/>
          <w:sz w:val="36"/>
          <w:szCs w:val="36"/>
          <w:highlight w:val="none"/>
        </w:rPr>
        <w:t xml:space="preserve">项目</w:t>
      </w:r>
      <w:r/>
    </w:p>
    <w:p>
      <w:pPr>
        <w:jc w:val="center"/>
        <w:spacing w:before="120" w:after="120" w:line="360" w:lineRule="auto"/>
        <w:rPr>
          <w:rFonts w:hint="eastAsia" w:ascii="楷体" w:eastAsia="楷体" w:cs="楷体"/>
          <w:b/>
          <w:color w:val="auto"/>
          <w:sz w:val="36"/>
          <w:szCs w:val="36"/>
          <w:highlight w:val="none"/>
          <w:lang w:eastAsia="zh-CN"/>
        </w:rPr>
      </w:pPr>
      <w:r>
        <w:rPr>
          <w:rFonts w:hint="eastAsia" w:ascii="楷体" w:eastAsia="楷体" w:cs="楷体"/>
          <w:b/>
          <w:color w:val="auto"/>
          <w:sz w:val="36"/>
          <w:szCs w:val="36"/>
          <w:highlight w:val="none"/>
        </w:rPr>
        <w:t xml:space="preserve"> 项目编号：</w:t>
      </w:r>
      <w:r>
        <w:rPr>
          <w:rFonts w:hint="eastAsia" w:ascii="楷体" w:eastAsia="楷体" w:cs="楷体"/>
          <w:b/>
          <w:color w:val="auto"/>
          <w:sz w:val="36"/>
          <w:szCs w:val="36"/>
          <w:highlight w:val="none"/>
          <w:lang w:eastAsia="zh-CN"/>
        </w:rPr>
        <w:t xml:space="preserve">SJY-20260525-020</w:t>
      </w:r>
      <w:r/>
    </w:p>
    <w:p>
      <w:pPr>
        <w:pStyle w:val="956"/>
        <w:ind w:firstLine="0"/>
        <w:spacing w:before="0" w:after="0"/>
        <w:rPr>
          <w:rFonts w:ascii="楷体" w:eastAsia="楷体" w:cs="楷体"/>
          <w:color w:val="auto"/>
          <w:highlight w:val="none"/>
        </w:rPr>
      </w:pPr>
      <w:r>
        <w:rPr>
          <w:rFonts w:hint="eastAsia" w:ascii="楷体" w:eastAsia="楷体" w:cs="楷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476250</wp:posOffset>
                </wp:positionH>
                <wp:positionV relativeFrom="paragraph">
                  <wp:posOffset>87630</wp:posOffset>
                </wp:positionV>
                <wp:extent cx="4636135" cy="3012440"/>
                <wp:effectExtent l="0" t="0" r="0" b="0"/>
                <wp:wrapNone/>
                <wp:docPr id="3" name="图片 1026" descr="4a7a4c49674cf03eb7e28cd4ee56c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26" descr="4a7a4c49674cf03eb7e28cd4ee56c7e"/>
                        <pic:cNvPicPr>
                          <a:picLocks noChangeAspect="1"/>
                        </pic:cNvPicPr>
                        <pic:nvPr/>
                      </pic:nvPicPr>
                      <pic:blipFill>
                        <a:blip r:embed="rId15"/>
                        <a:stretch/>
                      </pic:blipFill>
                      <pic:spPr bwMode="auto">
                        <a:xfrm>
                          <a:off x="0" y="0"/>
                          <a:ext cx="4636134" cy="3012440"/>
                        </a:xfrm>
                        <a:prstGeom prst="rect">
                          <a:avLst/>
                        </a:prstGeom>
                        <a:noFill/>
                        <a:ln w="9525" cap="flat" cmpd="sng">
                          <a:noFill/>
                          <a:prstDash val="solid"/>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37.5pt;mso-position-horizontal:absolute;mso-position-vertical-relative:text;margin-top:6.9pt;mso-position-vertical:absolute;width:365.0pt;height:237.2pt;mso-wrap-distance-left:9.0pt;mso-wrap-distance-top:0.0pt;mso-wrap-distance-right:9.0pt;mso-wrap-distance-bottom:0.0pt;" stroked="f" strokeweight="0.75pt">
                <v:path textboxrect="0,0,0,0"/>
                <v:imagedata r:id="rId15" o:title=""/>
              </v:shape>
            </w:pict>
          </mc:Fallback>
        </mc:AlternateContent>
      </w:r>
      <w:r/>
    </w:p>
    <w:p>
      <w:pPr>
        <w:pStyle w:val="956"/>
        <w:ind w:firstLine="0"/>
        <w:spacing w:before="0" w:after="0"/>
        <w:rPr>
          <w:rFonts w:ascii="楷体" w:eastAsia="楷体" w:cs="楷体"/>
          <w:color w:val="auto"/>
          <w:highlight w:val="none"/>
        </w:rPr>
      </w:pPr>
      <w:r>
        <w:rPr>
          <w:rFonts w:ascii="楷体" w:eastAsia="楷体" w:cs="楷体"/>
          <w:color w:val="auto"/>
          <w:highlight w:val="none"/>
        </w:rPr>
      </w:r>
      <w:r/>
    </w:p>
    <w:p>
      <w:pPr>
        <w:pStyle w:val="956"/>
        <w:ind w:firstLine="0"/>
        <w:spacing w:before="0" w:after="0"/>
        <w:rPr>
          <w:rFonts w:ascii="楷体" w:eastAsia="楷体" w:cs="楷体"/>
          <w:color w:val="auto"/>
          <w:highlight w:val="none"/>
        </w:rPr>
      </w:pPr>
      <w:r>
        <w:rPr>
          <w:rFonts w:ascii="楷体" w:eastAsia="楷体" w:cs="楷体"/>
          <w:color w:val="auto"/>
          <w:highlight w:val="none"/>
        </w:rPr>
      </w:r>
      <w:r/>
    </w:p>
    <w:p>
      <w:pPr>
        <w:pStyle w:val="956"/>
        <w:ind w:firstLine="0"/>
        <w:spacing w:before="0" w:after="0"/>
        <w:rPr>
          <w:rFonts w:ascii="楷体" w:eastAsia="楷体" w:cs="楷体"/>
          <w:color w:val="auto"/>
          <w:highlight w:val="none"/>
        </w:rPr>
      </w:pPr>
      <w:r>
        <w:rPr>
          <w:rFonts w:ascii="楷体" w:eastAsia="楷体" w:cs="楷体"/>
          <w:color w:val="auto"/>
          <w:highlight w:val="none"/>
        </w:rPr>
      </w:r>
      <w:r/>
    </w:p>
    <w:p>
      <w:pPr>
        <w:pStyle w:val="956"/>
        <w:ind w:firstLine="0"/>
        <w:spacing w:before="0" w:after="0"/>
        <w:rPr>
          <w:rFonts w:ascii="楷体" w:eastAsia="楷体" w:cs="楷体"/>
          <w:color w:val="auto"/>
          <w:highlight w:val="none"/>
        </w:rPr>
      </w:pPr>
      <w:r>
        <w:rPr>
          <w:rFonts w:ascii="楷体" w:eastAsia="楷体" w:cs="楷体"/>
          <w:color w:val="auto"/>
          <w:highlight w:val="none"/>
        </w:rPr>
      </w:r>
      <w:r/>
    </w:p>
    <w:p>
      <w:pPr>
        <w:pStyle w:val="956"/>
        <w:ind w:firstLine="0"/>
        <w:spacing w:before="0" w:after="0"/>
        <w:rPr>
          <w:rFonts w:ascii="楷体" w:eastAsia="楷体" w:cs="楷体"/>
          <w:color w:val="auto"/>
          <w:highlight w:val="none"/>
        </w:rPr>
      </w:pPr>
      <w:r>
        <w:rPr>
          <w:rFonts w:ascii="楷体" w:eastAsia="楷体" w:cs="楷体"/>
          <w:color w:val="auto"/>
          <w:highlight w:val="none"/>
        </w:rPr>
      </w:r>
      <w:r/>
    </w:p>
    <w:p>
      <w:pPr>
        <w:pStyle w:val="956"/>
        <w:ind w:firstLine="0"/>
        <w:jc w:val="center"/>
        <w:spacing w:before="0" w:after="0"/>
        <w:rPr>
          <w:rFonts w:ascii="楷体" w:eastAsia="楷体" w:cs="楷体"/>
          <w:color w:val="auto"/>
          <w:sz w:val="30"/>
          <w:szCs w:val="30"/>
          <w:highlight w:val="none"/>
        </w:rPr>
      </w:pPr>
      <w:r>
        <w:rPr>
          <w:rFonts w:ascii="楷体" w:eastAsia="楷体" w:cs="楷体"/>
          <w:color w:val="auto"/>
          <w:sz w:val="30"/>
          <w:szCs w:val="30"/>
          <w:highlight w:val="none"/>
        </w:rPr>
      </w:r>
      <w:r/>
    </w:p>
    <w:p>
      <w:pPr>
        <w:pStyle w:val="956"/>
        <w:ind w:firstLine="0"/>
        <w:jc w:val="center"/>
        <w:spacing w:before="0" w:after="0"/>
        <w:rPr>
          <w:rFonts w:ascii="楷体" w:eastAsia="楷体" w:cs="楷体"/>
          <w:color w:val="auto"/>
          <w:sz w:val="30"/>
          <w:szCs w:val="30"/>
          <w:highlight w:val="none"/>
        </w:rPr>
      </w:pPr>
      <w:r>
        <w:rPr>
          <w:rFonts w:ascii="楷体" w:eastAsia="楷体" w:cs="楷体"/>
          <w:color w:val="auto"/>
          <w:sz w:val="30"/>
          <w:szCs w:val="30"/>
          <w:highlight w:val="none"/>
        </w:rPr>
      </w:r>
      <w:r/>
    </w:p>
    <w:p>
      <w:pPr>
        <w:pStyle w:val="956"/>
        <w:ind w:firstLine="0"/>
        <w:jc w:val="center"/>
        <w:spacing w:before="0" w:after="0"/>
        <w:rPr>
          <w:rFonts w:ascii="楷体" w:eastAsia="楷体" w:cs="楷体"/>
          <w:color w:val="auto"/>
          <w:sz w:val="30"/>
          <w:szCs w:val="30"/>
          <w:highlight w:val="none"/>
        </w:rPr>
      </w:pPr>
      <w:r>
        <w:rPr>
          <w:rFonts w:ascii="楷体" w:eastAsia="楷体" w:cs="楷体"/>
          <w:color w:val="auto"/>
          <w:sz w:val="30"/>
          <w:szCs w:val="30"/>
          <w:highlight w:val="none"/>
        </w:rPr>
      </w:r>
      <w:r/>
    </w:p>
    <w:p>
      <w:pPr>
        <w:pStyle w:val="956"/>
        <w:ind w:firstLine="0"/>
        <w:jc w:val="center"/>
        <w:spacing w:before="0" w:after="0"/>
        <w:rPr>
          <w:rFonts w:ascii="楷体" w:eastAsia="楷体" w:cs="楷体"/>
          <w:color w:val="auto"/>
          <w:sz w:val="30"/>
          <w:szCs w:val="30"/>
          <w:highlight w:val="none"/>
        </w:rPr>
      </w:pPr>
      <w:r>
        <w:rPr>
          <w:rFonts w:ascii="楷体" w:eastAsia="楷体" w:cs="楷体"/>
          <w:color w:val="auto"/>
          <w:sz w:val="30"/>
          <w:szCs w:val="30"/>
          <w:highlight w:val="none"/>
        </w:rPr>
      </w:r>
      <w:r/>
    </w:p>
    <w:p>
      <w:pPr>
        <w:pStyle w:val="956"/>
        <w:ind w:firstLine="0"/>
        <w:jc w:val="center"/>
        <w:spacing w:before="0" w:after="0"/>
        <w:rPr>
          <w:rFonts w:ascii="楷体" w:eastAsia="楷体" w:cs="楷体"/>
          <w:color w:val="auto"/>
          <w:sz w:val="30"/>
          <w:szCs w:val="30"/>
          <w:highlight w:val="none"/>
        </w:rPr>
      </w:pPr>
      <w:r>
        <w:rPr>
          <w:rFonts w:hint="eastAsia" w:ascii="楷体" w:eastAsia="楷体" w:cs="楷体"/>
          <w:color w:val="auto"/>
          <w:sz w:val="30"/>
          <w:szCs w:val="30"/>
          <w:highlight w:val="none"/>
        </w:rPr>
        <w:t xml:space="preserve">招标人：江苏省公安厅</w:t>
      </w:r>
      <w:r/>
    </w:p>
    <w:p>
      <w:pPr>
        <w:pStyle w:val="956"/>
        <w:ind w:firstLine="0"/>
        <w:jc w:val="center"/>
        <w:spacing w:before="0" w:after="0"/>
        <w:rPr>
          <w:rFonts w:ascii="楷体" w:eastAsia="楷体" w:cs="楷体"/>
          <w:color w:val="auto"/>
          <w:sz w:val="30"/>
          <w:szCs w:val="30"/>
          <w:highlight w:val="none"/>
        </w:rPr>
      </w:pPr>
      <w:r>
        <w:rPr>
          <w:rFonts w:hint="eastAsia" w:ascii="楷体" w:eastAsia="楷体" w:cs="楷体"/>
          <w:color w:val="auto"/>
          <w:sz w:val="30"/>
          <w:szCs w:val="30"/>
          <w:highlight w:val="none"/>
        </w:rPr>
        <w:t xml:space="preserve">招标代理机构：中通服咨询设计研究院有限公司</w:t>
      </w:r>
      <w:r/>
    </w:p>
    <w:p>
      <w:pPr>
        <w:jc w:val="center"/>
        <w:spacing w:line="360" w:lineRule="auto"/>
        <w:rPr>
          <w:rFonts w:ascii="楷体" w:eastAsia="楷体" w:cs="楷体"/>
          <w:color w:val="auto"/>
          <w:sz w:val="28"/>
          <w:szCs w:val="28"/>
          <w:highlight w:val="none"/>
        </w:rPr>
      </w:pPr>
      <w:r>
        <w:rPr>
          <w:rFonts w:hint="eastAsia" w:ascii="楷体" w:eastAsia="楷体" w:cs="楷体"/>
          <w:color w:val="auto"/>
          <w:sz w:val="30"/>
          <w:szCs w:val="30"/>
          <w:highlight w:val="none"/>
        </w:rPr>
        <w:t xml:space="preserve">2026年</w:t>
      </w:r>
      <w:r>
        <w:rPr>
          <w:rFonts w:hint="eastAsia" w:ascii="楷体" w:eastAsia="楷体" w:cs="楷体"/>
          <w:color w:val="auto"/>
          <w:sz w:val="30"/>
          <w:szCs w:val="30"/>
          <w:highlight w:val="none"/>
          <w:lang w:val="en-US" w:eastAsia="zh-CN"/>
        </w:rPr>
        <w:t xml:space="preserve">6月</w:t>
      </w:r>
      <w:r/>
    </w:p>
    <w:p>
      <w:pPr>
        <w:jc w:val="center"/>
        <w:widowControl/>
        <w:rPr>
          <w:color w:val="auto"/>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1706880" cy="613410"/>
                <wp:effectExtent l="0" t="0" r="26" b="23"/>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1706880" cy="614044"/>
                        </a:xfrm>
                        <a:prstGeom prst="rect">
                          <a:avLst/>
                        </a:prstGeom>
                        <a:noFill/>
                        <a:ln w="9525" cap="flat" cmpd="sng">
                          <a:noFill/>
                          <a:prstDash val="solid"/>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4.4pt;height:48.3pt;mso-wrap-distance-left:0.0pt;mso-wrap-distance-top:0.0pt;mso-wrap-distance-right:0.0pt;mso-wrap-distance-bottom:0.0pt;" stroked="f" strokeweight="0.75pt">
                <v:path textboxrect="0,0,0,0"/>
                <v:imagedata r:id="rId16" o:title=""/>
              </v:shape>
            </w:pict>
          </mc:Fallback>
        </mc:AlternateContent>
      </w:r>
      <w:r/>
    </w:p>
    <w:p>
      <w:pPr>
        <w:jc w:val="center"/>
        <w:spacing w:line="360" w:lineRule="auto"/>
        <w:widowControl/>
        <w:rPr>
          <w:rFonts w:ascii="黑体" w:eastAsia="黑体"/>
          <w:color w:val="auto"/>
          <w:sz w:val="36"/>
          <w:szCs w:val="36"/>
          <w:highlight w:val="none"/>
        </w:rPr>
      </w:pPr>
      <w:r>
        <w:rPr>
          <w:rFonts w:hint="eastAsia" w:ascii="黑体" w:eastAsia="黑体"/>
          <w:color w:val="auto"/>
          <w:sz w:val="36"/>
          <w:szCs w:val="36"/>
          <w:highlight w:val="none"/>
        </w:rPr>
        <w:t xml:space="preserve">目  录</w:t>
      </w:r>
      <w:r/>
    </w:p>
    <w:sdt>
      <w:sdtPr>
        <w15:appearance w15:val="boundingBox"/>
        <w:id w:val="340240639"/>
        <w:docPartObj>
          <w:docPartGallery w:val="Table of Contents"/>
          <w:docPartUnique w:val="true"/>
        </w:docPartObj>
        <w:rPr>
          <w:rFonts w:ascii="Calibri Light" w:hAnsi="Calibri Light" w:eastAsia="宋体"/>
          <w:color w:val="auto"/>
          <w:sz w:val="32"/>
          <w:szCs w:val="32"/>
          <w:highlight w:val="none"/>
          <w:lang w:val="zh-CN"/>
        </w:rPr>
      </w:sdtPr>
      <w:sdtContent>
        <w:p>
          <w:pPr>
            <w:pStyle w:val="940"/>
            <w:rPr>
              <w:color w:val="auto"/>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p>
        <w:p>
          <w:pPr>
            <w:pStyle w:val="940"/>
            <w:tabs>
              <w:tab w:val="clear" w:pos="8777" w:leader="none"/>
              <w:tab w:val="right" w:pos="8787" w:leader="dot"/>
            </w:tabs>
            <w:rPr>
              <w:color w:val="auto"/>
              <w:highlight w:val="none"/>
            </w:rPr>
          </w:pPr>
          <w:r>
            <w:rPr>
              <w:color w:val="auto"/>
              <w:highlight w:val="none"/>
            </w:rPr>
            <w:fldChar w:fldCharType="begin"/>
          </w:r>
          <w:r>
            <w:rPr>
              <w:color w:val="auto"/>
              <w:highlight w:val="none"/>
            </w:rPr>
            <w:instrText xml:space="preserve"> HYPERLINK \l "_Toc24580" </w:instrText>
          </w:r>
          <w:r>
            <w:rPr>
              <w:color w:val="auto"/>
              <w:highlight w:val="none"/>
            </w:rPr>
            <w:fldChar w:fldCharType="separate"/>
          </w:r>
          <w:r>
            <w:rPr>
              <w:rFonts w:ascii="黑体" w:cs="黑体"/>
              <w:color w:val="auto"/>
              <w:szCs w:val="36"/>
              <w:highlight w:val="none"/>
              <w:lang w:val="zh-TW" w:eastAsia="zh-TW"/>
            </w:rPr>
            <w:t xml:space="preserve">第一章  </w:t>
          </w:r>
          <w:r>
            <w:rPr>
              <w:rFonts w:hint="eastAsia" w:ascii="黑体" w:cs="黑体"/>
              <w:color w:val="auto"/>
              <w:szCs w:val="36"/>
              <w:highlight w:val="none"/>
              <w:lang w:val="zh-TW"/>
            </w:rPr>
            <w:t xml:space="preserve">招标</w:t>
          </w:r>
          <w:r>
            <w:rPr>
              <w:rFonts w:ascii="黑体" w:cs="黑体"/>
              <w:color w:val="auto"/>
              <w:szCs w:val="36"/>
              <w:highlight w:val="none"/>
              <w:lang w:val="zh-TW" w:eastAsia="zh-TW"/>
            </w:rPr>
            <w:t xml:space="preserve">公告</w:t>
          </w:r>
          <w:r>
            <w:rPr>
              <w:color w:val="auto"/>
              <w:highlight w:val="none"/>
            </w:rPr>
            <w:tab/>
          </w:r>
          <w:r>
            <w:rPr>
              <w:color w:val="auto"/>
              <w:highlight w:val="none"/>
            </w:rPr>
            <w:fldChar w:fldCharType="begin"/>
          </w:r>
          <w:r>
            <w:rPr>
              <w:color w:val="auto"/>
              <w:highlight w:val="none"/>
            </w:rPr>
            <w:instrText xml:space="preserve"> PAGEREF _Toc24580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940"/>
            <w:tabs>
              <w:tab w:val="clear" w:pos="8777" w:leader="none"/>
              <w:tab w:val="right" w:pos="8787" w:leader="dot"/>
            </w:tabs>
            <w:rPr>
              <w:color w:val="auto"/>
              <w:highlight w:val="none"/>
            </w:rPr>
          </w:pPr>
          <w:r>
            <w:rPr>
              <w:color w:val="auto"/>
              <w:highlight w:val="none"/>
            </w:rPr>
            <w:fldChar w:fldCharType="begin"/>
          </w:r>
          <w:r>
            <w:rPr>
              <w:color w:val="auto"/>
              <w:highlight w:val="none"/>
            </w:rPr>
            <w:instrText xml:space="preserve"> HYPERLINK \l "_Toc10216" </w:instrText>
          </w:r>
          <w:r>
            <w:rPr>
              <w:color w:val="auto"/>
              <w:highlight w:val="none"/>
            </w:rPr>
            <w:fldChar w:fldCharType="separate"/>
          </w:r>
          <w:r>
            <w:rPr>
              <w:rFonts w:ascii="黑体" w:cs="黑体"/>
              <w:color w:val="auto"/>
              <w:szCs w:val="36"/>
              <w:highlight w:val="none"/>
              <w:lang w:val="zh-TW" w:eastAsia="zh-TW"/>
            </w:rPr>
            <w:t xml:space="preserve">第二章  </w:t>
          </w:r>
          <w:r>
            <w:rPr>
              <w:rFonts w:hint="eastAsia" w:ascii="黑体" w:cs="黑体"/>
              <w:color w:val="auto"/>
              <w:szCs w:val="36"/>
              <w:highlight w:val="none"/>
              <w:lang w:val="zh-TW"/>
            </w:rPr>
            <w:t xml:space="preserve">投标人</w:t>
          </w:r>
          <w:r>
            <w:rPr>
              <w:rFonts w:ascii="黑体" w:cs="黑体"/>
              <w:color w:val="auto"/>
              <w:szCs w:val="36"/>
              <w:highlight w:val="none"/>
              <w:lang w:val="zh-TW" w:eastAsia="zh-TW"/>
            </w:rPr>
            <w:t xml:space="preserve">须知</w:t>
          </w:r>
          <w:r>
            <w:rPr>
              <w:color w:val="auto"/>
              <w:highlight w:val="none"/>
            </w:rPr>
            <w:tab/>
          </w:r>
          <w:r>
            <w:rPr>
              <w:color w:val="auto"/>
              <w:highlight w:val="none"/>
            </w:rPr>
            <w:fldChar w:fldCharType="begin"/>
          </w:r>
          <w:r>
            <w:rPr>
              <w:color w:val="auto"/>
              <w:highlight w:val="none"/>
            </w:rPr>
            <w:instrText xml:space="preserve"> PAGEREF _Toc10216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940"/>
            <w:tabs>
              <w:tab w:val="clear" w:pos="8777" w:leader="none"/>
              <w:tab w:val="right" w:pos="8787" w:leader="dot"/>
            </w:tabs>
            <w:rPr>
              <w:color w:val="auto"/>
              <w:highlight w:val="none"/>
            </w:rPr>
          </w:pPr>
          <w:r>
            <w:rPr>
              <w:color w:val="auto"/>
              <w:highlight w:val="none"/>
            </w:rPr>
            <w:fldChar w:fldCharType="begin"/>
          </w:r>
          <w:r>
            <w:rPr>
              <w:color w:val="auto"/>
              <w:highlight w:val="none"/>
            </w:rPr>
            <w:instrText xml:space="preserve"> HYPERLINK \l "_Toc28020" </w:instrText>
          </w:r>
          <w:r>
            <w:rPr>
              <w:color w:val="auto"/>
              <w:highlight w:val="none"/>
            </w:rPr>
            <w:fldChar w:fldCharType="separate"/>
          </w:r>
          <w:r>
            <w:rPr>
              <w:rFonts w:ascii="黑体" w:cs="黑体"/>
              <w:color w:val="auto"/>
              <w:szCs w:val="36"/>
              <w:highlight w:val="none"/>
              <w:lang w:val="zh-TW" w:eastAsia="zh-TW"/>
            </w:rPr>
            <w:t xml:space="preserve">第</w:t>
          </w:r>
          <w:r>
            <w:rPr>
              <w:rFonts w:hint="eastAsia" w:ascii="黑体" w:cs="黑体"/>
              <w:color w:val="auto"/>
              <w:szCs w:val="36"/>
              <w:highlight w:val="none"/>
              <w:lang w:val="zh-TW"/>
            </w:rPr>
            <w:t xml:space="preserve">三</w:t>
          </w:r>
          <w:r>
            <w:rPr>
              <w:rFonts w:ascii="黑体" w:cs="黑体"/>
              <w:color w:val="auto"/>
              <w:szCs w:val="36"/>
              <w:highlight w:val="none"/>
              <w:lang w:val="zh-TW" w:eastAsia="zh-TW"/>
            </w:rPr>
            <w:t xml:space="preserve">章  </w:t>
          </w:r>
          <w:r>
            <w:rPr>
              <w:rFonts w:hint="eastAsia" w:ascii="黑体" w:cs="黑体"/>
              <w:color w:val="auto"/>
              <w:szCs w:val="36"/>
              <w:highlight w:val="none"/>
              <w:lang w:val="zh-TW" w:eastAsia="zh-TW"/>
            </w:rPr>
            <w:t xml:space="preserve">合同条款及格式</w:t>
          </w:r>
          <w:r>
            <w:rPr>
              <w:color w:val="auto"/>
              <w:highlight w:val="none"/>
            </w:rPr>
            <w:tab/>
          </w:r>
          <w:r>
            <w:rPr>
              <w:color w:val="auto"/>
              <w:highlight w:val="none"/>
            </w:rPr>
            <w:fldChar w:fldCharType="begin"/>
          </w:r>
          <w:r>
            <w:rPr>
              <w:color w:val="auto"/>
              <w:highlight w:val="none"/>
            </w:rPr>
            <w:instrText xml:space="preserve"> PAGEREF _Toc28020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940"/>
            <w:tabs>
              <w:tab w:val="clear" w:pos="8777" w:leader="none"/>
              <w:tab w:val="right" w:pos="8787" w:leader="dot"/>
            </w:tabs>
            <w:rPr>
              <w:color w:val="auto"/>
              <w:highlight w:val="none"/>
            </w:rPr>
          </w:pPr>
          <w:r>
            <w:rPr>
              <w:color w:val="auto"/>
              <w:highlight w:val="none"/>
            </w:rPr>
            <w:fldChar w:fldCharType="begin"/>
          </w:r>
          <w:r>
            <w:rPr>
              <w:color w:val="auto"/>
              <w:highlight w:val="none"/>
            </w:rPr>
            <w:instrText xml:space="preserve"> HYPERLINK \l "_Toc14170" </w:instrText>
          </w:r>
          <w:r>
            <w:rPr>
              <w:color w:val="auto"/>
              <w:highlight w:val="none"/>
            </w:rPr>
            <w:fldChar w:fldCharType="separate"/>
          </w:r>
          <w:r>
            <w:rPr>
              <w:rFonts w:hint="eastAsia" w:ascii="黑体" w:cs="黑体"/>
              <w:color w:val="auto"/>
              <w:szCs w:val="36"/>
              <w:highlight w:val="none"/>
              <w:lang w:val="zh-TW" w:eastAsia="zh-TW"/>
            </w:rPr>
            <w:t xml:space="preserve">第四章 </w:t>
          </w:r>
          <w:r>
            <w:rPr>
              <w:rFonts w:hint="eastAsia" w:ascii="黑体" w:cs="黑体"/>
              <w:color w:val="auto"/>
              <w:szCs w:val="36"/>
              <w:highlight w:val="none"/>
            </w:rPr>
            <w:t xml:space="preserve"> </w:t>
          </w:r>
          <w:r>
            <w:rPr>
              <w:rFonts w:hint="eastAsia" w:ascii="黑体" w:cs="黑体"/>
              <w:color w:val="auto"/>
              <w:szCs w:val="36"/>
              <w:highlight w:val="none"/>
              <w:lang w:val="zh-TW" w:eastAsia="zh-TW"/>
            </w:rPr>
            <w:t xml:space="preserve">项目需求</w:t>
          </w:r>
          <w:r>
            <w:rPr>
              <w:color w:val="auto"/>
              <w:highlight w:val="none"/>
            </w:rPr>
            <w:tab/>
          </w:r>
          <w:r>
            <w:rPr>
              <w:color w:val="auto"/>
              <w:highlight w:val="none"/>
            </w:rPr>
            <w:fldChar w:fldCharType="begin"/>
          </w:r>
          <w:r>
            <w:rPr>
              <w:color w:val="auto"/>
              <w:highlight w:val="none"/>
            </w:rPr>
            <w:instrText xml:space="preserve"> PAGEREF _Toc14170 \h </w:instrText>
          </w:r>
          <w:r>
            <w:rPr>
              <w:color w:val="auto"/>
              <w:highlight w:val="none"/>
            </w:rPr>
            <w:fldChar w:fldCharType="separate"/>
          </w:r>
          <w:r>
            <w:rPr>
              <w:color w:val="auto"/>
              <w:highlight w:val="none"/>
            </w:rPr>
            <w:t xml:space="preserve">53</w:t>
          </w:r>
          <w:r>
            <w:rPr>
              <w:color w:val="auto"/>
              <w:highlight w:val="none"/>
            </w:rPr>
            <w:fldChar w:fldCharType="end"/>
          </w:r>
          <w:r>
            <w:rPr>
              <w:color w:val="auto"/>
              <w:highlight w:val="none"/>
            </w:rPr>
            <w:fldChar w:fldCharType="end"/>
          </w:r>
          <w:r/>
        </w:p>
        <w:p>
          <w:pPr>
            <w:pStyle w:val="940"/>
            <w:tabs>
              <w:tab w:val="clear" w:pos="8777" w:leader="none"/>
              <w:tab w:val="right" w:pos="8787" w:leader="dot"/>
            </w:tabs>
            <w:rPr>
              <w:color w:val="auto"/>
              <w:highlight w:val="none"/>
            </w:rPr>
          </w:pPr>
          <w:r>
            <w:rPr>
              <w:color w:val="auto"/>
              <w:highlight w:val="none"/>
            </w:rPr>
            <w:fldChar w:fldCharType="begin"/>
          </w:r>
          <w:r>
            <w:rPr>
              <w:color w:val="auto"/>
              <w:highlight w:val="none"/>
            </w:rPr>
            <w:instrText xml:space="preserve"> HYPERLINK \l "_Toc29558" </w:instrText>
          </w:r>
          <w:r>
            <w:rPr>
              <w:color w:val="auto"/>
              <w:highlight w:val="none"/>
            </w:rPr>
            <w:fldChar w:fldCharType="separate"/>
          </w:r>
          <w:r>
            <w:rPr>
              <w:rFonts w:ascii="黑体" w:cs="黑体"/>
              <w:color w:val="auto"/>
              <w:szCs w:val="36"/>
              <w:highlight w:val="none"/>
              <w:lang w:val="zh-TW" w:eastAsia="zh-TW"/>
            </w:rPr>
            <w:t xml:space="preserve">第</w:t>
          </w:r>
          <w:r>
            <w:rPr>
              <w:rFonts w:hint="eastAsia" w:ascii="黑体" w:cs="黑体"/>
              <w:color w:val="auto"/>
              <w:szCs w:val="36"/>
              <w:highlight w:val="none"/>
              <w:lang w:val="zh-TW" w:eastAsia="zh-TW"/>
            </w:rPr>
            <w:t xml:space="preserve">五</w:t>
          </w:r>
          <w:r>
            <w:rPr>
              <w:rFonts w:ascii="黑体" w:cs="黑体"/>
              <w:color w:val="auto"/>
              <w:szCs w:val="36"/>
              <w:highlight w:val="none"/>
              <w:lang w:val="zh-TW" w:eastAsia="zh-TW"/>
            </w:rPr>
            <w:t xml:space="preserve">章  </w:t>
          </w:r>
          <w:r>
            <w:rPr>
              <w:rFonts w:hint="eastAsia" w:ascii="黑体" w:cs="黑体"/>
              <w:color w:val="auto"/>
              <w:szCs w:val="36"/>
              <w:highlight w:val="none"/>
              <w:lang w:val="zh-TW" w:eastAsia="zh-TW"/>
            </w:rPr>
            <w:t xml:space="preserve">评标方法与评标标准</w:t>
          </w:r>
          <w:r>
            <w:rPr>
              <w:color w:val="auto"/>
              <w:highlight w:val="none"/>
            </w:rPr>
            <w:tab/>
          </w:r>
          <w:r>
            <w:rPr>
              <w:rFonts w:hint="eastAsia"/>
              <w:color w:val="auto"/>
              <w:highlight w:val="none"/>
              <w:lang w:val="en-US" w:eastAsia="zh-CN"/>
            </w:rPr>
            <w:t xml:space="preserve">6</w:t>
          </w:r>
          <w:r>
            <w:rPr>
              <w:rFonts w:hint="eastAsia"/>
              <w:color w:val="auto"/>
              <w:highlight w:val="none"/>
            </w:rPr>
            <w:fldChar w:fldCharType="end"/>
          </w:r>
          <w:r>
            <w:rPr>
              <w:rFonts w:hint="eastAsia"/>
              <w:color w:val="auto"/>
              <w:highlight w:val="none"/>
              <w:lang w:val="en-US" w:eastAsia="zh-CN"/>
            </w:rPr>
            <w:t xml:space="preserve">1</w:t>
          </w:r>
          <w:r/>
        </w:p>
        <w:p>
          <w:pPr>
            <w:pStyle w:val="940"/>
            <w:tabs>
              <w:tab w:val="clear" w:pos="8777" w:leader="none"/>
              <w:tab w:val="right" w:pos="8787" w:leader="dot"/>
            </w:tabs>
            <w:rPr>
              <w:color w:val="auto"/>
              <w:highlight w:val="none"/>
            </w:rPr>
          </w:pPr>
          <w:r>
            <w:rPr>
              <w:color w:val="auto"/>
              <w:highlight w:val="none"/>
            </w:rPr>
            <w:fldChar w:fldCharType="begin"/>
          </w:r>
          <w:r>
            <w:rPr>
              <w:color w:val="auto"/>
              <w:highlight w:val="none"/>
            </w:rPr>
            <w:instrText xml:space="preserve"> HYPERLINK \l "_Toc30059" </w:instrText>
          </w:r>
          <w:r>
            <w:rPr>
              <w:color w:val="auto"/>
              <w:highlight w:val="none"/>
            </w:rPr>
            <w:fldChar w:fldCharType="separate"/>
          </w:r>
          <w:r>
            <w:rPr>
              <w:rFonts w:ascii="黑体" w:cs="黑体"/>
              <w:color w:val="auto"/>
              <w:szCs w:val="36"/>
              <w:highlight w:val="none"/>
              <w:lang w:val="zh-TW" w:eastAsia="zh-TW"/>
            </w:rPr>
            <w:t xml:space="preserve">第</w:t>
          </w:r>
          <w:r>
            <w:rPr>
              <w:rFonts w:hint="eastAsia" w:ascii="黑体" w:cs="黑体"/>
              <w:color w:val="auto"/>
              <w:szCs w:val="36"/>
              <w:highlight w:val="none"/>
              <w:lang w:val="zh-TW"/>
            </w:rPr>
            <w:t xml:space="preserve">六</w:t>
          </w:r>
          <w:r>
            <w:rPr>
              <w:rFonts w:ascii="黑体" w:cs="黑体"/>
              <w:color w:val="auto"/>
              <w:szCs w:val="36"/>
              <w:highlight w:val="none"/>
              <w:lang w:val="zh-TW" w:eastAsia="zh-TW"/>
            </w:rPr>
            <w:t xml:space="preserve">章  </w:t>
          </w:r>
          <w:r>
            <w:rPr>
              <w:rFonts w:hint="eastAsia" w:ascii="黑体" w:cs="黑体"/>
              <w:color w:val="auto"/>
              <w:szCs w:val="36"/>
              <w:highlight w:val="none"/>
              <w:lang w:val="zh-TW" w:eastAsia="zh-TW"/>
            </w:rPr>
            <w:t xml:space="preserve">投标文件格式</w:t>
          </w:r>
          <w:r>
            <w:rPr>
              <w:color w:val="auto"/>
              <w:highlight w:val="none"/>
            </w:rPr>
            <w:tab/>
          </w:r>
          <w:r>
            <w:rPr>
              <w:color w:val="auto"/>
              <w:highlight w:val="none"/>
            </w:rPr>
            <w:fldChar w:fldCharType="begin"/>
          </w:r>
          <w:r>
            <w:rPr>
              <w:color w:val="auto"/>
              <w:highlight w:val="none"/>
            </w:rPr>
            <w:instrText xml:space="preserve"> PAGEREF _Toc30059 \h </w:instrText>
          </w:r>
          <w:r>
            <w:rPr>
              <w:color w:val="auto"/>
              <w:highlight w:val="none"/>
            </w:rPr>
            <w:fldChar w:fldCharType="separate"/>
          </w:r>
          <w:r>
            <w:rPr>
              <w:color w:val="auto"/>
              <w:highlight w:val="none"/>
            </w:rPr>
            <w:t xml:space="preserve">6</w:t>
          </w:r>
          <w:r>
            <w:rPr>
              <w:rFonts w:hint="eastAsia"/>
              <w:color w:val="auto"/>
              <w:highlight w:val="none"/>
              <w:lang w:val="en-US" w:eastAsia="zh-CN"/>
            </w:rPr>
            <w:t xml:space="preserve">5</w:t>
          </w:r>
          <w:r>
            <w:rPr>
              <w:color w:val="auto"/>
              <w:highlight w:val="none"/>
            </w:rPr>
            <w:fldChar w:fldCharType="end"/>
          </w:r>
          <w:r>
            <w:rPr>
              <w:color w:val="auto"/>
              <w:highlight w:val="none"/>
            </w:rPr>
            <w:fldChar w:fldCharType="end"/>
          </w:r>
          <w:bookmarkStart w:id="498" w:name="_GoBack"/>
          <w:r/>
          <w:bookmarkEnd w:id="498"/>
          <w:r/>
          <w:r/>
        </w:p>
        <w:p>
          <w:pPr>
            <w:pStyle w:val="934"/>
            <w:tabs>
              <w:tab w:val="right" w:pos="8787" w:leader="dot"/>
            </w:tabs>
            <w:rPr>
              <w:color w:val="auto"/>
              <w:highlight w:val="none"/>
            </w:rPr>
          </w:pPr>
          <w:r>
            <w:rPr>
              <w:color w:val="auto"/>
              <w:highlight w:val="none"/>
            </w:rPr>
          </w:r>
          <w:r/>
        </w:p>
        <w:p>
          <w:pPr>
            <w:pStyle w:val="940"/>
            <w:rPr>
              <w:color w:val="auto"/>
              <w:highlight w:val="none"/>
            </w:rPr>
          </w:pPr>
          <w:r>
            <w:rPr>
              <w:color w:val="auto"/>
              <w:highlight w:val="none"/>
            </w:rPr>
            <w:fldChar w:fldCharType="end"/>
          </w:r>
          <w:r/>
        </w:p>
      </w:sdtContent>
    </w:sdt>
    <w:p>
      <w:pPr>
        <w:jc w:val="left"/>
        <w:widowControl/>
        <w:rPr>
          <w:color w:val="auto"/>
          <w:highlight w:val="none"/>
        </w:rPr>
        <w:sectPr>
          <w:headerReference w:type="default" r:id="rId9"/>
          <w:footerReference w:type="default" r:id="rId11"/>
          <w:footnotePr/>
          <w:endnotePr/>
          <w:type w:val="nextPage"/>
          <w:pgSz w:w="11906" w:h="16838" w:orient="portrait"/>
          <w:pgMar w:top="1418" w:right="1418" w:bottom="1418" w:left="1701" w:header="851" w:footer="992" w:gutter="0"/>
          <w:pgNumType w:start="1"/>
          <w:cols w:num="1" w:sep="0" w:space="720" w:equalWidth="1"/>
          <w:docGrid w:linePitch="360"/>
        </w:sectPr>
      </w:pPr>
      <w:r>
        <w:rPr>
          <w:color w:val="auto"/>
          <w:highlight w:val="none"/>
        </w:rPr>
      </w:r>
      <w:r/>
    </w:p>
    <w:p>
      <w:pPr>
        <w:jc w:val="center"/>
        <w:keepLines/>
        <w:keepNext/>
        <w:spacing w:before="312" w:after="312" w:line="360" w:lineRule="auto"/>
        <w:rPr>
          <w:rFonts w:ascii="黑体" w:eastAsia="黑体" w:cs="黑体"/>
          <w:color w:val="auto"/>
          <w:sz w:val="36"/>
          <w:szCs w:val="36"/>
          <w:highlight w:val="none"/>
          <w:lang w:val="zh-TW" w:eastAsia="zh-TW"/>
        </w:rPr>
        <w:outlineLvl w:val="0"/>
      </w:pPr>
      <w:r/>
      <w:bookmarkStart w:id="0" w:name="_Toc24580"/>
      <w:r/>
      <w:bookmarkStart w:id="1" w:name="_Toc"/>
      <w:r/>
      <w:bookmarkStart w:id="2" w:name="_Toc448069940"/>
      <w:r/>
      <w:bookmarkStart w:id="3" w:name="_Toc415494523"/>
      <w:r>
        <w:rPr>
          <w:rFonts w:ascii="黑体" w:eastAsia="黑体" w:cs="黑体"/>
          <w:color w:val="auto"/>
          <w:sz w:val="36"/>
          <w:szCs w:val="36"/>
          <w:highlight w:val="none"/>
          <w:lang w:val="zh-TW" w:eastAsia="zh-TW"/>
        </w:rPr>
        <w:t xml:space="preserve">第一章  </w:t>
      </w:r>
      <w:r>
        <w:rPr>
          <w:rFonts w:hint="eastAsia" w:ascii="黑体" w:eastAsia="黑体" w:cs="黑体"/>
          <w:color w:val="auto"/>
          <w:sz w:val="36"/>
          <w:szCs w:val="36"/>
          <w:highlight w:val="none"/>
          <w:lang w:val="zh-TW"/>
        </w:rPr>
        <w:t xml:space="preserve">招标</w:t>
      </w:r>
      <w:r>
        <w:rPr>
          <w:rFonts w:ascii="黑体" w:eastAsia="黑体" w:cs="黑体"/>
          <w:color w:val="auto"/>
          <w:sz w:val="36"/>
          <w:szCs w:val="36"/>
          <w:highlight w:val="none"/>
          <w:lang w:val="zh-TW" w:eastAsia="zh-TW"/>
        </w:rPr>
        <w:t xml:space="preserve">公告</w:t>
      </w:r>
      <w:bookmarkEnd w:id="0"/>
      <w:r/>
      <w:bookmarkEnd w:id="1"/>
      <w:r/>
      <w:bookmarkEnd w:id="2"/>
      <w:r/>
      <w:bookmarkEnd w:id="3"/>
      <w:r/>
      <w:r/>
    </w:p>
    <w:p>
      <w:pPr>
        <w:ind w:firstLine="482"/>
        <w:spacing w:line="360" w:lineRule="auto"/>
        <w:rPr>
          <w:rFonts w:ascii="Times New Roman" w:hAnsi="Times New Roman" w:cs="Times New Roman"/>
          <w:b/>
          <w:color w:val="auto"/>
          <w:sz w:val="24"/>
          <w:szCs w:val="24"/>
          <w:highlight w:val="none"/>
        </w:rPr>
      </w:pPr>
      <w:r/>
      <w:bookmarkStart w:id="4" w:name="_Toc415494524"/>
      <w:r/>
      <w:bookmarkStart w:id="5" w:name="_Toc448069941"/>
      <w:r/>
      <w:bookmarkStart w:id="6" w:name="_Toc1"/>
      <w:r>
        <w:rPr>
          <w:rFonts w:hint="eastAsia" w:ascii="Times New Roman" w:hAnsi="Times New Roman" w:cs="Times New Roman"/>
          <w:b/>
          <w:color w:val="auto"/>
          <w:sz w:val="24"/>
          <w:szCs w:val="24"/>
          <w:highlight w:val="none"/>
          <w:u w:val="single"/>
          <w:lang w:eastAsia="zh-CN"/>
        </w:rPr>
        <w:t xml:space="preserve">省厅清河路9号办公点综合楼中央空调更新</w:t>
      </w:r>
      <w:r>
        <w:rPr>
          <w:rFonts w:hint="eastAsia" w:ascii="Times New Roman" w:hAnsi="Times New Roman" w:cs="Times New Roman"/>
          <w:b/>
          <w:color w:val="auto"/>
          <w:sz w:val="24"/>
          <w:szCs w:val="24"/>
          <w:highlight w:val="none"/>
          <w:u w:val="single"/>
        </w:rPr>
        <w:t xml:space="preserve">项目</w:t>
      </w:r>
      <w:r>
        <w:rPr>
          <w:rFonts w:hint="eastAsia" w:ascii="Times New Roman" w:hAnsi="Times New Roman" w:cs="Times New Roman"/>
          <w:color w:val="auto"/>
          <w:sz w:val="24"/>
          <w:szCs w:val="24"/>
          <w:highlight w:val="none"/>
        </w:rPr>
        <w:t xml:space="preserve">的潜在投标人应在</w:t>
      </w:r>
      <w:r>
        <w:rPr>
          <w:rFonts w:hint="eastAsia" w:ascii="Times New Roman" w:hAnsi="Times New Roman" w:cs="Times New Roman"/>
          <w:color w:val="auto"/>
          <w:sz w:val="24"/>
          <w:szCs w:val="24"/>
          <w:highlight w:val="none"/>
          <w:lang w:val="en-US" w:eastAsia="zh-CN"/>
        </w:rPr>
        <w:t xml:space="preserve">江苏省政府采购网（苏采云）</w:t>
      </w:r>
      <w:r>
        <w:rPr>
          <w:rFonts w:hint="eastAsia" w:ascii="Times New Roman" w:hAnsi="Times New Roman" w:cs="Times New Roman"/>
          <w:color w:val="auto"/>
          <w:sz w:val="24"/>
          <w:szCs w:val="24"/>
          <w:highlight w:val="none"/>
        </w:rPr>
        <w:t xml:space="preserve">获取招标文件，并于</w:t>
      </w:r>
      <w:r>
        <w:rPr>
          <w:rFonts w:hint="eastAsia" w:ascii="Times New Roman" w:hAnsi="Times New Roman" w:cs="Times New Roman"/>
          <w:b/>
          <w:color w:val="auto"/>
          <w:sz w:val="24"/>
          <w:szCs w:val="24"/>
          <w:highlight w:val="none"/>
        </w:rPr>
        <w:t xml:space="preserve">2026年</w:t>
      </w:r>
      <w:r>
        <w:rPr>
          <w:rFonts w:hint="eastAsia" w:ascii="Times New Roman" w:hAnsi="Times New Roman" w:cs="Times New Roman"/>
          <w:b/>
          <w:color w:val="auto"/>
          <w:sz w:val="24"/>
          <w:szCs w:val="24"/>
          <w:highlight w:val="none"/>
          <w:lang w:val="en-US" w:eastAsia="zh-CN"/>
        </w:rPr>
        <w:t xml:space="preserve">7月21日14点30分</w:t>
      </w:r>
      <w:r>
        <w:rPr>
          <w:rFonts w:hint="eastAsia" w:ascii="Times New Roman" w:hAnsi="Times New Roman" w:cs="Times New Roman"/>
          <w:color w:val="auto"/>
          <w:sz w:val="24"/>
          <w:szCs w:val="24"/>
          <w:highlight w:val="none"/>
        </w:rPr>
        <w:t xml:space="preserve">（北京时间）前递交投标文件。</w:t>
      </w:r>
      <w:r/>
    </w:p>
    <w:p>
      <w:pPr>
        <w:ind w:firstLine="482"/>
        <w:spacing w:line="360" w:lineRule="auto"/>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一、项目基本情况</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1.1项目编号：</w:t>
      </w:r>
      <w:r>
        <w:rPr>
          <w:rFonts w:hint="eastAsia" w:ascii="Times New Roman" w:hAnsi="Times New Roman" w:cs="Times New Roman"/>
          <w:color w:val="auto"/>
          <w:sz w:val="24"/>
          <w:szCs w:val="24"/>
          <w:highlight w:val="none"/>
          <w:lang w:eastAsia="zh-CN"/>
        </w:rPr>
        <w:t xml:space="preserve">SJY-20260525-020</w:t>
      </w:r>
      <w:r>
        <w:rPr>
          <w:rFonts w:hint="eastAsia" w:ascii="Times New Roman" w:hAnsi="Times New Roman" w:cs="Times New Roman"/>
          <w:color w:val="auto"/>
          <w:sz w:val="24"/>
          <w:szCs w:val="24"/>
          <w:highlight w:val="none"/>
        </w:rPr>
        <w:t xml:space="preserve">；</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1.2项目名称：</w:t>
      </w:r>
      <w:r>
        <w:rPr>
          <w:rFonts w:hint="eastAsia" w:ascii="Times New Roman" w:hAnsi="Times New Roman" w:cs="Times New Roman"/>
          <w:color w:val="auto"/>
          <w:sz w:val="24"/>
          <w:szCs w:val="24"/>
          <w:highlight w:val="none"/>
          <w:lang w:eastAsia="zh-CN"/>
        </w:rPr>
        <w:t xml:space="preserve">省厅清河路9号办公点综合楼中央空调更新</w:t>
      </w:r>
      <w:r>
        <w:rPr>
          <w:rFonts w:hint="eastAsia" w:ascii="Times New Roman" w:hAnsi="Times New Roman" w:cs="Times New Roman"/>
          <w:color w:val="auto"/>
          <w:sz w:val="24"/>
          <w:szCs w:val="24"/>
          <w:highlight w:val="none"/>
        </w:rPr>
        <w:t xml:space="preserve">项目；</w:t>
      </w:r>
      <w:r/>
    </w:p>
    <w:p>
      <w:pPr>
        <w:ind w:firstLine="480"/>
        <w:spacing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rPr>
        <w:t xml:space="preserve">1.3预算金额：</w:t>
      </w:r>
      <w:r>
        <w:rPr>
          <w:rFonts w:hint="eastAsia" w:ascii="Times New Roman" w:hAnsi="Times New Roman" w:cs="Times New Roman"/>
          <w:color w:val="auto"/>
          <w:sz w:val="24"/>
          <w:szCs w:val="24"/>
          <w:highlight w:val="none"/>
          <w:lang w:val="en-US" w:eastAsia="zh-CN"/>
        </w:rPr>
        <w:t xml:space="preserve">143万元；</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1.4最高限价：</w:t>
      </w:r>
      <w:r>
        <w:rPr>
          <w:rFonts w:hint="eastAsia" w:ascii="Times New Roman" w:hAnsi="Times New Roman" w:cs="Times New Roman"/>
          <w:color w:val="auto"/>
          <w:sz w:val="24"/>
          <w:szCs w:val="24"/>
          <w:highlight w:val="none"/>
          <w:lang w:val="en-US" w:eastAsia="zh-CN"/>
        </w:rPr>
        <w:t xml:space="preserve">139.8</w:t>
      </w:r>
      <w:r>
        <w:rPr>
          <w:rFonts w:hint="eastAsia" w:ascii="Times New Roman" w:hAnsi="Times New Roman" w:cs="Times New Roman"/>
          <w:color w:val="auto"/>
          <w:sz w:val="24"/>
          <w:szCs w:val="24"/>
          <w:highlight w:val="none"/>
        </w:rPr>
        <w:t xml:space="preserve">万元，超过此最高限价的投标文件按无效标处理。</w:t>
      </w:r>
      <w:r/>
    </w:p>
    <w:p>
      <w:pPr>
        <w:ind w:firstLine="480"/>
        <w:spacing w:line="360" w:lineRule="auto"/>
        <w:rPr>
          <w:rFonts w:ascii="宋体" w:cs="仿宋"/>
          <w:color w:val="auto"/>
          <w:sz w:val="24"/>
          <w:szCs w:val="24"/>
          <w:highlight w:val="none"/>
        </w:rPr>
      </w:pPr>
      <w:r>
        <w:rPr>
          <w:rFonts w:hint="eastAsia" w:ascii="Times New Roman" w:hAnsi="Times New Roman" w:cs="Times New Roman"/>
          <w:color w:val="auto"/>
          <w:sz w:val="24"/>
          <w:szCs w:val="24"/>
          <w:highlight w:val="none"/>
        </w:rPr>
        <w:t xml:space="preserve">1.5</w:t>
      </w:r>
      <w:r>
        <w:rPr>
          <w:rFonts w:hint="eastAsia" w:ascii="宋体" w:cs="仿宋"/>
          <w:color w:val="auto"/>
          <w:sz w:val="24"/>
          <w:szCs w:val="24"/>
          <w:highlight w:val="none"/>
        </w:rPr>
        <w:t xml:space="preserve">采购需求：项目地点共计6层，采购内容包括11套多联机系统，以及场地内原有旧设备拆除并清运，空调箱电源改室内机电源，</w:t>
      </w:r>
      <w:r>
        <w:rPr>
          <w:rFonts w:hint="eastAsia" w:ascii="宋体" w:cs="仿宋"/>
          <w:color w:val="auto"/>
          <w:sz w:val="24"/>
          <w:szCs w:val="24"/>
          <w:highlight w:val="none"/>
          <w:lang w:val="en-US" w:eastAsia="zh-CN"/>
        </w:rPr>
        <w:t xml:space="preserve">原</w:t>
      </w:r>
      <w:r>
        <w:rPr>
          <w:rFonts w:hint="eastAsia" w:ascii="宋体" w:cs="仿宋"/>
          <w:color w:val="auto"/>
          <w:sz w:val="24"/>
          <w:szCs w:val="24"/>
          <w:highlight w:val="none"/>
        </w:rPr>
        <w:t xml:space="preserve">吊顶局部拆除、修复，室外机基础及室外电源改造，详见招标文件“第四章 项目需求”。</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1.6交付期：合同签订之日起60日历天内完成设备供货、安装、系统调试、竣工验收并正式交付使用。</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1.7本项目采购标的所属行业为：</w:t>
      </w:r>
      <w:r>
        <w:rPr>
          <w:rFonts w:hint="eastAsia" w:ascii="Times New Roman" w:hAnsi="Times New Roman" w:cs="Times New Roman"/>
          <w:color w:val="auto"/>
          <w:sz w:val="24"/>
          <w:szCs w:val="24"/>
          <w:highlight w:val="none"/>
          <w:lang w:eastAsia="zh-CN"/>
        </w:rPr>
        <w:t xml:space="preserve">工业</w:t>
      </w:r>
      <w:r>
        <w:rPr>
          <w:rFonts w:hint="eastAsia" w:ascii="Times New Roman" w:hAnsi="Times New Roman" w:cs="Times New Roman"/>
          <w:color w:val="auto"/>
          <w:sz w:val="24"/>
          <w:szCs w:val="24"/>
          <w:highlight w:val="none"/>
        </w:rPr>
        <w:t xml:space="preserve">。</w:t>
      </w:r>
      <w:r/>
    </w:p>
    <w:p>
      <w:pPr>
        <w:ind w:firstLine="482"/>
        <w:spacing w:line="360" w:lineRule="auto"/>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二、申请人的资格要求：</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2.1.满足《中华人民共和国政府采购法》第二十二条规定：</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（1）具有独立承担民事责任的能力（提供法人或者其他组织的营业执照等证明文件，如投标人为自然人的，提供其身份证明）；</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（2）供应商须具有良好的商业信誉和健全的财务会计制度（提供由第三方专业机构出具的</w:t>
      </w:r>
      <w:r>
        <w:rPr>
          <w:rFonts w:hint="eastAsia" w:ascii="Times New Roman" w:hAnsi="Times New Roman" w:cs="Times New Roman"/>
          <w:color w:val="auto"/>
          <w:sz w:val="24"/>
          <w:szCs w:val="24"/>
          <w:highlight w:val="none"/>
          <w:lang w:eastAsia="zh-CN"/>
        </w:rPr>
        <w:t xml:space="preserve">2025年度</w:t>
      </w:r>
      <w:r>
        <w:rPr>
          <w:rFonts w:hint="eastAsia" w:ascii="Times New Roman" w:hAnsi="Times New Roman" w:cs="Times New Roman"/>
          <w:color w:val="auto"/>
          <w:sz w:val="24"/>
          <w:szCs w:val="24"/>
          <w:highlight w:val="none"/>
        </w:rPr>
        <w:t xml:space="preserve">财务审计报告（财务审计报告至少包含资产负债表、利润表、现金流量表、第三方专业机构盖章和注册会计师签字页加盖供应商公章）或投标截止时间前近半年内任一月的财务报表（至少包括资产负债表和利润表）加盖供应商公章或投标截止时间前半年内银行出具的企业资信证明加盖供应商公章，法人或者其他组织成立未满一年的无需提供）；</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供应商需提供依法缴纳税收和社会保障资金的相关材料（在提交投标文件截止时间前一年内（至少一个月）依法缴纳税收和社会保障资金的有效证明材料（投标人依法享受缓缴、免缴税收或社会保障资金的，须提供有效证明材料））；</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（4）供应商具有履行合同所必需的设备和专业技术能力的书面声明；</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（5）供应商参加政府采购活动前3年内在经营活动中没有重大违法记录的书面声明；</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（6）供应商须提供在“信用中国”（www.creditchina.gov.cn）或“诚信江苏”（www.jscredit.gov.cn）或中国政府采购网（www.ccgp.gov.cn）查询的、自本招标公告发布之日至投标截止前的信用记录的截图（截图须加盖公章）。</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2.2.落实政府采购政策需满足的资格要求：</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本项目按照以下第(4)种方式落实政府采购促进中小企业发展的要求：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（1）本项目整体专门面向中小企业采购货物。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（2）本项目整体专门面向小微企业采购货物。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（3）本项目通过以下第（/） 种方式预留部分采购份额采购中小企业货物：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①要求供应商以联合体形式参加，企业合同金额应当达到的比例为</w:t>
      </w:r>
      <w:r>
        <w:rPr>
          <w:rFonts w:hint="eastAsia"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rPr>
        <w:t xml:space="preserve">%。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②要求供应商进行合同分包，企业合同金额应当达到的比例为</w:t>
      </w:r>
      <w:r>
        <w:rPr>
          <w:rFonts w:hint="eastAsia"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rPr>
        <w:t xml:space="preserve">%。 </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w:t>
      </w:r>
      <w:r>
        <w:rPr>
          <w:rFonts w:hint="eastAsia" w:ascii="Times New Roman" w:hAnsi="Times New Roman" w:cs="Times New Roman"/>
          <w:color w:val="auto"/>
          <w:sz w:val="24"/>
          <w:szCs w:val="24"/>
          <w:highlight w:val="none"/>
        </w:rPr>
        <w:t xml:space="preserve">本项目为非预留份额的采购项目或采购包，执行价格扣除优惠政策，具体详见评标办法与标准。</w:t>
      </w:r>
      <w:r>
        <w:rPr>
          <w:rFonts w:ascii="Times New Roman" w:hAnsi="Times New Roman" w:cs="Times New Roman"/>
          <w:color w:val="auto"/>
          <w:sz w:val="24"/>
          <w:szCs w:val="24"/>
          <w:highlight w:val="none"/>
        </w:rPr>
        <w:t xml:space="preserve"> </w:t>
      </w:r>
      <w:r/>
    </w:p>
    <w:p>
      <w:pPr>
        <w:pStyle w:val="927"/>
        <w:ind w:firstLine="48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2.3.本项目</w:t>
      </w:r>
      <w:r>
        <w:rPr>
          <w:rFonts w:hint="eastAsia" w:ascii="Times New Roman" w:hAnsi="Times New Roman" w:cs="Times New Roman"/>
          <w:color w:val="auto"/>
          <w:sz w:val="24"/>
          <w:szCs w:val="24"/>
          <w:highlight w:val="none"/>
          <w:u w:val="single"/>
        </w:rPr>
        <w:t xml:space="preserve">不接受</w:t>
      </w:r>
      <w:r>
        <w:rPr>
          <w:rFonts w:hint="eastAsia" w:ascii="Times New Roman" w:hAnsi="Times New Roman" w:cs="Times New Roman"/>
          <w:color w:val="auto"/>
          <w:sz w:val="24"/>
          <w:szCs w:val="24"/>
          <w:highlight w:val="none"/>
        </w:rPr>
        <w:t xml:space="preserve">进口产品投标；本项目</w:t>
      </w:r>
      <w:r>
        <w:rPr>
          <w:rFonts w:hint="eastAsia" w:ascii="Times New Roman" w:hAnsi="Times New Roman" w:cs="Times New Roman"/>
          <w:color w:val="auto"/>
          <w:sz w:val="24"/>
          <w:szCs w:val="24"/>
          <w:highlight w:val="none"/>
          <w:u w:val="single"/>
        </w:rPr>
        <w:t xml:space="preserve">不接受</w:t>
      </w:r>
      <w:r>
        <w:rPr>
          <w:rFonts w:hint="eastAsia" w:ascii="Times New Roman" w:hAnsi="Times New Roman" w:cs="Times New Roman"/>
          <w:color w:val="auto"/>
          <w:sz w:val="24"/>
          <w:szCs w:val="24"/>
          <w:highlight w:val="none"/>
        </w:rPr>
        <w:t xml:space="preserve">联合体参与投标；</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2.4.本项目的特定资格要求：无。</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2.5拒绝以下投标人参加本次采购活动：</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被“信用中国”网站（www.creditchina.gov.cn）、“中国政府采购网”(www.ccgp.gov.cn)列入失信被执行人、税收违法黑名单、政府采购严重失信行为记录名单，及其他不符合《中华人民共和国政府采购法》第二十二条规定条件的信用记录。</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（2）供应商单位负责人为同一人或者存在直接控股、管理关系的不同供应商，不得参加同一合同项下的政府采购活动；</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（3）为本项目提供整体设计、规范编制或者项目管理、监理、检测等服务的供应商，不得再参加本项目的采购活动；</w:t>
      </w:r>
      <w:r/>
    </w:p>
    <w:p>
      <w:pPr>
        <w:ind w:firstLine="482"/>
        <w:spacing w:line="360" w:lineRule="auto"/>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三、获取招标文件</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时间:自招标文件公告发布之日起5个工作日</w:t>
      </w:r>
      <w:r/>
    </w:p>
    <w:p>
      <w:pPr>
        <w:ind w:firstLine="480"/>
        <w:spacing w:line="360" w:lineRule="auto"/>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rPr>
        <w:t xml:space="preserve">地点:江苏省政府采购网（苏采云平台）</w:t>
      </w:r>
      <w:r/>
    </w:p>
    <w:p>
      <w:pPr>
        <w:ind w:firstLine="480"/>
        <w:spacing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rPr>
        <w:t xml:space="preserve">方式:</w:t>
      </w:r>
      <w:r>
        <w:rPr>
          <w:rFonts w:hint="eastAsia" w:ascii="Times New Roman" w:hAnsi="Times New Roman" w:cs="Times New Roman"/>
          <w:color w:val="auto"/>
          <w:sz w:val="24"/>
          <w:szCs w:val="24"/>
          <w:highlight w:val="none"/>
          <w:lang w:val="en-US" w:eastAsia="zh-CN"/>
        </w:rPr>
        <w:t xml:space="preserve">在“江苏政府采购网”自行免费下载招标文件。</w:t>
      </w:r>
      <w:r/>
    </w:p>
    <w:p>
      <w:pPr>
        <w:ind w:firstLine="482"/>
        <w:spacing w:line="360" w:lineRule="auto"/>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四、提交投标文件截止时间、开标时间和地点</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2026</w:t>
      </w:r>
      <w:r>
        <w:rPr>
          <w:rFonts w:hint="eastAsia" w:ascii="Times New Roman" w:hAnsi="Times New Roman" w:cs="Times New Roman"/>
          <w:color w:val="auto"/>
          <w:sz w:val="24"/>
          <w:szCs w:val="24"/>
          <w:highlight w:val="none"/>
          <w:lang w:val="en-US" w:eastAsia="zh-CN"/>
        </w:rPr>
        <w:t xml:space="preserve">年7月21日14</w:t>
      </w:r>
      <w:r>
        <w:rPr>
          <w:rFonts w:hint="eastAsia" w:ascii="Times New Roman" w:hAnsi="Times New Roman" w:cs="Times New Roman"/>
          <w:color w:val="auto"/>
          <w:sz w:val="24"/>
          <w:szCs w:val="24"/>
          <w:highlight w:val="none"/>
        </w:rPr>
        <w:t xml:space="preserve">:30 (北京时间)</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地点:“苏采云”政府采购交易系统网上开标大厅。</w:t>
      </w:r>
      <w:r/>
    </w:p>
    <w:p>
      <w:pPr>
        <w:ind w:firstLine="482"/>
        <w:spacing w:line="360" w:lineRule="auto"/>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五、公告期限</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5.1自本公告发布之日起5个工作日。</w:t>
      </w:r>
      <w:r/>
    </w:p>
    <w:p>
      <w:pPr>
        <w:ind w:firstLine="482"/>
        <w:spacing w:line="360" w:lineRule="auto"/>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六、其他补充事宜</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6.1</w:t>
      </w:r>
      <w:r>
        <w:rPr>
          <w:rFonts w:ascii="Times New Roman" w:hAnsi="Times New Roman" w:cs="Times New Roman"/>
          <w:color w:val="auto"/>
          <w:sz w:val="24"/>
          <w:szCs w:val="24"/>
          <w:highlight w:val="none"/>
        </w:rPr>
        <w:t xml:space="preserve">有关本次招标的事项若存在变动或修改，敬请及时关注</w:t>
      </w:r>
      <w:r>
        <w:rPr>
          <w:rFonts w:hint="eastAsia" w:ascii="Times New Roman" w:hAnsi="Times New Roman" w:cs="Times New Roman"/>
          <w:color w:val="auto"/>
          <w:sz w:val="24"/>
          <w:szCs w:val="24"/>
          <w:highlight w:val="none"/>
        </w:rPr>
        <w:t xml:space="preserve">“江苏省政府采购网”</w:t>
      </w:r>
      <w:r>
        <w:rPr>
          <w:rFonts w:ascii="Times New Roman" w:hAnsi="Times New Roman" w:cs="Times New Roman"/>
          <w:color w:val="auto"/>
          <w:sz w:val="24"/>
          <w:szCs w:val="24"/>
          <w:highlight w:val="none"/>
        </w:rPr>
        <w:t xml:space="preserve">发布的信息更正公告。</w:t>
      </w:r>
      <w:r/>
    </w:p>
    <w:p>
      <w:pPr>
        <w:ind w:firstLine="482"/>
        <w:spacing w:line="360" w:lineRule="auto"/>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七、对本次招标提出询问，请按以下方式联系。</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7.1.采购人信息</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名 称：江苏省公安厅</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地址：南京市鼓楼区扬州路1号</w:t>
      </w:r>
      <w:r/>
    </w:p>
    <w:p>
      <w:pPr>
        <w:pStyle w:val="927"/>
        <w:ind w:firstLine="480"/>
        <w:spacing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rPr>
        <w:t xml:space="preserve">联系方式：</w:t>
      </w:r>
      <w:r>
        <w:rPr>
          <w:rFonts w:hint="eastAsia" w:ascii="Times New Roman" w:hAnsi="Times New Roman" w:cs="Times New Roman"/>
          <w:color w:val="auto"/>
          <w:sz w:val="24"/>
          <w:szCs w:val="24"/>
          <w:highlight w:val="none"/>
          <w:lang w:val="en-US" w:eastAsia="zh-CN"/>
        </w:rPr>
        <w:t xml:space="preserve">诸老师</w:t>
      </w:r>
      <w:r>
        <w:rPr>
          <w:rFonts w:hint="eastAsia"/>
          <w:highlight w:val="none"/>
          <w:lang w:val="en-US" w:eastAsia="zh-CN"/>
        </w:rPr>
        <w:t xml:space="preserve">，</w:t>
      </w:r>
      <w:r>
        <w:rPr>
          <w:rFonts w:hint="eastAsia" w:ascii="Times New Roman" w:hAnsi="Times New Roman" w:eastAsia="宋体" w:cs="Times New Roman"/>
          <w:color w:val="auto"/>
          <w:sz w:val="24"/>
          <w:szCs w:val="24"/>
          <w:highlight w:val="none"/>
          <w:lang w:val="en-US" w:eastAsia="zh-CN" w:bidi="ar-SA"/>
        </w:rPr>
        <w:t xml:space="preserve">025-83525287</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7.2.采购代理机构信息</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名 称：</w:t>
      </w:r>
      <w:r>
        <w:rPr>
          <w:rFonts w:ascii="Times New Roman" w:hAnsi="Times New Roman" w:cs="Times New Roman"/>
          <w:color w:val="auto"/>
          <w:sz w:val="24"/>
          <w:szCs w:val="24"/>
          <w:highlight w:val="none"/>
        </w:rPr>
        <w:t xml:space="preserve">中通服咨询设计研究院有限公司</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地　址：</w:t>
      </w:r>
      <w:r>
        <w:rPr>
          <w:rFonts w:ascii="Times New Roman" w:hAnsi="Times New Roman" w:cs="Times New Roman"/>
          <w:color w:val="auto"/>
          <w:sz w:val="24"/>
          <w:szCs w:val="24"/>
          <w:highlight w:val="none"/>
        </w:rPr>
        <w:t xml:space="preserve">南京市建邺区楠溪江东街58号</w:t>
      </w:r>
      <w:r/>
    </w:p>
    <w:p>
      <w:pPr>
        <w:ind w:left="1679" w:hanging="120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联系人：朱晓琦、陈沭</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联系电话：18021521325</w:t>
      </w:r>
      <w:r/>
    </w:p>
    <w:p>
      <w:pPr>
        <w:jc w:val="right"/>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rPr>
          <w:rFonts w:ascii="黑体" w:eastAsia="黑体" w:cs="黑体"/>
          <w:color w:val="auto"/>
          <w:sz w:val="36"/>
          <w:szCs w:val="36"/>
          <w:highlight w:val="none"/>
          <w:lang w:val="zh-TW" w:eastAsia="zh-TW"/>
        </w:rPr>
      </w:pPr>
      <w:r/>
      <w:bookmarkStart w:id="7" w:name="_Toc10216"/>
      <w:r>
        <w:rPr>
          <w:rFonts w:ascii="黑体" w:eastAsia="黑体" w:cs="黑体"/>
          <w:color w:val="auto"/>
          <w:sz w:val="36"/>
          <w:szCs w:val="36"/>
          <w:highlight w:val="none"/>
          <w:lang w:val="zh-TW" w:eastAsia="zh-TW"/>
        </w:rPr>
        <w:br w:type="page" w:clear="all"/>
      </w:r>
      <w:r/>
    </w:p>
    <w:p>
      <w:pPr>
        <w:ind w:right="720"/>
        <w:jc w:val="center"/>
        <w:spacing w:line="360" w:lineRule="auto"/>
        <w:widowControl/>
        <w:rPr>
          <w:rFonts w:ascii="黑体" w:eastAsia="黑体" w:cs="黑体"/>
          <w:color w:val="auto"/>
          <w:sz w:val="36"/>
          <w:szCs w:val="36"/>
          <w:highlight w:val="none"/>
          <w:lang w:val="zh-TW" w:eastAsia="zh-TW"/>
        </w:rPr>
        <w:outlineLvl w:val="0"/>
      </w:pPr>
      <w:r>
        <w:rPr>
          <w:rFonts w:ascii="黑体" w:eastAsia="黑体" w:cs="黑体"/>
          <w:color w:val="auto"/>
          <w:sz w:val="36"/>
          <w:szCs w:val="36"/>
          <w:highlight w:val="none"/>
          <w:lang w:val="zh-TW" w:eastAsia="zh-TW"/>
        </w:rPr>
        <w:t xml:space="preserve">第二章  </w:t>
      </w:r>
      <w:r>
        <w:rPr>
          <w:rFonts w:hint="eastAsia" w:ascii="黑体" w:eastAsia="黑体" w:cs="黑体"/>
          <w:color w:val="auto"/>
          <w:sz w:val="36"/>
          <w:szCs w:val="36"/>
          <w:highlight w:val="none"/>
          <w:lang w:val="zh-TW"/>
        </w:rPr>
        <w:t xml:space="preserve">投标人</w:t>
      </w:r>
      <w:r>
        <w:rPr>
          <w:rFonts w:ascii="黑体" w:eastAsia="黑体" w:cs="黑体"/>
          <w:color w:val="auto"/>
          <w:sz w:val="36"/>
          <w:szCs w:val="36"/>
          <w:highlight w:val="none"/>
          <w:lang w:val="zh-TW" w:eastAsia="zh-TW"/>
        </w:rPr>
        <w:t xml:space="preserve">须知</w:t>
      </w:r>
      <w:bookmarkEnd w:id="4"/>
      <w:r/>
      <w:bookmarkEnd w:id="5"/>
      <w:r/>
      <w:bookmarkEnd w:id="6"/>
      <w:r/>
      <w:bookmarkEnd w:id="7"/>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一、总则</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l、采购方式</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1.1本次采购采用公开招标方式，本招标文件仅适用于招标公告中所述项目。</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2、合格的投标人</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2.1满足招标公告中投标人资质要求的规定。</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 满足本文件实质性条款的规定。</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3、适用法律</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3.1本次采购及由本次采购产生的合同受中华人民共和国有关法律法规制约和保护。</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 政策功能</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3.2.1 促进中小企业发展。在政府采购活动中，供应商提供的货物、项目或者服务符合下列情形的，享受中小企业扶持政策：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（1）在货物采购项目中，货物由中小企业制造，即货物由中小企业生产且使用该中小企业商号或者注册商标；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（2）在项目采购项目中，项目由中小企业承建，即项目施工单位为中小企业；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（3）在服务采购项目中，服务由中小企业承接，即提供服务的人员为中小企业依照《中华人民共和国劳动合同法》订立劳动合同的从业人员。 在货物采购项目中，供应商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color w:val="auto"/>
          <w:sz w:val="24"/>
          <w:szCs w:val="24"/>
          <w:highlight w:val="none"/>
        </w:rPr>
        <w:t xml:space="preserve">供应商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3.2.5 采购的产品属于信息安全产品的，供应商应当选择经国家认证的信息安全产品投标，并提供由中国信息安全认证中心按国家标准认证颁发的有效认证证书。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3.2.6 采购的产品属于政府强制采购节能产品的，供应商应当选择依据国家标准中二级能效（水效）指标认证的节能产品投标，并提供有效的节能产品认证证书。 </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3.2.7 采购的产品属于环境标志产品的,供应商应当选择依据相关标准的最新版本认证的环境标志产品投标,并提供有效的环境标志产品认证证书。</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w:t>
      </w:r>
      <w:r>
        <w:rPr>
          <w:rFonts w:ascii="Times New Roman" w:hAnsi="Times New Roman" w:cs="Times New Roman"/>
          <w:color w:val="auto"/>
          <w:sz w:val="24"/>
          <w:szCs w:val="24"/>
          <w:highlight w:val="none"/>
        </w:rPr>
        <w:t xml:space="preserve">.2.8 除招标公告载明接受进口产品参加外</w:t>
      </w:r>
      <w:r>
        <w:rPr>
          <w:rFonts w:hint="eastAsia" w:ascii="Times New Roman" w:hAnsi="Times New Roman" w:cs="Times New Roman"/>
          <w:color w:val="auto"/>
          <w:sz w:val="24"/>
          <w:szCs w:val="24"/>
          <w:highlight w:val="none"/>
        </w:rPr>
        <w:t xml:space="preserve">，</w:t>
      </w:r>
      <w:r>
        <w:rPr>
          <w:rFonts w:ascii="Times New Roman" w:hAnsi="Times New Roman" w:cs="Times New Roman"/>
          <w:color w:val="auto"/>
          <w:sz w:val="24"/>
          <w:szCs w:val="24"/>
          <w:highlight w:val="none"/>
        </w:rPr>
        <w:t xml:space="preserve">不允许进口产品参加</w:t>
      </w:r>
      <w:r>
        <w:rPr>
          <w:rFonts w:hint="eastAsia" w:ascii="Times New Roman" w:hAnsi="Times New Roman" w:cs="Times New Roman"/>
          <w:color w:val="auto"/>
          <w:sz w:val="24"/>
          <w:szCs w:val="24"/>
          <w:highlight w:val="none"/>
        </w:rPr>
        <w:t xml:space="preserve">。进口产品认定依照《财政部办公厅关于政府采购进口产品管理有关问题的通知》（财办库</w:t>
      </w:r>
      <w:r>
        <w:rPr>
          <w:rFonts w:hint="eastAsia" w:ascii="宋体" w:hAnsi="宋体" w:cs="Times New Roman"/>
          <w:color w:val="auto"/>
          <w:sz w:val="24"/>
          <w:szCs w:val="24"/>
          <w:highlight w:val="none"/>
        </w:rPr>
        <w:t xml:space="preserve">﹝</w:t>
      </w:r>
      <w:r>
        <w:rPr>
          <w:rFonts w:ascii="宋体" w:hAnsi="宋体" w:cs="Times New Roman"/>
          <w:color w:val="auto"/>
          <w:sz w:val="24"/>
          <w:szCs w:val="24"/>
          <w:highlight w:val="none"/>
        </w:rPr>
        <w:t xml:space="preserve">2008</w:t>
      </w:r>
      <w:r>
        <w:rPr>
          <w:rFonts w:hint="eastAsia" w:ascii="宋体" w:hAnsi="宋体" w:cs="Times New Roman"/>
          <w:color w:val="auto"/>
          <w:sz w:val="24"/>
          <w:szCs w:val="24"/>
          <w:highlight w:val="none"/>
        </w:rPr>
        <w:t xml:space="preserve">﹞</w:t>
      </w:r>
      <w:r>
        <w:rPr>
          <w:rFonts w:ascii="宋体" w:hAnsi="宋体" w:cs="Times New Roman"/>
          <w:color w:val="auto"/>
          <w:sz w:val="24"/>
          <w:szCs w:val="24"/>
          <w:highlight w:val="none"/>
        </w:rPr>
        <w:t xml:space="preserve">248号</w:t>
      </w:r>
      <w:r>
        <w:rPr>
          <w:rFonts w:hint="eastAsia" w:ascii="Times New Roman" w:hAnsi="Times New Roman" w:cs="Times New Roman"/>
          <w:color w:val="auto"/>
          <w:sz w:val="24"/>
          <w:szCs w:val="24"/>
          <w:highlight w:val="none"/>
        </w:rPr>
        <w:t xml:space="preserve">）的规定。</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w:t>
      </w:r>
      <w:r>
        <w:rPr>
          <w:rFonts w:ascii="Times New Roman" w:hAnsi="Times New Roman" w:cs="Times New Roman"/>
          <w:color w:val="auto"/>
          <w:sz w:val="24"/>
          <w:szCs w:val="24"/>
          <w:highlight w:val="none"/>
        </w:rPr>
        <w:t xml:space="preserve">9</w:t>
      </w:r>
      <w:r>
        <w:rPr>
          <w:rFonts w:hint="eastAsia" w:ascii="Times New Roman" w:hAnsi="Times New Roman" w:cs="Times New Roman"/>
          <w:color w:val="auto"/>
          <w:sz w:val="24"/>
          <w:szCs w:val="24"/>
          <w:highlight w:val="none"/>
        </w:rPr>
        <w:t xml:space="preserve"> 根据财库〔2026〕2号文件，评标工作组启动异常低价投标审查的情形和具体要求，包括：</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（一）1.投标报价低于全部通过符合性审查供应商投标报价平均值50%的，即投标报价&lt;全部通过符合性审查供应商投标报价平均值×50%；</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2.投标报价低于通过符合性审查的次低报价供应商投标报价50%的，即投标报价&lt;通过符合性审查的次低报价供应商投标报价×50%；</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3.投标报价低于采购项目最高限价45%的，即投标报价&lt;采购项目最高限价×45%；</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4.评标工作组基于专业判断，认为供应商报价过低，有可能影响产品质量或者不能诚信履约的其他情形。</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（二）评标工作组启动异常低价投标审查后，属于前述第1项至第4项情形的，评标委员会通过“苏采云”系统要求投标人作出必要的说明</w:t>
      </w:r>
      <w:r>
        <w:rPr>
          <w:rFonts w:hint="eastAsia" w:ascii="Times New Roman" w:hAnsi="Times New Roman" w:cs="Times New Roman"/>
          <w:color w:val="auto"/>
          <w:sz w:val="24"/>
          <w:szCs w:val="24"/>
          <w:highlight w:val="none"/>
          <w:lang w:val="en-US" w:eastAsia="zh-CN"/>
        </w:rPr>
        <w:t xml:space="preserve">,</w:t>
      </w:r>
      <w:r>
        <w:rPr>
          <w:rFonts w:hint="eastAsia" w:ascii="Times New Roman" w:hAnsi="Times New Roman" w:cs="Times New Roman"/>
          <w:color w:val="auto"/>
          <w:sz w:val="24"/>
          <w:szCs w:val="24"/>
          <w:highlight w:val="none"/>
        </w:rPr>
        <w:t xml:space="preserve">相关供应商应在30分钟内通过“苏采云”系统（使用“CA数字证书”,加盖电子签章）形式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评标工作组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工作组应当将其作为无效投标处理。</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采购人、采购代理机构应当为评标工作组在评审现场及时获取同类项目中标（成交）价格、类似产品市场价格水平、行业人工费用标准、国家有关部门指导行业协会发布的行业平均成本等相关信息资料提供便利。评标工作组借助互联网等渠道查询相关信息的，应当严格遵守评审工作纪律，不得实施影响评审公正的行为。</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异常低价投标审查的启动原因、审查意见和审查结果应当在评审报告中记录，并随供应商提供的相关书面说明及证明材料，以及评标工作组有关互联网浏览、查询历史一并归档。</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w:t>
      </w:r>
      <w:r>
        <w:rPr>
          <w:rFonts w:ascii="Times New Roman" w:hAnsi="Times New Roman" w:cs="Times New Roman"/>
          <w:color w:val="auto"/>
          <w:sz w:val="24"/>
          <w:szCs w:val="24"/>
          <w:highlight w:val="none"/>
        </w:rPr>
        <w:t xml:space="preserve">10</w:t>
      </w:r>
      <w:r>
        <w:rPr>
          <w:rFonts w:hint="eastAsia" w:ascii="Times New Roman" w:hAnsi="Times New Roman" w:cs="Times New Roman"/>
          <w:color w:val="auto"/>
          <w:sz w:val="24"/>
          <w:szCs w:val="24"/>
          <w:highlight w:val="none"/>
        </w:rPr>
        <w:t xml:space="preserve"> 未按要求提供相关材料的，不享受相关政策。</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3.2.1</w:t>
      </w:r>
      <w:r>
        <w:rPr>
          <w:rFonts w:ascii="Times New Roman" w:hAnsi="Times New Roman" w:cs="Times New Roman"/>
          <w:color w:val="auto"/>
          <w:sz w:val="24"/>
          <w:szCs w:val="24"/>
          <w:highlight w:val="none"/>
        </w:rPr>
        <w:t xml:space="preserve">1</w:t>
      </w:r>
      <w:r>
        <w:rPr>
          <w:rFonts w:hint="eastAsia" w:ascii="Times New Roman" w:hAnsi="Times New Roman" w:cs="Times New Roman"/>
          <w:color w:val="auto"/>
          <w:sz w:val="24"/>
          <w:szCs w:val="24"/>
          <w:highlight w:val="none"/>
        </w:rPr>
        <w:t xml:space="preserve"> 在本项目政府采购活动过程中，如果所执行的标准有更新的，按照最新标准执行。</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4、投标费用</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4.1投标人应自行承担所有参与投标有关费用，无论投标过程中的做法和结果如何，采购人在任何情况下均无义务和责任承担这些费用。</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4.2</w:t>
      </w:r>
      <w:r>
        <w:rPr>
          <w:rFonts w:hint="eastAsia" w:ascii="Times New Roman" w:hAnsi="Times New Roman" w:cs="Times New Roman"/>
          <w:color w:val="auto"/>
          <w:sz w:val="24"/>
          <w:szCs w:val="24"/>
          <w:highlight w:val="none"/>
        </w:rPr>
        <w:t xml:space="preserve">根据江苏省财政厅《关于进一步规范政府采购活动相关费用管理的通知》（苏财规〔2026〕1号）相关要求，为提高采购效率、简化资金支付流程，本项目</w:t>
      </w:r>
      <w:r>
        <w:rPr>
          <w:rFonts w:hint="eastAsia" w:ascii="Times New Roman" w:hAnsi="Times New Roman" w:cs="Times New Roman"/>
          <w:color w:val="auto"/>
          <w:sz w:val="24"/>
          <w:szCs w:val="24"/>
          <w:highlight w:val="none"/>
          <w:lang w:val="en-US" w:eastAsia="zh-CN"/>
        </w:rPr>
        <w:t xml:space="preserve">招标</w:t>
      </w:r>
      <w:r>
        <w:rPr>
          <w:rFonts w:hint="eastAsia" w:ascii="Times New Roman" w:hAnsi="Times New Roman" w:cs="Times New Roman"/>
          <w:color w:val="auto"/>
          <w:sz w:val="24"/>
          <w:szCs w:val="24"/>
          <w:highlight w:val="none"/>
        </w:rPr>
        <w:t xml:space="preserve">代理费由</w:t>
      </w:r>
      <w:r>
        <w:rPr>
          <w:rFonts w:hint="eastAsia" w:ascii="Times New Roman" w:hAnsi="Times New Roman" w:cs="Times New Roman"/>
          <w:color w:val="auto"/>
          <w:sz w:val="24"/>
          <w:szCs w:val="24"/>
          <w:highlight w:val="none"/>
          <w:lang w:val="en-US" w:eastAsia="zh-CN"/>
        </w:rPr>
        <w:t xml:space="preserve">中标</w:t>
      </w:r>
      <w:r>
        <w:rPr>
          <w:rFonts w:hint="eastAsia" w:ascii="Times New Roman" w:hAnsi="Times New Roman" w:cs="Times New Roman"/>
          <w:color w:val="auto"/>
          <w:sz w:val="24"/>
          <w:szCs w:val="24"/>
          <w:highlight w:val="none"/>
        </w:rPr>
        <w:t xml:space="preserve">供应商在领取成交通知书时，一次性支付至采购代理机构。代理费参照国家计委《招标代理服务收费管理暂行办法》（计价格〔2002〕1980号）取费标准的</w:t>
      </w:r>
      <w:r>
        <w:rPr>
          <w:rFonts w:hint="eastAsia" w:ascii="Times New Roman" w:hAnsi="Times New Roman" w:cs="Times New Roman"/>
          <w:color w:val="auto"/>
          <w:sz w:val="24"/>
          <w:szCs w:val="24"/>
          <w:highlight w:val="none"/>
          <w:lang w:val="en-US" w:eastAsia="zh-CN"/>
        </w:rPr>
        <w:t xml:space="preserve">70</w:t>
      </w:r>
      <w:r>
        <w:rPr>
          <w:rFonts w:hint="eastAsia" w:ascii="Times New Roman" w:hAnsi="Times New Roman" w:cs="Times New Roman"/>
          <w:color w:val="auto"/>
          <w:sz w:val="24"/>
          <w:szCs w:val="24"/>
          <w:highlight w:val="none"/>
        </w:rPr>
        <w:t xml:space="preserve">%计取，计费基准为各分包最终成交价格。本项费用已综合包含在供应商响应报价内，不单独列项、不另行结算。各供应商在编制报价文件时，须足额测算、统筹将该项代理费纳入成本综合考量，因未合理预估该项费用所产生的损失与风险，均由供应商自行承担。</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5、招标文件的约束力</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5.1投标人一旦</w:t>
      </w:r>
      <w:r>
        <w:rPr>
          <w:rFonts w:hint="eastAsia" w:ascii="Times New Roman" w:hAnsi="Times New Roman" w:cs="Times New Roman"/>
          <w:color w:val="auto"/>
          <w:sz w:val="24"/>
          <w:szCs w:val="24"/>
          <w:highlight w:val="none"/>
        </w:rPr>
        <w:t xml:space="preserve">购买</w:t>
      </w:r>
      <w:r>
        <w:rPr>
          <w:rFonts w:ascii="Times New Roman" w:hAnsi="Times New Roman" w:cs="Times New Roman"/>
          <w:color w:val="auto"/>
          <w:sz w:val="24"/>
          <w:szCs w:val="24"/>
          <w:highlight w:val="none"/>
        </w:rPr>
        <w:t xml:space="preserve">了本招标文件并参与投标，即被认为接受了本招标文件中的所有条件和规定。</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二、招标文件</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6、招标文件的构成</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6.1招标文件由以下部分组成：</w:t>
      </w:r>
      <w:r/>
    </w:p>
    <w:p>
      <w:pPr>
        <w:ind w:firstLine="36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w:t>
      </w:r>
      <w:r>
        <w:rPr>
          <w:rFonts w:hint="eastAsia" w:ascii="Times New Roman" w:hAnsi="Times New Roman" w:cs="Times New Roman"/>
          <w:color w:val="auto"/>
          <w:sz w:val="24"/>
          <w:szCs w:val="24"/>
          <w:highlight w:val="none"/>
        </w:rPr>
        <w:t xml:space="preserve">招标</w:t>
      </w:r>
      <w:r>
        <w:rPr>
          <w:rFonts w:ascii="Times New Roman" w:hAnsi="Times New Roman" w:cs="Times New Roman"/>
          <w:color w:val="auto"/>
          <w:sz w:val="24"/>
          <w:szCs w:val="24"/>
          <w:highlight w:val="none"/>
        </w:rPr>
        <w:t xml:space="preserve">公告</w:t>
      </w:r>
      <w:r/>
    </w:p>
    <w:p>
      <w:pPr>
        <w:ind w:firstLine="36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（2）投标人须知</w:t>
      </w:r>
      <w:r/>
    </w:p>
    <w:p>
      <w:pPr>
        <w:ind w:firstLine="36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（3）合同条款及格式</w:t>
      </w:r>
      <w:r/>
    </w:p>
    <w:p>
      <w:pPr>
        <w:ind w:firstLine="36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（4）项目需求</w:t>
      </w:r>
      <w:r/>
    </w:p>
    <w:p>
      <w:pPr>
        <w:ind w:firstLine="36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（5）评标方法与评标标准</w:t>
      </w:r>
      <w:r/>
    </w:p>
    <w:p>
      <w:pPr>
        <w:ind w:firstLine="36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（6）投标文件格式</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请仔细检查招标文件是否齐全，如有缺漏请立即与</w:t>
      </w:r>
      <w:r>
        <w:rPr>
          <w:rFonts w:hint="eastAsia" w:ascii="Times New Roman" w:hAnsi="Times New Roman" w:cs="Times New Roman"/>
          <w:color w:val="auto"/>
          <w:sz w:val="24"/>
          <w:szCs w:val="24"/>
          <w:highlight w:val="none"/>
        </w:rPr>
        <w:t xml:space="preserve">招标</w:t>
      </w:r>
      <w:r>
        <w:rPr>
          <w:rFonts w:ascii="Times New Roman" w:hAnsi="Times New Roman" w:cs="Times New Roman"/>
          <w:color w:val="auto"/>
          <w:sz w:val="24"/>
          <w:szCs w:val="24"/>
          <w:highlight w:val="none"/>
        </w:rPr>
        <w:t xml:space="preserve">代理机构联系解决。</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7、招标文件的澄清</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任何要求对招标文件进行澄清的投标人，均应在投标截止期前十日前以书面形式通知采购人。</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8、招标文件的修改</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8.l在投标截止日期前，无论何种原因，采购人均可主动或在解答投标人提出的澄清问题时对招标文件进行修改。</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8.2招标文件的修改将在“</w:t>
      </w:r>
      <w:r>
        <w:rPr>
          <w:rFonts w:hint="eastAsia" w:ascii="Times New Roman" w:hAnsi="Times New Roman" w:cs="Times New Roman"/>
          <w:color w:val="auto"/>
          <w:sz w:val="24"/>
          <w:szCs w:val="24"/>
          <w:highlight w:val="none"/>
        </w:rPr>
        <w:t xml:space="preserve">江苏省政府采购网</w:t>
      </w:r>
      <w:r>
        <w:rPr>
          <w:rFonts w:ascii="Times New Roman" w:hAnsi="Times New Roman" w:cs="Times New Roman"/>
          <w:color w:val="auto"/>
          <w:sz w:val="24"/>
          <w:szCs w:val="24"/>
          <w:highlight w:val="none"/>
        </w:rPr>
        <w:t xml:space="preserve">”网站上公布，并对所有投标人具有约束力。</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8.3为使投标人编写标书有充分时间对标书文件的修改部分进行分析、研究，采购人有权推迟投标截止日期和开标日期，并将此变更书面通知所有</w:t>
      </w:r>
      <w:r>
        <w:rPr>
          <w:rFonts w:hint="eastAsia" w:ascii="Times New Roman" w:hAnsi="Times New Roman" w:cs="Times New Roman"/>
          <w:color w:val="auto"/>
          <w:sz w:val="24"/>
          <w:szCs w:val="24"/>
          <w:highlight w:val="none"/>
        </w:rPr>
        <w:t xml:space="preserve">购买</w:t>
      </w:r>
      <w:r>
        <w:rPr>
          <w:rFonts w:ascii="Times New Roman" w:hAnsi="Times New Roman" w:cs="Times New Roman"/>
          <w:color w:val="auto"/>
          <w:sz w:val="24"/>
          <w:szCs w:val="24"/>
          <w:highlight w:val="none"/>
        </w:rPr>
        <w:t xml:space="preserve">招标文件的投标人。</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三、投标文件的编制</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9、投标语言及度量衡单位</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9.1投标人提供的投标文件以及投标人与采购人就有关投标的所有来往通知、函件和文件均使用</w:t>
      </w:r>
      <w:r>
        <w:rPr>
          <w:rFonts w:ascii="Times New Roman" w:hAnsi="Times New Roman" w:cs="Times New Roman"/>
          <w:b/>
          <w:color w:val="auto"/>
          <w:sz w:val="24"/>
          <w:szCs w:val="24"/>
          <w:highlight w:val="none"/>
        </w:rPr>
        <w:t xml:space="preserve">简体中文</w:t>
      </w:r>
      <w:r>
        <w:rPr>
          <w:rFonts w:ascii="Times New Roman" w:hAnsi="Times New Roman" w:cs="Times New Roman"/>
          <w:color w:val="auto"/>
          <w:sz w:val="24"/>
          <w:szCs w:val="24"/>
          <w:highlight w:val="none"/>
        </w:rPr>
        <w:t xml:space="preserve">。</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9.2除技术性能另有规定外，投标文件所使用的度量衡单位，均采用国家法定计量单位。</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10、投标文件的构成</w:t>
      </w:r>
      <w:r>
        <w:rPr>
          <w:rFonts w:hint="eastAsia" w:ascii="Times New Roman" w:hAnsi="Times New Roman" w:cs="Times New Roman"/>
          <w:b/>
          <w:color w:val="auto"/>
          <w:sz w:val="24"/>
          <w:szCs w:val="24"/>
          <w:highlight w:val="none"/>
        </w:rPr>
        <w:t xml:space="preserve">（相应内容上传至投标客户端，并签电子公章）</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投标人编写的投标文件应包括下列部分：</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10.1投标文件目录；</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10.2投标函：须含投标人的开户名称、开户银行、账号、电话、传真、E-mail等联系方式；</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10.3投标人资格证明材料；</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（1）法人或者其他组织的营业执照等证明文件（复印件）；</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（2）相关资质证明材料（复印件）；</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（3）法人授权委托书（复印件）；</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（4）法定代表人的身份证复印件；</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（5）授权代表的身份证复印件；</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（6）具有</w:t>
      </w:r>
      <w:r>
        <w:rPr>
          <w:rFonts w:hint="eastAsia" w:ascii="Times New Roman" w:hAnsi="Times New Roman" w:cs="Times New Roman"/>
          <w:color w:val="auto"/>
          <w:sz w:val="24"/>
          <w:szCs w:val="24"/>
          <w:highlight w:val="none"/>
        </w:rPr>
        <w:t xml:space="preserve">项目必需的</w:t>
      </w:r>
      <w:r>
        <w:rPr>
          <w:rFonts w:ascii="Times New Roman" w:hAnsi="Times New Roman" w:cs="Times New Roman"/>
          <w:color w:val="auto"/>
          <w:sz w:val="24"/>
          <w:szCs w:val="24"/>
          <w:highlight w:val="none"/>
        </w:rPr>
        <w:t xml:space="preserve">技术条件或经营能力的书面声明；</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（7）无违法违规记录声明；</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（8）招标文件中的其他资格性要求（详见招标公告第</w:t>
      </w:r>
      <w:r>
        <w:rPr>
          <w:rFonts w:hint="eastAsia" w:ascii="Times New Roman" w:hAnsi="Times New Roman" w:cs="Times New Roman"/>
          <w:color w:val="auto"/>
          <w:sz w:val="24"/>
          <w:szCs w:val="24"/>
          <w:highlight w:val="none"/>
        </w:rPr>
        <w:t xml:space="preserve">二</w:t>
      </w:r>
      <w:r>
        <w:rPr>
          <w:rFonts w:ascii="Times New Roman" w:hAnsi="Times New Roman" w:cs="Times New Roman"/>
          <w:color w:val="auto"/>
          <w:sz w:val="24"/>
          <w:szCs w:val="24"/>
          <w:highlight w:val="none"/>
        </w:rPr>
        <w:t xml:space="preserve">条投标人资格要求）。</w:t>
      </w:r>
      <w:r/>
    </w:p>
    <w:p>
      <w:pPr>
        <w:ind w:firstLine="480"/>
        <w:spacing w:line="360" w:lineRule="auto"/>
        <w:rPr>
          <w:rFonts w:hint="eastAsia" w:ascii="Times New Roman" w:hAnsi="Times New Roman" w:eastAsia="宋体" w:cs="Times New Roman"/>
          <w:color w:val="auto"/>
          <w:sz w:val="24"/>
          <w:szCs w:val="24"/>
          <w:highlight w:val="none"/>
          <w:lang w:eastAsia="zh-CN"/>
        </w:rPr>
      </w:pPr>
      <w:r>
        <w:rPr>
          <w:rFonts w:ascii="Times New Roman" w:hAnsi="Times New Roman" w:cs="Times New Roman"/>
          <w:color w:val="auto"/>
          <w:sz w:val="24"/>
          <w:szCs w:val="24"/>
          <w:highlight w:val="none"/>
        </w:rPr>
        <w:t xml:space="preserve">10.4开标一览表</w:t>
      </w:r>
      <w:r>
        <w:rPr>
          <w:rFonts w:hint="eastAsia" w:ascii="Times New Roman" w:hAnsi="Times New Roman" w:cs="Times New Roman"/>
          <w:color w:val="auto"/>
          <w:sz w:val="24"/>
          <w:szCs w:val="24"/>
          <w:highlight w:val="none"/>
          <w:lang w:val="en-US" w:eastAsia="zh-CN"/>
        </w:rPr>
        <w:t xml:space="preserve">: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10.5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10.6投标人按照投标文件中商务条款提供交货安装、工期保证等方案以及产品售后服务和质量承诺，并附《商务条款响应及偏离表》；</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10.7投标人的业绩情况；</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10.8投标人认为有必要提供的文件材料；</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10.9</w:t>
      </w:r>
      <w:r>
        <w:rPr>
          <w:rFonts w:hint="eastAsia" w:ascii="Times New Roman" w:hAnsi="Times New Roman" w:cs="Times New Roman"/>
          <w:color w:val="auto"/>
          <w:sz w:val="24"/>
          <w:szCs w:val="24"/>
          <w:highlight w:val="none"/>
        </w:rPr>
        <w:t xml:space="preserve">投标人应当根据招标文件要求编制投标文件，投标文件应对招标文件提出的要求和条件作出实质性响应，并在相应的投标文件中逐条标明满足与否</w:t>
      </w:r>
      <w:r>
        <w:rPr>
          <w:rFonts w:ascii="Times New Roman" w:hAnsi="Times New Roman" w:cs="Times New Roman"/>
          <w:color w:val="auto"/>
          <w:sz w:val="24"/>
          <w:szCs w:val="24"/>
          <w:highlight w:val="none"/>
        </w:rPr>
        <w:t xml:space="preserve">。</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11、其它费用处理</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招标文件未列明，而投标单位认为必需的费用也需列入报价。</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12、投标保证金</w:t>
      </w:r>
      <w:r/>
    </w:p>
    <w:p>
      <w:pPr>
        <w:ind w:firstLine="482"/>
        <w:spacing w:line="360" w:lineRule="auto"/>
        <w:rPr>
          <w:rFonts w:ascii="Times New Roman" w:hAnsi="Times New Roman" w:cs="Times New Roman"/>
          <w:color w:val="auto"/>
          <w:sz w:val="24"/>
          <w:szCs w:val="24"/>
          <w:highlight w:val="none"/>
        </w:rPr>
      </w:pPr>
      <w:r>
        <w:rPr>
          <w:rFonts w:ascii="Times New Roman" w:hAnsi="Times New Roman" w:cs="Times New Roman"/>
          <w:b/>
          <w:color w:val="auto"/>
          <w:sz w:val="24"/>
          <w:szCs w:val="24"/>
          <w:highlight w:val="none"/>
        </w:rPr>
        <w:t xml:space="preserve">本次招标不收取投标保证金</w:t>
      </w:r>
      <w:r>
        <w:rPr>
          <w:rFonts w:hint="eastAsia" w:ascii="Times New Roman" w:hAnsi="Times New Roman" w:cs="Times New Roman"/>
          <w:b/>
          <w:color w:val="auto"/>
          <w:sz w:val="24"/>
          <w:szCs w:val="24"/>
          <w:highlight w:val="none"/>
        </w:rPr>
        <w:t xml:space="preserve">。</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13、投标有效期</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投标有效期为采购人规定的开标之日后九十</w:t>
      </w:r>
      <w:r>
        <w:rPr>
          <w:rFonts w:hint="eastAsia" w:ascii="Times New Roman" w:hAnsi="Times New Roman" w:cs="Times New Roman"/>
          <w:color w:val="auto"/>
          <w:sz w:val="24"/>
          <w:szCs w:val="24"/>
          <w:highlight w:val="none"/>
        </w:rPr>
        <w:t xml:space="preserve">（90）</w:t>
      </w:r>
      <w:r>
        <w:rPr>
          <w:rFonts w:ascii="Times New Roman" w:hAnsi="Times New Roman" w:cs="Times New Roman"/>
          <w:color w:val="auto"/>
          <w:sz w:val="24"/>
          <w:szCs w:val="24"/>
          <w:highlight w:val="none"/>
        </w:rPr>
        <w:t xml:space="preserve">天内有效。如果采购人在有效期之内，可向投标人提出延长投标有效期的要求。要求与答复均应采用书面形式。</w:t>
      </w:r>
      <w:r>
        <w:rPr>
          <w:rFonts w:ascii="Times New Roman" w:hAnsi="Times New Roman" w:cs="Times New Roman"/>
          <w:bCs/>
          <w:color w:val="auto"/>
          <w:sz w:val="24"/>
          <w:szCs w:val="24"/>
          <w:highlight w:val="none"/>
        </w:rPr>
        <w:t xml:space="preserve">投标人可以拒绝采购人的这一要求而放弃投标，</w:t>
      </w:r>
      <w:r>
        <w:rPr>
          <w:rFonts w:ascii="Times New Roman" w:hAnsi="Times New Roman" w:cs="Times New Roman"/>
          <w:color w:val="auto"/>
          <w:sz w:val="24"/>
          <w:szCs w:val="24"/>
          <w:highlight w:val="none"/>
        </w:rPr>
        <w:t xml:space="preserve">采购人在接到投标人书面答复后，将在原投标有效期满后五日内</w:t>
      </w:r>
      <w:r>
        <w:rPr>
          <w:rFonts w:ascii="Times New Roman" w:hAnsi="Times New Roman" w:cs="Times New Roman"/>
          <w:bCs/>
          <w:color w:val="auto"/>
          <w:sz w:val="24"/>
          <w:szCs w:val="24"/>
          <w:highlight w:val="none"/>
        </w:rPr>
        <w:t xml:space="preserve">无息退还其投标保证金</w:t>
      </w:r>
      <w:r>
        <w:rPr>
          <w:rFonts w:ascii="Times New Roman" w:hAnsi="Times New Roman" w:cs="Times New Roman"/>
          <w:color w:val="auto"/>
          <w:sz w:val="24"/>
          <w:szCs w:val="24"/>
          <w:highlight w:val="none"/>
        </w:rPr>
        <w:t xml:space="preserve">。</w:t>
      </w:r>
      <w:r>
        <w:rPr>
          <w:rFonts w:ascii="Times New Roman" w:hAnsi="Times New Roman" w:cs="Times New Roman"/>
          <w:bCs/>
          <w:color w:val="auto"/>
          <w:sz w:val="24"/>
          <w:szCs w:val="24"/>
          <w:highlight w:val="none"/>
        </w:rPr>
        <w:t xml:space="preserve">同意延</w:t>
      </w:r>
      <w:r>
        <w:rPr>
          <w:rFonts w:ascii="Times New Roman" w:hAnsi="Times New Roman" w:cs="Times New Roman"/>
          <w:color w:val="auto"/>
          <w:sz w:val="24"/>
          <w:szCs w:val="24"/>
          <w:highlight w:val="none"/>
        </w:rPr>
        <w:t xml:space="preserve">长投标有效期的投标人既不能要求也不允许修改其投标文件。第12条有关投标保证金的没收和退还的规定在延长期内继续有效，同时受投标有效期约束的所有权利与义务均延长至新的有效期。</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14、</w:t>
      </w:r>
      <w:r>
        <w:rPr>
          <w:rFonts w:hint="eastAsia" w:ascii="Times New Roman" w:hAnsi="Times New Roman" w:cs="Times New Roman"/>
          <w:b/>
          <w:color w:val="auto"/>
          <w:sz w:val="24"/>
          <w:szCs w:val="24"/>
          <w:highlight w:val="none"/>
        </w:rPr>
        <w:t xml:space="preserve">投标文件的编制要求和签署要求</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4</w:t>
      </w:r>
      <w:r>
        <w:rPr>
          <w:rFonts w:hint="eastAsia" w:ascii="Times New Roman" w:hAnsi="Times New Roman" w:cs="Times New Roman"/>
          <w:color w:val="auto"/>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4</w:t>
      </w:r>
      <w:r>
        <w:rPr>
          <w:rFonts w:hint="eastAsia" w:ascii="Times New Roman" w:hAnsi="Times New Roman" w:cs="Times New Roman"/>
          <w:color w:val="auto"/>
          <w:sz w:val="24"/>
          <w:szCs w:val="24"/>
          <w:highlight w:val="none"/>
        </w:rPr>
        <w:t xml:space="preserve">.2投标人应对 CA 证书妥善保管，如被他人盗用投标，因此带来的后果均由投标人自行承担。</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4</w:t>
      </w:r>
      <w:r>
        <w:rPr>
          <w:rFonts w:hint="eastAsia" w:ascii="Times New Roman" w:hAnsi="Times New Roman" w:cs="Times New Roman"/>
          <w:color w:val="auto"/>
          <w:sz w:val="24"/>
          <w:szCs w:val="24"/>
          <w:highlight w:val="none"/>
        </w:rPr>
        <w:t xml:space="preserve">.3投标人应当对招标文件提出的要求和条件作出实质性响应，并在电子投标系统逐条应答。</w:t>
      </w:r>
      <w:r/>
    </w:p>
    <w:p>
      <w:pPr>
        <w:ind w:firstLine="480"/>
        <w:spacing w:line="36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4</w:t>
      </w:r>
      <w:r>
        <w:rPr>
          <w:rFonts w:hint="eastAsia" w:ascii="Times New Roman" w:hAnsi="Times New Roman" w:cs="Times New Roman"/>
          <w:color w:val="auto"/>
          <w:sz w:val="24"/>
          <w:szCs w:val="24"/>
          <w:highlight w:val="none"/>
        </w:rPr>
        <w:t xml:space="preserve">.4投标人应对要求提供的资格证明文件（如资质证书、资格证书）、技术资料（如白皮书、彩页、手册、检测报告等）扫描上传至投标系统。</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四、投标文件的递交</w:t>
      </w:r>
      <w:r/>
    </w:p>
    <w:p>
      <w:pPr>
        <w:ind w:firstLine="482"/>
        <w:spacing w:line="360" w:lineRule="auto"/>
        <w:rPr>
          <w:rFonts w:hint="eastAsia" w:ascii="Times New Roman" w:hAnsi="Times New Roman" w:cs="Times New Roman"/>
          <w:b/>
          <w:bCs w:val="0"/>
          <w:color w:val="auto"/>
          <w:sz w:val="24"/>
          <w:szCs w:val="24"/>
          <w:highlight w:val="none"/>
        </w:rPr>
      </w:pPr>
      <w:r>
        <w:rPr>
          <w:rFonts w:hint="eastAsia" w:ascii="Times New Roman" w:hAnsi="Times New Roman" w:cs="Times New Roman"/>
          <w:b/>
          <w:bCs w:val="0"/>
          <w:color w:val="auto"/>
          <w:sz w:val="24"/>
          <w:szCs w:val="24"/>
          <w:highlight w:val="none"/>
        </w:rPr>
        <w:t xml:space="preserve">1</w:t>
      </w:r>
      <w:r>
        <w:rPr>
          <w:rFonts w:hint="eastAsia" w:ascii="Times New Roman" w:hAnsi="Times New Roman" w:cs="Times New Roman"/>
          <w:b/>
          <w:bCs w:val="0"/>
          <w:color w:val="auto"/>
          <w:sz w:val="24"/>
          <w:szCs w:val="24"/>
          <w:highlight w:val="none"/>
          <w:lang w:val="en-US" w:eastAsia="zh-CN"/>
        </w:rPr>
        <w:t xml:space="preserve">5</w:t>
      </w:r>
      <w:r>
        <w:rPr>
          <w:rFonts w:hint="eastAsia" w:ascii="Times New Roman" w:hAnsi="Times New Roman" w:cs="Times New Roman"/>
          <w:b/>
          <w:bCs w:val="0"/>
          <w:color w:val="auto"/>
          <w:sz w:val="24"/>
          <w:szCs w:val="24"/>
          <w:highlight w:val="none"/>
        </w:rPr>
        <w:t xml:space="preserve">.电子投标文件的递交</w:t>
      </w:r>
      <w:r/>
    </w:p>
    <w:p>
      <w:pPr>
        <w:ind w:firstLine="480"/>
        <w:spacing w:line="360" w:lineRule="auto"/>
        <w:rPr>
          <w:rFonts w:hint="eastAsia" w:ascii="Times New Roman" w:hAnsi="Times New Roman" w:cs="Times New Roman"/>
          <w:b w:val="0"/>
          <w:bCs/>
          <w:color w:val="auto"/>
          <w:sz w:val="24"/>
          <w:szCs w:val="24"/>
          <w:highlight w:val="none"/>
        </w:rPr>
      </w:pPr>
      <w:r>
        <w:rPr>
          <w:rFonts w:hint="eastAsia" w:ascii="Times New Roman" w:hAnsi="Times New Roman" w:cs="Times New Roman"/>
          <w:b w:val="0"/>
          <w:bCs/>
          <w:color w:val="auto"/>
          <w:sz w:val="24"/>
          <w:szCs w:val="24"/>
          <w:highlight w:val="none"/>
        </w:rPr>
        <w:t xml:space="preserve">1</w:t>
      </w:r>
      <w:r>
        <w:rPr>
          <w:rFonts w:hint="eastAsia" w:ascii="Times New Roman" w:hAnsi="Times New Roman" w:cs="Times New Roman"/>
          <w:b w:val="0"/>
          <w:bCs/>
          <w:color w:val="auto"/>
          <w:sz w:val="24"/>
          <w:szCs w:val="24"/>
          <w:highlight w:val="none"/>
          <w:lang w:val="en-US" w:eastAsia="zh-CN"/>
        </w:rPr>
        <w:t xml:space="preserve">5</w:t>
      </w:r>
      <w:r>
        <w:rPr>
          <w:rFonts w:hint="eastAsia" w:ascii="Times New Roman" w:hAnsi="Times New Roman" w:cs="Times New Roman"/>
          <w:b w:val="0"/>
          <w:bCs/>
          <w:color w:val="auto"/>
          <w:sz w:val="24"/>
          <w:szCs w:val="24"/>
          <w:highlight w:val="none"/>
        </w:rPr>
        <w:t xml:space="preserve">.1投标人应当按照规定，在投标截止时间前制作并上传电子投标文件。</w:t>
      </w:r>
      <w:r/>
    </w:p>
    <w:p>
      <w:pPr>
        <w:ind w:firstLine="482"/>
        <w:spacing w:line="360" w:lineRule="auto"/>
        <w:rPr>
          <w:rFonts w:hint="eastAsia" w:ascii="Times New Roman" w:hAnsi="Times New Roman" w:cs="Times New Roman"/>
          <w:b/>
          <w:bCs w:val="0"/>
          <w:color w:val="auto"/>
          <w:sz w:val="24"/>
          <w:szCs w:val="24"/>
          <w:highlight w:val="none"/>
        </w:rPr>
      </w:pPr>
      <w:r>
        <w:rPr>
          <w:rFonts w:hint="eastAsia" w:ascii="Times New Roman" w:hAnsi="Times New Roman" w:cs="Times New Roman"/>
          <w:b/>
          <w:bCs w:val="0"/>
          <w:color w:val="auto"/>
          <w:sz w:val="24"/>
          <w:szCs w:val="24"/>
          <w:highlight w:val="none"/>
        </w:rPr>
        <w:t xml:space="preserve">1</w:t>
      </w:r>
      <w:r>
        <w:rPr>
          <w:rFonts w:hint="eastAsia" w:ascii="Times New Roman" w:hAnsi="Times New Roman" w:cs="Times New Roman"/>
          <w:b/>
          <w:bCs w:val="0"/>
          <w:color w:val="auto"/>
          <w:sz w:val="24"/>
          <w:szCs w:val="24"/>
          <w:highlight w:val="none"/>
          <w:lang w:val="en-US" w:eastAsia="zh-CN"/>
        </w:rPr>
        <w:t xml:space="preserve">6</w:t>
      </w:r>
      <w:r>
        <w:rPr>
          <w:rFonts w:hint="eastAsia" w:ascii="Times New Roman" w:hAnsi="Times New Roman" w:cs="Times New Roman"/>
          <w:b/>
          <w:bCs w:val="0"/>
          <w:color w:val="auto"/>
          <w:sz w:val="24"/>
          <w:szCs w:val="24"/>
          <w:highlight w:val="none"/>
        </w:rPr>
        <w:t xml:space="preserve">.投标截止日期</w:t>
      </w:r>
      <w:r/>
    </w:p>
    <w:p>
      <w:pPr>
        <w:ind w:firstLine="480"/>
        <w:spacing w:line="360" w:lineRule="auto"/>
        <w:rPr>
          <w:rFonts w:hint="eastAsia" w:ascii="Times New Roman" w:hAnsi="Times New Roman" w:cs="Times New Roman"/>
          <w:b w:val="0"/>
          <w:bCs/>
          <w:color w:val="auto"/>
          <w:sz w:val="24"/>
          <w:szCs w:val="24"/>
          <w:highlight w:val="none"/>
        </w:rPr>
      </w:pPr>
      <w:r>
        <w:rPr>
          <w:rFonts w:hint="eastAsia" w:ascii="Times New Roman" w:hAnsi="Times New Roman" w:cs="Times New Roman"/>
          <w:b w:val="0"/>
          <w:bCs/>
          <w:color w:val="auto"/>
          <w:sz w:val="24"/>
          <w:szCs w:val="24"/>
          <w:highlight w:val="none"/>
        </w:rPr>
        <w:t xml:space="preserve">1</w:t>
      </w:r>
      <w:r>
        <w:rPr>
          <w:rFonts w:hint="eastAsia" w:ascii="Times New Roman" w:hAnsi="Times New Roman" w:cs="Times New Roman"/>
          <w:b w:val="0"/>
          <w:bCs/>
          <w:color w:val="auto"/>
          <w:sz w:val="24"/>
          <w:szCs w:val="24"/>
          <w:highlight w:val="none"/>
          <w:lang w:val="en-US" w:eastAsia="zh-CN"/>
        </w:rPr>
        <w:t xml:space="preserve">6</w:t>
      </w:r>
      <w:r>
        <w:rPr>
          <w:rFonts w:hint="eastAsia" w:ascii="Times New Roman" w:hAnsi="Times New Roman" w:cs="Times New Roman"/>
          <w:b w:val="0"/>
          <w:bCs/>
          <w:color w:val="auto"/>
          <w:sz w:val="24"/>
          <w:szCs w:val="24"/>
          <w:highlight w:val="none"/>
        </w:rPr>
        <w:t xml:space="preserve">.1 投标人上传电子投标文件的时间不得迟于招标公告中规定的投标截止时间。</w:t>
      </w:r>
      <w:r/>
    </w:p>
    <w:p>
      <w:pPr>
        <w:ind w:firstLine="480"/>
        <w:spacing w:line="360" w:lineRule="auto"/>
        <w:rPr>
          <w:rFonts w:hint="eastAsia" w:ascii="Times New Roman" w:hAnsi="Times New Roman" w:cs="Times New Roman"/>
          <w:b w:val="0"/>
          <w:bCs/>
          <w:color w:val="auto"/>
          <w:sz w:val="24"/>
          <w:szCs w:val="24"/>
          <w:highlight w:val="none"/>
        </w:rPr>
      </w:pPr>
      <w:r>
        <w:rPr>
          <w:rFonts w:hint="eastAsia" w:ascii="Times New Roman" w:hAnsi="Times New Roman" w:cs="Times New Roman"/>
          <w:b w:val="0"/>
          <w:bCs/>
          <w:color w:val="auto"/>
          <w:sz w:val="24"/>
          <w:szCs w:val="24"/>
          <w:highlight w:val="none"/>
        </w:rPr>
        <w:t xml:space="preserve">投标人应充分考虑到网络环境、网络带宽等风险因素，如因投标人自身原因造成的电子投标文件上传不成功的做无效投标处理。</w:t>
      </w:r>
      <w:r/>
    </w:p>
    <w:p>
      <w:pPr>
        <w:ind w:firstLine="480"/>
        <w:spacing w:line="360" w:lineRule="auto"/>
        <w:rPr>
          <w:rFonts w:hint="eastAsia" w:ascii="Times New Roman" w:hAnsi="Times New Roman" w:cs="Times New Roman"/>
          <w:b w:val="0"/>
          <w:bCs/>
          <w:color w:val="auto"/>
          <w:sz w:val="24"/>
          <w:szCs w:val="24"/>
          <w:highlight w:val="none"/>
        </w:rPr>
      </w:pPr>
      <w:r>
        <w:rPr>
          <w:rFonts w:hint="eastAsia" w:ascii="Times New Roman" w:hAnsi="Times New Roman" w:cs="Times New Roman"/>
          <w:b w:val="0"/>
          <w:bCs/>
          <w:color w:val="auto"/>
          <w:sz w:val="24"/>
          <w:szCs w:val="24"/>
          <w:highlight w:val="none"/>
        </w:rPr>
        <w:t xml:space="preserve">1</w:t>
      </w:r>
      <w:r>
        <w:rPr>
          <w:rFonts w:hint="eastAsia" w:ascii="Times New Roman" w:hAnsi="Times New Roman" w:cs="Times New Roman"/>
          <w:b w:val="0"/>
          <w:bCs/>
          <w:color w:val="auto"/>
          <w:sz w:val="24"/>
          <w:szCs w:val="24"/>
          <w:highlight w:val="none"/>
          <w:lang w:val="en-US" w:eastAsia="zh-CN"/>
        </w:rPr>
        <w:t xml:space="preserve">6</w:t>
      </w:r>
      <w:r>
        <w:rPr>
          <w:rFonts w:hint="eastAsia" w:ascii="Times New Roman" w:hAnsi="Times New Roman" w:cs="Times New Roman"/>
          <w:b w:val="0"/>
          <w:bCs/>
          <w:color w:val="auto"/>
          <w:sz w:val="24"/>
          <w:szCs w:val="24"/>
          <w:highlight w:val="none"/>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82"/>
        <w:spacing w:line="360" w:lineRule="auto"/>
        <w:rPr>
          <w:rFonts w:hint="eastAsia" w:ascii="Times New Roman" w:hAnsi="Times New Roman" w:cs="Times New Roman"/>
          <w:b/>
          <w:bCs w:val="0"/>
          <w:color w:val="auto"/>
          <w:sz w:val="24"/>
          <w:szCs w:val="24"/>
          <w:highlight w:val="none"/>
        </w:rPr>
      </w:pPr>
      <w:r>
        <w:rPr>
          <w:rFonts w:hint="eastAsia" w:ascii="Times New Roman" w:hAnsi="Times New Roman" w:cs="Times New Roman"/>
          <w:b/>
          <w:bCs w:val="0"/>
          <w:color w:val="auto"/>
          <w:sz w:val="24"/>
          <w:szCs w:val="24"/>
          <w:highlight w:val="none"/>
        </w:rPr>
        <w:t xml:space="preserve">1</w:t>
      </w:r>
      <w:r>
        <w:rPr>
          <w:rFonts w:hint="eastAsia" w:ascii="Times New Roman" w:hAnsi="Times New Roman" w:cs="Times New Roman"/>
          <w:b/>
          <w:bCs w:val="0"/>
          <w:color w:val="auto"/>
          <w:sz w:val="24"/>
          <w:szCs w:val="24"/>
          <w:highlight w:val="none"/>
          <w:lang w:val="en-US" w:eastAsia="zh-CN"/>
        </w:rPr>
        <w:t xml:space="preserve">7</w:t>
      </w:r>
      <w:r>
        <w:rPr>
          <w:rFonts w:hint="eastAsia" w:ascii="Times New Roman" w:hAnsi="Times New Roman" w:cs="Times New Roman"/>
          <w:b/>
          <w:bCs w:val="0"/>
          <w:color w:val="auto"/>
          <w:sz w:val="24"/>
          <w:szCs w:val="24"/>
          <w:highlight w:val="none"/>
        </w:rPr>
        <w:t xml:space="preserve">.投标文件的拒收</w:t>
      </w:r>
      <w:r/>
    </w:p>
    <w:p>
      <w:pPr>
        <w:ind w:firstLine="480"/>
        <w:spacing w:line="360" w:lineRule="auto"/>
        <w:rPr>
          <w:rFonts w:hint="eastAsia" w:ascii="Times New Roman" w:hAnsi="Times New Roman" w:cs="Times New Roman"/>
          <w:b w:val="0"/>
          <w:bCs/>
          <w:color w:val="auto"/>
          <w:sz w:val="24"/>
          <w:szCs w:val="24"/>
          <w:highlight w:val="none"/>
        </w:rPr>
      </w:pPr>
      <w:r>
        <w:rPr>
          <w:rFonts w:hint="eastAsia" w:ascii="Times New Roman" w:hAnsi="Times New Roman" w:cs="Times New Roman"/>
          <w:b w:val="0"/>
          <w:bCs/>
          <w:color w:val="auto"/>
          <w:sz w:val="24"/>
          <w:szCs w:val="24"/>
          <w:highlight w:val="none"/>
        </w:rPr>
        <w:t xml:space="preserve">1</w:t>
      </w:r>
      <w:r>
        <w:rPr>
          <w:rFonts w:hint="eastAsia" w:ascii="Times New Roman" w:hAnsi="Times New Roman" w:cs="Times New Roman"/>
          <w:b w:val="0"/>
          <w:bCs/>
          <w:color w:val="auto"/>
          <w:sz w:val="24"/>
          <w:szCs w:val="24"/>
          <w:highlight w:val="none"/>
          <w:lang w:val="en-US" w:eastAsia="zh-CN"/>
        </w:rPr>
        <w:t xml:space="preserve">7</w:t>
      </w:r>
      <w:r>
        <w:rPr>
          <w:rFonts w:hint="eastAsia" w:ascii="Times New Roman" w:hAnsi="Times New Roman" w:cs="Times New Roman"/>
          <w:b w:val="0"/>
          <w:bCs/>
          <w:color w:val="auto"/>
          <w:sz w:val="24"/>
          <w:szCs w:val="24"/>
          <w:highlight w:val="none"/>
        </w:rPr>
        <w:t xml:space="preserve">.1 采购人及采购代理机构拒绝接收在其规定的投标截止时间后上传的任何投标文件。</w:t>
      </w:r>
      <w:r/>
    </w:p>
    <w:p>
      <w:pPr>
        <w:ind w:firstLine="482"/>
        <w:spacing w:line="360" w:lineRule="auto"/>
        <w:rPr>
          <w:rFonts w:hint="eastAsia" w:ascii="Times New Roman" w:hAnsi="Times New Roman" w:cs="Times New Roman"/>
          <w:b/>
          <w:bCs w:val="0"/>
          <w:color w:val="auto"/>
          <w:sz w:val="24"/>
          <w:szCs w:val="24"/>
          <w:highlight w:val="none"/>
        </w:rPr>
      </w:pPr>
      <w:r>
        <w:rPr>
          <w:rFonts w:hint="eastAsia" w:ascii="Times New Roman" w:hAnsi="Times New Roman" w:cs="Times New Roman"/>
          <w:b/>
          <w:bCs w:val="0"/>
          <w:color w:val="auto"/>
          <w:sz w:val="24"/>
          <w:szCs w:val="24"/>
          <w:highlight w:val="none"/>
        </w:rPr>
        <w:t xml:space="preserve">1</w:t>
      </w:r>
      <w:r>
        <w:rPr>
          <w:rFonts w:hint="eastAsia" w:ascii="Times New Roman" w:hAnsi="Times New Roman" w:cs="Times New Roman"/>
          <w:b/>
          <w:bCs w:val="0"/>
          <w:color w:val="auto"/>
          <w:sz w:val="24"/>
          <w:szCs w:val="24"/>
          <w:highlight w:val="none"/>
          <w:lang w:val="en-US" w:eastAsia="zh-CN"/>
        </w:rPr>
        <w:t xml:space="preserve">8</w:t>
      </w:r>
      <w:r>
        <w:rPr>
          <w:rFonts w:hint="eastAsia" w:ascii="Times New Roman" w:hAnsi="Times New Roman" w:cs="Times New Roman"/>
          <w:b/>
          <w:bCs w:val="0"/>
          <w:color w:val="auto"/>
          <w:sz w:val="24"/>
          <w:szCs w:val="24"/>
          <w:highlight w:val="none"/>
        </w:rPr>
        <w:t xml:space="preserve">.投标文件的撤回和修改</w:t>
      </w:r>
      <w:r/>
    </w:p>
    <w:p>
      <w:pPr>
        <w:ind w:firstLine="480"/>
        <w:spacing w:line="360" w:lineRule="auto"/>
        <w:rPr>
          <w:rFonts w:hint="eastAsia" w:ascii="Times New Roman" w:hAnsi="Times New Roman" w:cs="Times New Roman"/>
          <w:b w:val="0"/>
          <w:bCs/>
          <w:color w:val="auto"/>
          <w:sz w:val="24"/>
          <w:szCs w:val="24"/>
          <w:highlight w:val="none"/>
        </w:rPr>
      </w:pPr>
      <w:r>
        <w:rPr>
          <w:rFonts w:hint="eastAsia" w:ascii="Times New Roman" w:hAnsi="Times New Roman" w:cs="Times New Roman"/>
          <w:b w:val="0"/>
          <w:bCs/>
          <w:color w:val="auto"/>
          <w:sz w:val="24"/>
          <w:szCs w:val="24"/>
          <w:highlight w:val="none"/>
        </w:rPr>
        <w:t xml:space="preserve">1</w:t>
      </w:r>
      <w:r>
        <w:rPr>
          <w:rFonts w:hint="eastAsia" w:ascii="Times New Roman" w:hAnsi="Times New Roman" w:cs="Times New Roman"/>
          <w:b w:val="0"/>
          <w:bCs/>
          <w:color w:val="auto"/>
          <w:sz w:val="24"/>
          <w:szCs w:val="24"/>
          <w:highlight w:val="none"/>
          <w:lang w:val="en-US" w:eastAsia="zh-CN"/>
        </w:rPr>
        <w:t xml:space="preserve">8</w:t>
      </w:r>
      <w:r>
        <w:rPr>
          <w:rFonts w:hint="eastAsia" w:ascii="Times New Roman" w:hAnsi="Times New Roman" w:cs="Times New Roman"/>
          <w:b w:val="0"/>
          <w:bCs/>
          <w:color w:val="auto"/>
          <w:sz w:val="24"/>
          <w:szCs w:val="24"/>
          <w:highlight w:val="none"/>
        </w:rPr>
        <w:t xml:space="preserve">.1 投标文件的撤回</w:t>
      </w:r>
      <w:r/>
    </w:p>
    <w:p>
      <w:pPr>
        <w:ind w:firstLine="480"/>
        <w:spacing w:line="360" w:lineRule="auto"/>
        <w:rPr>
          <w:rFonts w:hint="eastAsia" w:ascii="Times New Roman" w:hAnsi="Times New Roman" w:cs="Times New Roman"/>
          <w:b w:val="0"/>
          <w:bCs/>
          <w:color w:val="auto"/>
          <w:sz w:val="24"/>
          <w:szCs w:val="24"/>
          <w:highlight w:val="none"/>
        </w:rPr>
      </w:pPr>
      <w:r>
        <w:rPr>
          <w:rFonts w:hint="eastAsia" w:ascii="Times New Roman" w:hAnsi="Times New Roman" w:cs="Times New Roman"/>
          <w:b w:val="0"/>
          <w:bCs/>
          <w:color w:val="auto"/>
          <w:sz w:val="24"/>
          <w:szCs w:val="24"/>
          <w:highlight w:val="none"/>
        </w:rPr>
        <w:t xml:space="preserve">1</w:t>
      </w:r>
      <w:r>
        <w:rPr>
          <w:rFonts w:hint="eastAsia" w:ascii="Times New Roman" w:hAnsi="Times New Roman" w:cs="Times New Roman"/>
          <w:b w:val="0"/>
          <w:bCs/>
          <w:color w:val="auto"/>
          <w:sz w:val="24"/>
          <w:szCs w:val="24"/>
          <w:highlight w:val="none"/>
          <w:lang w:val="en-US" w:eastAsia="zh-CN"/>
        </w:rPr>
        <w:t xml:space="preserve">8</w:t>
      </w:r>
      <w:r>
        <w:rPr>
          <w:rFonts w:hint="eastAsia" w:ascii="Times New Roman" w:hAnsi="Times New Roman" w:cs="Times New Roman"/>
          <w:b w:val="0"/>
          <w:bCs/>
          <w:color w:val="auto"/>
          <w:sz w:val="24"/>
          <w:szCs w:val="24"/>
          <w:highlight w:val="none"/>
        </w:rPr>
        <w:t xml:space="preserve">.1.1 电子投标文件的撤回</w:t>
      </w:r>
      <w:r/>
    </w:p>
    <w:p>
      <w:pPr>
        <w:ind w:firstLine="480"/>
        <w:spacing w:line="360" w:lineRule="auto"/>
        <w:rPr>
          <w:rFonts w:hint="eastAsia" w:ascii="Times New Roman" w:hAnsi="Times New Roman" w:cs="Times New Roman"/>
          <w:b w:val="0"/>
          <w:bCs/>
          <w:color w:val="auto"/>
          <w:sz w:val="24"/>
          <w:szCs w:val="24"/>
          <w:highlight w:val="none"/>
        </w:rPr>
      </w:pPr>
      <w:r>
        <w:rPr>
          <w:rFonts w:hint="eastAsia" w:ascii="Times New Roman" w:hAnsi="Times New Roman" w:cs="Times New Roman"/>
          <w:b w:val="0"/>
          <w:bCs/>
          <w:color w:val="auto"/>
          <w:sz w:val="24"/>
          <w:szCs w:val="24"/>
          <w:highlight w:val="none"/>
        </w:rPr>
        <w:t xml:space="preserve">投标人可在投标截止时间前，撤回其电子投标文件。</w:t>
      </w:r>
      <w:r/>
    </w:p>
    <w:p>
      <w:pPr>
        <w:ind w:firstLine="480"/>
        <w:spacing w:line="360" w:lineRule="auto"/>
        <w:rPr>
          <w:rFonts w:hint="eastAsia" w:ascii="Times New Roman" w:hAnsi="Times New Roman" w:cs="Times New Roman"/>
          <w:b w:val="0"/>
          <w:bCs/>
          <w:color w:val="auto"/>
          <w:sz w:val="24"/>
          <w:szCs w:val="24"/>
          <w:highlight w:val="none"/>
        </w:rPr>
      </w:pPr>
      <w:r>
        <w:rPr>
          <w:rFonts w:hint="eastAsia" w:ascii="Times New Roman" w:hAnsi="Times New Roman" w:cs="Times New Roman"/>
          <w:b w:val="0"/>
          <w:bCs/>
          <w:color w:val="auto"/>
          <w:sz w:val="24"/>
          <w:szCs w:val="24"/>
          <w:highlight w:val="none"/>
        </w:rPr>
        <w:t xml:space="preserve">1</w:t>
      </w:r>
      <w:r>
        <w:rPr>
          <w:rFonts w:hint="eastAsia" w:ascii="Times New Roman" w:hAnsi="Times New Roman" w:cs="Times New Roman"/>
          <w:b w:val="0"/>
          <w:bCs/>
          <w:color w:val="auto"/>
          <w:sz w:val="24"/>
          <w:szCs w:val="24"/>
          <w:highlight w:val="none"/>
          <w:lang w:val="en-US" w:eastAsia="zh-CN"/>
        </w:rPr>
        <w:t xml:space="preserve">8</w:t>
      </w:r>
      <w:r>
        <w:rPr>
          <w:rFonts w:hint="eastAsia" w:ascii="Times New Roman" w:hAnsi="Times New Roman" w:cs="Times New Roman"/>
          <w:b w:val="0"/>
          <w:bCs/>
          <w:color w:val="auto"/>
          <w:sz w:val="24"/>
          <w:szCs w:val="24"/>
          <w:highlight w:val="none"/>
        </w:rPr>
        <w:t xml:space="preserve">.1.2 投标人撤回电子投标文件，则认为其不再参与本项目投标活动。</w:t>
      </w:r>
      <w:r/>
    </w:p>
    <w:p>
      <w:pPr>
        <w:ind w:firstLine="480"/>
        <w:spacing w:line="360" w:lineRule="auto"/>
        <w:rPr>
          <w:rFonts w:hint="eastAsia" w:ascii="Times New Roman" w:hAnsi="Times New Roman" w:cs="Times New Roman"/>
          <w:b w:val="0"/>
          <w:bCs/>
          <w:color w:val="auto"/>
          <w:sz w:val="24"/>
          <w:szCs w:val="24"/>
          <w:highlight w:val="none"/>
        </w:rPr>
      </w:pPr>
      <w:r>
        <w:rPr>
          <w:rFonts w:hint="eastAsia" w:ascii="Times New Roman" w:hAnsi="Times New Roman" w:cs="Times New Roman"/>
          <w:b w:val="0"/>
          <w:bCs/>
          <w:color w:val="auto"/>
          <w:sz w:val="24"/>
          <w:szCs w:val="24"/>
          <w:highlight w:val="none"/>
        </w:rPr>
        <w:t xml:space="preserve">1</w:t>
      </w:r>
      <w:r>
        <w:rPr>
          <w:rFonts w:hint="eastAsia" w:ascii="Times New Roman" w:hAnsi="Times New Roman" w:cs="Times New Roman"/>
          <w:b w:val="0"/>
          <w:bCs/>
          <w:color w:val="auto"/>
          <w:sz w:val="24"/>
          <w:szCs w:val="24"/>
          <w:highlight w:val="none"/>
          <w:lang w:val="en-US" w:eastAsia="zh-CN"/>
        </w:rPr>
        <w:t xml:space="preserve">8</w:t>
      </w:r>
      <w:r>
        <w:rPr>
          <w:rFonts w:hint="eastAsia" w:ascii="Times New Roman" w:hAnsi="Times New Roman" w:cs="Times New Roman"/>
          <w:b w:val="0"/>
          <w:bCs/>
          <w:color w:val="auto"/>
          <w:sz w:val="24"/>
          <w:szCs w:val="24"/>
          <w:highlight w:val="none"/>
        </w:rPr>
        <w:t xml:space="preserve">.2 投标文件的修改</w:t>
      </w:r>
      <w:r/>
    </w:p>
    <w:p>
      <w:pPr>
        <w:ind w:firstLine="480"/>
        <w:spacing w:line="360" w:lineRule="auto"/>
        <w:rPr>
          <w:rFonts w:hint="eastAsia" w:ascii="Times New Roman" w:hAnsi="Times New Roman" w:cs="Times New Roman"/>
          <w:b w:val="0"/>
          <w:bCs/>
          <w:color w:val="auto"/>
          <w:sz w:val="24"/>
          <w:szCs w:val="24"/>
          <w:highlight w:val="none"/>
        </w:rPr>
      </w:pPr>
      <w:r>
        <w:rPr>
          <w:rFonts w:hint="eastAsia" w:ascii="Times New Roman" w:hAnsi="Times New Roman" w:cs="Times New Roman"/>
          <w:b w:val="0"/>
          <w:bCs/>
          <w:color w:val="auto"/>
          <w:sz w:val="24"/>
          <w:szCs w:val="24"/>
          <w:highlight w:val="none"/>
        </w:rPr>
        <w:t xml:space="preserve">1</w:t>
      </w:r>
      <w:r>
        <w:rPr>
          <w:rFonts w:hint="eastAsia" w:ascii="Times New Roman" w:hAnsi="Times New Roman" w:cs="Times New Roman"/>
          <w:b w:val="0"/>
          <w:bCs/>
          <w:color w:val="auto"/>
          <w:sz w:val="24"/>
          <w:szCs w:val="24"/>
          <w:highlight w:val="none"/>
          <w:lang w:val="en-US" w:eastAsia="zh-CN"/>
        </w:rPr>
        <w:t xml:space="preserve">8</w:t>
      </w:r>
      <w:r>
        <w:rPr>
          <w:rFonts w:hint="eastAsia" w:ascii="Times New Roman" w:hAnsi="Times New Roman" w:cs="Times New Roman"/>
          <w:b w:val="0"/>
          <w:bCs/>
          <w:color w:val="auto"/>
          <w:sz w:val="24"/>
          <w:szCs w:val="24"/>
          <w:highlight w:val="none"/>
        </w:rPr>
        <w:t xml:space="preserve">.2.1投标人可在投标截止时间前，对其电子投标文件进行修改。</w:t>
      </w:r>
      <w:r/>
    </w:p>
    <w:p>
      <w:pPr>
        <w:ind w:firstLine="480"/>
        <w:spacing w:line="360" w:lineRule="auto"/>
        <w:rPr>
          <w:rFonts w:hint="eastAsia" w:ascii="Times New Roman" w:hAnsi="Times New Roman" w:cs="Times New Roman"/>
          <w:b w:val="0"/>
          <w:bCs/>
          <w:color w:val="auto"/>
          <w:sz w:val="24"/>
          <w:szCs w:val="24"/>
          <w:highlight w:val="none"/>
        </w:rPr>
      </w:pPr>
      <w:r>
        <w:rPr>
          <w:rFonts w:hint="eastAsia" w:ascii="Times New Roman" w:hAnsi="Times New Roman" w:cs="Times New Roman"/>
          <w:b w:val="0"/>
          <w:bCs/>
          <w:color w:val="auto"/>
          <w:sz w:val="24"/>
          <w:szCs w:val="24"/>
          <w:highlight w:val="none"/>
        </w:rPr>
        <w:t xml:space="preserve">1</w:t>
      </w:r>
      <w:r>
        <w:rPr>
          <w:rFonts w:hint="eastAsia" w:ascii="Times New Roman" w:hAnsi="Times New Roman" w:cs="Times New Roman"/>
          <w:b w:val="0"/>
          <w:bCs/>
          <w:color w:val="auto"/>
          <w:sz w:val="24"/>
          <w:szCs w:val="24"/>
          <w:highlight w:val="none"/>
          <w:lang w:val="en-US" w:eastAsia="zh-CN"/>
        </w:rPr>
        <w:t xml:space="preserve">8</w:t>
      </w:r>
      <w:r>
        <w:rPr>
          <w:rFonts w:hint="eastAsia" w:ascii="Times New Roman" w:hAnsi="Times New Roman" w:cs="Times New Roman"/>
          <w:b w:val="0"/>
          <w:bCs/>
          <w:color w:val="auto"/>
          <w:sz w:val="24"/>
          <w:szCs w:val="24"/>
          <w:highlight w:val="none"/>
        </w:rPr>
        <w:t xml:space="preserve">.2.2 在投标截止时间之后，投标人不得对其电子投标文件作任何修改。</w:t>
      </w:r>
      <w:r/>
    </w:p>
    <w:p>
      <w:pPr>
        <w:ind w:firstLine="480"/>
        <w:spacing w:line="360" w:lineRule="auto"/>
        <w:rPr>
          <w:rFonts w:ascii="Times New Roman" w:hAnsi="Times New Roman" w:cs="Times New Roman"/>
          <w:b w:val="0"/>
          <w:bCs/>
          <w:color w:val="auto"/>
          <w:sz w:val="24"/>
          <w:szCs w:val="24"/>
          <w:highlight w:val="none"/>
        </w:rPr>
      </w:pPr>
      <w:r>
        <w:rPr>
          <w:rFonts w:hint="eastAsia" w:ascii="Times New Roman" w:hAnsi="Times New Roman" w:cs="Times New Roman"/>
          <w:b w:val="0"/>
          <w:bCs/>
          <w:color w:val="auto"/>
          <w:sz w:val="24"/>
          <w:szCs w:val="24"/>
          <w:highlight w:val="none"/>
        </w:rPr>
        <w:t xml:space="preserve">1</w:t>
      </w:r>
      <w:r>
        <w:rPr>
          <w:rFonts w:hint="eastAsia" w:ascii="Times New Roman" w:hAnsi="Times New Roman" w:cs="Times New Roman"/>
          <w:b w:val="0"/>
          <w:bCs/>
          <w:color w:val="auto"/>
          <w:sz w:val="24"/>
          <w:szCs w:val="24"/>
          <w:highlight w:val="none"/>
          <w:lang w:val="en-US" w:eastAsia="zh-CN"/>
        </w:rPr>
        <w:t xml:space="preserve">8</w:t>
      </w:r>
      <w:r>
        <w:rPr>
          <w:rFonts w:hint="eastAsia" w:ascii="Times New Roman" w:hAnsi="Times New Roman" w:cs="Times New Roman"/>
          <w:b w:val="0"/>
          <w:bCs/>
          <w:color w:val="auto"/>
          <w:sz w:val="24"/>
          <w:szCs w:val="24"/>
          <w:highlight w:val="none"/>
        </w:rPr>
        <w:t xml:space="preserve">.3 在投标截止时间至招标文件中规定的投标有效期满之间的这段时间内，投标人不得撤回其投标。</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五、开标与评标</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19、开标</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9</w:t>
      </w:r>
      <w:r>
        <w:rPr>
          <w:rFonts w:hint="eastAsia" w:ascii="Times New Roman" w:hAnsi="Times New Roman" w:cs="Times New Roman"/>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9</w:t>
      </w:r>
      <w:r>
        <w:rPr>
          <w:rFonts w:hint="eastAsia" w:ascii="Times New Roman" w:hAnsi="Times New Roman" w:cs="Times New Roman"/>
          <w:color w:val="auto"/>
          <w:sz w:val="24"/>
          <w:szCs w:val="24"/>
          <w:highlight w:val="none"/>
        </w:rPr>
        <w:t xml:space="preserve">.2由电子招标投标交易平台主持，邀请投标人参加。</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9</w:t>
      </w:r>
      <w:r>
        <w:rPr>
          <w:rFonts w:hint="eastAsia" w:ascii="Times New Roman" w:hAnsi="Times New Roman" w:cs="Times New Roman"/>
          <w:color w:val="auto"/>
          <w:sz w:val="24"/>
          <w:szCs w:val="24"/>
          <w:highlight w:val="none"/>
        </w:rPr>
        <w:t xml:space="preserve">.3所有投标单位使用 CA 证书在开标时间时，解密各自投标文件，由工作人员操作系统进行开标，投标人不足3家的，不得开标。</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9</w:t>
      </w:r>
      <w:r>
        <w:rPr>
          <w:rFonts w:hint="eastAsia" w:ascii="Times New Roman" w:hAnsi="Times New Roman" w:cs="Times New Roman"/>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ascii="Times New Roman" w:hAnsi="Times New Roman" w:cs="Times New Roman"/>
          <w:color w:val="auto"/>
          <w:sz w:val="24"/>
          <w:szCs w:val="24"/>
          <w:highlight w:val="none"/>
        </w:rPr>
        <w:t xml:space="preserve">。</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20、评标过程的保密与公正</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20.l公开开标后，直至通知投标人中标为止，凡是与审查、澄清、评价和比较投标的有关资料，均不得向投标人或与评标无关的人员透露。</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20.2投标人试图影响评标或授予合同方面的任何尝试，可能导致该投标人的标被废弃。</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21、投标的澄清</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21</w:t>
      </w:r>
      <w:r>
        <w:rPr>
          <w:rFonts w:hint="eastAsia" w:ascii="Times New Roman" w:hAnsi="Times New Roman" w:cs="Times New Roman"/>
          <w:color w:val="auto"/>
          <w:sz w:val="24"/>
          <w:szCs w:val="24"/>
          <w:highlight w:val="none"/>
        </w:rPr>
        <w:t xml:space="preserve">.1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21</w:t>
      </w:r>
      <w:r>
        <w:rPr>
          <w:rFonts w:hint="eastAsia" w:ascii="Times New Roman" w:hAnsi="Times New Roman" w:cs="Times New Roman"/>
          <w:color w:val="auto"/>
          <w:sz w:val="24"/>
          <w:szCs w:val="24"/>
          <w:highlight w:val="none"/>
        </w:rPr>
        <w:t xml:space="preserve">.2 评标委员会应当通过“苏采云”系统要求投标人作出澄清、说明或者补正，并规定回复时间。投标人回复应当采用通过“苏采云”系统（使用“CA数字证书”,加盖电子签章）形式，将作为投标文件内容的一部分。</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21</w:t>
      </w:r>
      <w:r>
        <w:rPr>
          <w:rFonts w:hint="eastAsia" w:ascii="Times New Roman" w:hAnsi="Times New Roman" w:cs="Times New Roman"/>
          <w:color w:val="auto"/>
          <w:sz w:val="24"/>
          <w:szCs w:val="24"/>
          <w:highlight w:val="none"/>
        </w:rPr>
        <w:t xml:space="preserve">.3供应商澄清、说明或者补正不得超出投标文件的范围或者改变投标文件的实质性内容。供应商拒不按照要求对投标文件进行澄清、说明或者补正的，视其放弃该项权利</w:t>
      </w:r>
      <w:r>
        <w:rPr>
          <w:rFonts w:ascii="Times New Roman" w:hAnsi="Times New Roman" w:cs="Times New Roman"/>
          <w:color w:val="auto"/>
          <w:sz w:val="24"/>
          <w:szCs w:val="24"/>
          <w:highlight w:val="none"/>
        </w:rPr>
        <w:t xml:space="preserve">。</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22、对投标文件的初审</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22.1投标文件初审分为资格性检查和符合性检查。</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资格性检查：依据法律法规和招标文件的规定，由采购人对投标文件中的资格证明文件进行审查。资格审查的结论，采购人以书面形式向评标工作组进行反馈。</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符合性检查：依据招标文件的规定，由评标工作组从投标文件的有效性、完整性和对招标文件的响应程度进行审查，以确定是否对招标文件的实质性要求作出响应。</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22.2在详细评标之前，评标工作组将首先审查每份投标文件是否实质性响应了招标文件的要求。实质性响应的投标应该是与招标文件要求的全部条款、条件和规格相符，没有重大偏离或保留的投标。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所谓重大偏离或保留是指与招标文件规定的实质性要求存在负偏离，或者在实质上与招标文件不一致，而且限制了合同中甲方和见证方的权利或投标人的义务，纠正这些偏离或保留将会对其他实质性响应要求的投标人的竞争地位产生不公正的影响。重大偏离的认定需经过评标工作组三分</w:t>
      </w:r>
      <w:r>
        <w:rPr>
          <w:rFonts w:hint="eastAsia" w:ascii="Times New Roman" w:hAnsi="Times New Roman" w:cs="Times New Roman"/>
          <w:color w:val="auto"/>
          <w:sz w:val="24"/>
          <w:szCs w:val="24"/>
          <w:highlight w:val="none"/>
        </w:rPr>
        <w:t xml:space="preserve">之</w:t>
      </w:r>
      <w:r>
        <w:rPr>
          <w:rFonts w:ascii="Times New Roman" w:hAnsi="Times New Roman" w:cs="Times New Roman"/>
          <w:color w:val="auto"/>
          <w:sz w:val="24"/>
          <w:szCs w:val="24"/>
          <w:highlight w:val="none"/>
        </w:rPr>
        <w:t xml:space="preserve">二及以上成员的认定。评委决定投标文件的响应性只根据投标文件本身的内容，而不寻求外部的证据。</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22.3如果投标文件实质上没有响应招标文件的要求，评标工作组将予以拒绝，投标人不得通过修改或撤销不合要求的偏离或保留而使其投标成为实质性响应的投标。</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22.4评标工作组将对确定为实质性响应的投标进行进一步审核，看其是否有计算上或累加上的算术错误，修正错误的原则如下：</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（1）投标文件中开标一览表（报价表）内容与投标文件中相应内容不一致的，以开标一览表（报价表）为准；</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（2）大写金额和小写金额不一致的，以大写金额为准；</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（3）单价金额小数点或者百分比有明显错位的，以开标一览表的总价为准，并修改单价；</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（4）总价金额与按单价汇总金额不一致的，以单价金额计算结果为准。</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rPr>
          <w:rFonts w:ascii="Times New Roman" w:hAnsi="Times New Roman" w:cs="Times New Roman"/>
          <w:color w:val="auto"/>
          <w:sz w:val="24"/>
          <w:szCs w:val="24"/>
          <w:highlight w:val="none"/>
        </w:rPr>
        <w:t xml:space="preserve">。</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22.5评标工作组将按上述修正错误的方法调整投标文件中的投标报价，调整后的价格应对投标人具有约束力。如果投标人不接受修正后的价格，则其投标将被拒绝，其投标保证金不予退还。</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22.6评标工作组将允许修正投标文件中不构成重大偏离的、微小的、非正规的、不一致的或不规则的地方，但这些修改不能影响任何投标人相应的名次排列。</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22.7</w:t>
      </w:r>
      <w:r>
        <w:rPr>
          <w:rFonts w:hint="eastAsia" w:ascii="Times New Roman" w:hAnsi="Times New Roman" w:cs="Times New Roman"/>
          <w:color w:val="auto"/>
          <w:sz w:val="24"/>
          <w:szCs w:val="24"/>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82"/>
        <w:spacing w:line="360" w:lineRule="auto"/>
        <w:shd w:val="clear" w:color="auto" w:fill="ffffff"/>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23、无效投标条款和废标条款</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23.1无效投标条款：</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（1）投标人在苏采云系统规定的时间内未成功解密电子投标文件的。</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（2）投标人未按照招标文件要求上传电子投标文件的。</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（3）供应商不具备招标文件中规定资格要求的；</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（4）供应商在报价时采用选择性报价；</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（5）报价超过招标文件中规定的预算金额或者最高限价的；</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（6）投标文件含有采购人不能接受的附加条件的；</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（7）不同供应商的投标文件由同一单位或者个人编制；</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（8）不同供应商委托同一单位或者个人办理投标事宜；</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（9）不同供应商的投标文件载明的项目管理成员或联系人员为同一人；</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（10）不同供应商的投标文件异常一致或者投标报价呈规律性差异；</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（11）不同供应商的投标文件相互混装；</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（12）不同供应商的法定代表人或委托代理人有夫妻、直系血亲关系的；</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（13）不同供应商的负责人为同一人或者存在控股、管理关系的；</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（14）不同供应商的委托代理人(或法定代表人、项目经理、项目总监、项目负责人等)在招标文件发布日上月至投标截止日当月在同一单位缴纳社会保险的；</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（15）提供虚假材料的（包括工商营业执照、财务报表、资格证明文件等）；</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（16）未通过符合性检查的；</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17）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（18）不符合招标文件中规定的其它实质性要求的；</w:t>
      </w:r>
      <w:r/>
    </w:p>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（19）投标人所投标产品不符合招标文件中所列国家强制性标准的；</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（20）法律、法规和招标文件规定的其他无效情形。</w:t>
      </w:r>
      <w:r/>
    </w:p>
    <w:p>
      <w:pPr>
        <w:ind w:left="479"/>
        <w:spacing w:line="360" w:lineRule="auto"/>
        <w:rPr>
          <w:rFonts w:ascii="Times New Roman" w:hAnsi="Times New Roman" w:cs="Times New Roman"/>
          <w:bCs/>
          <w:color w:val="auto"/>
          <w:sz w:val="24"/>
          <w:szCs w:val="24"/>
          <w:highlight w:val="none"/>
        </w:rPr>
      </w:pPr>
      <w:r>
        <w:rPr>
          <w:rFonts w:ascii="Times New Roman" w:hAnsi="Times New Roman" w:cs="Times New Roman"/>
          <w:color w:val="auto"/>
          <w:sz w:val="24"/>
          <w:szCs w:val="24"/>
          <w:highlight w:val="none"/>
        </w:rPr>
        <w:t xml:space="preserve">23.2</w:t>
      </w:r>
      <w:r>
        <w:rPr>
          <w:rFonts w:ascii="Times New Roman" w:hAnsi="Times New Roman" w:cs="Times New Roman"/>
          <w:bCs/>
          <w:color w:val="auto"/>
          <w:sz w:val="24"/>
          <w:szCs w:val="24"/>
          <w:highlight w:val="none"/>
        </w:rPr>
        <w:t xml:space="preserve">废标条款：</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（1）符合专业条件的供应商或者对招标文件作实质响应的投标人不足三家的；</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（2）出现影响采购公正的违法、违规行为的；</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（3）因重大变故，采购任务取消的；</w:t>
      </w:r>
      <w:r/>
    </w:p>
    <w:p>
      <w:pPr>
        <w:ind w:left="479"/>
        <w:spacing w:line="360" w:lineRule="auto"/>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（4）</w:t>
      </w:r>
      <w:r>
        <w:rPr>
          <w:rFonts w:ascii="Times New Roman" w:hAnsi="Times New Roman" w:cs="Times New Roman"/>
          <w:color w:val="auto"/>
          <w:sz w:val="24"/>
          <w:szCs w:val="24"/>
          <w:highlight w:val="none"/>
        </w:rPr>
        <w:t xml:space="preserve">评标</w:t>
      </w:r>
      <w:r>
        <w:rPr>
          <w:rFonts w:hint="eastAsia" w:ascii="Times New Roman" w:hAnsi="Times New Roman" w:cs="Times New Roman"/>
          <w:bCs/>
          <w:color w:val="auto"/>
          <w:sz w:val="24"/>
          <w:szCs w:val="24"/>
          <w:highlight w:val="none"/>
        </w:rPr>
        <w:t xml:space="preserve">工作组</w:t>
      </w:r>
      <w:r>
        <w:rPr>
          <w:rFonts w:ascii="Times New Roman" w:hAnsi="Times New Roman" w:cs="Times New Roman"/>
          <w:bCs/>
          <w:color w:val="auto"/>
          <w:sz w:val="24"/>
          <w:szCs w:val="24"/>
          <w:highlight w:val="none"/>
        </w:rPr>
        <w:t xml:space="preserve">认定招标文件存在歧义、重大缺陷导致评审工作无法进行。</w:t>
      </w:r>
      <w:r/>
    </w:p>
    <w:p>
      <w:pPr>
        <w:pStyle w:val="927"/>
        <w:ind w:firstLine="480"/>
        <w:rPr>
          <w:rFonts w:hint="eastAsia"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（5）评标工作组认定投标文件未实质性响应招标文件要求的。</w:t>
      </w:r>
      <w:r/>
    </w:p>
    <w:p>
      <w:pPr>
        <w:pStyle w:val="928"/>
        <w:ind w:left="911" w:hanging="67"/>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在评标期间，通过资格审查或符合性审查的投标人不足3家情形的，比照</w:t>
      </w:r>
      <w:r>
        <w:rPr>
          <w:rFonts w:hint="eastAsia" w:ascii="Times New Roman" w:eastAsia="宋体" w:cs="Times New Roman"/>
          <w:color w:val="auto"/>
          <w:sz w:val="24"/>
          <w:szCs w:val="24"/>
          <w:highlight w:val="none"/>
          <w:lang w:val="en-US" w:eastAsia="zh-CN" w:bidi="ar-SA"/>
        </w:rPr>
        <w:t xml:space="preserve">22.7</w:t>
      </w:r>
      <w:r>
        <w:rPr>
          <w:rFonts w:hint="eastAsia" w:ascii="Times New Roman" w:hAnsi="Times New Roman" w:eastAsia="宋体" w:cs="Times New Roman"/>
          <w:color w:val="auto"/>
          <w:sz w:val="24"/>
          <w:szCs w:val="24"/>
          <w:highlight w:val="none"/>
          <w:lang w:val="en-US" w:eastAsia="zh-CN" w:bidi="ar-SA"/>
        </w:rPr>
        <w:t xml:space="preserve">款执行。</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六、定标</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24、确定中标单位</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24.1</w:t>
      </w:r>
      <w:r>
        <w:rPr>
          <w:rFonts w:hint="eastAsia" w:ascii="Times New Roman" w:hAnsi="Times New Roman" w:cs="Times New Roman"/>
          <w:color w:val="auto"/>
          <w:sz w:val="24"/>
          <w:szCs w:val="24"/>
          <w:highlight w:val="none"/>
        </w:rPr>
        <w:t xml:space="preserve">评标工作组首先对所有合格投标人按评标办法进行打分，根据综合得分，由高到低排列，向采购人推荐中标候选人</w:t>
      </w:r>
      <w:r>
        <w:rPr>
          <w:rFonts w:ascii="Times New Roman" w:hAnsi="Times New Roman" w:cs="Times New Roman"/>
          <w:color w:val="auto"/>
          <w:sz w:val="24"/>
          <w:szCs w:val="24"/>
          <w:highlight w:val="none"/>
        </w:rPr>
        <w:t xml:space="preserve">。</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24.2中标人名单将在“</w:t>
      </w:r>
      <w:r>
        <w:rPr>
          <w:rFonts w:hint="eastAsia" w:ascii="Times New Roman" w:hAnsi="Times New Roman" w:cs="Times New Roman"/>
          <w:color w:val="auto"/>
          <w:sz w:val="24"/>
          <w:szCs w:val="24"/>
          <w:highlight w:val="none"/>
        </w:rPr>
        <w:t xml:space="preserve">江苏省政府采购网</w:t>
      </w:r>
      <w:r>
        <w:rPr>
          <w:rFonts w:ascii="Times New Roman" w:hAnsi="Times New Roman" w:cs="Times New Roman"/>
          <w:color w:val="auto"/>
          <w:sz w:val="24"/>
          <w:szCs w:val="24"/>
          <w:highlight w:val="none"/>
        </w:rPr>
        <w:t xml:space="preserve">”上进行公示。</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24.3若有充分证据证明，中标人出现下列情况之一的，一经查实，将被取消中标资格：</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（1）提供虚假材料谋取中标的；</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（2）与评审专家、采购人或者其他供应商恶意串通的；</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（3）向评审专家、采购人行贿或者提供其它不正当利益的；</w:t>
      </w:r>
      <w:r/>
    </w:p>
    <w:p>
      <w:pPr>
        <w:ind w:left="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（4）恶意竞争，投标总报价明显低于其自身合理成本且又无法提供证明的；</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（5）不满足本招标文件规定的实质性要求，但在评标过程中又未被评标工作组发现的；</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（6）不符合法律、法规的规定的其它情形。</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24.4有下列情形之一的，视为投标人串通投标，投标无效：</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（1）不同投标人的投标文件由同一单位或者个人编制。</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（2）不同投标人委托同一单位或者个人办理投标事宜。</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（3）不同投标人的投标文件载明的项目管理成员或者联系人员为同一人。</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（4）不同投标人的投标文件异常一致或者投标报价呈规律性差异。</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（5）不同投标人的投标文件相互混装。</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（6）不同投标人的投标保证金从同一单位或者个人的账户转出。</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25、质疑处理</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25.1参加投标供应商认为招标文件、采购过程和采购结果使自己的权益受到损害的，可以在知道或应知其权益受到损害之日起7个工作日内，以书面形式向采购人提出质疑。</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（1）对可以质疑的招标文件提出质疑的，为收到招标文件之日或者招标文件公告期限届满之日；</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（2）对采购过程提出质疑的，为各采购程序环节结束之日；</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（3）对中标或者成交结果提出质疑的，为中标或者成交结果公告期限届满之日。</w:t>
      </w:r>
      <w:r/>
    </w:p>
    <w:p>
      <w:pPr>
        <w:ind w:firstLine="472"/>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25.2质疑必须以参加投标供应商法人代表或授权代表（投标文件中所确定的）送达的方式提交，未按上述要求提交的质疑函（含传真、电子邮件等）采购人有权不予受理。</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25.3未参加投标的供应商或在投标活动中本身权益未受到损害或从投标活动中受益的供应商所提出的质疑也不予受理。</w:t>
      </w:r>
      <w:r/>
    </w:p>
    <w:p>
      <w:pPr>
        <w:ind w:firstLine="468"/>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25.4投标人提出书面质疑必须有理、有据，不得恶意质疑或提交虚假质疑。否则，采购人将不予受理。</w:t>
      </w:r>
      <w:r/>
    </w:p>
    <w:p>
      <w:pPr>
        <w:ind w:firstLine="468"/>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25.5采购人将在收到投标供应商的书面质疑后在规定时间内作出答复，但答复的内容不得涉及商业秘密。</w:t>
      </w:r>
      <w:r/>
    </w:p>
    <w:p>
      <w:pPr>
        <w:ind w:firstLine="470"/>
        <w:spacing w:line="360" w:lineRule="auto"/>
        <w:rPr>
          <w:rFonts w:ascii="Times New Roman" w:hAnsi="Times New Roman" w:cs="Times New Roman"/>
          <w:color w:val="auto"/>
          <w:sz w:val="24"/>
          <w:szCs w:val="24"/>
          <w:highlight w:val="none"/>
        </w:rPr>
      </w:pPr>
      <w:r>
        <w:rPr>
          <w:rFonts w:ascii="Times New Roman" w:hAnsi="Times New Roman" w:cs="Times New Roman"/>
          <w:b/>
          <w:color w:val="auto"/>
          <w:sz w:val="24"/>
          <w:szCs w:val="24"/>
          <w:highlight w:val="none"/>
        </w:rPr>
        <w:t xml:space="preserve">26、中标通知书</w:t>
      </w:r>
      <w:r/>
    </w:p>
    <w:p>
      <w:pPr>
        <w:ind w:firstLine="468"/>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26.l中标结果质疑期满后，采购人将向中标供应商发出中标通知书。</w:t>
      </w:r>
      <w:r/>
    </w:p>
    <w:p>
      <w:pPr>
        <w:ind w:firstLine="468"/>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26.2中标人收到中标通知书后，须立即以书面形式回复采购人，确认中标通知书已收到。若无书面回复，则公告后视同中标人已经知悉并同意接受。</w:t>
      </w:r>
      <w:r/>
    </w:p>
    <w:p>
      <w:pPr>
        <w:ind w:firstLine="468"/>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26.3中标通知书将是合同的一个组成部分。对采购人和中标供应商均具有法律效力。中标通知书发出后，采购人改变中标结果的，或者中标供应商放弃中标项目的，应当依法承担法律责任。</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七、授予合同</w:t>
      </w:r>
      <w:r/>
    </w:p>
    <w:p>
      <w:pPr>
        <w:ind w:firstLine="482"/>
        <w:spacing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27、签订合同</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27.1中标人在</w:t>
      </w:r>
      <w:r>
        <w:rPr>
          <w:rFonts w:ascii="Times New Roman" w:hAnsi="Times New Roman" w:cs="Times New Roman"/>
          <w:color w:val="auto"/>
          <w:sz w:val="24"/>
          <w:szCs w:val="24"/>
          <w:highlight w:val="none"/>
        </w:rPr>
        <w:t xml:space="preserve">中标通知书发出之日</w:t>
      </w:r>
      <w:r>
        <w:rPr>
          <w:rFonts w:ascii="Times New Roman" w:hAnsi="Times New Roman" w:cs="Times New Roman"/>
          <w:color w:val="auto"/>
          <w:sz w:val="24"/>
          <w:szCs w:val="24"/>
          <w:highlight w:val="none"/>
        </w:rPr>
        <w:t xml:space="preserve">起30日内派代表前来与采购人具体商谈签订合同，若因中标人延误签订合同并由此给采购人造成损失的，中标人应承担赔偿责任。</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27.2招标文件、中标人的投标文件及澄清文件等，均为签订合同的依据。</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27.3签订合同后，中标人不得将相关服务进行全部或部分转包。未经采购人同意，中标人也不得采用分包的形式履行合同，否则采购人有权终止合同，中标人的履约保证金将不予退还。转包或分包造成采购人损失的，中标人应承担相应赔偿责任。</w:t>
      </w:r>
      <w:r/>
    </w:p>
    <w:p>
      <w:pPr>
        <w:pStyle w:val="927"/>
        <w:ind w:firstLine="241"/>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八、其他</w:t>
      </w:r>
      <w:r/>
    </w:p>
    <w:p>
      <w:pPr>
        <w:ind w:firstLine="482"/>
        <w:spacing w:line="360" w:lineRule="auto"/>
        <w:rPr>
          <w:rFonts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rPr>
        <w:t xml:space="preserve">28、踏勘现场</w:t>
      </w:r>
      <w:r/>
    </w:p>
    <w:p>
      <w:pPr>
        <w:ind w:firstLine="480"/>
        <w:jc w:val="left"/>
        <w:spacing w:line="360" w:lineRule="auto"/>
        <w:widowControl/>
        <w:rPr>
          <w:rFonts w:hint="eastAsia" w:ascii="Times New Roman" w:hAnsi="Times New Roman" w:cs="Times New Roman"/>
          <w:color w:val="auto"/>
          <w:sz w:val="24"/>
          <w:szCs w:val="28"/>
          <w:highlight w:val="none"/>
        </w:rPr>
      </w:pPr>
      <w:r>
        <w:rPr>
          <w:rFonts w:hint="eastAsia" w:ascii="Times New Roman" w:hAnsi="Times New Roman" w:cs="Times New Roman"/>
          <w:color w:val="auto"/>
          <w:sz w:val="24"/>
          <w:szCs w:val="28"/>
          <w:highlight w:val="none"/>
        </w:rPr>
        <w:t xml:space="preserve">28.1本项目将</w:t>
      </w:r>
      <w:r>
        <w:rPr>
          <w:rFonts w:hint="eastAsia" w:ascii="Times New Roman" w:hAnsi="Times New Roman" w:cs="Times New Roman"/>
          <w:color w:val="auto"/>
          <w:sz w:val="24"/>
          <w:szCs w:val="28"/>
          <w:highlight w:val="none"/>
          <w:lang w:val="en-US" w:eastAsia="zh-CN"/>
        </w:rPr>
        <w:t xml:space="preserve">组织一次</w:t>
      </w:r>
      <w:r>
        <w:rPr>
          <w:rFonts w:hint="eastAsia" w:ascii="Times New Roman" w:hAnsi="Times New Roman" w:cs="Times New Roman"/>
          <w:color w:val="auto"/>
          <w:sz w:val="24"/>
          <w:szCs w:val="28"/>
          <w:highlight w:val="none"/>
        </w:rPr>
        <w:t xml:space="preserve">现场勘查，</w:t>
      </w:r>
      <w:r>
        <w:rPr>
          <w:rFonts w:hint="eastAsia" w:ascii="Times New Roman" w:hAnsi="Times New Roman" w:cs="Times New Roman"/>
          <w:color w:val="auto"/>
          <w:sz w:val="24"/>
          <w:szCs w:val="28"/>
          <w:highlight w:val="none"/>
          <w:lang w:val="en-US" w:eastAsia="zh-CN"/>
        </w:rPr>
        <w:t xml:space="preserve">时间：2026年7月9日上午9点30分</w:t>
      </w:r>
      <w:r>
        <w:rPr>
          <w:rFonts w:hint="eastAsia" w:ascii="Times New Roman" w:hAnsi="Times New Roman" w:cs="Times New Roman"/>
          <w:color w:val="auto"/>
          <w:sz w:val="24"/>
          <w:szCs w:val="28"/>
          <w:highlight w:val="none"/>
        </w:rPr>
        <w:t xml:space="preserve">（各潜在投标供应商需</w:t>
      </w:r>
      <w:r>
        <w:rPr>
          <w:rFonts w:hint="eastAsia" w:ascii="Times New Roman" w:hAnsi="Times New Roman" w:cs="Times New Roman"/>
          <w:color w:val="auto"/>
          <w:sz w:val="24"/>
          <w:szCs w:val="28"/>
          <w:highlight w:val="none"/>
          <w:lang w:val="en-US" w:eastAsia="zh-CN"/>
        </w:rPr>
        <w:t xml:space="preserve">在踏勘日期前2个工作日内联系踏勘联系人确认踏勘时间及地点并由供应商代表持本人身份证、携带企业法人营业执照复印件（加盖企业公章）、法人授权委托书</w:t>
      </w:r>
      <w:r>
        <w:rPr>
          <w:rFonts w:hint="eastAsia" w:ascii="Times New Roman" w:hAnsi="Times New Roman" w:cs="Times New Roman"/>
          <w:color w:val="auto"/>
          <w:sz w:val="24"/>
          <w:szCs w:val="28"/>
          <w:highlight w:val="none"/>
        </w:rPr>
        <w:t xml:space="preserve">准时到达指定勘察现场），投标人须</w:t>
      </w:r>
      <w:r>
        <w:rPr>
          <w:rFonts w:hint="eastAsia" w:ascii="Times New Roman" w:hAnsi="Times New Roman" w:cs="Times New Roman"/>
          <w:color w:val="auto"/>
          <w:sz w:val="24"/>
          <w:szCs w:val="28"/>
          <w:highlight w:val="none"/>
          <w:lang w:val="en-US" w:eastAsia="zh-CN"/>
        </w:rPr>
        <w:t xml:space="preserve">在踏勘日期前联系确认时间和地点</w:t>
      </w:r>
      <w:r>
        <w:rPr>
          <w:rFonts w:hint="eastAsia" w:ascii="Times New Roman" w:hAnsi="Times New Roman" w:cs="Times New Roman"/>
          <w:color w:val="auto"/>
          <w:sz w:val="24"/>
          <w:szCs w:val="28"/>
          <w:highlight w:val="none"/>
        </w:rPr>
        <w:t xml:space="preserve">，如若无法联系上，错过现场勘查，请投标人自行承担以此造成的后果。未考察现场或考察工作不详细的投标人中标后，不得以不完全了解现场情况为理由作为放弃中标的理由，或向招标人提出任何索赔及其他要求，对此招标人不承担任何责任并将不作任何答复。</w:t>
      </w:r>
      <w:r/>
    </w:p>
    <w:p>
      <w:pPr>
        <w:ind w:firstLine="480"/>
        <w:jc w:val="left"/>
        <w:spacing w:line="360" w:lineRule="auto"/>
        <w:widowControl/>
        <w:rPr>
          <w:rFonts w:hint="eastAsia" w:ascii="Times New Roman" w:hAnsi="Times New Roman" w:cs="Times New Roman"/>
          <w:color w:val="auto"/>
          <w:sz w:val="24"/>
          <w:szCs w:val="28"/>
          <w:highlight w:val="none"/>
        </w:rPr>
      </w:pPr>
      <w:r>
        <w:rPr>
          <w:rFonts w:hint="eastAsia" w:ascii="Times New Roman" w:hAnsi="Times New Roman" w:cs="Times New Roman"/>
          <w:color w:val="auto"/>
          <w:sz w:val="24"/>
          <w:szCs w:val="28"/>
          <w:highlight w:val="none"/>
        </w:rPr>
        <w:t xml:space="preserve">踏勘联系人及联系电话：赵工，17751780859。</w:t>
      </w:r>
      <w:r/>
    </w:p>
    <w:p>
      <w:pPr>
        <w:jc w:val="left"/>
        <w:spacing w:line="360" w:lineRule="auto"/>
        <w:widowControl/>
        <w:rPr>
          <w:rFonts w:ascii="Times New Roman" w:hAnsi="Times New Roman" w:cs="Times New Roman"/>
          <w:color w:val="auto"/>
          <w:highlight w:val="none"/>
        </w:rPr>
      </w:pPr>
      <w:r>
        <w:rPr>
          <w:rFonts w:ascii="Times New Roman" w:hAnsi="Times New Roman" w:cs="Times New Roman"/>
          <w:color w:val="auto"/>
          <w:highlight w:val="none"/>
        </w:rPr>
      </w:r>
      <w:r/>
    </w:p>
    <w:p>
      <w:pPr>
        <w:jc w:val="left"/>
        <w:widowControl/>
        <w:rPr>
          <w:rFonts w:ascii="黑体" w:eastAsia="黑体" w:cs="黑体"/>
          <w:color w:val="auto"/>
          <w:sz w:val="36"/>
          <w:szCs w:val="36"/>
          <w:highlight w:val="none"/>
          <w:lang w:val="zh-TW" w:eastAsia="zh-TW"/>
        </w:rPr>
      </w:pPr>
      <w:r>
        <w:rPr>
          <w:rFonts w:ascii="黑体" w:eastAsia="黑体" w:cs="黑体"/>
          <w:color w:val="auto"/>
          <w:sz w:val="36"/>
          <w:szCs w:val="36"/>
          <w:highlight w:val="none"/>
          <w:lang w:val="zh-TW" w:eastAsia="zh-TW"/>
        </w:rPr>
        <w:br w:type="page" w:clear="all"/>
      </w:r>
      <w:r/>
    </w:p>
    <w:p>
      <w:pPr>
        <w:jc w:val="center"/>
        <w:keepLines/>
        <w:keepNext/>
        <w:spacing w:before="312" w:after="312" w:line="360" w:lineRule="auto"/>
        <w:rPr>
          <w:rFonts w:ascii="黑体" w:eastAsia="黑体" w:cs="黑体"/>
          <w:color w:val="auto"/>
          <w:sz w:val="36"/>
          <w:szCs w:val="36"/>
          <w:highlight w:val="none"/>
        </w:rPr>
        <w:outlineLvl w:val="0"/>
      </w:pPr>
      <w:r/>
      <w:bookmarkStart w:id="8" w:name="_Toc28020"/>
      <w:r>
        <w:rPr>
          <w:rFonts w:ascii="黑体" w:eastAsia="黑体" w:cs="黑体"/>
          <w:color w:val="auto"/>
          <w:sz w:val="36"/>
          <w:szCs w:val="36"/>
          <w:highlight w:val="none"/>
          <w:lang w:val="zh-TW" w:eastAsia="zh-TW"/>
        </w:rPr>
        <w:t xml:space="preserve">第</w:t>
      </w:r>
      <w:r>
        <w:rPr>
          <w:rFonts w:hint="eastAsia" w:ascii="黑体" w:eastAsia="黑体" w:cs="黑体"/>
          <w:color w:val="auto"/>
          <w:sz w:val="36"/>
          <w:szCs w:val="36"/>
          <w:highlight w:val="none"/>
          <w:lang w:val="zh-TW"/>
        </w:rPr>
        <w:t xml:space="preserve">三</w:t>
      </w:r>
      <w:r>
        <w:rPr>
          <w:rFonts w:ascii="黑体" w:eastAsia="黑体" w:cs="黑体"/>
          <w:color w:val="auto"/>
          <w:sz w:val="36"/>
          <w:szCs w:val="36"/>
          <w:highlight w:val="none"/>
          <w:lang w:val="zh-TW" w:eastAsia="zh-TW"/>
        </w:rPr>
        <w:t xml:space="preserve">章  </w:t>
      </w:r>
      <w:r>
        <w:rPr>
          <w:rFonts w:hint="eastAsia" w:ascii="黑体" w:eastAsia="黑体" w:cs="黑体"/>
          <w:color w:val="auto"/>
          <w:sz w:val="36"/>
          <w:szCs w:val="36"/>
          <w:highlight w:val="none"/>
          <w:lang w:val="zh-TW" w:eastAsia="zh-TW"/>
        </w:rPr>
        <w:t xml:space="preserve">合同条款及格式</w:t>
      </w:r>
      <w:bookmarkEnd w:id="8"/>
      <w:r/>
      <w:r/>
    </w:p>
    <w:p>
      <w:pPr>
        <w:ind w:firstLine="480"/>
        <w:jc w:val="left"/>
        <w:spacing w:line="400" w:lineRule="exact"/>
        <w:rPr>
          <w:rFonts w:ascii="宋体" w:cs="宋体"/>
          <w:color w:val="auto"/>
          <w:sz w:val="24"/>
          <w:szCs w:val="24"/>
          <w:highlight w:val="none"/>
        </w:rPr>
      </w:pPr>
      <w:r/>
      <w:bookmarkStart w:id="9" w:name="_Toc513029243"/>
      <w:r/>
      <w:bookmarkStart w:id="10" w:name="_Toc16938559"/>
      <w:r/>
      <w:bookmarkStart w:id="11" w:name="_Toc20823315"/>
      <w:r>
        <w:rPr>
          <w:rFonts w:hint="eastAsia" w:ascii="宋体" w:cs="宋体"/>
          <w:color w:val="auto"/>
          <w:sz w:val="24"/>
          <w:szCs w:val="24"/>
          <w:highlight w:val="none"/>
        </w:rPr>
        <w:t xml:space="preserve">以下为中标后签订本项目合同的通用条款，中标人不得提出实质性的修改，关于专用条款将由项目使用单位与中标人结合本项目具体情况协商后签订。</w:t>
      </w:r>
      <w:bookmarkEnd w:id="9"/>
      <w:r/>
      <w:bookmarkEnd w:id="10"/>
      <w:r/>
      <w:bookmarkEnd w:id="11"/>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szCs w:val="21"/>
          <w:highlight w:val="none"/>
        </w:rPr>
        <w:t xml:space="preserve">  </w:t>
      </w:r>
      <w:r>
        <w:rPr>
          <w:rFonts w:hint="eastAsia" w:ascii="宋体" w:hAnsi="宋体" w:eastAsia="宋体" w:cs="宋体"/>
          <w:color w:val="000000"/>
          <w:szCs w:val="21"/>
          <w:highlight w:val="none"/>
        </w:rPr>
        <w:t xml:space="preserve">                  </w:t>
      </w:r>
      <w:r/>
    </w:p>
    <w:p>
      <w:pPr>
        <w:ind w:firstLine="420"/>
        <w:spacing w:line="360" w:lineRule="auto"/>
        <w:rPr>
          <w:rFonts w:ascii="宋体" w:hAnsi="宋体" w:eastAsia="宋体" w:cs="宋体"/>
          <w:color w:val="0000ff"/>
          <w:szCs w:val="21"/>
          <w:highlight w:val="none"/>
        </w:rPr>
      </w:pPr>
      <w:r>
        <w:rPr>
          <w:rFonts w:hint="eastAsia" w:ascii="宋体" w:hAnsi="宋体" w:eastAsia="宋体" w:cs="宋体"/>
          <w:color w:val="auto"/>
          <w:szCs w:val="21"/>
          <w:highlight w:val="none"/>
        </w:rPr>
        <w:t xml:space="preserve">项目编号： </w:t>
      </w:r>
      <w:r>
        <w:rPr>
          <w:rFonts w:hint="eastAsia" w:ascii="宋体" w:hAnsi="宋体" w:eastAsia="宋体" w:cs="宋体"/>
          <w:color w:val="0000ff"/>
          <w:szCs w:val="21"/>
          <w:highlight w:val="none"/>
        </w:rPr>
        <w:t xml:space="preserve"> </w:t>
      </w:r>
      <w:r/>
    </w:p>
    <w:p>
      <w:pPr>
        <w:ind w:firstLine="420"/>
        <w:jc w:val="both"/>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合同编号：</w:t>
      </w:r>
      <w:r/>
    </w:p>
    <w:p>
      <w:pPr>
        <w:ind w:firstLine="420"/>
        <w:jc w:val="both"/>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甲方：（买方/采购人）_________</w:t>
      </w:r>
      <w:r/>
    </w:p>
    <w:p>
      <w:pPr>
        <w:ind w:firstLine="420"/>
        <w:jc w:val="both"/>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乙方：（卖方/中标供应商）_________</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一、产品名称、单价</w:t>
      </w:r>
      <w:r/>
    </w:p>
    <w:tbl>
      <w:tblPr>
        <w:tblStyle w:val="920"/>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418"/>
        <w:gridCol w:w="992"/>
        <w:gridCol w:w="1134"/>
        <w:gridCol w:w="1134"/>
        <w:gridCol w:w="1039"/>
        <w:gridCol w:w="1241"/>
      </w:tblGrid>
      <w:tr>
        <w:trPr>
          <w:jc w:val="center"/>
          <w:trHeight w:val="645"/>
        </w:trPr>
        <w:tc>
          <w:tcPr>
            <w:tcBorders>
              <w:top w:val="single" w:color="000000" w:sz="12" w:space="0"/>
              <w:left w:val="single" w:color="000000" w:sz="12" w:space="0"/>
              <w:bottom w:val="single" w:color="000000" w:sz="4" w:space="0"/>
              <w:right w:val="single" w:color="000000" w:sz="4" w:space="0"/>
            </w:tcBorders>
            <w:tcW w:w="710" w:type="dxa"/>
            <w:vAlign w:val="center"/>
            <w:textDirection w:val="lrTb"/>
            <w:noWrap w:val="false"/>
          </w:tcPr>
          <w:p>
            <w:pPr>
              <w:jc w:val="center"/>
              <w:rPr>
                <w:rFonts w:hint="default" w:ascii="Arial" w:hAnsi="Arial" w:cs="Arial"/>
                <w:szCs w:val="21"/>
                <w:highlight w:val="none"/>
              </w:rPr>
            </w:pPr>
            <w:r>
              <w:rPr>
                <w:rFonts w:hint="default" w:ascii="Arial" w:hAnsi="Arial" w:cs="Arial"/>
                <w:szCs w:val="21"/>
                <w:highlight w:val="none"/>
              </w:rPr>
              <w:t xml:space="preserve">序号</w:t>
            </w:r>
            <w:r/>
          </w:p>
        </w:tc>
        <w:tc>
          <w:tcPr>
            <w:tcBorders>
              <w:top w:val="single" w:color="000000" w:sz="12"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default" w:ascii="Arial" w:hAnsi="Arial" w:cs="Arial"/>
                <w:szCs w:val="21"/>
                <w:highlight w:val="none"/>
              </w:rPr>
            </w:pPr>
            <w:r>
              <w:rPr>
                <w:rFonts w:hint="default" w:ascii="Arial" w:hAnsi="Arial" w:cs="Arial"/>
                <w:szCs w:val="21"/>
                <w:highlight w:val="none"/>
              </w:rPr>
              <w:t xml:space="preserve">采购货物</w:t>
            </w:r>
            <w:r/>
          </w:p>
          <w:p>
            <w:pPr>
              <w:jc w:val="center"/>
              <w:rPr>
                <w:rFonts w:hint="default" w:ascii="Arial" w:hAnsi="Arial" w:cs="Arial"/>
                <w:szCs w:val="21"/>
                <w:highlight w:val="none"/>
              </w:rPr>
            </w:pPr>
            <w:r>
              <w:rPr>
                <w:rFonts w:hint="default" w:ascii="Arial" w:hAnsi="Arial" w:cs="Arial"/>
                <w:szCs w:val="21"/>
                <w:highlight w:val="none"/>
              </w:rPr>
              <w:t xml:space="preserve">名称</w:t>
            </w:r>
            <w:r/>
          </w:p>
        </w:tc>
        <w:tc>
          <w:tcPr>
            <w:tcBorders>
              <w:top w:val="single" w:color="000000" w:sz="12"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default" w:ascii="Arial" w:hAnsi="Arial" w:cs="Arial"/>
                <w:szCs w:val="21"/>
                <w:highlight w:val="none"/>
              </w:rPr>
            </w:pPr>
            <w:r>
              <w:rPr>
                <w:rFonts w:hint="default" w:ascii="Arial" w:hAnsi="Arial" w:cs="Arial"/>
                <w:szCs w:val="21"/>
                <w:highlight w:val="none"/>
              </w:rPr>
              <w:t xml:space="preserve">规格型号</w:t>
            </w:r>
            <w:r/>
          </w:p>
        </w:tc>
        <w:tc>
          <w:tcPr>
            <w:tcBorders>
              <w:top w:val="single" w:color="000000" w:sz="12"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default" w:ascii="Arial" w:hAnsi="Arial" w:cs="Arial"/>
                <w:szCs w:val="21"/>
                <w:highlight w:val="none"/>
              </w:rPr>
            </w:pPr>
            <w:r>
              <w:rPr>
                <w:rFonts w:hint="default" w:ascii="Arial" w:hAnsi="Arial" w:cs="Arial"/>
                <w:szCs w:val="21"/>
                <w:highlight w:val="none"/>
              </w:rPr>
              <w:t xml:space="preserve">数量</w:t>
            </w:r>
            <w:r/>
          </w:p>
        </w:tc>
        <w:tc>
          <w:tcPr>
            <w:tcBorders>
              <w:top w:val="single" w:color="000000" w:sz="12"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default" w:ascii="Arial" w:hAnsi="Arial" w:cs="Arial"/>
                <w:szCs w:val="21"/>
                <w:highlight w:val="none"/>
              </w:rPr>
            </w:pPr>
            <w:r>
              <w:rPr>
                <w:rFonts w:hint="default" w:ascii="Arial" w:hAnsi="Arial" w:cs="Arial"/>
                <w:szCs w:val="21"/>
                <w:highlight w:val="none"/>
              </w:rPr>
              <w:t xml:space="preserve">单价</w:t>
            </w:r>
            <w:r/>
          </w:p>
        </w:tc>
        <w:tc>
          <w:tcPr>
            <w:tcBorders>
              <w:top w:val="single" w:color="000000" w:sz="12"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default" w:ascii="Arial" w:hAnsi="Arial" w:cs="Arial"/>
                <w:szCs w:val="21"/>
                <w:highlight w:val="none"/>
              </w:rPr>
            </w:pPr>
            <w:r>
              <w:rPr>
                <w:rFonts w:hint="default" w:ascii="Arial" w:hAnsi="Arial" w:cs="Arial"/>
                <w:szCs w:val="21"/>
                <w:highlight w:val="none"/>
              </w:rPr>
              <w:t xml:space="preserve">总价</w:t>
            </w:r>
            <w:r/>
          </w:p>
        </w:tc>
        <w:tc>
          <w:tcPr>
            <w:tcBorders>
              <w:top w:val="single" w:color="000000" w:sz="12" w:space="0"/>
              <w:left w:val="single" w:color="000000" w:sz="4" w:space="0"/>
              <w:bottom w:val="single" w:color="000000" w:sz="4" w:space="0"/>
              <w:right w:val="single" w:color="000000" w:sz="4" w:space="0"/>
            </w:tcBorders>
            <w:tcW w:w="1039" w:type="dxa"/>
            <w:vAlign w:val="center"/>
            <w:textDirection w:val="lrTb"/>
            <w:noWrap w:val="false"/>
          </w:tcPr>
          <w:p>
            <w:pPr>
              <w:jc w:val="center"/>
              <w:rPr>
                <w:rFonts w:hint="default" w:ascii="Arial" w:hAnsi="Arial" w:cs="Arial"/>
                <w:bCs/>
                <w:szCs w:val="21"/>
                <w:highlight w:val="none"/>
              </w:rPr>
            </w:pPr>
            <w:r>
              <w:rPr>
                <w:rFonts w:hint="default" w:ascii="Arial" w:hAnsi="Arial" w:cs="Arial"/>
                <w:bCs/>
                <w:szCs w:val="21"/>
                <w:highlight w:val="none"/>
              </w:rPr>
              <w:t xml:space="preserve">免费</w:t>
            </w:r>
            <w:r/>
          </w:p>
          <w:p>
            <w:pPr>
              <w:jc w:val="center"/>
              <w:rPr>
                <w:rFonts w:hint="default" w:ascii="Arial" w:hAnsi="Arial" w:cs="Arial"/>
                <w:szCs w:val="21"/>
                <w:highlight w:val="none"/>
              </w:rPr>
            </w:pPr>
            <w:r>
              <w:rPr>
                <w:rFonts w:hint="default" w:ascii="Arial" w:hAnsi="Arial" w:cs="Arial"/>
                <w:bCs/>
                <w:szCs w:val="21"/>
                <w:highlight w:val="none"/>
              </w:rPr>
              <w:t xml:space="preserve">质保期</w:t>
            </w:r>
            <w:r/>
          </w:p>
        </w:tc>
        <w:tc>
          <w:tcPr>
            <w:tcBorders>
              <w:top w:val="single" w:color="000000" w:sz="12" w:space="0"/>
              <w:left w:val="single" w:color="000000" w:sz="4" w:space="0"/>
              <w:bottom w:val="single" w:color="000000" w:sz="4" w:space="0"/>
              <w:right w:val="single" w:color="000000" w:sz="12" w:space="0"/>
            </w:tcBorders>
            <w:tcW w:w="1241" w:type="dxa"/>
            <w:vAlign w:val="center"/>
            <w:textDirection w:val="lrTb"/>
            <w:noWrap w:val="false"/>
          </w:tcPr>
          <w:p>
            <w:pPr>
              <w:jc w:val="center"/>
              <w:rPr>
                <w:rFonts w:hint="default" w:ascii="Arial" w:hAnsi="Arial" w:cs="Arial"/>
                <w:szCs w:val="21"/>
                <w:highlight w:val="none"/>
              </w:rPr>
            </w:pPr>
            <w:r>
              <w:rPr>
                <w:rFonts w:hint="default" w:ascii="Arial" w:hAnsi="Arial" w:cs="Arial"/>
                <w:szCs w:val="21"/>
                <w:highlight w:val="none"/>
              </w:rPr>
              <w:t xml:space="preserve">交货时间</w:t>
            </w:r>
            <w:r/>
          </w:p>
        </w:tc>
      </w:tr>
      <w:tr>
        <w:trPr>
          <w:jc w:val="center"/>
          <w:trHeight w:val="666"/>
        </w:trPr>
        <w:tc>
          <w:tcPr>
            <w:tcBorders>
              <w:top w:val="single" w:color="000000" w:sz="4" w:space="0"/>
              <w:left w:val="single" w:color="000000" w:sz="12" w:space="0"/>
              <w:bottom w:val="single" w:color="000000" w:sz="4" w:space="0"/>
              <w:right w:val="single" w:color="000000" w:sz="4" w:space="0"/>
            </w:tcBorders>
            <w:tcW w:w="710" w:type="dxa"/>
            <w:vAlign w:val="center"/>
            <w:textDirection w:val="lrTb"/>
            <w:noWrap w:val="false"/>
          </w:tcPr>
          <w:p>
            <w:pPr>
              <w:jc w:val="center"/>
              <w:rPr>
                <w:rFonts w:hint="default" w:ascii="Arial" w:hAnsi="Arial" w:cs="Arial"/>
                <w:szCs w:val="21"/>
                <w:highlight w:val="none"/>
              </w:rPr>
            </w:pPr>
            <w:r>
              <w:rPr>
                <w:rFonts w:hint="default" w:ascii="Arial" w:hAnsi="Arial" w:cs="Arial"/>
                <w:szCs w:val="21"/>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default" w:ascii="Arial" w:hAnsi="Arial" w:cs="Arial"/>
                <w:szCs w:val="21"/>
                <w:highlight w:val="none"/>
              </w:rPr>
            </w:pPr>
            <w:r>
              <w:rPr>
                <w:rFonts w:hint="default" w:ascii="Arial" w:hAnsi="Arial" w:cs="Arial"/>
                <w:szCs w:val="21"/>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default" w:ascii="Arial" w:hAnsi="Arial" w:cs="Arial"/>
                <w:szCs w:val="21"/>
                <w:highlight w:val="none"/>
              </w:rPr>
            </w:pPr>
            <w:r>
              <w:rPr>
                <w:rFonts w:hint="default" w:ascii="Arial" w:hAnsi="Arial" w:cs="Arial"/>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default" w:ascii="Arial" w:hAnsi="Arial" w:cs="Arial"/>
                <w:szCs w:val="21"/>
                <w:highlight w:val="none"/>
              </w:rPr>
            </w:pPr>
            <w:r>
              <w:rPr>
                <w:rFonts w:hint="default" w:ascii="Arial" w:hAnsi="Arial" w:cs="Arial"/>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default" w:ascii="Arial" w:hAnsi="Arial" w:cs="Arial"/>
                <w:szCs w:val="21"/>
                <w:highlight w:val="none"/>
              </w:rPr>
            </w:pPr>
            <w:r>
              <w:rPr>
                <w:rFonts w:hint="default" w:ascii="Arial" w:hAnsi="Arial" w:cs="Arial"/>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default" w:ascii="Arial" w:hAnsi="Arial" w:cs="Arial"/>
                <w:szCs w:val="21"/>
                <w:highlight w:val="none"/>
              </w:rPr>
            </w:pPr>
            <w:r>
              <w:rPr>
                <w:rFonts w:hint="default" w:ascii="Arial" w:hAnsi="Arial" w:cs="Arial"/>
                <w:szCs w:val="21"/>
                <w:highlight w:val="none"/>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rPr>
                <w:rFonts w:hint="default" w:ascii="Arial" w:hAnsi="Arial" w:cs="Arial"/>
                <w:szCs w:val="21"/>
                <w:highlight w:val="none"/>
              </w:rPr>
            </w:pPr>
            <w:r>
              <w:rPr>
                <w:rFonts w:hint="default" w:ascii="Arial" w:hAnsi="Arial" w:cs="Arial"/>
                <w:szCs w:val="21"/>
                <w:highlight w:val="none"/>
              </w:rPr>
            </w:r>
            <w:r/>
          </w:p>
        </w:tc>
        <w:tc>
          <w:tcPr>
            <w:tcBorders>
              <w:top w:val="single" w:color="000000" w:sz="4" w:space="0"/>
              <w:left w:val="single" w:color="000000" w:sz="4" w:space="0"/>
              <w:bottom w:val="single" w:color="000000" w:sz="4" w:space="0"/>
              <w:right w:val="single" w:color="000000" w:sz="12" w:space="0"/>
            </w:tcBorders>
            <w:tcW w:w="1241" w:type="dxa"/>
            <w:vAlign w:val="center"/>
            <w:textDirection w:val="lrTb"/>
            <w:noWrap w:val="false"/>
          </w:tcPr>
          <w:p>
            <w:pPr>
              <w:jc w:val="center"/>
              <w:rPr>
                <w:rFonts w:hint="default" w:ascii="Arial" w:hAnsi="Arial" w:cs="Arial"/>
                <w:bCs/>
                <w:szCs w:val="21"/>
                <w:highlight w:val="none"/>
              </w:rPr>
            </w:pPr>
            <w:r>
              <w:rPr>
                <w:rFonts w:hint="default" w:ascii="Arial" w:hAnsi="Arial" w:cs="Arial"/>
                <w:bCs/>
                <w:szCs w:val="21"/>
                <w:highlight w:val="none"/>
              </w:rPr>
            </w:r>
            <w:r/>
          </w:p>
        </w:tc>
      </w:tr>
      <w:tr>
        <w:trPr>
          <w:jc w:val="center"/>
          <w:trHeight w:val="666"/>
        </w:trPr>
        <w:tc>
          <w:tcPr>
            <w:tcBorders>
              <w:top w:val="single" w:color="000000" w:sz="4" w:space="0"/>
              <w:left w:val="single" w:color="000000" w:sz="12" w:space="0"/>
              <w:bottom w:val="single" w:color="000000" w:sz="4" w:space="0"/>
              <w:right w:val="single" w:color="000000" w:sz="4" w:space="0"/>
            </w:tcBorders>
            <w:tcW w:w="710" w:type="dxa"/>
            <w:vAlign w:val="center"/>
            <w:textDirection w:val="lrTb"/>
            <w:noWrap w:val="false"/>
          </w:tcPr>
          <w:p>
            <w:pPr>
              <w:jc w:val="center"/>
              <w:rPr>
                <w:rFonts w:hint="default" w:ascii="Arial" w:hAnsi="Arial" w:cs="Arial"/>
                <w:szCs w:val="21"/>
                <w:highlight w:val="none"/>
              </w:rPr>
            </w:pPr>
            <w:r>
              <w:rPr>
                <w:rFonts w:hint="default" w:ascii="Arial" w:hAnsi="Arial" w:cs="Arial"/>
                <w:szCs w:val="21"/>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default" w:ascii="Arial" w:hAnsi="Arial" w:cs="Arial"/>
                <w:szCs w:val="21"/>
                <w:highlight w:val="none"/>
              </w:rPr>
            </w:pPr>
            <w:r>
              <w:rPr>
                <w:rFonts w:hint="default" w:ascii="Arial" w:hAnsi="Arial" w:cs="Arial"/>
                <w:szCs w:val="21"/>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default" w:ascii="Arial" w:hAnsi="Arial" w:cs="Arial"/>
                <w:szCs w:val="21"/>
                <w:highlight w:val="none"/>
              </w:rPr>
            </w:pPr>
            <w:r>
              <w:rPr>
                <w:rFonts w:hint="default" w:ascii="Arial" w:hAnsi="Arial" w:cs="Arial"/>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default" w:ascii="Arial" w:hAnsi="Arial" w:cs="Arial"/>
                <w:szCs w:val="21"/>
                <w:highlight w:val="none"/>
              </w:rPr>
            </w:pPr>
            <w:r>
              <w:rPr>
                <w:rFonts w:hint="default" w:ascii="Arial" w:hAnsi="Arial" w:cs="Arial"/>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default" w:ascii="Arial" w:hAnsi="Arial" w:cs="Arial"/>
                <w:szCs w:val="21"/>
                <w:highlight w:val="none"/>
              </w:rPr>
            </w:pPr>
            <w:r>
              <w:rPr>
                <w:rFonts w:hint="default" w:ascii="Arial" w:hAnsi="Arial" w:cs="Arial"/>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default" w:ascii="Arial" w:hAnsi="Arial" w:cs="Arial"/>
                <w:szCs w:val="21"/>
                <w:highlight w:val="none"/>
              </w:rPr>
            </w:pPr>
            <w:r>
              <w:rPr>
                <w:rFonts w:hint="default" w:ascii="Arial" w:hAnsi="Arial" w:cs="Arial"/>
                <w:szCs w:val="21"/>
                <w:highlight w:val="none"/>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rPr>
                <w:rFonts w:hint="default" w:ascii="Arial" w:hAnsi="Arial" w:cs="Arial"/>
                <w:szCs w:val="21"/>
                <w:highlight w:val="none"/>
              </w:rPr>
            </w:pPr>
            <w:r>
              <w:rPr>
                <w:rFonts w:hint="default" w:ascii="Arial" w:hAnsi="Arial" w:cs="Arial"/>
                <w:szCs w:val="21"/>
                <w:highlight w:val="none"/>
              </w:rPr>
            </w:r>
            <w:r/>
          </w:p>
        </w:tc>
        <w:tc>
          <w:tcPr>
            <w:tcBorders>
              <w:top w:val="single" w:color="000000" w:sz="4" w:space="0"/>
              <w:left w:val="single" w:color="000000" w:sz="4" w:space="0"/>
              <w:bottom w:val="single" w:color="000000" w:sz="4" w:space="0"/>
              <w:right w:val="single" w:color="000000" w:sz="12" w:space="0"/>
            </w:tcBorders>
            <w:tcW w:w="1241" w:type="dxa"/>
            <w:vAlign w:val="center"/>
            <w:textDirection w:val="lrTb"/>
            <w:noWrap w:val="false"/>
          </w:tcPr>
          <w:p>
            <w:pPr>
              <w:jc w:val="center"/>
              <w:rPr>
                <w:rFonts w:hint="default" w:ascii="Arial" w:hAnsi="Arial" w:cs="Arial"/>
                <w:bCs/>
                <w:szCs w:val="21"/>
                <w:highlight w:val="none"/>
              </w:rPr>
            </w:pPr>
            <w:r>
              <w:rPr>
                <w:rFonts w:hint="default" w:ascii="Arial" w:hAnsi="Arial" w:cs="Arial"/>
                <w:bCs/>
                <w:szCs w:val="21"/>
                <w:highlight w:val="none"/>
              </w:rPr>
            </w:r>
            <w:r/>
          </w:p>
        </w:tc>
      </w:tr>
    </w:tbl>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二、合同总金额</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2.1本合同金额为（大写）：________万元（小写________万元）人民币。</w:t>
      </w:r>
      <w:r/>
    </w:p>
    <w:p>
      <w:pPr>
        <w:ind w:firstLine="420"/>
        <w:jc w:val="both"/>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合同总价包括了全部货物、拆除旧机组并运输到指定地点、安装和服务的价格及相关税费、运输到指定地点的装运费用、安装调试、配套管路调整、培训、售后服务、及其他与本项目相关的所有费用。甲方无须向乙方另行支付任何费用。</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2.3招标文件未列明，而乙方认为履行本合同必需的费用也包含在合同总金额中。</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三、技术资料</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3.1乙方应按招标文件规定的时间向甲方提供使用货物</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包含与货物相关的服务</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的有关技术资料。</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360" w:lineRule="auto"/>
        <w:rPr>
          <w:rFonts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四、质量要求及技术准备</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4.1乙方提供的货物必须符合国家颁布的质量标准和</w:t>
      </w:r>
      <w:r>
        <w:rPr>
          <w:rFonts w:hint="eastAsia" w:ascii="宋体" w:hAnsi="宋体" w:eastAsia="宋体" w:cs="宋体"/>
          <w:szCs w:val="21"/>
          <w:highlight w:val="none"/>
          <w:lang w:val="en"/>
        </w:rPr>
        <w:t xml:space="preserve">招标文件</w:t>
      </w:r>
      <w:r>
        <w:rPr>
          <w:rFonts w:hint="eastAsia" w:ascii="宋体" w:hAnsi="宋体" w:eastAsia="宋体" w:cs="宋体"/>
          <w:szCs w:val="21"/>
          <w:highlight w:val="none"/>
        </w:rPr>
        <w:t xml:space="preserve">相关技术要求。</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4.2乙方所供货物须为原装、全新的产品且须具有出厂检验合格证，不得是长期积压产品。</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4.3乙方所交的货物品种、规格、型号、技术参数、产品质量不符合合同约定和法律规定的，甲方一律拒收该货物，乙方实施更换货物或整改但逾期交货的，按乙方逾期交货处理，并追究违约责任；乙方未在合同约定的期限内更换或整改的，甲方可按照合同约定单方面解除合同；未达验收标准责令乙方限期整改，整改次数不超过3次，总的整改时间不超过15个工作日。因乙方责任不能按合同履约，在整改验收期间，影响甲方</w:t>
      </w:r>
      <w:r>
        <w:rPr>
          <w:rFonts w:hint="eastAsia" w:ascii="宋体" w:hAnsi="宋体" w:eastAsia="宋体" w:cs="宋体"/>
          <w:szCs w:val="21"/>
          <w:highlight w:val="none"/>
          <w:lang w:val="en"/>
        </w:rPr>
        <w:t xml:space="preserve">工作开展</w:t>
      </w:r>
      <w:r>
        <w:rPr>
          <w:rFonts w:hint="eastAsia" w:ascii="宋体" w:hAnsi="宋体" w:eastAsia="宋体" w:cs="宋体"/>
          <w:szCs w:val="21"/>
          <w:highlight w:val="none"/>
        </w:rPr>
        <w:t xml:space="preserve">，甲方有权追究乙方所造成的经济损失、法律和社会责任。（如因质量缺陷等问题导致人员在使用过程中发生伤亡的，由乙方负责一切后果，并承担法律责任）</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4.4乙方除应履行按期按量交付合格</w:t>
      </w:r>
      <w:r>
        <w:rPr>
          <w:rFonts w:hint="eastAsia" w:ascii="宋体" w:hAnsi="宋体" w:eastAsia="宋体" w:cs="宋体"/>
          <w:szCs w:val="21"/>
          <w:highlight w:val="none"/>
          <w:lang w:val="en"/>
        </w:rPr>
        <w:t xml:space="preserve">货物</w:t>
      </w:r>
      <w:r>
        <w:rPr>
          <w:rFonts w:hint="eastAsia" w:ascii="宋体" w:hAnsi="宋体" w:eastAsia="宋体" w:cs="宋体"/>
          <w:szCs w:val="21"/>
          <w:highlight w:val="none"/>
        </w:rPr>
        <w:t xml:space="preserve">的义务外，还应当提供下列服务：①对甲方人员的技术指导或培训；②提供使用说明、影音视频等资料。除合同另有规定外，以上服务的费用均已包含在合同价款中，甲方不再另行支付。</w:t>
      </w:r>
      <w:r/>
    </w:p>
    <w:p>
      <w:pPr>
        <w:ind w:firstLine="422"/>
        <w:spacing w:line="360" w:lineRule="auto"/>
        <w:rPr>
          <w:rFonts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五、合同履行期限、交货方式及交货地点</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5.1合同履行期限：</w:t>
      </w:r>
      <w:r>
        <w:rPr>
          <w:rFonts w:hint="eastAsia" w:ascii="宋体" w:hAnsi="宋体" w:eastAsia="宋体" w:cs="宋体"/>
          <w:szCs w:val="21"/>
          <w:highlight w:val="none"/>
          <w:lang w:val="en-US" w:eastAsia="zh-CN"/>
        </w:rPr>
        <w:t xml:space="preserve">合同签订之日起60日历天内完成设备供货、安装、系统调试、竣工验收并正式交付使用</w:t>
      </w:r>
      <w:r>
        <w:rPr>
          <w:rFonts w:hint="eastAsia" w:ascii="宋体" w:hAnsi="宋体" w:eastAsia="宋体" w:cs="宋体"/>
          <w:szCs w:val="21"/>
          <w:highlight w:val="none"/>
        </w:rPr>
        <w:t xml:space="preserve">。</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5.2交货地点：甲方指定地点。</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5.3交货方式：交货时甲乙双方均要有人在场负责清点移交。</w:t>
      </w:r>
      <w:r/>
    </w:p>
    <w:p>
      <w:pPr>
        <w:ind w:firstLine="422"/>
        <w:jc w:val="both"/>
        <w:spacing w:line="360" w:lineRule="auto"/>
        <w:widowControl w:val="off"/>
        <w:rPr>
          <w:rFonts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六、货款支付</w:t>
      </w:r>
      <w:r/>
    </w:p>
    <w:p>
      <w:pPr>
        <w:ind w:firstLine="42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6.1付款方式：甲乙双方签订合同后，甲方支付合同金额（扣除暂列金额）的30%</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设备到货经甲方清点、检验合格后，支付至合同金额（扣除暂列金额）的</w:t>
      </w:r>
      <w:r>
        <w:rPr>
          <w:rFonts w:hint="eastAsia" w:ascii="宋体" w:hAnsi="宋体" w:cs="宋体"/>
          <w:color w:val="auto"/>
          <w:szCs w:val="21"/>
          <w:highlight w:val="none"/>
          <w:lang w:val="en-US" w:eastAsia="zh-CN"/>
        </w:rPr>
        <w:t xml:space="preserve">70</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安装及系统调试完成并经验收审计完成后，经确认实际发生的变更签证金额，结清尾款</w:t>
      </w:r>
      <w:r>
        <w:rPr>
          <w:rFonts w:hint="eastAsia" w:ascii="宋体" w:hAnsi="宋体" w:eastAsia="宋体" w:cs="宋体"/>
          <w:color w:val="auto"/>
          <w:szCs w:val="21"/>
          <w:highlight w:val="none"/>
          <w:lang w:eastAsia="zh-CN"/>
        </w:rPr>
        <w:t xml:space="preserve">。</w:t>
      </w:r>
      <w:r/>
    </w:p>
    <w:p>
      <w:pPr>
        <w:ind w:firstLine="420"/>
        <w:spacing w:line="360" w:lineRule="auto"/>
        <w:widowControl/>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6.2每次甲方付款前，乙方需向甲方提供符合甲方要求的正规发票。</w:t>
      </w:r>
      <w:r/>
    </w:p>
    <w:p>
      <w:pPr>
        <w:ind w:firstLine="420"/>
        <w:spacing w:line="360" w:lineRule="auto"/>
        <w:widowControl/>
        <w:rPr>
          <w:rFonts w:ascii="宋体" w:hAnsi="宋体" w:eastAsia="宋体" w:cs="宋体"/>
          <w:color w:val="0000ff"/>
          <w:szCs w:val="21"/>
          <w:highlight w:val="none"/>
        </w:rPr>
      </w:pPr>
      <w:r>
        <w:rPr>
          <w:rFonts w:hint="eastAsia" w:ascii="Times New Roman" w:hAnsi="Times New Roman" w:eastAsia="宋体" w:cs="宋体"/>
          <w:bCs/>
          <w:szCs w:val="21"/>
          <w:highlight w:val="none"/>
        </w:rPr>
        <w:t xml:space="preserve">6.3本合同约定的付款时间</w:t>
      </w:r>
      <w:r>
        <w:rPr>
          <w:rFonts w:hint="eastAsia" w:ascii="Times New Roman" w:hAnsi="Times New Roman" w:cs="宋体"/>
          <w:bCs/>
          <w:szCs w:val="21"/>
          <w:highlight w:val="none"/>
          <w:lang w:val="en-US" w:eastAsia="zh-CN"/>
        </w:rPr>
        <w:t xml:space="preserve">为甲方收到符合甲方要求的正规发票后30日历天内付清</w:t>
      </w:r>
      <w:r>
        <w:rPr>
          <w:rFonts w:hint="eastAsia" w:ascii="Times New Roman" w:hAnsi="Times New Roman" w:eastAsia="宋体" w:cs="宋体"/>
          <w:bCs/>
          <w:szCs w:val="21"/>
          <w:highlight w:val="none"/>
        </w:rPr>
        <w:t xml:space="preserve">，</w:t>
      </w:r>
      <w:r>
        <w:rPr>
          <w:rFonts w:hint="eastAsia" w:ascii="Times New Roman" w:hAnsi="Times New Roman" w:cs="宋体"/>
          <w:bCs/>
          <w:szCs w:val="21"/>
          <w:highlight w:val="none"/>
          <w:lang w:val="en-US" w:eastAsia="zh-CN"/>
        </w:rPr>
        <w:t xml:space="preserve">如遇甲方</w:t>
      </w:r>
      <w:r>
        <w:rPr>
          <w:rFonts w:hint="eastAsia" w:ascii="Times New Roman" w:hAnsi="Times New Roman" w:eastAsia="宋体" w:cs="宋体"/>
          <w:bCs/>
          <w:szCs w:val="21"/>
          <w:highlight w:val="none"/>
        </w:rPr>
        <w:t xml:space="preserve">经费未及时</w:t>
      </w:r>
      <w:r>
        <w:rPr>
          <w:rFonts w:hint="eastAsia" w:ascii="Times New Roman" w:hAnsi="Times New Roman" w:cs="宋体"/>
          <w:bCs/>
          <w:szCs w:val="21"/>
          <w:highlight w:val="none"/>
          <w:lang w:val="en-US" w:eastAsia="zh-CN"/>
        </w:rPr>
        <w:t xml:space="preserve">批复造成延误的</w:t>
      </w:r>
      <w:r>
        <w:rPr>
          <w:rFonts w:hint="eastAsia" w:ascii="Times New Roman" w:hAnsi="Times New Roman" w:eastAsia="宋体" w:cs="宋体"/>
          <w:bCs/>
          <w:szCs w:val="21"/>
          <w:highlight w:val="none"/>
        </w:rPr>
        <w:t xml:space="preserve">，</w:t>
      </w:r>
      <w:r>
        <w:rPr>
          <w:rFonts w:hint="eastAsia" w:ascii="Times New Roman" w:hAnsi="Times New Roman" w:cs="宋体"/>
          <w:bCs/>
          <w:szCs w:val="21"/>
          <w:highlight w:val="none"/>
          <w:lang w:val="en-US" w:eastAsia="zh-CN"/>
        </w:rPr>
        <w:t xml:space="preserve">甲乙双方可友好协商调整付款时间</w:t>
      </w:r>
      <w:r>
        <w:rPr>
          <w:rFonts w:hint="eastAsia" w:ascii="Times New Roman" w:hAnsi="Times New Roman" w:eastAsia="宋体" w:cs="宋体"/>
          <w:bCs/>
          <w:szCs w:val="21"/>
          <w:highlight w:val="none"/>
        </w:rPr>
        <w:t xml:space="preserve">，且不视为甲方违约。如发生上述情况，乙方承诺仍按本合同约定履行乙方义务</w:t>
      </w:r>
      <w:r>
        <w:rPr>
          <w:rFonts w:hint="eastAsia" w:ascii="Times New Roman" w:hAnsi="Times New Roman" w:eastAsia="宋体" w:cs="宋体"/>
          <w:bCs/>
          <w:szCs w:val="21"/>
          <w:highlight w:val="none"/>
          <w:lang w:eastAsia="zh-CN"/>
        </w:rPr>
        <w:t xml:space="preserve">。</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七、履约保函</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7.1本合同签订之日起7个工作日内，乙方应向甲方缴纳合同总金额</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的由金融机构出具的独立履约保函，该保函需载明：（1）见索即付；（2）收到甲方法定代表人或授权委托代理人签字确认并加盖公章的书面索赔通知后即应不争辩、不挑剔、不可撤销地向甲方支付索赔款，直至最高担保金额；（3）有效期为保函开具之日起至</w:t>
      </w:r>
      <w:r>
        <w:rPr>
          <w:rFonts w:hint="eastAsia" w:ascii="宋体" w:hAnsi="宋体" w:cs="宋体"/>
          <w:szCs w:val="21"/>
          <w:highlight w:val="none"/>
          <w:lang w:val="en-US" w:eastAsia="zh-CN"/>
        </w:rPr>
        <w:t xml:space="preserve">项目</w:t>
      </w:r>
      <w:r>
        <w:rPr>
          <w:rFonts w:hint="eastAsia" w:ascii="宋体" w:hAnsi="宋体" w:eastAsia="宋体" w:cs="宋体"/>
          <w:szCs w:val="21"/>
          <w:highlight w:val="none"/>
          <w:lang w:val="en-US" w:eastAsia="zh-CN"/>
        </w:rPr>
        <w:t xml:space="preserve">验收合格</w:t>
      </w:r>
      <w:r>
        <w:rPr>
          <w:rFonts w:hint="eastAsia" w:ascii="宋体" w:hAnsi="宋体" w:eastAsia="宋体" w:cs="宋体"/>
          <w:szCs w:val="21"/>
          <w:highlight w:val="none"/>
        </w:rPr>
        <w:t xml:space="preserve">止；（4）担保金额为合同金额的</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%。如乙方提供的保函未载明前述内容的，甲方可以拒收该保函，并拒绝支付货款。</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7.2对于乙方应承担的违约责任/索赔金额，甲方有权向出具独立保函的金融机构主张索赔。</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八、税费</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8.1本合同执行中相关的一切税费均由乙方负担。</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九、质量保证及售后服务</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9.1乙方应按采购文件规定的货物性能、技术要求、质量标准向甲方</w:t>
      </w:r>
      <w:r>
        <w:rPr>
          <w:rFonts w:hint="eastAsia" w:ascii="宋体" w:hAnsi="宋体" w:cs="宋体"/>
          <w:szCs w:val="21"/>
          <w:highlight w:val="none"/>
          <w:lang w:eastAsia="zh-CN"/>
        </w:rPr>
        <w:t xml:space="preserve">提供原装的未经使</w:t>
      </w:r>
      <w:r>
        <w:rPr>
          <w:rFonts w:hint="eastAsia" w:ascii="宋体" w:hAnsi="宋体" w:eastAsia="宋体" w:cs="宋体"/>
          <w:szCs w:val="21"/>
          <w:highlight w:val="none"/>
        </w:rPr>
        <w:t xml:space="preserve">用的全新产品。</w:t>
      </w:r>
      <w:r/>
    </w:p>
    <w:p>
      <w:pPr>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9.2自项目验收合格之日起免费保修期</w:t>
      </w:r>
      <w:r>
        <w:rPr>
          <w:rFonts w:hint="eastAsia" w:ascii="宋体" w:hAnsi="宋体" w:eastAsia="宋体" w:cs="宋体"/>
          <w:szCs w:val="21"/>
          <w:highlight w:val="none"/>
          <w:lang w:val="en-US" w:eastAsia="zh-CN"/>
        </w:rPr>
        <w:t xml:space="preserve">为</w:t>
      </w:r>
      <w:r>
        <w:rPr>
          <w:rFonts w:hint="eastAsia" w:ascii="宋体" w:hAnsi="宋体" w:cs="宋体"/>
          <w:szCs w:val="21"/>
          <w:highlight w:val="none"/>
          <w:u w:val="single"/>
          <w:lang w:val="en-US" w:eastAsia="zh-CN"/>
        </w:rPr>
        <w:t xml:space="preserve">   </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rPr>
        <w:t xml:space="preserve">年，在产品的质保期内如出现产品质量问题必须免费更换，派专人负责对产品使用情况进行定期回访。</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9.3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9.4</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应有效保证售后维修的及时性、快捷性，并负责提供技术支持，4小时响应，24小时到场进行处理，保证在免费质保期内设备的正常运转。出现故障后，乙方如未按上述要求进行响应，</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可以采取必要的补救措施，由此产生的风险和费用将由</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承担。</w:t>
      </w:r>
      <w:r/>
    </w:p>
    <w:p>
      <w:pPr>
        <w:ind w:firstLine="422"/>
        <w:spacing w:line="360" w:lineRule="auto"/>
        <w:tabs>
          <w:tab w:val="left" w:pos="4664" w:leader="none"/>
        </w:tabs>
        <w:rPr>
          <w:rFonts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十、调试和验收</w:t>
      </w:r>
      <w:r>
        <w:rPr>
          <w:rFonts w:hint="eastAsia" w:ascii="宋体" w:hAnsi="宋体" w:eastAsia="宋体" w:cs="宋体"/>
          <w:b/>
          <w:bCs/>
          <w:szCs w:val="21"/>
          <w:highlight w:val="none"/>
          <w:lang w:val="zh-CN"/>
        </w:rPr>
        <w:tab/>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10.1乙方交付给甲方的</w:t>
      </w:r>
      <w:r>
        <w:rPr>
          <w:rFonts w:hint="eastAsia" w:ascii="宋体" w:hAnsi="宋体" w:eastAsia="宋体" w:cs="宋体"/>
          <w:szCs w:val="21"/>
          <w:highlight w:val="none"/>
          <w:lang w:val="en"/>
        </w:rPr>
        <w:t xml:space="preserve">货物</w:t>
      </w:r>
      <w:r>
        <w:rPr>
          <w:rFonts w:hint="eastAsia" w:ascii="宋体" w:hAnsi="宋体" w:eastAsia="宋体" w:cs="宋体"/>
          <w:szCs w:val="21"/>
          <w:highlight w:val="none"/>
        </w:rPr>
        <w:t xml:space="preserve">必须是全新出厂的，否则甲方将拒绝接收，同时乙方承担因此产生的一切后果和费用。</w:t>
      </w:r>
      <w:r/>
    </w:p>
    <w:p>
      <w:pPr>
        <w:ind w:firstLine="420"/>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rPr>
        <w:t xml:space="preserve">10.2</w:t>
      </w:r>
      <w:r>
        <w:rPr>
          <w:rFonts w:hint="eastAsia" w:ascii="宋体" w:hAnsi="宋体" w:eastAsia="宋体" w:cs="宋体"/>
          <w:szCs w:val="21"/>
          <w:highlight w:val="none"/>
          <w:lang w:val="zh-CN"/>
        </w:rPr>
        <w:t xml:space="preserve">由</w:t>
      </w:r>
      <w:r>
        <w:rPr>
          <w:rFonts w:hint="eastAsia" w:ascii="宋体" w:hAnsi="宋体" w:eastAsia="宋体" w:cs="宋体"/>
          <w:szCs w:val="21"/>
          <w:highlight w:val="none"/>
        </w:rPr>
        <w:t xml:space="preserve">甲方</w:t>
      </w:r>
      <w:r>
        <w:rPr>
          <w:rFonts w:hint="eastAsia" w:ascii="宋体" w:hAnsi="宋体" w:eastAsia="宋体" w:cs="宋体"/>
          <w:szCs w:val="21"/>
          <w:highlight w:val="none"/>
          <w:lang w:val="zh-CN"/>
        </w:rPr>
        <w:t xml:space="preserve">组织验收，根据</w:t>
      </w:r>
      <w:r>
        <w:rPr>
          <w:rFonts w:hint="eastAsia" w:ascii="宋体" w:hAnsi="宋体" w:eastAsia="宋体" w:cs="宋体"/>
          <w:szCs w:val="21"/>
          <w:highlight w:val="none"/>
        </w:rPr>
        <w:t xml:space="preserve">采购</w:t>
      </w:r>
      <w:r>
        <w:rPr>
          <w:rFonts w:hint="eastAsia" w:ascii="宋体" w:hAnsi="宋体" w:eastAsia="宋体" w:cs="宋体"/>
          <w:szCs w:val="21"/>
          <w:highlight w:val="none"/>
          <w:lang w:val="zh-CN"/>
        </w:rPr>
        <w:t xml:space="preserve">文件、投标文件及</w:t>
      </w:r>
      <w:r>
        <w:rPr>
          <w:rFonts w:hint="eastAsia" w:ascii="宋体" w:hAnsi="宋体" w:eastAsia="宋体" w:cs="宋体"/>
          <w:szCs w:val="21"/>
          <w:highlight w:val="none"/>
        </w:rPr>
        <w:t xml:space="preserve">甲方</w:t>
      </w:r>
      <w:r>
        <w:rPr>
          <w:rFonts w:hint="eastAsia" w:ascii="宋体" w:hAnsi="宋体" w:eastAsia="宋体" w:cs="宋体"/>
          <w:szCs w:val="21"/>
          <w:highlight w:val="none"/>
          <w:lang w:val="zh-CN"/>
        </w:rPr>
        <w:t xml:space="preserve">验收管理流程组织。投标文件没有相应承诺的，按照国家标准验收，</w:t>
      </w:r>
      <w:r>
        <w:rPr>
          <w:rFonts w:hint="eastAsia" w:ascii="宋体" w:hAnsi="宋体" w:eastAsia="宋体" w:cs="宋体"/>
          <w:szCs w:val="21"/>
          <w:highlight w:val="none"/>
        </w:rPr>
        <w:t xml:space="preserve">乙方</w:t>
      </w:r>
      <w:r>
        <w:rPr>
          <w:rFonts w:hint="eastAsia" w:ascii="宋体" w:hAnsi="宋体" w:eastAsia="宋体" w:cs="宋体"/>
          <w:szCs w:val="21"/>
          <w:highlight w:val="none"/>
          <w:lang w:val="zh-CN"/>
        </w:rPr>
        <w:t xml:space="preserve">予以配合。符合采购文件技术要求的，给予签收，验收不合格的不予签收。</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10.3乙方交货前应对产品作出全面检查和对验收文件进行整理，并列出清单，作为甲方收货验收和使用的技术条件依据，检验的结果应随货物交甲方。</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10.4乙方提供的货物及服务，必须符合采购文件要求的技术规格标准及中华人民共和国国家标准或行业标准和环保要求，这些标准必须是相关国家或行业机构发布的最新版本的标准。</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10.5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p>
    <w:p>
      <w:pPr>
        <w:ind w:firstLine="420"/>
        <w:spacing w:line="360" w:lineRule="auto"/>
        <w:widowControl/>
        <w:rPr>
          <w:rFonts w:ascii="宋体" w:hAnsi="宋体" w:eastAsia="宋体" w:cs="宋体"/>
          <w:szCs w:val="21"/>
          <w:highlight w:val="none"/>
          <w:lang w:val="zh-CN"/>
        </w:rPr>
      </w:pPr>
      <w:r>
        <w:rPr>
          <w:rFonts w:hint="eastAsia" w:ascii="宋体" w:hAnsi="宋体" w:eastAsia="宋体" w:cs="宋体"/>
          <w:szCs w:val="21"/>
          <w:highlight w:val="none"/>
        </w:rPr>
        <w:t xml:space="preserve">10.6乙方</w:t>
      </w:r>
      <w:r>
        <w:rPr>
          <w:rFonts w:hint="eastAsia" w:ascii="宋体" w:hAnsi="宋体" w:eastAsia="宋体" w:cs="宋体"/>
          <w:szCs w:val="21"/>
          <w:highlight w:val="none"/>
          <w:lang w:val="zh-CN"/>
        </w:rPr>
        <w:t xml:space="preserve">将货物交付给</w:t>
      </w:r>
      <w:r>
        <w:rPr>
          <w:rFonts w:hint="eastAsia" w:ascii="宋体" w:hAnsi="宋体" w:eastAsia="宋体" w:cs="宋体"/>
          <w:szCs w:val="21"/>
          <w:highlight w:val="none"/>
        </w:rPr>
        <w:t xml:space="preserve">甲方</w:t>
      </w:r>
      <w:r>
        <w:rPr>
          <w:rFonts w:hint="eastAsia" w:ascii="宋体" w:hAnsi="宋体" w:eastAsia="宋体" w:cs="宋体"/>
          <w:szCs w:val="21"/>
          <w:highlight w:val="none"/>
          <w:lang w:val="zh-CN"/>
        </w:rPr>
        <w:t xml:space="preserve">后，</w:t>
      </w:r>
      <w:r>
        <w:rPr>
          <w:rFonts w:hint="eastAsia" w:ascii="宋体" w:hAnsi="宋体" w:eastAsia="宋体" w:cs="宋体"/>
          <w:szCs w:val="21"/>
          <w:highlight w:val="none"/>
        </w:rPr>
        <w:t xml:space="preserve">甲方</w:t>
      </w:r>
      <w:r>
        <w:rPr>
          <w:rFonts w:hint="eastAsia" w:ascii="宋体" w:hAnsi="宋体" w:eastAsia="宋体" w:cs="宋体"/>
          <w:szCs w:val="21"/>
          <w:highlight w:val="none"/>
          <w:lang w:val="zh-CN"/>
        </w:rPr>
        <w:t xml:space="preserve">对货物的品牌、数量、规格、外观等进行初步核查。经核查标的物品牌、规格或其他内容存在不符合合同约定情况的，</w:t>
      </w:r>
      <w:r>
        <w:rPr>
          <w:rFonts w:hint="eastAsia" w:ascii="宋体" w:hAnsi="宋体" w:eastAsia="宋体" w:cs="宋体"/>
          <w:szCs w:val="21"/>
          <w:highlight w:val="none"/>
        </w:rPr>
        <w:t xml:space="preserve">乙方</w:t>
      </w:r>
      <w:r>
        <w:rPr>
          <w:rFonts w:hint="eastAsia" w:ascii="宋体" w:hAnsi="宋体" w:eastAsia="宋体" w:cs="宋体"/>
          <w:szCs w:val="21"/>
          <w:highlight w:val="none"/>
          <w:lang w:val="zh-CN"/>
        </w:rPr>
        <w:t xml:space="preserve">应在2日内采取更换、补齐等措施。</w:t>
      </w:r>
      <w:r/>
    </w:p>
    <w:p>
      <w:pPr>
        <w:ind w:firstLine="422"/>
        <w:spacing w:line="360" w:lineRule="auto"/>
        <w:rPr>
          <w:rFonts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十一、货物包装、发运及运输</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11.1乙方应在货物发运前对其进行满足运输距离、防潮和防破损装卸等要求包装，所有物品送货上门，搬运至甲方指定地点，物品必须原包装，在有效期内且提供原厂质保，存在包装破损或物品不合格应予以退换货处理。</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11.2使用说明书、质量检验证明书以及清单等一并附于货物内。</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11.3乙方需配备专人负责供货运输或产品配送（不接收快递等非专人配送形式），严格按甲方要求，派专人前往指定地点进行配送，包括但不限于建筑物内的指定楼层，确保配送时间、质量稳定。送货时须提交送货单，注明物品名称、规格、数量、价格等信息，向甲方清点数量，办理交接手续并签字确认。乙方在货物发运手续办理完毕后24小时内或货到甲方48小时前通知甲方，以准备接货。</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11.4</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对本合同下提供的货物应对其在制造、购置、运输、存放及交货过程中的丢失或损坏进行全面保险，还应对其在项目现场进行技术服务的人员进行必要的保险。货物在交付甲方前发生的风险均由乙方负责。</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11.5货物在合同签订之日起60日历天内由乙方送达甲方指定的地点</w:t>
      </w:r>
      <w:r>
        <w:rPr>
          <w:rFonts w:hint="eastAsia" w:ascii="宋体" w:hAnsi="宋体" w:cs="宋体"/>
          <w:szCs w:val="21"/>
          <w:highlight w:val="none"/>
          <w:lang w:val="en-US" w:eastAsia="zh-CN"/>
        </w:rPr>
        <w:t xml:space="preserve">并完成</w:t>
      </w:r>
      <w:r>
        <w:rPr>
          <w:rFonts w:hint="eastAsia" w:ascii="宋体" w:hAnsi="宋体" w:eastAsia="宋体" w:cs="宋体"/>
          <w:szCs w:val="21"/>
          <w:highlight w:val="none"/>
        </w:rPr>
        <w:t xml:space="preserve">安装、系统调试、竣工验收</w:t>
      </w:r>
      <w:r>
        <w:rPr>
          <w:rFonts w:hint="eastAsia" w:ascii="宋体" w:hAnsi="宋体" w:cs="宋体"/>
          <w:szCs w:val="21"/>
          <w:highlight w:val="none"/>
          <w:lang w:val="en-US" w:eastAsia="zh-CN"/>
        </w:rPr>
        <w:t xml:space="preserve">后</w:t>
      </w:r>
      <w:r>
        <w:rPr>
          <w:rFonts w:hint="eastAsia" w:ascii="宋体" w:hAnsi="宋体" w:eastAsia="宋体" w:cs="宋体"/>
          <w:szCs w:val="21"/>
          <w:highlight w:val="none"/>
        </w:rPr>
        <w:t xml:space="preserve">视为</w:t>
      </w:r>
      <w:r>
        <w:rPr>
          <w:rFonts w:hint="eastAsia" w:ascii="宋体" w:hAnsi="宋体" w:cs="宋体"/>
          <w:szCs w:val="21"/>
          <w:highlight w:val="none"/>
          <w:lang w:val="en-US" w:eastAsia="zh-CN"/>
        </w:rPr>
        <w:t xml:space="preserve">正式</w:t>
      </w:r>
      <w:r>
        <w:rPr>
          <w:rFonts w:hint="eastAsia" w:ascii="宋体" w:hAnsi="宋体" w:eastAsia="宋体" w:cs="宋体"/>
          <w:szCs w:val="21"/>
          <w:highlight w:val="none"/>
        </w:rPr>
        <w:t xml:space="preserve">交付，乙方同时需通知甲方货物已送达。</w:t>
      </w:r>
      <w:r/>
    </w:p>
    <w:p>
      <w:pPr>
        <w:ind w:firstLine="422"/>
        <w:spacing w:line="360" w:lineRule="auto"/>
        <w:rPr>
          <w:rFonts w:hint="eastAsia" w:ascii="宋体" w:hAnsi="宋体" w:eastAsia="宋体" w:cs="宋体"/>
          <w:b/>
          <w:bCs/>
          <w:szCs w:val="21"/>
          <w:highlight w:val="none"/>
          <w:lang w:val="zh-CN"/>
        </w:rPr>
      </w:pPr>
      <w:r>
        <w:rPr>
          <w:rFonts w:hint="eastAsia" w:ascii="宋体" w:hAnsi="宋体" w:cs="宋体"/>
          <w:b/>
          <w:bCs/>
          <w:szCs w:val="21"/>
          <w:highlight w:val="none"/>
          <w:lang w:val="en-US" w:eastAsia="zh-CN"/>
        </w:rPr>
        <w:t xml:space="preserve">十二</w:t>
      </w:r>
      <w:r>
        <w:rPr>
          <w:rFonts w:hint="eastAsia" w:ascii="宋体" w:hAnsi="宋体" w:eastAsia="宋体" w:cs="宋体"/>
          <w:b/>
          <w:bCs/>
          <w:szCs w:val="21"/>
          <w:highlight w:val="none"/>
          <w:lang w:val="zh-CN"/>
        </w:rPr>
        <w:t xml:space="preserve">、拆除、安装与调试的特别约定</w:t>
      </w:r>
      <w:r/>
    </w:p>
    <w:p>
      <w:pPr>
        <w:ind w:firstLine="420"/>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为明确本项目旧设备拆除、新设备安装及系统调试过程中的双方责任，减少争议，特约定如下：</w:t>
      </w:r>
      <w:r/>
    </w:p>
    <w:p>
      <w:pPr>
        <w:ind w:firstLine="420"/>
        <w:spacing w:line="360" w:lineRule="auto"/>
        <w:widowControl/>
        <w:rPr>
          <w:rFonts w:hint="eastAsia" w:ascii="宋体" w:hAnsi="宋体" w:eastAsia="宋体" w:cs="宋体"/>
          <w:szCs w:val="21"/>
          <w:highlight w:val="none"/>
          <w:lang w:val="zh-CN"/>
        </w:rPr>
      </w:pPr>
      <w:r>
        <w:rPr>
          <w:rFonts w:hint="eastAsia" w:ascii="宋体" w:hAnsi="宋体" w:cs="宋体"/>
          <w:szCs w:val="21"/>
          <w:highlight w:val="none"/>
          <w:lang w:val="en-US" w:eastAsia="zh-CN"/>
        </w:rPr>
        <w:t xml:space="preserve">12</w:t>
      </w:r>
      <w:r>
        <w:rPr>
          <w:rFonts w:hint="eastAsia" w:ascii="宋体" w:hAnsi="宋体" w:eastAsia="宋体" w:cs="宋体"/>
          <w:szCs w:val="21"/>
          <w:highlight w:val="none"/>
          <w:lang w:val="zh-CN"/>
        </w:rPr>
        <w:t xml:space="preserve">.1乙方负责按招标文件及施工方案要求，安全拆除场地内原有旧空调设备、管线及基础，并将拆除物清运至政府指定消纳场所，费用已包含在合同总价中。拆除过程中应做好对建筑结构、现有管线、吊顶、地面等的成品保护，因乙方原因造成损坏的，乙方负责无偿修复或照价赔偿。</w:t>
      </w:r>
      <w:r/>
    </w:p>
    <w:p>
      <w:pPr>
        <w:ind w:firstLine="420"/>
        <w:spacing w:line="360" w:lineRule="auto"/>
        <w:widowControl/>
        <w:rPr>
          <w:rFonts w:hint="eastAsia" w:ascii="宋体" w:hAnsi="宋体" w:eastAsia="宋体" w:cs="宋体"/>
          <w:szCs w:val="21"/>
          <w:highlight w:val="none"/>
          <w:lang w:val="zh-CN"/>
        </w:rPr>
      </w:pPr>
      <w:r>
        <w:rPr>
          <w:rFonts w:hint="eastAsia" w:ascii="宋体" w:hAnsi="宋体" w:cs="宋体"/>
          <w:szCs w:val="21"/>
          <w:highlight w:val="none"/>
          <w:lang w:val="en-US" w:eastAsia="zh-CN"/>
        </w:rPr>
        <w:t xml:space="preserve">12</w:t>
      </w:r>
      <w:r>
        <w:rPr>
          <w:rFonts w:hint="eastAsia" w:ascii="宋体" w:hAnsi="宋体" w:eastAsia="宋体" w:cs="宋体"/>
          <w:szCs w:val="21"/>
          <w:highlight w:val="none"/>
          <w:lang w:val="zh-CN"/>
        </w:rPr>
        <w:t xml:space="preserve">.2乙方安装新设备应符合国家标准、设计图纸及投标文件承诺的技术要求。安装前应向甲方提交详细的安装组织设计（含人员、机具、临时用电、脚手架搭设等），经甲方审核后方可施工。安装期间应遵守甲方现场管理规定，落实安全防护、降噪防尘、材料堆放等文明施工措施。安装完成后先进行单机试运转，确认设备正常后进行管路系统气密性试验、真空干燥、制冷剂充注及系统联动调试，最后进行性能测试（制冷/制热量、能效比、噪音等）。调试报告应完整记录各项数据，并由甲方代表签字确认。</w:t>
      </w:r>
      <w:r/>
    </w:p>
    <w:p>
      <w:pPr>
        <w:ind w:firstLine="420"/>
        <w:spacing w:line="360" w:lineRule="auto"/>
        <w:widowControl/>
        <w:rPr>
          <w:rFonts w:hint="eastAsia" w:ascii="宋体" w:hAnsi="宋体" w:eastAsia="宋体" w:cs="宋体"/>
          <w:szCs w:val="21"/>
          <w:highlight w:val="none"/>
          <w:lang w:val="zh-CN"/>
        </w:rPr>
      </w:pPr>
      <w:r>
        <w:rPr>
          <w:rFonts w:hint="eastAsia" w:ascii="宋体" w:hAnsi="宋体" w:cs="宋体"/>
          <w:szCs w:val="21"/>
          <w:highlight w:val="none"/>
          <w:lang w:val="en-US" w:eastAsia="zh-CN"/>
        </w:rPr>
        <w:t xml:space="preserve">12.3</w:t>
      </w:r>
      <w:r>
        <w:rPr>
          <w:rFonts w:hint="eastAsia" w:ascii="宋体" w:hAnsi="宋体" w:eastAsia="宋体" w:cs="宋体"/>
          <w:szCs w:val="21"/>
          <w:highlight w:val="none"/>
          <w:lang w:val="zh-CN"/>
        </w:rPr>
        <w:t xml:space="preserve">乙方应在合同签订后7日内编制《拆除、安装、调试专项方案》，明确流程、安全措施、应急预案、人员配置等，报甲方书面批准后实施。甲方批准不减轻乙方应承担的技术及安全责任。</w:t>
      </w:r>
      <w:r/>
    </w:p>
    <w:p>
      <w:pPr>
        <w:ind w:firstLine="420"/>
        <w:spacing w:line="360" w:lineRule="auto"/>
        <w:widowControl/>
        <w:rPr>
          <w:rFonts w:hint="eastAsia" w:ascii="宋体" w:hAnsi="宋体" w:eastAsia="宋体" w:cs="宋体"/>
          <w:szCs w:val="21"/>
          <w:highlight w:val="none"/>
          <w:lang w:val="zh-CN"/>
        </w:rPr>
      </w:pPr>
      <w:r>
        <w:rPr>
          <w:rFonts w:hint="eastAsia" w:ascii="宋体" w:hAnsi="宋体" w:cs="宋体"/>
          <w:szCs w:val="21"/>
          <w:highlight w:val="none"/>
          <w:lang w:val="en-US" w:eastAsia="zh-CN"/>
        </w:rPr>
        <w:t xml:space="preserve">12.4</w:t>
      </w:r>
      <w:r>
        <w:rPr>
          <w:rFonts w:hint="eastAsia" w:ascii="宋体" w:hAnsi="宋体" w:eastAsia="宋体" w:cs="宋体"/>
          <w:szCs w:val="21"/>
          <w:highlight w:val="none"/>
          <w:lang w:val="zh-CN"/>
        </w:rPr>
        <w:t xml:space="preserve">甲方负责提供施工所需的水源、电源及必要的场地条件，乙方承担水电费用；甲方协助乙方办理施工许可、动火审批等手续。乙方应充分考虑施工对办公环境的影响，合理安排作业时段，减少噪音及干扰。</w:t>
      </w:r>
      <w:r/>
    </w:p>
    <w:p>
      <w:pPr>
        <w:ind w:firstLine="420"/>
        <w:spacing w:line="36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zh-CN"/>
        </w:rPr>
        <w:t xml:space="preserve">12.</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val="zh-CN"/>
        </w:rPr>
        <w:t xml:space="preserve">乙方对拆除、安装、调试全过程中的作业人员、第三方及财产安全负全部责任。乙方应为其现场人员购买足额意外伤害保险，并承担因自身原因导致的事故损失及法律责任。高空、焊接、临时用电等特种作业人员须持证上岗。</w:t>
      </w:r>
      <w:r>
        <w:rPr>
          <w:rFonts w:hint="eastAsia" w:ascii="宋体" w:hAnsi="宋体" w:cs="宋体"/>
          <w:szCs w:val="21"/>
          <w:highlight w:val="none"/>
          <w:lang w:val="en-US" w:eastAsia="zh-CN"/>
        </w:rPr>
        <w:t xml:space="preserve">意外伤害保险单、特种操作作业证应于施工前提前送甲方处核验。</w:t>
      </w:r>
      <w:r/>
    </w:p>
    <w:p>
      <w:pPr>
        <w:ind w:firstLine="422"/>
        <w:spacing w:line="360" w:lineRule="auto"/>
        <w:rPr>
          <w:rFonts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十</w:t>
      </w:r>
      <w:r>
        <w:rPr>
          <w:rFonts w:hint="eastAsia" w:ascii="宋体" w:hAnsi="宋体" w:cs="宋体"/>
          <w:b/>
          <w:bCs/>
          <w:szCs w:val="21"/>
          <w:highlight w:val="none"/>
          <w:lang w:val="en-US" w:eastAsia="zh-CN"/>
        </w:rPr>
        <w:t xml:space="preserve">三</w:t>
      </w:r>
      <w:r>
        <w:rPr>
          <w:rFonts w:hint="eastAsia" w:ascii="宋体" w:hAnsi="宋体" w:eastAsia="宋体" w:cs="宋体"/>
          <w:b/>
          <w:bCs/>
          <w:szCs w:val="21"/>
          <w:highlight w:val="none"/>
          <w:lang w:val="zh-CN"/>
        </w:rPr>
        <w:t xml:space="preserve">、违约责任</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.1甲方无正当理由拒收货物的，甲方向乙方偿付拒收货款总值的</w:t>
      </w:r>
      <w:r>
        <w:rPr>
          <w:rFonts w:hint="eastAsia" w:ascii="宋体" w:hAnsi="宋体" w:eastAsia="宋体" w:cs="宋体"/>
          <w:szCs w:val="21"/>
          <w:highlight w:val="none"/>
          <w:lang w:val="en-US" w:eastAsia="zh-CN"/>
        </w:rPr>
        <w:t xml:space="preserve">百</w:t>
      </w:r>
      <w:r>
        <w:rPr>
          <w:rFonts w:hint="eastAsia" w:ascii="宋体" w:hAnsi="宋体" w:eastAsia="宋体" w:cs="宋体"/>
          <w:szCs w:val="21"/>
          <w:highlight w:val="none"/>
        </w:rPr>
        <w:t xml:space="preserve">分之五违约金。</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2乙方逾期交付货物的，乙方应按逾期交货总额每日万分之五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3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.4因乙方责任不能按合同履约，</w:t>
      </w:r>
      <w:r>
        <w:rPr>
          <w:rFonts w:hint="eastAsia" w:ascii="宋体" w:hAnsi="宋体" w:eastAsia="宋体" w:cs="宋体"/>
          <w:szCs w:val="21"/>
          <w:highlight w:val="none"/>
          <w:lang w:val="en"/>
        </w:rPr>
        <w:t xml:space="preserve">影响甲方工作开展的</w:t>
      </w:r>
      <w:r>
        <w:rPr>
          <w:rFonts w:hint="eastAsia" w:ascii="宋体" w:hAnsi="宋体" w:eastAsia="宋体" w:cs="宋体"/>
          <w:szCs w:val="21"/>
          <w:highlight w:val="none"/>
        </w:rPr>
        <w:t xml:space="preserve">，甲方有权追究乙方所造成的经济、法律和社会责任。</w:t>
      </w:r>
      <w:r>
        <w:rPr>
          <w:rFonts w:hint="eastAsia" w:ascii="宋体" w:hAnsi="宋体" w:eastAsia="宋体" w:cs="宋体"/>
          <w:szCs w:val="21"/>
          <w:highlight w:val="none"/>
          <w:lang w:val="en-US" w:eastAsia="zh-CN"/>
        </w:rPr>
        <w:t xml:space="preserve">乙方除应支付甲方违约金及造成的损失外，还应承担甲方因诉讼所支出的包括但不限于诉讼费、保全费、律师费等合理开支费用。</w:t>
      </w:r>
      <w:r>
        <w:rPr>
          <w:rFonts w:hint="eastAsia" w:ascii="宋体" w:hAnsi="宋体" w:eastAsia="宋体" w:cs="宋体"/>
          <w:szCs w:val="21"/>
          <w:highlight w:val="none"/>
        </w:rPr>
        <w:t xml:space="preserve">签署本合同即视同乙方认可本条款。</w:t>
      </w:r>
      <w:r/>
    </w:p>
    <w:p>
      <w:pPr>
        <w:ind w:firstLine="422"/>
        <w:spacing w:line="360" w:lineRule="auto"/>
        <w:rPr>
          <w:rFonts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十</w:t>
      </w:r>
      <w:r>
        <w:rPr>
          <w:rFonts w:hint="eastAsia" w:ascii="宋体" w:hAnsi="宋体" w:cs="宋体"/>
          <w:b/>
          <w:bCs/>
          <w:szCs w:val="21"/>
          <w:highlight w:val="none"/>
          <w:lang w:val="en-US" w:eastAsia="zh-CN"/>
        </w:rPr>
        <w:t xml:space="preserve">四</w:t>
      </w:r>
      <w:r>
        <w:rPr>
          <w:rFonts w:hint="eastAsia" w:ascii="宋体" w:hAnsi="宋体" w:eastAsia="宋体" w:cs="宋体"/>
          <w:b/>
          <w:bCs/>
          <w:szCs w:val="21"/>
          <w:highlight w:val="none"/>
          <w:lang w:val="zh-CN"/>
        </w:rPr>
        <w:t xml:space="preserve">、不可抗力事件处理</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1在合同有效期内，任何一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.2不可抗力事件发生后，应立即通知对方，并寄送有关权威机构出具的证明。</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.3不可抗力事件延续120天以上，双方应通过友好协商，确定是否继续履行合同。</w:t>
      </w:r>
      <w:r/>
    </w:p>
    <w:p>
      <w:pPr>
        <w:ind w:firstLine="422"/>
        <w:spacing w:line="360" w:lineRule="auto"/>
        <w:rPr>
          <w:rFonts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十</w:t>
      </w:r>
      <w:r>
        <w:rPr>
          <w:rFonts w:hint="eastAsia" w:ascii="宋体" w:hAnsi="宋体" w:cs="宋体"/>
          <w:b/>
          <w:bCs/>
          <w:szCs w:val="21"/>
          <w:highlight w:val="none"/>
          <w:lang w:val="en-US" w:eastAsia="zh-CN"/>
        </w:rPr>
        <w:t xml:space="preserve">五</w:t>
      </w:r>
      <w:r>
        <w:rPr>
          <w:rFonts w:hint="eastAsia" w:ascii="宋体" w:hAnsi="宋体" w:eastAsia="宋体" w:cs="宋体"/>
          <w:b/>
          <w:bCs/>
          <w:szCs w:val="21"/>
          <w:highlight w:val="none"/>
          <w:lang w:val="zh-CN"/>
        </w:rPr>
        <w:t xml:space="preserve">、诉讼</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.1双方在执行合同中所发生的一切争议，应通过协商解决。如协商不成，可向甲方所在地法院起诉。</w:t>
      </w:r>
      <w:r/>
    </w:p>
    <w:p>
      <w:pPr>
        <w:ind w:firstLine="422"/>
        <w:spacing w:line="360" w:lineRule="auto"/>
        <w:rPr>
          <w:rFonts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十六、转包</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.1本合同禁止转包</w:t>
      </w:r>
      <w:r>
        <w:rPr>
          <w:rFonts w:hint="eastAsia" w:ascii="宋体" w:hAnsi="宋体" w:eastAsia="宋体" w:cs="宋体"/>
          <w:szCs w:val="21"/>
          <w:highlight w:val="none"/>
          <w:lang w:val="en"/>
        </w:rPr>
        <w:t xml:space="preserve">分包</w:t>
      </w:r>
      <w:r>
        <w:rPr>
          <w:rFonts w:hint="eastAsia" w:ascii="宋体" w:hAnsi="宋体" w:eastAsia="宋体" w:cs="宋体"/>
          <w:szCs w:val="21"/>
          <w:highlight w:val="none"/>
        </w:rPr>
        <w:t xml:space="preserve">。乙方如有转包或分包行为，甲方有权解除合同。同时，乙方应当立即退回已收取的全部款项并向甲方支付本合同总价款30%的违约金，该违约金不足以弥补甲方损失的，乙方应赔偿甲方的所有损失。</w:t>
      </w:r>
      <w:r/>
    </w:p>
    <w:p>
      <w:pPr>
        <w:ind w:firstLine="422"/>
        <w:spacing w:line="360" w:lineRule="auto"/>
        <w:rPr>
          <w:rFonts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十</w:t>
      </w:r>
      <w:r>
        <w:rPr>
          <w:rFonts w:hint="eastAsia" w:ascii="宋体" w:hAnsi="宋体" w:cs="宋体"/>
          <w:b/>
          <w:bCs/>
          <w:szCs w:val="21"/>
          <w:highlight w:val="none"/>
          <w:lang w:val="en-US" w:eastAsia="zh-CN"/>
        </w:rPr>
        <w:t xml:space="preserve">七</w:t>
      </w:r>
      <w:r>
        <w:rPr>
          <w:rFonts w:hint="eastAsia" w:ascii="宋体" w:hAnsi="宋体" w:eastAsia="宋体" w:cs="宋体"/>
          <w:b/>
          <w:bCs/>
          <w:szCs w:val="21"/>
          <w:highlight w:val="none"/>
          <w:lang w:val="zh-CN"/>
        </w:rPr>
        <w:t xml:space="preserve">、知识产权</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cs="宋体"/>
          <w:szCs w:val="21"/>
          <w:highlight w:val="none"/>
          <w:lang w:val="en-US" w:eastAsia="zh-CN"/>
        </w:rPr>
        <w:t xml:space="preserve">7</w:t>
      </w:r>
      <w:r>
        <w:rPr>
          <w:rFonts w:hint="eastAsia" w:ascii="宋体" w:hAnsi="宋体" w:eastAsia="宋体" w:cs="宋体"/>
          <w:szCs w:val="21"/>
          <w:highlight w:val="none"/>
        </w:rPr>
        <w:t xml:space="preserve">.1乙方应保证甲方在使用、接受本合同货物和服务或其任何一部分时不受第三方提出侵犯其专利权、版权、商标权和工业设计权等知识产权的起诉。一旦出现侵权，由乙方负全部责任。</w:t>
      </w:r>
      <w:r/>
    </w:p>
    <w:p>
      <w:pPr>
        <w:ind w:firstLine="422"/>
        <w:spacing w:line="360" w:lineRule="auto"/>
        <w:rPr>
          <w:rFonts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十</w:t>
      </w:r>
      <w:r>
        <w:rPr>
          <w:rFonts w:hint="eastAsia" w:ascii="宋体" w:hAnsi="宋体" w:cs="宋体"/>
          <w:b/>
          <w:bCs/>
          <w:szCs w:val="21"/>
          <w:highlight w:val="none"/>
          <w:lang w:val="en-US" w:eastAsia="zh-CN"/>
        </w:rPr>
        <w:t xml:space="preserve">八</w:t>
      </w:r>
      <w:r>
        <w:rPr>
          <w:rFonts w:hint="eastAsia" w:ascii="宋体" w:hAnsi="宋体" w:eastAsia="宋体" w:cs="宋体"/>
          <w:b/>
          <w:bCs/>
          <w:szCs w:val="21"/>
          <w:highlight w:val="none"/>
          <w:lang w:val="zh-CN"/>
        </w:rPr>
        <w:t xml:space="preserve">、保密条款</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1甲乙双方在合作过程中知悉的对方一切秘密，包括但不限于有关本合同双方的内部资料、业务信息、技术资料及本合同项下的服务价格、合作条件等书面或口头信息，双方承诺严格遵守对上述信息的保密约定。未经对方书面同意，任何一方均不得泄露、使用或许可给第三方使用上述保密信息。若乙方未能遵守本合同约定的保密义务，造成</w:t>
      </w:r>
      <w:r>
        <w:rPr>
          <w:rFonts w:hint="eastAsia" w:ascii="宋体" w:hAnsi="宋体" w:eastAsia="宋体" w:cs="宋体"/>
          <w:szCs w:val="21"/>
          <w:highlight w:val="none"/>
          <w:lang w:val="en-US" w:eastAsia="zh-CN"/>
        </w:rPr>
        <w:t xml:space="preserve">损</w:t>
      </w:r>
      <w:r>
        <w:rPr>
          <w:rFonts w:hint="eastAsia" w:ascii="宋体" w:hAnsi="宋体" w:eastAsia="宋体" w:cs="宋体"/>
          <w:szCs w:val="21"/>
          <w:highlight w:val="none"/>
        </w:rPr>
        <w:t xml:space="preserve">失泄密的，应当承担所有经济、法律责任。且乙方应当按本合同总金额30%的标准向甲方支付泄密违约金，并向甲方及其关联主体赔偿因此受到的全部损失。此外，还将依法追究乙方的刑事责任。</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.2无论本合同是否变更、解除或终止，合同的保密条款不受其限制而继续有效，双方都应继续承担保密条款约定的保密义务。保密义务的期限为永久。</w:t>
      </w:r>
      <w:r/>
    </w:p>
    <w:p>
      <w:pPr>
        <w:ind w:firstLine="422"/>
        <w:spacing w:line="360" w:lineRule="auto"/>
        <w:rPr>
          <w:rFonts w:ascii="宋体" w:hAnsi="宋体" w:eastAsia="宋体" w:cs="宋体"/>
          <w:b/>
          <w:bCs/>
          <w:szCs w:val="21"/>
          <w:highlight w:val="none"/>
          <w:lang w:val="zh-CN"/>
        </w:rPr>
      </w:pPr>
      <w:r>
        <w:rPr>
          <w:rFonts w:hint="eastAsia" w:ascii="宋体" w:hAnsi="宋体" w:eastAsia="宋体" w:cs="宋体"/>
          <w:b/>
          <w:bCs/>
          <w:szCs w:val="21"/>
          <w:highlight w:val="none"/>
        </w:rPr>
        <w:t xml:space="preserve">十</w:t>
      </w:r>
      <w:r>
        <w:rPr>
          <w:rFonts w:hint="eastAsia" w:ascii="宋体" w:hAnsi="宋体" w:cs="宋体"/>
          <w:b/>
          <w:bCs/>
          <w:szCs w:val="21"/>
          <w:highlight w:val="none"/>
          <w:lang w:val="en-US" w:eastAsia="zh-CN"/>
        </w:rPr>
        <w:t xml:space="preserve">九</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
        </w:rPr>
        <w:t xml:space="preserve">廉政</w:t>
      </w:r>
      <w:r>
        <w:rPr>
          <w:rFonts w:hint="eastAsia" w:ascii="宋体" w:hAnsi="宋体" w:eastAsia="宋体" w:cs="宋体"/>
          <w:b/>
          <w:bCs/>
          <w:szCs w:val="21"/>
          <w:highlight w:val="none"/>
          <w:lang w:val="zh-CN"/>
        </w:rPr>
        <w:t xml:space="preserve">廉洁条款</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cs="宋体"/>
          <w:szCs w:val="21"/>
          <w:highlight w:val="none"/>
          <w:lang w:val="en-US" w:eastAsia="zh-CN"/>
        </w:rPr>
        <w:t xml:space="preserve">9</w:t>
      </w:r>
      <w:r>
        <w:rPr>
          <w:rFonts w:hint="eastAsia" w:ascii="宋体" w:hAnsi="宋体" w:eastAsia="宋体" w:cs="宋体"/>
          <w:szCs w:val="21"/>
          <w:highlight w:val="none"/>
        </w:rPr>
        <w:t xml:space="preserve">.1采购过程中如发现乙方围标、串标，或向甲方行贿等违法违规行为的，一经查实，甲方有权终止合同，并不再支付乙方剩余合同款，乙方退回已支付合同款，同时，承诺不再参加甲方后三年组织的政府采购活动。</w:t>
      </w:r>
      <w:r/>
    </w:p>
    <w:p>
      <w:pPr>
        <w:ind w:firstLine="422"/>
        <w:spacing w:line="360" w:lineRule="auto"/>
        <w:rPr>
          <w:rFonts w:ascii="宋体" w:hAnsi="宋体" w:eastAsia="宋体" w:cs="宋体"/>
          <w:b/>
          <w:bCs/>
          <w:szCs w:val="21"/>
          <w:highlight w:val="none"/>
          <w:lang w:val="zh-CN"/>
        </w:rPr>
      </w:pPr>
      <w:r>
        <w:rPr>
          <w:rFonts w:hint="eastAsia" w:ascii="宋体" w:hAnsi="宋体" w:cs="宋体"/>
          <w:b/>
          <w:bCs/>
          <w:szCs w:val="21"/>
          <w:highlight w:val="none"/>
          <w:lang w:val="en-US" w:eastAsia="zh-CN"/>
        </w:rPr>
        <w:t xml:space="preserve">二十</w:t>
      </w:r>
      <w:r>
        <w:rPr>
          <w:rFonts w:hint="eastAsia" w:ascii="宋体" w:hAnsi="宋体" w:eastAsia="宋体" w:cs="宋体"/>
          <w:b/>
          <w:bCs/>
          <w:szCs w:val="21"/>
          <w:highlight w:val="none"/>
          <w:lang w:val="zh-CN"/>
        </w:rPr>
        <w:t xml:space="preserve">、合同生效及其它</w:t>
      </w:r>
      <w:r/>
    </w:p>
    <w:p>
      <w:pPr>
        <w:ind w:firstLine="420"/>
        <w:spacing w:line="360" w:lineRule="auto"/>
        <w:widowControl/>
        <w:rPr>
          <w:rFonts w:ascii="宋体" w:hAnsi="宋体" w:eastAsia="宋体" w:cs="宋体"/>
          <w:szCs w:val="21"/>
          <w:highlight w:val="none"/>
        </w:rPr>
      </w:pPr>
      <w:r>
        <w:rPr>
          <w:rFonts w:hint="eastAsia" w:ascii="宋体" w:hAnsi="宋体" w:cs="宋体"/>
          <w:szCs w:val="21"/>
          <w:highlight w:val="none"/>
          <w:lang w:val="en-US" w:eastAsia="zh-CN"/>
        </w:rPr>
        <w:t xml:space="preserve">20</w:t>
      </w:r>
      <w:r>
        <w:rPr>
          <w:rFonts w:hint="eastAsia" w:ascii="宋体" w:hAnsi="宋体" w:eastAsia="宋体" w:cs="宋体"/>
          <w:szCs w:val="21"/>
          <w:highlight w:val="none"/>
        </w:rPr>
        <w:t xml:space="preserve">.1合同经甲乙双方法定代表或授权委托代表签字且加盖单位公章后生效。</w:t>
      </w:r>
      <w:r/>
    </w:p>
    <w:p>
      <w:pPr>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20.2本合同未尽事宜，遵照《中华人民共和国民法典》有关条文执行。</w:t>
      </w:r>
      <w:r/>
    </w:p>
    <w:p>
      <w:pPr>
        <w:ind w:firstLine="420"/>
        <w:jc w:val="both"/>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 w:eastAsia="zh-CN" w:bidi="ar-SA"/>
        </w:rPr>
        <w:t xml:space="preserve">20</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 w:eastAsia="zh-CN" w:bidi="ar-SA"/>
        </w:rPr>
        <w:t xml:space="preserve">3</w:t>
      </w:r>
      <w:r>
        <w:rPr>
          <w:rFonts w:hint="eastAsia" w:ascii="宋体" w:hAnsi="宋体" w:eastAsia="宋体" w:cs="宋体"/>
          <w:sz w:val="21"/>
          <w:szCs w:val="21"/>
          <w:highlight w:val="none"/>
          <w:lang w:val="en-US" w:eastAsia="zh-CN" w:bidi="ar-SA"/>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承担转让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
        </w:rPr>
        <w:t xml:space="preserve">4</w:t>
      </w:r>
      <w:r>
        <w:rPr>
          <w:rFonts w:hint="eastAsia" w:ascii="宋体" w:hAnsi="宋体" w:eastAsia="宋体" w:cs="宋体"/>
          <w:szCs w:val="21"/>
          <w:highlight w:val="none"/>
        </w:rPr>
        <w:t xml:space="preserve">本合同一式肆份，具有同等法律效力，甲方、乙方各执贰份。</w:t>
      </w:r>
      <w:r/>
    </w:p>
    <w:p>
      <w:pPr>
        <w:pStyle w:val="921"/>
        <w:ind w:firstLine="422"/>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二十一、附件</w:t>
      </w:r>
      <w:r/>
    </w:p>
    <w:p>
      <w:pPr>
        <w:pStyle w:val="921"/>
        <w:ind w:firstLine="420"/>
        <w:spacing w:line="360" w:lineRule="auto"/>
        <w:rPr>
          <w:rFonts w:hint="eastAsia" w:ascii="宋体" w:hAnsi="宋体" w:eastAsia="宋体" w:cs="宋体"/>
          <w:bCs w:val="0"/>
          <w:color w:val="auto"/>
          <w:sz w:val="21"/>
          <w:szCs w:val="21"/>
          <w:highlight w:val="none"/>
          <w:lang w:val="en-US" w:eastAsia="zh-CN" w:bidi="ar-SA"/>
        </w:rPr>
      </w:pPr>
      <w:r>
        <w:rPr>
          <w:rFonts w:hint="eastAsia" w:ascii="宋体" w:hAnsi="宋体" w:eastAsia="宋体" w:cs="宋体"/>
          <w:bCs w:val="0"/>
          <w:color w:val="auto"/>
          <w:sz w:val="21"/>
          <w:szCs w:val="21"/>
          <w:highlight w:val="none"/>
          <w:lang w:val="en-US" w:eastAsia="zh-CN" w:bidi="ar-SA"/>
        </w:rPr>
        <w:t xml:space="preserve">21.1 本合同附件包括：</w:t>
      </w:r>
      <w:r/>
    </w:p>
    <w:p>
      <w:pPr>
        <w:pStyle w:val="921"/>
        <w:spacing w:line="360" w:lineRule="auto"/>
        <w:rPr>
          <w:rFonts w:hint="eastAsia" w:ascii="宋体" w:hAnsi="宋体" w:eastAsia="宋体" w:cs="宋体"/>
          <w:bCs w:val="0"/>
          <w:color w:val="auto"/>
          <w:sz w:val="21"/>
          <w:szCs w:val="21"/>
          <w:highlight w:val="none"/>
          <w:lang w:val="en-US" w:eastAsia="zh-CN" w:bidi="ar-SA"/>
        </w:rPr>
      </w:pPr>
      <w:r>
        <w:rPr>
          <w:rFonts w:hint="eastAsia" w:ascii="宋体" w:hAnsi="宋体" w:eastAsia="宋体" w:cs="宋体"/>
          <w:bCs w:val="0"/>
          <w:color w:val="auto"/>
          <w:sz w:val="21"/>
          <w:szCs w:val="21"/>
          <w:highlight w:val="none"/>
          <w:lang w:val="en-US" w:eastAsia="zh-CN" w:bidi="ar-SA"/>
        </w:rPr>
        <w:t xml:space="preserve">（1）招标文件（含补充文件）、投标文件（含澄清说明）、中标通知书；</w:t>
      </w:r>
      <w:r/>
    </w:p>
    <w:p>
      <w:pPr>
        <w:pStyle w:val="921"/>
        <w:spacing w:line="360" w:lineRule="auto"/>
        <w:rPr>
          <w:rFonts w:hint="eastAsia" w:ascii="宋体" w:hAnsi="宋体" w:eastAsia="宋体" w:cs="宋体"/>
          <w:bCs w:val="0"/>
          <w:color w:val="auto"/>
          <w:sz w:val="21"/>
          <w:szCs w:val="21"/>
          <w:highlight w:val="none"/>
          <w:lang w:val="en-US" w:eastAsia="zh-CN" w:bidi="ar-SA"/>
        </w:rPr>
      </w:pPr>
      <w:r>
        <w:rPr>
          <w:rFonts w:hint="eastAsia" w:ascii="宋体" w:hAnsi="宋体" w:eastAsia="宋体" w:cs="宋体"/>
          <w:bCs w:val="0"/>
          <w:color w:val="auto"/>
          <w:sz w:val="21"/>
          <w:szCs w:val="21"/>
          <w:highlight w:val="none"/>
          <w:lang w:val="en-US" w:eastAsia="zh-CN" w:bidi="ar-SA"/>
        </w:rPr>
        <w:t xml:space="preserve">（2）本合同附件一：《建设工程施工合同（GF—2017—0201）第二部分 通用合同条款》（以下简称“施工通用条款”）。</w:t>
      </w:r>
      <w:r/>
    </w:p>
    <w:p>
      <w:pPr>
        <w:pStyle w:val="921"/>
        <w:spacing w:line="360" w:lineRule="auto"/>
        <w:rPr>
          <w:rFonts w:hint="eastAsia" w:ascii="宋体" w:hAnsi="宋体" w:eastAsia="宋体" w:cs="宋体"/>
          <w:bCs w:val="0"/>
          <w:color w:val="auto"/>
          <w:sz w:val="21"/>
          <w:szCs w:val="21"/>
          <w:highlight w:val="none"/>
          <w:lang w:val="en-US" w:eastAsia="zh-CN" w:bidi="ar-SA"/>
        </w:rPr>
      </w:pPr>
      <w:r>
        <w:rPr>
          <w:rFonts w:hint="eastAsia" w:ascii="宋体" w:hAnsi="宋体" w:eastAsia="宋体" w:cs="宋体"/>
          <w:bCs w:val="0"/>
          <w:color w:val="auto"/>
          <w:sz w:val="21"/>
          <w:szCs w:val="21"/>
          <w:highlight w:val="none"/>
          <w:lang w:val="en-US" w:eastAsia="zh-CN" w:bidi="ar-SA"/>
        </w:rPr>
      </w:r>
      <w:r/>
    </w:p>
    <w:p>
      <w:pPr>
        <w:pStyle w:val="921"/>
        <w:ind w:firstLine="420"/>
        <w:spacing w:line="360" w:lineRule="auto"/>
        <w:rPr>
          <w:rFonts w:hint="eastAsia" w:ascii="宋体" w:hAnsi="宋体" w:eastAsia="宋体" w:cs="宋体"/>
          <w:bCs w:val="0"/>
          <w:color w:val="auto"/>
          <w:sz w:val="21"/>
          <w:szCs w:val="21"/>
          <w:highlight w:val="none"/>
          <w:lang w:val="en-US" w:eastAsia="zh-CN" w:bidi="ar-SA"/>
        </w:rPr>
      </w:pPr>
      <w:r>
        <w:rPr>
          <w:rFonts w:hint="eastAsia" w:ascii="宋体" w:hAnsi="宋体" w:eastAsia="宋体" w:cs="宋体"/>
          <w:bCs w:val="0"/>
          <w:color w:val="auto"/>
          <w:sz w:val="21"/>
          <w:szCs w:val="21"/>
          <w:highlight w:val="none"/>
          <w:lang w:val="en-US" w:eastAsia="zh-CN" w:bidi="ar-SA"/>
        </w:rPr>
        <w:t xml:space="preserve">21.2 上述附件与本合同具有同等法律效力。关于本项目中拆除、安装、调试所涉及的施工管理、质量检验、隐蔽工程验收、变更签证、安全文明施工、材料检验、现场协调等具体技术性事项，本合同已有约定的从约定，未明确或需细化的，可参照施工通用条款的相关规定执行，但施工通用条款与本合同主要条款（如付款、违约责任、争议解决）不一致时，以本合同为准。</w:t>
      </w:r>
      <w:r/>
    </w:p>
    <w:p>
      <w:pPr>
        <w:pStyle w:val="921"/>
        <w:ind w:firstLine="420"/>
        <w:spacing w:line="360" w:lineRule="auto"/>
        <w:rPr>
          <w:rFonts w:hint="eastAsia" w:ascii="宋体" w:hAnsi="宋体" w:eastAsia="宋体" w:cs="宋体"/>
          <w:bCs w:val="0"/>
          <w:color w:val="auto"/>
          <w:sz w:val="21"/>
          <w:szCs w:val="21"/>
          <w:highlight w:val="none"/>
          <w:lang w:val="en-US" w:eastAsia="zh-CN" w:bidi="ar-SA"/>
        </w:rPr>
      </w:pPr>
      <w:r>
        <w:rPr>
          <w:rFonts w:hint="eastAsia" w:ascii="宋体" w:hAnsi="宋体" w:eastAsia="宋体" w:cs="宋体"/>
          <w:bCs w:val="0"/>
          <w:color w:val="auto"/>
          <w:sz w:val="21"/>
          <w:szCs w:val="21"/>
          <w:highlight w:val="none"/>
          <w:lang w:val="en-US" w:eastAsia="zh-CN" w:bidi="ar-SA"/>
        </w:rPr>
        <w:t xml:space="preserve">21.3 本合同其他附件（如设备清单、技术规格书等）仍按原约定执行。</w:t>
      </w:r>
      <w:r/>
    </w:p>
    <w:p>
      <w:pPr>
        <w:pStyle w:val="922"/>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pStyle w:val="921"/>
        <w:rPr>
          <w:highlight w:val="none"/>
        </w:rPr>
      </w:pPr>
      <w:r>
        <w:rPr>
          <w:highlight w:val="none"/>
        </w:rPr>
      </w:r>
      <w:r/>
    </w:p>
    <w:p>
      <w:pPr>
        <w:jc w:val="both"/>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p>
      <w:pPr>
        <w:ind w:firstLine="420"/>
        <w:jc w:val="both"/>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甲方：                        乙方： </w:t>
      </w:r>
      <w:r/>
    </w:p>
    <w:p>
      <w:pPr>
        <w:ind w:firstLine="420"/>
        <w:jc w:val="both"/>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地址：                        地址： </w:t>
      </w:r>
      <w:r/>
    </w:p>
    <w:p>
      <w:pPr>
        <w:ind w:firstLine="420"/>
        <w:jc w:val="both"/>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法定代表人或授权代表：        法定代表人或授权代表：</w:t>
      </w:r>
      <w:r/>
    </w:p>
    <w:p>
      <w:pPr>
        <w:ind w:firstLine="420"/>
        <w:jc w:val="both"/>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联系电话：                    联系电话：                            </w:t>
      </w:r>
      <w:r/>
    </w:p>
    <w:p>
      <w:pPr>
        <w:ind w:firstLine="42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420"/>
        <w:jc w:val="center"/>
        <w:spacing w:line="360" w:lineRule="auto"/>
        <w:widowControl w:val="off"/>
        <w:rPr>
          <w:rFonts w:ascii="宋体" w:hAnsi="Courier New" w:eastAsia="宋体" w:cs="Arial"/>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签订日期：      年    月   日</w:t>
      </w:r>
      <w:r/>
    </w:p>
    <w:p>
      <w:pPr>
        <w:pStyle w:val="917"/>
        <w:jc w:val="left"/>
        <w:widowControl w:val="off"/>
        <w:rPr>
          <w:rFonts w:hint="eastAsia" w:ascii="宋体" w:hAnsi="宋体" w:eastAsia="宋体" w:cs="宋体"/>
          <w:b w:val="0"/>
          <w:bCs w:val="0"/>
          <w:sz w:val="21"/>
          <w:szCs w:val="21"/>
          <w:highlight w:val="none"/>
          <w:lang w:val="en-US" w:eastAsia="zh-CN" w:bidi="ar-SA"/>
        </w:rPr>
      </w:pPr>
      <w:r>
        <w:rPr>
          <w:rFonts w:ascii="Times New Roman" w:hAnsi="Times New Roman" w:eastAsia="宋体" w:cs="Times New Roman"/>
          <w:b/>
          <w:sz w:val="28"/>
          <w:szCs w:val="28"/>
          <w:highlight w:val="none"/>
        </w:rPr>
        <w:br w:type="page" w:clear="all"/>
      </w:r>
      <w:bookmarkStart w:id="12" w:name="_Toc351203494"/>
      <w:r>
        <w:rPr>
          <w:rFonts w:hint="eastAsia" w:ascii="Times New Roman" w:hAnsi="Times New Roman" w:cs="Times New Roman"/>
          <w:b/>
          <w:sz w:val="28"/>
          <w:szCs w:val="28"/>
          <w:highlight w:val="none"/>
          <w:lang w:val="en-US" w:eastAsia="zh-CN"/>
        </w:rPr>
        <w:t xml:space="preserve">附件一</w:t>
      </w:r>
      <w:r/>
    </w:p>
    <w:p>
      <w:pPr>
        <w:jc w:val="center"/>
        <w:keepLines/>
        <w:keepNext/>
        <w:spacing w:before="260" w:after="260" w:line="240" w:lineRule="auto"/>
        <w:widowControl w:val="off"/>
        <w:rPr>
          <w:rFonts w:hint="eastAsia" w:ascii="宋体" w:hAnsi="宋体" w:eastAsia="宋体" w:cs="宋体"/>
          <w:b/>
          <w:bCs/>
          <w:sz w:val="21"/>
          <w:szCs w:val="21"/>
          <w:highlight w:val="none"/>
          <w:lang w:val="en-US" w:eastAsia="zh-CN" w:bidi="ar-SA"/>
        </w:rPr>
        <w:outlineLvl w:val="2"/>
      </w:pPr>
      <w:r>
        <w:rPr>
          <w:rFonts w:hint="eastAsia" w:ascii="宋体" w:hAnsi="宋体" w:eastAsia="宋体" w:cs="宋体"/>
          <w:b/>
          <w:bCs/>
          <w:sz w:val="21"/>
          <w:szCs w:val="21"/>
          <w:highlight w:val="none"/>
          <w:lang w:val="en-US" w:eastAsia="zh-CN" w:bidi="ar-SA"/>
        </w:rPr>
        <w:t xml:space="preserve">通用合同条款</w:t>
      </w:r>
      <w:bookmarkEnd w:id="12"/>
      <w:r/>
      <w:bookmarkStart w:id="13" w:name="_Toc337558727"/>
      <w:r>
        <w:rPr>
          <w:rFonts w:hint="eastAsia" w:ascii="宋体" w:hAnsi="宋体" w:eastAsia="宋体" w:cs="宋体"/>
          <w:b/>
          <w:bCs/>
          <w:sz w:val="21"/>
          <w:szCs w:val="21"/>
          <w:highlight w:val="none"/>
          <w:lang w:val="en-US" w:eastAsia="zh-CN" w:bidi="ar-SA"/>
        </w:rPr>
        <w:t xml:space="preserve">（GF—2017—0201）</w:t>
      </w:r>
      <w:r/>
    </w:p>
    <w:p>
      <w:pPr>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14" w:name="_Toc351203495"/>
      <w:r>
        <w:rPr>
          <w:rFonts w:hint="eastAsia" w:ascii="宋体" w:hAnsi="宋体" w:eastAsia="宋体" w:cs="宋体"/>
          <w:b w:val="0"/>
          <w:bCs/>
          <w:color w:val="000000"/>
          <w:sz w:val="21"/>
          <w:szCs w:val="21"/>
          <w:highlight w:val="none"/>
          <w:lang w:val="en-US" w:eastAsia="zh-CN" w:bidi="ar-SA"/>
        </w:rPr>
        <w:t xml:space="preserve">1.</w:t>
      </w:r>
      <w:bookmarkStart w:id="15" w:name="_Toc303538973"/>
      <w:r/>
      <w:bookmarkEnd w:id="15"/>
      <w:r/>
      <w:bookmarkStart w:id="16" w:name="_Toc303538974"/>
      <w:r/>
      <w:bookmarkEnd w:id="16"/>
      <w:r/>
      <w:bookmarkStart w:id="17" w:name="_Toc303538975"/>
      <w:r/>
      <w:bookmarkEnd w:id="17"/>
      <w:r/>
      <w:bookmarkStart w:id="18" w:name="_Toc303538972"/>
      <w:r/>
      <w:bookmarkEnd w:id="18"/>
      <w:r/>
      <w:bookmarkStart w:id="19" w:name="_Toc303538976"/>
      <w:r/>
      <w:bookmarkEnd w:id="19"/>
      <w:r/>
      <w:bookmarkStart w:id="20" w:name="_Toc296503027"/>
      <w:r/>
      <w:bookmarkStart w:id="21" w:name="_Toc296346528"/>
      <w:r>
        <w:rPr>
          <w:rFonts w:hint="eastAsia" w:ascii="宋体" w:hAnsi="宋体" w:eastAsia="宋体" w:cs="宋体"/>
          <w:b w:val="0"/>
          <w:bCs/>
          <w:color w:val="000000"/>
          <w:sz w:val="21"/>
          <w:szCs w:val="21"/>
          <w:highlight w:val="none"/>
          <w:lang w:val="en-US" w:eastAsia="zh-CN" w:bidi="ar-SA"/>
        </w:rPr>
        <w:t xml:space="preserve"> 一般约定</w:t>
      </w:r>
      <w:bookmarkEnd w:id="13"/>
      <w:r/>
      <w:bookmarkEnd w:id="14"/>
      <w:r/>
      <w:bookmarkEnd w:id="20"/>
      <w:r/>
      <w:bookmarkEnd w:id="21"/>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2" w:name="_Toc296503028"/>
      <w:r/>
      <w:bookmarkStart w:id="23" w:name="_Toc296346529"/>
      <w:r/>
      <w:bookmarkStart w:id="24" w:name="_Toc337558728"/>
      <w:r/>
      <w:bookmarkStart w:id="25" w:name="_Toc351203496"/>
      <w:r>
        <w:rPr>
          <w:rFonts w:hint="eastAsia" w:ascii="宋体" w:hAnsi="宋体" w:eastAsia="宋体" w:cs="宋体"/>
          <w:b w:val="0"/>
          <w:bCs/>
          <w:color w:val="000000"/>
          <w:sz w:val="21"/>
          <w:szCs w:val="21"/>
          <w:highlight w:val="none"/>
          <w:lang w:val="en-US" w:eastAsia="zh-CN" w:bidi="ar-SA"/>
        </w:rPr>
        <w:t xml:space="preserve">1.1词语定义</w:t>
      </w:r>
      <w:bookmarkEnd w:id="22"/>
      <w:r/>
      <w:bookmarkEnd w:id="23"/>
      <w:r/>
      <w:bookmarkEnd w:id="24"/>
      <w:r>
        <w:rPr>
          <w:rFonts w:hint="eastAsia" w:ascii="宋体" w:hAnsi="宋体" w:eastAsia="宋体" w:cs="宋体"/>
          <w:b w:val="0"/>
          <w:bCs/>
          <w:color w:val="000000"/>
          <w:sz w:val="21"/>
          <w:szCs w:val="21"/>
          <w:highlight w:val="none"/>
          <w:lang w:val="en-US" w:eastAsia="zh-CN" w:bidi="ar-SA"/>
        </w:rPr>
        <w:t xml:space="preserve">与解释</w:t>
      </w:r>
      <w:bookmarkEnd w:id="25"/>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合同协议书、通用合同条款、专用合同条款中的下列词语具有本款所赋予的含义：</w:t>
      </w:r>
      <w:r/>
    </w:p>
    <w:p>
      <w:pPr>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1.1.1 合同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 合同：是指根据法律规定和合同当事人约定具有约束力的文件，构成合同的文件包括合同协议书、中标通知书（如果有）、投标函及其附录（如果有）、专用合同条款</w:t>
      </w:r>
      <w:r>
        <w:rPr>
          <w:rFonts w:hint="eastAsia" w:ascii="宋体" w:hAnsi="宋体" w:eastAsia="宋体" w:cs="宋体"/>
          <w:color w:val="000000"/>
          <w:sz w:val="21"/>
          <w:szCs w:val="21"/>
          <w:highlight w:val="none"/>
        </w:rPr>
        <w:t xml:space="preserve">及其附件</w:t>
      </w:r>
      <w:r>
        <w:rPr>
          <w:rFonts w:hint="eastAsia" w:ascii="宋体" w:hAnsi="宋体" w:eastAsia="宋体" w:cs="宋体"/>
          <w:color w:val="000000"/>
          <w:sz w:val="21"/>
          <w:szCs w:val="21"/>
          <w:highlight w:val="none"/>
        </w:rPr>
        <w:t xml:space="preserve">、通用合同条款、技术标准和要求、图纸、已标价工程量清单或预算书以及其他合同文件。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1.1.1.2 合同协议书：是指构成合同的由发包人和承包人共同签署的称为“合同协议书”的书面文件。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1.1.1.3 中标通知书：是指构成合同的由发包人通知承包人中标的书面文件。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1.1.1.4 投标函：是指构成合同的由承包人填写并签署的用于投标的称为“投标函”的文件。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1.1.1.5 投标函附录：是指构成合同的附在投标函后的称为“投标函附录”的文件。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1.1.1.6 技术标准和要求：是指构成合同的施工应当遵守的或指导施工的国家、行业或地方的技术标准和要求，以及合同约定的技术标准和要求。</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firstLine="40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1.1.1.8 已标价工程量清单：是指构成合同的由承包人按照规定的格式和要求填写并标明价格的工程量清单，包括说明和表格。</w:t>
      </w:r>
      <w:r/>
    </w:p>
    <w:p>
      <w:pPr>
        <w:ind w:firstLine="40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1.1.1.9 预算书：是指构成合同的由承包人按照发包人规定的格式和要求编制的工程预算文件。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1.1.1.10 其他合同文件：是指经合同当事人约定的与工程施工有关的具有合同约束力的文件或书面协议。合同当事人可以在专用合同条款中进行约定。</w:t>
      </w:r>
      <w:r/>
    </w:p>
    <w:p>
      <w:pPr>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1.1.2 合同当事人及其他相关方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1.1.2.1 合同当事人：是指发包人和（或）承包人。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1.1.2.2 发包人：是指与承包人签订合同协议书的当事人及取得该当事人资格的合法继承人。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1.1.2.3 承包人：是指与发包人签订合同协议书的，具有相应工程施工承包资质的当事人及取得该当事人资格的合法继承人。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1.1.2.4 监理人：是指在专用合同条款中指明的，受发包人委托按照法律规定进行工程监督管理的法人或其他组织。</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1.1.2.5 设计人：是指在专用合同条款中指明的，受发包人委托负责工程设计并具备相应工程设计资质的法人或其他组织。</w:t>
      </w:r>
      <w:r/>
    </w:p>
    <w:p>
      <w:pPr>
        <w:ind w:firstLine="40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1.1.2.6 分包人：</w:t>
      </w:r>
      <w:bookmarkStart w:id="26" w:name="#go5"/>
      <w:r/>
      <w:bookmarkEnd w:id="26"/>
      <w:r>
        <w:rPr>
          <w:rFonts w:hint="eastAsia" w:ascii="宋体" w:hAnsi="宋体" w:eastAsia="宋体" w:cs="宋体"/>
          <w:color w:val="000000"/>
          <w:sz w:val="21"/>
          <w:szCs w:val="21"/>
          <w:highlight w:val="none"/>
        </w:rPr>
        <w:t xml:space="preserve">是指按照法律规定和合同约定，分包部分工程或工作，并与承包人签订分包合同的具有相应资质的法人。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1.1.2.7 发包人代表：是指由发包人任命并派驻施工现场在发包人授权范围内行使发包人权利的人。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1.1.2.8 项目经理：是指由承包人任命并派驻施工现场，在承包人授权范围内负责合同履行，且按照法律规定具有相应资格的项目负责人。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1.1.2.9 总监理工程师：是指由监理人任命并派驻施工现场进行工程监理的总负责人。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 工程：是指与合同协议书中工程承包范围对应的永久工程和（或）临时工程。</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1.1.3.2 永久工程：是指按合同约定建造并移交给发包人的工程，包括工程设备。</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1.1.3.3 临时工程：是指为完成合同约定的永久工程所修建的各类临时性工程，不包括施工设备。</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1.1.3.4 单位工程：是指在合同协议书中指明的，具备独立施工条件并能形成独立使用功能的永久工程。</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1.1.3.5 工程设备：是指构成永久工程的机电设备、金属结构设备、仪器及其他类似的设备和装置。</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1.1.3.6 施工设备：是指为完成合同约定的各项工作所需的设备、器具和其他物品，但不包括工程设备、临时工程和材料。</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1.1.3.7 施工现场：是指用于工程施工的场所，以及在专用合同条款中指明作为施工场所组成部分的其他场所，包括永久占地和临时占地。</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1.1.3.8临时设施：是指为完成合同约定的各项工作所服务的临时性生产和生活设施。</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1.1.3.9 永久占地：是指专用合同条款中指明为实施工程需永久占用的土地。</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1.1.3.10 临时占地：是指专用合同条款中指明为实施工程需要临时占用的土地。</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 日期和期限</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1.1.4.2 竣工日期：包括计划竣工日期和实际竣工日期。计划竣工日期是指合同协议书约定的竣工日期；实际竣工日期按照第13.2.3项〔竣工日期〕的约定确定。 </w:t>
      </w:r>
      <w:r/>
    </w:p>
    <w:p>
      <w:pPr>
        <w:ind w:firstLine="426"/>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1.1.4.3 工期：是指在合同协议书约定的承包人完成工程所需的期限，包括按照合同约定所作的期限变更。</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1.1.4.4 缺陷责任期：是指承包人按照合同约定承担缺陷修复义务，且发包人预留质量保证金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已缴纳履约保证金的除外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的期限，自工程实际竣工日期起计算。</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1.1.4.5 保修期：是指承包人按照合同约定对工程承担保修责任的期限，从工程竣工验收合格之日起计算。</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1.1.4.6 基准日期：招标发包的工程以投标截止日前28天的日期为基准日期，直接发包的工程以合同签订日前28天的日期为基准日期。</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1.1.4.7 天：除特别指明外，均指日历天。合同中按天计算时间的，开始当天不计入，从次日开始计算，期限最后一天的截止时间为当天24:00时。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 合同价格和费用</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1.1.5.1 签约合同价：是指</w:t>
      </w:r>
      <w:r>
        <w:rPr>
          <w:rFonts w:hint="eastAsia" w:ascii="宋体" w:hAnsi="宋体" w:eastAsia="宋体" w:cs="宋体"/>
          <w:color w:val="000000"/>
          <w:sz w:val="21"/>
          <w:szCs w:val="21"/>
          <w:highlight w:val="none"/>
        </w:rPr>
        <w:t xml:space="preserve">发包人和承包人在合同协议书中确定的总金额，包括安全文明施工费、暂估价及暂列金额等。</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1.1.5.2 合同价格：是指发包人用于支付承包人按照合同约定完成承包范围内全部工作的金额，包括合同履行过程中按合同约定发生的价格变化。</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1.1.5.3 费用：是指为履行合同所发生的或将要发生的所有必需的开支，包括管理费和应分摊的其他费用，但不包括利润。</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1.1.5.4 暂估价：是指发包人在工程量清单或预算书中提供的用于支付必然发生但暂时不能确定价格的材料、工程设备的单价、专业工程以及服务工作的金额。</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1.1.5.6 计日工：是指合同履行过程中，承包人完成发包人提出的零星工作或需要采用计日工计价的变更工作时，按合同中约定的单价计价的一种方式。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1.1.5.7 质量保证金</w:t>
      </w:r>
      <w:bookmarkStart w:id="27" w:name="#go2"/>
      <w:r/>
      <w:bookmarkEnd w:id="27"/>
      <w:r>
        <w:rPr>
          <w:rFonts w:hint="eastAsia" w:ascii="宋体" w:hAnsi="宋体" w:eastAsia="宋体" w:cs="宋体"/>
          <w:color w:val="000000"/>
          <w:sz w:val="21"/>
          <w:szCs w:val="21"/>
          <w:highlight w:val="none"/>
        </w:rPr>
        <w:t xml:space="preserve">：是指按照第15.3款〔质量保证金〕约定承包人用于保证其在缺陷责任期内履行缺陷修补义务的担保</w:t>
      </w:r>
      <w:r>
        <w:rPr>
          <w:rFonts w:hint="eastAsia" w:ascii="宋体" w:hAnsi="宋体" w:eastAsia="宋体" w:cs="宋体"/>
          <w:color w:val="000000"/>
          <w:sz w:val="21"/>
          <w:szCs w:val="21"/>
          <w:highlight w:val="none"/>
        </w:rPr>
        <w:t xml:space="preserve">。</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1.1.5.8 总价项目：是指在现行国家、行业以及地方的计量规则中无工程量计算规则，在已标价工程量清单或预算书中以总价或以费率形式计算的项目。</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 其他</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1.1.6.1 书面形式：是指合同文件、信函、电报、传真等可以有形地表现所载内容的形式。</w:t>
      </w:r>
      <w:r/>
    </w:p>
    <w:p>
      <w:pPr>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rPr>
          <w:rFonts w:hint="eastAsia" w:ascii="宋体" w:hAnsi="宋体" w:eastAsia="宋体" w:cs="宋体"/>
          <w:b w:val="0"/>
          <w:bCs/>
          <w:color w:val="000000"/>
          <w:sz w:val="21"/>
          <w:szCs w:val="21"/>
          <w:highlight w:val="none"/>
          <w:lang w:val="en-US" w:eastAsia="zh-CN" w:bidi="ar-SA"/>
        </w:rPr>
        <w:t xml:space="preserve">    </w:t>
      </w:r>
      <w:bookmarkStart w:id="28" w:name="_Toc337558729"/>
      <w:r/>
      <w:bookmarkStart w:id="29" w:name="_Toc296346530"/>
      <w:r/>
      <w:bookmarkStart w:id="30" w:name="_Toc296503029"/>
      <w:r/>
      <w:bookmarkStart w:id="31" w:name="_Toc351203497"/>
      <w:r>
        <w:rPr>
          <w:rFonts w:hint="eastAsia" w:ascii="宋体" w:hAnsi="宋体" w:eastAsia="宋体" w:cs="宋体"/>
          <w:b w:val="0"/>
          <w:bCs/>
          <w:color w:val="000000"/>
          <w:sz w:val="21"/>
          <w:szCs w:val="21"/>
          <w:highlight w:val="none"/>
          <w:lang w:val="en-US" w:eastAsia="zh-CN" w:bidi="ar-SA"/>
        </w:rPr>
        <w:t xml:space="preserve">1.2语言文字</w:t>
      </w:r>
      <w:bookmarkEnd w:id="28"/>
      <w:r/>
      <w:bookmarkEnd w:id="29"/>
      <w:r/>
      <w:bookmarkEnd w:id="30"/>
      <w:r/>
      <w:bookmarkEnd w:id="31"/>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合同以中国的汉语简体文字编写、解释和说明。合同当事人在专用合同条款中约定使用两种以上语言时，汉语为优先解释和说明合同的语言。</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2" w:name="_Toc351203498"/>
      <w:r/>
      <w:bookmarkStart w:id="33" w:name="_Toc296346531"/>
      <w:r/>
      <w:bookmarkStart w:id="34" w:name="_Toc337558730"/>
      <w:r/>
      <w:bookmarkStart w:id="35" w:name="_Toc296503030"/>
      <w:r>
        <w:rPr>
          <w:rFonts w:hint="eastAsia" w:ascii="宋体" w:hAnsi="宋体" w:eastAsia="宋体" w:cs="宋体"/>
          <w:b w:val="0"/>
          <w:bCs/>
          <w:color w:val="000000"/>
          <w:sz w:val="21"/>
          <w:szCs w:val="21"/>
          <w:highlight w:val="none"/>
          <w:lang w:val="en-US" w:eastAsia="zh-CN" w:bidi="ar-SA"/>
        </w:rPr>
        <w:t xml:space="preserve">1.3法律</w:t>
      </w:r>
      <w:bookmarkEnd w:id="32"/>
      <w:r/>
      <w:bookmarkEnd w:id="33"/>
      <w:r/>
      <w:bookmarkEnd w:id="34"/>
      <w:r/>
      <w:bookmarkEnd w:id="35"/>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合同所称法律是指中华人民共和国法律、行政法规、部门规章，以及工程所在地的地方性法规、自治条例、单行条例和地方政府规章等。</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合同当事人可以在专用合同条款中约定合同适用的其他规范性文件。</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6" w:name="_Toc351203499"/>
      <w:r>
        <w:rPr>
          <w:rFonts w:hint="eastAsia" w:ascii="宋体" w:hAnsi="宋体" w:eastAsia="宋体" w:cs="宋体"/>
          <w:b w:val="0"/>
          <w:bCs/>
          <w:color w:val="000000"/>
          <w:sz w:val="21"/>
          <w:szCs w:val="21"/>
          <w:highlight w:val="none"/>
          <w:lang w:val="en-US" w:eastAsia="zh-CN" w:bidi="ar-SA"/>
        </w:rPr>
        <w:t xml:space="preserve">1.4 标准和规范</w:t>
      </w:r>
      <w:bookmarkEnd w:id="36"/>
      <w:r/>
      <w:r/>
    </w:p>
    <w:p>
      <w:pPr>
        <w:ind w:firstLine="64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适用于工程的国家标准、行业标准、工程所在地的地方性标准，以及相应的规范、规程等，合同当事人有特别要求的，应在专用合同条款中约定。</w:t>
      </w:r>
      <w:r/>
    </w:p>
    <w:p>
      <w:pPr>
        <w:ind w:firstLine="64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发包人要求使用国外标准、规范的，发包人负责提供原文版本和中文译本，并在专用合同条款中约定提供标准规范的名称、份数和时间。</w:t>
      </w:r>
      <w:r/>
    </w:p>
    <w:p>
      <w:pPr>
        <w:ind w:firstLine="64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7" w:name="_Toc351203500"/>
      <w:r>
        <w:rPr>
          <w:rFonts w:hint="eastAsia" w:ascii="宋体" w:hAnsi="宋体" w:eastAsia="宋体" w:cs="宋体"/>
          <w:b w:val="0"/>
          <w:bCs/>
          <w:color w:val="000000"/>
          <w:sz w:val="21"/>
          <w:szCs w:val="21"/>
          <w:highlight w:val="none"/>
          <w:lang w:val="en-US" w:eastAsia="zh-CN" w:bidi="ar-SA"/>
        </w:rPr>
        <w:t xml:space="preserve">1</w:t>
      </w:r>
      <w:bookmarkStart w:id="38" w:name="_Toc337558731"/>
      <w:r/>
      <w:bookmarkStart w:id="39" w:name="_Toc296503031"/>
      <w:r/>
      <w:bookmarkStart w:id="40" w:name="_Toc296346532"/>
      <w:r>
        <w:rPr>
          <w:rFonts w:hint="eastAsia" w:ascii="宋体" w:hAnsi="宋体" w:eastAsia="宋体" w:cs="宋体"/>
          <w:b w:val="0"/>
          <w:bCs/>
          <w:color w:val="000000"/>
          <w:sz w:val="21"/>
          <w:szCs w:val="21"/>
          <w:highlight w:val="none"/>
          <w:lang w:val="en-US" w:eastAsia="zh-CN" w:bidi="ar-SA"/>
        </w:rPr>
        <w:t xml:space="preserve">.5 合同文件的优先顺序</w:t>
      </w:r>
      <w:bookmarkEnd w:id="37"/>
      <w:r/>
      <w:bookmarkEnd w:id="38"/>
      <w:r/>
      <w:bookmarkEnd w:id="39"/>
      <w:r/>
      <w:bookmarkEnd w:id="40"/>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组成合同的各项文件应互相解释，互为说明。除专用合同条款另有约定外，解释合同文件的优先顺序如下：</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（1）合同协议书；</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（2）中标通知书（如果有）；</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（3）投标函及其附录（如果有）；</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（4）专用合同条款</w:t>
      </w:r>
      <w:r>
        <w:rPr>
          <w:rFonts w:hint="eastAsia" w:ascii="宋体" w:hAnsi="宋体" w:eastAsia="宋体" w:cs="宋体"/>
          <w:color w:val="000000"/>
          <w:sz w:val="21"/>
          <w:szCs w:val="21"/>
          <w:highlight w:val="none"/>
        </w:rPr>
        <w:t xml:space="preserve">及其附件</w:t>
      </w:r>
      <w:r>
        <w:rPr>
          <w:rFonts w:hint="eastAsia" w:ascii="宋体" w:hAnsi="宋体" w:eastAsia="宋体" w:cs="宋体"/>
          <w:color w:val="000000"/>
          <w:sz w:val="21"/>
          <w:szCs w:val="21"/>
          <w:highlight w:val="none"/>
        </w:rPr>
        <w:t xml:space="preserve">；</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（5）通用合同条款；</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（6）技术标准和要求；</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（7）图纸；</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（8）已标价工程量清单或预算书；</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（9）其他合同文件。</w:t>
      </w:r>
      <w:r/>
    </w:p>
    <w:p>
      <w:pPr>
        <w:ind w:firstLine="447"/>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w:t>
      </w:r>
      <w:r/>
    </w:p>
    <w:p>
      <w:pPr>
        <w:ind w:firstLine="447"/>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在合同订立及履行过程中形成的与合同有关的文件均构成合同文件组成部分，并根据其性质确定优先解释顺序。</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41" w:name="_Toc351203501"/>
      <w:r>
        <w:rPr>
          <w:rFonts w:hint="eastAsia" w:ascii="宋体" w:hAnsi="宋体" w:eastAsia="宋体" w:cs="宋体"/>
          <w:b w:val="0"/>
          <w:bCs/>
          <w:color w:val="000000"/>
          <w:sz w:val="21"/>
          <w:szCs w:val="21"/>
          <w:highlight w:val="none"/>
          <w:lang w:val="en-US" w:eastAsia="zh-CN" w:bidi="ar-SA"/>
        </w:rPr>
        <w:t xml:space="preserve">1</w:t>
      </w:r>
      <w:bookmarkStart w:id="42" w:name="_Toc337558732"/>
      <w:r/>
      <w:bookmarkStart w:id="43" w:name="_Toc296346533"/>
      <w:r/>
      <w:bookmarkStart w:id="44" w:name="_Toc296503032"/>
      <w:r>
        <w:rPr>
          <w:rFonts w:hint="eastAsia" w:ascii="宋体" w:hAnsi="宋体" w:eastAsia="宋体" w:cs="宋体"/>
          <w:b w:val="0"/>
          <w:bCs/>
          <w:color w:val="000000"/>
          <w:sz w:val="21"/>
          <w:szCs w:val="21"/>
          <w:highlight w:val="none"/>
          <w:lang w:val="en-US" w:eastAsia="zh-CN" w:bidi="ar-SA"/>
        </w:rPr>
        <w:t xml:space="preserve">.6图纸和承包人文件</w:t>
      </w:r>
      <w:bookmarkEnd w:id="41"/>
      <w:r/>
      <w:bookmarkEnd w:id="42"/>
      <w:r/>
      <w:bookmarkEnd w:id="43"/>
      <w:r/>
      <w:bookmarkEnd w:id="44"/>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图纸的提供和交底</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因发包人未按合同约定提供图纸导致承包人费用增加和（或）工期延误的，按照第7.5.1项〔因发包人原因导致工期延误〕约定办理。</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图纸的错误</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 图纸的修改和补充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1.6.4 承包人文件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承包人应按照专用合同条款的约定提供应当由其编制的与工程施工有关的文件，并按照专用合同条款约定的期限、数量和形式提交监理人，并由监理人报送发包人。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1.6.5 图纸和承包人文件的保管</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除专用合同条款另有约定外，承包人应在施工现场另外保存一套完整的图纸和承包人文件，供发包人、监理人及有关人员进行工程检查时使用。</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45" w:name="_Toc351203502"/>
      <w:r>
        <w:rPr>
          <w:rFonts w:hint="eastAsia" w:ascii="宋体" w:hAnsi="宋体" w:eastAsia="宋体" w:cs="宋体"/>
          <w:b w:val="0"/>
          <w:bCs/>
          <w:color w:val="000000"/>
          <w:sz w:val="21"/>
          <w:szCs w:val="21"/>
          <w:highlight w:val="none"/>
          <w:lang w:val="en-US" w:eastAsia="zh-CN" w:bidi="ar-SA"/>
        </w:rPr>
        <w:t xml:space="preserve">1</w:t>
      </w:r>
      <w:bookmarkStart w:id="46" w:name="_Toc337558733"/>
      <w:r/>
      <w:bookmarkStart w:id="47" w:name="_Toc296503033"/>
      <w:r/>
      <w:bookmarkStart w:id="48" w:name="_Toc296346534"/>
      <w:r>
        <w:rPr>
          <w:rFonts w:hint="eastAsia" w:ascii="宋体" w:hAnsi="宋体" w:eastAsia="宋体" w:cs="宋体"/>
          <w:b w:val="0"/>
          <w:bCs/>
          <w:color w:val="000000"/>
          <w:sz w:val="21"/>
          <w:szCs w:val="21"/>
          <w:highlight w:val="none"/>
          <w:lang w:val="en-US" w:eastAsia="zh-CN" w:bidi="ar-SA"/>
        </w:rPr>
        <w:t xml:space="preserve">.7联络</w:t>
      </w:r>
      <w:bookmarkEnd w:id="45"/>
      <w:r/>
      <w:bookmarkEnd w:id="46"/>
      <w:r/>
      <w:bookmarkEnd w:id="47"/>
      <w:r/>
      <w:bookmarkEnd w:id="48"/>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与合同有关的通知、批准、证明、证书、指示、指令、要求、请求、同意、意见、确定和决定等，均应采用书面形式，并应在合同约定的期限内送达接收人和送达地点。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 发包人和承包人应在专用合同条款中约定各自的送达接收人和送达地点。任何一方合同当事人指定的接收人或送达地点发生变动的，应提前3天以书面形式通知对方。</w:t>
      </w:r>
      <w:r/>
    </w:p>
    <w:p>
      <w:pPr>
        <w:ind w:firstLine="420"/>
        <w:jc w:val="left"/>
        <w:spacing w:line="240" w:lineRule="auto"/>
        <w:rPr>
          <w:rFonts w:hint="eastAsia" w:ascii="宋体" w:hAnsi="宋体" w:eastAsia="宋体" w:cs="宋体"/>
          <w:color w:val="ff0000"/>
          <w:sz w:val="21"/>
          <w:szCs w:val="21"/>
          <w:highlight w:val="none"/>
        </w:rPr>
      </w:pPr>
      <w:r>
        <w:rPr>
          <w:rFonts w:hint="eastAsia" w:ascii="宋体" w:hAnsi="宋体" w:eastAsia="宋体" w:cs="宋体"/>
          <w:color w:val="000000"/>
          <w:sz w:val="21"/>
          <w:szCs w:val="21"/>
          <w:highlight w:val="none"/>
        </w:rPr>
        <w:t xml:space="preserve">1.7.3 发包人和承包人应当及时签收另一方送达至送达地点和指定接收人的来往信函。拒不签收的，由此增加的费用和（或）延误的工期由拒绝接收一方承担。</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49" w:name="_Toc351203503"/>
      <w:r>
        <w:rPr>
          <w:rFonts w:hint="eastAsia" w:ascii="宋体" w:hAnsi="宋体" w:eastAsia="宋体" w:cs="宋体"/>
          <w:b w:val="0"/>
          <w:bCs/>
          <w:color w:val="000000"/>
          <w:sz w:val="21"/>
          <w:szCs w:val="21"/>
          <w:highlight w:val="none"/>
          <w:lang w:val="en-US" w:eastAsia="zh-CN" w:bidi="ar-SA"/>
        </w:rPr>
        <w:t xml:space="preserve">1</w:t>
      </w:r>
      <w:bookmarkStart w:id="50" w:name="_Toc337558734"/>
      <w:r/>
      <w:bookmarkStart w:id="51" w:name="_Toc296503035"/>
      <w:r/>
      <w:bookmarkStart w:id="52" w:name="_Toc296346536"/>
      <w:r>
        <w:rPr>
          <w:rFonts w:hint="eastAsia" w:ascii="宋体" w:hAnsi="宋体" w:eastAsia="宋体" w:cs="宋体"/>
          <w:b w:val="0"/>
          <w:bCs/>
          <w:color w:val="000000"/>
          <w:sz w:val="21"/>
          <w:szCs w:val="21"/>
          <w:highlight w:val="none"/>
          <w:lang w:val="en-US" w:eastAsia="zh-CN" w:bidi="ar-SA"/>
        </w:rPr>
        <w:t xml:space="preserve">.8严禁贿赂</w:t>
      </w:r>
      <w:bookmarkEnd w:id="49"/>
      <w:r/>
      <w:bookmarkEnd w:id="50"/>
      <w:r/>
      <w:bookmarkEnd w:id="51"/>
      <w:r/>
      <w:bookmarkEnd w:id="52"/>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合同当事人不得以贿赂或变相贿赂的方式，谋取非法利益或损害对方权益。因一方合同当事人的贿赂造成对方损失的，应赔偿损失，并承担相应的法律责任。</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53" w:name="_Toc351203504"/>
      <w:r>
        <w:rPr>
          <w:rFonts w:hint="eastAsia" w:ascii="宋体" w:hAnsi="宋体" w:eastAsia="宋体" w:cs="宋体"/>
          <w:b w:val="0"/>
          <w:bCs/>
          <w:color w:val="000000"/>
          <w:sz w:val="21"/>
          <w:szCs w:val="21"/>
          <w:highlight w:val="none"/>
          <w:lang w:val="en-US" w:eastAsia="zh-CN" w:bidi="ar-SA"/>
        </w:rPr>
        <w:t xml:space="preserve">1</w:t>
      </w:r>
      <w:bookmarkStart w:id="54" w:name="_Toc296346537"/>
      <w:r/>
      <w:bookmarkStart w:id="55" w:name="_Toc296503036"/>
      <w:r/>
      <w:bookmarkStart w:id="56" w:name="_Toc337558735"/>
      <w:r>
        <w:rPr>
          <w:rFonts w:hint="eastAsia" w:ascii="宋体" w:hAnsi="宋体" w:eastAsia="宋体" w:cs="宋体"/>
          <w:b w:val="0"/>
          <w:bCs/>
          <w:color w:val="000000"/>
          <w:sz w:val="21"/>
          <w:szCs w:val="21"/>
          <w:highlight w:val="none"/>
          <w:lang w:val="en-US" w:eastAsia="zh-CN" w:bidi="ar-SA"/>
        </w:rPr>
        <w:t xml:space="preserve">.9化石、文物</w:t>
      </w:r>
      <w:bookmarkEnd w:id="53"/>
      <w:r/>
      <w:bookmarkEnd w:id="54"/>
      <w:r/>
      <w:bookmarkEnd w:id="55"/>
      <w:r/>
      <w:bookmarkEnd w:id="56"/>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发包人、监理人和承包人应按有关政府行政管理部门要求采取妥善的保护措施，由此增加的费用和（或）延误的工期由发包人承担。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承包人发现文物后不及时报告或隐瞒不报，致使文物丢失或损坏的，应赔偿损失，并承担相应的法律责任。</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57" w:name="_Toc351203505"/>
      <w:r>
        <w:rPr>
          <w:rFonts w:hint="eastAsia" w:ascii="宋体" w:hAnsi="宋体" w:eastAsia="宋体" w:cs="宋体"/>
          <w:b w:val="0"/>
          <w:bCs/>
          <w:color w:val="000000"/>
          <w:sz w:val="21"/>
          <w:szCs w:val="21"/>
          <w:highlight w:val="none"/>
          <w:lang w:val="en-US" w:eastAsia="zh-CN" w:bidi="ar-SA"/>
        </w:rPr>
        <w:t xml:space="preserve">1</w:t>
      </w:r>
      <w:bookmarkStart w:id="58" w:name="_Toc337558736"/>
      <w:r>
        <w:rPr>
          <w:rFonts w:hint="eastAsia" w:ascii="宋体" w:hAnsi="宋体" w:eastAsia="宋体" w:cs="宋体"/>
          <w:b w:val="0"/>
          <w:bCs/>
          <w:color w:val="000000"/>
          <w:sz w:val="21"/>
          <w:szCs w:val="21"/>
          <w:highlight w:val="none"/>
          <w:lang w:val="en-US" w:eastAsia="zh-CN" w:bidi="ar-SA"/>
        </w:rPr>
        <w:t xml:space="preserve">.10交通运输</w:t>
      </w:r>
      <w:bookmarkEnd w:id="57"/>
      <w:r/>
      <w:bookmarkEnd w:id="58"/>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1.10.1 出入现场的权利</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1.10.2 场外交通</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1.10.3场内交通</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场外交通和场内交通的边界由合同当事人在专用合同条款中约定。</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1.10.4 超大件和超重件的运输</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1.10.5 道路和桥梁的损坏责任</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因承包人运输造成施工场地内外公共道路和桥梁损坏的，由承包人承担修复损坏的全部费用和可能引起的赔偿。</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1.10.6 水路和航空运输</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本款前述各项的内容适用于水路运输和航空运输，其中“道路”一词的涵义包括河道、航线、船闸、机场、码头、堤防以及水路或航空运输中其他相似结构物；“车辆”一词的涵义包括船舶和飞机等。</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59" w:name="_Toc351203506"/>
      <w:r>
        <w:rPr>
          <w:rFonts w:hint="eastAsia" w:ascii="宋体" w:hAnsi="宋体" w:eastAsia="宋体" w:cs="宋体"/>
          <w:b w:val="0"/>
          <w:bCs/>
          <w:color w:val="000000"/>
          <w:sz w:val="21"/>
          <w:szCs w:val="21"/>
          <w:highlight w:val="none"/>
          <w:lang w:val="en-US" w:eastAsia="zh-CN" w:bidi="ar-SA"/>
        </w:rPr>
        <w:t xml:space="preserve">1</w:t>
      </w:r>
      <w:bookmarkStart w:id="60" w:name="_Toc337558737"/>
      <w:r/>
      <w:bookmarkStart w:id="61" w:name="_Toc296346538"/>
      <w:r/>
      <w:bookmarkStart w:id="62" w:name="_Toc296503037"/>
      <w:r>
        <w:rPr>
          <w:rFonts w:hint="eastAsia" w:ascii="宋体" w:hAnsi="宋体" w:eastAsia="宋体" w:cs="宋体"/>
          <w:b w:val="0"/>
          <w:bCs/>
          <w:color w:val="000000"/>
          <w:sz w:val="21"/>
          <w:szCs w:val="21"/>
          <w:highlight w:val="none"/>
          <w:lang w:val="en-US" w:eastAsia="zh-CN" w:bidi="ar-SA"/>
        </w:rPr>
        <w:t xml:space="preserve">.11知识产权</w:t>
      </w:r>
      <w:bookmarkEnd w:id="59"/>
      <w:r>
        <w:rPr>
          <w:rFonts w:hint="eastAsia" w:ascii="宋体" w:hAnsi="宋体" w:eastAsia="宋体" w:cs="宋体"/>
          <w:b w:val="0"/>
          <w:bCs/>
          <w:color w:val="000000"/>
          <w:sz w:val="21"/>
          <w:szCs w:val="21"/>
          <w:highlight w:val="none"/>
          <w:lang w:val="en-US" w:eastAsia="zh-CN" w:bidi="ar-SA"/>
        </w:rPr>
        <w:t xml:space="preserve"> </w:t>
      </w:r>
      <w:bookmarkEnd w:id="60"/>
      <w:r/>
      <w:bookmarkEnd w:id="61"/>
      <w:r/>
      <w:bookmarkEnd w:id="62"/>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spacing w:line="24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1.11.4 除专用合同条款另有约定外，承包人在合同签订前和签订时已确定采用的专利、专有技术、技术秘密的使用费已包含在签约合同价中。</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63" w:name="_Toc351203507"/>
      <w:r>
        <w:rPr>
          <w:rFonts w:hint="eastAsia" w:ascii="宋体" w:hAnsi="宋体" w:eastAsia="宋体" w:cs="宋体"/>
          <w:b w:val="0"/>
          <w:bCs/>
          <w:color w:val="000000"/>
          <w:sz w:val="21"/>
          <w:szCs w:val="21"/>
          <w:highlight w:val="none"/>
          <w:lang w:val="en-US" w:eastAsia="zh-CN" w:bidi="ar-SA"/>
        </w:rPr>
        <w:t xml:space="preserve">1</w:t>
      </w:r>
      <w:bookmarkStart w:id="64" w:name="_Toc337558738"/>
      <w:r>
        <w:rPr>
          <w:rFonts w:hint="eastAsia" w:ascii="宋体" w:hAnsi="宋体" w:eastAsia="宋体" w:cs="宋体"/>
          <w:b w:val="0"/>
          <w:bCs/>
          <w:color w:val="000000"/>
          <w:sz w:val="21"/>
          <w:szCs w:val="21"/>
          <w:highlight w:val="none"/>
          <w:lang w:val="en-US" w:eastAsia="zh-CN" w:bidi="ar-SA"/>
        </w:rPr>
        <w:t xml:space="preserve">.12保密</w:t>
      </w:r>
      <w:bookmarkEnd w:id="63"/>
      <w:r/>
      <w:bookmarkEnd w:id="64"/>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除法律规定或合同另有约定外，未经发包人同意，承包人不得将发包人提供的图纸、文件以及声明需要保密的资料信息等商业秘密泄露给第三方。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除法律规定或合同另有约定外，未经承包人同意，发包人不得将承包人提供的技术秘密及声明需要保密的资料信息等商业秘密泄露给第三方。</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65" w:name="_Toc351203508"/>
      <w:r>
        <w:rPr>
          <w:rFonts w:hint="eastAsia" w:ascii="宋体" w:hAnsi="宋体" w:eastAsia="宋体" w:cs="宋体"/>
          <w:b w:val="0"/>
          <w:bCs/>
          <w:color w:val="000000"/>
          <w:sz w:val="21"/>
          <w:szCs w:val="21"/>
          <w:highlight w:val="none"/>
          <w:lang w:val="en-US" w:eastAsia="zh-CN" w:bidi="ar-SA"/>
        </w:rPr>
        <w:t xml:space="preserve">1.13工程量清单错误的修正</w:t>
      </w:r>
      <w:bookmarkEnd w:id="65"/>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除专用合同条款另有约定外，发包人提供的工程量清单，应被认为是准确的和完整的。出现下列情形之一时，发包人应予以修正，并相应调整合同价格：</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（1）工程量清单存在缺项、漏项的；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（2）工程量清单偏差超出专用合同条款约定的工程量偏差范围的；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（3）未按照国家现行计量规范强制性规定计量的。</w:t>
      </w:r>
      <w:r/>
    </w:p>
    <w:p>
      <w:pPr>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66" w:name="_Toc351203509"/>
      <w:r>
        <w:rPr>
          <w:rFonts w:hint="eastAsia" w:ascii="宋体" w:hAnsi="宋体" w:eastAsia="宋体" w:cs="宋体"/>
          <w:b w:val="0"/>
          <w:bCs/>
          <w:color w:val="000000"/>
          <w:sz w:val="21"/>
          <w:szCs w:val="21"/>
          <w:highlight w:val="none"/>
          <w:lang w:val="en-US" w:eastAsia="zh-CN" w:bidi="ar-SA"/>
        </w:rPr>
        <w:t xml:space="preserve">2</w:t>
      </w:r>
      <w:bookmarkStart w:id="67" w:name="_Toc296503038"/>
      <w:r/>
      <w:bookmarkStart w:id="68" w:name="_Toc296346539"/>
      <w:r/>
      <w:bookmarkStart w:id="69" w:name="_Toc337558739"/>
      <w:r/>
      <w:bookmarkStart w:id="70" w:name="OLE_LINK2"/>
      <w:r>
        <w:rPr>
          <w:rFonts w:hint="eastAsia" w:ascii="宋体" w:hAnsi="宋体" w:eastAsia="宋体" w:cs="宋体"/>
          <w:b w:val="0"/>
          <w:bCs/>
          <w:color w:val="000000"/>
          <w:sz w:val="21"/>
          <w:szCs w:val="21"/>
          <w:highlight w:val="none"/>
          <w:lang w:val="en-US" w:eastAsia="zh-CN" w:bidi="ar-SA"/>
        </w:rPr>
        <w:t xml:space="preserve">. 发包人</w:t>
      </w:r>
      <w:bookmarkEnd w:id="66"/>
      <w:r/>
      <w:bookmarkEnd w:id="67"/>
      <w:r/>
      <w:bookmarkEnd w:id="68"/>
      <w:r/>
      <w:bookmarkEnd w:id="69"/>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71" w:name="_Toc351203510"/>
      <w:r>
        <w:rPr>
          <w:rFonts w:hint="eastAsia" w:ascii="宋体" w:hAnsi="宋体" w:eastAsia="宋体" w:cs="宋体"/>
          <w:b w:val="0"/>
          <w:bCs/>
          <w:color w:val="000000"/>
          <w:sz w:val="21"/>
          <w:szCs w:val="21"/>
          <w:highlight w:val="none"/>
          <w:lang w:val="en-US" w:eastAsia="zh-CN" w:bidi="ar-SA"/>
        </w:rPr>
        <w:t xml:space="preserve">2</w:t>
      </w:r>
      <w:bookmarkStart w:id="72" w:name="_Toc337558740"/>
      <w:r/>
      <w:bookmarkStart w:id="73" w:name="_Toc296346540"/>
      <w:r/>
      <w:bookmarkStart w:id="74" w:name="_Toc296503039"/>
      <w:r>
        <w:rPr>
          <w:rFonts w:hint="eastAsia" w:ascii="宋体" w:hAnsi="宋体" w:eastAsia="宋体" w:cs="宋体"/>
          <w:b w:val="0"/>
          <w:bCs/>
          <w:color w:val="000000"/>
          <w:sz w:val="21"/>
          <w:szCs w:val="21"/>
          <w:highlight w:val="none"/>
          <w:lang w:val="en-US" w:eastAsia="zh-CN" w:bidi="ar-SA"/>
        </w:rPr>
        <w:t xml:space="preserve">.1 许可或批准</w:t>
      </w:r>
      <w:bookmarkEnd w:id="71"/>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因发包人原因未能及时办理完毕前述许可、批准或备案，由发包人承担由此增加的费用和（或）延误的工期，并支付承包人合理的利润。</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75" w:name="_Toc351203511"/>
      <w:r>
        <w:rPr>
          <w:rFonts w:hint="eastAsia" w:ascii="宋体" w:hAnsi="宋体" w:eastAsia="宋体" w:cs="宋体"/>
          <w:b w:val="0"/>
          <w:bCs/>
          <w:color w:val="000000"/>
          <w:sz w:val="21"/>
          <w:szCs w:val="21"/>
          <w:highlight w:val="none"/>
          <w:lang w:val="en-US" w:eastAsia="zh-CN" w:bidi="ar-SA"/>
        </w:rPr>
        <w:t xml:space="preserve">2.2 发包人代表</w:t>
      </w:r>
      <w:bookmarkEnd w:id="75"/>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发包人代表不能按照合同约定履行其职责及义务，并导致合同无法继续正常履行的，承包人可以要求发包人撤换发包人代表。</w:t>
      </w:r>
      <w:r/>
    </w:p>
    <w:p>
      <w:pPr>
        <w:ind w:firstLine="420"/>
        <w:spacing w:line="24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不属于法定必须监理的工程，监理人的职权可以由发包人代表或发包人指定的其他人员行使。</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76" w:name="_Toc351203512"/>
      <w:r>
        <w:rPr>
          <w:rFonts w:hint="eastAsia" w:ascii="宋体" w:hAnsi="宋体" w:eastAsia="宋体" w:cs="宋体"/>
          <w:b w:val="0"/>
          <w:bCs/>
          <w:color w:val="000000"/>
          <w:sz w:val="21"/>
          <w:szCs w:val="21"/>
          <w:highlight w:val="none"/>
          <w:lang w:val="en-US" w:eastAsia="zh-CN" w:bidi="ar-SA"/>
        </w:rPr>
        <w:t xml:space="preserve">2.3 发包人人员</w:t>
      </w:r>
      <w:bookmarkEnd w:id="76"/>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64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发包人人员包括发包人代表及其他由发包人派驻施工现场的人员。</w:t>
      </w:r>
      <w:bookmarkEnd w:id="72"/>
      <w:r/>
      <w:bookmarkEnd w:id="73"/>
      <w:r/>
      <w:bookmarkEnd w:id="74"/>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77" w:name="_Toc351203513"/>
      <w:r>
        <w:rPr>
          <w:rFonts w:hint="eastAsia" w:ascii="宋体" w:hAnsi="宋体" w:eastAsia="宋体" w:cs="宋体"/>
          <w:b w:val="0"/>
          <w:bCs/>
          <w:color w:val="000000"/>
          <w:sz w:val="21"/>
          <w:szCs w:val="21"/>
          <w:highlight w:val="none"/>
          <w:lang w:val="en-US" w:eastAsia="zh-CN" w:bidi="ar-SA"/>
        </w:rPr>
        <w:t xml:space="preserve">2</w:t>
      </w:r>
      <w:bookmarkStart w:id="78" w:name="_Toc337558741"/>
      <w:r/>
      <w:bookmarkStart w:id="79" w:name="_Toc296503040"/>
      <w:r/>
      <w:bookmarkStart w:id="80" w:name="_Toc296346541"/>
      <w:r>
        <w:rPr>
          <w:rFonts w:hint="eastAsia" w:ascii="宋体" w:hAnsi="宋体" w:eastAsia="宋体" w:cs="宋体"/>
          <w:b w:val="0"/>
          <w:bCs/>
          <w:color w:val="000000"/>
          <w:sz w:val="21"/>
          <w:szCs w:val="21"/>
          <w:highlight w:val="none"/>
          <w:lang w:val="en-US" w:eastAsia="zh-CN" w:bidi="ar-SA"/>
        </w:rPr>
        <w:t xml:space="preserve">.4 施工现场、施工条件和基础资料的提供</w:t>
      </w:r>
      <w:bookmarkEnd w:id="77"/>
      <w:r>
        <w:rPr>
          <w:rFonts w:hint="eastAsia" w:ascii="宋体" w:hAnsi="宋体" w:eastAsia="宋体" w:cs="宋体"/>
          <w:b w:val="0"/>
          <w:bCs/>
          <w:color w:val="000000"/>
          <w:sz w:val="21"/>
          <w:szCs w:val="21"/>
          <w:highlight w:val="none"/>
          <w:lang w:val="en-US" w:eastAsia="zh-CN" w:bidi="ar-SA"/>
        </w:rPr>
        <w:t xml:space="preserve"> </w:t>
      </w:r>
      <w:bookmarkEnd w:id="78"/>
      <w:r/>
      <w:bookmarkEnd w:id="79"/>
      <w:r/>
      <w:bookmarkEnd w:id="80"/>
      <w:r>
        <w:rPr>
          <w:rFonts w:hint="eastAsia" w:ascii="宋体" w:hAnsi="宋体" w:eastAsia="宋体" w:cs="宋体"/>
          <w:b w:val="0"/>
          <w:bCs/>
          <w:color w:val="000000"/>
          <w:sz w:val="21"/>
          <w:szCs w:val="21"/>
          <w:highlight w:val="none"/>
          <w:lang w:val="en-US" w:eastAsia="zh-CN" w:bidi="ar-SA"/>
        </w:rPr>
        <w:t xml:space="preserve"> </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 提供施工现场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w:t>
      </w:r>
      <w:bookmarkEnd w:id="70"/>
      <w:r>
        <w:rPr>
          <w:rFonts w:hint="eastAsia" w:ascii="宋体" w:hAnsi="宋体" w:eastAsia="宋体" w:cs="宋体"/>
          <w:color w:val="000000"/>
          <w:sz w:val="21"/>
          <w:szCs w:val="21"/>
          <w:highlight w:val="none"/>
        </w:rPr>
        <w:t xml:space="preserve">专用合同条款另有约定外，发包人应最迟于开工日期7天前向承包人移交施工现场。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 提供施工条件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除专用合同条款另有约定外，发包人应负责提供施工所需要的条件，包括：</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（1）将施工用水、电力、通讯线路等施工所必需的条件接至施工现场内；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（2）保证向承包人提供正常施工所需要的进入施工现场的交通条件；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（3）协调处理施工现场周围地下管线和邻近建筑物、构筑物、古树名木的保护工作，并承担相关费用；</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（4）按照专用合同条款约定应提供的其他设施和条件。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 提供基础资料</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按照法律规定确需在开工后方能提供的基础资料，发包人应尽其努力及时地在相应工程施工前的合理期限内提供，合理期限应以不影响承包人的正常施工为限。</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2.4.4 逾期提供的责任</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因发包人原因未能按合同约定及时向承包人提供施工现场、施工条件、基础资料的，由发包人承担由此增加的费用和（或）延误的工期。</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81" w:name="_Toc351203514"/>
      <w:r>
        <w:rPr>
          <w:rFonts w:hint="eastAsia" w:ascii="宋体" w:hAnsi="宋体" w:eastAsia="宋体" w:cs="宋体"/>
          <w:b w:val="0"/>
          <w:bCs/>
          <w:color w:val="000000"/>
          <w:sz w:val="21"/>
          <w:szCs w:val="21"/>
          <w:highlight w:val="none"/>
          <w:lang w:val="en-US" w:eastAsia="zh-CN" w:bidi="ar-SA"/>
        </w:rPr>
        <w:t xml:space="preserve">2</w:t>
      </w:r>
      <w:bookmarkStart w:id="82" w:name="_Toc337558745"/>
      <w:r/>
      <w:bookmarkStart w:id="83" w:name="_Toc296346543"/>
      <w:r/>
      <w:bookmarkStart w:id="84" w:name="_Toc296503042"/>
      <w:r>
        <w:rPr>
          <w:rFonts w:hint="eastAsia" w:ascii="宋体" w:hAnsi="宋体" w:eastAsia="宋体" w:cs="宋体"/>
          <w:b w:val="0"/>
          <w:bCs/>
          <w:color w:val="000000"/>
          <w:sz w:val="21"/>
          <w:szCs w:val="21"/>
          <w:highlight w:val="none"/>
          <w:lang w:val="en-US" w:eastAsia="zh-CN" w:bidi="ar-SA"/>
        </w:rPr>
        <w:t xml:space="preserve">.5 资</w:t>
      </w:r>
      <w:bookmarkEnd w:id="82"/>
      <w:r/>
      <w:bookmarkEnd w:id="83"/>
      <w:r/>
      <w:bookmarkEnd w:id="84"/>
      <w:r>
        <w:rPr>
          <w:rFonts w:hint="eastAsia" w:ascii="宋体" w:hAnsi="宋体" w:eastAsia="宋体" w:cs="宋体"/>
          <w:b w:val="0"/>
          <w:bCs/>
          <w:color w:val="000000"/>
          <w:sz w:val="21"/>
          <w:szCs w:val="21"/>
          <w:highlight w:val="none"/>
          <w:lang w:val="en-US" w:eastAsia="zh-CN" w:bidi="ar-SA"/>
        </w:rPr>
        <w:t xml:space="preserve">金来源证明及支付担保</w:t>
      </w:r>
      <w:bookmarkEnd w:id="81"/>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除专用合同条款另有约定外，发包人应在收到承包人要求提供资金来源证明的书面通知后28天内，向承包人提供能够按照合同约定支付合同价款的相应资金来源证明。</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85" w:name="_Toc351203515"/>
      <w:r>
        <w:rPr>
          <w:rFonts w:hint="eastAsia" w:ascii="宋体" w:hAnsi="宋体" w:eastAsia="宋体" w:cs="宋体"/>
          <w:b w:val="0"/>
          <w:bCs/>
          <w:color w:val="000000"/>
          <w:sz w:val="21"/>
          <w:szCs w:val="21"/>
          <w:highlight w:val="none"/>
          <w:lang w:val="en-US" w:eastAsia="zh-CN" w:bidi="ar-SA"/>
        </w:rPr>
        <w:t xml:space="preserve">2.6 支付合同价款</w:t>
      </w:r>
      <w:bookmarkEnd w:id="85"/>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发包人应按合同约定向承包人及时支付合同价款。</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86" w:name="_Toc351203516"/>
      <w:r>
        <w:rPr>
          <w:rFonts w:hint="eastAsia" w:ascii="宋体" w:hAnsi="宋体" w:eastAsia="宋体" w:cs="宋体"/>
          <w:b w:val="0"/>
          <w:bCs/>
          <w:color w:val="000000"/>
          <w:sz w:val="21"/>
          <w:szCs w:val="21"/>
          <w:highlight w:val="none"/>
          <w:lang w:val="en-US" w:eastAsia="zh-CN" w:bidi="ar-SA"/>
        </w:rPr>
        <w:t xml:space="preserve">2.7 组织竣工验收</w:t>
      </w:r>
      <w:bookmarkEnd w:id="86"/>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发包人应按合同约定及时组织竣工验收。</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87" w:name="_Toc351203517"/>
      <w:r>
        <w:rPr>
          <w:rFonts w:hint="eastAsia" w:ascii="宋体" w:hAnsi="宋体" w:eastAsia="宋体" w:cs="宋体"/>
          <w:b w:val="0"/>
          <w:bCs/>
          <w:color w:val="000000"/>
          <w:sz w:val="21"/>
          <w:szCs w:val="21"/>
          <w:highlight w:val="none"/>
          <w:lang w:val="en-US" w:eastAsia="zh-CN" w:bidi="ar-SA"/>
        </w:rPr>
        <w:t xml:space="preserve">2.8 现场统一管理协议</w:t>
      </w:r>
      <w:bookmarkEnd w:id="87"/>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发包人应与承包人、由发包人直接发包的专业工程的承包人签订施工现场统一管理协议，明确各方的权利义务。施工现场统一管理协议作为专用合同条款的附件。</w:t>
      </w:r>
      <w:r/>
    </w:p>
    <w:p>
      <w:pPr>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88" w:name="_Toc351203518"/>
      <w:r>
        <w:rPr>
          <w:rFonts w:hint="eastAsia" w:ascii="宋体" w:hAnsi="宋体" w:eastAsia="宋体" w:cs="宋体"/>
          <w:b w:val="0"/>
          <w:bCs/>
          <w:color w:val="000000"/>
          <w:sz w:val="21"/>
          <w:szCs w:val="21"/>
          <w:highlight w:val="none"/>
          <w:lang w:val="en-US" w:eastAsia="zh-CN" w:bidi="ar-SA"/>
        </w:rPr>
        <w:t xml:space="preserve">3</w:t>
      </w:r>
      <w:bookmarkStart w:id="89" w:name="_Toc296346546"/>
      <w:r/>
      <w:bookmarkStart w:id="90" w:name="_Toc337558746"/>
      <w:r/>
      <w:bookmarkStart w:id="91" w:name="_Toc296503045"/>
      <w:r>
        <w:rPr>
          <w:rFonts w:hint="eastAsia" w:ascii="宋体" w:hAnsi="宋体" w:eastAsia="宋体" w:cs="宋体"/>
          <w:b w:val="0"/>
          <w:bCs/>
          <w:color w:val="000000"/>
          <w:sz w:val="21"/>
          <w:szCs w:val="21"/>
          <w:highlight w:val="none"/>
          <w:lang w:val="en-US" w:eastAsia="zh-CN" w:bidi="ar-SA"/>
        </w:rPr>
        <w:t xml:space="preserve">. 承包人</w:t>
      </w:r>
      <w:bookmarkEnd w:id="88"/>
      <w:r/>
      <w:bookmarkEnd w:id="89"/>
      <w:r/>
      <w:bookmarkEnd w:id="90"/>
      <w:r/>
      <w:bookmarkEnd w:id="91"/>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92" w:name="_Toc351203519"/>
      <w:r>
        <w:rPr>
          <w:rFonts w:hint="eastAsia" w:ascii="宋体" w:hAnsi="宋体" w:eastAsia="宋体" w:cs="宋体"/>
          <w:b w:val="0"/>
          <w:bCs/>
          <w:color w:val="000000"/>
          <w:sz w:val="21"/>
          <w:szCs w:val="21"/>
          <w:highlight w:val="none"/>
          <w:lang w:val="en-US" w:eastAsia="zh-CN" w:bidi="ar-SA"/>
        </w:rPr>
        <w:t xml:space="preserve">3</w:t>
      </w:r>
      <w:bookmarkStart w:id="93" w:name="_Toc296503046"/>
      <w:r/>
      <w:bookmarkStart w:id="94" w:name="_Toc296346547"/>
      <w:r/>
      <w:bookmarkStart w:id="95" w:name="_Toc337558747"/>
      <w:r>
        <w:rPr>
          <w:rFonts w:hint="eastAsia" w:ascii="宋体" w:hAnsi="宋体" w:eastAsia="宋体" w:cs="宋体"/>
          <w:b w:val="0"/>
          <w:bCs/>
          <w:color w:val="000000"/>
          <w:sz w:val="21"/>
          <w:szCs w:val="21"/>
          <w:highlight w:val="none"/>
          <w:lang w:val="en-US" w:eastAsia="zh-CN" w:bidi="ar-SA"/>
        </w:rPr>
        <w:t xml:space="preserve">.1 承包人的一般义务</w:t>
      </w:r>
      <w:bookmarkEnd w:id="92"/>
      <w:r/>
      <w:bookmarkEnd w:id="93"/>
      <w:r/>
      <w:bookmarkEnd w:id="94"/>
      <w:r/>
      <w:bookmarkEnd w:id="95"/>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承包人在履行合同过程中应遵守法律和工程建设标准规范，并履行以下义务：</w:t>
      </w:r>
      <w:r/>
    </w:p>
    <w:p>
      <w:pPr>
        <w:numPr>
          <w:ilvl w:val="0"/>
          <w:numId w:val="1"/>
        </w:num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办理法律规定应由承包人办理的许可和批准，并将办理结果书面报送发包人留存；</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（2）按法律规定和合同约定完成工程，并在保修期内承担保修义务；</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（3）按法律规定和合同约定采取施工安全和环境保护措施，办理工伤保险，确保工程及人员、材料、设备和设施的安全；</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（4）按合同约定的工作内容和施工进度要求，编制施工组织设计和施工措施计划，并对所有施工作业和施工方法的完备性和安全可靠性负责；</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（6）按照第6.3款〔环境保护〕约定负责施工场地及其周边环境与生态的保护工作；</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（7）按第6.1款〔安全文明施工〕约定采取施工安全措施，确保工程及其人员、材料、设备和设施的安全，防止因工程施工造成的人身伤害和财产损失；</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（8）将发包人按合同约定支付的各项价款专用于合同工程，且应及时支付其雇用人员工资，并及时向分包人支付合同价款；</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（9）按照法律规定和合同约定编制竣工资料，完成竣工资料立卷及归档，并按专用合同条款约定的竣工资料的套数、内容、时间等要求移交发包人；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（10）应履行的其他义务。</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96" w:name="_Toc351203520"/>
      <w:r>
        <w:rPr>
          <w:rFonts w:hint="eastAsia" w:ascii="宋体" w:hAnsi="宋体" w:eastAsia="宋体" w:cs="宋体"/>
          <w:b w:val="0"/>
          <w:bCs/>
          <w:color w:val="000000"/>
          <w:sz w:val="21"/>
          <w:szCs w:val="21"/>
          <w:highlight w:val="none"/>
          <w:lang w:val="en-US" w:eastAsia="zh-CN" w:bidi="ar-SA"/>
        </w:rPr>
        <w:t xml:space="preserve">3</w:t>
      </w:r>
      <w:bookmarkStart w:id="97" w:name="_Toc337558748"/>
      <w:r/>
      <w:bookmarkStart w:id="98" w:name="_Toc296346548"/>
      <w:r/>
      <w:bookmarkStart w:id="99" w:name="_Toc296503047"/>
      <w:r>
        <w:rPr>
          <w:rFonts w:hint="eastAsia" w:ascii="宋体" w:hAnsi="宋体" w:eastAsia="宋体" w:cs="宋体"/>
          <w:b w:val="0"/>
          <w:bCs/>
          <w:color w:val="000000"/>
          <w:sz w:val="21"/>
          <w:szCs w:val="21"/>
          <w:highlight w:val="none"/>
          <w:lang w:val="en-US" w:eastAsia="zh-CN" w:bidi="ar-SA"/>
        </w:rPr>
        <w:t xml:space="preserve">.2 </w:t>
      </w:r>
      <w:bookmarkEnd w:id="96"/>
      <w:r>
        <w:rPr>
          <w:rFonts w:hint="eastAsia" w:ascii="宋体" w:hAnsi="宋体" w:eastAsia="宋体" w:cs="宋体"/>
          <w:b w:val="0"/>
          <w:bCs/>
          <w:color w:val="000000"/>
          <w:sz w:val="21"/>
          <w:szCs w:val="21"/>
          <w:highlight w:val="none"/>
          <w:lang w:val="en-US" w:eastAsia="zh-CN" w:bidi="ar-SA"/>
        </w:rPr>
        <w:t xml:space="preserve">项目经理</w:t>
      </w:r>
      <w:bookmarkEnd w:id="97"/>
      <w:r/>
      <w:bookmarkEnd w:id="98"/>
      <w:r/>
      <w:bookmarkEnd w:id="99"/>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承包人违反上述约定的，应按照专用合同条款的约定，承担违约责任。</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00" w:name="_Toc351203521"/>
      <w:r>
        <w:rPr>
          <w:rFonts w:hint="eastAsia" w:ascii="宋体" w:hAnsi="宋体" w:eastAsia="宋体" w:cs="宋体"/>
          <w:b w:val="0"/>
          <w:bCs/>
          <w:color w:val="000000"/>
          <w:sz w:val="21"/>
          <w:szCs w:val="21"/>
          <w:highlight w:val="none"/>
          <w:lang w:val="en-US" w:eastAsia="zh-CN" w:bidi="ar-SA"/>
        </w:rPr>
        <w:t xml:space="preserve">3</w:t>
      </w:r>
      <w:bookmarkStart w:id="101" w:name="_Toc296346549"/>
      <w:r/>
      <w:bookmarkStart w:id="102" w:name="_Toc296503048"/>
      <w:r/>
      <w:bookmarkStart w:id="103" w:name="_Toc337558749"/>
      <w:r>
        <w:rPr>
          <w:rFonts w:hint="eastAsia" w:ascii="宋体" w:hAnsi="宋体" w:eastAsia="宋体" w:cs="宋体"/>
          <w:b w:val="0"/>
          <w:bCs/>
          <w:color w:val="000000"/>
          <w:sz w:val="21"/>
          <w:szCs w:val="21"/>
          <w:highlight w:val="none"/>
          <w:lang w:val="en-US" w:eastAsia="zh-CN" w:bidi="ar-SA"/>
        </w:rPr>
        <w:t xml:space="preserve">.3 </w:t>
      </w:r>
      <w:bookmarkEnd w:id="101"/>
      <w:r/>
      <w:bookmarkEnd w:id="102"/>
      <w:r>
        <w:rPr>
          <w:rFonts w:hint="eastAsia" w:ascii="宋体" w:hAnsi="宋体" w:eastAsia="宋体" w:cs="宋体"/>
          <w:b w:val="0"/>
          <w:bCs/>
          <w:color w:val="000000"/>
          <w:sz w:val="21"/>
          <w:szCs w:val="21"/>
          <w:highlight w:val="none"/>
          <w:lang w:val="en-US" w:eastAsia="zh-CN" w:bidi="ar-SA"/>
        </w:rPr>
        <w:t xml:space="preserve">承包人人员</w:t>
      </w:r>
      <w:bookmarkEnd w:id="100"/>
      <w:r/>
      <w:bookmarkEnd w:id="103"/>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特殊工种作业人员均应持有相应的资格证明，监理人可以随时检查。</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3.3.5 承包人擅自更换主要施工管理人员，或前述人员未经监理人或发包人同意擅自离开施工现场的，应按照专用合同条款约定承担违约责任。</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04" w:name="_Toc351203522"/>
      <w:r>
        <w:rPr>
          <w:rFonts w:hint="eastAsia" w:ascii="宋体" w:hAnsi="宋体" w:eastAsia="宋体" w:cs="宋体"/>
          <w:b w:val="0"/>
          <w:bCs/>
          <w:color w:val="000000"/>
          <w:sz w:val="21"/>
          <w:szCs w:val="21"/>
          <w:highlight w:val="none"/>
          <w:lang w:val="en-US" w:eastAsia="zh-CN" w:bidi="ar-SA"/>
        </w:rPr>
        <w:t xml:space="preserve">3</w:t>
      </w:r>
      <w:bookmarkStart w:id="105" w:name="_Toc337558750"/>
      <w:r/>
      <w:bookmarkStart w:id="106" w:name="_Toc296503050"/>
      <w:r/>
      <w:bookmarkStart w:id="107" w:name="_Toc296346551"/>
      <w:r>
        <w:rPr>
          <w:rFonts w:hint="eastAsia" w:ascii="宋体" w:hAnsi="宋体" w:eastAsia="宋体" w:cs="宋体"/>
          <w:b w:val="0"/>
          <w:bCs/>
          <w:color w:val="000000"/>
          <w:sz w:val="21"/>
          <w:szCs w:val="21"/>
          <w:highlight w:val="none"/>
          <w:lang w:val="en-US" w:eastAsia="zh-CN" w:bidi="ar-SA"/>
        </w:rPr>
        <w:t xml:space="preserve">.4 承包人现场查勘</w:t>
      </w:r>
      <w:bookmarkEnd w:id="104"/>
      <w:r/>
      <w:bookmarkEnd w:id="105"/>
      <w:r/>
      <w:bookmarkEnd w:id="106"/>
      <w:r/>
      <w:bookmarkEnd w:id="107"/>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承包人应对基于发包人按照第2.4.3项〔提供基础资料〕提交的基础资料所做出的解释和推断负责，但因基础资料存在错误、遗漏导致承包人解释或推断失实的，由发包人承担责任。</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08" w:name="_Toc351203523"/>
      <w:r>
        <w:rPr>
          <w:rFonts w:hint="eastAsia" w:ascii="宋体" w:hAnsi="宋体" w:eastAsia="宋体" w:cs="宋体"/>
          <w:b w:val="0"/>
          <w:bCs/>
          <w:color w:val="000000"/>
          <w:sz w:val="21"/>
          <w:szCs w:val="21"/>
          <w:highlight w:val="none"/>
          <w:lang w:val="en-US" w:eastAsia="zh-CN" w:bidi="ar-SA"/>
        </w:rPr>
        <w:t xml:space="preserve">3</w:t>
      </w:r>
      <w:bookmarkStart w:id="109" w:name="_Toc296346552"/>
      <w:r/>
      <w:bookmarkStart w:id="110" w:name="_Toc296503051"/>
      <w:r/>
      <w:bookmarkStart w:id="111" w:name="_Toc337558751"/>
      <w:r>
        <w:rPr>
          <w:rFonts w:hint="eastAsia" w:ascii="宋体" w:hAnsi="宋体" w:eastAsia="宋体" w:cs="宋体"/>
          <w:b w:val="0"/>
          <w:bCs/>
          <w:color w:val="000000"/>
          <w:sz w:val="21"/>
          <w:szCs w:val="21"/>
          <w:highlight w:val="none"/>
          <w:lang w:val="en-US" w:eastAsia="zh-CN" w:bidi="ar-SA"/>
        </w:rPr>
        <w:t xml:space="preserve">.5 分包</w:t>
      </w:r>
      <w:bookmarkEnd w:id="108"/>
      <w:r/>
      <w:bookmarkEnd w:id="109"/>
      <w:r/>
      <w:bookmarkEnd w:id="110"/>
      <w:r/>
      <w:bookmarkEnd w:id="111"/>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3.5.1 分包的一般约定</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承包人不得以劳务分包的名义转包或违法分包工程。</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3.5.2 分包的确定</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3.5.3 分包管理</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承包人应向监理人提交分包人的主要施工管理人员表，并对分包人的施工人员进行实名制管理，包括但不限于进出场管理、登记造册以及各种证照的办理。</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3.5.4 分包合同价款</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（1）除本项第（2）目约定的情况或专用合同条款另有约定外，分包合同价款由承包人与分包人结算，未经承包人同意，发包人不得向分包人支付分包工程价款；</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（2）生效法律文书要求发包人向分包人支付分包合同价款的，发包人有权从应付承包人工程款中扣除该部分款项。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3.5.5 分包合同权益的转让</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12" w:name="_Toc351203524"/>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rPr>
          <w:rFonts w:hint="eastAsia" w:ascii="宋体" w:hAnsi="宋体" w:eastAsia="宋体" w:cs="宋体"/>
          <w:b w:val="0"/>
          <w:bCs/>
          <w:color w:val="000000"/>
          <w:sz w:val="21"/>
          <w:szCs w:val="21"/>
          <w:highlight w:val="none"/>
          <w:lang w:val="en-US" w:eastAsia="zh-CN" w:bidi="ar-SA"/>
        </w:rPr>
        <w:t xml:space="preserve">3.6 工程照管与成品、半成品保护</w:t>
      </w:r>
      <w:bookmarkEnd w:id="112"/>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（1）除专用合同条款另有约定外，自发包人向承包人移交施工现场之日起，承包人应负责照管工程及工程相关的材料、工程设备，直到颁发工程接收证书之日止。</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（2）在承包人负责照管期间，因承包人原因造成工程、材料、工程设备损坏的，由承包人负责修复或更换，并承担由此增加的费用和（或）延误的工期。</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13" w:name="_Toc351203525"/>
      <w:r>
        <w:rPr>
          <w:rFonts w:hint="eastAsia" w:ascii="宋体" w:hAnsi="宋体" w:eastAsia="宋体" w:cs="宋体"/>
          <w:b w:val="0"/>
          <w:bCs/>
          <w:color w:val="000000"/>
          <w:sz w:val="21"/>
          <w:szCs w:val="21"/>
          <w:highlight w:val="none"/>
          <w:lang w:val="en-US" w:eastAsia="zh-CN" w:bidi="ar-SA"/>
        </w:rPr>
        <w:t xml:space="preserve">3</w:t>
      </w:r>
      <w:bookmarkStart w:id="114" w:name="_Toc296503052"/>
      <w:r/>
      <w:bookmarkStart w:id="115" w:name="_Toc337558752"/>
      <w:r/>
      <w:bookmarkStart w:id="116" w:name="_Toc296346553"/>
      <w:r>
        <w:rPr>
          <w:rFonts w:hint="eastAsia" w:ascii="宋体" w:hAnsi="宋体" w:eastAsia="宋体" w:cs="宋体"/>
          <w:b w:val="0"/>
          <w:bCs/>
          <w:color w:val="000000"/>
          <w:sz w:val="21"/>
          <w:szCs w:val="21"/>
          <w:highlight w:val="none"/>
          <w:lang w:val="en-US" w:eastAsia="zh-CN" w:bidi="ar-SA"/>
        </w:rPr>
        <w:t xml:space="preserve">.7 履约担保</w:t>
      </w:r>
      <w:bookmarkEnd w:id="113"/>
      <w:r/>
      <w:bookmarkEnd w:id="114"/>
      <w:r/>
      <w:bookmarkEnd w:id="115"/>
      <w:r/>
      <w:bookmarkEnd w:id="116"/>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因承包人原因导致工期延长的，继续提供履约担保所增加的费用由承包人承担；非因承包人原因导致工期延长的，继续提供履约担保所增加的费用由发包人承担。</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17" w:name="_Toc351203526"/>
      <w:r>
        <w:rPr>
          <w:rFonts w:hint="eastAsia" w:ascii="宋体" w:hAnsi="宋体" w:eastAsia="宋体" w:cs="宋体"/>
          <w:b w:val="0"/>
          <w:bCs/>
          <w:color w:val="000000"/>
          <w:sz w:val="21"/>
          <w:szCs w:val="21"/>
          <w:highlight w:val="none"/>
          <w:lang w:val="en-US" w:eastAsia="zh-CN" w:bidi="ar-SA"/>
        </w:rPr>
        <w:t xml:space="preserve">3.8 联合体</w:t>
      </w:r>
      <w:bookmarkEnd w:id="117"/>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3.8.1 联合体各方应共同与发包人签订合同协议书。联合体各方应为履行合同向发包人承担连带责任。</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3.8.2 联合体协议经发包人确认后作为合同附件。在履行合同过程中，未经发包人同意，不得修改联合体协议。</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3.8.3 联合体牵头人负责与发包人和监理人联系，并接受指示，负责组织联合体各成员全面履行合同。</w:t>
      </w:r>
      <w:r/>
    </w:p>
    <w:p>
      <w:pPr>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118" w:name="_Toc351203527"/>
      <w:r>
        <w:rPr>
          <w:rFonts w:hint="eastAsia" w:ascii="宋体" w:hAnsi="宋体" w:eastAsia="宋体" w:cs="宋体"/>
          <w:b w:val="0"/>
          <w:bCs/>
          <w:color w:val="000000"/>
          <w:sz w:val="21"/>
          <w:szCs w:val="21"/>
          <w:highlight w:val="none"/>
          <w:lang w:val="en-US" w:eastAsia="zh-CN" w:bidi="ar-SA"/>
        </w:rPr>
        <w:t xml:space="preserve">4</w:t>
      </w:r>
      <w:bookmarkStart w:id="119" w:name="_Toc296503053"/>
      <w:r/>
      <w:bookmarkStart w:id="120" w:name="_Toc296346554"/>
      <w:r/>
      <w:bookmarkStart w:id="121" w:name="_Toc337558753"/>
      <w:r>
        <w:rPr>
          <w:rFonts w:hint="eastAsia" w:ascii="宋体" w:hAnsi="宋体" w:eastAsia="宋体" w:cs="宋体"/>
          <w:b w:val="0"/>
          <w:bCs/>
          <w:color w:val="000000"/>
          <w:sz w:val="21"/>
          <w:szCs w:val="21"/>
          <w:highlight w:val="none"/>
          <w:lang w:val="en-US" w:eastAsia="zh-CN" w:bidi="ar-SA"/>
        </w:rPr>
        <w:t xml:space="preserve">. 监</w:t>
      </w:r>
      <w:bookmarkEnd w:id="119"/>
      <w:r/>
      <w:bookmarkEnd w:id="120"/>
      <w:r>
        <w:rPr>
          <w:rFonts w:hint="eastAsia" w:ascii="宋体" w:hAnsi="宋体" w:eastAsia="宋体" w:cs="宋体"/>
          <w:b w:val="0"/>
          <w:bCs/>
          <w:color w:val="000000"/>
          <w:sz w:val="21"/>
          <w:szCs w:val="21"/>
          <w:highlight w:val="none"/>
          <w:lang w:val="en-US" w:eastAsia="zh-CN" w:bidi="ar-SA"/>
        </w:rPr>
        <w:t xml:space="preserve">理人</w:t>
      </w:r>
      <w:bookmarkEnd w:id="118"/>
      <w:r/>
      <w:bookmarkEnd w:id="121"/>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22" w:name="_Toc351203528"/>
      <w:r>
        <w:rPr>
          <w:rFonts w:hint="eastAsia" w:ascii="宋体" w:hAnsi="宋体" w:eastAsia="宋体" w:cs="宋体"/>
          <w:b w:val="0"/>
          <w:bCs/>
          <w:color w:val="000000"/>
          <w:sz w:val="21"/>
          <w:szCs w:val="21"/>
          <w:highlight w:val="none"/>
          <w:lang w:val="en-US" w:eastAsia="zh-CN" w:bidi="ar-SA"/>
        </w:rPr>
        <w:t xml:space="preserve">4</w:t>
      </w:r>
      <w:bookmarkStart w:id="123" w:name="_Toc337558754"/>
      <w:r/>
      <w:bookmarkStart w:id="124" w:name="_Toc296346555"/>
      <w:r/>
      <w:bookmarkStart w:id="125" w:name="_Toc296503054"/>
      <w:r>
        <w:rPr>
          <w:rFonts w:hint="eastAsia" w:ascii="宋体" w:hAnsi="宋体" w:eastAsia="宋体" w:cs="宋体"/>
          <w:b w:val="0"/>
          <w:bCs/>
          <w:color w:val="000000"/>
          <w:sz w:val="21"/>
          <w:szCs w:val="21"/>
          <w:highlight w:val="none"/>
          <w:lang w:val="en-US" w:eastAsia="zh-CN" w:bidi="ar-SA"/>
        </w:rPr>
        <w:t xml:space="preserve">.1监理人的一般规定</w:t>
      </w:r>
      <w:bookmarkEnd w:id="122"/>
      <w:r/>
      <w:bookmarkEnd w:id="123"/>
      <w:r/>
      <w:bookmarkEnd w:id="124"/>
      <w:r/>
      <w:bookmarkEnd w:id="125"/>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除专用合同条款另有约定外，监理人在施工现场的办公场所、生活场所由承包人提供，所发生的费用由发包人承担。</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26" w:name="_Toc351203529"/>
      <w:r>
        <w:rPr>
          <w:rFonts w:hint="eastAsia" w:ascii="宋体" w:hAnsi="宋体" w:eastAsia="宋体" w:cs="宋体"/>
          <w:b w:val="0"/>
          <w:bCs/>
          <w:color w:val="000000"/>
          <w:sz w:val="21"/>
          <w:szCs w:val="21"/>
          <w:highlight w:val="none"/>
          <w:lang w:val="en-US" w:eastAsia="zh-CN" w:bidi="ar-SA"/>
        </w:rPr>
        <w:t xml:space="preserve">4</w:t>
      </w:r>
      <w:bookmarkStart w:id="127" w:name="_Toc337558755"/>
      <w:r>
        <w:rPr>
          <w:rFonts w:hint="eastAsia" w:ascii="宋体" w:hAnsi="宋体" w:eastAsia="宋体" w:cs="宋体"/>
          <w:b w:val="0"/>
          <w:bCs/>
          <w:color w:val="000000"/>
          <w:sz w:val="21"/>
          <w:szCs w:val="21"/>
          <w:highlight w:val="none"/>
          <w:lang w:val="en-US" w:eastAsia="zh-CN" w:bidi="ar-SA"/>
        </w:rPr>
        <w:t xml:space="preserve">.2监理人员</w:t>
      </w:r>
      <w:bookmarkEnd w:id="126"/>
      <w:r/>
      <w:bookmarkEnd w:id="127"/>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28" w:name="_Toc351203530"/>
      <w:r>
        <w:rPr>
          <w:rFonts w:hint="eastAsia" w:ascii="宋体" w:hAnsi="宋体" w:eastAsia="宋体" w:cs="宋体"/>
          <w:b w:val="0"/>
          <w:bCs/>
          <w:color w:val="000000"/>
          <w:sz w:val="21"/>
          <w:szCs w:val="21"/>
          <w:highlight w:val="none"/>
          <w:lang w:val="en-US" w:eastAsia="zh-CN" w:bidi="ar-SA"/>
        </w:rPr>
        <w:t xml:space="preserve">4</w:t>
      </w:r>
      <w:bookmarkStart w:id="129" w:name="_Toc296503055"/>
      <w:r/>
      <w:bookmarkStart w:id="130" w:name="_Toc296346556"/>
      <w:r/>
      <w:bookmarkStart w:id="131" w:name="_Toc337558756"/>
      <w:r>
        <w:rPr>
          <w:rFonts w:hint="eastAsia" w:ascii="宋体" w:hAnsi="宋体" w:eastAsia="宋体" w:cs="宋体"/>
          <w:b w:val="0"/>
          <w:bCs/>
          <w:color w:val="000000"/>
          <w:sz w:val="21"/>
          <w:szCs w:val="21"/>
          <w:highlight w:val="none"/>
          <w:lang w:val="en-US" w:eastAsia="zh-CN" w:bidi="ar-SA"/>
        </w:rPr>
        <w:t xml:space="preserve">.3</w:t>
      </w:r>
      <w:bookmarkEnd w:id="129"/>
      <w:r/>
      <w:bookmarkEnd w:id="130"/>
      <w:r>
        <w:rPr>
          <w:rFonts w:hint="eastAsia" w:ascii="宋体" w:hAnsi="宋体" w:eastAsia="宋体" w:cs="宋体"/>
          <w:b w:val="0"/>
          <w:bCs/>
          <w:color w:val="000000"/>
          <w:sz w:val="21"/>
          <w:szCs w:val="21"/>
          <w:highlight w:val="none"/>
          <w:lang w:val="en-US" w:eastAsia="zh-CN" w:bidi="ar-SA"/>
        </w:rPr>
        <w:t xml:space="preserve">监理人的指</w:t>
      </w:r>
      <w:bookmarkEnd w:id="131"/>
      <w:r>
        <w:rPr>
          <w:rFonts w:hint="eastAsia" w:ascii="宋体" w:hAnsi="宋体" w:eastAsia="宋体" w:cs="宋体"/>
          <w:b w:val="0"/>
          <w:bCs/>
          <w:color w:val="000000"/>
          <w:sz w:val="21"/>
          <w:szCs w:val="21"/>
          <w:highlight w:val="none"/>
          <w:lang w:val="en-US" w:eastAsia="zh-CN" w:bidi="ar-SA"/>
        </w:rPr>
        <w:t xml:space="preserve">示</w:t>
      </w:r>
      <w:bookmarkEnd w:id="128"/>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承包人对监理人发出的指示有疑问的，应向监理人提出书面异议，监理人应在48小时内对该指示予以确认、更改或撤销，监理人逾期未回复的，承包人有权拒绝执行上述指示。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132" w:name="_Toc351203531"/>
      <w:r>
        <w:rPr>
          <w:rFonts w:hint="eastAsia" w:ascii="宋体" w:hAnsi="宋体" w:eastAsia="宋体" w:cs="宋体"/>
          <w:b w:val="0"/>
          <w:bCs/>
          <w:color w:val="000000"/>
          <w:sz w:val="21"/>
          <w:szCs w:val="21"/>
          <w:highlight w:val="none"/>
          <w:lang w:val="en-US" w:eastAsia="zh-CN" w:bidi="ar-SA"/>
        </w:rPr>
        <w:t xml:space="preserve">4</w:t>
      </w:r>
      <w:bookmarkStart w:id="133" w:name="_Toc337558757"/>
      <w:r/>
      <w:bookmarkStart w:id="134" w:name="_Toc296346558"/>
      <w:r/>
      <w:bookmarkStart w:id="135" w:name="_Toc296503057"/>
      <w:r>
        <w:rPr>
          <w:rFonts w:hint="eastAsia" w:ascii="宋体" w:hAnsi="宋体" w:eastAsia="宋体" w:cs="宋体"/>
          <w:b w:val="0"/>
          <w:bCs/>
          <w:color w:val="000000"/>
          <w:sz w:val="21"/>
          <w:szCs w:val="21"/>
          <w:highlight w:val="none"/>
          <w:lang w:val="en-US" w:eastAsia="zh-CN" w:bidi="ar-SA"/>
        </w:rPr>
        <w:t xml:space="preserve">.4 商定或确定</w:t>
      </w:r>
      <w:bookmarkEnd w:id="132"/>
      <w:r/>
      <w:bookmarkEnd w:id="133"/>
      <w:r/>
      <w:bookmarkEnd w:id="134"/>
      <w:r/>
      <w:bookmarkEnd w:id="135"/>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合同当事人进行商定或确定时，总监理工程师应当会同合同当事人尽量通过协商达成一致，不能达成一致的，由总监理工程师按照合同约定审慎做出公正的确定。</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136" w:name="_Toc351203532"/>
      <w:r>
        <w:rPr>
          <w:rFonts w:hint="eastAsia" w:ascii="宋体" w:hAnsi="宋体" w:eastAsia="宋体" w:cs="宋体"/>
          <w:b w:val="0"/>
          <w:bCs/>
          <w:color w:val="000000"/>
          <w:sz w:val="21"/>
          <w:szCs w:val="21"/>
          <w:highlight w:val="none"/>
          <w:lang w:val="en-US" w:eastAsia="zh-CN" w:bidi="ar-SA"/>
        </w:rPr>
        <w:t xml:space="preserve">5</w:t>
      </w:r>
      <w:bookmarkStart w:id="137" w:name="_Toc337558758"/>
      <w:r>
        <w:rPr>
          <w:rFonts w:hint="eastAsia" w:ascii="宋体" w:hAnsi="宋体" w:eastAsia="宋体" w:cs="宋体"/>
          <w:b w:val="0"/>
          <w:bCs/>
          <w:color w:val="000000"/>
          <w:sz w:val="21"/>
          <w:szCs w:val="21"/>
          <w:highlight w:val="none"/>
          <w:lang w:val="en-US" w:eastAsia="zh-CN" w:bidi="ar-SA"/>
        </w:rPr>
        <w:t xml:space="preserve">. 工程质量</w:t>
      </w:r>
      <w:bookmarkEnd w:id="136"/>
      <w:r/>
      <w:bookmarkEnd w:id="137"/>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38" w:name="_Toc351203533"/>
      <w:r>
        <w:rPr>
          <w:rFonts w:hint="eastAsia" w:ascii="宋体" w:hAnsi="宋体" w:eastAsia="宋体" w:cs="宋体"/>
          <w:b w:val="0"/>
          <w:bCs/>
          <w:color w:val="000000"/>
          <w:sz w:val="21"/>
          <w:szCs w:val="21"/>
          <w:highlight w:val="none"/>
          <w:lang w:val="en-US" w:eastAsia="zh-CN" w:bidi="ar-SA"/>
        </w:rPr>
        <w:t xml:space="preserve">5</w:t>
      </w:r>
      <w:bookmarkStart w:id="139" w:name="_Toc337558759"/>
      <w:r>
        <w:rPr>
          <w:rFonts w:hint="eastAsia" w:ascii="宋体" w:hAnsi="宋体" w:eastAsia="宋体" w:cs="宋体"/>
          <w:b w:val="0"/>
          <w:bCs/>
          <w:color w:val="000000"/>
          <w:sz w:val="21"/>
          <w:szCs w:val="21"/>
          <w:highlight w:val="none"/>
          <w:lang w:val="en-US" w:eastAsia="zh-CN" w:bidi="ar-SA"/>
        </w:rPr>
        <w:t xml:space="preserve">.1质量要求</w:t>
      </w:r>
      <w:bookmarkEnd w:id="138"/>
      <w:r/>
      <w:bookmarkEnd w:id="139"/>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5.1.1 工程质量标准必须符合现行国家有关工程施工质量验收规范和标准的要求。有关工程质量的特殊标准或要求由合同当事人在专用合同条款中约定。</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5.1.2 因发包人原因造成工程质量未达到合同约定标准的，由发包人承担由此增加的费用和（或）延误的工期，并支付承包人合理的利润。</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5.1.3 因承包人原因造成工程质量未达到合同约定标准的，发包人有权要求承包人返工直至工程质量达到合同约定的标准为止，并由承包人承担由此增加的费用和（或）延误的工期。</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40" w:name="_Toc351203534"/>
      <w:r>
        <w:rPr>
          <w:rFonts w:hint="eastAsia" w:ascii="宋体" w:hAnsi="宋体" w:eastAsia="宋体" w:cs="宋体"/>
          <w:b w:val="0"/>
          <w:bCs/>
          <w:color w:val="000000"/>
          <w:sz w:val="21"/>
          <w:szCs w:val="21"/>
          <w:highlight w:val="none"/>
          <w:lang w:val="en-US" w:eastAsia="zh-CN" w:bidi="ar-SA"/>
        </w:rPr>
        <w:t xml:space="preserve">5</w:t>
      </w:r>
      <w:bookmarkStart w:id="141" w:name="_Toc337558760"/>
      <w:r>
        <w:rPr>
          <w:rFonts w:hint="eastAsia" w:ascii="宋体" w:hAnsi="宋体" w:eastAsia="宋体" w:cs="宋体"/>
          <w:b w:val="0"/>
          <w:bCs/>
          <w:color w:val="000000"/>
          <w:sz w:val="21"/>
          <w:szCs w:val="21"/>
          <w:highlight w:val="none"/>
          <w:lang w:val="en-US" w:eastAsia="zh-CN" w:bidi="ar-SA"/>
        </w:rPr>
        <w:t xml:space="preserve">.2质量保证措施</w:t>
      </w:r>
      <w:bookmarkEnd w:id="140"/>
      <w:r/>
      <w:bookmarkEnd w:id="141"/>
      <w:r/>
      <w:r/>
    </w:p>
    <w:p>
      <w:pPr>
        <w:ind w:firstLine="420"/>
        <w:jc w:val="left"/>
        <w:spacing w:line="24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5.2.1 发包人的质量管理</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发包人应按照法律规定及合同约定完成与工程质量有关的各项工作。</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5.2.2 承包人的质量管理</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承包人应对施工人员进行质量教育和技术培训，定期考核施工人员的劳动技能，严格执行施工规范和操作规程。</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20"/>
        <w:jc w:val="left"/>
        <w:spacing w:line="24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5.2.3 监理人的质量检查和检验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42" w:name="_Toc351203535"/>
      <w:r>
        <w:rPr>
          <w:rFonts w:hint="eastAsia" w:ascii="宋体" w:hAnsi="宋体" w:eastAsia="宋体" w:cs="宋体"/>
          <w:b w:val="0"/>
          <w:bCs/>
          <w:color w:val="000000"/>
          <w:sz w:val="21"/>
          <w:szCs w:val="21"/>
          <w:highlight w:val="none"/>
          <w:lang w:val="en-US" w:eastAsia="zh-CN" w:bidi="ar-SA"/>
        </w:rPr>
        <w:t xml:space="preserve">5</w:t>
      </w:r>
      <w:bookmarkStart w:id="143" w:name="_Toc337558761"/>
      <w:r>
        <w:rPr>
          <w:rFonts w:hint="eastAsia" w:ascii="宋体" w:hAnsi="宋体" w:eastAsia="宋体" w:cs="宋体"/>
          <w:b w:val="0"/>
          <w:bCs/>
          <w:color w:val="000000"/>
          <w:sz w:val="21"/>
          <w:szCs w:val="21"/>
          <w:highlight w:val="none"/>
          <w:lang w:val="en-US" w:eastAsia="zh-CN" w:bidi="ar-SA"/>
        </w:rPr>
        <w:t xml:space="preserve">.3 隐蔽工程检查</w:t>
      </w:r>
      <w:bookmarkEnd w:id="142"/>
      <w:r/>
      <w:bookmarkEnd w:id="143"/>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5.3.1承包人自检</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承包人应当对工程隐蔽部位进行自检，并经自检确认是否具备覆盖条件。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5.3.2检查程序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5.3.3 重新检查</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5.3.4 承包人私自覆盖</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44" w:name="_Toc351203536"/>
      <w:r>
        <w:rPr>
          <w:rFonts w:hint="eastAsia" w:ascii="宋体" w:hAnsi="宋体" w:eastAsia="宋体" w:cs="宋体"/>
          <w:b w:val="0"/>
          <w:bCs/>
          <w:color w:val="000000"/>
          <w:sz w:val="21"/>
          <w:szCs w:val="21"/>
          <w:highlight w:val="none"/>
          <w:lang w:val="en-US" w:eastAsia="zh-CN" w:bidi="ar-SA"/>
        </w:rPr>
        <w:t xml:space="preserve">5</w:t>
      </w:r>
      <w:bookmarkStart w:id="145" w:name="_Toc337558762"/>
      <w:r>
        <w:rPr>
          <w:rFonts w:hint="eastAsia" w:ascii="宋体" w:hAnsi="宋体" w:eastAsia="宋体" w:cs="宋体"/>
          <w:b w:val="0"/>
          <w:bCs/>
          <w:color w:val="000000"/>
          <w:sz w:val="21"/>
          <w:szCs w:val="21"/>
          <w:highlight w:val="none"/>
          <w:lang w:val="en-US" w:eastAsia="zh-CN" w:bidi="ar-SA"/>
        </w:rPr>
        <w:t xml:space="preserve">.4不合格工程的处理</w:t>
      </w:r>
      <w:bookmarkEnd w:id="144"/>
      <w:r/>
      <w:bookmarkEnd w:id="145"/>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5.4.2 因发包人原因造成工程不合格的，由此增加的费用和（或）延误的工期由发包人承担，并支付承包人合理的利润。</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46" w:name="_Toc351203537"/>
      <w:r>
        <w:rPr>
          <w:rFonts w:hint="eastAsia" w:ascii="宋体" w:hAnsi="宋体" w:eastAsia="宋体" w:cs="宋体"/>
          <w:b w:val="0"/>
          <w:bCs/>
          <w:color w:val="000000"/>
          <w:sz w:val="21"/>
          <w:szCs w:val="21"/>
          <w:highlight w:val="none"/>
          <w:lang w:val="en-US" w:eastAsia="zh-CN" w:bidi="ar-SA"/>
        </w:rPr>
        <w:t xml:space="preserve">5.5 质量争议检测</w:t>
      </w:r>
      <w:bookmarkEnd w:id="146"/>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合同当事人对工程质量有争议的，由双方协商确定的工程质量检测机构鉴定，由此产生的费用及因此造成的损失，由责任方承担。</w:t>
      </w:r>
      <w:r/>
    </w:p>
    <w:p>
      <w:pPr>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合同当事人均有责任的，由双方根据其责任分别承担。合同当事人无法达成一致的，按照第4.4款〔商定或确定〕执行。</w:t>
      </w:r>
      <w:r/>
    </w:p>
    <w:p>
      <w:pPr>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147" w:name="_Toc351203538"/>
      <w:r>
        <w:rPr>
          <w:rFonts w:hint="eastAsia" w:ascii="宋体" w:hAnsi="宋体" w:eastAsia="宋体" w:cs="宋体"/>
          <w:b w:val="0"/>
          <w:bCs/>
          <w:color w:val="000000"/>
          <w:sz w:val="21"/>
          <w:szCs w:val="21"/>
          <w:highlight w:val="none"/>
          <w:lang w:val="en-US" w:eastAsia="zh-CN" w:bidi="ar-SA"/>
        </w:rPr>
        <w:t xml:space="preserve">6</w:t>
      </w:r>
      <w:bookmarkStart w:id="148" w:name="_Toc337558763"/>
      <w:r>
        <w:rPr>
          <w:rFonts w:hint="eastAsia" w:ascii="宋体" w:hAnsi="宋体" w:eastAsia="宋体" w:cs="宋体"/>
          <w:b w:val="0"/>
          <w:bCs/>
          <w:color w:val="000000"/>
          <w:sz w:val="21"/>
          <w:szCs w:val="21"/>
          <w:highlight w:val="none"/>
          <w:lang w:val="en-US" w:eastAsia="zh-CN" w:bidi="ar-SA"/>
        </w:rPr>
        <w:t xml:space="preserve">. 安全文明施工与环境保护</w:t>
      </w:r>
      <w:bookmarkEnd w:id="147"/>
      <w:r/>
      <w:bookmarkEnd w:id="148"/>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49" w:name="_Toc351203539"/>
      <w:r>
        <w:rPr>
          <w:rFonts w:hint="eastAsia" w:ascii="宋体" w:hAnsi="宋体" w:eastAsia="宋体" w:cs="宋体"/>
          <w:b w:val="0"/>
          <w:bCs/>
          <w:color w:val="000000"/>
          <w:sz w:val="21"/>
          <w:szCs w:val="21"/>
          <w:highlight w:val="none"/>
          <w:lang w:val="en-US" w:eastAsia="zh-CN" w:bidi="ar-SA"/>
        </w:rPr>
        <w:t xml:space="preserve">6</w:t>
      </w:r>
      <w:bookmarkStart w:id="150" w:name="_Toc337558764"/>
      <w:r>
        <w:rPr>
          <w:rFonts w:hint="eastAsia" w:ascii="宋体" w:hAnsi="宋体" w:eastAsia="宋体" w:cs="宋体"/>
          <w:b w:val="0"/>
          <w:bCs/>
          <w:color w:val="000000"/>
          <w:sz w:val="21"/>
          <w:szCs w:val="21"/>
          <w:highlight w:val="none"/>
          <w:lang w:val="en-US" w:eastAsia="zh-CN" w:bidi="ar-SA"/>
        </w:rPr>
        <w:t xml:space="preserve">.1安全文明施工</w:t>
      </w:r>
      <w:bookmarkEnd w:id="149"/>
      <w:r/>
      <w:bookmarkEnd w:id="150"/>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6.1.1安全生产要求</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color w:val="000000"/>
          <w:sz w:val="21"/>
          <w:szCs w:val="21"/>
          <w:highlight w:val="none"/>
        </w:rPr>
        <w:t xml:space="preserve">政府有关行政管理部门</w:t>
      </w:r>
      <w:r>
        <w:rPr>
          <w:rFonts w:hint="eastAsia" w:ascii="宋体" w:hAnsi="宋体" w:eastAsia="宋体" w:cs="宋体"/>
          <w:color w:val="000000"/>
          <w:sz w:val="21"/>
          <w:szCs w:val="21"/>
          <w:highlight w:val="none"/>
        </w:rPr>
        <w:t xml:space="preserve">采取应急措施。</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因安全生产需要暂停施工的，按照第7.8款〔暂停施工〕的约定执行。</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6.1.2 安全生产保证措施</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承包人应当按照有关</w:t>
      </w:r>
      <w:r>
        <w:rPr>
          <w:rFonts w:hint="eastAsia" w:ascii="宋体" w:hAnsi="宋体" w:eastAsia="宋体" w:cs="宋体"/>
          <w:color w:val="000000"/>
          <w:sz w:val="21"/>
          <w:szCs w:val="21"/>
          <w:highlight w:val="none"/>
        </w:rPr>
        <w:t xml:space="preserve">规定编制安全技术措施或者专项施工方案，</w:t>
      </w:r>
      <w:r>
        <w:rPr>
          <w:rFonts w:hint="eastAsia" w:ascii="宋体" w:hAnsi="宋体" w:eastAsia="宋体" w:cs="宋体"/>
          <w:color w:val="000000"/>
          <w:sz w:val="21"/>
          <w:szCs w:val="21"/>
          <w:highlight w:val="none"/>
        </w:rPr>
        <w:t xml:space="preserve">建立安全生产责任制度、治安保卫制度及安全生产教育培训制度，并</w:t>
      </w:r>
      <w:r>
        <w:rPr>
          <w:rFonts w:hint="eastAsia" w:ascii="宋体" w:hAnsi="宋体" w:eastAsia="宋体" w:cs="宋体"/>
          <w:color w:val="000000"/>
          <w:sz w:val="21"/>
          <w:szCs w:val="21"/>
          <w:highlight w:val="none"/>
        </w:rPr>
        <w:t xml:space="preserve">按安全生产法律规定及合同约定履行安全职责，如实</w:t>
      </w:r>
      <w:r>
        <w:rPr>
          <w:rFonts w:hint="eastAsia" w:ascii="宋体" w:hAnsi="宋体" w:eastAsia="宋体" w:cs="宋体"/>
          <w:color w:val="000000"/>
          <w:sz w:val="21"/>
          <w:szCs w:val="21"/>
          <w:highlight w:val="none"/>
        </w:rPr>
        <w:t xml:space="preserve">编制工程安全生产的有关记录，</w:t>
      </w:r>
      <w:r>
        <w:rPr>
          <w:rFonts w:hint="eastAsia" w:ascii="宋体" w:hAnsi="宋体" w:eastAsia="宋体" w:cs="宋体"/>
          <w:color w:val="000000"/>
          <w:sz w:val="21"/>
          <w:szCs w:val="21"/>
          <w:highlight w:val="none"/>
        </w:rPr>
        <w:t xml:space="preserve">接受发包人、监理人及政府安全监督部门的检查与监督。</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6.1.3特别安全生产事项</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承包人在动力设备、输电线路、地下管道、密封防震车间、易燃易爆地段以及临街交通要道附近施工时，施工开始前应向发包人和监理人提出安全防护措施，经发包人认可后实施。 </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需单独编制危险性较大分部分项专项工程施工方案的，及要求进行专家论证的超过一定规模的危险性较大的分部分项工程，承包人应及时编制和组织论证。</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6.1.4 治安保卫</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除专用合同条款另有约定外，发包人应与当地公安部门协商，在现场建立治安管理机构或联防组织，统一管理施工场地的治安保卫事项，履行合同工程的治安保卫职责。</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发包人和承包人除应协助现场治安管理机构或联防组织维护施工场地的社会治安外，还应做好包括生活区在内的各自管辖区的治安保卫工作。</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6.1.5 文明施工</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6.1.6 安全文明施工费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安全文明施工费由发包人承担，发包人不得以任何形式扣减该部分费用。因基准日期后合同所适用的法律或政府有关规定发生变化，增加的安全文明施工费由发包人承担。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6.1.7 紧急情况处理</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6.1.8 事故处理</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6.1.9 安全生产责任</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6.1.9.1 发包人的安全责任</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发包人应负责赔偿以下各种情况造成的损失：</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（1）工程或工程的任何部分对土地的占用所造成的第三者财产损失；</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（2）由于发包人原因在施工场地及其毗邻地带造成的第三者人身伤亡和财产损失；</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（3）由于发包人原因对承包人、监理人造成的人员人身伤亡和财产损失；</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（4）由于发包人原因造成的发包人自身人员的人身伤害以及财产损失。</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6.1.9.2 承包人的安全责任</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由于承包人原因在施工场地内及其毗邻地带造成的发包人、监理人以及第三者人员伤亡和财产损失，由承包人负责赔偿。</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51" w:name="_Toc351203540"/>
      <w:r>
        <w:rPr>
          <w:rFonts w:hint="eastAsia" w:ascii="宋体" w:hAnsi="宋体" w:eastAsia="宋体" w:cs="宋体"/>
          <w:b w:val="0"/>
          <w:bCs/>
          <w:color w:val="000000"/>
          <w:sz w:val="21"/>
          <w:szCs w:val="21"/>
          <w:highlight w:val="none"/>
          <w:lang w:val="en-US" w:eastAsia="zh-CN" w:bidi="ar-SA"/>
        </w:rPr>
        <w:t xml:space="preserve">6</w:t>
      </w:r>
      <w:bookmarkStart w:id="152" w:name="_Toc337558765"/>
      <w:r>
        <w:rPr>
          <w:rFonts w:hint="eastAsia" w:ascii="宋体" w:hAnsi="宋体" w:eastAsia="宋体" w:cs="宋体"/>
          <w:b w:val="0"/>
          <w:bCs/>
          <w:color w:val="000000"/>
          <w:sz w:val="21"/>
          <w:szCs w:val="21"/>
          <w:highlight w:val="none"/>
          <w:lang w:val="en-US" w:eastAsia="zh-CN" w:bidi="ar-SA"/>
        </w:rPr>
        <w:t xml:space="preserve">.2 职业健康</w:t>
      </w:r>
      <w:bookmarkEnd w:id="151"/>
      <w:r/>
      <w:bookmarkEnd w:id="152"/>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6.2.1 劳动保护</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6.2.2 生活条件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53" w:name="_Toc351203541"/>
      <w:r>
        <w:rPr>
          <w:rFonts w:hint="eastAsia" w:ascii="宋体" w:hAnsi="宋体" w:eastAsia="宋体" w:cs="宋体"/>
          <w:b w:val="0"/>
          <w:bCs/>
          <w:color w:val="000000"/>
          <w:sz w:val="21"/>
          <w:szCs w:val="21"/>
          <w:highlight w:val="none"/>
          <w:lang w:val="en-US" w:eastAsia="zh-CN" w:bidi="ar-SA"/>
        </w:rPr>
        <w:t xml:space="preserve">6</w:t>
      </w:r>
      <w:bookmarkStart w:id="154" w:name="_Toc337558766"/>
      <w:r>
        <w:rPr>
          <w:rFonts w:hint="eastAsia" w:ascii="宋体" w:hAnsi="宋体" w:eastAsia="宋体" w:cs="宋体"/>
          <w:b w:val="0"/>
          <w:bCs/>
          <w:color w:val="000000"/>
          <w:sz w:val="21"/>
          <w:szCs w:val="21"/>
          <w:highlight w:val="none"/>
          <w:lang w:val="en-US" w:eastAsia="zh-CN" w:bidi="ar-SA"/>
        </w:rPr>
        <w:t xml:space="preserve">.3 环境保护</w:t>
      </w:r>
      <w:bookmarkEnd w:id="153"/>
      <w:r/>
      <w:bookmarkEnd w:id="154"/>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承包人应当承担因其原因引起的环境污染侵权损害赔偿责任，因上述环境污染引起纠纷而导致暂停施工的，由此增加的费用和（或）延误的工期由承包人承担。</w:t>
      </w:r>
      <w:r/>
    </w:p>
    <w:p>
      <w:pPr>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155" w:name="_Toc351203542"/>
      <w:r>
        <w:rPr>
          <w:rFonts w:hint="eastAsia" w:ascii="宋体" w:hAnsi="宋体" w:eastAsia="宋体" w:cs="宋体"/>
          <w:b w:val="0"/>
          <w:bCs/>
          <w:color w:val="000000"/>
          <w:sz w:val="21"/>
          <w:szCs w:val="21"/>
          <w:highlight w:val="none"/>
          <w:lang w:val="en-US" w:eastAsia="zh-CN" w:bidi="ar-SA"/>
        </w:rPr>
        <w:t xml:space="preserve">7</w:t>
      </w:r>
      <w:bookmarkStart w:id="156" w:name="_Toc337558767"/>
      <w:r>
        <w:rPr>
          <w:rFonts w:hint="eastAsia" w:ascii="宋体" w:hAnsi="宋体" w:eastAsia="宋体" w:cs="宋体"/>
          <w:b w:val="0"/>
          <w:bCs/>
          <w:color w:val="000000"/>
          <w:sz w:val="21"/>
          <w:szCs w:val="21"/>
          <w:highlight w:val="none"/>
          <w:lang w:val="en-US" w:eastAsia="zh-CN" w:bidi="ar-SA"/>
        </w:rPr>
        <w:t xml:space="preserve">. 工期和进度</w:t>
      </w:r>
      <w:bookmarkEnd w:id="155"/>
      <w:r/>
      <w:bookmarkEnd w:id="156"/>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57" w:name="_Toc351203543"/>
      <w:r>
        <w:rPr>
          <w:rFonts w:hint="eastAsia" w:ascii="宋体" w:hAnsi="宋体" w:eastAsia="宋体" w:cs="宋体"/>
          <w:b w:val="0"/>
          <w:bCs/>
          <w:color w:val="000000"/>
          <w:sz w:val="21"/>
          <w:szCs w:val="21"/>
          <w:highlight w:val="none"/>
          <w:lang w:val="en-US" w:eastAsia="zh-CN" w:bidi="ar-SA"/>
        </w:rPr>
        <w:t xml:space="preserve">7</w:t>
      </w:r>
      <w:bookmarkStart w:id="158" w:name="_Toc337558768"/>
      <w:r/>
      <w:bookmarkStart w:id="159" w:name="_Toc296503066"/>
      <w:r/>
      <w:bookmarkStart w:id="160" w:name="_Toc296346567"/>
      <w:r>
        <w:rPr>
          <w:rFonts w:hint="eastAsia" w:ascii="宋体" w:hAnsi="宋体" w:eastAsia="宋体" w:cs="宋体"/>
          <w:b w:val="0"/>
          <w:bCs/>
          <w:color w:val="000000"/>
          <w:sz w:val="21"/>
          <w:szCs w:val="21"/>
          <w:highlight w:val="none"/>
          <w:lang w:val="en-US" w:eastAsia="zh-CN" w:bidi="ar-SA"/>
        </w:rPr>
        <w:t xml:space="preserve">.1施工组织设计</w:t>
      </w:r>
      <w:bookmarkEnd w:id="157"/>
      <w:r/>
      <w:bookmarkEnd w:id="158"/>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7.1.1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施工组织设计的内容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施工组织设计应包含以下内容：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（1）施工方案； </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（2）施工现场平面布置图；</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（3）施工进度计划和保证措施； </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（4）劳动力及材料供应计划；</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（5）施工机械设备的选用；</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（6）质量保证体系及措施；</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（7）安全生产、文明施工措施；</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（8）环境保护、成本控制措施；</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（9）合同当事人约定的其他内容。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7.1.2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施工组织设计的提交和修改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施工进度计划的编制和修改按照第7.2款〔施工进度计划〕执行。</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61" w:name="_Toc351203544"/>
      <w:r>
        <w:rPr>
          <w:rFonts w:hint="eastAsia" w:ascii="宋体" w:hAnsi="宋体" w:eastAsia="宋体" w:cs="宋体"/>
          <w:b w:val="0"/>
          <w:bCs/>
          <w:color w:val="000000"/>
          <w:sz w:val="21"/>
          <w:szCs w:val="21"/>
          <w:highlight w:val="none"/>
          <w:lang w:val="en-US" w:eastAsia="zh-CN" w:bidi="ar-SA"/>
        </w:rPr>
        <w:t xml:space="preserve">7</w:t>
      </w:r>
      <w:bookmarkStart w:id="162" w:name="_Toc337558769"/>
      <w:r>
        <w:rPr>
          <w:rFonts w:hint="eastAsia" w:ascii="宋体" w:hAnsi="宋体" w:eastAsia="宋体" w:cs="宋体"/>
          <w:b w:val="0"/>
          <w:bCs/>
          <w:color w:val="000000"/>
          <w:sz w:val="21"/>
          <w:szCs w:val="21"/>
          <w:highlight w:val="none"/>
          <w:lang w:val="en-US" w:eastAsia="zh-CN" w:bidi="ar-SA"/>
        </w:rPr>
        <w:t xml:space="preserve">.2 施工进度计划</w:t>
      </w:r>
      <w:bookmarkEnd w:id="161"/>
      <w:r/>
      <w:bookmarkEnd w:id="162"/>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7.2.1 施工进度计划的编制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7.2.2 施工进度计划的修订</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63" w:name="_Toc351203545"/>
      <w:r>
        <w:rPr>
          <w:rFonts w:hint="eastAsia" w:ascii="宋体" w:hAnsi="宋体" w:eastAsia="宋体" w:cs="宋体"/>
          <w:b w:val="0"/>
          <w:bCs/>
          <w:color w:val="000000"/>
          <w:sz w:val="21"/>
          <w:szCs w:val="21"/>
          <w:highlight w:val="none"/>
          <w:lang w:val="en-US" w:eastAsia="zh-CN" w:bidi="ar-SA"/>
        </w:rPr>
        <w:t xml:space="preserve">7</w:t>
      </w:r>
      <w:bookmarkStart w:id="164" w:name="_Toc337558770"/>
      <w:r>
        <w:rPr>
          <w:rFonts w:hint="eastAsia" w:ascii="宋体" w:hAnsi="宋体" w:eastAsia="宋体" w:cs="宋体"/>
          <w:b w:val="0"/>
          <w:bCs/>
          <w:color w:val="000000"/>
          <w:sz w:val="21"/>
          <w:szCs w:val="21"/>
          <w:highlight w:val="none"/>
          <w:lang w:val="en-US" w:eastAsia="zh-CN" w:bidi="ar-SA"/>
        </w:rPr>
        <w:t xml:space="preserve">.3 开工</w:t>
      </w:r>
      <w:bookmarkEnd w:id="163"/>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7.3.1 开工准备</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除专用合同条款另有约定外，合同当事人应按约定完成开工准备工作。</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 开工通知</w:t>
      </w:r>
      <w:bookmarkEnd w:id="164"/>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65" w:name="_Toc351203546"/>
      <w:r>
        <w:rPr>
          <w:rFonts w:hint="eastAsia" w:ascii="宋体" w:hAnsi="宋体" w:eastAsia="宋体" w:cs="宋体"/>
          <w:b w:val="0"/>
          <w:bCs/>
          <w:color w:val="000000"/>
          <w:sz w:val="21"/>
          <w:szCs w:val="21"/>
          <w:highlight w:val="none"/>
          <w:lang w:val="en-US" w:eastAsia="zh-CN" w:bidi="ar-SA"/>
        </w:rPr>
        <w:t xml:space="preserve">7.4测量放线</w:t>
      </w:r>
      <w:bookmarkEnd w:id="165"/>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施工过程中对施工现场内水准点等测量标志物的保护工作由承包人负责。</w:t>
      </w:r>
      <w:bookmarkStart w:id="166" w:name="_Toc351203547"/>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rPr>
          <w:rFonts w:hint="eastAsia" w:ascii="宋体" w:hAnsi="宋体" w:eastAsia="宋体" w:cs="宋体"/>
          <w:b w:val="0"/>
          <w:bCs/>
          <w:color w:val="000000"/>
          <w:sz w:val="21"/>
          <w:szCs w:val="21"/>
          <w:highlight w:val="none"/>
          <w:lang w:val="en-US" w:eastAsia="zh-CN" w:bidi="ar-SA"/>
        </w:rPr>
        <w:t xml:space="preserve">7</w:t>
      </w:r>
      <w:bookmarkEnd w:id="159"/>
      <w:r/>
      <w:bookmarkEnd w:id="160"/>
      <w:r/>
      <w:bookmarkStart w:id="167" w:name="_Toc337558772"/>
      <w:r/>
      <w:bookmarkStart w:id="168" w:name="_Toc296346574"/>
      <w:r/>
      <w:bookmarkStart w:id="169" w:name="_Toc296503073"/>
      <w:r>
        <w:rPr>
          <w:rFonts w:hint="eastAsia" w:ascii="宋体" w:hAnsi="宋体" w:eastAsia="宋体" w:cs="宋体"/>
          <w:b w:val="0"/>
          <w:bCs/>
          <w:color w:val="000000"/>
          <w:sz w:val="21"/>
          <w:szCs w:val="21"/>
          <w:highlight w:val="none"/>
          <w:lang w:val="en-US" w:eastAsia="zh-CN" w:bidi="ar-SA"/>
        </w:rPr>
        <w:t xml:space="preserve">.5 工期延误</w:t>
      </w:r>
      <w:bookmarkEnd w:id="166"/>
      <w:r/>
      <w:bookmarkEnd w:id="167"/>
      <w:r/>
      <w:bookmarkEnd w:id="168"/>
      <w:r/>
      <w:bookmarkEnd w:id="169"/>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7.5.1 因发包人原因导致工期延误</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在合同履行过程中，因下列情况导致工期延误和（或）费用增加的，由发包人承担由此延误的工期和（或）增加的费用，且发包人应支付承包人合理的利润： </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（1）发包人未能按合同约定提供图纸或所提供图纸不符合合同约定的；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（2）发包人未能按合同约定提供施工现场、施工条件、基础资料、许可、批准等开工条件的；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（3）发包人提供的测量基准点、基准线和水准点及其书面资料存在错误或疏漏的；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（4）发包人未能在计划开工日期之日起7天内同意下达开工通知的；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（5）发包人未能按合同约定日期支付工程预付款、进度款或竣工结算款的；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（6）监理人未按合同约定发出指示、批准等文件的；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（7）专用合同条款中约定的其他情形。</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7.5.2 因承包人原因导致工期延误</w:t>
      </w:r>
      <w:r/>
    </w:p>
    <w:p>
      <w:pPr>
        <w:ind w:firstLine="420"/>
        <w:jc w:val="left"/>
        <w:spacing w:line="240" w:lineRule="auto"/>
        <w:rPr>
          <w:rFonts w:hint="eastAsia" w:ascii="宋体" w:hAnsi="宋体" w:eastAsia="宋体" w:cs="宋体"/>
          <w:color w:val="000000"/>
          <w:sz w:val="21"/>
          <w:szCs w:val="21"/>
          <w:highlight w:val="none"/>
        </w:rPr>
      </w:pPr>
      <w:r/>
      <w:bookmarkStart w:id="170" w:name="_Toc296346577"/>
      <w:r/>
      <w:bookmarkStart w:id="171" w:name="_Toc296503076"/>
      <w:r>
        <w:rPr>
          <w:rFonts w:hint="eastAsia" w:ascii="宋体" w:hAnsi="宋体" w:eastAsia="宋体" w:cs="宋体"/>
          <w:color w:val="000000"/>
          <w:sz w:val="21"/>
          <w:szCs w:val="21"/>
          <w:highlight w:val="none"/>
        </w:rPr>
        <w:t xml:space="preserve">因</w:t>
      </w:r>
      <w:bookmarkEnd w:id="170"/>
      <w:r/>
      <w:bookmarkEnd w:id="171"/>
      <w:r>
        <w:rPr>
          <w:rFonts w:hint="eastAsia" w:ascii="宋体" w:hAnsi="宋体" w:eastAsia="宋体" w:cs="宋体"/>
          <w:color w:val="000000"/>
          <w:sz w:val="21"/>
          <w:szCs w:val="21"/>
          <w:highlight w:val="none"/>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72" w:name="_Toc351203548"/>
      <w:r>
        <w:rPr>
          <w:rFonts w:hint="eastAsia" w:ascii="宋体" w:hAnsi="宋体" w:eastAsia="宋体" w:cs="宋体"/>
          <w:b w:val="0"/>
          <w:bCs/>
          <w:color w:val="000000"/>
          <w:sz w:val="21"/>
          <w:szCs w:val="21"/>
          <w:highlight w:val="none"/>
          <w:lang w:val="en-US" w:eastAsia="zh-CN" w:bidi="ar-SA"/>
        </w:rPr>
        <w:t xml:space="preserve">7</w:t>
      </w:r>
      <w:bookmarkStart w:id="173" w:name="_Toc296503074"/>
      <w:r/>
      <w:bookmarkStart w:id="174" w:name="_Toc337558773"/>
      <w:r/>
      <w:bookmarkStart w:id="175" w:name="_Toc296346575"/>
      <w:r/>
      <w:bookmarkStart w:id="176" w:name="_Toc296503077"/>
      <w:r/>
      <w:bookmarkStart w:id="177" w:name="_Toc296346578"/>
      <w:r>
        <w:rPr>
          <w:rFonts w:hint="eastAsia" w:ascii="宋体" w:hAnsi="宋体" w:eastAsia="宋体" w:cs="宋体"/>
          <w:b w:val="0"/>
          <w:bCs/>
          <w:color w:val="000000"/>
          <w:sz w:val="21"/>
          <w:szCs w:val="21"/>
          <w:highlight w:val="none"/>
          <w:lang w:val="en-US" w:eastAsia="zh-CN" w:bidi="ar-SA"/>
        </w:rPr>
        <w:t xml:space="preserve">.6 不利物质条件</w:t>
      </w:r>
      <w:bookmarkEnd w:id="172"/>
      <w:r/>
      <w:bookmarkEnd w:id="173"/>
      <w:r/>
      <w:bookmarkEnd w:id="174"/>
      <w:r/>
      <w:bookmarkEnd w:id="175"/>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78" w:name="_Toc351203549"/>
      <w:r>
        <w:rPr>
          <w:rFonts w:hint="eastAsia" w:ascii="宋体" w:hAnsi="宋体" w:eastAsia="宋体" w:cs="宋体"/>
          <w:b w:val="0"/>
          <w:bCs/>
          <w:color w:val="000000"/>
          <w:sz w:val="21"/>
          <w:szCs w:val="21"/>
          <w:highlight w:val="none"/>
          <w:lang w:val="en-US" w:eastAsia="zh-CN" w:bidi="ar-SA"/>
        </w:rPr>
        <w:t xml:space="preserve">7</w:t>
      </w:r>
      <w:bookmarkStart w:id="179" w:name="_Toc296503075"/>
      <w:r/>
      <w:bookmarkStart w:id="180" w:name="_Toc296346576"/>
      <w:r/>
      <w:bookmarkStart w:id="181" w:name="_Toc337558774"/>
      <w:r>
        <w:rPr>
          <w:rFonts w:hint="eastAsia" w:ascii="宋体" w:hAnsi="宋体" w:eastAsia="宋体" w:cs="宋体"/>
          <w:b w:val="0"/>
          <w:bCs/>
          <w:color w:val="000000"/>
          <w:sz w:val="21"/>
          <w:szCs w:val="21"/>
          <w:highlight w:val="none"/>
          <w:lang w:val="en-US" w:eastAsia="zh-CN" w:bidi="ar-SA"/>
        </w:rPr>
        <w:t xml:space="preserve">.7 异常恶劣的气候条件</w:t>
      </w:r>
      <w:bookmarkEnd w:id="178"/>
      <w:r/>
      <w:bookmarkEnd w:id="179"/>
      <w:r/>
      <w:bookmarkEnd w:id="180"/>
      <w:r/>
      <w:bookmarkEnd w:id="181"/>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182" w:name="_Toc351203550"/>
      <w:r/>
      <w:r/>
    </w:p>
    <w:p>
      <w:pPr>
        <w:ind w:firstLine="420"/>
        <w:jc w:val="left"/>
        <w:spacing w:line="240" w:lineRule="auto"/>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7</w:t>
      </w:r>
      <w:bookmarkStart w:id="183" w:name="_Toc337558775"/>
      <w:r>
        <w:rPr>
          <w:rFonts w:hint="eastAsia" w:ascii="宋体" w:hAnsi="宋体" w:eastAsia="宋体" w:cs="宋体"/>
          <w:bCs/>
          <w:color w:val="000000"/>
          <w:sz w:val="21"/>
          <w:szCs w:val="21"/>
          <w:highlight w:val="none"/>
        </w:rPr>
        <w:t xml:space="preserve">.8 暂停施工</w:t>
      </w:r>
      <w:bookmarkEnd w:id="182"/>
      <w:r/>
      <w:bookmarkEnd w:id="176"/>
      <w:r/>
      <w:bookmarkEnd w:id="177"/>
      <w:r/>
      <w:bookmarkEnd w:id="183"/>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7.8.1发包人原因引起的暂停施工</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因发包人原因引起暂停施工的，监理人经发包人同意后，应及时下达暂停施工指示。情况紧急且监理人未及时下达暂停施工指示的，按照第7.8.4项〔紧急情况下的暂停施工〕执行。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因发包人原因引起的暂停施工，发包人应承担由此增加的费用和（或）延误的工期，</w:t>
      </w:r>
      <w:r>
        <w:rPr>
          <w:rFonts w:hint="eastAsia" w:ascii="宋体" w:hAnsi="宋体" w:eastAsia="宋体" w:cs="宋体"/>
          <w:sz w:val="21"/>
          <w:szCs w:val="21"/>
          <w:highlight w:val="none"/>
        </w:rPr>
        <w:t xml:space="preserve">并支付承包人</w:t>
      </w:r>
      <w:r>
        <w:rPr>
          <w:rFonts w:hint="eastAsia" w:ascii="宋体" w:hAnsi="宋体" w:eastAsia="宋体" w:cs="宋体"/>
          <w:color w:val="000000"/>
          <w:sz w:val="21"/>
          <w:szCs w:val="21"/>
          <w:highlight w:val="none"/>
        </w:rPr>
        <w:t xml:space="preserve">合理的利润。</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7.8.2 承包人原因引起的暂停施工</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7.8.3 指示暂停施工</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监理人认为有必要时，并经发包人批准后，可向承包人作出暂停施工的指示，承包人应按监理人指示暂停施工。</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7.8.4 紧急情况下的暂停施工</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7.8.5 暂停施工后的复工</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承包人无故拖延和拒绝复工的，承包人承担由此增加的费用和（或）延误的工期；因发包人原因无法按时复工的，按照第7.5.1项〔因发包人原因导致工期延误〕约定办理。</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7.8.6 暂停施工持续56天以上</w:t>
      </w:r>
      <w:r/>
    </w:p>
    <w:p>
      <w:pPr>
        <w:ind w:firstLine="40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firstLine="40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left="16" w:firstLine="40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7.8.7 暂停施工期间的工程照管</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暂停施工期间，承包人应负责妥善照管工程并提供安全保障，由此增加的费用由责任方承担。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7.8.8 暂停施工的措施</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暂停施工期间，发包人和承包人均应采取必要的措施确保工程质量及安全，防止因暂停施工扩大损失。</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84" w:name="_Toc351203551"/>
      <w:r>
        <w:rPr>
          <w:rFonts w:hint="eastAsia" w:ascii="宋体" w:hAnsi="宋体" w:eastAsia="宋体" w:cs="宋体"/>
          <w:b w:val="0"/>
          <w:bCs/>
          <w:color w:val="000000"/>
          <w:sz w:val="21"/>
          <w:szCs w:val="21"/>
          <w:highlight w:val="none"/>
          <w:lang w:val="en-US" w:eastAsia="zh-CN" w:bidi="ar-SA"/>
        </w:rPr>
        <w:t xml:space="preserve">7.9提前竣工</w:t>
      </w:r>
      <w:bookmarkEnd w:id="184"/>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7.9.2 发包人要求承包人提前竣工，或承包人提出提前竣工的建议能够给发包人带来效益的，合同当事人可以在专用合同条款中约定提前竣工的奖励。</w:t>
      </w:r>
      <w:r/>
    </w:p>
    <w:p>
      <w:pPr>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185" w:name="_Toc351203552"/>
      <w:r>
        <w:rPr>
          <w:rFonts w:hint="eastAsia" w:ascii="宋体" w:hAnsi="宋体" w:eastAsia="宋体" w:cs="宋体"/>
          <w:b w:val="0"/>
          <w:bCs/>
          <w:color w:val="000000"/>
          <w:sz w:val="21"/>
          <w:szCs w:val="21"/>
          <w:highlight w:val="none"/>
          <w:lang w:val="en-US" w:eastAsia="zh-CN" w:bidi="ar-SA"/>
        </w:rPr>
        <w:t xml:space="preserve">8</w:t>
      </w:r>
      <w:bookmarkStart w:id="186" w:name="_Toc296503058"/>
      <w:r/>
      <w:bookmarkStart w:id="187" w:name="_Toc296346559"/>
      <w:r/>
      <w:bookmarkStart w:id="188" w:name="_Toc337558776"/>
      <w:r>
        <w:rPr>
          <w:rFonts w:hint="eastAsia" w:ascii="宋体" w:hAnsi="宋体" w:eastAsia="宋体" w:cs="宋体"/>
          <w:b w:val="0"/>
          <w:bCs/>
          <w:color w:val="000000"/>
          <w:sz w:val="21"/>
          <w:szCs w:val="21"/>
          <w:highlight w:val="none"/>
          <w:lang w:val="en-US" w:eastAsia="zh-CN" w:bidi="ar-SA"/>
        </w:rPr>
        <w:t xml:space="preserve">. 材料与设备</w:t>
      </w:r>
      <w:bookmarkEnd w:id="185"/>
      <w:r/>
      <w:bookmarkEnd w:id="186"/>
      <w:r/>
      <w:bookmarkEnd w:id="187"/>
      <w:r/>
      <w:bookmarkEnd w:id="188"/>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89" w:name="_Toc351203553"/>
      <w:r>
        <w:rPr>
          <w:rFonts w:hint="eastAsia" w:ascii="宋体" w:hAnsi="宋体" w:eastAsia="宋体" w:cs="宋体"/>
          <w:b w:val="0"/>
          <w:bCs/>
          <w:color w:val="000000"/>
          <w:sz w:val="21"/>
          <w:szCs w:val="21"/>
          <w:highlight w:val="none"/>
          <w:lang w:val="en-US" w:eastAsia="zh-CN" w:bidi="ar-SA"/>
        </w:rPr>
        <w:t xml:space="preserve">8</w:t>
      </w:r>
      <w:bookmarkStart w:id="190" w:name="_Toc296503059"/>
      <w:r/>
      <w:bookmarkStart w:id="191" w:name="_Toc296346560"/>
      <w:r/>
      <w:bookmarkStart w:id="192" w:name="_Toc337558777"/>
      <w:r/>
      <w:bookmarkStart w:id="193" w:name="_Toc468936960"/>
      <w:r>
        <w:rPr>
          <w:rFonts w:hint="eastAsia" w:ascii="宋体" w:hAnsi="宋体" w:eastAsia="宋体" w:cs="宋体"/>
          <w:b w:val="0"/>
          <w:bCs/>
          <w:color w:val="000000"/>
          <w:sz w:val="21"/>
          <w:szCs w:val="21"/>
          <w:highlight w:val="none"/>
          <w:lang w:val="en-US" w:eastAsia="zh-CN" w:bidi="ar-SA"/>
        </w:rPr>
        <w:t xml:space="preserve">.1发包人供应材料与工程设备</w:t>
      </w:r>
      <w:bookmarkEnd w:id="189"/>
      <w:r/>
      <w:bookmarkEnd w:id="190"/>
      <w:r/>
      <w:bookmarkEnd w:id="191"/>
      <w:r/>
      <w:bookmarkEnd w:id="192"/>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发包人自行供应材料、工程设备的，应在签订合同时在专用合同条款的附件《发包人供应材料设备一览表》中明确材料、工程设备的品种、规格、型号、数量、单价、质量等级和送达地点。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ind w:firstLine="420"/>
        <w:jc w:val="both"/>
        <w:keepLines/>
        <w:keepNext/>
        <w:spacing w:before="120" w:after="120" w:line="240" w:lineRule="auto"/>
        <w:widowControl w:val="off"/>
        <w:rPr>
          <w:rFonts w:hint="eastAsia" w:ascii="宋体" w:hAnsi="宋体" w:eastAsia="宋体" w:cs="宋体"/>
          <w:b/>
          <w:bCs/>
          <w:color w:val="000000"/>
          <w:sz w:val="21"/>
          <w:szCs w:val="21"/>
          <w:highlight w:val="none"/>
          <w:lang w:val="en-US" w:eastAsia="zh-CN" w:bidi="ar-SA"/>
        </w:rPr>
        <w:outlineLvl w:val="4"/>
      </w:pPr>
      <w:r/>
      <w:bookmarkStart w:id="194" w:name="_Toc351203554"/>
      <w:r>
        <w:rPr>
          <w:rFonts w:hint="eastAsia" w:ascii="宋体" w:hAnsi="宋体" w:eastAsia="宋体" w:cs="宋体"/>
          <w:b w:val="0"/>
          <w:bCs/>
          <w:color w:val="000000"/>
          <w:sz w:val="21"/>
          <w:szCs w:val="21"/>
          <w:highlight w:val="none"/>
          <w:lang w:val="en-US" w:eastAsia="zh-CN" w:bidi="ar-SA"/>
        </w:rPr>
        <w:t xml:space="preserve">8</w:t>
      </w:r>
      <w:bookmarkStart w:id="195" w:name="_Toc296503060"/>
      <w:r/>
      <w:bookmarkStart w:id="196" w:name="_Toc296346561"/>
      <w:r/>
      <w:bookmarkStart w:id="197" w:name="_Toc337558778"/>
      <w:r>
        <w:rPr>
          <w:rFonts w:hint="eastAsia" w:ascii="宋体" w:hAnsi="宋体" w:eastAsia="宋体" w:cs="宋体"/>
          <w:b w:val="0"/>
          <w:bCs/>
          <w:color w:val="000000"/>
          <w:sz w:val="21"/>
          <w:szCs w:val="21"/>
          <w:highlight w:val="none"/>
          <w:lang w:val="en-US" w:eastAsia="zh-CN" w:bidi="ar-SA"/>
        </w:rPr>
        <w:t xml:space="preserve">.2承包人采购材料与工程设备</w:t>
      </w:r>
      <w:bookmarkEnd w:id="194"/>
      <w:r/>
      <w:bookmarkEnd w:id="195"/>
      <w:r/>
      <w:bookmarkEnd w:id="196"/>
      <w:r/>
      <w:bookmarkEnd w:id="197"/>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198" w:name="_Toc351203555"/>
      <w:r>
        <w:rPr>
          <w:rFonts w:hint="eastAsia" w:ascii="宋体" w:hAnsi="宋体" w:eastAsia="宋体" w:cs="宋体"/>
          <w:b w:val="0"/>
          <w:bCs/>
          <w:color w:val="000000"/>
          <w:sz w:val="21"/>
          <w:szCs w:val="21"/>
          <w:highlight w:val="none"/>
          <w:lang w:val="en-US" w:eastAsia="zh-CN" w:bidi="ar-SA"/>
        </w:rPr>
        <w:t xml:space="preserve">8</w:t>
      </w:r>
      <w:bookmarkStart w:id="199" w:name="_Toc337558779"/>
      <w:r/>
      <w:bookmarkStart w:id="200" w:name="_Toc296346562"/>
      <w:r/>
      <w:bookmarkStart w:id="201" w:name="_Toc296503061"/>
      <w:r>
        <w:rPr>
          <w:rFonts w:hint="eastAsia" w:ascii="宋体" w:hAnsi="宋体" w:eastAsia="宋体" w:cs="宋体"/>
          <w:b w:val="0"/>
          <w:bCs/>
          <w:color w:val="000000"/>
          <w:sz w:val="21"/>
          <w:szCs w:val="21"/>
          <w:highlight w:val="none"/>
          <w:lang w:val="en-US" w:eastAsia="zh-CN" w:bidi="ar-SA"/>
        </w:rPr>
        <w:t xml:space="preserve">.3材料与工程设备的接收与拒收</w:t>
      </w:r>
      <w:bookmarkEnd w:id="198"/>
      <w:r/>
      <w:bookmarkEnd w:id="199"/>
      <w:r/>
      <w:bookmarkEnd w:id="200"/>
      <w:r/>
      <w:bookmarkEnd w:id="201"/>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发包人提供的材料和工程设备的规格、数量或质量不符合合同约定的，或因发包人原因导致交货日期延误或交货地点变更等情况的，按照第16.1款〔发包人违约〕约定办理。</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8.3.2 承包人采购的材料和工程设备，应保证产品质量合格，承包人应在材料和工程设备到货前24小时通知监理人检验。承</w:t>
      </w:r>
      <w:bookmarkStart w:id="202" w:name="_Toc250655469"/>
      <w:r>
        <w:rPr>
          <w:rFonts w:hint="eastAsia" w:ascii="宋体" w:hAnsi="宋体" w:eastAsia="宋体" w:cs="宋体"/>
          <w:color w:val="000000"/>
          <w:sz w:val="21"/>
          <w:szCs w:val="21"/>
          <w:highlight w:val="none"/>
        </w:rPr>
        <w:t xml:space="preserve">包人进行永久设备、材料的制造和生产的，应符合相关质量标准，并向监理人提交材料的样本以及有关资料，并应在使用该材料或工程设备之前获得监理人同意。</w:t>
      </w:r>
      <w:bookmarkEnd w:id="202"/>
      <w:r/>
      <w:r/>
    </w:p>
    <w:p>
      <w:pPr>
        <w:ind w:firstLine="31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03" w:name="_Toc351203556"/>
      <w:r>
        <w:rPr>
          <w:rFonts w:hint="eastAsia" w:ascii="宋体" w:hAnsi="宋体" w:eastAsia="宋体" w:cs="宋体"/>
          <w:b w:val="0"/>
          <w:bCs/>
          <w:color w:val="000000"/>
          <w:sz w:val="21"/>
          <w:szCs w:val="21"/>
          <w:highlight w:val="none"/>
          <w:lang w:val="en-US" w:eastAsia="zh-CN" w:bidi="ar-SA"/>
        </w:rPr>
        <w:t xml:space="preserve">8</w:t>
      </w:r>
      <w:bookmarkStart w:id="204" w:name="_Toc296346563"/>
      <w:r/>
      <w:bookmarkStart w:id="205" w:name="_Toc296503062"/>
      <w:r/>
      <w:bookmarkStart w:id="206" w:name="_Toc337558780"/>
      <w:r>
        <w:rPr>
          <w:rFonts w:hint="eastAsia" w:ascii="宋体" w:hAnsi="宋体" w:eastAsia="宋体" w:cs="宋体"/>
          <w:b w:val="0"/>
          <w:bCs/>
          <w:color w:val="000000"/>
          <w:sz w:val="21"/>
          <w:szCs w:val="21"/>
          <w:highlight w:val="none"/>
          <w:lang w:val="en-US" w:eastAsia="zh-CN" w:bidi="ar-SA"/>
        </w:rPr>
        <w:t xml:space="preserve">.4材料与工程设备的保管与使用</w:t>
      </w:r>
      <w:bookmarkEnd w:id="203"/>
      <w:r/>
      <w:bookmarkEnd w:id="204"/>
      <w:r/>
      <w:bookmarkEnd w:id="205"/>
      <w:r/>
      <w:bookmarkEnd w:id="206"/>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8.4.1 发包人供应</w:t>
      </w:r>
      <w:r>
        <w:rPr>
          <w:rFonts w:hint="eastAsia" w:ascii="宋体" w:hAnsi="宋体" w:eastAsia="宋体" w:cs="宋体"/>
          <w:color w:val="000000"/>
          <w:sz w:val="21"/>
          <w:szCs w:val="21"/>
          <w:highlight w:val="none"/>
        </w:rPr>
        <w:t xml:space="preserve">材料与</w:t>
      </w:r>
      <w:r>
        <w:rPr>
          <w:rFonts w:hint="eastAsia" w:ascii="宋体" w:hAnsi="宋体" w:eastAsia="宋体" w:cs="宋体"/>
          <w:color w:val="000000"/>
          <w:sz w:val="21"/>
          <w:szCs w:val="21"/>
          <w:highlight w:val="none"/>
        </w:rPr>
        <w:t xml:space="preserve">工程</w:t>
      </w:r>
      <w:r>
        <w:rPr>
          <w:rFonts w:hint="eastAsia" w:ascii="宋体" w:hAnsi="宋体" w:eastAsia="宋体" w:cs="宋体"/>
          <w:color w:val="000000"/>
          <w:sz w:val="21"/>
          <w:szCs w:val="21"/>
          <w:highlight w:val="none"/>
        </w:rPr>
        <w:t xml:space="preserve">设备的保管与使用</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发包人供应的材料和工程设备使用前，由承包人负责检验，检验费用由发包人承担，不合格的不得使用。</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8.4.2 承包人采购</w:t>
      </w:r>
      <w:r>
        <w:rPr>
          <w:rFonts w:hint="eastAsia" w:ascii="宋体" w:hAnsi="宋体" w:eastAsia="宋体" w:cs="宋体"/>
          <w:color w:val="000000"/>
          <w:sz w:val="21"/>
          <w:szCs w:val="21"/>
          <w:highlight w:val="none"/>
        </w:rPr>
        <w:t xml:space="preserve">材料与</w:t>
      </w:r>
      <w:r>
        <w:rPr>
          <w:rFonts w:hint="eastAsia" w:ascii="宋体" w:hAnsi="宋体" w:eastAsia="宋体" w:cs="宋体"/>
          <w:color w:val="000000"/>
          <w:sz w:val="21"/>
          <w:szCs w:val="21"/>
          <w:highlight w:val="none"/>
        </w:rPr>
        <w:t xml:space="preserve">工程</w:t>
      </w:r>
      <w:r>
        <w:rPr>
          <w:rFonts w:hint="eastAsia" w:ascii="宋体" w:hAnsi="宋体" w:eastAsia="宋体" w:cs="宋体"/>
          <w:color w:val="000000"/>
          <w:sz w:val="21"/>
          <w:szCs w:val="21"/>
          <w:highlight w:val="none"/>
        </w:rPr>
        <w:t xml:space="preserve">设备的保管与使用</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发包人或监理人发现承包人使用不符合设计或有关标准要求的材料和工程设备时，有权要求承包人进行修复、拆除或重新采购，由此增加的费用和（或）延误的工期，由承包人承担。</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07" w:name="_Toc351203557"/>
      <w:r>
        <w:rPr>
          <w:rFonts w:hint="eastAsia" w:ascii="宋体" w:hAnsi="宋体" w:eastAsia="宋体" w:cs="宋体"/>
          <w:b w:val="0"/>
          <w:bCs/>
          <w:color w:val="000000"/>
          <w:sz w:val="21"/>
          <w:szCs w:val="21"/>
          <w:highlight w:val="none"/>
          <w:lang w:val="en-US" w:eastAsia="zh-CN" w:bidi="ar-SA"/>
        </w:rPr>
        <w:t xml:space="preserve">8.5禁止使用不合格的材料和工程设备</w:t>
      </w:r>
      <w:bookmarkEnd w:id="207"/>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8.5.2 监理人发现承包人使用了不合格的材料和工程设备，承包人应按照监理人的指示立即改正，并禁止在工程中继续使用不合格的材料和工程设备。</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8.5.3 发包人提供的材料或工程设备不符合合同要求的，承包人有权拒绝，并可要求发包人更换，由此增加的费用和（或）延误的工期由发包人承担，并支付承包人合理的利润。</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08" w:name="_Toc351203558"/>
      <w:r>
        <w:rPr>
          <w:rFonts w:hint="eastAsia" w:ascii="宋体" w:hAnsi="宋体" w:eastAsia="宋体" w:cs="宋体"/>
          <w:b w:val="0"/>
          <w:bCs/>
          <w:color w:val="000000"/>
          <w:sz w:val="21"/>
          <w:szCs w:val="21"/>
          <w:highlight w:val="none"/>
          <w:lang w:val="en-US" w:eastAsia="zh-CN" w:bidi="ar-SA"/>
        </w:rPr>
        <w:t xml:space="preserve">8.6 样品</w:t>
      </w:r>
      <w:bookmarkEnd w:id="208"/>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8.6.1</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样品的报送与封存</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需要承包人报送样品的材料或工程设备，样品的种类、名称、规格、数量等要求均应在专用合同条款中约定。样品的报送程序如下：</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（3）经发包人和监理人审批确认的样品应按约定的方法封样，封存的样品作为检验工程相关部分的标准之一。承包人在施工过程中不得使用与样品不符的材料或工程设备。</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8.6.2 样品的保管</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经批准的样品应由监理人负责封存于现场，承包人应在现场为保存样品提供适当和固定的场所并保持适当和良好的存储环境条件。</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09" w:name="_Toc351203559"/>
      <w:r>
        <w:rPr>
          <w:rFonts w:hint="eastAsia" w:ascii="宋体" w:hAnsi="宋体" w:eastAsia="宋体" w:cs="宋体"/>
          <w:b w:val="0"/>
          <w:bCs/>
          <w:color w:val="000000"/>
          <w:sz w:val="21"/>
          <w:szCs w:val="21"/>
          <w:highlight w:val="none"/>
          <w:lang w:val="en-US" w:eastAsia="zh-CN" w:bidi="ar-SA"/>
        </w:rPr>
        <w:t xml:space="preserve">8.7材料与工程设备的替代</w:t>
      </w:r>
      <w:bookmarkEnd w:id="209"/>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8.7.1 出现下列情况需要使用替代材料和工程设备的，承包人应按照第8.7.2项约定的程序执行：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（1）基准日期后生效的法律规定禁止使用的；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（2）发包人要求使用替代品的；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（3）因其他原因必须使用替代品的。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8.7.2 承包人应在使用替代材料和工程设备28天前书面通知监理人，并附下列文件：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（1）被替代的材料和工程设备的名称、数量、规格、型号、品牌、性能、价格及其他相关资料；</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（2）替代品的名称、数量、规格、型号、品牌、性能、价格及其他相关资料；</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（3）替代品与被替代产品之间的差异以及使用替代品可能对工程产生的影响；</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（4）替代品与被替代产品的价格差异；</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（5）使用替代品的理由和原因说明；</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（6）监理人要求的其他文件。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监理人应在收到通知后14天内向承包人发出经发包人签认的书面指示；监理人逾期发出书面指示的，视为发包人和监理人同意使用替代品。</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10" w:name="_Toc351203560"/>
      <w:r>
        <w:rPr>
          <w:rFonts w:hint="eastAsia" w:ascii="宋体" w:hAnsi="宋体" w:eastAsia="宋体" w:cs="宋体"/>
          <w:b w:val="0"/>
          <w:bCs/>
          <w:color w:val="000000"/>
          <w:sz w:val="21"/>
          <w:szCs w:val="21"/>
          <w:highlight w:val="none"/>
          <w:lang w:val="en-US" w:eastAsia="zh-CN" w:bidi="ar-SA"/>
        </w:rPr>
        <w:t xml:space="preserve">8.8施工设备和临时设施</w:t>
      </w:r>
      <w:bookmarkEnd w:id="210"/>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8.8.1 承包人提供的施工设备和临时设施</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除专用合同条款另有约定外，承包人应自行承担修建临时设施的费用，需要临时占地的，应由发包人办理申请手续并承担相应费用。</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8.8.2发包人提供的施工设备和临时设施</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发包人提供的施工设备或临时设施在专用合同条款中约定。</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8.8.3要求承包人增加或更换施工设备</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11" w:name="_Toc351203561"/>
      <w:r>
        <w:rPr>
          <w:rFonts w:hint="eastAsia" w:ascii="宋体" w:hAnsi="宋体" w:eastAsia="宋体" w:cs="宋体"/>
          <w:b w:val="0"/>
          <w:bCs/>
          <w:color w:val="000000"/>
          <w:sz w:val="21"/>
          <w:szCs w:val="21"/>
          <w:highlight w:val="none"/>
          <w:lang w:val="en-US" w:eastAsia="zh-CN" w:bidi="ar-SA"/>
        </w:rPr>
        <w:t xml:space="preserve">8</w:t>
      </w:r>
      <w:bookmarkStart w:id="212" w:name="_Toc296503063"/>
      <w:r/>
      <w:bookmarkStart w:id="213" w:name="_Toc337558781"/>
      <w:r/>
      <w:bookmarkStart w:id="214" w:name="_Toc296346564"/>
      <w:r>
        <w:rPr>
          <w:rFonts w:hint="eastAsia" w:ascii="宋体" w:hAnsi="宋体" w:eastAsia="宋体" w:cs="宋体"/>
          <w:b w:val="0"/>
          <w:bCs/>
          <w:color w:val="000000"/>
          <w:sz w:val="21"/>
          <w:szCs w:val="21"/>
          <w:highlight w:val="none"/>
          <w:lang w:val="en-US" w:eastAsia="zh-CN" w:bidi="ar-SA"/>
        </w:rPr>
        <w:t xml:space="preserve">.9材料与设备专用</w:t>
      </w:r>
      <w:bookmarkEnd w:id="211"/>
      <w:r>
        <w:rPr>
          <w:rFonts w:hint="eastAsia" w:ascii="宋体" w:hAnsi="宋体" w:eastAsia="宋体" w:cs="宋体"/>
          <w:b w:val="0"/>
          <w:bCs/>
          <w:color w:val="000000"/>
          <w:sz w:val="21"/>
          <w:szCs w:val="21"/>
          <w:highlight w:val="none"/>
          <w:lang w:val="en-US" w:eastAsia="zh-CN" w:bidi="ar-SA"/>
        </w:rPr>
        <w:t xml:space="preserve">要求</w:t>
      </w:r>
      <w:bookmarkEnd w:id="212"/>
      <w:r/>
      <w:bookmarkEnd w:id="213"/>
      <w:r/>
      <w:bookmarkEnd w:id="214"/>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承包人运入施工现场的材料、工程设备、施工设备以及在施工场地建设的临时设施，包括备品备件、安装工具与资料，必须专用于工程。未经发包人批准，承包人不得运出施工现场或挪作他用；</w:t>
      </w:r>
      <w:bookmarkEnd w:id="193"/>
      <w:r>
        <w:rPr>
          <w:rFonts w:hint="eastAsia" w:ascii="宋体" w:hAnsi="宋体" w:eastAsia="宋体" w:cs="宋体"/>
          <w:color w:val="000000"/>
          <w:sz w:val="21"/>
          <w:szCs w:val="21"/>
          <w:highlight w:val="none"/>
        </w:rPr>
        <w:t xml:space="preserve">经发包人批准，承包人可以根据施工进度计划撤走闲置的施工设备和其他物品。</w:t>
      </w:r>
      <w:r/>
    </w:p>
    <w:p>
      <w:pPr>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215" w:name="_Toc351203562"/>
      <w:r>
        <w:rPr>
          <w:rFonts w:hint="eastAsia" w:ascii="宋体" w:hAnsi="宋体" w:eastAsia="宋体" w:cs="宋体"/>
          <w:b w:val="0"/>
          <w:bCs/>
          <w:color w:val="000000"/>
          <w:sz w:val="21"/>
          <w:szCs w:val="21"/>
          <w:highlight w:val="none"/>
          <w:lang w:val="en-US" w:eastAsia="zh-CN" w:bidi="ar-SA"/>
        </w:rPr>
        <w:t xml:space="preserve">9</w:t>
      </w:r>
      <w:bookmarkStart w:id="216" w:name="_Toc337558782"/>
      <w:r/>
      <w:bookmarkStart w:id="217" w:name="_Toc296346584"/>
      <w:r/>
      <w:bookmarkStart w:id="218" w:name="_Toc296503083"/>
      <w:r>
        <w:rPr>
          <w:rFonts w:hint="eastAsia" w:ascii="宋体" w:hAnsi="宋体" w:eastAsia="宋体" w:cs="宋体"/>
          <w:b w:val="0"/>
          <w:bCs/>
          <w:color w:val="000000"/>
          <w:sz w:val="21"/>
          <w:szCs w:val="21"/>
          <w:highlight w:val="none"/>
          <w:lang w:val="en-US" w:eastAsia="zh-CN" w:bidi="ar-SA"/>
        </w:rPr>
        <w:t xml:space="preserve">. 试验与检验</w:t>
      </w:r>
      <w:bookmarkEnd w:id="215"/>
      <w:r/>
      <w:bookmarkEnd w:id="216"/>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19" w:name="_Toc351203563"/>
      <w:r>
        <w:rPr>
          <w:rFonts w:hint="eastAsia" w:ascii="宋体" w:hAnsi="宋体" w:eastAsia="宋体" w:cs="宋体"/>
          <w:b w:val="0"/>
          <w:bCs/>
          <w:color w:val="000000"/>
          <w:sz w:val="21"/>
          <w:szCs w:val="21"/>
          <w:highlight w:val="none"/>
          <w:lang w:val="en-US" w:eastAsia="zh-CN" w:bidi="ar-SA"/>
        </w:rPr>
        <w:t xml:space="preserve">9</w:t>
      </w:r>
      <w:bookmarkStart w:id="220" w:name="_Toc337558783"/>
      <w:r>
        <w:rPr>
          <w:rFonts w:hint="eastAsia" w:ascii="宋体" w:hAnsi="宋体" w:eastAsia="宋体" w:cs="宋体"/>
          <w:b w:val="0"/>
          <w:bCs/>
          <w:color w:val="000000"/>
          <w:sz w:val="21"/>
          <w:szCs w:val="21"/>
          <w:highlight w:val="none"/>
          <w:lang w:val="en-US" w:eastAsia="zh-CN" w:bidi="ar-SA"/>
        </w:rPr>
        <w:t xml:space="preserve">.1试验设备与试验人员</w:t>
      </w:r>
      <w:bookmarkEnd w:id="219"/>
      <w:r/>
      <w:bookmarkEnd w:id="220"/>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9.1.2 承包人应按专用合同条款的约定提供试验设备、取样装置、试验场所和试验条件，并向监理人提交相应进场计划表。</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承包人配置的试验设备要符合相应试验规程的要求并经过具有资质的检测单位检测，且在正式使用该试验设备前，需要经过监理人与承包人共同校定。</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9.1.3 承包人应向监理人提交试验人员的名单及其岗位、资格等证明资料，试验人员必须能够熟练进行相应的检测试验，承包人对试验人员的试验程序和试验结果的正确性负责。</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21" w:name="_Toc351203564"/>
      <w:r>
        <w:rPr>
          <w:rFonts w:hint="eastAsia" w:ascii="宋体" w:hAnsi="宋体" w:eastAsia="宋体" w:cs="宋体"/>
          <w:b w:val="0"/>
          <w:bCs/>
          <w:color w:val="000000"/>
          <w:sz w:val="21"/>
          <w:szCs w:val="21"/>
          <w:highlight w:val="none"/>
          <w:lang w:val="en-US" w:eastAsia="zh-CN" w:bidi="ar-SA"/>
        </w:rPr>
        <w:t xml:space="preserve">9</w:t>
      </w:r>
      <w:bookmarkStart w:id="222" w:name="_Toc337558784"/>
      <w:r>
        <w:rPr>
          <w:rFonts w:hint="eastAsia" w:ascii="宋体" w:hAnsi="宋体" w:eastAsia="宋体" w:cs="宋体"/>
          <w:b w:val="0"/>
          <w:bCs/>
          <w:color w:val="000000"/>
          <w:sz w:val="21"/>
          <w:szCs w:val="21"/>
          <w:highlight w:val="none"/>
          <w:lang w:val="en-US" w:eastAsia="zh-CN" w:bidi="ar-SA"/>
        </w:rPr>
        <w:t xml:space="preserve">.2取样</w:t>
      </w:r>
      <w:bookmarkEnd w:id="221"/>
      <w:r/>
      <w:bookmarkEnd w:id="222"/>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试验属于自检性质的，承包人可以单独取样。试验属于监理人抽检性质的，可由监理人取样，也可由承包人的试验人员在监理人的监督下取样。</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23" w:name="_Toc351203565"/>
      <w:r>
        <w:rPr>
          <w:rFonts w:hint="eastAsia" w:ascii="宋体" w:hAnsi="宋体" w:eastAsia="宋体" w:cs="宋体"/>
          <w:b w:val="0"/>
          <w:bCs/>
          <w:color w:val="000000"/>
          <w:sz w:val="21"/>
          <w:szCs w:val="21"/>
          <w:highlight w:val="none"/>
          <w:lang w:val="en-US" w:eastAsia="zh-CN" w:bidi="ar-SA"/>
        </w:rPr>
        <w:t xml:space="preserve">9</w:t>
      </w:r>
      <w:bookmarkStart w:id="224" w:name="_Toc337558785"/>
      <w:r>
        <w:rPr>
          <w:rFonts w:hint="eastAsia" w:ascii="宋体" w:hAnsi="宋体" w:eastAsia="宋体" w:cs="宋体"/>
          <w:b w:val="0"/>
          <w:bCs/>
          <w:color w:val="000000"/>
          <w:sz w:val="21"/>
          <w:szCs w:val="21"/>
          <w:highlight w:val="none"/>
          <w:lang w:val="en-US" w:eastAsia="zh-CN" w:bidi="ar-SA"/>
        </w:rPr>
        <w:t xml:space="preserve">.3材料、工程设备和工程的试验和检验</w:t>
      </w:r>
      <w:bookmarkEnd w:id="223"/>
      <w:r/>
      <w:bookmarkEnd w:id="224"/>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25" w:name="_Toc351203566"/>
      <w:r>
        <w:rPr>
          <w:rFonts w:hint="eastAsia" w:ascii="宋体" w:hAnsi="宋体" w:eastAsia="宋体" w:cs="宋体"/>
          <w:b w:val="0"/>
          <w:bCs/>
          <w:color w:val="000000"/>
          <w:sz w:val="21"/>
          <w:szCs w:val="21"/>
          <w:highlight w:val="none"/>
          <w:lang w:val="en-US" w:eastAsia="zh-CN" w:bidi="ar-SA"/>
        </w:rPr>
        <w:t xml:space="preserve">9</w:t>
      </w:r>
      <w:bookmarkStart w:id="226" w:name="_Toc337558786"/>
      <w:r>
        <w:rPr>
          <w:rFonts w:hint="eastAsia" w:ascii="宋体" w:hAnsi="宋体" w:eastAsia="宋体" w:cs="宋体"/>
          <w:b w:val="0"/>
          <w:bCs/>
          <w:color w:val="000000"/>
          <w:sz w:val="21"/>
          <w:szCs w:val="21"/>
          <w:highlight w:val="none"/>
          <w:lang w:val="en-US" w:eastAsia="zh-CN" w:bidi="ar-SA"/>
        </w:rPr>
        <w:t xml:space="preserve">.4现场工艺试验</w:t>
      </w:r>
      <w:bookmarkEnd w:id="225"/>
      <w:r/>
      <w:bookmarkEnd w:id="226"/>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承包人应按合同约定或监理人指示进行现场工艺试验。对大型的现场工艺试验，监理人认为必要时，承包人应根据监理人提出的工艺试验要求，编制工艺试验措施计划，报送监理人审查。</w:t>
      </w:r>
      <w:r/>
    </w:p>
    <w:p>
      <w:pPr>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227" w:name="_Toc351203567"/>
      <w:r>
        <w:rPr>
          <w:rFonts w:hint="eastAsia" w:ascii="宋体" w:hAnsi="宋体" w:eastAsia="宋体" w:cs="宋体"/>
          <w:b w:val="0"/>
          <w:bCs/>
          <w:color w:val="000000"/>
          <w:sz w:val="21"/>
          <w:szCs w:val="21"/>
          <w:highlight w:val="none"/>
          <w:lang w:val="en-US" w:eastAsia="zh-CN" w:bidi="ar-SA"/>
        </w:rPr>
        <w:t xml:space="preserve">1</w:t>
      </w:r>
      <w:bookmarkStart w:id="228" w:name="_Toc337558787"/>
      <w:r>
        <w:rPr>
          <w:rFonts w:hint="eastAsia" w:ascii="宋体" w:hAnsi="宋体" w:eastAsia="宋体" w:cs="宋体"/>
          <w:b w:val="0"/>
          <w:bCs/>
          <w:color w:val="000000"/>
          <w:sz w:val="21"/>
          <w:szCs w:val="21"/>
          <w:highlight w:val="none"/>
          <w:lang w:val="en-US" w:eastAsia="zh-CN" w:bidi="ar-SA"/>
        </w:rPr>
        <w:t xml:space="preserve">0. 变更</w:t>
      </w:r>
      <w:bookmarkEnd w:id="217"/>
      <w:r/>
      <w:bookmarkEnd w:id="218"/>
      <w:r/>
      <w:bookmarkEnd w:id="227"/>
      <w:r/>
      <w:bookmarkEnd w:id="228"/>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29" w:name="_Toc351203568"/>
      <w:r>
        <w:rPr>
          <w:rFonts w:hint="eastAsia" w:ascii="宋体" w:hAnsi="宋体" w:eastAsia="宋体" w:cs="宋体"/>
          <w:b w:val="0"/>
          <w:bCs/>
          <w:color w:val="000000"/>
          <w:sz w:val="21"/>
          <w:szCs w:val="21"/>
          <w:highlight w:val="none"/>
          <w:lang w:val="en-US" w:eastAsia="zh-CN" w:bidi="ar-SA"/>
        </w:rPr>
        <w:t xml:space="preserve">1</w:t>
      </w:r>
      <w:bookmarkStart w:id="230" w:name="_Toc296503084"/>
      <w:r/>
      <w:bookmarkStart w:id="231" w:name="_Toc337558788"/>
      <w:r/>
      <w:bookmarkStart w:id="232" w:name="_Toc296346585"/>
      <w:r>
        <w:rPr>
          <w:rFonts w:hint="eastAsia" w:ascii="宋体" w:hAnsi="宋体" w:eastAsia="宋体" w:cs="宋体"/>
          <w:b w:val="0"/>
          <w:bCs/>
          <w:color w:val="000000"/>
          <w:sz w:val="21"/>
          <w:szCs w:val="21"/>
          <w:highlight w:val="none"/>
          <w:lang w:val="en-US" w:eastAsia="zh-CN" w:bidi="ar-SA"/>
        </w:rPr>
        <w:t xml:space="preserve">0.1变更的范围</w:t>
      </w:r>
      <w:bookmarkEnd w:id="229"/>
      <w:r/>
      <w:bookmarkEnd w:id="230"/>
      <w:r/>
      <w:bookmarkEnd w:id="231"/>
      <w:r/>
      <w:bookmarkEnd w:id="232"/>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除专用合同条款另有约定外，合同履行过程中发生以下情形的，应按照本条约定进行变更：</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（1）增加或减少合同中任何工作，或追加额外的工作；</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（2）取消合同中任何工作，但转由他人实施的工作除外；</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（3）改变合同中任何工作的质量标准或其他特性；</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（4）改变工程的基线、标高、位置和尺寸；</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（5）改变工程的时间安排或实施顺序。</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33" w:name="_Toc351203569"/>
      <w:r>
        <w:rPr>
          <w:rFonts w:hint="eastAsia" w:ascii="宋体" w:hAnsi="宋体" w:eastAsia="宋体" w:cs="宋体"/>
          <w:b w:val="0"/>
          <w:bCs/>
          <w:color w:val="000000"/>
          <w:sz w:val="21"/>
          <w:szCs w:val="21"/>
          <w:highlight w:val="none"/>
          <w:lang w:val="en-US" w:eastAsia="zh-CN" w:bidi="ar-SA"/>
        </w:rPr>
        <w:t xml:space="preserve">1</w:t>
      </w:r>
      <w:bookmarkStart w:id="234" w:name="_Toc296346586"/>
      <w:r/>
      <w:bookmarkStart w:id="235" w:name="_Toc337558789"/>
      <w:r/>
      <w:bookmarkStart w:id="236" w:name="_Toc296503085"/>
      <w:r>
        <w:rPr>
          <w:rFonts w:hint="eastAsia" w:ascii="宋体" w:hAnsi="宋体" w:eastAsia="宋体" w:cs="宋体"/>
          <w:b w:val="0"/>
          <w:bCs/>
          <w:color w:val="000000"/>
          <w:sz w:val="21"/>
          <w:szCs w:val="21"/>
          <w:highlight w:val="none"/>
          <w:lang w:val="en-US" w:eastAsia="zh-CN" w:bidi="ar-SA"/>
        </w:rPr>
        <w:t xml:space="preserve">0.2变更权</w:t>
      </w:r>
      <w:bookmarkEnd w:id="233"/>
      <w:r/>
      <w:bookmarkEnd w:id="234"/>
      <w:r/>
      <w:bookmarkEnd w:id="235"/>
      <w:r/>
      <w:bookmarkEnd w:id="236"/>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涉及设计变更的，应由设计人提供变更后的图纸和说明。如变更超过原设计标准或批准的建设规模时，发包人应及时办理规划、设计变更等审批手续。</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37" w:name="_Toc351203570"/>
      <w:r>
        <w:rPr>
          <w:rFonts w:hint="eastAsia" w:ascii="宋体" w:hAnsi="宋体" w:eastAsia="宋体" w:cs="宋体"/>
          <w:b w:val="0"/>
          <w:bCs/>
          <w:color w:val="000000"/>
          <w:sz w:val="21"/>
          <w:szCs w:val="21"/>
          <w:highlight w:val="none"/>
          <w:lang w:val="en-US" w:eastAsia="zh-CN" w:bidi="ar-SA"/>
        </w:rPr>
        <w:t xml:space="preserve">1</w:t>
      </w:r>
      <w:bookmarkStart w:id="238" w:name="_Toc296503086"/>
      <w:r/>
      <w:bookmarkStart w:id="239" w:name="_Toc296346587"/>
      <w:r/>
      <w:bookmarkStart w:id="240" w:name="_Toc337558790"/>
      <w:r>
        <w:rPr>
          <w:rFonts w:hint="eastAsia" w:ascii="宋体" w:hAnsi="宋体" w:eastAsia="宋体" w:cs="宋体"/>
          <w:b w:val="0"/>
          <w:bCs/>
          <w:color w:val="000000"/>
          <w:sz w:val="21"/>
          <w:szCs w:val="21"/>
          <w:highlight w:val="none"/>
          <w:lang w:val="en-US" w:eastAsia="zh-CN" w:bidi="ar-SA"/>
        </w:rPr>
        <w:t xml:space="preserve">0.3变更程序</w:t>
      </w:r>
      <w:bookmarkEnd w:id="237"/>
      <w:r/>
      <w:bookmarkEnd w:id="238"/>
      <w:r/>
      <w:bookmarkEnd w:id="239"/>
      <w:r/>
      <w:bookmarkEnd w:id="240"/>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t xml:space="preserve">.3.1 发包人提出变更</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发包人提出变更的，应通过监理人向承包人发出变更指示，变更指示应说明计划变更的工程范围和变更的内容。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t xml:space="preserve">.3.2 监理人提出变更建议</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10.3.3 变更执行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41" w:name="_Toc351203571"/>
      <w:r>
        <w:rPr>
          <w:rFonts w:hint="eastAsia" w:ascii="宋体" w:hAnsi="宋体" w:eastAsia="宋体" w:cs="宋体"/>
          <w:b w:val="0"/>
          <w:bCs/>
          <w:color w:val="000000"/>
          <w:sz w:val="21"/>
          <w:szCs w:val="21"/>
          <w:highlight w:val="none"/>
          <w:lang w:val="en-US" w:eastAsia="zh-CN" w:bidi="ar-SA"/>
        </w:rPr>
        <w:t xml:space="preserve">1</w:t>
      </w:r>
      <w:bookmarkStart w:id="242" w:name="_Toc296503087"/>
      <w:r/>
      <w:bookmarkStart w:id="243" w:name="_Toc337558791"/>
      <w:r/>
      <w:bookmarkStart w:id="244" w:name="_Toc296346588"/>
      <w:r>
        <w:rPr>
          <w:rFonts w:hint="eastAsia" w:ascii="宋体" w:hAnsi="宋体" w:eastAsia="宋体" w:cs="宋体"/>
          <w:b w:val="0"/>
          <w:bCs/>
          <w:color w:val="000000"/>
          <w:sz w:val="21"/>
          <w:szCs w:val="21"/>
          <w:highlight w:val="none"/>
          <w:lang w:val="en-US" w:eastAsia="zh-CN" w:bidi="ar-SA"/>
        </w:rPr>
        <w:t xml:space="preserve">0.4变更估价</w:t>
      </w:r>
      <w:bookmarkEnd w:id="241"/>
      <w:r/>
      <w:bookmarkEnd w:id="242"/>
      <w:r/>
      <w:bookmarkEnd w:id="243"/>
      <w:r/>
      <w:bookmarkEnd w:id="244"/>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10.4.1 变更估价原则</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除专用合同条款另有约定外，变更估价按照本款约定处理：</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（1）已标价工程量清单或预算书有相同项目的，按照相同项目单价认定；</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（2）已标价工程量清单或预算书中无相同项目，但有类似项目的，参照类似项目的单价认定；</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10.4.2 变更估价程序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因变更引起的价格调整应计入最近一期的进度款中支付。</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45" w:name="_Toc351203572"/>
      <w:r>
        <w:rPr>
          <w:rFonts w:hint="eastAsia" w:ascii="宋体" w:hAnsi="宋体" w:eastAsia="宋体" w:cs="宋体"/>
          <w:b w:val="0"/>
          <w:bCs/>
          <w:color w:val="000000"/>
          <w:sz w:val="21"/>
          <w:szCs w:val="21"/>
          <w:highlight w:val="none"/>
          <w:lang w:val="en-US" w:eastAsia="zh-CN" w:bidi="ar-SA"/>
        </w:rPr>
        <w:t xml:space="preserve">1</w:t>
      </w:r>
      <w:bookmarkStart w:id="246" w:name="_Toc296503094"/>
      <w:r/>
      <w:bookmarkStart w:id="247" w:name="_Toc337558792"/>
      <w:r/>
      <w:bookmarkStart w:id="248" w:name="_Toc296346595"/>
      <w:r>
        <w:rPr>
          <w:rFonts w:hint="eastAsia" w:ascii="宋体" w:hAnsi="宋体" w:eastAsia="宋体" w:cs="宋体"/>
          <w:b w:val="0"/>
          <w:bCs/>
          <w:color w:val="000000"/>
          <w:sz w:val="21"/>
          <w:szCs w:val="21"/>
          <w:highlight w:val="none"/>
          <w:lang w:val="en-US" w:eastAsia="zh-CN" w:bidi="ar-SA"/>
        </w:rPr>
        <w:t xml:space="preserve">0.5承包人的合理化建议</w:t>
      </w:r>
      <w:bookmarkEnd w:id="245"/>
      <w:r/>
      <w:bookmarkEnd w:id="246"/>
      <w:r/>
      <w:bookmarkEnd w:id="247"/>
      <w:r/>
      <w:bookmarkEnd w:id="248"/>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承包人提出合理化建议的，应向监理人提交合理化建议说明，说明建议的内容和理由，以及实施该建议对合同价格和工期的影响。</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合理化建议降低了合同价格或者提高了工程经济效益的，发包人可对承包人给予奖励，奖励的方法和金额在专用合同条款中约定。</w:t>
      </w:r>
      <w:r/>
    </w:p>
    <w:p>
      <w:pPr>
        <w:ind w:firstLine="420"/>
        <w:jc w:val="both"/>
        <w:keepLines/>
        <w:keepNext/>
        <w:spacing w:before="120" w:after="120" w:line="240" w:lineRule="auto"/>
        <w:widowControl w:val="off"/>
        <w:rPr>
          <w:rFonts w:hint="eastAsia" w:ascii="宋体" w:hAnsi="宋体" w:eastAsia="宋体" w:cs="宋体"/>
          <w:b/>
          <w:bCs/>
          <w:color w:val="000000"/>
          <w:sz w:val="21"/>
          <w:szCs w:val="21"/>
          <w:highlight w:val="none"/>
          <w:lang w:val="en-US" w:eastAsia="zh-CN" w:bidi="ar-SA"/>
        </w:rPr>
        <w:outlineLvl w:val="4"/>
      </w:pPr>
      <w:r/>
      <w:bookmarkStart w:id="249" w:name="_Toc351203573"/>
      <w:r>
        <w:rPr>
          <w:rFonts w:hint="eastAsia" w:ascii="宋体" w:hAnsi="宋体" w:eastAsia="宋体" w:cs="宋体"/>
          <w:b w:val="0"/>
          <w:bCs/>
          <w:color w:val="000000"/>
          <w:sz w:val="21"/>
          <w:szCs w:val="21"/>
          <w:highlight w:val="none"/>
          <w:lang w:val="en-US" w:eastAsia="zh-CN" w:bidi="ar-SA"/>
        </w:rPr>
        <w:t xml:space="preserve">1</w:t>
      </w:r>
      <w:bookmarkStart w:id="250" w:name="_Toc337558793"/>
      <w:r>
        <w:rPr>
          <w:rFonts w:hint="eastAsia" w:ascii="宋体" w:hAnsi="宋体" w:eastAsia="宋体" w:cs="宋体"/>
          <w:b w:val="0"/>
          <w:bCs/>
          <w:color w:val="000000"/>
          <w:sz w:val="21"/>
          <w:szCs w:val="21"/>
          <w:highlight w:val="none"/>
          <w:lang w:val="en-US" w:eastAsia="zh-CN" w:bidi="ar-SA"/>
        </w:rPr>
        <w:t xml:space="preserve">0.6变更引起的工期调整</w:t>
      </w:r>
      <w:bookmarkEnd w:id="249"/>
      <w:r>
        <w:rPr>
          <w:rFonts w:hint="eastAsia" w:ascii="宋体" w:hAnsi="宋体" w:eastAsia="宋体" w:cs="宋体"/>
          <w:b w:val="0"/>
          <w:bCs/>
          <w:color w:val="000000"/>
          <w:sz w:val="21"/>
          <w:szCs w:val="21"/>
          <w:highlight w:val="none"/>
          <w:lang w:val="en-US" w:eastAsia="zh-CN" w:bidi="ar-SA"/>
        </w:rPr>
        <w:t xml:space="preserve"> </w:t>
      </w:r>
      <w:bookmarkEnd w:id="250"/>
      <w:r>
        <w:rPr>
          <w:rFonts w:hint="eastAsia" w:ascii="宋体" w:hAnsi="宋体" w:eastAsia="宋体" w:cs="宋体"/>
          <w:b w:val="0"/>
          <w:bCs/>
          <w:color w:val="000000"/>
          <w:sz w:val="21"/>
          <w:szCs w:val="21"/>
          <w:highlight w:val="none"/>
          <w:lang w:val="en-US" w:eastAsia="zh-CN" w:bidi="ar-SA"/>
        </w:rPr>
        <w:t xml:space="preserve"> </w:t>
      </w:r>
      <w:r>
        <w:rPr>
          <w:rFonts w:hint="eastAsia" w:ascii="宋体" w:hAnsi="宋体" w:eastAsia="宋体" w:cs="宋体"/>
          <w:b/>
          <w:bCs/>
          <w:color w:val="000000"/>
          <w:sz w:val="21"/>
          <w:szCs w:val="21"/>
          <w:highlight w:val="none"/>
          <w:lang w:val="en-US" w:eastAsia="zh-CN" w:bidi="ar-SA"/>
        </w:rPr>
        <w:t xml:space="preserve"> </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因变更引起工期变化的，合同当事人均可要求调整合同工期，由合同当事人按照第4.4款〔商定或确定〕并参考工程所在地的工期定额标准确定增减工期天数。</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51" w:name="_Toc351203574"/>
      <w:r>
        <w:rPr>
          <w:rFonts w:hint="eastAsia" w:ascii="宋体" w:hAnsi="宋体" w:eastAsia="宋体" w:cs="宋体"/>
          <w:b w:val="0"/>
          <w:bCs/>
          <w:color w:val="000000"/>
          <w:sz w:val="21"/>
          <w:szCs w:val="21"/>
          <w:highlight w:val="none"/>
          <w:lang w:val="en-US" w:eastAsia="zh-CN" w:bidi="ar-SA"/>
        </w:rPr>
        <w:t xml:space="preserve">10.7暂估价</w:t>
      </w:r>
      <w:bookmarkEnd w:id="251"/>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暂估价专业分包工程、服务、材料和工程设备的明细由合同当事人在专用合同条款中约定。</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10.7.1</w:t>
      </w:r>
      <w:r>
        <w:rPr>
          <w:rFonts w:hint="eastAsia" w:ascii="宋体" w:hAnsi="宋体" w:eastAsia="宋体" w:cs="宋体"/>
          <w:color w:val="000000"/>
          <w:sz w:val="21"/>
          <w:szCs w:val="21"/>
          <w:highlight w:val="none"/>
        </w:rPr>
        <w:t xml:space="preserve"> 依法必须招标的暂估价项目</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对于依法必须招标的暂估价项目，采取以下第1种方式确定。合同当事人也可以在专用合同条款中选择其他招标方式。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第1种方式：对于依法必须招标的暂估价项目，由承包人招标，对该暂估价项目的确认和批准按照以下约定执行：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10.7.2</w:t>
      </w:r>
      <w:r>
        <w:rPr>
          <w:rFonts w:hint="eastAsia" w:ascii="宋体" w:hAnsi="宋体" w:eastAsia="宋体" w:cs="宋体"/>
          <w:color w:val="000000"/>
          <w:sz w:val="21"/>
          <w:szCs w:val="21"/>
          <w:highlight w:val="none"/>
        </w:rPr>
        <w:t xml:space="preserve">不属于依法必须招标的暂估价项目</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除专用合同条款另有约定外，对于不属于依法必须招标的暂估价项目，采取以下第1种方式确定： </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第1种方式：对于不属于依法必须招标的暂估价项目，按本项约定确认和批准：</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（2）发包人认为承包人确定的供应商、分包人无法满足工程质量或合同要求的，发包人可以要求承包人重新确定暂估价项目的供应商、分包人;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（3）承包人应当在签订暂估价合同后7天内，将暂估价合同副本报送发包人留存。</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第2种方式：承包人按照第10.7.1项〔依法必须招标的暂估价项目〕约定的第1种方式确定暂估价项目。</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w:t>
      </w:r>
      <w:r>
        <w:rPr>
          <w:rFonts w:hint="eastAsia" w:ascii="宋体" w:hAnsi="宋体" w:eastAsia="宋体" w:cs="宋体"/>
          <w:color w:val="000000"/>
          <w:sz w:val="21"/>
          <w:szCs w:val="21"/>
          <w:highlight w:val="none"/>
        </w:rPr>
        <w:t xml:space="preserve">承包人直接实施的暂估价项目</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承包人具备实施暂估价项目的资格和条件的，经发包人和承包人协商一致后，可由承包人自行实施暂估价项目，合同当事人可以在专用合同条款约定具体事项。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52" w:name="_Toc351203575"/>
      <w:r>
        <w:rPr>
          <w:rFonts w:hint="eastAsia" w:ascii="宋体" w:hAnsi="宋体" w:eastAsia="宋体" w:cs="宋体"/>
          <w:b w:val="0"/>
          <w:bCs/>
          <w:color w:val="000000"/>
          <w:sz w:val="21"/>
          <w:szCs w:val="21"/>
          <w:highlight w:val="none"/>
          <w:lang w:val="en-US" w:eastAsia="zh-CN" w:bidi="ar-SA"/>
        </w:rPr>
        <w:t xml:space="preserve">1</w:t>
      </w:r>
      <w:bookmarkStart w:id="253" w:name="_Toc337558794"/>
      <w:r/>
      <w:bookmarkStart w:id="254" w:name="_Toc296503090"/>
      <w:r/>
      <w:bookmarkStart w:id="255" w:name="_Toc322522561"/>
      <w:r/>
      <w:bookmarkStart w:id="256" w:name="_Toc296346591"/>
      <w:r>
        <w:rPr>
          <w:rFonts w:hint="eastAsia" w:ascii="宋体" w:hAnsi="宋体" w:eastAsia="宋体" w:cs="宋体"/>
          <w:b w:val="0"/>
          <w:bCs/>
          <w:color w:val="000000"/>
          <w:sz w:val="21"/>
          <w:szCs w:val="21"/>
          <w:highlight w:val="none"/>
          <w:lang w:val="en-US" w:eastAsia="zh-CN" w:bidi="ar-SA"/>
        </w:rPr>
        <w:t xml:space="preserve">0.8暂列金额</w:t>
      </w:r>
      <w:bookmarkEnd w:id="252"/>
      <w:r/>
      <w:bookmarkEnd w:id="253"/>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暂列金额应按照发包人的要求使用，发包人的要求应通过监理人发出。合同当事人可以在专用合同条款中协商确定有关事项。</w:t>
      </w:r>
      <w:bookmarkEnd w:id="254"/>
      <w:r/>
      <w:bookmarkEnd w:id="255"/>
      <w:r/>
      <w:bookmarkEnd w:id="256"/>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57" w:name="_Toc351203576"/>
      <w:r>
        <w:rPr>
          <w:rFonts w:hint="eastAsia" w:ascii="宋体" w:hAnsi="宋体" w:eastAsia="宋体" w:cs="宋体"/>
          <w:b w:val="0"/>
          <w:bCs/>
          <w:color w:val="000000"/>
          <w:sz w:val="21"/>
          <w:szCs w:val="21"/>
          <w:highlight w:val="none"/>
          <w:lang w:val="en-US" w:eastAsia="zh-CN" w:bidi="ar-SA"/>
        </w:rPr>
        <w:t xml:space="preserve">1</w:t>
      </w:r>
      <w:bookmarkStart w:id="258" w:name="_Toc296503091"/>
      <w:r/>
      <w:bookmarkStart w:id="259" w:name="_Toc337558796"/>
      <w:r/>
      <w:bookmarkStart w:id="260" w:name="_Toc296346592"/>
      <w:r>
        <w:rPr>
          <w:rFonts w:hint="eastAsia" w:ascii="宋体" w:hAnsi="宋体" w:eastAsia="宋体" w:cs="宋体"/>
          <w:b w:val="0"/>
          <w:bCs/>
          <w:color w:val="000000"/>
          <w:sz w:val="21"/>
          <w:szCs w:val="21"/>
          <w:highlight w:val="none"/>
          <w:lang w:val="en-US" w:eastAsia="zh-CN" w:bidi="ar-SA"/>
        </w:rPr>
        <w:t xml:space="preserve">0.9计日工</w:t>
      </w:r>
      <w:bookmarkEnd w:id="257"/>
      <w:r>
        <w:rPr>
          <w:rFonts w:hint="eastAsia" w:ascii="宋体" w:hAnsi="宋体" w:eastAsia="宋体" w:cs="宋体"/>
          <w:b w:val="0"/>
          <w:bCs/>
          <w:color w:val="000000"/>
          <w:sz w:val="21"/>
          <w:szCs w:val="21"/>
          <w:highlight w:val="none"/>
          <w:lang w:val="en-US" w:eastAsia="zh-CN" w:bidi="ar-SA"/>
        </w:rPr>
        <w:t xml:space="preserve"> </w:t>
      </w:r>
      <w:bookmarkEnd w:id="258"/>
      <w:r/>
      <w:bookmarkEnd w:id="259"/>
      <w:r/>
      <w:bookmarkEnd w:id="260"/>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采用计日工计价的任何一项工作，承包人应在该项工作实施过程中，每天提交以下报表和有关凭证报送监理人审查：</w:t>
      </w:r>
      <w:r/>
    </w:p>
    <w:p>
      <w:pPr>
        <w:ind w:firstLine="31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（1）工作名称、内容和数量；</w:t>
      </w:r>
      <w:r/>
    </w:p>
    <w:p>
      <w:pPr>
        <w:ind w:firstLine="31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（2）投入该工作的所有人员的姓名、专业、工种、级别和耗用工时；</w:t>
      </w:r>
      <w:r/>
    </w:p>
    <w:p>
      <w:pPr>
        <w:ind w:firstLine="31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（3）投入该工作的材料类别和数量；</w:t>
      </w:r>
      <w:r/>
    </w:p>
    <w:p>
      <w:pPr>
        <w:ind w:firstLine="31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（4）投入该工作的施工设备型号、台数和耗用台时；</w:t>
      </w:r>
      <w:r/>
    </w:p>
    <w:p>
      <w:pPr>
        <w:ind w:firstLine="31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（5）其他有关资料和凭证。</w:t>
      </w:r>
      <w:r/>
    </w:p>
    <w:p>
      <w:pPr>
        <w:ind w:firstLine="31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计日工由承包人汇总后，列入最近一期进度付款申请单，由监理人审查并经发包人批准后列入进度付款。</w:t>
      </w:r>
      <w:r/>
    </w:p>
    <w:p>
      <w:pPr>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261" w:name="_Toc351203577"/>
      <w:r>
        <w:rPr>
          <w:rFonts w:hint="eastAsia" w:ascii="宋体" w:hAnsi="宋体" w:eastAsia="宋体" w:cs="宋体"/>
          <w:b w:val="0"/>
          <w:bCs/>
          <w:color w:val="000000"/>
          <w:sz w:val="21"/>
          <w:szCs w:val="21"/>
          <w:highlight w:val="none"/>
          <w:lang w:val="en-US" w:eastAsia="zh-CN" w:bidi="ar-SA"/>
        </w:rPr>
        <w:t xml:space="preserve">11. 价格调整</w:t>
      </w:r>
      <w:bookmarkEnd w:id="261"/>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62" w:name="_Toc351203578"/>
      <w:r/>
      <w:bookmarkStart w:id="263" w:name="_Toc296346593"/>
      <w:r/>
      <w:bookmarkStart w:id="264" w:name="_Toc296503092"/>
      <w:r/>
      <w:bookmarkStart w:id="265" w:name="_Toc337558797"/>
      <w:r>
        <w:rPr>
          <w:rFonts w:hint="eastAsia" w:ascii="宋体" w:hAnsi="宋体" w:eastAsia="宋体" w:cs="宋体"/>
          <w:b w:val="0"/>
          <w:bCs/>
          <w:color w:val="000000"/>
          <w:sz w:val="21"/>
          <w:szCs w:val="21"/>
          <w:highlight w:val="none"/>
          <w:lang w:val="en-US" w:eastAsia="zh-CN" w:bidi="ar-SA"/>
        </w:rPr>
        <w:t xml:space="preserve">11.1市场价格波动引起的调整</w:t>
      </w:r>
      <w:bookmarkEnd w:id="262"/>
      <w:r/>
      <w:bookmarkEnd w:id="263"/>
      <w:r/>
      <w:bookmarkEnd w:id="264"/>
      <w:r/>
      <w:bookmarkEnd w:id="265"/>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除专用合同条款另有约定外，市场价格波动超过合同当事人约定的范围，合同价格应当调整。合同当事人可以在专用合同条款中约定选择以下一种方式对合同价格进行调整：</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第1种方式：采用价格指数进行价格调整。</w:t>
      </w:r>
      <w:r/>
    </w:p>
    <w:p>
      <w:pPr>
        <w:ind w:firstLine="420"/>
        <w:spacing w:line="24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（1）价格调整公式</w:t>
      </w:r>
      <w:r/>
    </w:p>
    <w:p>
      <w:pPr>
        <w:ind w:firstLine="420"/>
        <w:spacing w:line="24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因人工、材料和设备等价格波动影响合同价格时，根据专用合同条款中约定的数据，按以下公式计算差额并调整合同价格：</w:t>
      </w:r>
      <w:r/>
    </w:p>
    <w:p>
      <w:pPr>
        <w:ind w:firstLine="420"/>
        <w:spacing w:line="24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30"/>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59.8pt;height:43.9pt;mso-wrap-distance-left:0.0pt;mso-wrap-distance-top:0.0pt;mso-wrap-distance-right:0.0pt;mso-wrap-distance-bottom:0.0pt;" filled="f" stroked="f">
            <v:path textboxrect="0,0,0,0"/>
            <v:imagedata r:id="rId17" o:title=""/>
          </v:shape>
          <o:OLEObject DrawAspect="Content" r:id="rId18" ObjectID="_1525044" ProgID="Equation.KSEE3" ShapeID="_x0000_i4" Type="Embed"/>
        </w:object>
      </w:r>
      <w:r/>
    </w:p>
    <w:p>
      <w:pPr>
        <w:ind w:firstLine="640"/>
        <w:spacing w:line="24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公式中：ΔP——需调整的价格差额；</w:t>
      </w:r>
      <w:r/>
    </w:p>
    <w:p>
      <w:pPr>
        <w:ind w:firstLine="1260"/>
        <w:spacing w:line="24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6"/>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9pt;height:17.9pt;mso-wrap-distance-left:0.0pt;mso-wrap-distance-top:0.0pt;mso-wrap-distance-right:0.0pt;mso-wrap-distance-bottom:0.0pt;" filled="f" stroked="f">
            <v:path textboxrect="0,0,0,0"/>
            <v:imagedata r:id="rId19" o:title=""/>
          </v:shape>
          <o:OLEObject DrawAspect="Content" r:id="rId20" ObjectID="_1525045" ProgID="Equation.KSEE3" ShapeID="_x0000_i5" Type="Embed"/>
        </w:object>
      </w:r>
      <w:r>
        <w:rPr>
          <w:rFonts w:hint="eastAsia" w:ascii="宋体" w:hAnsi="宋体" w:eastAsia="宋体" w:cs="宋体"/>
          <w:color w:val="000000"/>
          <w:sz w:val="21"/>
          <w:szCs w:val="21"/>
          <w:highlight w:val="none"/>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20"/>
        <w:spacing w:line="24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A——定值权重（即不调部分的权重）；</w:t>
      </w:r>
      <w:r/>
    </w:p>
    <w:p>
      <w:pPr>
        <w:ind w:firstLine="420"/>
        <w:spacing w:line="24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10"/>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1.0pt;height:21.1pt;mso-wrap-distance-left:0.0pt;mso-wrap-distance-top:0.0pt;mso-wrap-distance-right:0.0pt;mso-wrap-distance-bottom:0.0pt;" filled="f" stroked="f">
            <v:path textboxrect="0,0,0,0"/>
            <v:imagedata r:id="rId21" o:title=""/>
          </v:shape>
          <o:OLEObject DrawAspect="Content" r:id="rId22" ObjectID="_1525046" ProgID="Equation.KSEE3" ShapeID="_x0000_i6" Type="Embed"/>
        </w:object>
      </w:r>
      <w:r>
        <w:rPr>
          <w:rFonts w:hint="eastAsia" w:ascii="宋体" w:hAnsi="宋体" w:eastAsia="宋体" w:cs="宋体"/>
          <w:color w:val="000000"/>
          <w:sz w:val="21"/>
          <w:szCs w:val="21"/>
          <w:highlight w:val="none"/>
        </w:rPr>
        <w:t xml:space="preserve">——各可调因子的变值权重（即可调部分的权重），为各可调因子在签约合同价中所占的比例；</w:t>
      </w:r>
      <w:r/>
    </w:p>
    <w:p>
      <w:pPr>
        <w:ind w:firstLine="420"/>
        <w:spacing w:line="24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10"/>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2.0pt;height:20.6pt;mso-wrap-distance-left:0.0pt;mso-wrap-distance-top:0.0pt;mso-wrap-distance-right:0.0pt;mso-wrap-distance-bottom:0.0pt;" filled="f" stroked="f">
            <v:path textboxrect="0,0,0,0"/>
            <v:imagedata r:id="rId23" o:title=""/>
          </v:shape>
          <o:OLEObject DrawAspect="Content" r:id="rId24" ObjectID="_1525047" ProgID="Equation.KSEE3" ShapeID="_x0000_i7" Type="Embed"/>
        </w:object>
      </w:r>
      <w:r>
        <w:rPr>
          <w:rFonts w:hint="eastAsia" w:ascii="宋体" w:hAnsi="宋体" w:eastAsia="宋体" w:cs="宋体"/>
          <w:color w:val="000000"/>
          <w:sz w:val="21"/>
          <w:szCs w:val="21"/>
          <w:highlight w:val="none"/>
        </w:rPr>
        <w:t xml:space="preserve">——各可调因子的现行价格指数，指约定的付款证书相关周期最后一天的前42天的各可调因子的价格指数；</w:t>
      </w:r>
      <w:r/>
    </w:p>
    <w:p>
      <w:pPr>
        <w:ind w:firstLine="420"/>
        <w:spacing w:line="24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10"/>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8.0pt;height:20.2pt;mso-wrap-distance-left:0.0pt;mso-wrap-distance-top:0.0pt;mso-wrap-distance-right:0.0pt;mso-wrap-distance-bottom:0.0pt;" filled="f" stroked="f">
            <v:path textboxrect="0,0,0,0"/>
            <v:imagedata r:id="rId25" o:title=""/>
          </v:shape>
          <o:OLEObject DrawAspect="Content" r:id="rId26" ObjectID="_1525048" ProgID="Equation.KSEE3" ShapeID="_x0000_i8" Type="Embed"/>
        </w:object>
      </w:r>
      <w:r>
        <w:rPr>
          <w:rFonts w:hint="eastAsia" w:ascii="宋体" w:hAnsi="宋体" w:eastAsia="宋体" w:cs="宋体"/>
          <w:color w:val="000000"/>
          <w:sz w:val="21"/>
          <w:szCs w:val="21"/>
          <w:highlight w:val="none"/>
        </w:rPr>
        <w:t xml:space="preserve">——各可调因子的基本价格指数，指基准日期的各可调因子的价格指数。</w:t>
      </w:r>
      <w:r/>
    </w:p>
    <w:p>
      <w:pPr>
        <w:ind w:firstLine="420"/>
        <w:spacing w:line="24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20"/>
        <w:spacing w:line="24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（2）暂时确定调整差额</w:t>
      </w:r>
      <w:r/>
    </w:p>
    <w:p>
      <w:pPr>
        <w:ind w:firstLine="420"/>
        <w:spacing w:line="24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在计算调整差额时无现行价格指数的，合同当事人同意暂用前次价格指数计算。实际价格指数有调整的，合同当事人进行相应调整。</w:t>
      </w:r>
      <w:r/>
    </w:p>
    <w:p>
      <w:pPr>
        <w:ind w:firstLine="420"/>
        <w:spacing w:line="24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（3）权重的调整</w:t>
      </w:r>
      <w:r/>
    </w:p>
    <w:p>
      <w:pPr>
        <w:ind w:firstLine="420"/>
        <w:spacing w:line="24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因变更导致合同约定的权重不合理时，按照第4.4款〔商定或确定〕执行。</w:t>
      </w:r>
      <w:r/>
    </w:p>
    <w:p>
      <w:pPr>
        <w:ind w:firstLine="420"/>
        <w:spacing w:line="24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（4）因承包人原因工期延误后的价格调整</w:t>
      </w:r>
      <w:r/>
    </w:p>
    <w:p>
      <w:pPr>
        <w:ind w:firstLine="420"/>
        <w:spacing w:line="24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第2种方式：采用造价信息进行价格调整。</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（2）材料、工程设备价格变化的价款调整按照发包人提供的基准价格，按以下风险范围规定执行:</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20"/>
        <w:spacing w:line="240" w:lineRule="auto"/>
        <w:rPr>
          <w:rFonts w:hint="eastAsia" w:ascii="宋体" w:hAnsi="宋体" w:eastAsia="宋体" w:cs="宋体"/>
          <w:color w:val="000000"/>
          <w:sz w:val="21"/>
          <w:szCs w:val="21"/>
          <w:highlight w:val="none"/>
        </w:rPr>
      </w:pPr>
      <w:r/>
      <w:bookmarkStart w:id="266" w:name="OLE_LINK3"/>
      <w:r>
        <w:rPr>
          <w:rFonts w:hint="eastAsia" w:ascii="宋体" w:hAnsi="宋体" w:eastAsia="宋体" w:cs="宋体"/>
          <w:color w:val="000000"/>
          <w:sz w:val="21"/>
          <w:szCs w:val="21"/>
          <w:highlight w:val="none"/>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（3）施工机械台班单价或施工机械使用费发生变化超过省级或行业建设主管部门或其授权的工程造价管理机构规定的范围时，按规定调整合同价格。</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第3种方式：专用合同条款约定的其他方式。</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67" w:name="_Toc351203579"/>
      <w:r/>
      <w:bookmarkStart w:id="268" w:name="_Toc337558798"/>
      <w:r/>
      <w:bookmarkStart w:id="269" w:name="_Toc296503093"/>
      <w:r/>
      <w:bookmarkStart w:id="270" w:name="_Toc296346594"/>
      <w:r>
        <w:rPr>
          <w:rFonts w:hint="eastAsia" w:ascii="宋体" w:hAnsi="宋体" w:eastAsia="宋体" w:cs="宋体"/>
          <w:b w:val="0"/>
          <w:bCs/>
          <w:color w:val="000000"/>
          <w:sz w:val="21"/>
          <w:szCs w:val="21"/>
          <w:highlight w:val="none"/>
          <w:lang w:val="en-US" w:eastAsia="zh-CN" w:bidi="ar-SA"/>
        </w:rPr>
        <w:t xml:space="preserve">11.2法律变化引起的调整</w:t>
      </w:r>
      <w:bookmarkEnd w:id="267"/>
      <w:r/>
      <w:bookmarkEnd w:id="268"/>
      <w:r/>
      <w:bookmarkEnd w:id="269"/>
      <w:r/>
      <w:bookmarkEnd w:id="270"/>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因法律变化引起的合同价格和工期调整，合同当事人无法达成一致的，由总监理工程师按第4.4款〔商定或确定〕的约定处理。</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因承包人原因造成工期延误，在工期延误期间出现法律变化的，由此增加的费用和（或）延误的工期由承包人承担。</w:t>
      </w:r>
      <w:r/>
    </w:p>
    <w:p>
      <w:pPr>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271" w:name="_Toc351203580"/>
      <w:r/>
      <w:bookmarkStart w:id="272" w:name="_Toc337558799"/>
      <w:r/>
      <w:bookmarkStart w:id="273" w:name="_Toc296346597"/>
      <w:r/>
      <w:bookmarkStart w:id="274" w:name="_Toc296503096"/>
      <w:r>
        <w:rPr>
          <w:rFonts w:hint="eastAsia" w:ascii="宋体" w:hAnsi="宋体" w:eastAsia="宋体" w:cs="宋体"/>
          <w:b w:val="0"/>
          <w:bCs/>
          <w:color w:val="000000"/>
          <w:sz w:val="21"/>
          <w:szCs w:val="21"/>
          <w:highlight w:val="none"/>
          <w:lang w:val="en-US" w:eastAsia="zh-CN" w:bidi="ar-SA"/>
        </w:rPr>
        <w:t xml:space="preserve">12. 合同价格、计量与支付</w:t>
      </w:r>
      <w:bookmarkEnd w:id="271"/>
      <w:r/>
      <w:bookmarkEnd w:id="272"/>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75" w:name="_Toc351203581"/>
      <w:r/>
      <w:bookmarkStart w:id="276" w:name="_Toc337558800"/>
      <w:r>
        <w:rPr>
          <w:rFonts w:hint="eastAsia" w:ascii="宋体" w:hAnsi="宋体" w:eastAsia="宋体" w:cs="宋体"/>
          <w:b w:val="0"/>
          <w:bCs/>
          <w:color w:val="000000"/>
          <w:sz w:val="21"/>
          <w:szCs w:val="21"/>
          <w:highlight w:val="none"/>
          <w:lang w:val="en-US" w:eastAsia="zh-CN" w:bidi="ar-SA"/>
        </w:rPr>
        <w:t xml:space="preserve">12.1 合同价</w:t>
      </w:r>
      <w:bookmarkEnd w:id="273"/>
      <w:r/>
      <w:bookmarkEnd w:id="274"/>
      <w:r>
        <w:rPr>
          <w:rFonts w:hint="eastAsia" w:ascii="宋体" w:hAnsi="宋体" w:eastAsia="宋体" w:cs="宋体"/>
          <w:b w:val="0"/>
          <w:bCs/>
          <w:color w:val="000000"/>
          <w:sz w:val="21"/>
          <w:szCs w:val="21"/>
          <w:highlight w:val="none"/>
          <w:lang w:val="en-US" w:eastAsia="zh-CN" w:bidi="ar-SA"/>
        </w:rPr>
        <w:t xml:space="preserve">格形式</w:t>
      </w:r>
      <w:bookmarkEnd w:id="275"/>
      <w:r/>
      <w:bookmarkEnd w:id="276"/>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发包人和承包人应在合同协议书中选择下列一种合同价格形式： </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单价合同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单价合同是指合同当事人约定以工程量清单及其综合单价进行合同价格计算、调整和确认的建设工程施工合同，</w:t>
      </w:r>
      <w:r>
        <w:rPr>
          <w:rFonts w:hint="eastAsia" w:ascii="宋体" w:hAnsi="宋体" w:eastAsia="宋体" w:cs="宋体"/>
          <w:sz w:val="21"/>
          <w:szCs w:val="21"/>
          <w:highlight w:val="none"/>
        </w:rPr>
        <w:t xml:space="preserve">在约定的范围内合同单价不作调整</w:t>
      </w:r>
      <w:r>
        <w:rPr>
          <w:rFonts w:hint="eastAsia" w:ascii="宋体" w:hAnsi="宋体" w:eastAsia="宋体" w:cs="宋体"/>
          <w:color w:val="000000"/>
          <w:sz w:val="21"/>
          <w:szCs w:val="21"/>
          <w:highlight w:val="none"/>
        </w:rPr>
        <w:t xml:space="preserve">。合同当事人应在专用合同条款中约定综合单价包含的风险范围和风险费用的计算方法</w:t>
      </w: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并约定风险范围以外的合同价格的调整方法，其中因市场价格波动引起的调整按第11.1款〔市场价格波动引起的调整〕约定执行。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总价合同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总价合同是指合同当事人约定以施工图、已标价工程量清单或预算书及有关条件进行合同价格计算、调整和确认的建设工程施工合同，</w:t>
      </w:r>
      <w:r>
        <w:rPr>
          <w:rFonts w:hint="eastAsia" w:ascii="宋体" w:hAnsi="宋体" w:eastAsia="宋体" w:cs="宋体"/>
          <w:sz w:val="21"/>
          <w:szCs w:val="21"/>
          <w:highlight w:val="none"/>
        </w:rPr>
        <w:t xml:space="preserve">在约定的范围内合同总价不作调整</w:t>
      </w:r>
      <w:r>
        <w:rPr>
          <w:rFonts w:hint="eastAsia" w:ascii="宋体" w:hAnsi="宋体" w:eastAsia="宋体" w:cs="宋体"/>
          <w:color w:val="000000"/>
          <w:sz w:val="21"/>
          <w:szCs w:val="21"/>
          <w:highlight w:val="none"/>
        </w:rPr>
        <w:t xml:space="preserve">。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其它价格形式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合同当事人可在专用合同条款中约定其他合同价格形式。</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77" w:name="_Toc296346598"/>
      <w:r/>
      <w:bookmarkStart w:id="278" w:name="_Toc296503097"/>
      <w:r/>
      <w:bookmarkStart w:id="279" w:name="_Toc351203582"/>
      <w:r/>
      <w:bookmarkStart w:id="280" w:name="_Toc337558801"/>
      <w:r>
        <w:rPr>
          <w:rFonts w:hint="eastAsia" w:ascii="宋体" w:hAnsi="宋体" w:eastAsia="宋体" w:cs="宋体"/>
          <w:b w:val="0"/>
          <w:bCs/>
          <w:color w:val="000000"/>
          <w:sz w:val="21"/>
          <w:szCs w:val="21"/>
          <w:highlight w:val="none"/>
          <w:lang w:val="en-US" w:eastAsia="zh-CN" w:bidi="ar-SA"/>
        </w:rPr>
        <w:t xml:space="preserve">12.2预</w:t>
      </w:r>
      <w:bookmarkEnd w:id="277"/>
      <w:r/>
      <w:bookmarkEnd w:id="278"/>
      <w:r/>
      <w:bookmarkStart w:id="281" w:name="_Toc296503100"/>
      <w:r/>
      <w:bookmarkStart w:id="282" w:name="_Toc296346601"/>
      <w:r>
        <w:rPr>
          <w:rFonts w:hint="eastAsia" w:ascii="宋体" w:hAnsi="宋体" w:eastAsia="宋体" w:cs="宋体"/>
          <w:b w:val="0"/>
          <w:bCs/>
          <w:color w:val="000000"/>
          <w:sz w:val="21"/>
          <w:szCs w:val="21"/>
          <w:highlight w:val="none"/>
          <w:lang w:val="en-US" w:eastAsia="zh-CN" w:bidi="ar-SA"/>
        </w:rPr>
        <w:t xml:space="preserve">付款</w:t>
      </w:r>
      <w:bookmarkEnd w:id="279"/>
      <w:r/>
      <w:bookmarkEnd w:id="280"/>
      <w:r/>
      <w:bookmarkEnd w:id="281"/>
      <w:r/>
      <w:bookmarkEnd w:id="282"/>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w:t>
      </w:r>
      <w:r>
        <w:rPr>
          <w:rFonts w:hint="eastAsia" w:ascii="宋体" w:hAnsi="宋体" w:eastAsia="宋体" w:cs="宋体"/>
          <w:color w:val="000000"/>
          <w:sz w:val="21"/>
          <w:szCs w:val="21"/>
          <w:highlight w:val="none"/>
        </w:rPr>
        <w:t xml:space="preserve">1预付款的支付</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除专用合同条款另有约定外，预付款在进度付款中同比例扣回。</w:t>
      </w:r>
      <w:bookmarkEnd w:id="266"/>
      <w:r>
        <w:rPr>
          <w:rFonts w:hint="eastAsia" w:ascii="宋体" w:hAnsi="宋体" w:eastAsia="宋体" w:cs="宋体"/>
          <w:color w:val="000000"/>
          <w:sz w:val="21"/>
          <w:szCs w:val="21"/>
          <w:highlight w:val="none"/>
        </w:rPr>
        <w:t xml:space="preserve">在颁发工程接收证书前，提前解除合同的，尚未扣完的预付款应与合同价款一并结算。</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发包人逾期支付预付款超过7天的，承包人有权向发包人发出要求预付的催告通知，发包人收到通知后7天内仍未支付的，承包人有权暂停施工，并按第16.1.1项〔发包人违约的情形〕执行。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12.2.2 预付款担保</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发包人在工程款中逐期扣回预付款后，预付款担保额度应相应减少，但剩余的预付款担保金额不得低于未被扣回的预付款金额。</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83" w:name="_Toc351203583"/>
      <w:r/>
      <w:bookmarkStart w:id="284" w:name="_Toc337558802"/>
      <w:r>
        <w:rPr>
          <w:rFonts w:hint="eastAsia" w:ascii="宋体" w:hAnsi="宋体" w:eastAsia="宋体" w:cs="宋体"/>
          <w:b w:val="0"/>
          <w:bCs/>
          <w:color w:val="000000"/>
          <w:sz w:val="21"/>
          <w:szCs w:val="21"/>
          <w:highlight w:val="none"/>
          <w:lang w:val="en-US" w:eastAsia="zh-CN" w:bidi="ar-SA"/>
        </w:rPr>
        <w:t xml:space="preserve">12.3计量</w:t>
      </w:r>
      <w:bookmarkEnd w:id="283"/>
      <w:r/>
      <w:bookmarkEnd w:id="284"/>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12.3.1 计量原则</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工程量计量按照合同约定的工程量计算规则、图纸及变更指示等进行计量。工程量计算规则应以相关的国家标准、行业标准等为依据，由合同当事人在专用合同条款中约定。</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 计量周期</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除专用合同条款另有约定外，工程量的计量按月进行。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12.3.3 单价合同的计量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除专用合同条款另有约定外，单价合同的计量按照本项约定执行：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（1）承包人应于每月25日向监理人报送上月20日至当月19日已完成的工程量报告，并附具进度付款申请单、已完成工程量报表和有关资料。</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（3）监理人未在收到承包人提交的工程量报表后的7天内完成审核的，承包人报送的工程量报告中的工程量视为承包人实际完成的工程量，据此计算工程价款。</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12.3.4 总价合同的计量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除专用合同条款另有约定外，按月计量支付的总价合同，按照本项约定执行：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（1）承包人应于每月25日向监理人报送上月20日至当月19日已完成的工程量报告，并附具进度付款申请单、已完成工程量报表和有关资料。</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（3）监理人未在收到承包人提交的工程量报表后的7天内完成复核的，承包人提交的工程量报告中的工程量视为承包人实际完成的工程量。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12.3.5 总价合同采用支付分解表计量支付的，可以按照第12.3.4项〔总价合同的计量〕约定进行计量，但合同价款按照支付分解表进行支付。</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12.3.6 其他价格形式合同的计量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合同当事人可在专用合同条款中约定其他价格形式合同的计量方式和程序。</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85" w:name="_Toc296346602"/>
      <w:r/>
      <w:bookmarkStart w:id="286" w:name="_Toc296503101"/>
      <w:r/>
      <w:bookmarkStart w:id="287" w:name="_Toc351203584"/>
      <w:r/>
      <w:bookmarkStart w:id="288" w:name="_Toc337558803"/>
      <w:r>
        <w:rPr>
          <w:rFonts w:hint="eastAsia" w:ascii="宋体" w:hAnsi="宋体" w:eastAsia="宋体" w:cs="宋体"/>
          <w:b w:val="0"/>
          <w:bCs/>
          <w:color w:val="000000"/>
          <w:sz w:val="21"/>
          <w:szCs w:val="21"/>
          <w:highlight w:val="none"/>
          <w:lang w:val="en-US" w:eastAsia="zh-CN" w:bidi="ar-SA"/>
        </w:rPr>
        <w:t xml:space="preserve">12.4工程进度款支</w:t>
      </w:r>
      <w:bookmarkEnd w:id="285"/>
      <w:r/>
      <w:bookmarkEnd w:id="286"/>
      <w:r>
        <w:rPr>
          <w:rFonts w:hint="eastAsia" w:ascii="宋体" w:hAnsi="宋体" w:eastAsia="宋体" w:cs="宋体"/>
          <w:b w:val="0"/>
          <w:bCs/>
          <w:color w:val="000000"/>
          <w:sz w:val="21"/>
          <w:szCs w:val="21"/>
          <w:highlight w:val="none"/>
          <w:lang w:val="en-US" w:eastAsia="zh-CN" w:bidi="ar-SA"/>
        </w:rPr>
        <w:t xml:space="preserve">付</w:t>
      </w:r>
      <w:bookmarkEnd w:id="287"/>
      <w:r/>
      <w:bookmarkEnd w:id="288"/>
      <w:r/>
      <w:r/>
    </w:p>
    <w:p>
      <w:pPr>
        <w:ind w:firstLine="420"/>
        <w:jc w:val="left"/>
        <w:spacing w:line="24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t xml:space="preserve">.1 付款周期</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除专用合同条款另有约定外，付款周期应按照第12.3.2项〔计量周期〕的约定与计量周期保持一致。</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t xml:space="preserve">.2 进度付款申请单的编制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除专用合同条款另有约定外，进度付款申请单应包括下列内容：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（1）截至本次付款周期已完成工作对应的金额；</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（2）根据第10条〔变更〕应增加和扣减的变更金额；</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（3）根据第12.2款〔预付款〕约定应支付的预付款和扣减的返还预付款；</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（4）根据第15.3款〔质量保证金〕约定应扣减的质量保证金；</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（5）根据第19条〔索赔〕应增加和扣减的索赔金额；</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（6）对已签发的进度款支付证书中出现错误的修正，应在本次进度付款中支付或扣除的金额；</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（7）根据合同约定应增加和扣减的其他金额。</w:t>
      </w:r>
      <w:r/>
    </w:p>
    <w:p>
      <w:pPr>
        <w:ind w:firstLine="420"/>
        <w:jc w:val="left"/>
        <w:spacing w:line="24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12.4.3 进度付款申请单的提交</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（1）单价合同进度付款申请单的提交</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（2）总价合同进度付款申请单的提交</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总价合同按月计量支付的，承包人按照第12.3.4项〔总价合同的计量〕约定的时间按月向监理人提交进度付款申请单，并附上已完成工程量报表和有关资料。</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总价合同按支付分解表支付的，承包人应按照第12.4.6项〔支付分解表〕及第12.4.2项〔进度付款申请单的编制〕的约定向监理人提交进度付款申请单。</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（3）其他价格形式合同的进度付款申请单的提交</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合同当事人可在专用合同条款中约定其他价格形式合同的进度付款申请单的编制和提交程序。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t xml:space="preserve">.4 进度款审核和支付</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（3）发包人签发进度款支付证书或临时进度款支付证书，不表明发包人已同意、批准或接受了承包人完成的相应部分的工作。</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12.4.5 进度付款的修正</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12.4.6 支付分解表</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支付分解表的编制要求</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（1）支付分解表中所列的每期付款金额，应为第12.4.2项〔进度付款申请单的编制〕第（1）目的估算金额；</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（2）实际进度与施工进度计划不一致的，合同当事人可按照第4.4款〔商定或确定〕修改支付分解表；</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（3）不采用支付分解表的，承包人应向发包人和监理人提交按季度编制的支付估算分解表，用于支付参考。</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总价合同支付分解表的编制与审批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（2）监理人应在收到支付分解表后7天内完成审核并报送发包人。发包人应在收到经监理人审核的支付分解表后7天内完成审批，经发包人批准的支付分解表为有约束力的支付分解表。</w:t>
      </w:r>
      <w:r/>
    </w:p>
    <w:p>
      <w:pPr>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（3）发包人逾期未完成支付分解表审批的，也未及时要求承包人进行修正和提供补充资料的，则承包人提交的支付分解表视为已经获得发包人批准。</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单价合同的总价项目支付分解表的编制与审批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89" w:name="_Toc351203585"/>
      <w:r>
        <w:rPr>
          <w:rFonts w:hint="eastAsia" w:ascii="宋体" w:hAnsi="宋体" w:eastAsia="宋体" w:cs="宋体"/>
          <w:b w:val="0"/>
          <w:bCs/>
          <w:color w:val="000000"/>
          <w:sz w:val="21"/>
          <w:szCs w:val="21"/>
          <w:highlight w:val="none"/>
          <w:lang w:val="en-US" w:eastAsia="zh-CN" w:bidi="ar-SA"/>
        </w:rPr>
        <w:t xml:space="preserve">12.5支付账户</w:t>
      </w:r>
      <w:bookmarkEnd w:id="289"/>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发包人应将合同价款支付至合同协议书中约定的承包人账户。</w:t>
      </w:r>
      <w:r/>
    </w:p>
    <w:p>
      <w:pPr>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290" w:name="_Toc351203586"/>
      <w:r/>
      <w:bookmarkStart w:id="291" w:name="_Toc322522574"/>
      <w:r/>
      <w:bookmarkStart w:id="292" w:name="_Toc296346607"/>
      <w:r/>
      <w:bookmarkStart w:id="293" w:name="_Toc337558804"/>
      <w:r/>
      <w:bookmarkStart w:id="294" w:name="_Toc296503106"/>
      <w:r>
        <w:rPr>
          <w:rFonts w:hint="eastAsia" w:ascii="宋体" w:hAnsi="宋体" w:eastAsia="宋体" w:cs="宋体"/>
          <w:b w:val="0"/>
          <w:bCs/>
          <w:color w:val="000000"/>
          <w:sz w:val="21"/>
          <w:szCs w:val="21"/>
          <w:highlight w:val="none"/>
          <w:lang w:val="en-US" w:eastAsia="zh-CN" w:bidi="ar-SA"/>
        </w:rPr>
        <w:t xml:space="preserve">13. 验收和工程试车</w:t>
      </w:r>
      <w:bookmarkEnd w:id="290"/>
      <w:r/>
      <w:bookmarkEnd w:id="291"/>
      <w:r/>
      <w:bookmarkEnd w:id="292"/>
      <w:r/>
      <w:bookmarkEnd w:id="293"/>
      <w:r/>
      <w:bookmarkEnd w:id="294"/>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95" w:name="_Toc351203587"/>
      <w:r/>
      <w:bookmarkStart w:id="296" w:name="_Toc337558805"/>
      <w:r/>
      <w:bookmarkStart w:id="297" w:name="_Toc296503110"/>
      <w:r/>
      <w:bookmarkStart w:id="298" w:name="_Toc296346611"/>
      <w:r>
        <w:rPr>
          <w:rFonts w:hint="eastAsia" w:ascii="宋体" w:hAnsi="宋体" w:eastAsia="宋体" w:cs="宋体"/>
          <w:b w:val="0"/>
          <w:bCs/>
          <w:color w:val="000000"/>
          <w:sz w:val="21"/>
          <w:szCs w:val="21"/>
          <w:highlight w:val="none"/>
          <w:lang w:val="en-US" w:eastAsia="zh-CN" w:bidi="ar-SA"/>
        </w:rPr>
        <w:t xml:space="preserve">13.1分部分项工程验收</w:t>
      </w:r>
      <w:bookmarkEnd w:id="295"/>
      <w:r/>
      <w:bookmarkEnd w:id="296"/>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13.1.1 分部分项工程质量应符合国家有关工程施工验收规范、标准及合同约定，承包人应按照施工组织设计的要求完成分部分项工程施工。</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13.1.2 除专用合同条款另有约定外，分部分项工程经承包人自检合格并具备验收条件的，承包人应提前48小时通知监理人进行验收。</w:t>
      </w:r>
      <w:r>
        <w:rPr>
          <w:rFonts w:hint="eastAsia" w:ascii="宋体" w:hAnsi="宋体" w:eastAsia="宋体" w:cs="宋体"/>
          <w:color w:val="000000"/>
          <w:sz w:val="21"/>
          <w:szCs w:val="21"/>
          <w:highlight w:val="none"/>
        </w:rPr>
        <w:t xml:space="preserve">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color w:val="000000"/>
          <w:sz w:val="21"/>
          <w:szCs w:val="21"/>
          <w:highlight w:val="none"/>
        </w:rPr>
        <w:t xml:space="preserve">分部分项工程未经验收的，不得进入下一道工序施工。</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分部分项工程的验收资料应当作为竣工资料的组成部分。</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299" w:name="_Toc351203588"/>
      <w:r/>
      <w:bookmarkStart w:id="300" w:name="_Toc337558806"/>
      <w:r>
        <w:rPr>
          <w:rFonts w:hint="eastAsia" w:ascii="宋体" w:hAnsi="宋体" w:eastAsia="宋体" w:cs="宋体"/>
          <w:b w:val="0"/>
          <w:bCs/>
          <w:color w:val="000000"/>
          <w:sz w:val="21"/>
          <w:szCs w:val="21"/>
          <w:highlight w:val="none"/>
          <w:lang w:val="en-US" w:eastAsia="zh-CN" w:bidi="ar-SA"/>
        </w:rPr>
        <w:t xml:space="preserve">13.2竣工验收</w:t>
      </w:r>
      <w:bookmarkEnd w:id="299"/>
      <w:r/>
      <w:bookmarkEnd w:id="297"/>
      <w:r/>
      <w:bookmarkEnd w:id="298"/>
      <w:r/>
      <w:bookmarkEnd w:id="300"/>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13.2.1竣工验收条件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工程具备以下条件的，承包人可以申请竣工验收：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（1）除发包人同意的甩项工作和缺陷修补工作外，合同范围内的全部工程以及有关工作，包括合同要求的试验、试运行以及检验均已完成，并符合合同要求；</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（2）已按合同约定编制了甩项工作和缺陷修补工作清单以及相应的施工计划；</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（3）已按合同约定的内容和份数备齐竣工资料。</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13.2.2竣工验收程序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除专用合同条款另有约定外，承包人申请竣工验收的，应当按照以下程序进行：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（3）竣工验收合格的，发包人应在验收合格后14天内向承包人签发工程接收证书。发包人无正当理由逾期不颁发工程接收证书的，自验收合格后第15天起视为已颁发工程接收证书。</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13.2.3竣工日期</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01" w:name="#go14"/>
      <w:r/>
      <w:bookmarkEnd w:id="301"/>
      <w:r>
        <w:rPr>
          <w:rFonts w:hint="eastAsia" w:ascii="宋体" w:hAnsi="宋体" w:eastAsia="宋体" w:cs="宋体"/>
          <w:color w:val="000000"/>
          <w:sz w:val="21"/>
          <w:szCs w:val="21"/>
          <w:highlight w:val="none"/>
        </w:rPr>
        <w:t xml:space="preserve">收申请报告的日期为实际竣工日期；工程未经竣工验收，发包人擅自使用的，以转移占有工程之日为实际竣工日期。</w:t>
      </w:r>
      <w:r/>
    </w:p>
    <w:p>
      <w:pPr>
        <w:ind w:firstLine="420"/>
        <w:jc w:val="left"/>
        <w:spacing w:line="24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13.2.4 拒绝接收全部或部分工程</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13.2.5 移交、接收全部与部分工程</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除专用合同条款另有约定外，合同当事人应当在颁发工程接收证书后7天内完成工程的移交。</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02" w:name="_Toc351203589"/>
      <w:r/>
      <w:bookmarkStart w:id="303" w:name="_Toc296346612"/>
      <w:r/>
      <w:bookmarkStart w:id="304" w:name="_Toc296503111"/>
      <w:r/>
      <w:bookmarkStart w:id="305" w:name="_Toc337558807"/>
      <w:r>
        <w:rPr>
          <w:rFonts w:hint="eastAsia" w:ascii="宋体" w:hAnsi="宋体" w:eastAsia="宋体" w:cs="宋体"/>
          <w:b w:val="0"/>
          <w:bCs/>
          <w:color w:val="000000"/>
          <w:sz w:val="21"/>
          <w:szCs w:val="21"/>
          <w:highlight w:val="none"/>
          <w:lang w:val="en-US" w:eastAsia="zh-CN" w:bidi="ar-SA"/>
        </w:rPr>
        <w:t xml:space="preserve">13.3工程试车</w:t>
      </w:r>
      <w:bookmarkEnd w:id="302"/>
      <w:r/>
      <w:bookmarkEnd w:id="303"/>
      <w:r/>
      <w:bookmarkEnd w:id="304"/>
      <w:r/>
      <w:bookmarkEnd w:id="305"/>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13.3.1试车程序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工程需要试车的，除专用合同条款另有约定外，试车内容应与承包人承包范围相一致，试车费用由承包人承担。工程试车应按如下程序进行：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13.3.2 试车中的责任</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13.3.3 投料试车</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如需进行投料试车的，发包人应在工程竣工验收后组织投料试车。发包人要求在工程竣工验收前进行或需要承包人配合时，应征得承包人同意，并在专用合同条款中约定有关事项。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06" w:name="_Toc337558808"/>
      <w:r>
        <w:rPr>
          <w:rFonts w:hint="eastAsia" w:ascii="宋体" w:hAnsi="宋体" w:eastAsia="宋体" w:cs="宋体"/>
          <w:b w:val="0"/>
          <w:bCs/>
          <w:color w:val="000000"/>
          <w:sz w:val="21"/>
          <w:szCs w:val="21"/>
          <w:highlight w:val="none"/>
          <w:lang w:val="en-US" w:eastAsia="zh-CN" w:bidi="ar-SA"/>
        </w:rPr>
        <w:t xml:space="preserve">    </w:t>
      </w:r>
      <w:bookmarkStart w:id="307" w:name="_Toc351203590"/>
      <w:r>
        <w:rPr>
          <w:rFonts w:hint="eastAsia" w:ascii="宋体" w:hAnsi="宋体" w:eastAsia="宋体" w:cs="宋体"/>
          <w:b w:val="0"/>
          <w:bCs/>
          <w:color w:val="000000"/>
          <w:sz w:val="21"/>
          <w:szCs w:val="21"/>
          <w:highlight w:val="none"/>
          <w:lang w:val="en-US" w:eastAsia="zh-CN" w:bidi="ar-SA"/>
        </w:rPr>
        <w:t xml:space="preserve">13.4提前交付单位工程的验收</w:t>
      </w:r>
      <w:bookmarkEnd w:id="307"/>
      <w:r/>
      <w:bookmarkEnd w:id="306"/>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13.4.1 发包人需要在工程竣工前使用单位工程的，或承包人提出提前交付已经竣工的单位工程且经发包人同意的，可进行单位工程验收，验收的程序按照第13.2款〔竣工验收〕的约定进行。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13.4.2 发包人要求在工程竣工前交付单位工程，由此导致承包人费用增加和（或）工期延误的，由发包人承担由此增加的费用和（或）延误的工期，并支付承包人合理的利润。</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08" w:name="_Toc351203591"/>
      <w:r>
        <w:rPr>
          <w:rFonts w:hint="eastAsia" w:ascii="宋体" w:hAnsi="宋体" w:eastAsia="宋体" w:cs="宋体"/>
          <w:b w:val="0"/>
          <w:bCs/>
          <w:color w:val="000000"/>
          <w:sz w:val="21"/>
          <w:szCs w:val="21"/>
          <w:highlight w:val="none"/>
          <w:lang w:val="en-US" w:eastAsia="zh-CN" w:bidi="ar-SA"/>
        </w:rPr>
        <w:t xml:space="preserve">13.5 施工期运行</w:t>
      </w:r>
      <w:bookmarkEnd w:id="308"/>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13.5.2 在施工期运行中发现工程或工程设备损坏或存在缺陷的，由承包人按第15.2款〔缺陷责任期〕约定进行修复。</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09" w:name="_Toc296346613"/>
      <w:r/>
      <w:bookmarkStart w:id="310" w:name="_Toc296503112"/>
      <w:r/>
      <w:bookmarkStart w:id="311" w:name="_Toc351203592"/>
      <w:r/>
      <w:bookmarkStart w:id="312" w:name="_Toc337558809"/>
      <w:r>
        <w:rPr>
          <w:rFonts w:hint="eastAsia" w:ascii="宋体" w:hAnsi="宋体" w:eastAsia="宋体" w:cs="宋体"/>
          <w:b w:val="0"/>
          <w:bCs/>
          <w:color w:val="000000"/>
          <w:sz w:val="21"/>
          <w:szCs w:val="21"/>
          <w:highlight w:val="none"/>
          <w:lang w:val="en-US" w:eastAsia="zh-CN" w:bidi="ar-SA"/>
        </w:rPr>
        <w:t xml:space="preserve">13.6 竣工退</w:t>
      </w:r>
      <w:bookmarkEnd w:id="309"/>
      <w:r/>
      <w:bookmarkEnd w:id="310"/>
      <w:r>
        <w:rPr>
          <w:rFonts w:hint="eastAsia" w:ascii="宋体" w:hAnsi="宋体" w:eastAsia="宋体" w:cs="宋体"/>
          <w:b w:val="0"/>
          <w:bCs/>
          <w:color w:val="000000"/>
          <w:sz w:val="21"/>
          <w:szCs w:val="21"/>
          <w:highlight w:val="none"/>
          <w:lang w:val="en-US" w:eastAsia="zh-CN" w:bidi="ar-SA"/>
        </w:rPr>
        <w:t xml:space="preserve">场</w:t>
      </w:r>
      <w:bookmarkEnd w:id="311"/>
      <w:r/>
      <w:bookmarkEnd w:id="312"/>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13.6.1 竣工退场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颁发工程接收证书后，承包人应按以下要求对施工现场进行清理：</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（1）施工现场内残留的垃圾已全部清除出场；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（2）临时工程已拆除，场地已进行清理、平整或复原；</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（3）按合同约定应撤离的人员、承包人施工设备和剩余的材料，包括废弃的施工设备和材料，已按计划撤离施工现场；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（4）施工现场周边及其附近道路、河道的施工堆积物，已全部清理；</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（5）施工现场其他场地清理工作已全部完成。</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13.6.2 地表还原</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313" w:name="_Toc351203593"/>
      <w:r/>
      <w:bookmarkStart w:id="314" w:name="_Toc337558810"/>
      <w:r/>
      <w:bookmarkStart w:id="315" w:name="_Toc296346614"/>
      <w:r/>
      <w:bookmarkStart w:id="316" w:name="_Toc296503113"/>
      <w:r>
        <w:rPr>
          <w:rFonts w:hint="eastAsia" w:ascii="宋体" w:hAnsi="宋体" w:eastAsia="宋体" w:cs="宋体"/>
          <w:b w:val="0"/>
          <w:bCs/>
          <w:color w:val="000000"/>
          <w:sz w:val="21"/>
          <w:szCs w:val="21"/>
          <w:highlight w:val="none"/>
          <w:lang w:val="en-US" w:eastAsia="zh-CN" w:bidi="ar-SA"/>
        </w:rPr>
        <w:t xml:space="preserve">14. 竣工结算</w:t>
      </w:r>
      <w:bookmarkEnd w:id="313"/>
      <w:r/>
      <w:bookmarkEnd w:id="314"/>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17" w:name="_Toc351203594"/>
      <w:r/>
      <w:bookmarkStart w:id="318" w:name="_Toc337558811"/>
      <w:r>
        <w:rPr>
          <w:rFonts w:hint="eastAsia" w:ascii="宋体" w:hAnsi="宋体" w:eastAsia="宋体" w:cs="宋体"/>
          <w:b w:val="0"/>
          <w:bCs/>
          <w:color w:val="000000"/>
          <w:sz w:val="21"/>
          <w:szCs w:val="21"/>
          <w:highlight w:val="none"/>
          <w:lang w:val="en-US" w:eastAsia="zh-CN" w:bidi="ar-SA"/>
        </w:rPr>
        <w:t xml:space="preserve">14.1 竣工结算申请</w:t>
      </w:r>
      <w:bookmarkEnd w:id="317"/>
      <w:r/>
      <w:bookmarkEnd w:id="318"/>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w:t>
      </w:r>
      <w:r>
        <w:rPr>
          <w:rFonts w:hint="eastAsia" w:ascii="宋体" w:hAnsi="宋体" w:eastAsia="宋体" w:cs="宋体"/>
          <w:color w:val="000000"/>
          <w:sz w:val="21"/>
          <w:szCs w:val="21"/>
          <w:highlight w:val="none"/>
        </w:rPr>
        <w:t xml:space="preserve">承包人应在工程竣工验收合格后28天内向发包人和监理人提交竣工结算申请单，并提交完整的结算资料，有关竣工结算申请单的资料清单和份数等要求由合同当事人在专用合同条款中约定。</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除专用合同条款另有约定外，竣工结算申请单应包括以下内容：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（1）竣工结算合同价格；</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（2）发包人已支付承包人的款项；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（3）应扣留的质量保证金。已缴纳履约保证金的或提供其他工程质量担保方式的除外； </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（4）发包人应支付承包人的合同价款。</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19" w:name="_Toc351203595"/>
      <w:r/>
      <w:bookmarkStart w:id="320" w:name="_Toc337558812"/>
      <w:r>
        <w:rPr>
          <w:rFonts w:hint="eastAsia" w:ascii="宋体" w:hAnsi="宋体" w:eastAsia="宋体" w:cs="宋体"/>
          <w:b w:val="0"/>
          <w:bCs/>
          <w:color w:val="000000"/>
          <w:sz w:val="21"/>
          <w:szCs w:val="21"/>
          <w:highlight w:val="none"/>
          <w:lang w:val="en-US" w:eastAsia="zh-CN" w:bidi="ar-SA"/>
        </w:rPr>
        <w:t xml:space="preserve">14.2 竣工结算审核</w:t>
      </w:r>
      <w:bookmarkEnd w:id="319"/>
      <w:r/>
      <w:bookmarkEnd w:id="320"/>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color w:val="000000"/>
          <w:sz w:val="21"/>
          <w:szCs w:val="21"/>
          <w:highlight w:val="none"/>
        </w:rPr>
        <w:t xml:space="preserve">发包人对竣工</w:t>
      </w:r>
      <w:r>
        <w:rPr>
          <w:rFonts w:hint="eastAsia" w:ascii="宋体" w:hAnsi="宋体" w:eastAsia="宋体" w:cs="宋体"/>
          <w:color w:val="000000"/>
          <w:sz w:val="21"/>
          <w:szCs w:val="21"/>
          <w:highlight w:val="none"/>
        </w:rPr>
        <w:t xml:space="preserve">结算</w:t>
      </w:r>
      <w:r>
        <w:rPr>
          <w:rFonts w:hint="eastAsia" w:ascii="宋体" w:hAnsi="宋体" w:eastAsia="宋体" w:cs="宋体"/>
          <w:color w:val="000000"/>
          <w:sz w:val="21"/>
          <w:szCs w:val="21"/>
          <w:highlight w:val="none"/>
        </w:rPr>
        <w:t xml:space="preserve">申请单有异议的，有权要求承包人进行修正和提供补充资料，承包人应提交修正后的竣工</w:t>
      </w:r>
      <w:r>
        <w:rPr>
          <w:rFonts w:hint="eastAsia" w:ascii="宋体" w:hAnsi="宋体" w:eastAsia="宋体" w:cs="宋体"/>
          <w:color w:val="000000"/>
          <w:sz w:val="21"/>
          <w:szCs w:val="21"/>
          <w:highlight w:val="none"/>
        </w:rPr>
        <w:t xml:space="preserve">结算</w:t>
      </w:r>
      <w:r>
        <w:rPr>
          <w:rFonts w:hint="eastAsia" w:ascii="宋体" w:hAnsi="宋体" w:eastAsia="宋体" w:cs="宋体"/>
          <w:color w:val="000000"/>
          <w:sz w:val="21"/>
          <w:szCs w:val="21"/>
          <w:highlight w:val="none"/>
        </w:rPr>
        <w:t xml:space="preserve">申请单。</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21" w:name="_Toc351203596"/>
      <w:r/>
      <w:bookmarkStart w:id="322" w:name="_Toc337558813"/>
      <w:r>
        <w:rPr>
          <w:rFonts w:hint="eastAsia" w:ascii="宋体" w:hAnsi="宋体" w:eastAsia="宋体" w:cs="宋体"/>
          <w:b w:val="0"/>
          <w:bCs/>
          <w:color w:val="000000"/>
          <w:sz w:val="21"/>
          <w:szCs w:val="21"/>
          <w:highlight w:val="none"/>
          <w:lang w:val="en-US" w:eastAsia="zh-CN" w:bidi="ar-SA"/>
        </w:rPr>
        <w:t xml:space="preserve">14.3 甩项竣工协议</w:t>
      </w:r>
      <w:bookmarkEnd w:id="321"/>
      <w:r/>
      <w:bookmarkEnd w:id="322"/>
      <w:r/>
      <w:r/>
    </w:p>
    <w:p>
      <w:pPr>
        <w:ind w:firstLine="411"/>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23" w:name="_Toc351203597"/>
      <w:r/>
      <w:bookmarkStart w:id="324" w:name="_Toc337558814"/>
      <w:r>
        <w:rPr>
          <w:rFonts w:hint="eastAsia" w:ascii="宋体" w:hAnsi="宋体" w:eastAsia="宋体" w:cs="宋体"/>
          <w:b w:val="0"/>
          <w:bCs/>
          <w:color w:val="000000"/>
          <w:sz w:val="21"/>
          <w:szCs w:val="21"/>
          <w:highlight w:val="none"/>
          <w:lang w:val="en-US" w:eastAsia="zh-CN" w:bidi="ar-SA"/>
        </w:rPr>
        <w:t xml:space="preserve">14.4 最终结清</w:t>
      </w:r>
      <w:bookmarkEnd w:id="323"/>
      <w:r/>
      <w:bookmarkEnd w:id="324"/>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14.4.1 最终结清申请单</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（1）除专用合同条款另有约定外，承包人应在缺陷责任期终止证书颁发后7天内，按专用合同条款约定的份数向发包人提交最终结清申请单，并提供相关证明材料。</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w:t>
      </w:r>
      <w:r>
        <w:rPr>
          <w:rFonts w:hint="eastAsia" w:ascii="宋体" w:hAnsi="宋体" w:eastAsia="宋体" w:cs="宋体"/>
          <w:color w:val="000000"/>
          <w:sz w:val="21"/>
          <w:szCs w:val="21"/>
          <w:highlight w:val="none"/>
        </w:rPr>
        <w:t xml:space="preserve">最终结清申请单</w:t>
      </w:r>
      <w:r>
        <w:rPr>
          <w:rFonts w:hint="eastAsia" w:ascii="宋体" w:hAnsi="宋体" w:eastAsia="宋体" w:cs="宋体"/>
          <w:color w:val="000000"/>
          <w:sz w:val="21"/>
          <w:szCs w:val="21"/>
          <w:highlight w:val="none"/>
        </w:rPr>
        <w:t xml:space="preserve">应列明质量保证金、应扣除的质量保证金、缺陷责任期内发生的增减费用。</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（2）发包人对最终结清申请单内容有异议的，有权要求承包人进行修正和提供补充资料，承包人应向发包人提交修正后的最终结清申请单。</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14.4.2 最终结清证书和支付</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（3）承包人对发包人颁发的最终结清证书有异议的，按第20条〔争议解决〕的约定办理。</w:t>
      </w:r>
      <w:r/>
    </w:p>
    <w:p>
      <w:pPr>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325" w:name="_Toc351203598"/>
      <w:r/>
      <w:bookmarkStart w:id="326" w:name="_Toc337558815"/>
      <w:r>
        <w:rPr>
          <w:rFonts w:hint="eastAsia" w:ascii="宋体" w:hAnsi="宋体" w:eastAsia="宋体" w:cs="宋体"/>
          <w:b w:val="0"/>
          <w:bCs/>
          <w:color w:val="000000"/>
          <w:sz w:val="21"/>
          <w:szCs w:val="21"/>
          <w:highlight w:val="none"/>
          <w:lang w:val="en-US" w:eastAsia="zh-CN" w:bidi="ar-SA"/>
        </w:rPr>
        <w:t xml:space="preserve">15. 缺陷责任与保修</w:t>
      </w:r>
      <w:bookmarkEnd w:id="325"/>
      <w:r/>
      <w:bookmarkEnd w:id="315"/>
      <w:r/>
      <w:bookmarkEnd w:id="316"/>
      <w:r/>
      <w:bookmarkEnd w:id="326"/>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27" w:name="_Toc351203599"/>
      <w:r/>
      <w:bookmarkStart w:id="328" w:name="_Toc337558816"/>
      <w:r/>
      <w:bookmarkStart w:id="329" w:name="_Toc296346615"/>
      <w:r/>
      <w:bookmarkStart w:id="330" w:name="_Toc296503114"/>
      <w:r>
        <w:rPr>
          <w:rFonts w:hint="eastAsia" w:ascii="宋体" w:hAnsi="宋体" w:eastAsia="宋体" w:cs="宋体"/>
          <w:b w:val="0"/>
          <w:bCs/>
          <w:color w:val="000000"/>
          <w:sz w:val="21"/>
          <w:szCs w:val="21"/>
          <w:highlight w:val="none"/>
          <w:lang w:val="en-US" w:eastAsia="zh-CN" w:bidi="ar-SA"/>
        </w:rPr>
        <w:t xml:space="preserve">15.1 工程保修的原则</w:t>
      </w:r>
      <w:bookmarkEnd w:id="327"/>
      <w:r/>
      <w:bookmarkEnd w:id="328"/>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在工程移交发包人后，因承包人原因产生的质量缺陷，承包人应承担质量缺陷责任和保修义务。缺陷责任期届满，承包人仍应按合同约定的工程各部位保修年限承担保修义务。</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31" w:name="_Toc351203600"/>
      <w:r/>
      <w:bookmarkStart w:id="332" w:name="_Toc337558817"/>
      <w:r>
        <w:rPr>
          <w:rFonts w:hint="eastAsia" w:ascii="宋体" w:hAnsi="宋体" w:eastAsia="宋体" w:cs="宋体"/>
          <w:b w:val="0"/>
          <w:bCs/>
          <w:color w:val="000000"/>
          <w:sz w:val="21"/>
          <w:szCs w:val="21"/>
          <w:highlight w:val="none"/>
          <w:lang w:val="en-US" w:eastAsia="zh-CN" w:bidi="ar-SA"/>
        </w:rPr>
        <w:t xml:space="preserve">15.2 缺陷责任期</w:t>
      </w:r>
      <w:bookmarkEnd w:id="329"/>
      <w:r/>
      <w:bookmarkEnd w:id="330"/>
      <w:r/>
      <w:bookmarkEnd w:id="331"/>
      <w:r/>
      <w:bookmarkEnd w:id="332"/>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15.2.1 缺陷责任期从工程通过竣工验收之日起计算，合同当事人应在专用合同条款约定缺陷责任期的具体期限，但该期限最长不超过24个月。</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eastAsia="宋体" w:cs="宋体"/>
          <w:bCs/>
          <w:color w:val="000000"/>
          <w:sz w:val="21"/>
          <w:szCs w:val="21"/>
          <w:highlight w:val="none"/>
        </w:rPr>
        <w:t xml:space="preserve">包人延长缺陷责任期，</w:t>
      </w:r>
      <w:r>
        <w:rPr>
          <w:rFonts w:hint="eastAsia" w:ascii="宋体" w:hAnsi="宋体" w:eastAsia="宋体" w:cs="宋体"/>
          <w:color w:val="000000"/>
          <w:sz w:val="21"/>
          <w:szCs w:val="21"/>
          <w:highlight w:val="none"/>
        </w:rPr>
        <w:t xml:space="preserve">并应在原缺陷责任期届满前发出延长通知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但缺陷责任期</w:t>
      </w:r>
      <w:r>
        <w:rPr>
          <w:rFonts w:hint="eastAsia" w:ascii="宋体" w:hAnsi="宋体" w:eastAsia="宋体" w:cs="宋体"/>
          <w:bCs/>
          <w:color w:val="000000"/>
          <w:sz w:val="21"/>
          <w:szCs w:val="21"/>
          <w:highlight w:val="none"/>
          <w:lang w:eastAsia="zh-CN"/>
        </w:rPr>
        <w:t xml:space="preserve">（含延长部分）</w:t>
      </w:r>
      <w:r>
        <w:rPr>
          <w:rFonts w:hint="eastAsia" w:ascii="宋体" w:hAnsi="宋体" w:eastAsia="宋体" w:cs="宋体"/>
          <w:bCs/>
          <w:color w:val="000000"/>
          <w:sz w:val="21"/>
          <w:szCs w:val="21"/>
          <w:highlight w:val="none"/>
        </w:rPr>
        <w:t xml:space="preserve">最长</w:t>
      </w:r>
      <w:r>
        <w:rPr>
          <w:rFonts w:hint="eastAsia" w:ascii="宋体" w:hAnsi="宋体" w:eastAsia="宋体" w:cs="宋体"/>
          <w:color w:val="000000"/>
          <w:sz w:val="21"/>
          <w:szCs w:val="21"/>
          <w:highlight w:val="none"/>
        </w:rPr>
        <w:t xml:space="preserve">不能超过24个月。</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由他人原因造成的缺陷，发包人负责组织维修，承包人不承担费用，且发包人不得从保证金中扣除费用。</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15.2.3 任何一项缺陷或损坏修复后，经检查证明其影响了工程或工程设备的使用性能，承包人应重新进行合同约定的试验和试运行，试验和试运行的全部费用应由责任方承担。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33" w:name="_Toc351203601"/>
      <w:r/>
      <w:bookmarkStart w:id="334" w:name="_Toc337558818"/>
      <w:r/>
      <w:bookmarkStart w:id="335" w:name="_Toc296346616"/>
      <w:r/>
      <w:bookmarkStart w:id="336" w:name="_Toc296503115"/>
      <w:r>
        <w:rPr>
          <w:rFonts w:hint="eastAsia" w:ascii="宋体" w:hAnsi="宋体" w:eastAsia="宋体" w:cs="宋体"/>
          <w:b w:val="0"/>
          <w:bCs/>
          <w:color w:val="000000"/>
          <w:sz w:val="21"/>
          <w:szCs w:val="21"/>
          <w:highlight w:val="none"/>
          <w:lang w:val="en-US" w:eastAsia="zh-CN" w:bidi="ar-SA"/>
        </w:rPr>
        <w:t xml:space="preserve">15.3 质量保证金</w:t>
      </w:r>
      <w:bookmarkEnd w:id="333"/>
      <w:r/>
      <w:bookmarkEnd w:id="334"/>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经合同当事人协商一致扣留质量保证金的，应在专用合同条款中予以明确。</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在工程项目竣工前，承包人已经提供履约担保的，发包人不得同时预留工程质量保证金。</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15.3.1 承包人提供质量保证金的方式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承包人提供质量保证金有以下三种方式：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（1）质量保证金保函； </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（2）相应比例的工程款；</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（3）双方约定的其他方式。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除专用合同条款另有约定外，质量保证金原则上采用上述第（1）种方式。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15.3.2 质量保证金的扣留</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质量保证金的扣留有以下三种方式：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w:t>
      </w:r>
      <w:bookmarkStart w:id="337" w:name="#go6"/>
      <w:r/>
      <w:bookmarkEnd w:id="337"/>
      <w:r>
        <w:rPr>
          <w:rFonts w:hint="eastAsia" w:ascii="宋体" w:hAnsi="宋体" w:eastAsia="宋体" w:cs="宋体"/>
          <w:color w:val="000000"/>
          <w:sz w:val="21"/>
          <w:szCs w:val="21"/>
          <w:highlight w:val="none"/>
        </w:rPr>
        <w:t xml:space="preserve">程竣工结算时一次性扣留质量保证金；</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（3）双方约定的其他扣留方式。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除专用合同条款另有约定外，质量保证金的扣留原则上采用上述第（1）种方式。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w:t>
      </w:r>
      <w:bookmarkStart w:id="338" w:name="#go4"/>
      <w:r/>
      <w:bookmarkEnd w:id="338"/>
      <w:r>
        <w:rPr>
          <w:rFonts w:hint="eastAsia" w:ascii="宋体" w:hAnsi="宋体" w:eastAsia="宋体" w:cs="宋体"/>
          <w:color w:val="000000"/>
          <w:sz w:val="21"/>
          <w:szCs w:val="21"/>
          <w:highlight w:val="none"/>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发包人在退还质量保证金的同时按照中国人民银行发布的同期同类贷款基准利率支付利息。</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15.3.3 </w:t>
      </w:r>
      <w:r>
        <w:rPr>
          <w:rFonts w:hint="eastAsia" w:ascii="宋体" w:hAnsi="宋体" w:eastAsia="宋体" w:cs="宋体"/>
          <w:color w:val="000000"/>
          <w:sz w:val="21"/>
          <w:szCs w:val="21"/>
          <w:highlight w:val="none"/>
        </w:rPr>
        <w:t xml:space="preserve">质量保证金</w:t>
      </w:r>
      <w:r>
        <w:rPr>
          <w:rFonts w:hint="eastAsia" w:ascii="宋体" w:hAnsi="宋体" w:eastAsia="宋体" w:cs="宋体"/>
          <w:color w:val="000000"/>
          <w:sz w:val="21"/>
          <w:szCs w:val="21"/>
          <w:highlight w:val="none"/>
        </w:rPr>
        <w:t xml:space="preserve">的退还</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缺陷责任期内，承包人认真履行合同约定的责任，到期后，承包人可向发包人申请返还保证金。</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发包人和承包人对保证金预留、返还以及工程维修质量、费用有争议的，按本合同第20条约定的争议和纠纷解决程序处理。</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39" w:name="_Toc351203602"/>
      <w:r/>
      <w:bookmarkStart w:id="340" w:name="_Toc337558819"/>
      <w:r>
        <w:rPr>
          <w:rFonts w:hint="eastAsia" w:ascii="宋体" w:hAnsi="宋体" w:eastAsia="宋体" w:cs="宋体"/>
          <w:b w:val="0"/>
          <w:bCs/>
          <w:color w:val="000000"/>
          <w:sz w:val="21"/>
          <w:szCs w:val="21"/>
          <w:highlight w:val="none"/>
          <w:lang w:val="en-US" w:eastAsia="zh-CN" w:bidi="ar-SA"/>
        </w:rPr>
        <w:t xml:space="preserve">15.4 保修</w:t>
      </w:r>
      <w:bookmarkEnd w:id="339"/>
      <w:r/>
      <w:bookmarkEnd w:id="335"/>
      <w:r/>
      <w:bookmarkEnd w:id="336"/>
      <w:r/>
      <w:bookmarkEnd w:id="340"/>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15.4.1保修责任</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发包人未经竣工验收擅自使用工程的，保修期自</w:t>
      </w:r>
      <w:r>
        <w:rPr>
          <w:rFonts w:hint="eastAsia" w:ascii="宋体" w:hAnsi="宋体" w:eastAsia="宋体" w:cs="宋体"/>
          <w:color w:val="000000"/>
          <w:sz w:val="21"/>
          <w:szCs w:val="21"/>
          <w:highlight w:val="none"/>
        </w:rPr>
        <w:t xml:space="preserve">转移占有之日起算</w:t>
      </w:r>
      <w:r>
        <w:rPr>
          <w:rFonts w:hint="eastAsia" w:ascii="宋体" w:hAnsi="宋体" w:eastAsia="宋体" w:cs="宋体"/>
          <w:color w:val="000000"/>
          <w:sz w:val="21"/>
          <w:szCs w:val="21"/>
          <w:highlight w:val="none"/>
        </w:rPr>
        <w:t xml:space="preserve">。</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15.4.2 修复费用</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保修期内，修复的费用按照以下约定处理：</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（1）保修期内，因承包人原因造成工程的缺陷、损坏，承包人应负责修复，并承担修复的费用以及因工程的缺陷、损坏造成的人身伤害和财产损失；</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（2）保修期内，因发包人使用不当造成工程的缺陷、损坏，可以委托承包人修复，但发包人应承担修复的费用，并支付承包人合理利润；</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（3）因其他原因造成工程的缺陷、损坏，可以委托承包人修复，发包人应承担修复的费用，并支付承包人合理的利润，因工程的缺陷、损坏造成的人身伤害和财产损失由责任方承担。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15.4.3 修复通知</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15.4.4 未能修复</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15.4.5 承包人出入权</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341" w:name="_Toc351203603"/>
      <w:r/>
      <w:bookmarkStart w:id="342" w:name="_Toc337558820"/>
      <w:r>
        <w:rPr>
          <w:rFonts w:hint="eastAsia" w:ascii="宋体" w:hAnsi="宋体" w:eastAsia="宋体" w:cs="宋体"/>
          <w:b w:val="0"/>
          <w:bCs/>
          <w:color w:val="000000"/>
          <w:sz w:val="21"/>
          <w:szCs w:val="21"/>
          <w:highlight w:val="none"/>
          <w:lang w:val="en-US" w:eastAsia="zh-CN" w:bidi="ar-SA"/>
        </w:rPr>
        <w:t xml:space="preserve">16. 违约</w:t>
      </w:r>
      <w:bookmarkEnd w:id="341"/>
      <w:r/>
      <w:bookmarkEnd w:id="342"/>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43" w:name="_Toc296503129"/>
      <w:r/>
      <w:bookmarkStart w:id="344" w:name="_Toc296346630"/>
      <w:r/>
      <w:bookmarkStart w:id="345" w:name="_Toc351203604"/>
      <w:r/>
      <w:bookmarkStart w:id="346" w:name="_Toc337558821"/>
      <w:r>
        <w:rPr>
          <w:rFonts w:hint="eastAsia" w:ascii="宋体" w:hAnsi="宋体" w:eastAsia="宋体" w:cs="宋体"/>
          <w:b w:val="0"/>
          <w:bCs/>
          <w:color w:val="000000"/>
          <w:sz w:val="21"/>
          <w:szCs w:val="21"/>
          <w:highlight w:val="none"/>
          <w:lang w:val="en-US" w:eastAsia="zh-CN" w:bidi="ar-SA"/>
        </w:rPr>
        <w:t xml:space="preserve">16.1 发</w:t>
      </w:r>
      <w:bookmarkEnd w:id="343"/>
      <w:r/>
      <w:bookmarkEnd w:id="344"/>
      <w:r>
        <w:rPr>
          <w:rFonts w:hint="eastAsia" w:ascii="宋体" w:hAnsi="宋体" w:eastAsia="宋体" w:cs="宋体"/>
          <w:b w:val="0"/>
          <w:bCs/>
          <w:color w:val="000000"/>
          <w:sz w:val="21"/>
          <w:szCs w:val="21"/>
          <w:highlight w:val="none"/>
          <w:lang w:val="en-US" w:eastAsia="zh-CN" w:bidi="ar-SA"/>
        </w:rPr>
        <w:t xml:space="preserve">包人违约</w:t>
      </w:r>
      <w:bookmarkEnd w:id="345"/>
      <w:r/>
      <w:bookmarkEnd w:id="346"/>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16.1.1 发包人违约的情形</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在合同履行过程中发生的下列情形，属于发包人违约：</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（1）因发包人原因未能在计划开工日期前7天内下达开工通知的；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（2）因发包人原因未能按合同约定支付合同价款的；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（4）发包人提供的材料、工程设备的规格、数量或质量不符合合同约定，或因发包人原因导致交货日期延误或交货地点变更等情况的；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（5）因发包人违反合同约定造成暂停施工的；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（6）发包人无正当理由没有在约定期限内发出复工指示，导致承包人无法复工的；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（7）发包人明确表示或者以其行为表明不履行合同主要义务的；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（8）发包人未能按照合同约定履行其他义务的。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16.1.2 发包人违约的责任</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16.1.3 因发包人违约解除合同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16.1.4 因发包人违约解除合同后的付款</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承包人按照本款约定解除合同的，发包人应在解除合同后28天内支付下列款项，并解除履约担保：</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（1）合同解除前所完成工作的价款；</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（2）承包人为工程施工订购并已付款的材料、工程设备和其他物品的价款；</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（3）承包人撤离施工现场以及遣散承包人人员的款项；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（4）按照合同约定在合同解除前应支付的违约金；</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（5）按照合同约定应当支付给承包人的其他款项；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（6）按照合同约定应退还的质量保证金；</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（7）因解除合同给承包人造成的损失。</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合同当事人未能就解除合同后的结清达成一致的，按照第20条〔争议解决〕的约定处理。</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承包人应妥善做好已完工程和与工程有关的已购材料、工程设备的保护和移交工作，并将施工设备和人员撤出施工现场，发包人应为承包人撤出提供必要条件。</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47" w:name="_Toc351203605"/>
      <w:r/>
      <w:bookmarkStart w:id="348" w:name="_Toc337558822"/>
      <w:r/>
      <w:bookmarkStart w:id="349" w:name="_Toc296346632"/>
      <w:r/>
      <w:bookmarkStart w:id="350" w:name="_Toc296503131"/>
      <w:r>
        <w:rPr>
          <w:rFonts w:hint="eastAsia" w:ascii="宋体" w:hAnsi="宋体" w:eastAsia="宋体" w:cs="宋体"/>
          <w:b w:val="0"/>
          <w:bCs/>
          <w:color w:val="000000"/>
          <w:sz w:val="21"/>
          <w:szCs w:val="21"/>
          <w:highlight w:val="none"/>
          <w:lang w:val="en-US" w:eastAsia="zh-CN" w:bidi="ar-SA"/>
        </w:rPr>
        <w:t xml:space="preserve">16.2 承包人违约</w:t>
      </w:r>
      <w:bookmarkEnd w:id="347"/>
      <w:r/>
      <w:bookmarkEnd w:id="348"/>
      <w:r/>
      <w:bookmarkEnd w:id="349"/>
      <w:r/>
      <w:bookmarkEnd w:id="350"/>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16.2.1 承包人违约的情形</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在合同履行过程中发生的下列情形，属于承包人违约：</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（1）承包人违反合同约定进行转包或违法分包的；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（2）承包人违反合同约定采购和使用不合格的材料和工程设备的；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（3）因承包人原因导致工程质量不符合合同要求的； </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（4）承包人违反第8.9款〔材料与设备专用要求〕的约定，未经批准，私自将已按照合同约定进入施工现场的材料或设备撤离施工现场的；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（5）承包人未能按施工进度计划及时完成合同约定的工作，造成工期延误的；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（6）承包人在缺陷责任期及保修期内，未能在合理期限对工程缺陷进行修复，或拒绝按发包人要求进行修复的；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（7）承包人明确表示或者以其行为表明不履行合同主要义务的；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（8）承包人未能按照合同约定履行其他义务的。</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承包人发生除本项第（7）目约定以外的其他违约情况时，监理人可向承包人发出整改通知，要求其在指定的期限内改正。</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 承包人违约的责任</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承包人应承担因其违约行为而增加的费用和（或）延误的工期。此外，合同当事人可在专用合同条款中另行约定承包人违约责任的承担方式和计算方法。</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 因承包人违约解除合同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16.2.4因承包人违约解除合同后的处理</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因承包人原因导致合同解除的，则合同当事人应在合同解除后28天内完成估价、付款和清算，并按以下约定执行：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（1）合同解除后，按第4.4款〔商定或确定〕商定或确定承包人实际完成工作对应的合同价款，以及承包人已提供的材料、工程设备、施工设备和临时工程等的价值；</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（2）合同解除后，承包人应支付的违约金；</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（3）合同解除后，因解除合同给发包人造成的损失；</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（4）合同解除后，承包人应按照发包人要求和监理人的指示完成现场的清理和撤离；</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（5）发包人和承包人应在合同解除后进行清算，出具最终结清付款证书，结清全部款项。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16.2.5采购合同权益转让</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51" w:name="_Toc351203606"/>
      <w:r>
        <w:rPr>
          <w:rFonts w:hint="eastAsia" w:ascii="宋体" w:hAnsi="宋体" w:eastAsia="宋体" w:cs="宋体"/>
          <w:b w:val="0"/>
          <w:bCs/>
          <w:color w:val="000000"/>
          <w:sz w:val="21"/>
          <w:szCs w:val="21"/>
          <w:highlight w:val="none"/>
          <w:lang w:val="en-US" w:eastAsia="zh-CN" w:bidi="ar-SA"/>
        </w:rPr>
        <w:t xml:space="preserve">16.3 第三人造成的违约</w:t>
      </w:r>
      <w:bookmarkEnd w:id="351"/>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在履行合同过程中，一方当事人因第三人的原因造成违约的，应当向对方当事人承担违约责任。一方当事人和第三人之间的纠纷，依照法律规定或者按照约定解决。</w:t>
      </w:r>
      <w:r/>
    </w:p>
    <w:p>
      <w:pPr>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352" w:name="_Toc351203607"/>
      <w:r/>
      <w:bookmarkStart w:id="353" w:name="_Toc337558823"/>
      <w:r/>
      <w:bookmarkStart w:id="354" w:name="_Toc296503116"/>
      <w:r/>
      <w:bookmarkStart w:id="355" w:name="_Toc296346617"/>
      <w:r>
        <w:rPr>
          <w:rFonts w:hint="eastAsia" w:ascii="宋体" w:hAnsi="宋体" w:eastAsia="宋体" w:cs="宋体"/>
          <w:b w:val="0"/>
          <w:bCs/>
          <w:color w:val="000000"/>
          <w:sz w:val="21"/>
          <w:szCs w:val="21"/>
          <w:highlight w:val="none"/>
          <w:lang w:val="en-US" w:eastAsia="zh-CN" w:bidi="ar-SA"/>
        </w:rPr>
        <w:t xml:space="preserve">17. 不可抗力</w:t>
      </w:r>
      <w:bookmarkEnd w:id="352"/>
      <w:r>
        <w:rPr>
          <w:rFonts w:hint="eastAsia" w:ascii="宋体" w:hAnsi="宋体" w:eastAsia="宋体" w:cs="宋体"/>
          <w:b w:val="0"/>
          <w:bCs/>
          <w:color w:val="000000"/>
          <w:sz w:val="21"/>
          <w:szCs w:val="21"/>
          <w:highlight w:val="none"/>
          <w:lang w:val="en-US" w:eastAsia="zh-CN" w:bidi="ar-SA"/>
        </w:rPr>
        <w:t xml:space="preserve"> </w:t>
      </w:r>
      <w:bookmarkEnd w:id="353"/>
      <w:r/>
      <w:bookmarkEnd w:id="354"/>
      <w:r/>
      <w:bookmarkEnd w:id="355"/>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56" w:name="_Toc351203608"/>
      <w:r/>
      <w:bookmarkStart w:id="357" w:name="_Toc337558824"/>
      <w:r/>
      <w:bookmarkStart w:id="358" w:name="_Toc296346618"/>
      <w:r/>
      <w:bookmarkStart w:id="359" w:name="_Toc296503117"/>
      <w:r>
        <w:rPr>
          <w:rFonts w:hint="eastAsia" w:ascii="宋体" w:hAnsi="宋体" w:eastAsia="宋体" w:cs="宋体"/>
          <w:b w:val="0"/>
          <w:bCs/>
          <w:color w:val="000000"/>
          <w:sz w:val="21"/>
          <w:szCs w:val="21"/>
          <w:highlight w:val="none"/>
          <w:lang w:val="en-US" w:eastAsia="zh-CN" w:bidi="ar-SA"/>
        </w:rPr>
        <w:t xml:space="preserve">17.1 不可抗力的确认</w:t>
      </w:r>
      <w:bookmarkEnd w:id="356"/>
      <w:r/>
      <w:bookmarkEnd w:id="357"/>
      <w:r/>
      <w:bookmarkEnd w:id="358"/>
      <w:r/>
      <w:bookmarkEnd w:id="359"/>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60" w:name="_Toc351203609"/>
      <w:r/>
      <w:bookmarkStart w:id="361" w:name="_Toc296346619"/>
      <w:r/>
      <w:bookmarkStart w:id="362" w:name="_Toc296503118"/>
      <w:r/>
      <w:bookmarkStart w:id="363" w:name="_Toc337558825"/>
      <w:r>
        <w:rPr>
          <w:rFonts w:hint="eastAsia" w:ascii="宋体" w:hAnsi="宋体" w:eastAsia="宋体" w:cs="宋体"/>
          <w:b w:val="0"/>
          <w:bCs/>
          <w:color w:val="000000"/>
          <w:sz w:val="21"/>
          <w:szCs w:val="21"/>
          <w:highlight w:val="none"/>
          <w:lang w:val="en-US" w:eastAsia="zh-CN" w:bidi="ar-SA"/>
        </w:rPr>
        <w:t xml:space="preserve">17.2 不可抗力的通知</w:t>
      </w:r>
      <w:bookmarkEnd w:id="360"/>
      <w:r/>
      <w:bookmarkEnd w:id="361"/>
      <w:r/>
      <w:bookmarkEnd w:id="362"/>
      <w:r/>
      <w:bookmarkEnd w:id="363"/>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合同一方当事人遇到不可抗力事件，使其履行合同义务受到阻碍时，应立即通知合同另一方当事人和监理人，书面说明不可抗力和受阻碍的详细情况，并提供必要的证明。</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64" w:name="_Toc351203610"/>
      <w:r/>
      <w:bookmarkStart w:id="365" w:name="_Toc296503119"/>
      <w:r/>
      <w:bookmarkStart w:id="366" w:name="_Toc337558826"/>
      <w:r/>
      <w:bookmarkStart w:id="367" w:name="_Toc296346620"/>
      <w:r>
        <w:rPr>
          <w:rFonts w:hint="eastAsia" w:ascii="宋体" w:hAnsi="宋体" w:eastAsia="宋体" w:cs="宋体"/>
          <w:b w:val="0"/>
          <w:bCs/>
          <w:color w:val="000000"/>
          <w:sz w:val="21"/>
          <w:szCs w:val="21"/>
          <w:highlight w:val="none"/>
          <w:lang w:val="en-US" w:eastAsia="zh-CN" w:bidi="ar-SA"/>
        </w:rPr>
        <w:t xml:space="preserve">17.3 不可抗力后果的承担</w:t>
      </w:r>
      <w:bookmarkEnd w:id="364"/>
      <w:r/>
      <w:bookmarkEnd w:id="365"/>
      <w:r/>
      <w:bookmarkEnd w:id="366"/>
      <w:r/>
      <w:bookmarkEnd w:id="367"/>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17.3.1 不可抗力引起的后果及造成的损失由合同当事人按照法律规定及合同约定各自承担。不可抗力发生前已完成的工程应当按照合同约定进行计量支付。</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17.3.2 不可抗力导致的人员伤亡、财产损失、费用增加和（或）工期延误等后果，由合同当事人按以下原则承担：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（1）永久工程、已运至施工现场的材料和工程设备的损坏，以及因工程损坏造成的第三人人员伤亡和财产损失由发包人承担；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（2）承包人施工设备的损坏由承包人承担；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（3）发包人和承包人承担各自人员伤亡和财产的损失；</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（5）因不可抗力引起或将引起工期延误，发包人要求赶工的，由此增加的赶工费用由发包人承担；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（6）承包人在停工期间按照发包人要求照管、清理和修复工程的费用由发包人承担。</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不可抗力发生后，合同当事人均应采取措施尽量避免和减少损失的扩大，任何一方当事人没有采取有效措施导致损失扩大的，应对扩大的损失承担责任。</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因合同一方迟延履行合同义务，在迟延履行期间遭遇不可抗力的，不免除其违约责任。</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68" w:name="_Toc351203611"/>
      <w:r/>
      <w:bookmarkStart w:id="369" w:name="_Toc337558827"/>
      <w:r>
        <w:rPr>
          <w:rFonts w:hint="eastAsia" w:ascii="宋体" w:hAnsi="宋体" w:eastAsia="宋体" w:cs="宋体"/>
          <w:b w:val="0"/>
          <w:bCs/>
          <w:color w:val="000000"/>
          <w:sz w:val="21"/>
          <w:szCs w:val="21"/>
          <w:highlight w:val="none"/>
          <w:lang w:val="en-US" w:eastAsia="zh-CN" w:bidi="ar-SA"/>
        </w:rPr>
        <w:t xml:space="preserve">17.4 因不可抗力解除合同</w:t>
      </w:r>
      <w:bookmarkEnd w:id="368"/>
      <w:r/>
      <w:bookmarkEnd w:id="369"/>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（1）合同解除前承包人已完成工作的价款；</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（2）承包人为工程订购的并已交付给承包人，或承包人有责任接受交付的材料、工程设备和其他物品的价款；</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（3）发包人要求承包人退货或解除订货合同而产生的费用，或因不能退货或解除合同而产生的损失；</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（4）承包人撤离施工现场以及遣散承包人人员的费用；</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（5）按照合同约定在合同解除前应支付给承包人的其他款项；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（6）扣减承包人按照合同约定应向发包人支付的款项；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（7）双方商定或确定的其他款项。</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除专用合同条款另有约定外，合同解除后，发包人应在商定或确定上述款项后28天内完成上述款项的支付。</w:t>
      </w:r>
      <w:r/>
    </w:p>
    <w:p>
      <w:pPr>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370" w:name="_Toc351203612"/>
      <w:r/>
      <w:bookmarkStart w:id="371" w:name="_Toc296503120"/>
      <w:r/>
      <w:bookmarkStart w:id="372" w:name="_Toc296346621"/>
      <w:r/>
      <w:bookmarkStart w:id="373" w:name="_Toc337558828"/>
      <w:r>
        <w:rPr>
          <w:rFonts w:hint="eastAsia" w:ascii="宋体" w:hAnsi="宋体" w:eastAsia="宋体" w:cs="宋体"/>
          <w:b w:val="0"/>
          <w:bCs/>
          <w:color w:val="000000"/>
          <w:sz w:val="21"/>
          <w:szCs w:val="21"/>
          <w:highlight w:val="none"/>
          <w:lang w:val="en-US" w:eastAsia="zh-CN" w:bidi="ar-SA"/>
        </w:rPr>
        <w:t xml:space="preserve">18. 保险</w:t>
      </w:r>
      <w:bookmarkEnd w:id="370"/>
      <w:r/>
      <w:bookmarkEnd w:id="371"/>
      <w:r/>
      <w:bookmarkEnd w:id="372"/>
      <w:r/>
      <w:bookmarkEnd w:id="373"/>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74" w:name="_Toc351203613"/>
      <w:r/>
      <w:bookmarkStart w:id="375" w:name="_Toc337558829"/>
      <w:r/>
      <w:bookmarkStart w:id="376" w:name="_Toc296503121"/>
      <w:r/>
      <w:bookmarkStart w:id="377" w:name="_Toc296346622"/>
      <w:r>
        <w:rPr>
          <w:rFonts w:hint="eastAsia" w:ascii="宋体" w:hAnsi="宋体" w:eastAsia="宋体" w:cs="宋体"/>
          <w:b w:val="0"/>
          <w:bCs/>
          <w:color w:val="000000"/>
          <w:sz w:val="21"/>
          <w:szCs w:val="21"/>
          <w:highlight w:val="none"/>
          <w:lang w:val="en-US" w:eastAsia="zh-CN" w:bidi="ar-SA"/>
        </w:rPr>
        <w:t xml:space="preserve">18.1 工程保险</w:t>
      </w:r>
      <w:bookmarkEnd w:id="374"/>
      <w:r/>
      <w:bookmarkEnd w:id="375"/>
      <w:r/>
      <w:bookmarkEnd w:id="376"/>
      <w:r/>
      <w:bookmarkEnd w:id="377"/>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除专用合同条款另有约定外，发包人应投保建筑工程一切险或安装工程一切险；发包人委托承包人投保的，因投保产生的保险费和其他相关费用由发包人承担。</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78" w:name="_Toc351203614"/>
      <w:r/>
      <w:bookmarkStart w:id="379" w:name="_Toc337558830"/>
      <w:r/>
      <w:bookmarkStart w:id="380" w:name="_Toc296346623"/>
      <w:r/>
      <w:bookmarkStart w:id="381" w:name="_Toc296503122"/>
      <w:r>
        <w:rPr>
          <w:rFonts w:hint="eastAsia" w:ascii="宋体" w:hAnsi="宋体" w:eastAsia="宋体" w:cs="宋体"/>
          <w:b w:val="0"/>
          <w:bCs/>
          <w:color w:val="000000"/>
          <w:sz w:val="21"/>
          <w:szCs w:val="21"/>
          <w:highlight w:val="none"/>
          <w:lang w:val="en-US" w:eastAsia="zh-CN" w:bidi="ar-SA"/>
        </w:rPr>
        <w:t xml:space="preserve">18.2 工伤保险</w:t>
      </w:r>
      <w:bookmarkEnd w:id="378"/>
      <w:r/>
      <w:bookmarkEnd w:id="379"/>
      <w:r/>
      <w:bookmarkEnd w:id="380"/>
      <w:r/>
      <w:bookmarkEnd w:id="381"/>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18.2.1 发包人应依照法律规定参加工伤保险，并为在施工现场的全部员工办理工伤保险，缴纳工伤保险费，并要求监理人及由发包人为履行合同聘请的第三方依法参加工伤保险。</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18.2.2 承包人应依照法律规定参加工伤保险，并为其履行合同的全部员工办理工伤保险，缴纳工伤保险费，并要求分包人及由承包人为履行合同聘请的第三方依法参加工伤保险。</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82" w:name="_Toc351203615"/>
      <w:r/>
      <w:bookmarkStart w:id="383" w:name="_Toc337558831"/>
      <w:r/>
      <w:bookmarkStart w:id="384" w:name="_Toc296503125"/>
      <w:r/>
      <w:bookmarkStart w:id="385" w:name="_Toc296346626"/>
      <w:r>
        <w:rPr>
          <w:rFonts w:hint="eastAsia" w:ascii="宋体" w:hAnsi="宋体" w:eastAsia="宋体" w:cs="宋体"/>
          <w:b w:val="0"/>
          <w:bCs/>
          <w:color w:val="000000"/>
          <w:sz w:val="21"/>
          <w:szCs w:val="21"/>
          <w:highlight w:val="none"/>
          <w:lang w:val="en-US" w:eastAsia="zh-CN" w:bidi="ar-SA"/>
        </w:rPr>
        <w:t xml:space="preserve">18.3其他保险</w:t>
      </w:r>
      <w:bookmarkEnd w:id="382"/>
      <w:r/>
      <w:bookmarkEnd w:id="383"/>
      <w:r/>
      <w:bookmarkEnd w:id="384"/>
      <w:r/>
      <w:bookmarkEnd w:id="385"/>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除专用合同条款另有约定外，承包人应为其施工设备等办理财产保险。</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86" w:name="_Toc351203616"/>
      <w:r>
        <w:rPr>
          <w:rFonts w:hint="eastAsia" w:ascii="宋体" w:hAnsi="宋体" w:eastAsia="宋体" w:cs="宋体"/>
          <w:b w:val="0"/>
          <w:bCs/>
          <w:color w:val="000000"/>
          <w:sz w:val="21"/>
          <w:szCs w:val="21"/>
          <w:highlight w:val="none"/>
          <w:lang w:val="en-US" w:eastAsia="zh-CN" w:bidi="ar-SA"/>
        </w:rPr>
        <w:t xml:space="preserve">18.4持续保险</w:t>
      </w:r>
      <w:bookmarkEnd w:id="386"/>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合同当事人应与保险人保持联系，使保险人能够随时了解工程实施中的变动，并确保按保险合同条款要求持续保险。</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87" w:name="_Toc351203617"/>
      <w:r/>
      <w:bookmarkStart w:id="388" w:name="_Toc296346627"/>
      <w:r/>
      <w:bookmarkStart w:id="389" w:name="_Toc337558832"/>
      <w:r/>
      <w:bookmarkStart w:id="390" w:name="_Toc296503126"/>
      <w:r>
        <w:rPr>
          <w:rFonts w:hint="eastAsia" w:ascii="宋体" w:hAnsi="宋体" w:eastAsia="宋体" w:cs="宋体"/>
          <w:b w:val="0"/>
          <w:bCs/>
          <w:color w:val="000000"/>
          <w:sz w:val="21"/>
          <w:szCs w:val="21"/>
          <w:highlight w:val="none"/>
          <w:lang w:val="en-US" w:eastAsia="zh-CN" w:bidi="ar-SA"/>
        </w:rPr>
        <w:t xml:space="preserve">18.5 保险凭证</w:t>
      </w:r>
      <w:bookmarkEnd w:id="387"/>
      <w:r/>
      <w:bookmarkEnd w:id="388"/>
      <w:r/>
      <w:bookmarkEnd w:id="389"/>
      <w:r/>
      <w:bookmarkEnd w:id="390"/>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合同当事人应及时向另一方当事人提交其已投保的各项保险的凭证和保险单复印件。</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91" w:name="_Toc351203618"/>
      <w:r/>
      <w:bookmarkStart w:id="392" w:name="_Toc337558833"/>
      <w:r/>
      <w:bookmarkStart w:id="393" w:name="_Toc296503127"/>
      <w:r/>
      <w:bookmarkStart w:id="394" w:name="_Toc296346628"/>
      <w:r>
        <w:rPr>
          <w:rFonts w:hint="eastAsia" w:ascii="宋体" w:hAnsi="宋体" w:eastAsia="宋体" w:cs="宋体"/>
          <w:b w:val="0"/>
          <w:bCs/>
          <w:color w:val="000000"/>
          <w:sz w:val="21"/>
          <w:szCs w:val="21"/>
          <w:highlight w:val="none"/>
          <w:lang w:val="en-US" w:eastAsia="zh-CN" w:bidi="ar-SA"/>
        </w:rPr>
        <w:t xml:space="preserve">18.6 未按约定投保的补救</w:t>
      </w:r>
      <w:bookmarkEnd w:id="391"/>
      <w:r/>
      <w:bookmarkEnd w:id="392"/>
      <w:r/>
      <w:bookmarkEnd w:id="393"/>
      <w:r/>
      <w:bookmarkEnd w:id="394"/>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395" w:name="_Toc351203619"/>
      <w:r/>
      <w:bookmarkStart w:id="396" w:name="_Toc337558834"/>
      <w:r>
        <w:rPr>
          <w:rFonts w:hint="eastAsia" w:ascii="宋体" w:hAnsi="宋体" w:eastAsia="宋体" w:cs="宋体"/>
          <w:b w:val="0"/>
          <w:bCs/>
          <w:color w:val="000000"/>
          <w:sz w:val="21"/>
          <w:szCs w:val="21"/>
          <w:highlight w:val="none"/>
          <w:lang w:val="en-US" w:eastAsia="zh-CN" w:bidi="ar-SA"/>
        </w:rPr>
        <w:t xml:space="preserve">18.7 通知义务</w:t>
      </w:r>
      <w:bookmarkEnd w:id="395"/>
      <w:r/>
      <w:bookmarkEnd w:id="396"/>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保险事故发生时，投保人应按照保险合同规定的条件和期限及时向保险人报告。发包人和承包人应当在知道保险事故发生后及时通知对方。</w:t>
      </w:r>
      <w:r/>
    </w:p>
    <w:p>
      <w:pPr>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397" w:name="_Toc351203620"/>
      <w:r/>
      <w:bookmarkStart w:id="398" w:name="_Toc337558835"/>
      <w:r/>
      <w:bookmarkStart w:id="399" w:name="_Toc296503140"/>
      <w:r/>
      <w:bookmarkStart w:id="400" w:name="_Toc296346641"/>
      <w:r>
        <w:rPr>
          <w:rFonts w:hint="eastAsia" w:ascii="宋体" w:hAnsi="宋体" w:eastAsia="宋体" w:cs="宋体"/>
          <w:b w:val="0"/>
          <w:bCs/>
          <w:color w:val="000000"/>
          <w:sz w:val="21"/>
          <w:szCs w:val="21"/>
          <w:highlight w:val="none"/>
          <w:lang w:val="en-US" w:eastAsia="zh-CN" w:bidi="ar-SA"/>
        </w:rPr>
        <w:t xml:space="preserve">19. 索赔</w:t>
      </w:r>
      <w:bookmarkEnd w:id="397"/>
      <w:r/>
      <w:bookmarkEnd w:id="398"/>
      <w:r/>
      <w:bookmarkEnd w:id="399"/>
      <w:r/>
      <w:bookmarkEnd w:id="400"/>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401" w:name="_Toc351203621"/>
      <w:r/>
      <w:bookmarkStart w:id="402" w:name="_Toc296346642"/>
      <w:r/>
      <w:bookmarkStart w:id="403" w:name="_Toc337558836"/>
      <w:r/>
      <w:bookmarkStart w:id="404" w:name="_Toc296503141"/>
      <w:r>
        <w:rPr>
          <w:rFonts w:hint="eastAsia" w:ascii="宋体" w:hAnsi="宋体" w:eastAsia="宋体" w:cs="宋体"/>
          <w:b w:val="0"/>
          <w:bCs/>
          <w:color w:val="000000"/>
          <w:sz w:val="21"/>
          <w:szCs w:val="21"/>
          <w:highlight w:val="none"/>
          <w:lang w:val="en-US" w:eastAsia="zh-CN" w:bidi="ar-SA"/>
        </w:rPr>
        <w:t xml:space="preserve">19.1承包人的索赔</w:t>
      </w:r>
      <w:bookmarkEnd w:id="401"/>
      <w:r/>
      <w:bookmarkEnd w:id="402"/>
      <w:r/>
      <w:bookmarkEnd w:id="403"/>
      <w:r/>
      <w:bookmarkEnd w:id="404"/>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根据合同约定，承包人认为有权得到追加付款和（或）延长工期的，应按以下程序向发包人提出索赔：</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（3）索赔事件具有持续影响的，承包人应按合理时间间隔继续递交延续索赔通知，说明持续影响的实际情况和记录，列出累计的追加付款金额和（或）工期延长天数；</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（4）在索赔事件影响结束后28天内，承包人应向监理人递交最终索赔报告，说明最终要求索赔的追加付款金额和（或）延长的工期，并附必要的记录和证明材料。</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405" w:name="_Toc351203622"/>
      <w:r/>
      <w:bookmarkStart w:id="406" w:name="_Toc337558837"/>
      <w:r/>
      <w:bookmarkStart w:id="407" w:name="_Toc296503142"/>
      <w:r/>
      <w:bookmarkStart w:id="408" w:name="_Toc296346643"/>
      <w:r>
        <w:rPr>
          <w:rFonts w:hint="eastAsia" w:ascii="宋体" w:hAnsi="宋体" w:eastAsia="宋体" w:cs="宋体"/>
          <w:b w:val="0"/>
          <w:bCs/>
          <w:color w:val="000000"/>
          <w:sz w:val="21"/>
          <w:szCs w:val="21"/>
          <w:highlight w:val="none"/>
          <w:lang w:val="en-US" w:eastAsia="zh-CN" w:bidi="ar-SA"/>
        </w:rPr>
        <w:t xml:space="preserve">19.2 对承包人索赔的处理</w:t>
      </w:r>
      <w:bookmarkEnd w:id="405"/>
      <w:r/>
      <w:bookmarkEnd w:id="406"/>
      <w:r/>
      <w:bookmarkEnd w:id="407"/>
      <w:r/>
      <w:bookmarkEnd w:id="408"/>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对承包人索赔的处理如下：</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（1）监理人应在收到索赔报告后14天内完成审查并报送发包人。监理人对索赔报告存在异议的，有权要求承包人提交全部原始记录副本；</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（3）承包人接受索赔处理结果的，索赔款项在当期进度款中进行支付；承包人不接受索赔处理结果的，按照第20条〔争议解决〕约定处理。</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409" w:name="_Toc351203623"/>
      <w:r/>
      <w:bookmarkStart w:id="410" w:name="_Toc337558838"/>
      <w:r/>
      <w:bookmarkStart w:id="411" w:name="_Toc296503143"/>
      <w:r/>
      <w:bookmarkStart w:id="412" w:name="_Toc296346644"/>
      <w:r>
        <w:rPr>
          <w:rFonts w:hint="eastAsia" w:ascii="宋体" w:hAnsi="宋体" w:eastAsia="宋体" w:cs="宋体"/>
          <w:b w:val="0"/>
          <w:bCs/>
          <w:color w:val="000000"/>
          <w:sz w:val="21"/>
          <w:szCs w:val="21"/>
          <w:highlight w:val="none"/>
          <w:lang w:val="en-US" w:eastAsia="zh-CN" w:bidi="ar-SA"/>
        </w:rPr>
        <w:t xml:space="preserve">19.3发包人的索赔</w:t>
      </w:r>
      <w:bookmarkEnd w:id="409"/>
      <w:r/>
      <w:bookmarkEnd w:id="410"/>
      <w:r/>
      <w:bookmarkEnd w:id="411"/>
      <w:r/>
      <w:bookmarkEnd w:id="412"/>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根据合同约定，发包人认为有权得到赔付金额和（或）延长缺陷责任期的，监理人应向承包人发出通知并附有详细的证明。</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413" w:name="_Toc351203624"/>
      <w:r/>
      <w:bookmarkStart w:id="414" w:name="_Toc296503144"/>
      <w:r/>
      <w:bookmarkStart w:id="415" w:name="_Toc296346645"/>
      <w:r/>
      <w:bookmarkStart w:id="416" w:name="_Toc337558839"/>
      <w:r>
        <w:rPr>
          <w:rFonts w:hint="eastAsia" w:ascii="宋体" w:hAnsi="宋体" w:eastAsia="宋体" w:cs="宋体"/>
          <w:b w:val="0"/>
          <w:bCs/>
          <w:color w:val="000000"/>
          <w:sz w:val="21"/>
          <w:szCs w:val="21"/>
          <w:highlight w:val="none"/>
          <w:lang w:val="en-US" w:eastAsia="zh-CN" w:bidi="ar-SA"/>
        </w:rPr>
        <w:t xml:space="preserve">19.4 对发包人索赔的处理</w:t>
      </w:r>
      <w:bookmarkEnd w:id="413"/>
      <w:r/>
      <w:bookmarkEnd w:id="414"/>
      <w:r/>
      <w:bookmarkEnd w:id="415"/>
      <w:r/>
      <w:bookmarkEnd w:id="416"/>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对发包人索赔的处理如下：</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（1）承包人收到发包人提交的索赔报告后，应及时审查索赔报告的内容、查验发包人证明材料；</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（2）承包人应在收到索赔报告或有关索赔的进一步证明材料后28天内，将索赔处理结果答复发包人。如果承包人未在上述期限内作出答复的，则视为对发包人索赔要求的认可；</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（3）承包人接受索赔处理结果的，发包人可从应支付给承包人的合同价款中扣除赔付的金额或延长缺陷责任期；发包人不接受索赔处理结果的，按第20条〔争议解决〕约定处理。</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417" w:name="_Toc351203625"/>
      <w:r>
        <w:rPr>
          <w:rFonts w:hint="eastAsia" w:ascii="宋体" w:hAnsi="宋体" w:eastAsia="宋体" w:cs="宋体"/>
          <w:b w:val="0"/>
          <w:bCs/>
          <w:color w:val="000000"/>
          <w:sz w:val="21"/>
          <w:szCs w:val="21"/>
          <w:highlight w:val="none"/>
          <w:lang w:val="en-US" w:eastAsia="zh-CN" w:bidi="ar-SA"/>
        </w:rPr>
        <w:t xml:space="preserve">19.5 提出索赔的期限</w:t>
      </w:r>
      <w:bookmarkEnd w:id="417"/>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（1）承包人按第14.2款〔竣工结算审核〕约定接收竣工付款证书后，应被视为已无权再提出在工程接收证书颁发前所发生的任何索赔。</w:t>
      </w:r>
      <w:r/>
    </w:p>
    <w:p>
      <w:pPr>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（2）承包人按第14.4款〔最终结清〕提交的最终结清申请单中，只限于提出工程接收证书颁发后发生的索赔。提出索赔的期限自接受最终结清证书时终止。</w:t>
      </w:r>
      <w:r/>
    </w:p>
    <w:p>
      <w:pPr>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418" w:name="_Toc351203626"/>
      <w:r>
        <w:rPr>
          <w:rFonts w:hint="eastAsia" w:ascii="宋体" w:hAnsi="宋体" w:eastAsia="宋体" w:cs="宋体"/>
          <w:b w:val="0"/>
          <w:bCs/>
          <w:color w:val="000000"/>
          <w:sz w:val="21"/>
          <w:szCs w:val="21"/>
          <w:highlight w:val="none"/>
          <w:lang w:val="en-US" w:eastAsia="zh-CN" w:bidi="ar-SA"/>
        </w:rPr>
        <w:t xml:space="preserve">20</w:t>
      </w:r>
      <w:bookmarkStart w:id="419" w:name="_Toc337558840"/>
      <w:r/>
      <w:bookmarkStart w:id="420" w:name="_Toc296346647"/>
      <w:r/>
      <w:bookmarkStart w:id="421" w:name="_Toc296503146"/>
      <w:r>
        <w:rPr>
          <w:rFonts w:hint="eastAsia" w:ascii="宋体" w:hAnsi="宋体" w:eastAsia="宋体" w:cs="宋体"/>
          <w:b w:val="0"/>
          <w:bCs/>
          <w:color w:val="000000"/>
          <w:sz w:val="21"/>
          <w:szCs w:val="21"/>
          <w:highlight w:val="none"/>
          <w:lang w:val="en-US" w:eastAsia="zh-CN" w:bidi="ar-SA"/>
        </w:rPr>
        <w:t xml:space="preserve">. 争议解决</w:t>
      </w:r>
      <w:bookmarkEnd w:id="418"/>
      <w:r/>
      <w:bookmarkEnd w:id="419"/>
      <w:r/>
      <w:bookmarkEnd w:id="420"/>
      <w:r/>
      <w:bookmarkEnd w:id="421"/>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422" w:name="_Toc351203627"/>
      <w:r/>
      <w:bookmarkStart w:id="423" w:name="_Toc296346648"/>
      <w:r/>
      <w:bookmarkStart w:id="424" w:name="_Toc296503147"/>
      <w:r/>
      <w:bookmarkStart w:id="425" w:name="_Toc337558841"/>
      <w:r>
        <w:rPr>
          <w:rFonts w:hint="eastAsia" w:ascii="宋体" w:hAnsi="宋体" w:eastAsia="宋体" w:cs="宋体"/>
          <w:b w:val="0"/>
          <w:bCs/>
          <w:color w:val="000000"/>
          <w:sz w:val="21"/>
          <w:szCs w:val="21"/>
          <w:highlight w:val="none"/>
          <w:lang w:val="en-US" w:eastAsia="zh-CN" w:bidi="ar-SA"/>
        </w:rPr>
        <w:t xml:space="preserve">20.1和解</w:t>
      </w:r>
      <w:bookmarkEnd w:id="422"/>
      <w:r/>
      <w:bookmarkEnd w:id="423"/>
      <w:r/>
      <w:bookmarkEnd w:id="424"/>
      <w:r/>
      <w:bookmarkEnd w:id="425"/>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合同当事人可以就争议自行和解，自行和解达成协议的经双方签字并盖章后作为合同补充文件，双方均应遵照执行。</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426" w:name="_Toc351203628"/>
      <w:r>
        <w:rPr>
          <w:rFonts w:hint="eastAsia" w:ascii="宋体" w:hAnsi="宋体" w:eastAsia="宋体" w:cs="宋体"/>
          <w:b w:val="0"/>
          <w:bCs/>
          <w:color w:val="000000"/>
          <w:sz w:val="21"/>
          <w:szCs w:val="21"/>
          <w:highlight w:val="none"/>
          <w:lang w:val="en-US" w:eastAsia="zh-CN" w:bidi="ar-SA"/>
        </w:rPr>
        <w:t xml:space="preserve">20</w:t>
      </w:r>
      <w:bookmarkStart w:id="427" w:name="_Toc296503148"/>
      <w:r/>
      <w:bookmarkStart w:id="428" w:name="_Toc296346649"/>
      <w:r/>
      <w:bookmarkStart w:id="429" w:name="_Toc337558842"/>
      <w:r>
        <w:rPr>
          <w:rFonts w:hint="eastAsia" w:ascii="宋体" w:hAnsi="宋体" w:eastAsia="宋体" w:cs="宋体"/>
          <w:b w:val="0"/>
          <w:bCs/>
          <w:color w:val="000000"/>
          <w:sz w:val="21"/>
          <w:szCs w:val="21"/>
          <w:highlight w:val="none"/>
          <w:lang w:val="en-US" w:eastAsia="zh-CN" w:bidi="ar-SA"/>
        </w:rPr>
        <w:t xml:space="preserve">.2调解</w:t>
      </w:r>
      <w:bookmarkEnd w:id="426"/>
      <w:r/>
      <w:bookmarkEnd w:id="427"/>
      <w:r/>
      <w:bookmarkEnd w:id="428"/>
      <w:r/>
      <w:bookmarkEnd w:id="429"/>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合同当事人可以就争议请求建设行政主管部门、行业协会或其他第三方进行调解，调解达成协议的，经双方签字并盖章后作为合同补充文件，双方均应遵照执行。</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430" w:name="_Toc351203629"/>
      <w:r/>
      <w:bookmarkStart w:id="431" w:name="_Toc296503149"/>
      <w:r/>
      <w:bookmarkStart w:id="432" w:name="_Toc337558843"/>
      <w:r/>
      <w:bookmarkStart w:id="433" w:name="_Toc296346650"/>
      <w:r>
        <w:rPr>
          <w:rFonts w:hint="eastAsia" w:ascii="宋体" w:hAnsi="宋体" w:eastAsia="宋体" w:cs="宋体"/>
          <w:b w:val="0"/>
          <w:bCs/>
          <w:color w:val="000000"/>
          <w:sz w:val="21"/>
          <w:szCs w:val="21"/>
          <w:highlight w:val="none"/>
          <w:lang w:val="en-US" w:eastAsia="zh-CN" w:bidi="ar-SA"/>
        </w:rPr>
        <w:t xml:space="preserve">20.3争议评审</w:t>
      </w:r>
      <w:bookmarkEnd w:id="430"/>
      <w:r/>
      <w:bookmarkEnd w:id="431"/>
      <w:r/>
      <w:bookmarkEnd w:id="432"/>
      <w:r/>
      <w:bookmarkEnd w:id="433"/>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合同当事人在专用合同条款中约定采取争议评审方式解决争议以及评审规则，并按下列约定执行： </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20.3.1 争议评审小组的确定</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除专用合同条款另有约定外，评审员报酬由发包人和承包人各承担一半。</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20.3.2 争议评审小组的决定</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20.3.3 争议评审小组决定的效力</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争议评审小组作出的书面决定经合同当事人签字确认后，对双方具有约束力，双方应遵照执行。</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任何一方当事人不接受争议评审小组决定或不履行争议评审小组决定的，双方可选择采用其他争议解决方式。</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434" w:name="_Toc351203630"/>
      <w:r/>
      <w:bookmarkStart w:id="435" w:name="_Toc296503150"/>
      <w:r/>
      <w:bookmarkStart w:id="436" w:name="_Toc296346651"/>
      <w:r/>
      <w:bookmarkStart w:id="437" w:name="_Toc337558844"/>
      <w:r>
        <w:rPr>
          <w:rFonts w:hint="eastAsia" w:ascii="宋体" w:hAnsi="宋体" w:eastAsia="宋体" w:cs="宋体"/>
          <w:b w:val="0"/>
          <w:bCs/>
          <w:color w:val="000000"/>
          <w:sz w:val="21"/>
          <w:szCs w:val="21"/>
          <w:highlight w:val="none"/>
          <w:lang w:val="en-US" w:eastAsia="zh-CN" w:bidi="ar-SA"/>
        </w:rPr>
        <w:t xml:space="preserve">20.4仲裁或诉讼</w:t>
      </w:r>
      <w:bookmarkEnd w:id="434"/>
      <w:r/>
      <w:bookmarkEnd w:id="435"/>
      <w:r/>
      <w:bookmarkEnd w:id="436"/>
      <w:r/>
      <w:bookmarkEnd w:id="437"/>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因合同及合同有关事项产生的争议，合同当事人可以在专用合同条款中约定以下一种方式解决争议：</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（1）向约定的仲裁委员会申请仲裁；</w:t>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（2）向有管辖权的人民法院起诉。</w:t>
      </w:r>
      <w:r/>
    </w:p>
    <w:p>
      <w:pPr>
        <w:ind w:firstLine="420"/>
        <w:jc w:val="both"/>
        <w:keepLines/>
        <w:keepNext/>
        <w:spacing w:before="120" w:after="120" w:line="240" w:lineRule="auto"/>
        <w:widowControl w:val="off"/>
        <w:rPr>
          <w:rFonts w:hint="eastAsia" w:ascii="宋体" w:hAnsi="宋体" w:eastAsia="宋体" w:cs="宋体"/>
          <w:b w:val="0"/>
          <w:bCs/>
          <w:color w:val="000000"/>
          <w:sz w:val="21"/>
          <w:szCs w:val="21"/>
          <w:highlight w:val="none"/>
          <w:lang w:val="en-US" w:eastAsia="zh-CN" w:bidi="ar-SA"/>
        </w:rPr>
        <w:outlineLvl w:val="4"/>
      </w:pPr>
      <w:r/>
      <w:bookmarkStart w:id="438" w:name="_Toc351203631"/>
      <w:r/>
      <w:bookmarkStart w:id="439" w:name="_Toc337558845"/>
      <w:r/>
      <w:bookmarkStart w:id="440" w:name="_Toc296503152"/>
      <w:r/>
      <w:bookmarkStart w:id="441" w:name="_Toc296346653"/>
      <w:r>
        <w:rPr>
          <w:rFonts w:hint="eastAsia" w:ascii="宋体" w:hAnsi="宋体" w:eastAsia="宋体" w:cs="宋体"/>
          <w:b w:val="0"/>
          <w:bCs/>
          <w:color w:val="000000"/>
          <w:sz w:val="21"/>
          <w:szCs w:val="21"/>
          <w:highlight w:val="none"/>
          <w:lang w:val="en-US" w:eastAsia="zh-CN" w:bidi="ar-SA"/>
        </w:rPr>
        <w:t xml:space="preserve">20.5争议解决条款效力</w:t>
      </w:r>
      <w:bookmarkEnd w:id="438"/>
      <w:r/>
      <w:bookmarkEnd w:id="439"/>
      <w:r/>
      <w:bookmarkEnd w:id="440"/>
      <w:r/>
      <w:bookmarkEnd w:id="441"/>
      <w:r/>
      <w:r/>
    </w:p>
    <w:p>
      <w:pPr>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合同有关争议解决的条款独立存在，合同的变更、解除、终止、无效或者被撤销均不影响其效力。 </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ascii="Times New Roman" w:hAnsi="Times New Roman" w:eastAsia="宋体" w:cs="Times New Roman"/>
          <w:b/>
          <w:sz w:val="28"/>
          <w:szCs w:val="28"/>
          <w:highlight w:val="none"/>
        </w:rPr>
      </w:pPr>
      <w:r>
        <w:rPr>
          <w:rFonts w:ascii="Times New Roman" w:hAnsi="Times New Roman" w:eastAsia="宋体" w:cs="Times New Roman"/>
          <w:b/>
          <w:sz w:val="28"/>
          <w:szCs w:val="28"/>
          <w:highlight w:val="none"/>
        </w:rPr>
        <w:br w:type="page" w:clear="all"/>
      </w:r>
      <w:r/>
    </w:p>
    <w:p>
      <w:pPr>
        <w:numPr>
          <w:ilvl w:val="0"/>
          <w:numId w:val="2"/>
        </w:numPr>
        <w:jc w:val="center"/>
        <w:keepLines/>
        <w:keepNext/>
        <w:spacing w:before="312" w:after="312" w:line="360" w:lineRule="auto"/>
        <w:rPr>
          <w:rFonts w:ascii="黑体" w:eastAsia="黑体" w:cs="黑体"/>
          <w:color w:val="auto"/>
          <w:sz w:val="36"/>
          <w:szCs w:val="36"/>
          <w:highlight w:val="none"/>
          <w:lang w:val="zh-TW" w:eastAsia="zh-TW"/>
        </w:rPr>
        <w:outlineLvl w:val="0"/>
      </w:pPr>
      <w:r>
        <w:rPr>
          <w:rFonts w:hint="eastAsia" w:ascii="黑体" w:eastAsia="黑体" w:cs="黑体"/>
          <w:color w:val="auto"/>
          <w:sz w:val="36"/>
          <w:szCs w:val="36"/>
          <w:highlight w:val="none"/>
          <w:lang w:val="zh-TW"/>
        </w:rPr>
        <w:t xml:space="preserve"> </w:t>
      </w:r>
      <w:bookmarkStart w:id="442" w:name="_Toc14170"/>
      <w:r>
        <w:rPr>
          <w:rFonts w:hint="eastAsia" w:ascii="黑体" w:eastAsia="黑体" w:cs="黑体"/>
          <w:color w:val="auto"/>
          <w:sz w:val="36"/>
          <w:szCs w:val="36"/>
          <w:highlight w:val="none"/>
          <w:lang w:val="zh-TW" w:eastAsia="zh-TW"/>
        </w:rPr>
        <w:t xml:space="preserve">项目需求</w:t>
      </w:r>
      <w:bookmarkEnd w:id="442"/>
      <w:r/>
      <w:r/>
    </w:p>
    <w:p>
      <w:pPr>
        <w:ind w:firstLine="482"/>
        <w:jc w:val="left"/>
        <w:keepLines w:val="0"/>
        <w:keepNext w:val="0"/>
        <w:pageBreakBefore w:val="0"/>
        <w:spacing w:line="440" w:lineRule="exact"/>
        <w:widowControl w:val="off"/>
        <w:rPr>
          <w:rFonts w:hint="eastAsia" w:ascii="宋体" w:hAnsi="宋体" w:cs="宋体"/>
          <w:b/>
          <w:bCs/>
          <w:sz w:val="24"/>
          <w:szCs w:val="24"/>
          <w:highlight w:val="none"/>
        </w:rPr>
        <w:pBdr>
          <w:top w:val="none" w:color="auto" w:sz="0" w:space="1"/>
          <w:left w:val="none" w:color="auto" w:sz="0" w:space="4"/>
          <w:bottom w:val="none" w:color="auto" w:sz="0" w:space="1"/>
          <w:right w:val="none" w:color="auto" w:sz="0" w:space="4"/>
        </w:pBdr>
        <w:outlineLvl w:val="0"/>
      </w:pPr>
      <w:r>
        <w:rPr>
          <w:rFonts w:hint="eastAsia" w:ascii="宋体" w:hAnsi="宋体" w:cs="宋体"/>
          <w:b/>
          <w:bCs/>
          <w:sz w:val="24"/>
          <w:szCs w:val="24"/>
          <w:highlight w:val="none"/>
        </w:rPr>
        <w:t xml:space="preserve">一、项目概述</w:t>
      </w:r>
      <w:r/>
    </w:p>
    <w:p>
      <w:pPr>
        <w:ind w:firstLine="480"/>
        <w:jc w:val="left"/>
        <w:keepLines w:val="0"/>
        <w:keepNext w:val="0"/>
        <w:pageBreakBefore w:val="0"/>
        <w:spacing w:line="440" w:lineRule="exact"/>
        <w:widowControl w:val="off"/>
        <w:rPr>
          <w:rFonts w:hint="default" w:ascii="宋体" w:hAnsi="宋体" w:eastAsia="宋体" w:cs="宋体"/>
          <w:bCs/>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cs="宋体"/>
          <w:bCs/>
          <w:sz w:val="24"/>
          <w:szCs w:val="24"/>
          <w:highlight w:val="none"/>
        </w:rPr>
        <w:t xml:space="preserve">1、项目名称：</w:t>
      </w:r>
      <w:r>
        <w:rPr>
          <w:rFonts w:hint="eastAsia" w:ascii="宋体" w:hAnsi="宋体" w:cs="宋体"/>
          <w:bCs/>
          <w:sz w:val="24"/>
          <w:szCs w:val="24"/>
          <w:highlight w:val="none"/>
          <w:lang w:eastAsia="zh-CN"/>
        </w:rPr>
        <w:t xml:space="preserve">省厅清河路</w:t>
      </w:r>
      <w:r>
        <w:rPr>
          <w:rFonts w:hint="eastAsia" w:ascii="宋体" w:hAnsi="宋体" w:cs="宋体"/>
          <w:bCs/>
          <w:sz w:val="24"/>
          <w:szCs w:val="24"/>
          <w:highlight w:val="none"/>
          <w:lang w:val="en-US" w:eastAsia="zh-CN"/>
        </w:rPr>
        <w:t xml:space="preserve">9号办公点综合楼中央空调更新</w:t>
      </w:r>
      <w:r/>
    </w:p>
    <w:p>
      <w:pPr>
        <w:ind w:firstLine="480"/>
        <w:jc w:val="left"/>
        <w:keepLines w:val="0"/>
        <w:keepNext w:val="0"/>
        <w:pageBreakBefore w:val="0"/>
        <w:spacing w:line="440" w:lineRule="exact"/>
        <w:widowControl w:val="off"/>
        <w:rPr>
          <w:rFonts w:hint="eastAsia" w:ascii="宋体" w:hAnsi="宋体" w:cs="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Cs/>
          <w:sz w:val="24"/>
          <w:szCs w:val="24"/>
          <w:highlight w:val="none"/>
        </w:rPr>
        <w:t xml:space="preserve">2、采购内容：</w:t>
      </w:r>
      <w:r>
        <w:rPr>
          <w:rFonts w:hint="eastAsia" w:ascii="宋体" w:hAnsi="宋体" w:cs="宋体"/>
          <w:bCs/>
          <w:sz w:val="24"/>
          <w:szCs w:val="24"/>
          <w:highlight w:val="none"/>
          <w:lang w:val="en-US" w:eastAsia="zh-CN"/>
        </w:rPr>
        <w:t xml:space="preserve">项目地点共计</w:t>
      </w:r>
      <w:r>
        <w:rPr>
          <w:rFonts w:hint="eastAsia" w:ascii="宋体" w:hAnsi="宋体" w:cs="宋体"/>
          <w:bCs/>
          <w:sz w:val="24"/>
          <w:szCs w:val="24"/>
          <w:highlight w:val="none"/>
        </w:rPr>
        <w:t xml:space="preserve">6层，</w:t>
      </w:r>
      <w:r>
        <w:rPr>
          <w:rFonts w:hint="eastAsia" w:ascii="宋体" w:hAnsi="宋体" w:cs="宋体"/>
          <w:bCs/>
          <w:sz w:val="24"/>
          <w:szCs w:val="24"/>
          <w:highlight w:val="none"/>
          <w:lang w:val="en-US" w:eastAsia="zh-CN"/>
        </w:rPr>
        <w:t xml:space="preserve">采购内容</w:t>
      </w:r>
      <w:r>
        <w:rPr>
          <w:rFonts w:hint="eastAsia" w:ascii="宋体" w:hAnsi="宋体" w:cs="宋体"/>
          <w:bCs/>
          <w:sz w:val="24"/>
          <w:szCs w:val="24"/>
          <w:highlight w:val="none"/>
        </w:rPr>
        <w:t xml:space="preserve">包括11套多联机系统，以及场地内原有旧设备拆除并清运，空调箱电源改室内机电源，</w:t>
      </w:r>
      <w:r>
        <w:rPr>
          <w:rFonts w:hint="eastAsia" w:ascii="宋体" w:hAnsi="宋体" w:cs="宋体"/>
          <w:bCs/>
          <w:sz w:val="24"/>
          <w:szCs w:val="24"/>
          <w:highlight w:val="none"/>
          <w:lang w:val="en-US" w:eastAsia="zh-CN"/>
        </w:rPr>
        <w:t xml:space="preserve">原</w:t>
      </w:r>
      <w:r>
        <w:rPr>
          <w:rFonts w:hint="eastAsia" w:ascii="宋体" w:hAnsi="宋体" w:cs="宋体"/>
          <w:bCs/>
          <w:sz w:val="24"/>
          <w:szCs w:val="24"/>
          <w:highlight w:val="none"/>
        </w:rPr>
        <w:t xml:space="preserve">吊顶局部拆除、修复，室外机基础及室外电源改造。</w:t>
      </w:r>
      <w:r/>
    </w:p>
    <w:p>
      <w:pPr>
        <w:ind w:firstLine="480"/>
        <w:jc w:val="left"/>
        <w:keepLines w:val="0"/>
        <w:keepNext w:val="0"/>
        <w:pageBreakBefore w:val="0"/>
        <w:spacing w:line="440" w:lineRule="exact"/>
        <w:widowControl w:val="off"/>
        <w:rPr>
          <w:rFonts w:hint="eastAsia" w:ascii="宋体" w:hAnsi="宋体" w:cs="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3、项目地点：南京市建邺区清河路9号</w:t>
      </w:r>
      <w:r>
        <w:rPr>
          <w:rFonts w:hint="eastAsia" w:ascii="宋体" w:hAnsi="宋体" w:cs="宋体"/>
          <w:bCs/>
          <w:sz w:val="24"/>
          <w:szCs w:val="24"/>
          <w:highlight w:val="none"/>
        </w:rPr>
        <w:t xml:space="preserve">。</w:t>
      </w:r>
      <w:r/>
    </w:p>
    <w:p>
      <w:pPr>
        <w:ind w:firstLine="480"/>
        <w:jc w:val="left"/>
        <w:keepLines w:val="0"/>
        <w:keepNext w:val="0"/>
        <w:pageBreakBefore w:val="0"/>
        <w:spacing w:line="440" w:lineRule="exact"/>
        <w:widowControl w:val="off"/>
        <w:rPr>
          <w:rFonts w:hint="eastAsia"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4、项目概况：共计6层，总建筑面积约为6500㎡，空调建筑面积约4200㎡，原设计采用风冷-水热泵机组，生产出厂距今已2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多年，设备运行效率及产品节能技术与当前产品技术相差较大，空调日常使用成本也较高，现空调系统已完全不能满足运营需求，故改为多联机系统。</w:t>
      </w:r>
      <w:r/>
    </w:p>
    <w:p>
      <w:pPr>
        <w:ind w:firstLine="482"/>
        <w:jc w:val="left"/>
        <w:keepLines w:val="0"/>
        <w:keepNext w:val="0"/>
        <w:pageBreakBefore w:val="0"/>
        <w:spacing w:line="440" w:lineRule="exact"/>
        <w:widowControl w:val="off"/>
        <w:rPr>
          <w:rFonts w:hint="eastAsia" w:ascii="宋体" w:hAnsi="宋体" w:cs="宋体"/>
          <w:b/>
          <w:bCs/>
          <w:sz w:val="24"/>
          <w:szCs w:val="24"/>
          <w:highlight w:val="none"/>
        </w:rPr>
        <w:pBdr>
          <w:top w:val="none" w:color="auto" w:sz="0" w:space="1"/>
          <w:left w:val="none" w:color="auto" w:sz="0" w:space="4"/>
          <w:bottom w:val="none" w:color="auto" w:sz="0" w:space="1"/>
          <w:right w:val="none" w:color="auto" w:sz="0" w:space="4"/>
        </w:pBdr>
        <w:outlineLvl w:val="0"/>
      </w:pPr>
      <w:r>
        <w:rPr>
          <w:rFonts w:hint="eastAsia" w:ascii="宋体" w:hAnsi="宋体" w:cs="宋体"/>
          <w:b/>
          <w:bCs/>
          <w:sz w:val="24"/>
          <w:szCs w:val="24"/>
          <w:highlight w:val="none"/>
        </w:rPr>
        <w:t xml:space="preserve">二、编制依据</w:t>
      </w:r>
      <w:r/>
    </w:p>
    <w:p>
      <w:pPr>
        <w:ind w:firstLine="480"/>
        <w:jc w:val="left"/>
        <w:keepLines w:val="0"/>
        <w:keepNext w:val="0"/>
        <w:pageBreakBefore w:val="0"/>
        <w:spacing w:line="440" w:lineRule="exact"/>
        <w:widowControl w:val="off"/>
        <w:rPr>
          <w:rFonts w:hint="eastAsia" w:ascii="宋体" w:hAnsi="宋体" w:cs="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Cs/>
          <w:sz w:val="24"/>
          <w:szCs w:val="24"/>
          <w:highlight w:val="none"/>
        </w:rPr>
        <w:t xml:space="preserve">1、《采暖通风与空气调节设计规范》（GB 50736-2012）</w:t>
      </w:r>
      <w:r/>
    </w:p>
    <w:p>
      <w:pPr>
        <w:ind w:firstLine="480"/>
        <w:jc w:val="left"/>
        <w:keepLines w:val="0"/>
        <w:keepNext w:val="0"/>
        <w:pageBreakBefore w:val="0"/>
        <w:spacing w:line="440" w:lineRule="exact"/>
        <w:widowControl w:val="off"/>
        <w:rPr>
          <w:rFonts w:hint="eastAsia" w:ascii="宋体" w:hAnsi="宋体" w:cs="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Cs/>
          <w:sz w:val="24"/>
          <w:szCs w:val="24"/>
          <w:highlight w:val="none"/>
        </w:rPr>
        <w:t xml:space="preserve">2、</w:t>
      </w:r>
      <w:r>
        <w:rPr>
          <w:rFonts w:ascii="宋体" w:hAnsi="宋体" w:cs="宋体"/>
          <w:bCs/>
          <w:sz w:val="24"/>
          <w:szCs w:val="24"/>
          <w:highlight w:val="none"/>
        </w:rPr>
        <w:t xml:space="preserve">《建筑防火通用规范》</w:t>
      </w:r>
      <w:r>
        <w:rPr>
          <w:rFonts w:hint="eastAsia" w:ascii="宋体" w:hAnsi="宋体" w:cs="宋体"/>
          <w:bCs/>
          <w:sz w:val="24"/>
          <w:szCs w:val="24"/>
          <w:highlight w:val="none"/>
        </w:rPr>
        <w:t xml:space="preserve">（</w:t>
      </w:r>
      <w:r>
        <w:rPr>
          <w:rFonts w:ascii="宋体" w:hAnsi="宋体" w:cs="宋体"/>
          <w:bCs/>
          <w:sz w:val="24"/>
          <w:szCs w:val="24"/>
          <w:highlight w:val="none"/>
        </w:rPr>
        <w:t xml:space="preserve">GB 55037-2022</w:t>
      </w:r>
      <w:r>
        <w:rPr>
          <w:rFonts w:hint="eastAsia" w:ascii="宋体" w:hAnsi="宋体" w:cs="宋体"/>
          <w:bCs/>
          <w:sz w:val="24"/>
          <w:szCs w:val="24"/>
          <w:highlight w:val="none"/>
        </w:rPr>
        <w:t xml:space="preserve">）</w:t>
      </w:r>
      <w:r/>
    </w:p>
    <w:p>
      <w:pPr>
        <w:ind w:firstLine="480"/>
        <w:jc w:val="left"/>
        <w:keepLines w:val="0"/>
        <w:keepNext w:val="0"/>
        <w:pageBreakBefore w:val="0"/>
        <w:spacing w:line="440" w:lineRule="exact"/>
        <w:widowControl w:val="off"/>
        <w:rPr>
          <w:rFonts w:hint="eastAsia" w:ascii="宋体" w:hAnsi="宋体" w:cs="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Cs/>
          <w:sz w:val="24"/>
          <w:szCs w:val="24"/>
          <w:highlight w:val="none"/>
        </w:rPr>
        <w:t xml:space="preserve">3、《建筑设计防火规范》（GB 50016-2014，2018 年版）</w:t>
      </w:r>
      <w:r/>
    </w:p>
    <w:p>
      <w:pPr>
        <w:ind w:firstLine="480"/>
        <w:jc w:val="left"/>
        <w:keepLines w:val="0"/>
        <w:keepNext w:val="0"/>
        <w:pageBreakBefore w:val="0"/>
        <w:spacing w:line="440" w:lineRule="exact"/>
        <w:widowControl w:val="off"/>
        <w:rPr>
          <w:rFonts w:hint="eastAsia" w:ascii="宋体" w:hAnsi="宋体" w:cs="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Cs/>
          <w:sz w:val="24"/>
          <w:szCs w:val="24"/>
          <w:highlight w:val="none"/>
        </w:rPr>
        <w:t xml:space="preserve">4、《通风与空调工程施工质量验收规范》（GB 50243-2016）</w:t>
      </w:r>
      <w:r/>
    </w:p>
    <w:p>
      <w:pPr>
        <w:ind w:firstLine="480"/>
        <w:jc w:val="left"/>
        <w:keepLines w:val="0"/>
        <w:keepNext w:val="0"/>
        <w:pageBreakBefore w:val="0"/>
        <w:spacing w:line="440" w:lineRule="exact"/>
        <w:widowControl w:val="off"/>
        <w:rPr>
          <w:rFonts w:hint="eastAsia" w:ascii="宋体" w:hAnsi="宋体" w:cs="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Cs/>
          <w:sz w:val="24"/>
          <w:szCs w:val="24"/>
          <w:highlight w:val="none"/>
        </w:rPr>
        <w:t xml:space="preserve">5、《多联机空调系统工程技术规程》（JGJ 174-2010）</w:t>
      </w:r>
      <w:r/>
    </w:p>
    <w:p>
      <w:pPr>
        <w:ind w:firstLine="480"/>
        <w:jc w:val="left"/>
        <w:keepLines w:val="0"/>
        <w:keepNext w:val="0"/>
        <w:pageBreakBefore w:val="0"/>
        <w:spacing w:line="440" w:lineRule="exact"/>
        <w:widowControl w:val="off"/>
        <w:rPr>
          <w:rFonts w:hint="eastAsia" w:ascii="宋体" w:hAnsi="宋体" w:cs="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Cs/>
          <w:sz w:val="24"/>
          <w:szCs w:val="24"/>
          <w:highlight w:val="none"/>
        </w:rPr>
        <w:t xml:space="preserve">6、《公共建筑节能设计标准》（</w:t>
      </w:r>
      <w:bookmarkStart w:id="443" w:name="OLE_LINK1"/>
      <w:r>
        <w:rPr>
          <w:rFonts w:hint="eastAsia" w:ascii="宋体" w:hAnsi="宋体" w:cs="宋体"/>
          <w:bCs/>
          <w:sz w:val="24"/>
          <w:szCs w:val="24"/>
          <w:highlight w:val="none"/>
        </w:rPr>
        <w:t xml:space="preserve">GB 50189</w:t>
      </w:r>
      <w:bookmarkEnd w:id="443"/>
      <w:r>
        <w:rPr>
          <w:rFonts w:hint="eastAsia" w:ascii="宋体" w:hAnsi="宋体" w:cs="宋体"/>
          <w:bCs/>
          <w:sz w:val="24"/>
          <w:szCs w:val="24"/>
          <w:highlight w:val="none"/>
        </w:rPr>
        <w:t xml:space="preserve">-2015）</w:t>
      </w:r>
      <w:r/>
    </w:p>
    <w:p>
      <w:pPr>
        <w:ind w:firstLine="480"/>
        <w:jc w:val="left"/>
        <w:keepLines w:val="0"/>
        <w:keepNext w:val="0"/>
        <w:pageBreakBefore w:val="0"/>
        <w:spacing w:line="440" w:lineRule="exact"/>
        <w:widowControl w:val="off"/>
        <w:rPr>
          <w:rFonts w:hint="eastAsia" w:ascii="宋体" w:hAnsi="宋体" w:cs="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Cs/>
          <w:sz w:val="24"/>
          <w:szCs w:val="24"/>
          <w:highlight w:val="none"/>
        </w:rPr>
        <w:t xml:space="preserve">7、</w:t>
      </w:r>
      <w:r>
        <w:rPr>
          <w:rFonts w:ascii="宋体" w:hAnsi="宋体" w:cs="宋体"/>
          <w:bCs/>
          <w:sz w:val="24"/>
          <w:szCs w:val="24"/>
          <w:highlight w:val="none"/>
        </w:rPr>
        <w:t xml:space="preserve">《建筑节能与可再生能源利用通用规范》</w:t>
      </w:r>
      <w:r>
        <w:rPr>
          <w:rFonts w:hint="eastAsia" w:ascii="宋体" w:hAnsi="宋体" w:cs="宋体"/>
          <w:bCs/>
          <w:sz w:val="24"/>
          <w:szCs w:val="24"/>
          <w:highlight w:val="none"/>
        </w:rPr>
        <w:t xml:space="preserve">（</w:t>
      </w:r>
      <w:r>
        <w:rPr>
          <w:rFonts w:ascii="宋体" w:hAnsi="宋体" w:cs="宋体"/>
          <w:bCs/>
          <w:sz w:val="24"/>
          <w:szCs w:val="24"/>
          <w:highlight w:val="none"/>
        </w:rPr>
        <w:t xml:space="preserve">GB 55015-2021</w:t>
      </w:r>
      <w:r>
        <w:rPr>
          <w:rFonts w:hint="eastAsia" w:ascii="宋体" w:hAnsi="宋体" w:cs="宋体"/>
          <w:bCs/>
          <w:sz w:val="24"/>
          <w:szCs w:val="24"/>
          <w:highlight w:val="none"/>
        </w:rPr>
        <w:t xml:space="preserve">）</w:t>
      </w:r>
      <w:r/>
    </w:p>
    <w:p>
      <w:pPr>
        <w:ind w:firstLine="480"/>
        <w:jc w:val="left"/>
        <w:keepLines w:val="0"/>
        <w:keepNext w:val="0"/>
        <w:pageBreakBefore w:val="0"/>
        <w:spacing w:line="440" w:lineRule="exact"/>
        <w:widowControl w:val="off"/>
        <w:rPr>
          <w:rFonts w:hint="eastAsia" w:ascii="宋体" w:hAnsi="宋体" w:cs="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Cs/>
          <w:sz w:val="24"/>
          <w:szCs w:val="24"/>
          <w:highlight w:val="none"/>
        </w:rPr>
        <w:t xml:space="preserve">8、国家、江苏省及南京市现行暖通、机电安装施工相关规范、标准及地方规定；</w:t>
      </w:r>
      <w:r/>
    </w:p>
    <w:p>
      <w:pPr>
        <w:ind w:firstLine="480"/>
        <w:jc w:val="left"/>
        <w:keepLines w:val="0"/>
        <w:keepNext w:val="0"/>
        <w:pageBreakBefore w:val="0"/>
        <w:spacing w:line="440" w:lineRule="exact"/>
        <w:widowControl w:val="off"/>
        <w:rPr>
          <w:rFonts w:hint="eastAsia" w:ascii="宋体" w:hAnsi="宋体" w:cs="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Cs/>
          <w:sz w:val="24"/>
          <w:szCs w:val="24"/>
          <w:highlight w:val="none"/>
        </w:rPr>
        <w:t xml:space="preserve">9、本项目现场踏勘资料、招标图纸及招标人相关技术要求。</w:t>
      </w:r>
      <w:r/>
    </w:p>
    <w:p>
      <w:pPr>
        <w:ind w:firstLine="482"/>
        <w:jc w:val="left"/>
        <w:keepLines w:val="0"/>
        <w:keepNext w:val="0"/>
        <w:pageBreakBefore w:val="0"/>
        <w:spacing w:line="440" w:lineRule="exact"/>
        <w:widowControl w:val="off"/>
        <w:rPr>
          <w:rFonts w:hint="eastAsia" w:ascii="宋体" w:hAnsi="宋体" w:cs="宋体"/>
          <w:b/>
          <w:bCs/>
          <w:sz w:val="24"/>
          <w:szCs w:val="24"/>
          <w:highlight w:val="none"/>
        </w:rPr>
        <w:pBdr>
          <w:top w:val="none" w:color="auto" w:sz="0" w:space="1"/>
          <w:left w:val="none" w:color="auto" w:sz="0" w:space="4"/>
          <w:bottom w:val="none" w:color="auto" w:sz="0" w:space="1"/>
          <w:right w:val="none" w:color="auto" w:sz="0" w:space="4"/>
        </w:pBdr>
        <w:outlineLvl w:val="0"/>
      </w:pPr>
      <w:r>
        <w:rPr>
          <w:rFonts w:hint="eastAsia" w:ascii="宋体" w:hAnsi="宋体" w:cs="宋体"/>
          <w:b/>
          <w:bCs/>
          <w:sz w:val="24"/>
          <w:szCs w:val="24"/>
          <w:highlight w:val="none"/>
        </w:rPr>
        <w:t xml:space="preserve">三、安装要求</w:t>
      </w:r>
      <w:r/>
    </w:p>
    <w:p>
      <w:pPr>
        <w:ind w:firstLine="480"/>
        <w:keepLines w:val="0"/>
        <w:keepNext w:val="0"/>
        <w:pageBreakBefore w:val="0"/>
        <w:spacing w:line="440" w:lineRule="exact"/>
        <w:widowControl w:val="off"/>
        <w:rPr>
          <w:rFonts w:hint="eastAsia" w:ascii="宋体" w:hAnsi="宋体" w:cs="Times New Roman"/>
          <w:bCs/>
          <w:sz w:val="24"/>
          <w:szCs w:val="24"/>
          <w:highlight w:val="none"/>
        </w:rPr>
      </w:pPr>
      <w:r>
        <w:rPr>
          <w:rFonts w:hint="eastAsia" w:ascii="宋体" w:hAnsi="宋体" w:cs="宋体"/>
          <w:sz w:val="24"/>
          <w:szCs w:val="24"/>
          <w:highlight w:val="none"/>
        </w:rPr>
        <w:t xml:space="preserve">1、</w:t>
      </w:r>
      <w:r>
        <w:rPr>
          <w:rFonts w:ascii="宋体" w:hAnsi="宋体" w:cs="Times New Roman"/>
          <w:bCs/>
          <w:sz w:val="24"/>
          <w:szCs w:val="24"/>
          <w:highlight w:val="none"/>
        </w:rPr>
        <w:t xml:space="preserve">本项目空调类型是多联机空调系统。所有产品均为全新的、未经使用的、技术先进的优质产品，并且符合相应的技术标准。</w:t>
      </w:r>
      <w:r/>
    </w:p>
    <w:p>
      <w:pPr>
        <w:ind w:firstLine="480"/>
        <w:keepLines w:val="0"/>
        <w:keepNext w:val="0"/>
        <w:pageBreakBefore w:val="0"/>
        <w:spacing w:line="440" w:lineRule="exact"/>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2、</w:t>
      </w:r>
      <w:r>
        <w:rPr>
          <w:rFonts w:ascii="宋体" w:hAnsi="宋体" w:cs="Times New Roman"/>
          <w:bCs/>
          <w:sz w:val="24"/>
          <w:szCs w:val="24"/>
          <w:highlight w:val="none"/>
        </w:rPr>
        <w:t xml:space="preserve">各投标人可</w:t>
      </w:r>
      <w:r>
        <w:rPr>
          <w:rFonts w:hint="eastAsia" w:ascii="宋体" w:hAnsi="宋体" w:cs="Times New Roman"/>
          <w:bCs/>
          <w:sz w:val="24"/>
          <w:szCs w:val="24"/>
          <w:highlight w:val="none"/>
        </w:rPr>
        <w:t xml:space="preserve">自行选择</w:t>
      </w:r>
      <w:r>
        <w:rPr>
          <w:rFonts w:ascii="宋体" w:hAnsi="宋体" w:cs="Times New Roman"/>
          <w:bCs/>
          <w:sz w:val="24"/>
          <w:szCs w:val="24"/>
          <w:highlight w:val="none"/>
        </w:rPr>
        <w:t xml:space="preserve">品牌投标，但室内外机的形式</w:t>
      </w:r>
      <w:r>
        <w:rPr>
          <w:rFonts w:hint="eastAsia" w:ascii="宋体" w:hAnsi="宋体" w:cs="Times New Roman"/>
          <w:bCs/>
          <w:sz w:val="24"/>
          <w:szCs w:val="24"/>
          <w:highlight w:val="none"/>
        </w:rPr>
        <w:t xml:space="preserve">、</w:t>
      </w:r>
      <w:r>
        <w:rPr>
          <w:rFonts w:ascii="宋体" w:hAnsi="宋体" w:cs="Times New Roman"/>
          <w:bCs/>
          <w:sz w:val="24"/>
          <w:szCs w:val="24"/>
          <w:highlight w:val="none"/>
        </w:rPr>
        <w:t xml:space="preserve">数量</w:t>
      </w:r>
      <w:r>
        <w:rPr>
          <w:rFonts w:hint="eastAsia" w:ascii="宋体" w:hAnsi="宋体" w:cs="Times New Roman"/>
          <w:bCs/>
          <w:sz w:val="24"/>
          <w:szCs w:val="24"/>
          <w:highlight w:val="none"/>
        </w:rPr>
        <w:t xml:space="preserve">必须</w:t>
      </w:r>
      <w:r>
        <w:rPr>
          <w:rFonts w:ascii="宋体" w:hAnsi="宋体" w:cs="Times New Roman"/>
          <w:bCs/>
          <w:sz w:val="24"/>
          <w:szCs w:val="24"/>
          <w:highlight w:val="none"/>
        </w:rPr>
        <w:t xml:space="preserve">严格按招标文件要求，不得</w:t>
      </w:r>
      <w:r>
        <w:rPr>
          <w:rFonts w:hint="eastAsia" w:ascii="宋体" w:hAnsi="宋体" w:cs="Times New Roman"/>
          <w:bCs/>
          <w:sz w:val="24"/>
          <w:szCs w:val="24"/>
          <w:highlight w:val="none"/>
        </w:rPr>
        <w:t xml:space="preserve">变更。</w:t>
      </w:r>
      <w:r/>
    </w:p>
    <w:p>
      <w:pPr>
        <w:ind w:firstLine="480"/>
        <w:keepLines w:val="0"/>
        <w:keepNext w:val="0"/>
        <w:pageBreakBefore w:val="0"/>
        <w:spacing w:line="440" w:lineRule="exact"/>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3、</w:t>
      </w:r>
      <w:r>
        <w:rPr>
          <w:rFonts w:ascii="宋体" w:hAnsi="宋体" w:cs="Times New Roman"/>
          <w:bCs/>
          <w:sz w:val="24"/>
          <w:szCs w:val="24"/>
          <w:highlight w:val="none"/>
        </w:rPr>
        <w:t xml:space="preserve">空调系统冷媒管路压力应符合国家相关标准，管路的连接应采用可靠先进工艺。</w:t>
      </w:r>
      <w:r/>
    </w:p>
    <w:p>
      <w:pPr>
        <w:ind w:firstLine="480"/>
        <w:keepLines w:val="0"/>
        <w:keepNext w:val="0"/>
        <w:pageBreakBefore w:val="0"/>
        <w:spacing w:line="440" w:lineRule="exact"/>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4、</w:t>
      </w:r>
      <w:r>
        <w:rPr>
          <w:rFonts w:ascii="宋体" w:hAnsi="宋体" w:cs="Times New Roman"/>
          <w:bCs/>
          <w:sz w:val="24"/>
          <w:szCs w:val="24"/>
          <w:highlight w:val="none"/>
        </w:rPr>
        <w:t xml:space="preserve">室外机电源：380V/50H</w:t>
      </w:r>
      <w:r>
        <w:rPr>
          <w:rFonts w:hint="eastAsia" w:ascii="宋体" w:hAnsi="宋体" w:cs="Times New Roman"/>
          <w:bCs/>
          <w:sz w:val="24"/>
          <w:szCs w:val="24"/>
          <w:highlight w:val="none"/>
        </w:rPr>
        <w:t xml:space="preserve">z</w:t>
      </w:r>
      <w:r>
        <w:rPr>
          <w:rFonts w:ascii="宋体" w:hAnsi="宋体" w:cs="Times New Roman"/>
          <w:bCs/>
          <w:sz w:val="24"/>
          <w:szCs w:val="24"/>
          <w:highlight w:val="none"/>
        </w:rPr>
        <w:t xml:space="preserve">/三相，220V、50H</w:t>
      </w:r>
      <w:r>
        <w:rPr>
          <w:rFonts w:hint="eastAsia" w:ascii="宋体" w:hAnsi="宋体" w:cs="Times New Roman"/>
          <w:bCs/>
          <w:sz w:val="24"/>
          <w:szCs w:val="24"/>
          <w:highlight w:val="none"/>
        </w:rPr>
        <w:t xml:space="preserve">z</w:t>
      </w:r>
      <w:r>
        <w:rPr>
          <w:rFonts w:ascii="宋体" w:hAnsi="宋体" w:cs="Times New Roman"/>
          <w:bCs/>
          <w:sz w:val="24"/>
          <w:szCs w:val="24"/>
          <w:highlight w:val="none"/>
        </w:rPr>
        <w:t xml:space="preserve">/单相，电压允许波动范围±10%。室内机电源：220V，50H</w:t>
      </w:r>
      <w:r>
        <w:rPr>
          <w:rFonts w:hint="eastAsia" w:ascii="宋体" w:hAnsi="宋体" w:cs="Times New Roman"/>
          <w:bCs/>
          <w:sz w:val="24"/>
          <w:szCs w:val="24"/>
          <w:highlight w:val="none"/>
        </w:rPr>
        <w:t xml:space="preserve">z</w:t>
      </w:r>
      <w:r>
        <w:rPr>
          <w:rFonts w:ascii="宋体" w:hAnsi="宋体" w:cs="Times New Roman"/>
          <w:bCs/>
          <w:sz w:val="24"/>
          <w:szCs w:val="24"/>
          <w:highlight w:val="none"/>
        </w:rPr>
        <w:t xml:space="preserve">/单相，电压波动允许范围±10%。</w:t>
      </w:r>
      <w:r/>
    </w:p>
    <w:p>
      <w:pPr>
        <w:ind w:firstLine="420"/>
        <w:keepLines w:val="0"/>
        <w:keepNext w:val="0"/>
        <w:pageBreakBefore w:val="0"/>
        <w:spacing w:line="440" w:lineRule="exact"/>
        <w:widowControl w:val="off"/>
        <w:rPr>
          <w:rFonts w:hint="eastAsia" w:ascii="宋体" w:hAnsi="宋体" w:cs="Times New Roman"/>
          <w:bCs/>
          <w:sz w:val="24"/>
          <w:szCs w:val="24"/>
          <w:highlight w:val="none"/>
        </w:rPr>
      </w:pPr>
      <w:r>
        <w:rPr>
          <w:rFonts w:hint="eastAsia"/>
          <w:highlight w:val="none"/>
          <w:lang w:val="en-US" w:eastAsia="zh-CN"/>
        </w:rPr>
        <w:t xml:space="preserve">★</w:t>
      </w:r>
      <w:r>
        <w:rPr>
          <w:rFonts w:hint="eastAsia" w:ascii="宋体" w:hAnsi="宋体" w:cs="Times New Roman"/>
          <w:bCs/>
          <w:sz w:val="24"/>
          <w:szCs w:val="24"/>
          <w:highlight w:val="none"/>
        </w:rPr>
        <w:t xml:space="preserve">5、</w:t>
      </w:r>
      <w:r>
        <w:rPr>
          <w:rFonts w:ascii="宋体" w:hAnsi="宋体" w:cs="Times New Roman"/>
          <w:bCs/>
          <w:sz w:val="24"/>
          <w:szCs w:val="24"/>
          <w:highlight w:val="none"/>
        </w:rPr>
        <w:t xml:space="preserve">投标人投标时需要注明所投多联机产品具体的规格型号，同时</w:t>
      </w:r>
      <w:r>
        <w:rPr>
          <w:rFonts w:hint="eastAsia" w:ascii="宋体" w:hAnsi="宋体" w:cs="Times New Roman"/>
          <w:bCs/>
          <w:sz w:val="24"/>
          <w:szCs w:val="24"/>
          <w:highlight w:val="none"/>
          <w:lang w:val="en-US" w:eastAsia="zh-CN"/>
        </w:rPr>
        <w:t xml:space="preserve">承诺中标后提供所投</w:t>
      </w:r>
      <w:r>
        <w:rPr>
          <w:rFonts w:ascii="宋体" w:hAnsi="宋体" w:cs="Times New Roman"/>
          <w:bCs/>
          <w:sz w:val="24"/>
          <w:szCs w:val="24"/>
          <w:highlight w:val="none"/>
        </w:rPr>
        <w:t xml:space="preserve">多联机空调制造商公章的多联机产品</w:t>
      </w:r>
      <w:r>
        <w:rPr>
          <w:rFonts w:hint="eastAsia" w:ascii="宋体" w:hAnsi="宋体" w:cs="Times New Roman"/>
          <w:bCs/>
          <w:sz w:val="24"/>
          <w:szCs w:val="24"/>
          <w:highlight w:val="none"/>
        </w:rPr>
        <w:t xml:space="preserve">技术规格说明书</w:t>
      </w:r>
      <w:r>
        <w:rPr>
          <w:rFonts w:hint="eastAsia" w:ascii="宋体" w:hAnsi="宋体" w:cs="Times New Roman"/>
          <w:b/>
          <w:bCs w:val="0"/>
          <w:sz w:val="24"/>
          <w:szCs w:val="24"/>
          <w:highlight w:val="none"/>
          <w:lang w:eastAsia="zh-CN"/>
        </w:rPr>
        <w:t xml:space="preserve">（</w:t>
      </w:r>
      <w:r>
        <w:rPr>
          <w:rFonts w:hint="eastAsia" w:ascii="宋体" w:hAnsi="宋体" w:cs="Times New Roman"/>
          <w:b/>
          <w:bCs w:val="0"/>
          <w:sz w:val="24"/>
          <w:szCs w:val="24"/>
          <w:highlight w:val="none"/>
          <w:lang w:val="en-US" w:eastAsia="zh-CN"/>
        </w:rPr>
        <w:t xml:space="preserve">投标时提供加盖投标人公章的承诺函）</w:t>
      </w:r>
      <w:r>
        <w:rPr>
          <w:rFonts w:ascii="宋体" w:hAnsi="宋体" w:cs="Times New Roman"/>
          <w:b/>
          <w:bCs w:val="0"/>
          <w:sz w:val="24"/>
          <w:szCs w:val="24"/>
          <w:highlight w:val="none"/>
        </w:rPr>
        <w:t xml:space="preserve">。</w:t>
      </w:r>
      <w:r/>
    </w:p>
    <w:p>
      <w:pPr>
        <w:ind w:firstLine="420"/>
        <w:keepLines w:val="0"/>
        <w:keepNext w:val="0"/>
        <w:pageBreakBefore w:val="0"/>
        <w:spacing w:line="440" w:lineRule="exact"/>
        <w:widowControl w:val="off"/>
        <w:rPr>
          <w:rFonts w:hint="eastAsia" w:ascii="宋体" w:hAnsi="宋体" w:cs="Times New Roman"/>
          <w:bCs/>
          <w:sz w:val="24"/>
          <w:szCs w:val="24"/>
          <w:highlight w:val="none"/>
        </w:rPr>
      </w:pPr>
      <w:r>
        <w:rPr>
          <w:rFonts w:hint="eastAsia"/>
          <w:highlight w:val="none"/>
          <w:lang w:val="en-US" w:eastAsia="zh-CN"/>
        </w:rPr>
        <w:t xml:space="preserve">★</w:t>
      </w:r>
      <w:r>
        <w:rPr>
          <w:rFonts w:hint="eastAsia" w:ascii="宋体" w:hAnsi="宋体" w:cs="Times New Roman"/>
          <w:sz w:val="24"/>
          <w:szCs w:val="24"/>
          <w:highlight w:val="none"/>
        </w:rPr>
        <w:t xml:space="preserve">6、室内机配置</w:t>
      </w:r>
      <w:r>
        <w:rPr>
          <w:rFonts w:ascii="宋体" w:hAnsi="宋体" w:cs="Times New Roman"/>
          <w:sz w:val="24"/>
          <w:szCs w:val="24"/>
          <w:highlight w:val="none"/>
        </w:rPr>
        <w:t xml:space="preserve">冷凝</w:t>
      </w:r>
      <w:r>
        <w:rPr>
          <w:rFonts w:ascii="宋体" w:hAnsi="宋体" w:cs="Times New Roman"/>
          <w:bCs/>
          <w:sz w:val="24"/>
          <w:szCs w:val="24"/>
          <w:highlight w:val="none"/>
        </w:rPr>
        <w:t xml:space="preserve">水排水泵。</w:t>
      </w:r>
      <w:r/>
    </w:p>
    <w:p>
      <w:pPr>
        <w:numPr>
          <w:ilvl w:val="0"/>
          <w:numId w:val="3"/>
        </w:numPr>
        <w:ind w:firstLine="480"/>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cs="Times New Roman"/>
          <w:sz w:val="24"/>
          <w:szCs w:val="24"/>
          <w:highlight w:val="none"/>
        </w:rPr>
        <w:t xml:space="preserve">冷媒铜管选用紫铜管。紫铜管选用青岛宏泰、河南金龙和上海飞轮或同档次优质品牌；橡塑保温及辅助材料必须采用</w:t>
      </w:r>
      <w:r>
        <w:rPr>
          <w:rFonts w:hint="eastAsia" w:ascii="宋体" w:hAnsi="宋体" w:cs="Times New Roman"/>
          <w:sz w:val="24"/>
          <w:szCs w:val="24"/>
          <w:highlight w:val="none"/>
          <w:lang w:eastAsia="zh-CN"/>
        </w:rPr>
        <w:t xml:space="preserve">阻</w:t>
      </w:r>
      <w:r>
        <w:rPr>
          <w:rFonts w:hint="eastAsia" w:ascii="宋体" w:hAnsi="宋体" w:cs="Times New Roman"/>
          <w:sz w:val="24"/>
          <w:szCs w:val="24"/>
          <w:highlight w:val="none"/>
        </w:rPr>
        <w:t xml:space="preserve">燃或难燃型产品，品牌为杜肯福耐斯、阿乐斯福乐斯、凯门富乐斯、华美或同档次优质品牌；冷凝水管选用金德、伟星、公元、联塑、金牛、中财或同档次优质品牌。</w:t>
      </w:r>
      <w:r/>
    </w:p>
    <w:p>
      <w:pPr>
        <w:numPr>
          <w:ilvl w:val="0"/>
          <w:numId w:val="0"/>
        </w:numPr>
        <w:ind w:firstLine="480"/>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cs="Times New Roman"/>
          <w:sz w:val="24"/>
          <w:szCs w:val="24"/>
          <w:highlight w:val="none"/>
          <w:lang w:val="en-US" w:eastAsia="zh-CN"/>
        </w:rPr>
        <w:t xml:space="preserve">8、</w:t>
      </w:r>
      <w:r>
        <w:rPr>
          <w:rFonts w:hint="eastAsia" w:ascii="宋体" w:hAnsi="宋体" w:cs="宋体"/>
          <w:b/>
          <w:bCs/>
          <w:sz w:val="24"/>
          <w:szCs w:val="24"/>
          <w:highlight w:val="none"/>
          <w:lang w:val="en-US" w:eastAsia="zh-CN"/>
        </w:rPr>
        <w:t xml:space="preserve">本项目交付期间，中标人须设置驻场人员1名，负责对接采购人的实时需求。（该驻场人员的人工成本、差旅费、伙食费等费用自理。）</w:t>
      </w:r>
      <w:r/>
    </w:p>
    <w:p>
      <w:pPr>
        <w:ind w:firstLine="482"/>
        <w:jc w:val="left"/>
        <w:spacing w:line="360" w:lineRule="auto"/>
        <w:rPr>
          <w:rFonts w:hint="eastAsia" w:ascii="宋体" w:hAnsi="宋体" w:cs="宋体"/>
          <w:b/>
          <w:bCs/>
          <w:sz w:val="24"/>
          <w:szCs w:val="24"/>
          <w:highlight w:val="none"/>
        </w:rPr>
        <w:pBdr>
          <w:top w:val="none" w:color="auto" w:sz="0" w:space="1"/>
          <w:left w:val="none" w:color="auto" w:sz="0" w:space="4"/>
          <w:bottom w:val="none" w:color="auto" w:sz="0" w:space="1"/>
          <w:right w:val="none" w:color="auto" w:sz="0" w:space="4"/>
        </w:pBdr>
        <w:outlineLvl w:val="0"/>
      </w:pPr>
      <w:r>
        <w:rPr>
          <w:rFonts w:hint="eastAsia" w:ascii="宋体" w:hAnsi="宋体" w:cs="宋体"/>
          <w:b/>
          <w:bCs/>
          <w:sz w:val="24"/>
          <w:szCs w:val="24"/>
          <w:highlight w:val="none"/>
          <w:lang w:val="en-US" w:eastAsia="zh-CN"/>
        </w:rPr>
        <w:t xml:space="preserve">四</w:t>
      </w:r>
      <w:r>
        <w:rPr>
          <w:rFonts w:hint="eastAsia" w:ascii="宋体" w:hAnsi="宋体" w:cs="宋体"/>
          <w:b/>
          <w:bCs/>
          <w:sz w:val="24"/>
          <w:szCs w:val="24"/>
          <w:highlight w:val="none"/>
        </w:rPr>
        <w:t xml:space="preserve">、采购清单及规格</w:t>
      </w:r>
      <w:r/>
    </w:p>
    <w:tbl>
      <w:tblPr>
        <w:tblStyle w:val="920"/>
        <w:tblW w:w="7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2020"/>
        <w:gridCol w:w="3066"/>
        <w:gridCol w:w="670"/>
        <w:gridCol w:w="772"/>
        <w:gridCol w:w="720"/>
      </w:tblGrid>
      <w:tr>
        <w:trPr>
          <w:jc w:val="center"/>
          <w:trHeight w:val="420"/>
        </w:trPr>
        <w:tc>
          <w:tcPr>
            <w:tcW w:w="719" w:type="dxa"/>
            <w:vAlign w:val="center"/>
            <w:textDirection w:val="lrTb"/>
            <w:noWrap/>
          </w:tcPr>
          <w:p>
            <w:pPr>
              <w:jc w:val="center"/>
              <w:widowControl/>
              <w:rPr>
                <w:rFonts w:hint="eastAsia" w:ascii="宋体" w:hAnsi="宋体" w:cs="Arial"/>
                <w:b/>
                <w:bCs/>
                <w:sz w:val="24"/>
                <w:szCs w:val="24"/>
                <w:highlight w:val="none"/>
              </w:rPr>
            </w:pPr>
            <w:r>
              <w:rPr>
                <w:rFonts w:hint="eastAsia" w:ascii="宋体" w:hAnsi="宋体" w:cs="Arial"/>
                <w:b/>
                <w:bCs/>
                <w:sz w:val="24"/>
                <w:szCs w:val="24"/>
                <w:highlight w:val="none"/>
              </w:rPr>
              <w:t xml:space="preserve">序号</w:t>
            </w:r>
            <w:r/>
          </w:p>
        </w:tc>
        <w:tc>
          <w:tcPr>
            <w:tcW w:w="2020" w:type="dxa"/>
            <w:vAlign w:val="center"/>
            <w:textDirection w:val="lrTb"/>
            <w:noWrap/>
          </w:tcPr>
          <w:p>
            <w:pPr>
              <w:jc w:val="center"/>
              <w:widowControl/>
              <w:rPr>
                <w:rFonts w:hint="eastAsia" w:ascii="宋体" w:hAnsi="宋体" w:cs="Arial"/>
                <w:b/>
                <w:bCs/>
                <w:sz w:val="24"/>
                <w:szCs w:val="24"/>
                <w:highlight w:val="none"/>
              </w:rPr>
            </w:pPr>
            <w:r>
              <w:rPr>
                <w:rFonts w:hint="eastAsia" w:ascii="宋体" w:hAnsi="宋体" w:cs="Arial"/>
                <w:b/>
                <w:bCs/>
                <w:sz w:val="24"/>
                <w:szCs w:val="24"/>
                <w:highlight w:val="none"/>
              </w:rPr>
              <w:t xml:space="preserve">名称</w:t>
            </w:r>
            <w:r/>
          </w:p>
        </w:tc>
        <w:tc>
          <w:tcPr>
            <w:tcW w:w="3066" w:type="dxa"/>
            <w:vAlign w:val="center"/>
            <w:textDirection w:val="lrTb"/>
            <w:noWrap/>
          </w:tcPr>
          <w:p>
            <w:pPr>
              <w:jc w:val="center"/>
              <w:widowControl/>
              <w:rPr>
                <w:rFonts w:hint="eastAsia" w:ascii="宋体" w:hAnsi="宋体" w:eastAsia="宋体" w:cs="Arial"/>
                <w:b/>
                <w:bCs/>
                <w:sz w:val="24"/>
                <w:szCs w:val="24"/>
                <w:highlight w:val="none"/>
                <w:lang w:val="en-US" w:eastAsia="zh-CN"/>
              </w:rPr>
            </w:pPr>
            <w:r>
              <w:rPr>
                <w:rFonts w:hint="eastAsia" w:ascii="宋体" w:hAnsi="宋体" w:cs="Arial"/>
                <w:b/>
                <w:bCs/>
                <w:sz w:val="24"/>
                <w:szCs w:val="24"/>
                <w:highlight w:val="none"/>
              </w:rPr>
              <w:t xml:space="preserve">规格参数</w:t>
            </w:r>
            <w:r>
              <w:rPr>
                <w:rFonts w:hint="eastAsia" w:ascii="宋体" w:hAnsi="宋体" w:cs="Arial"/>
                <w:b/>
                <w:bCs/>
                <w:sz w:val="24"/>
                <w:szCs w:val="24"/>
                <w:highlight w:val="none"/>
                <w:lang w:val="en-US" w:eastAsia="zh-CN"/>
              </w:rPr>
              <w:t xml:space="preserve">要求</w:t>
            </w:r>
            <w:r/>
          </w:p>
        </w:tc>
        <w:tc>
          <w:tcPr>
            <w:tcW w:w="670" w:type="dxa"/>
            <w:vAlign w:val="center"/>
            <w:textDirection w:val="lrTb"/>
            <w:noWrap/>
          </w:tcPr>
          <w:p>
            <w:pPr>
              <w:jc w:val="center"/>
              <w:widowControl/>
              <w:rPr>
                <w:rFonts w:hint="eastAsia" w:ascii="宋体" w:hAnsi="宋体" w:cs="Arial"/>
                <w:b/>
                <w:bCs/>
                <w:sz w:val="24"/>
                <w:szCs w:val="24"/>
                <w:highlight w:val="none"/>
              </w:rPr>
            </w:pPr>
            <w:r>
              <w:rPr>
                <w:rFonts w:hint="eastAsia" w:ascii="宋体" w:hAnsi="宋体" w:cs="Arial"/>
                <w:b/>
                <w:bCs/>
                <w:sz w:val="24"/>
                <w:szCs w:val="24"/>
                <w:highlight w:val="none"/>
              </w:rPr>
              <w:t xml:space="preserve">单位</w:t>
            </w:r>
            <w:r/>
          </w:p>
        </w:tc>
        <w:tc>
          <w:tcPr>
            <w:tcW w:w="772" w:type="dxa"/>
            <w:vAlign w:val="center"/>
            <w:textDirection w:val="lrTb"/>
            <w:noWrap/>
          </w:tcPr>
          <w:p>
            <w:pPr>
              <w:jc w:val="center"/>
              <w:widowControl/>
              <w:rPr>
                <w:rFonts w:hint="eastAsia" w:ascii="宋体" w:hAnsi="宋体" w:cs="Arial"/>
                <w:b/>
                <w:bCs/>
                <w:sz w:val="24"/>
                <w:szCs w:val="24"/>
                <w:highlight w:val="none"/>
              </w:rPr>
            </w:pPr>
            <w:r>
              <w:rPr>
                <w:rFonts w:hint="eastAsia" w:ascii="宋体" w:hAnsi="宋体" w:cs="Arial"/>
                <w:b/>
                <w:bCs/>
                <w:sz w:val="24"/>
                <w:szCs w:val="24"/>
                <w:highlight w:val="none"/>
              </w:rPr>
              <w:t xml:space="preserve">数量</w:t>
            </w:r>
            <w:r/>
          </w:p>
        </w:tc>
        <w:tc>
          <w:tcPr>
            <w:tcW w:w="720" w:type="dxa"/>
            <w:vAlign w:val="center"/>
            <w:textDirection w:val="lrTb"/>
            <w:noWrap/>
          </w:tcPr>
          <w:p>
            <w:pPr>
              <w:jc w:val="center"/>
              <w:widowControl/>
              <w:rPr>
                <w:rFonts w:hint="eastAsia" w:ascii="宋体" w:hAnsi="宋体" w:cs="Arial"/>
                <w:b/>
                <w:bCs/>
                <w:sz w:val="24"/>
                <w:szCs w:val="24"/>
                <w:highlight w:val="none"/>
              </w:rPr>
            </w:pPr>
            <w:r>
              <w:rPr>
                <w:rFonts w:hint="eastAsia" w:ascii="宋体" w:hAnsi="宋体" w:cs="Arial"/>
                <w:b/>
                <w:bCs/>
                <w:sz w:val="24"/>
                <w:szCs w:val="24"/>
                <w:highlight w:val="none"/>
              </w:rPr>
              <w:t xml:space="preserve">备注</w:t>
            </w:r>
            <w:r/>
          </w:p>
        </w:tc>
      </w:tr>
      <w:tr>
        <w:trPr>
          <w:jc w:val="center"/>
          <w:trHeight w:val="420"/>
        </w:trPr>
        <w:tc>
          <w:tcPr>
            <w:gridSpan w:val="6"/>
            <w:tcW w:w="7967" w:type="dxa"/>
            <w:vAlign w:val="center"/>
            <w:textDirection w:val="lrTb"/>
            <w:noWrap/>
          </w:tcPr>
          <w:p>
            <w:pPr>
              <w:jc w:val="left"/>
              <w:widowControl/>
              <w:rPr>
                <w:rFonts w:hint="eastAsia" w:ascii="宋体" w:hAnsi="宋体" w:eastAsia="宋体" w:cs="Arial"/>
                <w:b/>
                <w:bCs/>
                <w:sz w:val="24"/>
                <w:szCs w:val="24"/>
                <w:highlight w:val="none"/>
                <w:lang w:val="en-US" w:eastAsia="zh-CN"/>
              </w:rPr>
            </w:pPr>
            <w:r>
              <w:rPr>
                <w:rFonts w:hint="eastAsia" w:ascii="宋体" w:hAnsi="宋体" w:cs="Arial"/>
                <w:b/>
                <w:bCs/>
                <w:sz w:val="24"/>
                <w:szCs w:val="24"/>
                <w:highlight w:val="none"/>
                <w:lang w:val="en-US" w:eastAsia="zh-CN"/>
              </w:rPr>
              <w:t xml:space="preserve">一、空调设备</w:t>
            </w:r>
            <w:r/>
          </w:p>
        </w:tc>
      </w:tr>
      <w:tr>
        <w:trPr>
          <w:jc w:val="center"/>
          <w:trHeight w:val="619"/>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w:t>
            </w:r>
            <w:r/>
          </w:p>
        </w:tc>
        <w:tc>
          <w:tcPr>
            <w:tcW w:w="2020" w:type="dxa"/>
            <w:vAlign w:val="center"/>
            <w:vMerge w:val="restart"/>
            <w:textDirection w:val="lrTb"/>
            <w:noWrap/>
          </w:tcPr>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室外机组（顶出风）</w:t>
            </w:r>
            <w:r/>
          </w:p>
        </w:tc>
        <w:tc>
          <w:tcPr>
            <w:tcW w:w="3066" w:type="dxa"/>
            <w:vAlign w:val="center"/>
            <w:textDirection w:val="lrTb"/>
            <w:noWrap w:val="false"/>
          </w:tcPr>
          <w:p>
            <w:pPr>
              <w:jc w:val="center"/>
              <w:widowControl/>
              <w:rPr>
                <w:rFonts w:hint="eastAsia" w:ascii="宋体" w:hAnsi="宋体" w:cs="Arial"/>
                <w:sz w:val="24"/>
                <w:szCs w:val="24"/>
                <w:highlight w:val="none"/>
              </w:rPr>
            </w:pPr>
            <w:r>
              <w:rPr>
                <w:rFonts w:ascii="宋体" w:hAnsi="宋体" w:cs="Arial"/>
                <w:sz w:val="24"/>
                <w:szCs w:val="24"/>
                <w:highlight w:val="none"/>
              </w:rPr>
              <w:t xml:space="preserve">QL≥40kW，QR≥45kW</w:t>
            </w:r>
            <w:r/>
          </w:p>
        </w:tc>
        <w:tc>
          <w:tcPr>
            <w:tcW w:w="670"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台</w:t>
            </w:r>
            <w:r/>
          </w:p>
        </w:tc>
        <w:tc>
          <w:tcPr>
            <w:tcW w:w="772" w:type="dxa"/>
            <w:vAlign w:val="center"/>
            <w:textDirection w:val="lrTb"/>
            <w:noWrap w:val="false"/>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619"/>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2</w:t>
            </w:r>
            <w:r/>
          </w:p>
        </w:tc>
        <w:tc>
          <w:tcPr>
            <w:tcW w:w="2020" w:type="dxa"/>
            <w:vAlign w:val="center"/>
            <w:vMerge w:val="continue"/>
            <w:textDirection w:val="lrTb"/>
            <w:noWrap/>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val="false"/>
          </w:tcPr>
          <w:p>
            <w:pPr>
              <w:jc w:val="center"/>
              <w:widowControl/>
              <w:rPr>
                <w:rFonts w:hint="eastAsia" w:ascii="宋体" w:hAnsi="宋体" w:cs="Arial"/>
                <w:sz w:val="24"/>
                <w:szCs w:val="24"/>
                <w:highlight w:val="none"/>
              </w:rPr>
            </w:pPr>
            <w:r>
              <w:rPr>
                <w:rFonts w:ascii="宋体" w:hAnsi="宋体" w:cs="Arial"/>
                <w:sz w:val="24"/>
                <w:szCs w:val="24"/>
                <w:highlight w:val="none"/>
              </w:rPr>
              <w:t xml:space="preserve">QL≥45kW，QR≥50kW</w:t>
            </w:r>
            <w:r/>
          </w:p>
        </w:tc>
        <w:tc>
          <w:tcPr>
            <w:tcW w:w="670"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台</w:t>
            </w:r>
            <w:r/>
          </w:p>
        </w:tc>
        <w:tc>
          <w:tcPr>
            <w:tcW w:w="772" w:type="dxa"/>
            <w:vAlign w:val="center"/>
            <w:textDirection w:val="lrTb"/>
            <w:noWrap w:val="false"/>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619"/>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3</w:t>
            </w:r>
            <w:r/>
          </w:p>
        </w:tc>
        <w:tc>
          <w:tcPr>
            <w:tcW w:w="2020" w:type="dxa"/>
            <w:vAlign w:val="center"/>
            <w:vMerge w:val="continue"/>
            <w:textDirection w:val="lrTb"/>
            <w:noWrap/>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val="false"/>
          </w:tcPr>
          <w:p>
            <w:pPr>
              <w:jc w:val="center"/>
              <w:widowControl/>
              <w:rPr>
                <w:rFonts w:hint="eastAsia" w:ascii="宋体" w:hAnsi="宋体" w:cs="Arial"/>
                <w:sz w:val="24"/>
                <w:szCs w:val="24"/>
                <w:highlight w:val="none"/>
              </w:rPr>
            </w:pPr>
            <w:r>
              <w:rPr>
                <w:rFonts w:ascii="宋体" w:hAnsi="宋体" w:cs="Arial"/>
                <w:sz w:val="24"/>
                <w:szCs w:val="24"/>
                <w:highlight w:val="none"/>
              </w:rPr>
              <w:t xml:space="preserve">QL≥50.4kW，QR≥56.5kW</w:t>
            </w:r>
            <w:r/>
          </w:p>
        </w:tc>
        <w:tc>
          <w:tcPr>
            <w:tcW w:w="670"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台</w:t>
            </w:r>
            <w:r/>
          </w:p>
        </w:tc>
        <w:tc>
          <w:tcPr>
            <w:tcW w:w="772" w:type="dxa"/>
            <w:vAlign w:val="center"/>
            <w:textDirection w:val="lrTb"/>
            <w:noWrap w:val="false"/>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619"/>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4</w:t>
            </w:r>
            <w:r/>
          </w:p>
        </w:tc>
        <w:tc>
          <w:tcPr>
            <w:tcW w:w="2020" w:type="dxa"/>
            <w:vAlign w:val="center"/>
            <w:vMerge w:val="continue"/>
            <w:textDirection w:val="lrTb"/>
            <w:noWrap/>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val="false"/>
          </w:tcPr>
          <w:p>
            <w:pPr>
              <w:jc w:val="center"/>
              <w:widowControl/>
              <w:rPr>
                <w:rFonts w:hint="eastAsia" w:ascii="宋体" w:hAnsi="宋体" w:cs="Arial"/>
                <w:sz w:val="24"/>
                <w:szCs w:val="24"/>
                <w:highlight w:val="none"/>
              </w:rPr>
            </w:pPr>
            <w:r>
              <w:rPr>
                <w:rFonts w:ascii="宋体" w:hAnsi="宋体" w:cs="Arial"/>
                <w:sz w:val="24"/>
                <w:szCs w:val="24"/>
                <w:highlight w:val="none"/>
              </w:rPr>
              <w:t xml:space="preserve">QL≥73.5kW，QR≥82.5kW</w:t>
            </w:r>
            <w:r/>
          </w:p>
        </w:tc>
        <w:tc>
          <w:tcPr>
            <w:tcW w:w="670"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台</w:t>
            </w:r>
            <w:r/>
          </w:p>
        </w:tc>
        <w:tc>
          <w:tcPr>
            <w:tcW w:w="772"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2</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619"/>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5</w:t>
            </w:r>
            <w:r/>
          </w:p>
        </w:tc>
        <w:tc>
          <w:tcPr>
            <w:tcW w:w="2020" w:type="dxa"/>
            <w:vAlign w:val="center"/>
            <w:vMerge w:val="continue"/>
            <w:textDirection w:val="lrTb"/>
            <w:noWrap/>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val="false"/>
          </w:tcPr>
          <w:p>
            <w:pPr>
              <w:jc w:val="center"/>
              <w:widowControl/>
              <w:rPr>
                <w:rFonts w:hint="eastAsia" w:ascii="宋体" w:hAnsi="宋体" w:cs="Arial"/>
                <w:sz w:val="24"/>
                <w:szCs w:val="24"/>
                <w:highlight w:val="none"/>
              </w:rPr>
            </w:pPr>
            <w:r>
              <w:rPr>
                <w:rFonts w:ascii="宋体" w:hAnsi="宋体" w:cs="Arial"/>
                <w:sz w:val="24"/>
                <w:szCs w:val="24"/>
                <w:highlight w:val="none"/>
              </w:rPr>
              <w:t xml:space="preserve">QL≥78.5kW，QR≥87.5kW</w:t>
            </w:r>
            <w:r/>
          </w:p>
        </w:tc>
        <w:tc>
          <w:tcPr>
            <w:tcW w:w="670"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台</w:t>
            </w:r>
            <w:r/>
          </w:p>
        </w:tc>
        <w:tc>
          <w:tcPr>
            <w:tcW w:w="772"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3</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619"/>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6</w:t>
            </w:r>
            <w:r/>
          </w:p>
        </w:tc>
        <w:tc>
          <w:tcPr>
            <w:tcW w:w="2020" w:type="dxa"/>
            <w:vAlign w:val="center"/>
            <w:vMerge w:val="continue"/>
            <w:textDirection w:val="lrTb"/>
            <w:noWrap/>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val="false"/>
          </w:tcPr>
          <w:p>
            <w:pPr>
              <w:jc w:val="center"/>
              <w:widowControl/>
              <w:rPr>
                <w:rFonts w:hint="eastAsia" w:ascii="宋体" w:hAnsi="宋体" w:cs="Arial"/>
                <w:sz w:val="24"/>
                <w:szCs w:val="24"/>
                <w:highlight w:val="none"/>
              </w:rPr>
            </w:pPr>
            <w:r>
              <w:rPr>
                <w:rFonts w:ascii="宋体" w:hAnsi="宋体" w:cs="Arial"/>
                <w:sz w:val="24"/>
                <w:szCs w:val="24"/>
                <w:highlight w:val="none"/>
              </w:rPr>
              <w:t xml:space="preserve">QL≥90kW，QR≥100kW</w:t>
            </w:r>
            <w:r/>
          </w:p>
        </w:tc>
        <w:tc>
          <w:tcPr>
            <w:tcW w:w="670"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台</w:t>
            </w:r>
            <w:r/>
          </w:p>
        </w:tc>
        <w:tc>
          <w:tcPr>
            <w:tcW w:w="772"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822"/>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7</w:t>
            </w:r>
            <w:r/>
          </w:p>
        </w:tc>
        <w:tc>
          <w:tcPr>
            <w:tcW w:w="2020" w:type="dxa"/>
            <w:vAlign w:val="center"/>
            <w:vMerge w:val="continue"/>
            <w:textDirection w:val="lrTb"/>
            <w:noWrap/>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val="false"/>
          </w:tcPr>
          <w:p>
            <w:pPr>
              <w:jc w:val="center"/>
              <w:widowControl/>
              <w:rPr>
                <w:rFonts w:hint="eastAsia" w:ascii="宋体" w:hAnsi="宋体" w:cs="Arial"/>
                <w:sz w:val="24"/>
                <w:szCs w:val="24"/>
                <w:highlight w:val="none"/>
              </w:rPr>
            </w:pPr>
            <w:r>
              <w:rPr>
                <w:rFonts w:ascii="宋体" w:hAnsi="宋体" w:cs="Arial"/>
                <w:sz w:val="24"/>
                <w:szCs w:val="24"/>
                <w:highlight w:val="none"/>
              </w:rPr>
              <w:t xml:space="preserve">QL≥112kW，QR≥123.5kW</w:t>
            </w:r>
            <w:r/>
          </w:p>
        </w:tc>
        <w:tc>
          <w:tcPr>
            <w:tcW w:w="670"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台</w:t>
            </w:r>
            <w:r/>
          </w:p>
        </w:tc>
        <w:tc>
          <w:tcPr>
            <w:tcW w:w="772"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2</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39"/>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8</w:t>
            </w:r>
            <w:r/>
          </w:p>
        </w:tc>
        <w:tc>
          <w:tcPr>
            <w:tcW w:w="2020" w:type="dxa"/>
            <w:vAlign w:val="center"/>
            <w:vMerge w:val="restart"/>
            <w:textDirection w:val="lrTb"/>
            <w:noWrap/>
          </w:tcPr>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风管机（带泵）</w:t>
            </w:r>
            <w:r/>
          </w:p>
        </w:tc>
        <w:tc>
          <w:tcPr>
            <w:tcW w:w="3066" w:type="dxa"/>
            <w:vAlign w:val="center"/>
            <w:textDirection w:val="lrTb"/>
            <w:noWrap/>
          </w:tcPr>
          <w:p>
            <w:pPr>
              <w:jc w:val="center"/>
              <w:widowControl/>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QL≥3.2kW，QR≥3.6kW</w:t>
            </w:r>
            <w:r/>
          </w:p>
        </w:tc>
        <w:tc>
          <w:tcPr>
            <w:tcW w:w="670"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台</w:t>
            </w:r>
            <w:r/>
          </w:p>
        </w:tc>
        <w:tc>
          <w:tcPr>
            <w:tcW w:w="772"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10</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9</w:t>
            </w:r>
            <w:r/>
          </w:p>
        </w:tc>
        <w:tc>
          <w:tcPr>
            <w:tcW w:w="2020" w:type="dxa"/>
            <w:vAlign w:val="center"/>
            <w:vMerge w:val="continue"/>
            <w:textDirection w:val="lrTb"/>
            <w:noWrap/>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tcPr>
          <w:p>
            <w:pPr>
              <w:jc w:val="center"/>
              <w:widowControl/>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QL≥3.6kW，QR≥4kW</w:t>
            </w:r>
            <w:r/>
          </w:p>
        </w:tc>
        <w:tc>
          <w:tcPr>
            <w:tcW w:w="670"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台</w:t>
            </w:r>
            <w:r/>
          </w:p>
        </w:tc>
        <w:tc>
          <w:tcPr>
            <w:tcW w:w="772"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8</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10</w:t>
            </w:r>
            <w:r/>
          </w:p>
        </w:tc>
        <w:tc>
          <w:tcPr>
            <w:tcW w:w="2020" w:type="dxa"/>
            <w:vAlign w:val="center"/>
            <w:vMerge w:val="continue"/>
            <w:textDirection w:val="lrTb"/>
            <w:noWrap/>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tcPr>
          <w:p>
            <w:pPr>
              <w:jc w:val="center"/>
              <w:widowControl/>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QL≥4.5kW，QR≥5kW</w:t>
            </w:r>
            <w:r/>
          </w:p>
        </w:tc>
        <w:tc>
          <w:tcPr>
            <w:tcW w:w="670"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台</w:t>
            </w:r>
            <w:r/>
          </w:p>
        </w:tc>
        <w:tc>
          <w:tcPr>
            <w:tcW w:w="772"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11</w:t>
            </w:r>
            <w:r/>
          </w:p>
        </w:tc>
        <w:tc>
          <w:tcPr>
            <w:tcW w:w="2020" w:type="dxa"/>
            <w:vAlign w:val="center"/>
            <w:vMerge w:val="continue"/>
            <w:textDirection w:val="lrTb"/>
            <w:noWrap/>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tcPr>
          <w:p>
            <w:pPr>
              <w:jc w:val="center"/>
              <w:widowControl/>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QL≥6.3kW，QR≥7.1kW</w:t>
            </w:r>
            <w:r/>
          </w:p>
        </w:tc>
        <w:tc>
          <w:tcPr>
            <w:tcW w:w="670"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台</w:t>
            </w:r>
            <w:r/>
          </w:p>
        </w:tc>
        <w:tc>
          <w:tcPr>
            <w:tcW w:w="772"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61</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12</w:t>
            </w:r>
            <w:r/>
          </w:p>
        </w:tc>
        <w:tc>
          <w:tcPr>
            <w:tcW w:w="2020" w:type="dxa"/>
            <w:vAlign w:val="center"/>
            <w:vMerge w:val="continue"/>
            <w:textDirection w:val="lrTb"/>
            <w:noWrap/>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tcPr>
          <w:p>
            <w:pPr>
              <w:jc w:val="center"/>
              <w:widowControl/>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QL≥7.1kW，QR≥8kW</w:t>
            </w:r>
            <w:r/>
          </w:p>
        </w:tc>
        <w:tc>
          <w:tcPr>
            <w:tcW w:w="670"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台</w:t>
            </w:r>
            <w:r/>
          </w:p>
        </w:tc>
        <w:tc>
          <w:tcPr>
            <w:tcW w:w="772"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5</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13</w:t>
            </w:r>
            <w:r/>
          </w:p>
        </w:tc>
        <w:tc>
          <w:tcPr>
            <w:tcW w:w="2020" w:type="dxa"/>
            <w:vAlign w:val="center"/>
            <w:vMerge w:val="continue"/>
            <w:textDirection w:val="lrTb"/>
            <w:noWrap/>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tcPr>
          <w:p>
            <w:pPr>
              <w:jc w:val="center"/>
              <w:widowControl/>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QL≥8kW，QR≥9kW</w:t>
            </w:r>
            <w:r/>
          </w:p>
        </w:tc>
        <w:tc>
          <w:tcPr>
            <w:tcW w:w="670"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台</w:t>
            </w:r>
            <w:r/>
          </w:p>
        </w:tc>
        <w:tc>
          <w:tcPr>
            <w:tcW w:w="772"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11</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14</w:t>
            </w:r>
            <w:r/>
          </w:p>
        </w:tc>
        <w:tc>
          <w:tcPr>
            <w:tcW w:w="2020" w:type="dxa"/>
            <w:vAlign w:val="center"/>
            <w:vMerge w:val="continue"/>
            <w:textDirection w:val="lrTb"/>
            <w:noWrap/>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tcPr>
          <w:p>
            <w:pPr>
              <w:jc w:val="center"/>
              <w:widowControl/>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QL≥10kW，QR≥11.2kW</w:t>
            </w:r>
            <w:r/>
          </w:p>
        </w:tc>
        <w:tc>
          <w:tcPr>
            <w:tcW w:w="670"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台</w:t>
            </w:r>
            <w:r/>
          </w:p>
        </w:tc>
        <w:tc>
          <w:tcPr>
            <w:tcW w:w="772"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12</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15</w:t>
            </w:r>
            <w:r/>
          </w:p>
        </w:tc>
        <w:tc>
          <w:tcPr>
            <w:tcW w:w="2020" w:type="dxa"/>
            <w:vAlign w:val="center"/>
            <w:vMerge w:val="continue"/>
            <w:textDirection w:val="lrTb"/>
            <w:noWrap/>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tcPr>
          <w:p>
            <w:pPr>
              <w:jc w:val="center"/>
              <w:widowControl/>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QL≥11.2kW，QR≥12.5kW</w:t>
            </w:r>
            <w:r/>
          </w:p>
        </w:tc>
        <w:tc>
          <w:tcPr>
            <w:tcW w:w="670"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台</w:t>
            </w:r>
            <w:r/>
          </w:p>
        </w:tc>
        <w:tc>
          <w:tcPr>
            <w:tcW w:w="772"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2</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16</w:t>
            </w:r>
            <w:r/>
          </w:p>
        </w:tc>
        <w:tc>
          <w:tcPr>
            <w:tcW w:w="2020" w:type="dxa"/>
            <w:vAlign w:val="center"/>
            <w:vMerge w:val="continue"/>
            <w:textDirection w:val="lrTb"/>
            <w:noWrap/>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tcPr>
          <w:p>
            <w:pPr>
              <w:jc w:val="center"/>
              <w:widowControl/>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QL≥12.5kW，QR≥14kW</w:t>
            </w:r>
            <w:r/>
          </w:p>
        </w:tc>
        <w:tc>
          <w:tcPr>
            <w:tcW w:w="670"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台</w:t>
            </w:r>
            <w:r/>
          </w:p>
        </w:tc>
        <w:tc>
          <w:tcPr>
            <w:tcW w:w="772"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4</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17</w:t>
            </w:r>
            <w:r/>
          </w:p>
        </w:tc>
        <w:tc>
          <w:tcPr>
            <w:tcW w:w="2020" w:type="dxa"/>
            <w:vAlign w:val="center"/>
            <w:textDirection w:val="lrTb"/>
            <w:noWrap/>
          </w:tcPr>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四面出风</w:t>
            </w:r>
            <w:r/>
          </w:p>
        </w:tc>
        <w:tc>
          <w:tcPr>
            <w:tcW w:w="3066" w:type="dxa"/>
            <w:vAlign w:val="center"/>
            <w:textDirection w:val="lrTb"/>
            <w:noWrap/>
          </w:tcPr>
          <w:p>
            <w:pPr>
              <w:jc w:val="center"/>
              <w:widowControl/>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QL≥14.0kW，QR≥16.0kW</w:t>
            </w:r>
            <w:r/>
          </w:p>
        </w:tc>
        <w:tc>
          <w:tcPr>
            <w:tcW w:w="670"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台</w:t>
            </w:r>
            <w:r/>
          </w:p>
        </w:tc>
        <w:tc>
          <w:tcPr>
            <w:tcW w:w="772"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12</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18</w:t>
            </w:r>
            <w:r/>
          </w:p>
        </w:tc>
        <w:tc>
          <w:tcPr>
            <w:tcW w:w="2020" w:type="dxa"/>
            <w:vAlign w:val="center"/>
            <w:textDirection w:val="lrTb"/>
            <w:noWrap/>
          </w:tcPr>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有线控制器</w:t>
            </w:r>
            <w:r/>
          </w:p>
        </w:tc>
        <w:tc>
          <w:tcPr>
            <w:tcW w:w="3066" w:type="dxa"/>
            <w:vAlign w:val="center"/>
            <w:textDirection w:val="lrTb"/>
            <w:noWrap w:val="false"/>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厂家配套，86型</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个</w:t>
            </w:r>
            <w:r/>
          </w:p>
        </w:tc>
        <w:tc>
          <w:tcPr>
            <w:tcW w:w="772"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126</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gridSpan w:val="6"/>
            <w:tcW w:w="7967" w:type="dxa"/>
            <w:vAlign w:val="center"/>
            <w:textDirection w:val="lrTb"/>
            <w:noWrap/>
          </w:tcPr>
          <w:p>
            <w:pPr>
              <w:jc w:val="both"/>
              <w:widowControl/>
              <w:rPr>
                <w:rFonts w:hint="eastAsia" w:ascii="宋体" w:hAnsi="宋体" w:cs="Arial"/>
                <w:sz w:val="24"/>
                <w:szCs w:val="24"/>
                <w:highlight w:val="none"/>
              </w:rPr>
            </w:pPr>
            <w:r>
              <w:rPr>
                <w:rFonts w:hint="eastAsia" w:ascii="宋体" w:hAnsi="宋体" w:cs="Arial"/>
                <w:b/>
                <w:bCs/>
                <w:sz w:val="24"/>
                <w:szCs w:val="24"/>
                <w:highlight w:val="none"/>
              </w:rPr>
              <w:t xml:space="preserve">二、安装及辅材</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w:t>
            </w:r>
            <w:r/>
          </w:p>
        </w:tc>
        <w:tc>
          <w:tcPr>
            <w:tcW w:w="2020" w:type="dxa"/>
            <w:vAlign w:val="center"/>
            <w:vMerge w:val="restart"/>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冷媒铜管及保温</w:t>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Ф6.35/Ф12.7</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米</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95</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2</w:t>
            </w:r>
            <w:r/>
          </w:p>
        </w:tc>
        <w:tc>
          <w:tcPr>
            <w:tcW w:w="2020" w:type="dxa"/>
            <w:vAlign w:val="center"/>
            <w:vMerge w:val="continue"/>
            <w:textDirection w:val="lrTb"/>
            <w:noWrap w:val="false"/>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Ф9.52/Ф15.9</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米</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472</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3</w:t>
            </w:r>
            <w:r/>
          </w:p>
        </w:tc>
        <w:tc>
          <w:tcPr>
            <w:tcW w:w="2020" w:type="dxa"/>
            <w:vAlign w:val="center"/>
            <w:vMerge w:val="continue"/>
            <w:textDirection w:val="lrTb"/>
            <w:noWrap w:val="false"/>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Ф9.52/Ф19.1</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米</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36</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4</w:t>
            </w:r>
            <w:r/>
          </w:p>
        </w:tc>
        <w:tc>
          <w:tcPr>
            <w:tcW w:w="2020" w:type="dxa"/>
            <w:vAlign w:val="center"/>
            <w:vMerge w:val="continue"/>
            <w:textDirection w:val="lrTb"/>
            <w:noWrap w:val="false"/>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Ф9.52/Ф22.2</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米</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44</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5</w:t>
            </w:r>
            <w:r/>
          </w:p>
        </w:tc>
        <w:tc>
          <w:tcPr>
            <w:tcW w:w="2020" w:type="dxa"/>
            <w:vAlign w:val="center"/>
            <w:vMerge w:val="continue"/>
            <w:textDirection w:val="lrTb"/>
            <w:noWrap w:val="false"/>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Ф12.7/Ф25.4</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米</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55</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6</w:t>
            </w:r>
            <w:r/>
          </w:p>
        </w:tc>
        <w:tc>
          <w:tcPr>
            <w:tcW w:w="2020" w:type="dxa"/>
            <w:vAlign w:val="center"/>
            <w:vMerge w:val="continue"/>
            <w:textDirection w:val="lrTb"/>
            <w:noWrap w:val="false"/>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Ф15.9/Ф28.6</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米</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78</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7</w:t>
            </w:r>
            <w:r/>
          </w:p>
        </w:tc>
        <w:tc>
          <w:tcPr>
            <w:tcW w:w="2020" w:type="dxa"/>
            <w:vAlign w:val="center"/>
            <w:vMerge w:val="continue"/>
            <w:textDirection w:val="lrTb"/>
            <w:noWrap w:val="false"/>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Ф19.1/Ф31.8</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米</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126</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8</w:t>
            </w:r>
            <w:r/>
          </w:p>
        </w:tc>
        <w:tc>
          <w:tcPr>
            <w:tcW w:w="2020" w:type="dxa"/>
            <w:vAlign w:val="center"/>
            <w:vMerge w:val="continue"/>
            <w:textDirection w:val="lrTb"/>
            <w:noWrap w:val="false"/>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Ф19.1/Ф34.9</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米</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48</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9</w:t>
            </w:r>
            <w:r/>
          </w:p>
        </w:tc>
        <w:tc>
          <w:tcPr>
            <w:tcW w:w="2020" w:type="dxa"/>
            <w:vAlign w:val="center"/>
            <w:vMerge w:val="continue"/>
            <w:textDirection w:val="lrTb"/>
            <w:noWrap w:val="false"/>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Ф19.1/Ф38.1</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米</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67</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10</w:t>
            </w:r>
            <w:r/>
          </w:p>
        </w:tc>
        <w:tc>
          <w:tcPr>
            <w:tcW w:w="20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冷凝水管及保温</w:t>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UPVC，DN25-40</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米</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816</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11</w:t>
            </w:r>
            <w:r/>
          </w:p>
        </w:tc>
        <w:tc>
          <w:tcPr>
            <w:tcW w:w="20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出回风口</w:t>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套</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114</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12</w:t>
            </w:r>
            <w:r/>
          </w:p>
        </w:tc>
        <w:tc>
          <w:tcPr>
            <w:tcW w:w="20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出风风管</w:t>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酚醛复合</w:t>
            </w:r>
            <w:r/>
          </w:p>
        </w:tc>
        <w:tc>
          <w:tcPr>
            <w:tcW w:w="670" w:type="dxa"/>
            <w:vAlign w:val="center"/>
            <w:textDirection w:val="lrTb"/>
            <w:noWrap/>
          </w:tcPr>
          <w:p>
            <w:pPr>
              <w:jc w:val="center"/>
              <w:widowControl/>
              <w:rPr>
                <w:rFonts w:hint="eastAsia" w:ascii="宋体" w:hAnsi="宋体" w:cs="Arial"/>
                <w:sz w:val="24"/>
                <w:szCs w:val="24"/>
                <w:highlight w:val="none"/>
              </w:rPr>
            </w:pPr>
            <w:r/>
            <w:bookmarkStart w:id="444" w:name="OLE_LINK6"/>
            <w:r>
              <w:rPr>
                <w:rFonts w:hint="eastAsia" w:ascii="宋体" w:hAnsi="宋体" w:cs="Arial"/>
                <w:sz w:val="24"/>
                <w:szCs w:val="24"/>
                <w:highlight w:val="none"/>
              </w:rPr>
              <w:t xml:space="preserve">㎡</w:t>
            </w:r>
            <w:bookmarkEnd w:id="444"/>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88</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13</w:t>
            </w:r>
            <w:r/>
          </w:p>
        </w:tc>
        <w:tc>
          <w:tcPr>
            <w:tcW w:w="20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软接</w:t>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114</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14</w:t>
            </w:r>
            <w:r/>
          </w:p>
        </w:tc>
        <w:tc>
          <w:tcPr>
            <w:tcW w:w="20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分歧管</w:t>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套</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115</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15</w:t>
            </w:r>
            <w:r/>
          </w:p>
        </w:tc>
        <w:tc>
          <w:tcPr>
            <w:tcW w:w="20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信号线</w:t>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通信及控制线，PVC套管</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米</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2195</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16</w:t>
            </w:r>
            <w:r/>
          </w:p>
        </w:tc>
        <w:tc>
          <w:tcPr>
            <w:tcW w:w="20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制冷剂</w:t>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R410A</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kg</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109</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17</w:t>
            </w:r>
            <w:r/>
          </w:p>
        </w:tc>
        <w:tc>
          <w:tcPr>
            <w:tcW w:w="2020" w:type="dxa"/>
            <w:vAlign w:val="center"/>
            <w:vMerge w:val="restart"/>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安装费</w:t>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室外机</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台</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11</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18</w:t>
            </w:r>
            <w:r/>
          </w:p>
        </w:tc>
        <w:tc>
          <w:tcPr>
            <w:tcW w:w="2020" w:type="dxa"/>
            <w:vAlign w:val="center"/>
            <w:vMerge w:val="continue"/>
            <w:textDirection w:val="lrTb"/>
            <w:noWrap w:val="false"/>
          </w:tcPr>
          <w:p>
            <w:pPr>
              <w:jc w:val="left"/>
              <w:widowControl/>
              <w:rPr>
                <w:rFonts w:hint="eastAsia" w:ascii="宋体" w:hAnsi="宋体" w:cs="Arial"/>
                <w:sz w:val="24"/>
                <w:szCs w:val="24"/>
                <w:highlight w:val="none"/>
              </w:rPr>
            </w:pPr>
            <w:r>
              <w:rPr>
                <w:rFonts w:hint="eastAsia" w:ascii="宋体" w:hAnsi="宋体" w:cs="Arial"/>
                <w:sz w:val="24"/>
                <w:szCs w:val="24"/>
                <w:highlight w:val="none"/>
              </w:rPr>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室内机</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台</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126</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19</w:t>
            </w:r>
            <w:r/>
          </w:p>
        </w:tc>
        <w:tc>
          <w:tcPr>
            <w:tcW w:w="20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室外机吊装费</w:t>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项</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1</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20</w:t>
            </w:r>
            <w:r/>
          </w:p>
        </w:tc>
        <w:tc>
          <w:tcPr>
            <w:tcW w:w="20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内机改电源</w:t>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BV-2.5</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台</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30</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21</w:t>
            </w:r>
            <w:r/>
          </w:p>
        </w:tc>
        <w:tc>
          <w:tcPr>
            <w:tcW w:w="20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室外机电缆</w:t>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5*10mm²</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米</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66</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22</w:t>
            </w:r>
            <w:r/>
          </w:p>
        </w:tc>
        <w:tc>
          <w:tcPr>
            <w:tcW w:w="20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室外机电缆</w:t>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5*16mm²</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米</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134</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23</w:t>
            </w:r>
            <w:r/>
          </w:p>
        </w:tc>
        <w:tc>
          <w:tcPr>
            <w:tcW w:w="20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室外机电缆</w:t>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5*25mm²</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米</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22</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24</w:t>
            </w:r>
            <w:r/>
          </w:p>
        </w:tc>
        <w:tc>
          <w:tcPr>
            <w:tcW w:w="20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室外机电箱</w:t>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套</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1</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25</w:t>
            </w:r>
            <w:r/>
          </w:p>
        </w:tc>
        <w:tc>
          <w:tcPr>
            <w:tcW w:w="20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电缆桥架及套管</w:t>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米</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25</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26</w:t>
            </w:r>
            <w:r/>
          </w:p>
        </w:tc>
        <w:tc>
          <w:tcPr>
            <w:tcW w:w="20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外机槽钢基础及减震</w:t>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项</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1</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27</w:t>
            </w:r>
            <w:r/>
          </w:p>
        </w:tc>
        <w:tc>
          <w:tcPr>
            <w:tcW w:w="20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旧主机及机房管道拆除吊运</w:t>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项</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1</w:t>
            </w:r>
            <w:r/>
          </w:p>
        </w:tc>
        <w:tc>
          <w:tcPr>
            <w:tcW w:w="720" w:type="dxa"/>
            <w:vAlign w:val="center"/>
            <w:textDirection w:val="lrTb"/>
            <w:noWrap/>
          </w:tcPr>
          <w:p>
            <w:pPr>
              <w:pStyle w:val="925"/>
              <w:rPr>
                <w:rFonts w:hint="eastAsia" w:ascii="宋体" w:hAnsi="宋体" w:cs="Arial"/>
                <w:sz w:val="24"/>
                <w:szCs w:val="24"/>
                <w:highlight w:val="none"/>
              </w:rPr>
            </w:pPr>
            <w:r>
              <w:rPr>
                <w:rFonts w:hint="eastAsia"/>
                <w:highlight w:val="none"/>
                <w:lang w:val="en-US" w:eastAsia="zh-CN"/>
              </w:rPr>
              <w:t xml:space="preserve">旧设备拆除残值归中标人所有，抵扣拆除人工费用</w:t>
            </w: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28</w:t>
            </w:r>
            <w:r/>
          </w:p>
        </w:tc>
        <w:tc>
          <w:tcPr>
            <w:tcW w:w="20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室内旧风盘拆除搬运</w:t>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台</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110</w:t>
            </w:r>
            <w:r/>
          </w:p>
        </w:tc>
        <w:tc>
          <w:tcPr>
            <w:tcW w:w="720" w:type="dxa"/>
            <w:vAlign w:val="center"/>
            <w:textDirection w:val="lrTb"/>
            <w:noWrap/>
          </w:tcPr>
          <w:p>
            <w:pPr>
              <w:pStyle w:val="925"/>
              <w:rPr>
                <w:rFonts w:hint="eastAsia" w:ascii="宋体" w:hAnsi="宋体" w:cs="Arial"/>
                <w:sz w:val="24"/>
                <w:szCs w:val="24"/>
                <w:highlight w:val="none"/>
              </w:rPr>
            </w:pPr>
            <w:r>
              <w:rPr>
                <w:rFonts w:hint="eastAsia"/>
                <w:highlight w:val="none"/>
                <w:lang w:val="en-US" w:eastAsia="zh-CN"/>
              </w:rPr>
              <w:t xml:space="preserve">旧设备拆除残值归中标人所有，抵扣拆除人工费用</w:t>
            </w: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29</w:t>
            </w:r>
            <w:r/>
          </w:p>
        </w:tc>
        <w:tc>
          <w:tcPr>
            <w:tcW w:w="20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顶面开孔及修复</w:t>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573</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30</w:t>
            </w:r>
            <w:r/>
          </w:p>
        </w:tc>
        <w:tc>
          <w:tcPr>
            <w:tcW w:w="20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文明施工及措施</w:t>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项</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1</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eastAsia" w:ascii="宋体" w:hAnsi="宋体" w:cs="Arial"/>
                <w:sz w:val="24"/>
                <w:szCs w:val="24"/>
                <w:highlight w:val="none"/>
              </w:rPr>
            </w:pPr>
            <w:r>
              <w:rPr>
                <w:rFonts w:ascii="宋体" w:hAnsi="宋体" w:cs="Arial"/>
                <w:sz w:val="24"/>
                <w:szCs w:val="24"/>
                <w:highlight w:val="none"/>
              </w:rPr>
              <w:t xml:space="preserve">31</w:t>
            </w:r>
            <w:r/>
          </w:p>
        </w:tc>
        <w:tc>
          <w:tcPr>
            <w:tcW w:w="20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辅材费及调试</w:t>
            </w:r>
            <w:r/>
          </w:p>
        </w:tc>
        <w:tc>
          <w:tcPr>
            <w:tcW w:w="3066"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c>
          <w:tcPr>
            <w:tcW w:w="67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项</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1</w:t>
            </w:r>
            <w:r/>
          </w:p>
        </w:tc>
        <w:tc>
          <w:tcPr>
            <w:tcW w:w="720"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t xml:space="preserve">　</w:t>
            </w:r>
            <w:r/>
          </w:p>
        </w:tc>
      </w:tr>
      <w:tr>
        <w:trPr>
          <w:jc w:val="center"/>
          <w:trHeight w:val="420"/>
        </w:trPr>
        <w:tc>
          <w:tcPr>
            <w:tcW w:w="719" w:type="dxa"/>
            <w:vAlign w:val="center"/>
            <w:textDirection w:val="lrTb"/>
            <w:noWrap/>
          </w:tcPr>
          <w:p>
            <w:pPr>
              <w:jc w:val="center"/>
              <w:widowControl/>
              <w:rPr>
                <w:rFonts w:hint="default" w:ascii="宋体" w:hAnsi="宋体" w:eastAsia="宋体" w:cs="Arial"/>
                <w:sz w:val="24"/>
                <w:szCs w:val="24"/>
                <w:highlight w:val="none"/>
                <w:lang w:val="en-US" w:eastAsia="zh-CN"/>
              </w:rPr>
            </w:pPr>
            <w:r>
              <w:rPr>
                <w:rFonts w:hint="eastAsia" w:ascii="宋体" w:hAnsi="宋体" w:cs="Arial"/>
                <w:sz w:val="24"/>
                <w:szCs w:val="24"/>
                <w:highlight w:val="none"/>
                <w:lang w:val="en-US" w:eastAsia="zh-CN"/>
              </w:rPr>
              <w:t xml:space="preserve">32</w:t>
            </w:r>
            <w:r/>
          </w:p>
        </w:tc>
        <w:tc>
          <w:tcPr>
            <w:tcW w:w="2020" w:type="dxa"/>
            <w:vAlign w:val="center"/>
            <w:textDirection w:val="lrTb"/>
            <w:noWrap/>
          </w:tcPr>
          <w:p>
            <w:pPr>
              <w:jc w:val="center"/>
              <w:widowControl/>
              <w:rPr>
                <w:rFonts w:hint="eastAsia" w:ascii="宋体" w:hAnsi="宋体" w:eastAsia="宋体" w:cs="Arial"/>
                <w:sz w:val="24"/>
                <w:szCs w:val="24"/>
                <w:highlight w:val="none"/>
                <w:lang w:val="en-US" w:eastAsia="zh-CN"/>
              </w:rPr>
            </w:pPr>
            <w:r>
              <w:rPr>
                <w:rFonts w:hint="eastAsia" w:ascii="宋体" w:hAnsi="宋体" w:cs="Arial"/>
                <w:sz w:val="24"/>
                <w:szCs w:val="24"/>
                <w:highlight w:val="none"/>
                <w:lang w:val="en-US" w:eastAsia="zh-CN"/>
              </w:rPr>
              <w:t xml:space="preserve">暂列金</w:t>
            </w:r>
            <w:r/>
          </w:p>
        </w:tc>
        <w:tc>
          <w:tcPr>
            <w:tcW w:w="3066" w:type="dxa"/>
            <w:vAlign w:val="center"/>
            <w:textDirection w:val="lrTb"/>
            <w:noWrap/>
          </w:tcPr>
          <w:p>
            <w:pPr>
              <w:jc w:val="center"/>
              <w:widowControl/>
              <w:rPr>
                <w:rFonts w:hint="default" w:ascii="宋体" w:hAnsi="宋体" w:eastAsia="宋体" w:cs="Arial"/>
                <w:sz w:val="24"/>
                <w:szCs w:val="24"/>
                <w:highlight w:val="none"/>
                <w:lang w:val="en-US" w:eastAsia="zh-CN"/>
              </w:rPr>
            </w:pPr>
            <w:r>
              <w:rPr>
                <w:rFonts w:hint="eastAsia" w:ascii="宋体" w:hAnsi="宋体" w:cs="Arial"/>
                <w:sz w:val="24"/>
                <w:szCs w:val="24"/>
                <w:highlight w:val="none"/>
                <w:lang w:val="en-US" w:eastAsia="zh-CN"/>
              </w:rPr>
              <w:t xml:space="preserve">80000元</w:t>
            </w:r>
            <w:r/>
          </w:p>
        </w:tc>
        <w:tc>
          <w:tcPr>
            <w:tcW w:w="670" w:type="dxa"/>
            <w:vAlign w:val="center"/>
            <w:textDirection w:val="lrTb"/>
            <w:noWrap/>
          </w:tcPr>
          <w:p>
            <w:pPr>
              <w:jc w:val="center"/>
              <w:widowControl/>
              <w:rPr>
                <w:rFonts w:hint="eastAsia" w:ascii="宋体" w:hAnsi="宋体" w:eastAsia="宋体" w:cs="Arial"/>
                <w:sz w:val="24"/>
                <w:szCs w:val="24"/>
                <w:highlight w:val="none"/>
                <w:lang w:val="en-US" w:eastAsia="zh-CN"/>
              </w:rPr>
            </w:pPr>
            <w:r>
              <w:rPr>
                <w:rFonts w:hint="eastAsia" w:ascii="宋体" w:hAnsi="宋体" w:cs="Arial"/>
                <w:sz w:val="24"/>
                <w:szCs w:val="24"/>
                <w:highlight w:val="none"/>
                <w:lang w:val="en-US" w:eastAsia="zh-CN"/>
              </w:rPr>
              <w:t xml:space="preserve">项</w:t>
            </w:r>
            <w:r/>
          </w:p>
        </w:tc>
        <w:tc>
          <w:tcPr>
            <w:tcW w:w="772" w:type="dxa"/>
            <w:vAlign w:val="center"/>
            <w:textDirection w:val="lrTb"/>
            <w:noWrap/>
          </w:tcPr>
          <w:p>
            <w:pPr>
              <w:jc w:val="center"/>
              <w:widowControl/>
              <w:rPr>
                <w:rFonts w:hint="eastAsia" w:ascii="宋体" w:hAnsi="宋体" w:cs="Arial"/>
                <w:sz w:val="24"/>
                <w:szCs w:val="24"/>
                <w:highlight w:val="none"/>
              </w:rPr>
            </w:pPr>
            <w:r>
              <w:rPr>
                <w:rFonts w:hint="eastAsia" w:ascii="宋体" w:hAnsi="宋体" w:cs="Arial"/>
                <w:sz w:val="24"/>
                <w:szCs w:val="24"/>
                <w:highlight w:val="none"/>
              </w:rPr>
            </w:r>
            <w:r/>
          </w:p>
        </w:tc>
        <w:tc>
          <w:tcPr>
            <w:tcW w:w="720" w:type="dxa"/>
            <w:vAlign w:val="center"/>
            <w:textDirection w:val="lrTb"/>
            <w:noWrap/>
          </w:tcPr>
          <w:p>
            <w:pPr>
              <w:jc w:val="center"/>
              <w:widowControl/>
              <w:rPr>
                <w:rFonts w:hint="default" w:ascii="宋体" w:hAnsi="宋体" w:eastAsia="宋体" w:cs="Arial"/>
                <w:sz w:val="24"/>
                <w:szCs w:val="24"/>
                <w:highlight w:val="none"/>
                <w:lang w:val="en-US" w:eastAsia="zh-CN"/>
              </w:rPr>
            </w:pPr>
            <w:r>
              <w:rPr>
                <w:rFonts w:hint="eastAsia" w:ascii="宋体" w:hAnsi="宋体" w:cs="Arial"/>
                <w:sz w:val="24"/>
                <w:szCs w:val="24"/>
                <w:highlight w:val="none"/>
                <w:lang w:val="en-US" w:eastAsia="zh-CN"/>
              </w:rPr>
              <w:t xml:space="preserve">不可竞争</w:t>
            </w:r>
            <w:r/>
          </w:p>
        </w:tc>
      </w:tr>
    </w:tbl>
    <w:p>
      <w:pPr>
        <w:rPr>
          <w:rFonts w:hint="eastAsia"/>
          <w:highlight w:val="none"/>
          <w:lang w:val="en-US" w:eastAsia="zh-CN"/>
        </w:rPr>
      </w:pPr>
      <w:r>
        <w:rPr>
          <w:rFonts w:hint="eastAsia"/>
          <w:highlight w:val="none"/>
          <w:lang w:val="en-US" w:eastAsia="zh-CN"/>
        </w:rPr>
        <w:t xml:space="preserve">注：</w:t>
      </w:r>
      <w:r/>
    </w:p>
    <w:p>
      <w:pPr>
        <w:rPr>
          <w:rFonts w:hint="default"/>
          <w:highlight w:val="none"/>
          <w:lang w:val="en-US" w:eastAsia="zh-CN"/>
        </w:rPr>
      </w:pPr>
      <w:r>
        <w:rPr>
          <w:rFonts w:hint="eastAsia"/>
          <w:highlight w:val="none"/>
          <w:lang w:val="en-US" w:eastAsia="zh-CN"/>
        </w:rPr>
        <w:t xml:space="preserve">供应商</w:t>
      </w:r>
      <w:r>
        <w:rPr>
          <w:rFonts w:hint="default"/>
          <w:highlight w:val="none"/>
          <w:lang w:val="en-US" w:eastAsia="zh-CN"/>
        </w:rPr>
        <w:t xml:space="preserve">按照规定流程完成安装调试服务，本项目报价包括空调设备、完成项目所需的一切辅材（铜管、风管</w:t>
      </w:r>
      <w:r>
        <w:rPr>
          <w:rFonts w:hint="eastAsia"/>
          <w:highlight w:val="none"/>
          <w:lang w:val="en-US" w:eastAsia="zh-CN"/>
        </w:rPr>
        <w:t xml:space="preserve">、</w:t>
      </w:r>
      <w:r>
        <w:rPr>
          <w:rFonts w:hint="default"/>
          <w:highlight w:val="none"/>
          <w:lang w:val="en-US" w:eastAsia="zh-CN"/>
        </w:rPr>
        <w:t xml:space="preserve">信号线、穿线管、支架、空调内外机电缆、电源空气开关、空调电箱、制冷剂、外机防护格栅等）、拆除费、原空调位置移动费用、电源改造费、相关配套费、安装调试费、修复费、测试验收费、运行维护费、运输费、保险和其他为完成本项目所发生的一切费用均应考虑在报价内，安装完成后不再产生其他费用。</w:t>
      </w:r>
      <w:r/>
    </w:p>
    <w:p>
      <w:pPr>
        <w:jc w:val="left"/>
        <w:spacing w:after="160" w:line="278" w:lineRule="auto"/>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jc w:val="left"/>
        <w:keepLines w:val="0"/>
        <w:keepNext w:val="0"/>
        <w:pageBreakBefore w:val="0"/>
        <w:spacing w:after="160" w:line="440" w:lineRule="exact"/>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室外机组技术指标要求：</w:t>
      </w:r>
      <w:r/>
    </w:p>
    <w:p>
      <w:pPr>
        <w:jc w:val="left"/>
        <w:keepLines w:val="0"/>
        <w:keepNext w:val="0"/>
        <w:pageBreakBefore w:val="0"/>
        <w:spacing w:after="160" w:line="440" w:lineRule="exact"/>
        <w:widowControl/>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▲1、智能保护系统：</w:t>
      </w:r>
      <w:r>
        <w:rPr>
          <w:rFonts w:hint="eastAsia" w:ascii="宋体" w:hAnsi="宋体" w:cs="宋体"/>
          <w:b w:val="0"/>
          <w:bCs w:val="0"/>
          <w:sz w:val="24"/>
          <w:szCs w:val="24"/>
          <w:highlight w:val="none"/>
          <w:lang w:val="en-US" w:eastAsia="zh-CN"/>
        </w:rPr>
        <w:t xml:space="preserve">必须具备电流保护、压缩机过载保护、高压保护等多重安全保护功能（提供包括但不限于官方网站截图或产品手册或第三方测试报告等证明材料加盖投标人公章）。</w:t>
      </w:r>
      <w:r/>
    </w:p>
    <w:p>
      <w:pPr>
        <w:jc w:val="left"/>
        <w:keepLines w:val="0"/>
        <w:keepNext w:val="0"/>
        <w:pageBreakBefore w:val="0"/>
        <w:spacing w:after="160" w:line="440" w:lineRule="exact"/>
        <w:widowControl/>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▲2、三重备份运转：</w:t>
      </w:r>
      <w:r>
        <w:rPr>
          <w:rFonts w:hint="eastAsia" w:ascii="宋体" w:hAnsi="宋体" w:cs="宋体"/>
          <w:b w:val="0"/>
          <w:bCs w:val="0"/>
          <w:sz w:val="24"/>
          <w:szCs w:val="24"/>
          <w:highlight w:val="none"/>
          <w:lang w:val="en-US" w:eastAsia="zh-CN"/>
        </w:rPr>
        <w:t xml:space="preserve">必须具备室外机后备、风机后备、压缩机后备的三重备份运转功能，确保单台压缩机或风机故障时，机组仍能降额运行（提供包括但不限于官方网站截图或产品手册或第三方测试报告等证明材料加盖投标人公章）。</w:t>
      </w:r>
      <w:r/>
    </w:p>
    <w:p>
      <w:pPr>
        <w:jc w:val="left"/>
        <w:keepLines w:val="0"/>
        <w:keepNext w:val="0"/>
        <w:pageBreakBefore w:val="0"/>
        <w:spacing w:after="160" w:line="440" w:lineRule="exact"/>
        <w:widowControl/>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▲3、智能除霜：</w:t>
      </w:r>
      <w:r>
        <w:rPr>
          <w:rFonts w:hint="eastAsia" w:ascii="宋体" w:hAnsi="宋体" w:cs="宋体"/>
          <w:b w:val="0"/>
          <w:bCs w:val="0"/>
          <w:sz w:val="24"/>
          <w:szCs w:val="24"/>
          <w:highlight w:val="none"/>
          <w:lang w:val="en-US" w:eastAsia="zh-CN"/>
        </w:rPr>
        <w:t xml:space="preserve">必须具备高效除霜及底部防结霜功能，确保低温环境下的制热稳定性（提供包括但不限于官方网站截图或产品手册或第三方测试报告等证明材料加盖投标人公章）。</w:t>
      </w:r>
      <w:r/>
    </w:p>
    <w:p>
      <w:pPr>
        <w:jc w:val="left"/>
        <w:keepLines w:val="0"/>
        <w:keepNext w:val="0"/>
        <w:pageBreakBefore w:val="0"/>
        <w:spacing w:after="160" w:line="440" w:lineRule="exact"/>
        <w:widowControl/>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▲4、电源适应性：</w:t>
      </w:r>
      <w:r>
        <w:rPr>
          <w:rFonts w:hint="eastAsia" w:ascii="宋体" w:hAnsi="宋体" w:cs="宋体"/>
          <w:b w:val="0"/>
          <w:bCs w:val="0"/>
          <w:sz w:val="24"/>
          <w:szCs w:val="24"/>
          <w:highlight w:val="none"/>
          <w:lang w:val="en-US" w:eastAsia="zh-CN"/>
        </w:rPr>
        <w:t xml:space="preserve">必须具备抑制高次谐波功能，保证设备在复杂电网环境下的运行稳定性（提供包括但不限于官方网站截图或产品手册或第三方测试报告等证明材料加盖投标人公章）。</w:t>
      </w:r>
      <w:r/>
    </w:p>
    <w:p>
      <w:pPr>
        <w:jc w:val="left"/>
        <w:keepLines w:val="0"/>
        <w:keepNext w:val="0"/>
        <w:pageBreakBefore w:val="0"/>
        <w:spacing w:after="160" w:line="440" w:lineRule="exact"/>
        <w:widowControl/>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▲5、通讯技术：</w:t>
      </w:r>
      <w:r>
        <w:rPr>
          <w:rFonts w:hint="eastAsia" w:ascii="宋体" w:hAnsi="宋体" w:cs="宋体"/>
          <w:b w:val="0"/>
          <w:bCs w:val="0"/>
          <w:sz w:val="24"/>
          <w:szCs w:val="24"/>
          <w:highlight w:val="none"/>
          <w:lang w:val="en-US" w:eastAsia="zh-CN"/>
        </w:rPr>
        <w:t xml:space="preserve">必须采用无极性CAN总线通讯技术（提供包括但不限于官方网站截图或产品手册或第三方测试报告等证明材料加盖投标人公章）。</w:t>
      </w:r>
      <w:r/>
    </w:p>
    <w:p>
      <w:pPr>
        <w:jc w:val="left"/>
        <w:keepLines w:val="0"/>
        <w:keepNext w:val="0"/>
        <w:pageBreakBefore w:val="0"/>
        <w:spacing w:after="160" w:line="440" w:lineRule="exact"/>
        <w:widowControl/>
        <w:rPr>
          <w:highlight w:val="none"/>
        </w:rPr>
      </w:pPr>
      <w:r>
        <w:rPr>
          <w:rFonts w:hint="eastAsia" w:ascii="宋体" w:hAnsi="宋体" w:cs="宋体"/>
          <w:b/>
          <w:bCs/>
          <w:sz w:val="24"/>
          <w:szCs w:val="24"/>
          <w:highlight w:val="none"/>
          <w:lang w:val="en-US" w:eastAsia="zh-CN"/>
        </w:rPr>
        <w:t xml:space="preserve">▲6、换热系统：</w:t>
      </w:r>
      <w:r>
        <w:rPr>
          <w:rFonts w:hint="eastAsia" w:ascii="宋体" w:hAnsi="宋体" w:cs="宋体"/>
          <w:b w:val="0"/>
          <w:bCs w:val="0"/>
          <w:sz w:val="24"/>
          <w:szCs w:val="24"/>
          <w:highlight w:val="none"/>
          <w:lang w:val="en-US" w:eastAsia="zh-CN"/>
        </w:rPr>
        <w:t xml:space="preserve">必须具备换热器、过冷段以及板式换热器共三级过冷结构，且过冷度达到36℃（提供包括但不限于官方网站截图或产品手册或第三方测试报告等证明材料加盖投标人公章）。</w:t>
      </w:r>
      <w:r/>
    </w:p>
    <w:p>
      <w:pPr>
        <w:jc w:val="left"/>
        <w:keepLines w:val="0"/>
        <w:keepNext w:val="0"/>
        <w:pageBreakBefore w:val="0"/>
        <w:spacing w:after="160" w:line="440" w:lineRule="exact"/>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五、备品备件要求：</w:t>
      </w:r>
      <w:r/>
    </w:p>
    <w:p>
      <w:pPr>
        <w:ind w:firstLine="480"/>
        <w:jc w:val="left"/>
        <w:keepLines w:val="0"/>
        <w:keepNext w:val="0"/>
        <w:pageBreakBefore w:val="0"/>
        <w:spacing w:after="160" w:line="440" w:lineRule="exact"/>
        <w:widowControl/>
        <w:rPr>
          <w:rFonts w:hint="default" w:ascii="宋体" w:hAnsi="宋体" w:cs="宋体"/>
          <w:b w:val="0"/>
          <w:bCs w:val="0"/>
          <w:sz w:val="24"/>
          <w:szCs w:val="24"/>
          <w:highlight w:val="none"/>
          <w:lang w:val="en-US" w:eastAsia="zh-CN"/>
        </w:rPr>
      </w:pPr>
      <w:r>
        <w:rPr>
          <w:rFonts w:hint="default" w:ascii="宋体" w:hAnsi="宋体" w:cs="宋体"/>
          <w:b w:val="0"/>
          <w:bCs w:val="0"/>
          <w:sz w:val="24"/>
          <w:szCs w:val="24"/>
          <w:highlight w:val="none"/>
          <w:lang w:val="en-US" w:eastAsia="zh-CN"/>
        </w:rPr>
        <w:t xml:space="preserve">投标人须针对本项目提供详细的质保期内备品备件保障方案，具体要求如下：</w:t>
      </w:r>
      <w:r/>
    </w:p>
    <w:p>
      <w:pPr>
        <w:ind w:firstLine="480"/>
        <w:jc w:val="left"/>
        <w:keepLines w:val="0"/>
        <w:keepNext w:val="0"/>
        <w:pageBreakBefore w:val="0"/>
        <w:spacing w:after="160" w:line="440" w:lineRule="exact"/>
        <w:widowControl/>
        <w:rPr>
          <w:rFonts w:hint="default" w:ascii="宋体" w:hAnsi="宋体" w:cs="宋体"/>
          <w:b w:val="0"/>
          <w:bCs w:val="0"/>
          <w:sz w:val="24"/>
          <w:szCs w:val="24"/>
          <w:highlight w:val="none"/>
          <w:lang w:val="en-US" w:eastAsia="zh-CN"/>
        </w:rPr>
      </w:pPr>
      <w:r>
        <w:rPr>
          <w:rFonts w:hint="default" w:ascii="宋体" w:hAnsi="宋体" w:cs="宋体"/>
          <w:b w:val="0"/>
          <w:bCs w:val="0"/>
          <w:sz w:val="24"/>
          <w:szCs w:val="24"/>
          <w:highlight w:val="none"/>
          <w:lang w:val="en-US" w:eastAsia="zh-CN"/>
        </w:rPr>
        <w:t xml:space="preserve">投标文件中必须列出包含零件名称、原厂编号（P/N）、规格型号及数量的《专用备品备件清单》，且必须包含电子膨胀阀、各类传感器、电脑板、铜管等核心易损件；承诺在南京市设立专用备件仓库，所有备件必须为原厂正品，并提供仓库照片或租赁合同证明；建立库存动态预警机制，当库存低于安全阈值时须在3个工作日内完成补货，并定期提供库存盘点报告；明确“申请-出库-配送-旧件回收”的闭环流程，承诺南京市主城区4小时、周边区县6小时内送达现场；</w:t>
      </w:r>
      <w:r/>
    </w:p>
    <w:p>
      <w:pPr>
        <w:jc w:val="left"/>
        <w:keepLines w:val="0"/>
        <w:keepNext w:val="0"/>
        <w:pageBreakBefore w:val="0"/>
        <w:spacing w:after="160" w:line="440" w:lineRule="exact"/>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六、团队人员配置要求：</w:t>
      </w:r>
      <w:r/>
    </w:p>
    <w:p>
      <w:pPr>
        <w:ind w:firstLine="480"/>
        <w:jc w:val="left"/>
        <w:keepLines w:val="0"/>
        <w:keepNext w:val="0"/>
        <w:pageBreakBefore w:val="0"/>
        <w:spacing w:after="160" w:line="440" w:lineRule="exact"/>
        <w:widowControl/>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1、项目负责人要求</w:t>
      </w:r>
      <w:r/>
    </w:p>
    <w:p>
      <w:pPr>
        <w:ind w:firstLine="480"/>
        <w:jc w:val="left"/>
        <w:keepLines w:val="0"/>
        <w:keepNext w:val="0"/>
        <w:pageBreakBefore w:val="0"/>
        <w:spacing w:after="160" w:line="440" w:lineRule="exact"/>
        <w:widowControl/>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配备专职项目负责人，全权负责项目统筹、现场管理、进度把控、验收对接及全程协调工作。具备暖通、机电安装相关从业经验，履约期间人员固定，未经采购人同意不得擅自更换。</w:t>
      </w:r>
      <w:r/>
    </w:p>
    <w:p>
      <w:pPr>
        <w:ind w:firstLine="480"/>
        <w:jc w:val="left"/>
        <w:keepLines w:val="0"/>
        <w:keepNext w:val="0"/>
        <w:pageBreakBefore w:val="0"/>
        <w:spacing w:after="160" w:line="440" w:lineRule="exact"/>
        <w:widowControl/>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2、安装作业人员要求</w:t>
      </w:r>
      <w:r/>
    </w:p>
    <w:p>
      <w:pPr>
        <w:ind w:firstLine="480"/>
        <w:jc w:val="left"/>
        <w:keepLines w:val="0"/>
        <w:keepNext w:val="0"/>
        <w:pageBreakBefore w:val="0"/>
        <w:spacing w:after="160" w:line="440" w:lineRule="exact"/>
        <w:widowControl/>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配置足量专业安装技工，熟悉空调安装工艺及规范，具备现场安装、接线、调试实操能力。高处作业、电工等特殊工种人员须持有效证件上岗，严格遵守安全及文明施工管理规定。</w:t>
      </w:r>
      <w:r/>
    </w:p>
    <w:p>
      <w:pPr>
        <w:ind w:firstLine="480"/>
        <w:jc w:val="left"/>
        <w:keepLines w:val="0"/>
        <w:keepNext w:val="0"/>
        <w:pageBreakBefore w:val="0"/>
        <w:spacing w:after="160" w:line="440" w:lineRule="exact"/>
        <w:widowControl/>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3、售后服务人员要求</w:t>
      </w:r>
      <w:r/>
    </w:p>
    <w:p>
      <w:pPr>
        <w:ind w:firstLine="480"/>
        <w:jc w:val="left"/>
        <w:keepLines w:val="0"/>
        <w:keepNext w:val="0"/>
        <w:pageBreakBefore w:val="0"/>
        <w:spacing w:after="160" w:line="440" w:lineRule="exact"/>
        <w:widowControl/>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拥有固定专属售后团队及驻场对接人员，具备空调维修、故障排查、设备养护专业能力。</w:t>
      </w:r>
      <w:r/>
    </w:p>
    <w:p>
      <w:pPr>
        <w:jc w:val="left"/>
        <w:keepLines w:val="0"/>
        <w:keepNext w:val="0"/>
        <w:pageBreakBefore w:val="0"/>
        <w:spacing w:after="160" w:line="440" w:lineRule="exact"/>
        <w:widowControl/>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七</w:t>
      </w:r>
      <w:r>
        <w:rPr>
          <w:rFonts w:hint="eastAsia" w:ascii="宋体" w:hAnsi="宋体" w:cs="宋体"/>
          <w:b/>
          <w:bCs/>
          <w:sz w:val="24"/>
          <w:szCs w:val="24"/>
          <w:highlight w:val="none"/>
        </w:rPr>
        <w:t xml:space="preserve">、商务要求</w:t>
      </w:r>
      <w:r/>
    </w:p>
    <w:p>
      <w:pPr>
        <w:ind w:left="-59" w:firstLine="549"/>
        <w:jc w:val="left"/>
        <w:keepLines w:val="0"/>
        <w:keepNext w:val="0"/>
        <w:pageBreakBefore w:val="0"/>
        <w:spacing w:line="440" w:lineRule="exact"/>
        <w:rPr>
          <w:rFonts w:hint="eastAsia" w:ascii="宋体" w:hAnsi="宋体" w:cs="Times New Roman"/>
          <w:sz w:val="24"/>
          <w:szCs w:val="24"/>
          <w:highlight w:val="none"/>
        </w:rPr>
      </w:pPr>
      <w:r>
        <w:rPr>
          <w:rFonts w:hint="eastAsia" w:ascii="宋体" w:hAnsi="宋体" w:cs="Times New Roman"/>
          <w:b/>
          <w:sz w:val="24"/>
          <w:szCs w:val="24"/>
          <w:highlight w:val="none"/>
        </w:rPr>
        <w:t xml:space="preserve">1、★</w:t>
      </w:r>
      <w:r>
        <w:rPr>
          <w:rFonts w:ascii="宋体" w:hAnsi="宋体" w:cs="Times New Roman"/>
          <w:b/>
          <w:sz w:val="24"/>
          <w:szCs w:val="24"/>
          <w:highlight w:val="none"/>
        </w:rPr>
        <w:t xml:space="preserve">质量要求：</w:t>
      </w:r>
      <w:r>
        <w:rPr>
          <w:rFonts w:ascii="宋体" w:hAnsi="宋体" w:cs="Times New Roman"/>
          <w:sz w:val="24"/>
          <w:szCs w:val="24"/>
          <w:highlight w:val="none"/>
        </w:rPr>
        <w:t xml:space="preserve">符合国家及行业现行规范、标准。</w:t>
      </w:r>
      <w:r/>
    </w:p>
    <w:p>
      <w:pPr>
        <w:ind w:firstLine="472"/>
        <w:jc w:val="left"/>
        <w:keepLines w:val="0"/>
        <w:keepNext w:val="0"/>
        <w:pageBreakBefore w:val="0"/>
        <w:spacing w:line="440" w:lineRule="exact"/>
        <w:rPr>
          <w:rFonts w:hint="eastAsia" w:ascii="宋体" w:hAnsi="宋体" w:cs="Times New Roman"/>
          <w:sz w:val="24"/>
          <w:szCs w:val="24"/>
          <w:highlight w:val="none"/>
        </w:rPr>
      </w:pPr>
      <w:r>
        <w:rPr>
          <w:rFonts w:hint="eastAsia" w:ascii="宋体" w:hAnsi="宋体" w:cs="Times New Roman"/>
          <w:b/>
          <w:sz w:val="24"/>
          <w:szCs w:val="24"/>
          <w:highlight w:val="none"/>
        </w:rPr>
        <w:t xml:space="preserve">2、</w:t>
      </w:r>
      <w:r>
        <w:rPr>
          <w:rFonts w:hint="eastAsia" w:ascii="宋体" w:hAnsi="宋体" w:cs="宋体"/>
          <w:b/>
          <w:bCs/>
          <w:sz w:val="24"/>
          <w:szCs w:val="24"/>
          <w:highlight w:val="none"/>
        </w:rPr>
        <w:t xml:space="preserve">★</w:t>
      </w:r>
      <w:r>
        <w:rPr>
          <w:rFonts w:hint="eastAsia" w:ascii="宋体" w:hAnsi="宋体" w:cs="Times New Roman"/>
          <w:b/>
          <w:sz w:val="24"/>
          <w:szCs w:val="24"/>
          <w:highlight w:val="none"/>
        </w:rPr>
        <w:t xml:space="preserve">质保期：</w:t>
      </w:r>
      <w:r>
        <w:rPr>
          <w:rFonts w:ascii="宋体" w:hAnsi="宋体" w:cs="Times New Roman"/>
          <w:sz w:val="24"/>
          <w:szCs w:val="24"/>
          <w:highlight w:val="none"/>
        </w:rPr>
        <w:t xml:space="preserve">招标范围内产品的免费质保期为自</w:t>
      </w:r>
      <w:r>
        <w:rPr>
          <w:rFonts w:hint="eastAsia" w:ascii="宋体" w:hAnsi="宋体" w:cs="Times New Roman"/>
          <w:sz w:val="24"/>
          <w:szCs w:val="24"/>
          <w:highlight w:val="none"/>
        </w:rPr>
        <w:t xml:space="preserve">项目</w:t>
      </w:r>
      <w:r>
        <w:rPr>
          <w:rFonts w:ascii="宋体" w:hAnsi="宋体" w:cs="Times New Roman"/>
          <w:sz w:val="24"/>
          <w:szCs w:val="24"/>
          <w:highlight w:val="none"/>
        </w:rPr>
        <w:t xml:space="preserve">验收</w:t>
      </w:r>
      <w:r>
        <w:rPr>
          <w:rFonts w:hint="eastAsia" w:ascii="宋体" w:hAnsi="宋体" w:cs="Times New Roman"/>
          <w:sz w:val="24"/>
          <w:szCs w:val="24"/>
          <w:highlight w:val="none"/>
        </w:rPr>
        <w:t xml:space="preserve">合格</w:t>
      </w:r>
      <w:r>
        <w:rPr>
          <w:rFonts w:ascii="宋体" w:hAnsi="宋体" w:cs="Times New Roman"/>
          <w:sz w:val="24"/>
          <w:szCs w:val="24"/>
          <w:highlight w:val="none"/>
        </w:rPr>
        <w:t xml:space="preserve">之日起</w:t>
      </w:r>
      <w:r>
        <w:rPr>
          <w:rFonts w:hint="eastAsia" w:ascii="宋体" w:hAnsi="宋体" w:cs="Times New Roman"/>
          <w:sz w:val="24"/>
          <w:szCs w:val="24"/>
          <w:highlight w:val="none"/>
        </w:rPr>
        <w:t xml:space="preserve">不少于</w:t>
      </w:r>
      <w:r>
        <w:rPr>
          <w:rFonts w:hint="eastAsia" w:ascii="宋体" w:hAnsi="宋体" w:cs="Times New Roman"/>
          <w:sz w:val="24"/>
          <w:szCs w:val="24"/>
          <w:highlight w:val="none"/>
          <w:lang w:val="en-US" w:eastAsia="zh-CN"/>
        </w:rPr>
        <w:t xml:space="preserve">2</w:t>
      </w:r>
      <w:r>
        <w:rPr>
          <w:rFonts w:hint="eastAsia" w:ascii="宋体" w:hAnsi="宋体" w:cs="Times New Roman"/>
          <w:sz w:val="24"/>
          <w:szCs w:val="24"/>
          <w:highlight w:val="none"/>
        </w:rPr>
        <w:t xml:space="preserve">年</w:t>
      </w:r>
      <w:r>
        <w:rPr>
          <w:rFonts w:hint="eastAsia" w:ascii="宋体" w:hAnsi="宋体" w:cs="Times New Roman"/>
          <w:sz w:val="24"/>
          <w:szCs w:val="24"/>
          <w:highlight w:val="none"/>
          <w:lang w:val="en-US" w:eastAsia="zh-CN"/>
        </w:rPr>
        <w:t xml:space="preserve">(包括空调整机及所有零部件免费质保及上门维修服务)</w:t>
      </w:r>
      <w:r>
        <w:rPr>
          <w:rFonts w:hint="eastAsia" w:ascii="宋体" w:hAnsi="宋体" w:cs="Times New Roman"/>
          <w:sz w:val="24"/>
          <w:szCs w:val="24"/>
          <w:highlight w:val="none"/>
        </w:rPr>
        <w:t xml:space="preserve">。</w:t>
      </w:r>
      <w:r/>
    </w:p>
    <w:p>
      <w:pPr>
        <w:ind w:firstLine="472"/>
        <w:jc w:val="left"/>
        <w:keepLines w:val="0"/>
        <w:keepNext w:val="0"/>
        <w:pageBreakBefore w:val="0"/>
        <w:spacing w:line="440" w:lineRule="exact"/>
        <w:rPr>
          <w:rFonts w:hint="eastAsia" w:ascii="宋体" w:hAnsi="宋体" w:cs="Times New Roman"/>
          <w:sz w:val="24"/>
          <w:szCs w:val="24"/>
          <w:highlight w:val="none"/>
        </w:rPr>
      </w:pPr>
      <w:r>
        <w:rPr>
          <w:rFonts w:hint="eastAsia" w:ascii="宋体" w:hAnsi="宋体" w:cs="宋体"/>
          <w:b/>
          <w:sz w:val="24"/>
          <w:szCs w:val="24"/>
          <w:highlight w:val="none"/>
        </w:rPr>
        <w:t xml:space="preserve">3、</w:t>
      </w:r>
      <w:r>
        <w:rPr>
          <w:rFonts w:hint="eastAsia" w:ascii="宋体" w:hAnsi="宋体" w:cs="宋体"/>
          <w:b/>
          <w:bCs/>
          <w:sz w:val="24"/>
          <w:szCs w:val="24"/>
          <w:highlight w:val="none"/>
        </w:rPr>
        <w:t xml:space="preserve">★</w:t>
      </w:r>
      <w:r>
        <w:rPr>
          <w:rFonts w:hint="eastAsia" w:ascii="宋体" w:hAnsi="宋体" w:cs="Times New Roman"/>
          <w:b/>
          <w:sz w:val="24"/>
          <w:szCs w:val="24"/>
          <w:highlight w:val="none"/>
        </w:rPr>
        <w:t xml:space="preserve">交付期：</w:t>
      </w:r>
      <w:r>
        <w:rPr>
          <w:rFonts w:ascii="宋体" w:hAnsi="宋体" w:cs="Times New Roman"/>
          <w:sz w:val="24"/>
          <w:szCs w:val="24"/>
          <w:highlight w:val="none"/>
        </w:rPr>
        <w:t xml:space="preserve">合同签订之日</w:t>
      </w:r>
      <w:r>
        <w:rPr>
          <w:rFonts w:hint="eastAsia" w:ascii="宋体" w:hAnsi="宋体" w:cs="Times New Roman"/>
          <w:sz w:val="24"/>
          <w:szCs w:val="24"/>
          <w:highlight w:val="none"/>
        </w:rPr>
        <w:t xml:space="preserve">起60日历天内</w:t>
      </w:r>
      <w:r>
        <w:rPr>
          <w:rFonts w:ascii="宋体" w:hAnsi="宋体" w:cs="Times New Roman"/>
          <w:sz w:val="24"/>
          <w:szCs w:val="24"/>
          <w:highlight w:val="none"/>
        </w:rPr>
        <w:t xml:space="preserve">完成设备供货</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安装、系统调试、竣工验收并正式交付使用</w:t>
      </w:r>
      <w:r>
        <w:rPr>
          <w:rFonts w:hint="eastAsia" w:ascii="宋体" w:hAnsi="宋体" w:cs="Times New Roman"/>
          <w:sz w:val="24"/>
          <w:szCs w:val="24"/>
          <w:highlight w:val="none"/>
        </w:rPr>
        <w:t xml:space="preserve">。</w:t>
      </w:r>
      <w:r/>
    </w:p>
    <w:p>
      <w:pPr>
        <w:ind w:firstLine="472"/>
        <w:jc w:val="left"/>
        <w:keepLines w:val="0"/>
        <w:keepNext w:val="0"/>
        <w:pageBreakBefore w:val="0"/>
        <w:spacing w:line="440" w:lineRule="exact"/>
        <w:rPr>
          <w:rFonts w:hint="eastAsia" w:ascii="宋体" w:hAnsi="宋体" w:cs="Times New Roman"/>
          <w:bCs/>
          <w:sz w:val="24"/>
          <w:szCs w:val="24"/>
          <w:highlight w:val="none"/>
        </w:rPr>
      </w:pPr>
      <w:r>
        <w:rPr>
          <w:rFonts w:hint="eastAsia" w:ascii="宋体" w:hAnsi="宋体" w:cs="Times New Roman"/>
          <w:b/>
          <w:sz w:val="24"/>
          <w:szCs w:val="24"/>
          <w:highlight w:val="none"/>
        </w:rPr>
        <w:t xml:space="preserve">4、验收：</w:t>
      </w:r>
      <w:r>
        <w:rPr>
          <w:rFonts w:hint="eastAsia" w:ascii="宋体" w:hAnsi="宋体" w:cs="宋体"/>
          <w:bCs/>
          <w:sz w:val="24"/>
          <w:szCs w:val="24"/>
          <w:highlight w:val="none"/>
        </w:rPr>
        <w:t xml:space="preserve">设备在运抵安装现场后，应由相关各方代表开箱验视，招标人在清点无误、检验合格后签字确认。设备安装完毕并符合技术文件要求，由招标人组织项目验收，合格后招标人出具验收合格证明材料。</w:t>
      </w:r>
      <w:r/>
    </w:p>
    <w:p>
      <w:pPr>
        <w:ind w:firstLine="482"/>
        <w:keepLines w:val="0"/>
        <w:keepNext w:val="0"/>
        <w:pageBreakBefore w:val="0"/>
        <w:spacing w:line="440" w:lineRule="exact"/>
        <w:rPr>
          <w:rFonts w:hint="eastAsia" w:ascii="宋体" w:hAnsi="宋体" w:cs="Times New Roman"/>
          <w:b/>
          <w:sz w:val="24"/>
          <w:szCs w:val="24"/>
          <w:highlight w:val="none"/>
        </w:rPr>
      </w:pPr>
      <w:r>
        <w:rPr>
          <w:rFonts w:hint="eastAsia" w:ascii="宋体" w:hAnsi="宋体" w:cs="Times New Roman"/>
          <w:b/>
          <w:sz w:val="24"/>
          <w:szCs w:val="24"/>
          <w:highlight w:val="none"/>
        </w:rPr>
        <w:t xml:space="preserve">5、售后服务要求</w:t>
      </w:r>
      <w:r/>
    </w:p>
    <w:p>
      <w:pPr>
        <w:ind w:firstLine="480"/>
        <w:keepLines w:val="0"/>
        <w:keepNext w:val="0"/>
        <w:pageBreakBefore w:val="0"/>
        <w:spacing w:line="440" w:lineRule="exact"/>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投标人应有效保证售后维修的及时性、快捷性，并负责提供技术支持，4小时响应，24小时到场进行处理，保证</w:t>
      </w:r>
      <w:r>
        <w:rPr>
          <w:rFonts w:hint="eastAsia" w:ascii="宋体" w:hAnsi="宋体" w:cs="Times New Roman"/>
          <w:bCs/>
          <w:sz w:val="24"/>
          <w:szCs w:val="24"/>
          <w:highlight w:val="none"/>
          <w:lang w:val="en-US" w:eastAsia="zh-CN"/>
        </w:rPr>
        <w:t xml:space="preserve">在免费质保期内</w:t>
      </w:r>
      <w:r>
        <w:rPr>
          <w:rFonts w:hint="eastAsia" w:ascii="宋体" w:hAnsi="宋体" w:cs="Times New Roman"/>
          <w:bCs/>
          <w:sz w:val="24"/>
          <w:szCs w:val="24"/>
          <w:highlight w:val="none"/>
        </w:rPr>
        <w:t xml:space="preserve">设备的正常运转。出现故障后，投标人如未按上述要求进行响应，招标人可以采取必要的补救措施，由此产生的风险和费用将由投标人承担。</w:t>
      </w:r>
      <w:r/>
    </w:p>
    <w:p>
      <w:pPr>
        <w:ind w:firstLine="480"/>
        <w:keepLines w:val="0"/>
        <w:keepNext w:val="0"/>
        <w:pageBreakBefore w:val="0"/>
        <w:spacing w:line="440" w:lineRule="exact"/>
        <w:rPr>
          <w:rFonts w:hint="eastAsia" w:ascii="宋体" w:hAnsi="宋体" w:cs="Times New Roman"/>
          <w:bCs/>
          <w:sz w:val="24"/>
          <w:szCs w:val="24"/>
          <w:highlight w:val="none"/>
        </w:rPr>
      </w:pPr>
      <w:r>
        <w:rPr>
          <w:rFonts w:hint="eastAsia" w:ascii="宋体" w:hAnsi="宋体" w:cs="宋体"/>
          <w:bCs/>
          <w:sz w:val="24"/>
          <w:szCs w:val="24"/>
          <w:highlight w:val="none"/>
          <w:lang w:val="en-US" w:eastAsia="zh-CN"/>
        </w:rPr>
        <w:t xml:space="preserve">投标人</w:t>
      </w:r>
      <w:r>
        <w:rPr>
          <w:rFonts w:hint="eastAsia" w:ascii="宋体" w:hAnsi="宋体" w:cs="宋体"/>
          <w:bCs/>
          <w:sz w:val="24"/>
          <w:szCs w:val="24"/>
          <w:highlight w:val="none"/>
        </w:rPr>
        <w:t xml:space="preserve">须制定完整、详细的培训计划、培训目标，对招标人的技术、操作人员进行详细</w:t>
      </w:r>
      <w:r>
        <w:rPr>
          <w:rFonts w:hint="eastAsia" w:ascii="宋体" w:hAnsi="宋体" w:cs="Times New Roman"/>
          <w:bCs/>
          <w:sz w:val="24"/>
          <w:szCs w:val="24"/>
          <w:highlight w:val="none"/>
        </w:rPr>
        <w:t xml:space="preserve">的培训，直至达到培训目标。</w:t>
      </w:r>
      <w:r/>
    </w:p>
    <w:p>
      <w:pPr>
        <w:ind w:firstLine="482"/>
        <w:keepLines w:val="0"/>
        <w:keepNext w:val="0"/>
        <w:pageBreakBefore w:val="0"/>
        <w:spacing w:line="440" w:lineRule="exact"/>
        <w:rPr>
          <w:rFonts w:hint="eastAsia" w:ascii="宋体" w:hAnsi="宋体" w:cs="Times New Roman"/>
          <w:b w:val="0"/>
          <w:bCs/>
          <w:sz w:val="24"/>
          <w:szCs w:val="24"/>
          <w:highlight w:val="none"/>
          <w:lang w:val="en-US" w:eastAsia="zh-CN"/>
        </w:rPr>
      </w:pPr>
      <w:r>
        <w:rPr>
          <w:rFonts w:hint="eastAsia" w:ascii="宋体" w:hAnsi="宋体" w:cs="Times New Roman"/>
          <w:b/>
          <w:bCs w:val="0"/>
          <w:sz w:val="24"/>
          <w:szCs w:val="24"/>
          <w:highlight w:val="none"/>
          <w:lang w:val="en-US" w:eastAsia="zh-CN"/>
        </w:rPr>
        <w:t xml:space="preserve">6、暂列金：</w:t>
      </w:r>
      <w:r>
        <w:rPr>
          <w:rFonts w:hint="eastAsia" w:ascii="宋体" w:hAnsi="宋体" w:cs="Times New Roman"/>
          <w:b w:val="0"/>
          <w:bCs/>
          <w:sz w:val="24"/>
          <w:szCs w:val="24"/>
          <w:highlight w:val="none"/>
          <w:lang w:val="en-US" w:eastAsia="zh-CN"/>
        </w:rPr>
        <w:t xml:space="preserve">本项目预算中包含人民币80000.00元暂列金，该费用属于招标人备用金，非中标人固定合同价款，投标人须将其单独列项且不得参与竞争。该笔资金严格遵循“实报实销”原则，仅用于支付经招标人书面确认的实际新增项目费用；项目竣工结算时，若未发生增补或资金有余额，剩余款项无条件归招标人所有不予支付。在计算各阶段进度款时，暂列金不计入支付基数，仅在最终审计结算时根据实际发生额进行核算。</w:t>
      </w:r>
      <w:r/>
    </w:p>
    <w:p>
      <w:pPr>
        <w:ind w:firstLine="482"/>
        <w:keepLines w:val="0"/>
        <w:keepNext w:val="0"/>
        <w:pageBreakBefore w:val="0"/>
        <w:spacing w:line="440" w:lineRule="exact"/>
        <w:rPr>
          <w:rFonts w:hint="default" w:ascii="宋体" w:hAnsi="宋体" w:cs="Times New Roman"/>
          <w:b w:val="0"/>
          <w:bCs/>
          <w:sz w:val="24"/>
          <w:szCs w:val="24"/>
          <w:highlight w:val="none"/>
          <w:lang w:val="en-US" w:eastAsia="zh-CN"/>
        </w:rPr>
      </w:pPr>
      <w:r>
        <w:rPr>
          <w:rFonts w:hint="eastAsia" w:ascii="宋体" w:hAnsi="宋体" w:cs="Times New Roman"/>
          <w:b/>
          <w:bCs w:val="0"/>
          <w:sz w:val="24"/>
          <w:szCs w:val="24"/>
          <w:highlight w:val="none"/>
          <w:lang w:val="en-US" w:eastAsia="zh-CN"/>
        </w:rPr>
        <w:t xml:space="preserve">7付款方式：</w:t>
      </w:r>
      <w:r>
        <w:rPr>
          <w:rFonts w:hint="eastAsia" w:ascii="宋体" w:hAnsi="宋体" w:cs="Times New Roman"/>
          <w:b w:val="0"/>
          <w:bCs/>
          <w:sz w:val="24"/>
          <w:szCs w:val="24"/>
          <w:highlight w:val="none"/>
          <w:lang w:val="en-US" w:eastAsia="zh-CN"/>
        </w:rPr>
        <w:t xml:space="preserve">甲乙双方签订合同后，甲方支付合同金额（扣除暂列金额）的30%；设备到货经甲方清点、检验合格后，支付至合同金额（扣除暂列金额）的70%；安装及系统调试完成并经验收审计完成后，经确认实际发生的变更签证金额，结清尾款。</w:t>
      </w:r>
      <w:r/>
    </w:p>
    <w:p>
      <w:pPr>
        <w:ind w:firstLine="482"/>
        <w:keepLines w:val="0"/>
        <w:keepNext w:val="0"/>
        <w:pageBreakBefore w:val="0"/>
        <w:spacing w:line="440" w:lineRule="exact"/>
        <w:rPr>
          <w:rFonts w:hint="eastAsia" w:ascii="宋体" w:hAnsi="宋体" w:cs="Times New Roman"/>
          <w:b/>
          <w:bCs w:val="0"/>
          <w:sz w:val="24"/>
          <w:szCs w:val="24"/>
          <w:highlight w:val="none"/>
          <w:lang w:val="en-US" w:eastAsia="zh-CN"/>
        </w:rPr>
      </w:pPr>
      <w:r>
        <w:rPr>
          <w:rFonts w:hint="eastAsia" w:ascii="宋体" w:hAnsi="宋体" w:cs="Times New Roman"/>
          <w:b/>
          <w:bCs w:val="0"/>
          <w:sz w:val="24"/>
          <w:szCs w:val="24"/>
          <w:highlight w:val="none"/>
          <w:lang w:val="en-US" w:eastAsia="zh-CN"/>
        </w:rPr>
        <w:t xml:space="preserve">8、履约保函</w:t>
      </w:r>
      <w:r/>
    </w:p>
    <w:p>
      <w:pPr>
        <w:ind w:firstLine="480"/>
        <w:keepLines w:val="0"/>
        <w:keepNext w:val="0"/>
        <w:pageBreakBefore w:val="0"/>
        <w:spacing w:line="440" w:lineRule="exact"/>
        <w:rPr>
          <w:rFonts w:hint="eastAsia" w:ascii="宋体" w:hAnsi="宋体" w:cs="Times New Roman"/>
          <w:bCs/>
          <w:sz w:val="24"/>
          <w:szCs w:val="24"/>
          <w:highlight w:val="none"/>
          <w:lang w:val="en-US" w:eastAsia="zh-CN"/>
        </w:rPr>
      </w:pPr>
      <w:r>
        <w:rPr>
          <w:rFonts w:hint="eastAsia" w:ascii="宋体" w:hAnsi="宋体" w:cs="Times New Roman"/>
          <w:bCs/>
          <w:sz w:val="24"/>
          <w:szCs w:val="24"/>
          <w:highlight w:val="none"/>
          <w:lang w:val="en-US" w:eastAsia="zh-CN"/>
        </w:rPr>
        <w:t xml:space="preserve">本合同签订之日起7个工作日内，中标人应向招标人缴纳合同总金额5%的由金融机构出具的独立履约保函，该保函需载明：（1）见索即付；（2）收到招标人法定代表人或授权委托代理人签字确认并加盖公章的书面索赔通知后即应不争辩、不挑剔、不可撤销地向招标人支付索赔款，直至最高担保金额；（3）有效期为保函开具之日起至项目验收合格止；（4）担保金额为合同金额的5%。如中标人提供的保函未载明前述内容的，招标人可以拒收该保函，并拒绝支付货款。</w:t>
      </w:r>
      <w:r/>
    </w:p>
    <w:p>
      <w:pPr>
        <w:numPr>
          <w:ilvl w:val="0"/>
          <w:numId w:val="0"/>
        </w:numPr>
        <w:ind w:firstLine="482"/>
        <w:jc w:val="left"/>
        <w:keepLines w:val="0"/>
        <w:keepNext w:val="0"/>
        <w:pageBreakBefore w:val="0"/>
        <w:spacing w:line="440" w:lineRule="exact"/>
        <w:rPr>
          <w:rFonts w:hint="eastAsia" w:ascii="宋体" w:hAnsi="宋体" w:cs="Arial"/>
          <w:bCs/>
          <w:sz w:val="24"/>
          <w:szCs w:val="24"/>
          <w:highlight w:val="none"/>
        </w:rPr>
      </w:pPr>
      <w:r>
        <w:rPr>
          <w:rFonts w:hint="eastAsia" w:ascii="宋体" w:hAnsi="宋体" w:cs="Arial"/>
          <w:b/>
          <w:sz w:val="24"/>
          <w:szCs w:val="24"/>
          <w:highlight w:val="none"/>
          <w:lang w:val="en-US" w:eastAsia="zh-CN"/>
        </w:rPr>
        <w:t xml:space="preserve">7、</w:t>
      </w:r>
      <w:r>
        <w:rPr>
          <w:rFonts w:hint="eastAsia" w:ascii="宋体" w:hAnsi="宋体" w:cs="Arial"/>
          <w:b/>
          <w:sz w:val="24"/>
          <w:szCs w:val="24"/>
          <w:highlight w:val="none"/>
        </w:rPr>
        <w:t xml:space="preserve">现场踏勘：</w:t>
      </w:r>
      <w:r>
        <w:rPr>
          <w:rFonts w:hint="eastAsia" w:ascii="宋体" w:hAnsi="宋体" w:cs="Arial"/>
          <w:bCs/>
          <w:sz w:val="24"/>
          <w:szCs w:val="24"/>
          <w:highlight w:val="none"/>
        </w:rPr>
        <w:t xml:space="preserve">本项目将组织一次现场勘查，时间：2026年7月</w:t>
      </w:r>
      <w:r>
        <w:rPr>
          <w:rFonts w:hint="eastAsia" w:ascii="宋体" w:hAnsi="宋体" w:cs="Arial"/>
          <w:bCs/>
          <w:sz w:val="24"/>
          <w:szCs w:val="24"/>
          <w:highlight w:val="none"/>
          <w:lang w:val="en-US" w:eastAsia="zh-CN"/>
        </w:rPr>
        <w:t xml:space="preserve">9</w:t>
      </w:r>
      <w:r>
        <w:rPr>
          <w:rFonts w:hint="eastAsia" w:ascii="宋体" w:hAnsi="宋体" w:cs="Arial"/>
          <w:bCs/>
          <w:sz w:val="24"/>
          <w:szCs w:val="24"/>
          <w:highlight w:val="none"/>
        </w:rPr>
        <w:t xml:space="preserve">日上午9点30分（各潜在投标供应商需在踏勘日期前2个工作日内联系踏勘联系人确认踏勘时间及地点并由供应商代表持本人身份证、携带企业法人营业执照复印件（加盖企业公章）、法人授权委托书准时到达指定勘察现场），投标人须在踏勘日期前联系确认时间和地点，如若无法联系上，错过现场勘查，请投标人自行承担以此造成的后果。未考察现场或考察作不详细的投标人中标后，不得以不完全了解现场情况为理由作为放弃中标的理由，或向招标人提出任何索赔及其他要求，对此招标人不承担任何责任并将不作任何答复。。</w:t>
      </w:r>
      <w:r/>
    </w:p>
    <w:p>
      <w:pPr>
        <w:numPr>
          <w:ilvl w:val="0"/>
          <w:numId w:val="0"/>
        </w:numPr>
        <w:ind w:firstLine="480"/>
        <w:jc w:val="left"/>
        <w:keepLines w:val="0"/>
        <w:keepNext w:val="0"/>
        <w:pageBreakBefore w:val="0"/>
        <w:spacing w:line="440" w:lineRule="exact"/>
        <w:rPr>
          <w:rFonts w:hint="default"/>
          <w:highlight w:val="none"/>
          <w:lang w:val="en-US" w:eastAsia="zh-CN"/>
        </w:rPr>
      </w:pPr>
      <w:r>
        <w:rPr>
          <w:rFonts w:hint="eastAsia" w:ascii="宋体" w:hAnsi="宋体" w:cs="Arial"/>
          <w:bCs/>
          <w:sz w:val="24"/>
          <w:szCs w:val="24"/>
          <w:highlight w:val="none"/>
        </w:rPr>
        <w:t xml:space="preserve">踏勘联系人及联系电话：</w:t>
      </w:r>
      <w:r>
        <w:rPr>
          <w:rFonts w:hint="eastAsia" w:ascii="宋体" w:hAnsi="宋体" w:cs="Arial"/>
          <w:bCs/>
          <w:sz w:val="24"/>
          <w:szCs w:val="24"/>
          <w:highlight w:val="none"/>
          <w:lang w:val="en-US" w:eastAsia="zh-CN"/>
        </w:rPr>
        <w:t xml:space="preserve">赵工</w:t>
      </w:r>
      <w:r>
        <w:rPr>
          <w:rFonts w:hint="eastAsia" w:ascii="宋体" w:hAnsi="宋体" w:cs="Arial"/>
          <w:bCs/>
          <w:sz w:val="24"/>
          <w:szCs w:val="24"/>
          <w:highlight w:val="none"/>
        </w:rPr>
        <w:t xml:space="preserve">，17751780859</w:t>
      </w:r>
      <w:r>
        <w:rPr>
          <w:rFonts w:hint="eastAsia" w:ascii="宋体" w:hAnsi="宋体" w:cs="Arial"/>
          <w:bCs/>
          <w:sz w:val="24"/>
          <w:szCs w:val="24"/>
          <w:highlight w:val="none"/>
          <w:lang w:val="en-US" w:eastAsia="zh-CN"/>
        </w:rPr>
        <w:t xml:space="preserve">。</w:t>
      </w:r>
      <w:r/>
    </w:p>
    <w:p>
      <w:pPr>
        <w:ind w:firstLine="470"/>
        <w:jc w:val="left"/>
        <w:keepLines w:val="0"/>
        <w:keepNext w:val="0"/>
        <w:pageBreakBefore w:val="0"/>
        <w:spacing w:line="440" w:lineRule="exact"/>
        <w:rPr>
          <w:rFonts w:hint="eastAsia" w:ascii="宋体" w:hAnsi="宋体" w:cs="宋体"/>
          <w:bCs/>
          <w:sz w:val="24"/>
          <w:szCs w:val="24"/>
          <w:highlight w:val="none"/>
        </w:rPr>
      </w:pPr>
      <w:r>
        <w:rPr>
          <w:rFonts w:hint="eastAsia" w:ascii="宋体" w:hAnsi="宋体" w:cs="Times New Roman"/>
          <w:bCs/>
          <w:sz w:val="24"/>
          <w:szCs w:val="24"/>
          <w:highlight w:val="none"/>
          <w:lang w:val="en-US" w:eastAsia="zh-CN"/>
        </w:rPr>
        <w:t xml:space="preserve">8</w:t>
      </w:r>
      <w:r>
        <w:rPr>
          <w:rFonts w:hint="eastAsia" w:ascii="宋体" w:hAnsi="宋体" w:cs="Times New Roman"/>
          <w:bCs/>
          <w:sz w:val="24"/>
          <w:szCs w:val="24"/>
          <w:highlight w:val="none"/>
        </w:rPr>
        <w:t xml:space="preserve">、</w:t>
      </w:r>
      <w:r>
        <w:rPr>
          <w:rFonts w:hint="eastAsia" w:ascii="宋体" w:hAnsi="宋体" w:cs="宋体"/>
          <w:b/>
          <w:bCs/>
          <w:sz w:val="24"/>
          <w:szCs w:val="24"/>
          <w:highlight w:val="none"/>
        </w:rPr>
        <w:t xml:space="preserve">★</w:t>
      </w:r>
      <w:r>
        <w:rPr>
          <w:rFonts w:hint="eastAsia" w:ascii="宋体" w:hAnsi="宋体" w:cs="Times New Roman"/>
          <w:bCs/>
          <w:sz w:val="24"/>
          <w:szCs w:val="24"/>
          <w:highlight w:val="none"/>
        </w:rPr>
        <w:t xml:space="preserve">投标人应保证，如能中标，招标人在使用中标设备时，免受第三方提出的侵犯其专利权、商标权或工业设计权的起诉。</w:t>
      </w:r>
      <w:r/>
    </w:p>
    <w:p>
      <w:pPr>
        <w:jc w:val="both"/>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2"/>
        <w:jc w:val="left"/>
        <w:keepLines w:val="0"/>
        <w:keepNext w:val="0"/>
        <w:pageBreakBefore w:val="0"/>
        <w:spacing w:line="440" w:lineRule="exact"/>
        <w:rPr>
          <w:rFonts w:hint="eastAsia" w:ascii="宋体" w:hAnsi="宋体" w:cs="宋体"/>
          <w:b/>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（投标人应能够完全满足以上“</w:t>
      </w:r>
      <w:bookmarkStart w:id="445" w:name="OLE_LINK5"/>
      <w:r>
        <w:rPr>
          <w:rFonts w:hint="eastAsia" w:ascii="宋体" w:hAnsi="宋体" w:cs="宋体"/>
          <w:b/>
          <w:bCs/>
          <w:sz w:val="24"/>
          <w:szCs w:val="24"/>
          <w:highlight w:val="none"/>
        </w:rPr>
        <w:t xml:space="preserve">★</w:t>
      </w:r>
      <w:bookmarkEnd w:id="445"/>
      <w:r>
        <w:rPr>
          <w:rFonts w:hint="eastAsia" w:ascii="宋体" w:hAnsi="宋体" w:cs="宋体"/>
          <w:b/>
          <w:bCs/>
          <w:sz w:val="24"/>
          <w:szCs w:val="24"/>
          <w:highlight w:val="none"/>
        </w:rPr>
        <w:t xml:space="preserve">”实质性条款，不接受负偏离，否则会导致投标被否决。）</w:t>
      </w:r>
      <w:r/>
    </w:p>
    <w:p>
      <w:pPr>
        <w:jc w:val="both"/>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rPr>
          <w:highlight w:val="none"/>
          <w:lang w:val="zh-TW" w:eastAsia="zh-TW"/>
        </w:rPr>
      </w:pPr>
      <w:r>
        <w:rPr>
          <w:rFonts w:hint="eastAsia" w:ascii="宋体" w:hAnsi="宋体" w:cs="Times New Roman"/>
          <w:b/>
          <w:bCs/>
          <w:sz w:val="24"/>
          <w:szCs w:val="24"/>
          <w:highlight w:val="none"/>
        </w:rPr>
        <w:br w:type="page" w:clear="all"/>
      </w:r>
      <w:r/>
    </w:p>
    <w:p>
      <w:pPr>
        <w:rPr>
          <w:highlight w:val="none"/>
          <w:lang w:val="zh-TW" w:eastAsia="zh-TW"/>
        </w:rPr>
      </w:pPr>
      <w:r/>
      <w:bookmarkStart w:id="446" w:name="_Toc29558"/>
      <w:r/>
      <w:r/>
    </w:p>
    <w:p>
      <w:pPr>
        <w:jc w:val="center"/>
        <w:keepLines/>
        <w:keepNext/>
        <w:spacing w:before="312" w:after="312" w:line="360" w:lineRule="auto"/>
        <w:rPr>
          <w:rFonts w:hint="default" w:ascii="黑体" w:eastAsia="黑体" w:cs="黑体"/>
          <w:color w:val="auto"/>
          <w:sz w:val="36"/>
          <w:szCs w:val="36"/>
          <w:highlight w:val="none"/>
          <w:lang w:val="en-US" w:eastAsia="zh-CN"/>
        </w:rPr>
        <w:outlineLvl w:val="0"/>
      </w:pPr>
      <w:r>
        <w:rPr>
          <w:rFonts w:ascii="黑体" w:eastAsia="黑体" w:cs="黑体"/>
          <w:color w:val="auto"/>
          <w:sz w:val="36"/>
          <w:szCs w:val="36"/>
          <w:highlight w:val="none"/>
          <w:lang w:val="zh-TW" w:eastAsia="zh-TW"/>
        </w:rPr>
        <w:t xml:space="preserve">第</w:t>
      </w:r>
      <w:r>
        <w:rPr>
          <w:rFonts w:hint="eastAsia" w:ascii="黑体" w:eastAsia="黑体" w:cs="黑体"/>
          <w:color w:val="auto"/>
          <w:sz w:val="36"/>
          <w:szCs w:val="36"/>
          <w:highlight w:val="none"/>
          <w:lang w:val="zh-TW" w:eastAsia="zh-TW"/>
        </w:rPr>
        <w:t xml:space="preserve">五</w:t>
      </w:r>
      <w:r>
        <w:rPr>
          <w:rFonts w:ascii="黑体" w:eastAsia="黑体" w:cs="黑体"/>
          <w:color w:val="auto"/>
          <w:sz w:val="36"/>
          <w:szCs w:val="36"/>
          <w:highlight w:val="none"/>
          <w:lang w:val="zh-TW" w:eastAsia="zh-TW"/>
        </w:rPr>
        <w:t xml:space="preserve">章  </w:t>
      </w:r>
      <w:r>
        <w:rPr>
          <w:rFonts w:hint="eastAsia" w:ascii="黑体" w:eastAsia="黑体" w:cs="黑体"/>
          <w:color w:val="auto"/>
          <w:sz w:val="36"/>
          <w:szCs w:val="36"/>
          <w:highlight w:val="none"/>
          <w:lang w:val="zh-TW" w:eastAsia="zh-TW"/>
        </w:rPr>
        <w:t xml:space="preserve">评标方法与评标标准</w:t>
      </w:r>
      <w:bookmarkEnd w:id="446"/>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一</w:t>
      </w:r>
      <w:r>
        <w:rPr>
          <w:rFonts w:ascii="宋体"/>
          <w:b/>
          <w:color w:val="auto"/>
          <w:sz w:val="24"/>
          <w:szCs w:val="24"/>
          <w:highlight w:val="none"/>
        </w:rPr>
        <w:t xml:space="preserve">、评标方法与定标原则</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评标委员会将对确定为实质性响应招标文件要求的投标文件进行评价和比较，评标采用综合评分法。对未中标人，将不作任何解释。</w:t>
      </w:r>
      <w:r/>
    </w:p>
    <w:p>
      <w:pPr>
        <w:ind w:firstLine="480"/>
        <w:spacing w:line="360" w:lineRule="auto"/>
        <w:rPr>
          <w:rFonts w:ascii="宋体"/>
          <w:color w:val="auto"/>
          <w:sz w:val="24"/>
          <w:szCs w:val="24"/>
          <w:highlight w:val="none"/>
        </w:rPr>
      </w:pPr>
      <w:r>
        <w:rPr>
          <w:rFonts w:hint="eastAsia" w:ascii="宋体"/>
          <w:bCs/>
          <w:color w:val="auto"/>
          <w:sz w:val="24"/>
          <w:szCs w:val="24"/>
          <w:highlight w:val="none"/>
        </w:rPr>
        <w:t xml:space="preserve">采用综合评分法的，按评审后综合得分由高到低顺序排列。综合得分相同的，按投标报价由低到高顺序排列。综合得分且投标报价相同的，按技术指标优劣顺序排列。</w:t>
      </w:r>
      <w:r/>
    </w:p>
    <w:p>
      <w:pPr>
        <w:numPr>
          <w:ilvl w:val="0"/>
          <w:numId w:val="4"/>
        </w:numPr>
        <w:ind w:firstLine="482"/>
        <w:spacing w:line="360" w:lineRule="auto"/>
        <w:rPr>
          <w:rFonts w:ascii="宋体"/>
          <w:b/>
          <w:color w:val="auto"/>
          <w:sz w:val="24"/>
          <w:szCs w:val="24"/>
          <w:highlight w:val="none"/>
        </w:rPr>
      </w:pPr>
      <w:r>
        <w:rPr>
          <w:rFonts w:ascii="宋体"/>
          <w:b/>
          <w:color w:val="auto"/>
          <w:sz w:val="24"/>
          <w:szCs w:val="24"/>
          <w:highlight w:val="none"/>
        </w:rPr>
        <w:t xml:space="preserve">评标标准</w:t>
      </w:r>
      <w:r/>
    </w:p>
    <w:tbl>
      <w:tblPr>
        <w:tblStyle w:val="920"/>
        <w:tblW w:w="99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9"/>
        <w:gridCol w:w="1722"/>
        <w:gridCol w:w="6345"/>
        <w:gridCol w:w="706"/>
      </w:tblGrid>
      <w:tr>
        <w:trPr>
          <w:trHeight w:val="455"/>
        </w:trPr>
        <w:tc>
          <w:tcPr>
            <w:tcW w:w="1189" w:type="dxa"/>
            <w:vAlign w:val="center"/>
            <w:textDirection w:val="lrTb"/>
            <w:noWrap/>
          </w:tcPr>
          <w:p>
            <w:pPr>
              <w:jc w:val="center"/>
              <w:keepLines w:val="0"/>
              <w:keepNext w:val="0"/>
              <w:pageBreakBefore w:val="0"/>
              <w:spacing w:line="360" w:lineRule="exact"/>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序号</w:t>
            </w:r>
            <w:r/>
          </w:p>
        </w:tc>
        <w:tc>
          <w:tcPr>
            <w:tcW w:w="1722" w:type="dxa"/>
            <w:vAlign w:val="center"/>
            <w:textDirection w:val="lrTb"/>
            <w:noWrap/>
          </w:tcPr>
          <w:p>
            <w:pPr>
              <w:jc w:val="center"/>
              <w:keepLines w:val="0"/>
              <w:keepNext w:val="0"/>
              <w:pageBreakBefore w:val="0"/>
              <w:spacing w:line="360" w:lineRule="exact"/>
              <w:widowControl/>
              <w:rPr>
                <w:rFonts w:ascii="宋体" w:hAnsi="宋体" w:eastAsia="宋体" w:cs="宋体"/>
                <w:b/>
                <w:bCs/>
                <w:color w:val="000000"/>
                <w:szCs w:val="21"/>
                <w:highlight w:val="none"/>
                <w:lang w:bidi="ar"/>
              </w:rPr>
            </w:pPr>
            <w:r>
              <w:rPr>
                <w:rFonts w:hint="eastAsia" w:ascii="宋体" w:hAnsi="宋体" w:eastAsia="宋体" w:cs="宋体"/>
                <w:b/>
                <w:szCs w:val="21"/>
                <w:highlight w:val="none"/>
              </w:rPr>
              <w:t xml:space="preserve">评审因素</w:t>
            </w:r>
            <w:r/>
          </w:p>
        </w:tc>
        <w:tc>
          <w:tcPr>
            <w:tcW w:w="6345" w:type="dxa"/>
            <w:vAlign w:val="center"/>
            <w:textDirection w:val="lrTb"/>
            <w:noWrap/>
          </w:tcPr>
          <w:p>
            <w:pPr>
              <w:jc w:val="center"/>
              <w:keepLines w:val="0"/>
              <w:keepNext w:val="0"/>
              <w:pageBreakBefore w:val="0"/>
              <w:spacing w:line="360" w:lineRule="exact"/>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评分标准</w:t>
            </w:r>
            <w:r/>
          </w:p>
        </w:tc>
        <w:tc>
          <w:tcPr>
            <w:tcW w:w="706" w:type="dxa"/>
            <w:vAlign w:val="center"/>
            <w:textDirection w:val="lrTb"/>
            <w:noWrap/>
          </w:tcPr>
          <w:p>
            <w:pPr>
              <w:jc w:val="both"/>
              <w:keepLines w:val="0"/>
              <w:keepNext w:val="0"/>
              <w:pageBreakBefore w:val="0"/>
              <w:spacing w:line="360" w:lineRule="exact"/>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分值</w:t>
            </w:r>
            <w:r/>
          </w:p>
        </w:tc>
      </w:tr>
      <w:tr>
        <w:trPr>
          <w:trHeight w:val="300"/>
        </w:trPr>
        <w:tc>
          <w:tcPr>
            <w:tcW w:w="1189" w:type="dxa"/>
            <w:vAlign w:val="center"/>
            <w:textDirection w:val="lrTb"/>
            <w:noWrap/>
          </w:tcPr>
          <w:p>
            <w:pPr>
              <w:jc w:val="center"/>
              <w:keepLines w:val="0"/>
              <w:keepNext w:val="0"/>
              <w:pageBreakBefore w:val="0"/>
              <w:spacing w:line="360" w:lineRule="exact"/>
              <w:widowControl/>
              <w:rPr>
                <w:rFonts w:ascii="宋体" w:hAnsi="宋体" w:eastAsia="宋体" w:cs="宋体"/>
                <w:b w:val="0"/>
                <w:bCs w:val="0"/>
                <w:color w:val="000000"/>
                <w:szCs w:val="21"/>
                <w:highlight w:val="none"/>
                <w:lang w:bidi="ar"/>
              </w:rPr>
            </w:pPr>
            <w:r>
              <w:rPr>
                <w:rFonts w:hint="eastAsia" w:ascii="宋体" w:hAnsi="宋体" w:eastAsia="宋体" w:cs="宋体"/>
                <w:b w:val="0"/>
                <w:bCs w:val="0"/>
                <w:color w:val="000000"/>
                <w:szCs w:val="21"/>
                <w:highlight w:val="none"/>
              </w:rPr>
              <w:t xml:space="preserve">1</w:t>
            </w:r>
            <w:r/>
          </w:p>
        </w:tc>
        <w:tc>
          <w:tcPr>
            <w:tcW w:w="1722" w:type="dxa"/>
            <w:vAlign w:val="center"/>
            <w:textDirection w:val="lrTb"/>
            <w:noWrap/>
          </w:tcPr>
          <w:p>
            <w:pPr>
              <w:jc w:val="center"/>
              <w:keepLines w:val="0"/>
              <w:keepNext w:val="0"/>
              <w:pageBreakBefore w:val="0"/>
              <w:spacing w:line="360" w:lineRule="exact"/>
              <w:widowControl/>
              <w:rPr>
                <w:rFonts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bidi="ar"/>
              </w:rPr>
              <w:t xml:space="preserve">价格</w:t>
            </w:r>
            <w:r/>
          </w:p>
        </w:tc>
        <w:tc>
          <w:tcPr>
            <w:tcW w:w="6345" w:type="dxa"/>
            <w:vAlign w:val="center"/>
            <w:textDirection w:val="lrTb"/>
            <w:noWrap/>
          </w:tcPr>
          <w:p>
            <w:pPr>
              <w:jc w:val="both"/>
              <w:keepLines w:val="0"/>
              <w:keepNext w:val="0"/>
              <w:pageBreakBefore w:val="0"/>
              <w:spacing w:line="360" w:lineRule="exact"/>
              <w:rPr>
                <w:rFonts w:ascii="宋体" w:hAnsi="宋体" w:eastAsia="宋体" w:cs="宋体"/>
                <w:szCs w:val="21"/>
                <w:highlight w:val="none"/>
              </w:rPr>
            </w:pPr>
            <w:r>
              <w:rPr>
                <w:rFonts w:hint="eastAsia" w:ascii="宋体" w:hAnsi="宋体" w:eastAsia="宋体" w:cs="宋体"/>
                <w:szCs w:val="21"/>
                <w:highlight w:val="none"/>
              </w:rPr>
              <w:t xml:space="preserve">满足招标文件要求且投标价格最低的投标报价为评标基准价，其价格分为满分，其他投标人的价格分按下列公式计算：</w:t>
            </w:r>
            <w:r/>
          </w:p>
          <w:p>
            <w:pPr>
              <w:jc w:val="both"/>
              <w:keepLines w:val="0"/>
              <w:keepNext w:val="0"/>
              <w:pageBreakBefore w:val="0"/>
              <w:spacing w:line="360" w:lineRule="exact"/>
              <w:widowControl/>
              <w:rPr>
                <w:rFonts w:ascii="宋体" w:hAnsi="宋体" w:eastAsia="宋体" w:cs="宋体"/>
                <w:b/>
                <w:bCs/>
                <w:color w:val="000000"/>
                <w:szCs w:val="21"/>
                <w:highlight w:val="none"/>
                <w:lang w:bidi="ar"/>
              </w:rPr>
            </w:pPr>
            <w:r>
              <w:rPr>
                <w:rFonts w:hint="eastAsia" w:ascii="宋体" w:hAnsi="宋体" w:eastAsia="宋体" w:cs="宋体"/>
                <w:szCs w:val="21"/>
                <w:highlight w:val="none"/>
              </w:rPr>
              <w:t xml:space="preserve">投标报价得分＝（评标基准价/投标报价）×</w:t>
            </w:r>
            <w:r>
              <w:rPr>
                <w:rFonts w:hint="eastAsia" w:ascii="宋体" w:hAnsi="宋体" w:cs="宋体"/>
                <w:szCs w:val="21"/>
                <w:highlight w:val="none"/>
                <w:lang w:val="en-US" w:eastAsia="zh-CN"/>
              </w:rPr>
              <w:t xml:space="preserve">30</w:t>
            </w:r>
            <w:r>
              <w:rPr>
                <w:rFonts w:hint="eastAsia" w:ascii="宋体" w:hAnsi="宋体" w:eastAsia="宋体" w:cs="宋体"/>
                <w:szCs w:val="21"/>
                <w:highlight w:val="none"/>
              </w:rPr>
              <w:t xml:space="preserve">（得分四舍五入保留到小数点后两位）</w:t>
            </w:r>
            <w:r/>
          </w:p>
        </w:tc>
        <w:tc>
          <w:tcPr>
            <w:tcW w:w="706" w:type="dxa"/>
            <w:vAlign w:val="center"/>
            <w:textDirection w:val="lrTb"/>
            <w:noWrap/>
          </w:tcPr>
          <w:p>
            <w:pPr>
              <w:jc w:val="center"/>
              <w:keepLines w:val="0"/>
              <w:keepNext w:val="0"/>
              <w:pageBreakBefore w:val="0"/>
              <w:spacing w:line="360" w:lineRule="exact"/>
              <w:widowControl/>
              <w:rPr>
                <w:rFonts w:hint="default" w:ascii="宋体" w:hAnsi="宋体" w:eastAsia="宋体" w:cs="宋体"/>
                <w:b/>
                <w:bCs/>
                <w:color w:val="000000"/>
                <w:szCs w:val="21"/>
                <w:highlight w:val="none"/>
                <w:lang w:val="en-US" w:eastAsia="zh-CN" w:bidi="ar"/>
              </w:rPr>
            </w:pPr>
            <w:r>
              <w:rPr>
                <w:rFonts w:hint="eastAsia" w:ascii="宋体" w:hAnsi="宋体" w:cs="宋体"/>
                <w:color w:val="000000"/>
                <w:szCs w:val="21"/>
                <w:highlight w:val="none"/>
                <w:lang w:val="en-US" w:eastAsia="zh-CN"/>
              </w:rPr>
              <w:t xml:space="preserve">30</w:t>
            </w:r>
            <w:r/>
          </w:p>
        </w:tc>
      </w:tr>
      <w:tr>
        <w:trPr>
          <w:trHeight w:val="300"/>
        </w:trPr>
        <w:tc>
          <w:tcPr>
            <w:tcW w:w="1189" w:type="dxa"/>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lang w:val="en-US" w:eastAsia="zh-CN"/>
              </w:rPr>
              <w:t xml:space="preserve">2</w:t>
            </w:r>
            <w:r/>
          </w:p>
        </w:tc>
        <w:tc>
          <w:tcPr>
            <w:tcW w:w="1722" w:type="dxa"/>
            <w:vAlign w:val="center"/>
            <w:textDirection w:val="lrTb"/>
            <w:noWrap/>
          </w:tcPr>
          <w:p>
            <w:pPr>
              <w:jc w:val="center"/>
              <w:keepLines w:val="0"/>
              <w:keepNext w:val="0"/>
              <w:pageBreakBefore w:val="0"/>
              <w:spacing w:line="360" w:lineRule="exact"/>
              <w:widowControl/>
              <w:rPr>
                <w:rFonts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bidi="ar"/>
              </w:rPr>
              <w:t xml:space="preserve">供应商业绩</w:t>
            </w:r>
            <w:r/>
          </w:p>
        </w:tc>
        <w:tc>
          <w:tcPr>
            <w:tcW w:w="6345" w:type="dxa"/>
            <w:vAlign w:val="center"/>
            <w:textDirection w:val="lrTb"/>
            <w:noWrap/>
          </w:tcPr>
          <w:p>
            <w:pPr>
              <w:jc w:val="both"/>
              <w:keepLines w:val="0"/>
              <w:keepNext w:val="0"/>
              <w:pageBreakBefore w:val="0"/>
              <w:spacing w:line="360" w:lineRule="exact"/>
              <w:rPr>
                <w:rFonts w:ascii="宋体" w:hAnsi="宋体" w:eastAsia="宋体" w:cs="宋体"/>
                <w:color w:val="000000"/>
                <w:szCs w:val="21"/>
                <w:highlight w:val="none"/>
              </w:rPr>
            </w:pPr>
            <w:r>
              <w:rPr>
                <w:rFonts w:hint="eastAsia" w:ascii="宋体" w:hAnsi="宋体" w:eastAsia="宋体" w:cs="宋体"/>
                <w:szCs w:val="21"/>
                <w:highlight w:val="none"/>
              </w:rPr>
              <w:t xml:space="preserve">投标人自202</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年</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月起至今，具有类似中央空调</w:t>
            </w:r>
            <w:r>
              <w:rPr>
                <w:rFonts w:hint="eastAsia" w:ascii="宋体" w:hAnsi="宋体" w:cs="宋体"/>
                <w:szCs w:val="21"/>
                <w:highlight w:val="none"/>
                <w:lang w:val="en-US" w:eastAsia="zh-CN"/>
              </w:rPr>
              <w:t xml:space="preserve">采购及安装项目</w:t>
            </w:r>
            <w:r>
              <w:rPr>
                <w:rFonts w:hint="eastAsia" w:ascii="宋体" w:hAnsi="宋体" w:eastAsia="宋体" w:cs="宋体"/>
                <w:szCs w:val="21"/>
                <w:highlight w:val="none"/>
              </w:rPr>
              <w:t xml:space="preserve">业绩的，每提供一份业绩得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分，本项最高得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分，没有不得分。（提供合同，以及竣工证明或验收证明二者其一，同时具备加盖投标单位电子签章，以合同签订日期为准，未提供不得分。）</w:t>
            </w:r>
            <w:r/>
          </w:p>
        </w:tc>
        <w:tc>
          <w:tcPr>
            <w:tcW w:w="706" w:type="dxa"/>
            <w:vAlign w:val="center"/>
            <w:textDirection w:val="lrTb"/>
            <w:noWrap/>
          </w:tcPr>
          <w:p>
            <w:pPr>
              <w:jc w:val="center"/>
              <w:keepLines w:val="0"/>
              <w:keepNext w:val="0"/>
              <w:pageBreakBefore w:val="0"/>
              <w:spacing w:line="360" w:lineRule="exac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w:t>
            </w:r>
            <w:r/>
          </w:p>
        </w:tc>
      </w:tr>
      <w:tr>
        <w:trPr>
          <w:trHeight w:val="300"/>
        </w:trPr>
        <w:tc>
          <w:tcPr>
            <w:tcW w:w="1189" w:type="dxa"/>
            <w:vAlign w:val="center"/>
            <w:textDirection w:val="lrTb"/>
            <w:noWrap/>
          </w:tcPr>
          <w:p>
            <w:pPr>
              <w:jc w:val="center"/>
              <w:keepLines w:val="0"/>
              <w:keepNext w:val="0"/>
              <w:pageBreakBefore w:val="0"/>
              <w:spacing w:line="360" w:lineRule="exact"/>
              <w:rPr>
                <w:rFonts w:hint="default"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3</w:t>
            </w:r>
            <w:r/>
          </w:p>
        </w:tc>
        <w:tc>
          <w:tcPr>
            <w:tcW w:w="1722" w:type="dxa"/>
            <w:vAlign w:val="center"/>
            <w:textDirection w:val="lrTb"/>
            <w:noWrap/>
          </w:tcPr>
          <w:p>
            <w:pPr>
              <w:jc w:val="center"/>
              <w:keepLines w:val="0"/>
              <w:keepNext w:val="0"/>
              <w:pageBreakBefore w:val="0"/>
              <w:spacing w:line="360" w:lineRule="exact"/>
              <w:widowControl/>
              <w:rPr>
                <w:rFonts w:hint="default" w:ascii="宋体" w:hAnsi="宋体" w:eastAsia="宋体" w:cs="宋体"/>
                <w:b w:val="0"/>
                <w:bCs w:val="0"/>
                <w:color w:val="000000"/>
                <w:szCs w:val="21"/>
                <w:highlight w:val="none"/>
                <w:lang w:val="en-US" w:eastAsia="zh-CN" w:bidi="ar"/>
              </w:rPr>
            </w:pPr>
            <w:r>
              <w:rPr>
                <w:rFonts w:hint="eastAsia" w:ascii="宋体" w:hAnsi="宋体" w:cs="宋体"/>
                <w:b w:val="0"/>
                <w:bCs w:val="0"/>
                <w:color w:val="000000"/>
                <w:szCs w:val="21"/>
                <w:highlight w:val="none"/>
                <w:lang w:val="en-US" w:eastAsia="zh-CN" w:bidi="ar"/>
              </w:rPr>
              <w:t xml:space="preserve">技术能力</w:t>
            </w:r>
            <w:r/>
          </w:p>
        </w:tc>
        <w:tc>
          <w:tcPr>
            <w:tcW w:w="6345" w:type="dxa"/>
            <w:vAlign w:val="center"/>
            <w:textDirection w:val="lrTb"/>
            <w:noWrap/>
          </w:tcPr>
          <w:p>
            <w:pPr>
              <w:pStyle w:val="921"/>
              <w:spacing w:line="360" w:lineRule="auto"/>
              <w:rPr>
                <w:rFonts w:hint="eastAsia" w:ascii="宋体" w:hAnsi="宋体" w:eastAsia="宋体" w:cs="宋体"/>
                <w:bCs w:val="0"/>
                <w:color w:val="auto"/>
                <w:sz w:val="21"/>
                <w:szCs w:val="21"/>
                <w:highlight w:val="none"/>
                <w:lang w:val="en-US" w:eastAsia="zh-CN" w:bidi="ar-SA"/>
              </w:rPr>
            </w:pPr>
            <w:r>
              <w:rPr>
                <w:rFonts w:hint="eastAsia" w:ascii="宋体" w:hAnsi="宋体" w:eastAsia="宋体" w:cs="宋体"/>
                <w:bCs w:val="0"/>
                <w:color w:val="auto"/>
                <w:sz w:val="21"/>
                <w:szCs w:val="21"/>
                <w:highlight w:val="none"/>
                <w:lang w:val="en-US" w:eastAsia="zh-CN" w:bidi="ar-SA"/>
              </w:rPr>
              <w:t xml:space="preserve">对招标文件具体需求的响应程度：全部响应即满足招标文件的技术和服务等要求的</w:t>
            </w:r>
            <w:r>
              <w:rPr>
                <w:rFonts w:hint="eastAsia" w:ascii="宋体" w:eastAsia="宋体" w:cs="宋体"/>
                <w:bCs w:val="0"/>
                <w:color w:val="auto"/>
                <w:sz w:val="21"/>
                <w:szCs w:val="21"/>
                <w:highlight w:val="none"/>
                <w:lang w:val="en-US" w:eastAsia="zh-CN" w:bidi="ar-SA"/>
              </w:rPr>
              <w:t xml:space="preserve">25</w:t>
            </w:r>
            <w:r>
              <w:rPr>
                <w:rFonts w:hint="eastAsia" w:ascii="宋体" w:hAnsi="宋体" w:eastAsia="宋体" w:cs="宋体"/>
                <w:bCs w:val="0"/>
                <w:color w:val="auto"/>
                <w:sz w:val="21"/>
                <w:szCs w:val="21"/>
                <w:highlight w:val="none"/>
                <w:lang w:val="en-US" w:eastAsia="zh-CN" w:bidi="ar-SA"/>
              </w:rPr>
              <w:t xml:space="preserve">分；其中标注“★”的内容为实质性要求，如有任何一项不满足则为无效投标；标注“▲”的内容有负偏离的每项减3分，其余</w:t>
            </w:r>
            <w:r>
              <w:rPr>
                <w:rFonts w:hint="eastAsia" w:ascii="宋体" w:eastAsia="宋体" w:cs="宋体"/>
                <w:bCs w:val="0"/>
                <w:color w:val="auto"/>
                <w:sz w:val="21"/>
                <w:szCs w:val="21"/>
                <w:highlight w:val="none"/>
                <w:lang w:val="en-US" w:eastAsia="zh-CN" w:bidi="ar-SA"/>
              </w:rPr>
              <w:t xml:space="preserve">内容</w:t>
            </w:r>
            <w:r>
              <w:rPr>
                <w:rFonts w:hint="eastAsia" w:ascii="宋体" w:hAnsi="宋体" w:eastAsia="宋体" w:cs="宋体"/>
                <w:bCs w:val="0"/>
                <w:color w:val="auto"/>
                <w:sz w:val="21"/>
                <w:szCs w:val="21"/>
                <w:highlight w:val="none"/>
                <w:lang w:val="en-US" w:eastAsia="zh-CN" w:bidi="ar-SA"/>
              </w:rPr>
              <w:t xml:space="preserve">有负偏离的每项减1分，扣完为止。（如招标文件要求提供相应证明材料的，应在偏离表中注明证明材料所在投标文件的页码位置，否则评标委员会有权做负偏离处理）</w:t>
            </w:r>
            <w:r/>
          </w:p>
          <w:p>
            <w:pPr>
              <w:rPr>
                <w:rFonts w:hint="default"/>
                <w:highlight w:val="none"/>
                <w:lang w:val="en-US" w:eastAsia="zh-CN"/>
              </w:rPr>
            </w:pPr>
            <w:r>
              <w:rPr>
                <w:rFonts w:hint="default"/>
                <w:highlight w:val="none"/>
                <w:lang w:val="en-US" w:eastAsia="zh-CN"/>
              </w:rPr>
            </w:r>
            <w:r/>
          </w:p>
        </w:tc>
        <w:tc>
          <w:tcPr>
            <w:tcW w:w="706" w:type="dxa"/>
            <w:vAlign w:val="center"/>
            <w:textDirection w:val="lrTb"/>
            <w:noWrap/>
          </w:tcPr>
          <w:p>
            <w:pPr>
              <w:jc w:val="center"/>
              <w:keepLines w:val="0"/>
              <w:keepNext w:val="0"/>
              <w:pageBreakBefore w:val="0"/>
              <w:spacing w:line="360" w:lineRule="exact"/>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25</w:t>
            </w:r>
            <w:r/>
          </w:p>
        </w:tc>
      </w:tr>
      <w:tr>
        <w:trPr>
          <w:trHeight w:val="300"/>
        </w:trPr>
        <w:tc>
          <w:tcPr>
            <w:tcW w:w="1189" w:type="dxa"/>
            <w:vAlign w:val="center"/>
            <w:textDirection w:val="lrTb"/>
            <w:noWrap/>
          </w:tcPr>
          <w:p>
            <w:pPr>
              <w:jc w:val="center"/>
              <w:keepLines w:val="0"/>
              <w:keepNext w:val="0"/>
              <w:pageBreakBefore w:val="0"/>
              <w:spacing w:line="360" w:lineRule="exact"/>
              <w:rPr>
                <w:rFonts w:hint="default"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4</w:t>
            </w:r>
            <w:r/>
          </w:p>
        </w:tc>
        <w:tc>
          <w:tcPr>
            <w:tcW w:w="1722" w:type="dxa"/>
            <w:vAlign w:val="center"/>
            <w:textDirection w:val="lrTb"/>
            <w:noWrap/>
          </w:tcPr>
          <w:p>
            <w:pPr>
              <w:jc w:val="center"/>
              <w:keepLines w:val="0"/>
              <w:keepNext w:val="0"/>
              <w:pageBreakBefore w:val="0"/>
              <w:spacing w:line="360"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项目人员配置</w:t>
            </w:r>
            <w:r/>
          </w:p>
        </w:tc>
        <w:tc>
          <w:tcPr>
            <w:tcW w:w="6345" w:type="dxa"/>
            <w:vAlign w:val="center"/>
            <w:textDirection w:val="lrTb"/>
            <w:noWrap/>
          </w:tcPr>
          <w:p>
            <w:pPr>
              <w:jc w:val="both"/>
              <w:keepLines w:val="0"/>
              <w:keepNext w:val="0"/>
              <w:pageBreakBefore w:val="0"/>
              <w:spacing w:line="360" w:lineRule="exact"/>
              <w:rPr>
                <w:rFonts w:hint="eastAsia" w:ascii="宋体" w:hAnsi="宋体" w:eastAsia="宋体" w:cs="宋体"/>
                <w:szCs w:val="21"/>
                <w:highlight w:val="none"/>
              </w:rPr>
            </w:pPr>
            <w:r>
              <w:rPr>
                <w:rFonts w:hint="eastAsia" w:ascii="宋体" w:hAnsi="宋体" w:eastAsia="宋体" w:cs="宋体"/>
                <w:szCs w:val="21"/>
                <w:highlight w:val="none"/>
              </w:rPr>
              <w:t xml:space="preserve">（1）项目负责人（</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分）</w:t>
            </w:r>
            <w:r/>
          </w:p>
          <w:p>
            <w:pPr>
              <w:jc w:val="both"/>
              <w:keepLines w:val="0"/>
              <w:keepNext w:val="0"/>
              <w:pageBreakBefore w:val="0"/>
              <w:spacing w:line="360" w:lineRule="exact"/>
              <w:rPr>
                <w:rFonts w:hint="eastAsia" w:ascii="宋体" w:hAnsi="宋体" w:eastAsia="宋体" w:cs="宋体"/>
                <w:szCs w:val="21"/>
                <w:highlight w:val="none"/>
              </w:rPr>
            </w:pPr>
            <w:r>
              <w:rPr>
                <w:rFonts w:hint="eastAsia" w:ascii="宋体" w:hAnsi="宋体" w:eastAsia="宋体" w:cs="宋体"/>
                <w:szCs w:val="21"/>
                <w:highlight w:val="none"/>
              </w:rPr>
              <w:t xml:space="preserve">供应商拟配备项目负责人具有注册建造师证机电工程二级及以上执业资格证书</w:t>
            </w:r>
            <w:r>
              <w:rPr>
                <w:rFonts w:hint="eastAsia" w:ascii="宋体" w:hAnsi="宋体" w:cs="宋体"/>
                <w:szCs w:val="21"/>
                <w:highlight w:val="none"/>
                <w:lang w:val="en-US" w:eastAsia="zh-CN"/>
              </w:rPr>
              <w:t xml:space="preserve">的得2分，具有</w:t>
            </w:r>
            <w:r>
              <w:rPr>
                <w:rFonts w:hint="eastAsia" w:ascii="宋体" w:hAnsi="宋体" w:eastAsia="宋体" w:cs="宋体"/>
                <w:szCs w:val="21"/>
                <w:highlight w:val="none"/>
              </w:rPr>
              <w:t xml:space="preserve">行政主管部门核发的安全生产考核B类合格证得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分；除此之外，还具有暖通相关专业中级及以上职称得2分。未提供证书不得分。</w:t>
            </w:r>
            <w:r/>
          </w:p>
          <w:p>
            <w:pPr>
              <w:jc w:val="both"/>
              <w:keepLines w:val="0"/>
              <w:keepNext w:val="0"/>
              <w:pageBreakBefore w:val="0"/>
              <w:spacing w:line="36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（2）其他项目组成员（6分）</w:t>
            </w:r>
            <w:r/>
          </w:p>
          <w:p>
            <w:pPr>
              <w:jc w:val="both"/>
              <w:keepLines w:val="0"/>
              <w:keepNext w:val="0"/>
              <w:pageBreakBefore w:val="0"/>
              <w:spacing w:line="360" w:lineRule="exact"/>
              <w:rPr>
                <w:rFonts w:hint="eastAsia" w:ascii="宋体" w:hAnsi="宋体" w:eastAsia="宋体" w:cs="宋体"/>
                <w:szCs w:val="21"/>
                <w:highlight w:val="none"/>
              </w:rPr>
            </w:pPr>
            <w:r>
              <w:rPr>
                <w:rFonts w:hint="eastAsia" w:ascii="宋体" w:hAnsi="宋体" w:eastAsia="宋体" w:cs="宋体"/>
                <w:szCs w:val="21"/>
                <w:highlight w:val="none"/>
              </w:rPr>
              <w:t xml:space="preserve">除项目经理外，项目组成员持有有效期内住房和城乡建设厅或者应急管理部门颁发的以下三个专业的特种作业证（如电工证、焊工证、制冷与空调作业（制冷与空调设备安装修理作业），每提供一个专业证书（如电工证）得2分 ，同一专业证书不兼得，最高得6分。</w:t>
            </w:r>
            <w:r/>
          </w:p>
          <w:p>
            <w:pPr>
              <w:jc w:val="both"/>
              <w:keepLines w:val="0"/>
              <w:keepNext w:val="0"/>
              <w:pageBreakBefore w:val="0"/>
              <w:spacing w:line="360" w:lineRule="exact"/>
              <w:rPr>
                <w:rFonts w:hint="eastAsia" w:ascii="宋体" w:hAnsi="宋体" w:eastAsia="宋体" w:cs="宋体"/>
                <w:szCs w:val="21"/>
                <w:highlight w:val="none"/>
              </w:rPr>
            </w:pPr>
            <w:r>
              <w:rPr>
                <w:rFonts w:hint="eastAsia" w:ascii="宋体" w:hAnsi="宋体" w:eastAsia="宋体" w:cs="宋体"/>
                <w:szCs w:val="21"/>
                <w:highlight w:val="none"/>
              </w:rPr>
              <w:t xml:space="preserve">（响应文件中须提供以上相应人员证书复印件并加盖公章、社保机构出具近半年(</w:t>
            </w:r>
            <w:r>
              <w:rPr>
                <w:rFonts w:hint="eastAsia" w:ascii="宋体" w:hAnsi="宋体" w:cs="宋体"/>
                <w:szCs w:val="21"/>
                <w:highlight w:val="none"/>
                <w:lang w:eastAsia="zh-CN"/>
              </w:rPr>
              <w:t xml:space="preserve">202</w:t>
            </w:r>
            <w:r>
              <w:rPr>
                <w:rFonts w:hint="eastAsia" w:ascii="宋体" w:hAnsi="宋体" w:cs="宋体"/>
                <w:szCs w:val="21"/>
                <w:highlight w:val="none"/>
                <w:lang w:val="en-US" w:eastAsia="zh-CN"/>
              </w:rPr>
              <w:t xml:space="preserve">6</w:t>
            </w:r>
            <w:r>
              <w:rPr>
                <w:rFonts w:hint="eastAsia" w:ascii="宋体" w:hAnsi="宋体" w:cs="宋体"/>
                <w:szCs w:val="21"/>
                <w:highlight w:val="none"/>
                <w:lang w:eastAsia="zh-CN"/>
              </w:rPr>
              <w:t xml:space="preserve">年</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月起</w:t>
            </w:r>
            <w:r>
              <w:rPr>
                <w:rFonts w:hint="eastAsia" w:ascii="宋体" w:hAnsi="宋体" w:eastAsia="宋体" w:cs="宋体"/>
                <w:szCs w:val="21"/>
                <w:highlight w:val="none"/>
              </w:rPr>
              <w:t xml:space="preserve">至今)</w:t>
            </w:r>
            <w:r>
              <w:rPr>
                <w:rFonts w:hint="eastAsia" w:ascii="宋体" w:hAnsi="宋体" w:cs="宋体"/>
                <w:szCs w:val="21"/>
                <w:highlight w:val="none"/>
                <w:lang w:val="en-US" w:eastAsia="zh-CN"/>
              </w:rPr>
              <w:t xml:space="preserve">任意一个月（不含投标当月）</w:t>
            </w:r>
            <w:r>
              <w:rPr>
                <w:rFonts w:hint="eastAsia" w:ascii="宋体" w:hAnsi="宋体" w:eastAsia="宋体" w:cs="宋体"/>
                <w:szCs w:val="21"/>
                <w:highlight w:val="none"/>
              </w:rPr>
              <w:t xml:space="preserve">供应商为以上人员缴纳的养老保险金缴费证明材料（需明确缴费月份、个人姓名、缴费单位）材料并加盖社保中心章或社保中心参保缴费证明电子专用章）</w:t>
            </w:r>
            <w:r/>
          </w:p>
        </w:tc>
        <w:tc>
          <w:tcPr>
            <w:tcW w:w="706" w:type="dxa"/>
            <w:vAlign w:val="center"/>
            <w:textDirection w:val="lrTb"/>
            <w:noWrap/>
          </w:tcPr>
          <w:p>
            <w:pPr>
              <w:jc w:val="center"/>
              <w:keepLines w:val="0"/>
              <w:keepNext w:val="0"/>
              <w:pageBreakBefore w:val="0"/>
              <w:spacing w:line="360" w:lineRule="exac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w:t>
            </w:r>
            <w:r>
              <w:rPr>
                <w:rFonts w:hint="eastAsia" w:ascii="宋体" w:hAnsi="宋体" w:cs="宋体"/>
                <w:szCs w:val="21"/>
                <w:highlight w:val="none"/>
                <w:lang w:val="en-US" w:eastAsia="zh-CN"/>
              </w:rPr>
              <w:t xml:space="preserve">1</w:t>
            </w:r>
            <w:r/>
          </w:p>
        </w:tc>
      </w:tr>
      <w:tr>
        <w:trPr>
          <w:trHeight w:val="300"/>
        </w:trPr>
        <w:tc>
          <w:tcPr>
            <w:tcW w:w="1189" w:type="dxa"/>
            <w:vAlign w:val="center"/>
            <w:vMerge w:val="restart"/>
            <w:textDirection w:val="lrTb"/>
            <w:noWrap/>
          </w:tcPr>
          <w:p>
            <w:pPr>
              <w:jc w:val="center"/>
              <w:keepLines w:val="0"/>
              <w:keepNext w:val="0"/>
              <w:pageBreakBefore w:val="0"/>
              <w:spacing w:line="360" w:lineRule="exact"/>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5</w:t>
            </w:r>
            <w:r/>
          </w:p>
        </w:tc>
        <w:tc>
          <w:tcPr>
            <w:tcBorders>
              <w:bottom w:val="single" w:color="auto" w:sz="4" w:space="0"/>
            </w:tcBorders>
            <w:tcW w:w="1722" w:type="dxa"/>
            <w:vAlign w:val="center"/>
            <w:textDirection w:val="lrTb"/>
            <w:noWrap/>
          </w:tcPr>
          <w:p>
            <w:pPr>
              <w:jc w:val="center"/>
              <w:keepLines w:val="0"/>
              <w:keepNext w:val="0"/>
              <w:pageBreakBefore w:val="0"/>
              <w:spacing w:line="360" w:lineRule="exact"/>
              <w:rPr>
                <w:rFonts w:hint="default"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售后服务承诺</w:t>
            </w:r>
            <w:r/>
          </w:p>
        </w:tc>
        <w:tc>
          <w:tcPr>
            <w:tcW w:w="6345" w:type="dxa"/>
            <w:vAlign w:val="center"/>
            <w:textDirection w:val="lrTb"/>
            <w:noWrap/>
          </w:tcPr>
          <w:p>
            <w:pPr>
              <w:jc w:val="both"/>
              <w:keepLines w:val="0"/>
              <w:keepNext w:val="0"/>
              <w:pageBreakBefore w:val="0"/>
              <w:spacing w:line="36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（1）投标人承诺当空调出现故障时，在接到使用单位电话后2小时内响应并修复故障的得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分，未提供承诺的不得分。</w:t>
            </w:r>
            <w:r/>
          </w:p>
          <w:p>
            <w:pPr>
              <w:jc w:val="both"/>
              <w:keepLines w:val="0"/>
              <w:keepNext w:val="0"/>
              <w:pageBreakBefore w:val="0"/>
              <w:spacing w:line="360" w:lineRule="exact"/>
              <w:widowControl/>
              <w:rPr>
                <w:rFonts w:ascii="宋体" w:hAnsi="宋体" w:eastAsia="宋体" w:cs="宋体"/>
                <w:szCs w:val="21"/>
                <w:highlight w:val="none"/>
              </w:rPr>
            </w:pPr>
            <w:r>
              <w:rPr>
                <w:rFonts w:hint="eastAsia" w:ascii="宋体" w:hAnsi="宋体" w:eastAsia="宋体" w:cs="宋体"/>
                <w:szCs w:val="21"/>
                <w:highlight w:val="none"/>
              </w:rPr>
              <w:t xml:space="preserve">（2）投标人承诺所投产品的质保期在符合招标文件规定的免费质保期限（2年）的基础上，每增加1年空调整机及所有零部件免费质保及上门维修服务的得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分，本项最多得</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分，未提供承诺的不得分。未提供不得分。</w:t>
            </w:r>
            <w:r/>
          </w:p>
        </w:tc>
        <w:tc>
          <w:tcPr>
            <w:tcW w:w="706" w:type="dxa"/>
            <w:vAlign w:val="center"/>
            <w:textDirection w:val="lrTb"/>
            <w:noWrap/>
          </w:tcPr>
          <w:p>
            <w:pPr>
              <w:jc w:val="center"/>
              <w:keepLines w:val="0"/>
              <w:keepNext w:val="0"/>
              <w:pageBreakBefore w:val="0"/>
              <w:spacing w:line="36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9</w:t>
            </w:r>
            <w:r/>
          </w:p>
        </w:tc>
      </w:tr>
      <w:tr>
        <w:trPr>
          <w:trHeight w:val="300"/>
        </w:trPr>
        <w:tc>
          <w:tcPr>
            <w:tcW w:w="1189" w:type="dxa"/>
            <w:vAlign w:val="center"/>
            <w:vMerge w:val="continue"/>
            <w:textDirection w:val="lrTb"/>
            <w:noWrap/>
          </w:tcPr>
          <w:p>
            <w:pPr>
              <w:jc w:val="center"/>
              <w:keepLines w:val="0"/>
              <w:keepNext w:val="0"/>
              <w:pageBreakBefore w:val="0"/>
              <w:spacing w:line="360"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r>
            <w:r/>
          </w:p>
        </w:tc>
        <w:tc>
          <w:tcPr>
            <w:tcBorders>
              <w:top w:val="single" w:color="auto" w:sz="4" w:space="0"/>
              <w:bottom w:val="single" w:color="auto" w:sz="4" w:space="0"/>
            </w:tcBorders>
            <w:tcW w:w="1722" w:type="dxa"/>
            <w:vAlign w:val="center"/>
            <w:textDirection w:val="lrTb"/>
            <w:noWrap/>
          </w:tcPr>
          <w:p>
            <w:pPr>
              <w:jc w:val="center"/>
              <w:keepLines w:val="0"/>
              <w:keepNext w:val="0"/>
              <w:pageBreakBefore w:val="0"/>
              <w:spacing w:line="360"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备品备件管理措施比较</w:t>
            </w:r>
            <w:r/>
          </w:p>
        </w:tc>
        <w:tc>
          <w:tcPr>
            <w:tcW w:w="6345" w:type="dxa"/>
            <w:vAlign w:val="center"/>
            <w:textDirection w:val="lrTb"/>
            <w:noWrap/>
          </w:tcPr>
          <w:p>
            <w:pPr>
              <w:jc w:val="both"/>
              <w:keepLines w:val="0"/>
              <w:keepNext w:val="0"/>
              <w:pageBreakBefore w:val="0"/>
              <w:spacing w:line="360" w:lineRule="exact"/>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措施完整，明确质保期内备品备件清单，说明备件储备方式、库存更新机制、领用流程等管理措施，管理措施的专业性好，且承诺备件为原厂正品的得5分；</w:t>
            </w:r>
            <w:r/>
          </w:p>
          <w:p>
            <w:pPr>
              <w:jc w:val="both"/>
              <w:keepLines w:val="0"/>
              <w:keepNext w:val="0"/>
              <w:pageBreakBefore w:val="0"/>
              <w:spacing w:line="360" w:lineRule="exact"/>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有备件清单及基本储备方式，未明确更新机制及领用流程，管理措施的专业性一般，且承诺备件为原厂正品的得3分；</w:t>
            </w:r>
            <w:r/>
          </w:p>
          <w:p>
            <w:pPr>
              <w:jc w:val="both"/>
              <w:keepLines w:val="0"/>
              <w:keepNext w:val="0"/>
              <w:pageBreakBefore w:val="0"/>
              <w:spacing w:line="360" w:lineRule="exact"/>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仅提及“提供备件”，无具体管理措施，与实际贴合度差的得1分。未提供方案不得分。</w:t>
            </w:r>
            <w:r/>
          </w:p>
        </w:tc>
        <w:tc>
          <w:tcPr>
            <w:tcW w:w="706" w:type="dxa"/>
            <w:vAlign w:val="center"/>
            <w:textDirection w:val="lrTb"/>
            <w:noWrap/>
          </w:tcPr>
          <w:p>
            <w:pPr>
              <w:jc w:val="center"/>
              <w:keepLines w:val="0"/>
              <w:keepNext w:val="0"/>
              <w:pageBreakBefore w:val="0"/>
              <w:spacing w:line="36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w:t>
            </w:r>
            <w:r/>
          </w:p>
        </w:tc>
      </w:tr>
      <w:tr>
        <w:trPr>
          <w:trHeight w:val="300"/>
        </w:trPr>
        <w:tc>
          <w:tcPr>
            <w:tcW w:w="1189" w:type="dxa"/>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6</w:t>
            </w:r>
            <w:r/>
          </w:p>
        </w:tc>
        <w:tc>
          <w:tcPr>
            <w:tcBorders>
              <w:top w:val="single" w:color="auto" w:sz="4" w:space="0"/>
              <w:bottom w:val="single" w:color="auto" w:sz="4" w:space="0"/>
            </w:tcBorders>
            <w:tcW w:w="1722" w:type="dxa"/>
            <w:vAlign w:val="center"/>
            <w:textDirection w:val="lrTb"/>
            <w:noWrap/>
          </w:tcPr>
          <w:p>
            <w:pPr>
              <w:jc w:val="center"/>
              <w:keepLines w:val="0"/>
              <w:keepNext w:val="0"/>
              <w:pageBreakBefore w:val="0"/>
              <w:spacing w:line="360" w:lineRule="exact"/>
              <w:widowControl/>
              <w:rPr>
                <w:rFonts w:ascii="宋体" w:hAnsi="宋体" w:eastAsia="宋体" w:cs="宋体"/>
                <w:b w:val="0"/>
                <w:bCs w:val="0"/>
                <w:color w:val="000000"/>
                <w:szCs w:val="21"/>
                <w:highlight w:val="none"/>
                <w:lang w:bidi="ar"/>
              </w:rPr>
            </w:pPr>
            <w:r>
              <w:rPr>
                <w:rFonts w:hint="eastAsia" w:ascii="宋体" w:hAnsi="宋体" w:eastAsia="宋体" w:cs="宋体"/>
                <w:b w:val="0"/>
                <w:bCs w:val="0"/>
                <w:color w:val="000000"/>
                <w:szCs w:val="21"/>
                <w:highlight w:val="none"/>
                <w:lang w:bidi="ar"/>
              </w:rPr>
              <w:t xml:space="preserve">针对本项目现状理解</w:t>
            </w:r>
            <w:r/>
          </w:p>
        </w:tc>
        <w:tc>
          <w:tcPr>
            <w:tcW w:w="6345" w:type="dxa"/>
            <w:vAlign w:val="center"/>
            <w:textDirection w:val="lrTb"/>
            <w:noWrap/>
          </w:tcPr>
          <w:p>
            <w:pPr>
              <w:jc w:val="both"/>
              <w:keepLines w:val="0"/>
              <w:keepNext w:val="0"/>
              <w:pageBreakBefore w:val="0"/>
              <w:spacing w:line="36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完整阐述综合大楼中央空调的老化背景、安全隐患风险，精准结合空调系统稳定运行目标，分析涵盖旧机拆除难点、新机安装空间限制、水路/电路适配需求，且关联现场踏勘必要性，理解完全贴合项目实际的得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分；基本说明项目背景与服务目标，能提及设备老化问题，但未深入分析拆除安装风险、系统适配需求，与现场实际贴合度一般的得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分；仅简要描述项目需求，未分析设备现状难点、系统运行关联需求，理解不完整、准确性不足的得1分；未提供的不得分。</w:t>
            </w:r>
            <w:r/>
          </w:p>
        </w:tc>
        <w:tc>
          <w:tcPr>
            <w:tcW w:w="706" w:type="dxa"/>
            <w:vAlign w:val="center"/>
            <w:textDirection w:val="lrTb"/>
            <w:noWrap/>
          </w:tcPr>
          <w:p>
            <w:pPr>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5</w:t>
            </w:r>
            <w:r/>
          </w:p>
        </w:tc>
      </w:tr>
      <w:tr>
        <w:trPr>
          <w:trHeight w:val="300"/>
        </w:trPr>
        <w:tc>
          <w:tcPr>
            <w:tcW w:w="1189" w:type="dxa"/>
            <w:vAlign w:val="center"/>
            <w:textDirection w:val="lrTb"/>
            <w:noWrap/>
          </w:tcPr>
          <w:p>
            <w:pPr>
              <w:jc w:val="center"/>
              <w:keepLines w:val="0"/>
              <w:keepNext w:val="0"/>
              <w:pageBreakBefore w:val="0"/>
              <w:spacing w:line="360" w:lineRule="exact"/>
              <w:rPr>
                <w:rFonts w:hint="default"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7</w:t>
            </w:r>
            <w:r/>
          </w:p>
        </w:tc>
        <w:tc>
          <w:tcPr>
            <w:tcBorders>
              <w:top w:val="single" w:color="auto" w:sz="4" w:space="0"/>
              <w:bottom w:val="single" w:color="auto" w:sz="4" w:space="0"/>
            </w:tcBorders>
            <w:tcW w:w="1722" w:type="dxa"/>
            <w:vAlign w:val="center"/>
            <w:textDirection w:val="lrTb"/>
            <w:noWrap/>
          </w:tcPr>
          <w:p>
            <w:pPr>
              <w:jc w:val="center"/>
              <w:keepLines w:val="0"/>
              <w:keepNext w:val="0"/>
              <w:pageBreakBefore w:val="0"/>
              <w:spacing w:line="360" w:lineRule="exact"/>
              <w:widowControl/>
              <w:rPr>
                <w:rFonts w:hint="eastAsia" w:ascii="宋体" w:hAnsi="宋体" w:eastAsia="宋体" w:cs="宋体"/>
                <w:b w:val="0"/>
                <w:bCs w:val="0"/>
                <w:color w:val="000000"/>
                <w:szCs w:val="21"/>
                <w:highlight w:val="none"/>
                <w:lang w:bidi="ar"/>
              </w:rPr>
            </w:pPr>
            <w:r>
              <w:rPr>
                <w:rFonts w:hint="eastAsia" w:ascii="宋体" w:hAnsi="宋体" w:eastAsia="宋体" w:cs="宋体"/>
                <w:b w:val="0"/>
                <w:bCs w:val="0"/>
                <w:color w:val="000000"/>
                <w:szCs w:val="21"/>
                <w:highlight w:val="none"/>
                <w:lang w:bidi="ar"/>
              </w:rPr>
              <w:t xml:space="preserve">针对本项目的专项方案</w:t>
            </w:r>
            <w:r/>
          </w:p>
        </w:tc>
        <w:tc>
          <w:tcPr>
            <w:tcW w:w="6345" w:type="dxa"/>
            <w:vAlign w:val="center"/>
            <w:textDirection w:val="lrTb"/>
            <w:noWrap/>
          </w:tcPr>
          <w:p>
            <w:pPr>
              <w:jc w:val="both"/>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分析旧机拆解风险、新机安装精度要求，提供施工方案，同时识别设备吊装、电路改造等安全隐患，提出具体防范措施，且针对故障隐患给出预判及应对建议的得4分；</w:t>
            </w:r>
            <w:r/>
          </w:p>
          <w:p>
            <w:pPr>
              <w:jc w:val="both"/>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提供施工方案及隐患识别，但施工阶段划分不清晰，安全/故障隐患防范措施较笼统，专业性一般的，得2分；</w:t>
            </w:r>
            <w:r/>
          </w:p>
          <w:p>
            <w:pPr>
              <w:jc w:val="both"/>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仅简单罗列施工步骤，未深入分析设备实际情况，安全与故障隐患识别不全面，防范建议缺乏可操作性的，得1分；</w:t>
            </w:r>
            <w:r/>
          </w:p>
          <w:p>
            <w:pPr>
              <w:jc w:val="both"/>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未提供方案不得分。</w:t>
            </w:r>
            <w:r/>
          </w:p>
        </w:tc>
        <w:tc>
          <w:tcPr>
            <w:tcW w:w="706" w:type="dxa"/>
            <w:vAlign w:val="center"/>
            <w:textDirection w:val="lrTb"/>
            <w:noWrap/>
          </w:tcPr>
          <w:p>
            <w:pPr>
              <w:jc w:val="center"/>
              <w:keepLines w:val="0"/>
              <w:keepNext w:val="0"/>
              <w:pageBreakBefore w:val="0"/>
              <w:spacing w:line="360" w:lineRule="exact"/>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p>
        </w:tc>
      </w:tr>
      <w:tr>
        <w:trPr>
          <w:trHeight w:val="300"/>
        </w:trPr>
        <w:tc>
          <w:tcPr>
            <w:tcW w:w="1189" w:type="dxa"/>
            <w:vAlign w:val="center"/>
            <w:textDirection w:val="lrTb"/>
            <w:noWrap/>
          </w:tcPr>
          <w:p>
            <w:pPr>
              <w:jc w:val="center"/>
              <w:keepLines w:val="0"/>
              <w:keepNext w:val="0"/>
              <w:pageBreakBefore w:val="0"/>
              <w:spacing w:line="360" w:lineRule="exact"/>
              <w:rPr>
                <w:rFonts w:hint="default"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8</w:t>
            </w:r>
            <w:r/>
          </w:p>
        </w:tc>
        <w:tc>
          <w:tcPr>
            <w:tcBorders>
              <w:top w:val="single" w:color="auto" w:sz="4" w:space="0"/>
            </w:tcBorders>
            <w:tcW w:w="1722" w:type="dxa"/>
            <w:vAlign w:val="center"/>
            <w:textDirection w:val="lrTb"/>
            <w:noWrap/>
          </w:tcPr>
          <w:p>
            <w:pPr>
              <w:jc w:val="center"/>
              <w:keepLines w:val="0"/>
              <w:keepNext w:val="0"/>
              <w:pageBreakBefore w:val="0"/>
              <w:spacing w:line="360" w:lineRule="exact"/>
              <w:widowControl/>
              <w:rPr>
                <w:rFonts w:hint="eastAsia" w:ascii="宋体" w:hAnsi="宋体" w:eastAsia="宋体" w:cs="宋体"/>
                <w:b w:val="0"/>
                <w:bCs w:val="0"/>
                <w:color w:val="000000"/>
                <w:szCs w:val="21"/>
                <w:highlight w:val="none"/>
                <w:lang w:bidi="ar"/>
              </w:rPr>
            </w:pPr>
            <w:r>
              <w:rPr>
                <w:rFonts w:hint="eastAsia" w:ascii="宋体" w:hAnsi="宋体" w:eastAsia="宋体" w:cs="宋体"/>
                <w:b w:val="0"/>
                <w:bCs w:val="0"/>
                <w:color w:val="000000"/>
                <w:szCs w:val="21"/>
                <w:highlight w:val="none"/>
                <w:lang w:bidi="ar"/>
              </w:rPr>
              <w:t xml:space="preserve">进度方案、调试方案</w:t>
            </w:r>
            <w:r/>
          </w:p>
        </w:tc>
        <w:tc>
          <w:tcPr>
            <w:tcW w:w="6345" w:type="dxa"/>
            <w:vAlign w:val="center"/>
            <w:textDirection w:val="lrTb"/>
            <w:noWrap/>
          </w:tcPr>
          <w:p>
            <w:pPr>
              <w:jc w:val="both"/>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针对本项目特点提供项目进度方案，包括但不限于对送货及安装的组织计划、安装人员配备安排内容，要求方案内容完整详细，现场管理、安装、卸货、搬运、布局及排线措施可靠，安装调试技术服务人员配备合理，调试方案至少包含调试调试仪器工具、检测数据标准、保证措施、调试流程等，调试人员配置充足，技术能力强，保证措施全面规范，调试仪器先进，检测数据全面准确，调试流程规范合理，调试方案切实可行。方案优于项目需求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分，符合项目需求的得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分，基本符合项目需求的得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分；不提供或者经三分之二评委认定分项方案存在重大偏离的，该项不得分。</w:t>
            </w:r>
            <w:r/>
          </w:p>
        </w:tc>
        <w:tc>
          <w:tcPr>
            <w:tcW w:w="706" w:type="dxa"/>
            <w:vAlign w:val="center"/>
            <w:textDirection w:val="lrTb"/>
            <w:noWrap/>
          </w:tcPr>
          <w:p>
            <w:pPr>
              <w:jc w:val="center"/>
              <w:keepLines w:val="0"/>
              <w:keepNext w:val="0"/>
              <w:pageBreakBefore w:val="0"/>
              <w:spacing w:line="360" w:lineRule="exact"/>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p>
        </w:tc>
      </w:tr>
    </w:tbl>
    <w:p>
      <w:pPr>
        <w:jc w:val="left"/>
        <w:spacing w:line="360" w:lineRule="auto"/>
        <w:widowControl/>
        <w:rPr>
          <w:rFonts w:hint="eastAsia" w:ascii="Times New Roman" w:hAnsi="Times New Roman" w:cs="Times New Roman"/>
          <w:color w:val="auto"/>
          <w:highlight w:val="none"/>
        </w:rPr>
      </w:pPr>
      <w:r>
        <w:rPr>
          <w:rFonts w:hint="eastAsia" w:ascii="Times New Roman" w:hAnsi="Times New Roman" w:cs="Times New Roman"/>
          <w:color w:val="auto"/>
          <w:highlight w:val="none"/>
        </w:rPr>
        <w:t xml:space="preserve">说明：</w:t>
      </w:r>
      <w:r/>
    </w:p>
    <w:p>
      <w:pPr>
        <w:jc w:val="left"/>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2、小微企业的价格扣除</w:t>
      </w:r>
      <w:r>
        <w:rPr>
          <w:rFonts w:hint="eastAsia" w:ascii="Times New Roman" w:hAnsi="Times New Roman" w:cs="Times New Roman"/>
          <w:color w:val="auto"/>
          <w:highlight w:val="none"/>
        </w:rPr>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3、监狱和戒毒企业的价格扣除</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3.1. 本项目对监狱和戒毒企业（简称监狱企业），给予等同于小微企业的价格扣除，用扣除后的价格参与评审。</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3.2. 监狱企业需提供由省级以上监狱管理局、戒毒管理局（含新疆生产建设兵团）出具的属于监狱企业的证明文件。</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3.3. 监狱企业标准请参照《关于政府采购支持监狱企业发展有关问题的通知》（财库[2014]68号）。</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4、残疾人福利性单位的价格扣除</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4.1. 本项目对残疾人福利性单位，给予等同于小微企业的价格扣除，用扣除后的价格参与评审。</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4.2. 残疾人福利单位需按照招标文件的要求提供《残疾人福利性单位声明函》。</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4.3. 残疾人福利单位标准请参照《关于促进残疾人就业政府采购政策的通知》（财库〔2017〕141号）。</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5、监狱企业、残疾人福利单位属于小型、微型企业的，不重复享受政策。</w:t>
      </w:r>
      <w:r/>
    </w:p>
    <w:p>
      <w:pPr>
        <w:ind w:firstLine="420"/>
        <w:spacing w:line="360" w:lineRule="auto"/>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6、</w:t>
      </w:r>
      <w:r>
        <w:rPr>
          <w:rFonts w:ascii="Times New Roman" w:hAnsi="Times New Roman" w:cs="Times New Roman"/>
          <w:color w:val="auto"/>
          <w:highlight w:val="none"/>
        </w:rPr>
        <w:t xml:space="preserve">除招标公告载明接受进口产品参加外</w:t>
      </w:r>
      <w:r>
        <w:rPr>
          <w:rFonts w:hint="eastAsia" w:ascii="Times New Roman" w:hAnsi="Times New Roman" w:cs="Times New Roman"/>
          <w:color w:val="auto"/>
          <w:highlight w:val="none"/>
        </w:rPr>
        <w:t xml:space="preserve">，</w:t>
      </w:r>
      <w:r>
        <w:rPr>
          <w:rFonts w:ascii="Times New Roman" w:hAnsi="Times New Roman" w:cs="Times New Roman"/>
          <w:color w:val="auto"/>
          <w:highlight w:val="none"/>
        </w:rPr>
        <w:t xml:space="preserve">不允许进口产品参加</w:t>
      </w:r>
      <w:r>
        <w:rPr>
          <w:rFonts w:hint="eastAsia" w:ascii="Times New Roman" w:hAnsi="Times New Roman" w:cs="Times New Roman"/>
          <w:color w:val="auto"/>
          <w:highlight w:val="none"/>
        </w:rPr>
        <w:t xml:space="preserve">。进口产品认定依照《财政部办公厅关于政府采购进口产品管理有关问题的通知》（</w:t>
      </w:r>
      <w:r>
        <w:rPr>
          <w:rFonts w:hint="eastAsia" w:ascii="Times New Roman" w:hAnsi="Times New Roman" w:cs="Times New Roman"/>
          <w:color w:val="auto"/>
          <w:sz w:val="24"/>
          <w:szCs w:val="24"/>
          <w:highlight w:val="none"/>
        </w:rPr>
        <w:t xml:space="preserve">财办库</w:t>
      </w:r>
      <w:r>
        <w:rPr>
          <w:rFonts w:hint="eastAsia" w:ascii="宋体" w:hAnsi="宋体" w:cs="Times New Roman"/>
          <w:color w:val="auto"/>
          <w:sz w:val="24"/>
          <w:szCs w:val="24"/>
          <w:highlight w:val="none"/>
        </w:rPr>
        <w:t xml:space="preserve">﹝</w:t>
      </w:r>
      <w:r>
        <w:rPr>
          <w:rFonts w:ascii="宋体" w:hAnsi="宋体" w:cs="Times New Roman"/>
          <w:color w:val="auto"/>
          <w:sz w:val="24"/>
          <w:szCs w:val="24"/>
          <w:highlight w:val="none"/>
        </w:rPr>
        <w:t xml:space="preserve">2008</w:t>
      </w:r>
      <w:r>
        <w:rPr>
          <w:rFonts w:hint="eastAsia" w:ascii="宋体" w:hAnsi="宋体" w:cs="Times New Roman"/>
          <w:color w:val="auto"/>
          <w:sz w:val="24"/>
          <w:szCs w:val="24"/>
          <w:highlight w:val="none"/>
        </w:rPr>
        <w:t xml:space="preserve">﹞</w:t>
      </w:r>
      <w:r>
        <w:rPr>
          <w:rFonts w:ascii="宋体" w:hAnsi="宋体" w:cs="Times New Roman"/>
          <w:color w:val="auto"/>
          <w:sz w:val="24"/>
          <w:szCs w:val="24"/>
          <w:highlight w:val="none"/>
        </w:rPr>
        <w:t xml:space="preserve">248号</w:t>
      </w:r>
      <w:r>
        <w:rPr>
          <w:rFonts w:hint="eastAsia" w:ascii="Times New Roman" w:hAnsi="Times New Roman" w:cs="Times New Roman"/>
          <w:color w:val="auto"/>
          <w:highlight w:val="none"/>
        </w:rPr>
        <w:t xml:space="preserve">）的规定。</w:t>
      </w:r>
      <w:r/>
    </w:p>
    <w:p>
      <w:pPr>
        <w:ind w:firstLine="420"/>
        <w:spacing w:line="360" w:lineRule="auto"/>
        <w:widowControl/>
        <w:rPr>
          <w:rFonts w:hint="eastAsia" w:ascii="Times New Roman" w:hAnsi="Times New Roman" w:eastAsia="宋体" w:cs="Times New Roman"/>
          <w:color w:val="auto"/>
          <w:highlight w:val="none"/>
          <w:lang w:val="zh-TW" w:eastAsia="zh-TW"/>
        </w:rPr>
      </w:pPr>
      <w:r>
        <w:rPr>
          <w:rFonts w:hint="eastAsia" w:ascii="Times New Roman" w:hAnsi="Times New Roman" w:eastAsia="宋体" w:cs="Times New Roman"/>
          <w:color w:val="auto"/>
          <w:highlight w:val="none"/>
          <w:lang w:val="en-US" w:eastAsia="zh-CN"/>
        </w:rPr>
        <w:t xml:space="preserve">7</w:t>
      </w:r>
      <w:r>
        <w:rPr>
          <w:rFonts w:hint="eastAsia" w:ascii="Times New Roman" w:hAnsi="Times New Roman" w:eastAsia="宋体" w:cs="Times New Roman"/>
          <w:color w:val="auto"/>
          <w:highlight w:val="none"/>
          <w:lang w:val="zh-TW" w:eastAsia="zh-TW"/>
        </w:rPr>
        <w:t xml:space="preserve">、对本国产品的报价，对最终报价给予20%的扣除，用扣除后的价格参加评审：（如涉及）</w:t>
      </w:r>
      <w:r/>
    </w:p>
    <w:p>
      <w:pPr>
        <w:ind w:firstLine="420"/>
        <w:spacing w:line="360" w:lineRule="auto"/>
        <w:widowControl/>
        <w:rPr>
          <w:rFonts w:hint="eastAsia" w:ascii="Times New Roman" w:hAnsi="Times New Roman" w:eastAsia="宋体" w:cs="Times New Roman"/>
          <w:color w:val="auto"/>
          <w:highlight w:val="none"/>
          <w:lang w:val="zh-TW" w:eastAsia="zh-TW"/>
        </w:rPr>
      </w:pPr>
      <w:r>
        <w:rPr>
          <w:rFonts w:hint="eastAsia" w:ascii="Times New Roman" w:hAnsi="Times New Roman" w:eastAsia="宋体" w:cs="Times New Roman"/>
          <w:color w:val="auto"/>
          <w:highlight w:val="none"/>
          <w:lang w:val="zh-TW" w:eastAsia="zh-TW"/>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60" w:lineRule="auto"/>
        <w:widowControl/>
        <w:rPr>
          <w:rFonts w:hint="eastAsia" w:ascii="Times New Roman" w:hAnsi="Times New Roman" w:eastAsia="宋体" w:cs="Times New Roman"/>
          <w:color w:val="auto"/>
          <w:highlight w:val="none"/>
          <w:lang w:val="zh-TW" w:eastAsia="zh-TW"/>
        </w:rPr>
      </w:pPr>
      <w:r>
        <w:rPr>
          <w:rFonts w:hint="eastAsia" w:ascii="Times New Roman" w:hAnsi="Times New Roman" w:eastAsia="宋体" w:cs="Times New Roman"/>
          <w:color w:val="auto"/>
          <w:highlight w:val="none"/>
          <w:lang w:val="zh-TW" w:eastAsia="zh-TW"/>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widowControl/>
        <w:rPr>
          <w:rFonts w:hint="eastAsia" w:ascii="Times New Roman" w:hAnsi="Times New Roman" w:eastAsia="宋体" w:cs="Times New Roman"/>
          <w:color w:val="auto"/>
          <w:highlight w:val="none"/>
          <w:lang w:val="zh-TW" w:eastAsia="zh-TW"/>
        </w:rPr>
      </w:pPr>
      <w:r>
        <w:rPr>
          <w:rFonts w:hint="eastAsia" w:ascii="Times New Roman" w:hAnsi="Times New Roman" w:eastAsia="宋体" w:cs="Times New Roman"/>
          <w:color w:val="auto"/>
          <w:highlight w:val="none"/>
          <w:lang w:val="zh-TW" w:eastAsia="zh-TW"/>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widowControl/>
        <w:rPr>
          <w:rFonts w:hint="eastAsia" w:ascii="Times New Roman" w:hAnsi="Times New Roman" w:eastAsia="宋体" w:cs="Times New Roman"/>
          <w:color w:val="auto"/>
          <w:highlight w:val="none"/>
          <w:lang w:val="zh-TW" w:eastAsia="zh-TW"/>
        </w:rPr>
      </w:pPr>
      <w:r>
        <w:rPr>
          <w:rFonts w:hint="eastAsia" w:ascii="Times New Roman" w:hAnsi="Times New Roman" w:eastAsia="宋体" w:cs="Times New Roman"/>
          <w:color w:val="auto"/>
          <w:highlight w:val="none"/>
          <w:lang w:val="zh-TW" w:eastAsia="zh-TW"/>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widowControl/>
        <w:rPr>
          <w:rFonts w:hint="eastAsia" w:ascii="Times New Roman" w:hAnsi="Times New Roman" w:eastAsia="宋体" w:cs="Times New Roman"/>
          <w:color w:val="auto"/>
          <w:highlight w:val="none"/>
          <w:lang w:val="zh-TW" w:eastAsia="zh-TW"/>
        </w:rPr>
      </w:pPr>
      <w:r>
        <w:rPr>
          <w:rFonts w:hint="eastAsia" w:ascii="Times New Roman" w:hAnsi="Times New Roman" w:eastAsia="宋体" w:cs="Times New Roman"/>
          <w:color w:val="auto"/>
          <w:highlight w:val="none"/>
          <w:lang w:val="zh-TW" w:eastAsia="zh-TW"/>
        </w:rPr>
        <w:t xml:space="preserve">（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rPr>
          <w:rFonts w:ascii="黑体" w:eastAsia="黑体" w:cs="黑体"/>
          <w:color w:val="auto"/>
          <w:sz w:val="36"/>
          <w:szCs w:val="36"/>
          <w:highlight w:val="none"/>
          <w:lang w:val="zh-TW" w:eastAsia="zh-TW"/>
        </w:rPr>
      </w:pPr>
      <w:r/>
      <w:bookmarkStart w:id="447" w:name="_Toc30059"/>
      <w:r>
        <w:rPr>
          <w:rFonts w:ascii="黑体" w:eastAsia="黑体" w:cs="黑体"/>
          <w:color w:val="auto"/>
          <w:sz w:val="36"/>
          <w:szCs w:val="36"/>
          <w:highlight w:val="none"/>
          <w:lang w:val="zh-TW" w:eastAsia="zh-TW"/>
        </w:rPr>
        <w:br w:type="page" w:clear="all"/>
      </w:r>
      <w:r/>
    </w:p>
    <w:p>
      <w:pPr>
        <w:jc w:val="center"/>
        <w:keepLines/>
        <w:keepNext/>
        <w:spacing w:before="312" w:after="312" w:line="360" w:lineRule="auto"/>
        <w:rPr>
          <w:rFonts w:ascii="黑体" w:eastAsia="黑体" w:cs="黑体"/>
          <w:color w:val="auto"/>
          <w:sz w:val="36"/>
          <w:szCs w:val="36"/>
          <w:highlight w:val="none"/>
          <w:lang w:val="zh-TW" w:eastAsia="zh-TW"/>
        </w:rPr>
        <w:outlineLvl w:val="0"/>
      </w:pPr>
      <w:r>
        <w:rPr>
          <w:rFonts w:ascii="黑体" w:eastAsia="黑体" w:cs="黑体"/>
          <w:color w:val="auto"/>
          <w:sz w:val="36"/>
          <w:szCs w:val="36"/>
          <w:highlight w:val="none"/>
          <w:lang w:val="zh-TW" w:eastAsia="zh-TW"/>
        </w:rPr>
        <w:t xml:space="preserve">第</w:t>
      </w:r>
      <w:r>
        <w:rPr>
          <w:rFonts w:hint="eastAsia" w:ascii="黑体" w:eastAsia="黑体" w:cs="黑体"/>
          <w:color w:val="auto"/>
          <w:sz w:val="36"/>
          <w:szCs w:val="36"/>
          <w:highlight w:val="none"/>
          <w:lang w:val="zh-TW"/>
        </w:rPr>
        <w:t xml:space="preserve">六</w:t>
      </w:r>
      <w:r>
        <w:rPr>
          <w:rFonts w:ascii="黑体" w:eastAsia="黑体" w:cs="黑体"/>
          <w:color w:val="auto"/>
          <w:sz w:val="36"/>
          <w:szCs w:val="36"/>
          <w:highlight w:val="none"/>
          <w:lang w:val="zh-TW" w:eastAsia="zh-TW"/>
        </w:rPr>
        <w:t xml:space="preserve">章  </w:t>
      </w:r>
      <w:r>
        <w:rPr>
          <w:rFonts w:hint="eastAsia" w:ascii="黑体" w:eastAsia="黑体" w:cs="黑体"/>
          <w:color w:val="auto"/>
          <w:sz w:val="36"/>
          <w:szCs w:val="36"/>
          <w:highlight w:val="none"/>
          <w:lang w:val="zh-TW" w:eastAsia="zh-TW"/>
        </w:rPr>
        <w:t xml:space="preserve">投标文件格式</w:t>
      </w:r>
      <w:bookmarkEnd w:id="447"/>
      <w:r/>
      <w:r/>
    </w:p>
    <w:p>
      <w:pPr>
        <w:jc w:val="center"/>
        <w:spacing w:beforeAutospacing="0" w:afterAutospacing="0"/>
        <w:widowControl/>
        <w:rPr>
          <w:rFonts w:hint="default" w:ascii="Times New Roman" w:hAnsi="Times New Roman" w:eastAsia="宋体" w:cs="Times New Roman"/>
          <w:color w:val="auto"/>
          <w:sz w:val="24"/>
          <w:highlight w:val="none"/>
          <w:lang w:val="en-US" w:eastAsia="zh-CN" w:bidi="ar-SA"/>
        </w:rPr>
      </w:pPr>
      <w:r>
        <w:rPr>
          <w:rFonts w:hint="default" w:ascii="宋体" w:hAnsi="宋体" w:eastAsia="宋体" w:cs="宋体"/>
          <w:b/>
          <w:bCs/>
          <w:color w:val="auto"/>
          <w:sz w:val="36"/>
          <w:szCs w:val="36"/>
          <w:highlight w:val="none"/>
          <w:lang w:val="en-US" w:eastAsia="zh-CN" w:bidi="ar-SA"/>
        </w:rPr>
        <w:t xml:space="preserve"> </w:t>
      </w:r>
      <w:r/>
    </w:p>
    <w:p>
      <w:pPr>
        <w:ind w:firstLine="1081"/>
        <w:jc w:val="both"/>
        <w:spacing w:beforeAutospacing="0" w:afterAutospacing="0"/>
        <w:widowControl/>
        <w:rPr>
          <w:rFonts w:hint="default" w:ascii="宋体" w:hAnsi="宋体" w:eastAsia="宋体" w:cs="宋体"/>
          <w:b/>
          <w:bCs/>
          <w:color w:val="auto"/>
          <w:sz w:val="36"/>
          <w:szCs w:val="36"/>
          <w:highlight w:val="none"/>
          <w:lang w:val="en-US" w:eastAsia="zh-CN" w:bidi="ar-SA"/>
        </w:rPr>
      </w:pPr>
      <w:r>
        <w:rPr>
          <w:rFonts w:hint="default" w:ascii="宋体" w:hAnsi="宋体" w:eastAsia="宋体" w:cs="宋体"/>
          <w:b/>
          <w:bCs/>
          <w:color w:val="auto"/>
          <w:sz w:val="36"/>
          <w:szCs w:val="36"/>
          <w:highlight w:val="none"/>
          <w:lang w:val="en-US" w:eastAsia="zh-CN" w:bidi="ar-SA"/>
        </w:rPr>
      </w:r>
      <w:r/>
    </w:p>
    <w:p>
      <w:pPr>
        <w:ind w:firstLine="1081"/>
        <w:jc w:val="both"/>
        <w:spacing w:beforeAutospacing="0" w:afterAutospacing="0"/>
        <w:widowControl/>
        <w:rPr>
          <w:rFonts w:hint="default" w:ascii="宋体" w:hAnsi="宋体" w:eastAsia="宋体" w:cs="宋体"/>
          <w:b/>
          <w:bCs/>
          <w:color w:val="auto"/>
          <w:sz w:val="36"/>
          <w:szCs w:val="36"/>
          <w:highlight w:val="none"/>
          <w:lang w:val="en-US" w:eastAsia="zh-CN" w:bidi="ar-SA"/>
        </w:rPr>
      </w:pPr>
      <w:r>
        <w:rPr>
          <w:rFonts w:hint="default" w:ascii="宋体" w:hAnsi="宋体" w:eastAsia="宋体" w:cs="宋体"/>
          <w:b/>
          <w:bCs/>
          <w:color w:val="auto"/>
          <w:sz w:val="36"/>
          <w:szCs w:val="36"/>
          <w:highlight w:val="none"/>
          <w:lang w:val="en-US" w:eastAsia="zh-CN" w:bidi="ar-SA"/>
        </w:rPr>
      </w:r>
      <w:r/>
    </w:p>
    <w:p>
      <w:pPr>
        <w:ind w:firstLine="1081"/>
        <w:jc w:val="both"/>
        <w:spacing w:beforeAutospacing="0" w:afterAutospacing="0"/>
        <w:widowControl/>
        <w:rPr>
          <w:rFonts w:hint="default" w:ascii="宋体" w:hAnsi="宋体" w:eastAsia="宋体" w:cs="宋体"/>
          <w:b/>
          <w:bCs/>
          <w:color w:val="auto"/>
          <w:sz w:val="36"/>
          <w:szCs w:val="36"/>
          <w:highlight w:val="none"/>
          <w:lang w:val="en-US" w:eastAsia="zh-CN" w:bidi="ar-SA"/>
        </w:rPr>
      </w:pPr>
      <w:r>
        <w:rPr>
          <w:rFonts w:hint="default" w:ascii="宋体" w:hAnsi="宋体" w:eastAsia="宋体" w:cs="宋体"/>
          <w:b/>
          <w:bCs/>
          <w:color w:val="auto"/>
          <w:sz w:val="36"/>
          <w:szCs w:val="36"/>
          <w:highlight w:val="none"/>
          <w:lang w:val="en-US" w:eastAsia="zh-CN" w:bidi="ar-SA"/>
        </w:rPr>
      </w:r>
      <w:r/>
    </w:p>
    <w:p>
      <w:pPr>
        <w:ind w:firstLine="1081"/>
        <w:jc w:val="both"/>
        <w:spacing w:beforeAutospacing="0" w:afterAutospacing="0"/>
        <w:widowControl/>
        <w:rPr>
          <w:rFonts w:hint="default" w:ascii="宋体" w:hAnsi="宋体" w:eastAsia="宋体" w:cs="宋体"/>
          <w:b/>
          <w:bCs/>
          <w:color w:val="auto"/>
          <w:sz w:val="36"/>
          <w:szCs w:val="36"/>
          <w:highlight w:val="none"/>
          <w:lang w:val="en-US" w:eastAsia="zh-CN" w:bidi="ar-SA"/>
        </w:rPr>
      </w:pPr>
      <w:r>
        <w:rPr>
          <w:rFonts w:hint="default" w:ascii="宋体" w:hAnsi="宋体" w:eastAsia="宋体" w:cs="宋体"/>
          <w:b/>
          <w:bCs/>
          <w:color w:val="auto"/>
          <w:sz w:val="36"/>
          <w:szCs w:val="36"/>
          <w:highlight w:val="none"/>
          <w:lang w:val="en-US" w:eastAsia="zh-CN" w:bidi="ar-SA"/>
        </w:rPr>
      </w:r>
      <w:r/>
    </w:p>
    <w:p>
      <w:pPr>
        <w:ind w:firstLine="1081"/>
        <w:jc w:val="both"/>
        <w:spacing w:beforeAutospacing="0" w:afterAutospacing="0"/>
        <w:widowControl/>
        <w:rPr>
          <w:rFonts w:hint="default" w:ascii="宋体" w:hAnsi="宋体" w:eastAsia="宋体" w:cs="宋体"/>
          <w:b/>
          <w:bCs/>
          <w:color w:val="auto"/>
          <w:sz w:val="36"/>
          <w:szCs w:val="36"/>
          <w:highlight w:val="none"/>
          <w:lang w:val="en-US" w:eastAsia="zh-CN" w:bidi="ar-SA"/>
        </w:rPr>
      </w:pPr>
      <w:r>
        <w:rPr>
          <w:rFonts w:hint="default" w:ascii="宋体" w:hAnsi="宋体" w:eastAsia="宋体" w:cs="宋体"/>
          <w:b/>
          <w:bCs/>
          <w:color w:val="auto"/>
          <w:sz w:val="36"/>
          <w:szCs w:val="36"/>
          <w:highlight w:val="none"/>
          <w:lang w:val="en-US" w:eastAsia="zh-CN" w:bidi="ar-SA"/>
        </w:rPr>
      </w:r>
      <w:r/>
    </w:p>
    <w:p>
      <w:pPr>
        <w:ind w:firstLine="1081"/>
        <w:jc w:val="both"/>
        <w:spacing w:beforeAutospacing="0" w:afterAutospacing="0"/>
        <w:widowControl/>
        <w:rPr>
          <w:rFonts w:hint="default" w:ascii="宋体" w:hAnsi="宋体" w:eastAsia="宋体" w:cs="宋体"/>
          <w:b/>
          <w:bCs/>
          <w:color w:val="auto"/>
          <w:sz w:val="36"/>
          <w:szCs w:val="36"/>
          <w:highlight w:val="none"/>
          <w:lang w:val="en-US" w:eastAsia="zh-CN" w:bidi="ar-SA"/>
        </w:rPr>
      </w:pPr>
      <w:r>
        <w:rPr>
          <w:rFonts w:hint="default" w:ascii="宋体" w:hAnsi="宋体" w:eastAsia="宋体" w:cs="宋体"/>
          <w:b/>
          <w:bCs/>
          <w:color w:val="auto"/>
          <w:sz w:val="36"/>
          <w:szCs w:val="36"/>
          <w:highlight w:val="none"/>
          <w:lang w:val="en-US" w:eastAsia="zh-CN" w:bidi="ar-SA"/>
        </w:rPr>
      </w:r>
      <w:r/>
    </w:p>
    <w:p>
      <w:pPr>
        <w:ind w:firstLine="1081"/>
        <w:jc w:val="both"/>
        <w:spacing w:beforeAutospacing="0" w:afterAutospacing="0"/>
        <w:widowControl/>
        <w:rPr>
          <w:rFonts w:hint="default" w:ascii="Times New Roman" w:hAnsi="Times New Roman" w:eastAsia="宋体" w:cs="Times New Roman"/>
          <w:color w:val="auto"/>
          <w:sz w:val="24"/>
          <w:highlight w:val="none"/>
          <w:lang w:val="en-US" w:eastAsia="zh-CN" w:bidi="ar-SA"/>
        </w:rPr>
      </w:pPr>
      <w:r>
        <w:rPr>
          <w:rFonts w:hint="default" w:ascii="宋体" w:hAnsi="宋体" w:eastAsia="宋体" w:cs="宋体"/>
          <w:b/>
          <w:bCs/>
          <w:color w:val="auto"/>
          <w:sz w:val="36"/>
          <w:szCs w:val="36"/>
          <w:highlight w:val="none"/>
          <w:lang w:val="en-US" w:eastAsia="zh-CN" w:bidi="ar-SA"/>
        </w:rPr>
        <w:t xml:space="preserve">项 目 名 称：</w:t>
      </w:r>
      <w:r>
        <w:rPr>
          <w:rFonts w:hint="default" w:ascii="宋体" w:hAnsi="宋体" w:eastAsia="宋体" w:cs="宋体"/>
          <w:b/>
          <w:bCs/>
          <w:color w:val="auto"/>
          <w:sz w:val="36"/>
          <w:szCs w:val="36"/>
          <w:highlight w:val="none"/>
          <w:u w:val="single"/>
          <w:lang w:val="en-US" w:eastAsia="zh-CN" w:bidi="ar-SA"/>
        </w:rPr>
        <w:t xml:space="preserve">          </w:t>
      </w:r>
      <w:r/>
    </w:p>
    <w:p>
      <w:pPr>
        <w:ind w:firstLine="1081"/>
        <w:jc w:val="both"/>
        <w:spacing w:beforeAutospacing="0" w:afterAutospacing="0"/>
        <w:widowControl/>
        <w:rPr>
          <w:rFonts w:hint="default" w:ascii="Times New Roman" w:hAnsi="Times New Roman" w:eastAsia="宋体" w:cs="Times New Roman"/>
          <w:color w:val="auto"/>
          <w:sz w:val="24"/>
          <w:highlight w:val="none"/>
          <w:lang w:val="en-US" w:eastAsia="zh-CN" w:bidi="ar-SA"/>
        </w:rPr>
      </w:pPr>
      <w:r>
        <w:rPr>
          <w:rFonts w:hint="default" w:ascii="宋体" w:hAnsi="宋体" w:eastAsia="宋体" w:cs="宋体"/>
          <w:b/>
          <w:bCs/>
          <w:color w:val="auto"/>
          <w:sz w:val="36"/>
          <w:szCs w:val="36"/>
          <w:highlight w:val="none"/>
          <w:lang w:val="en-US" w:eastAsia="zh-CN" w:bidi="ar-SA"/>
        </w:rPr>
        <w:t xml:space="preserve">招 标 编 号：</w:t>
      </w:r>
      <w:r>
        <w:rPr>
          <w:rFonts w:hint="default" w:ascii="宋体" w:hAnsi="宋体" w:eastAsia="宋体" w:cs="宋体"/>
          <w:b/>
          <w:bCs/>
          <w:color w:val="auto"/>
          <w:sz w:val="36"/>
          <w:szCs w:val="36"/>
          <w:highlight w:val="none"/>
          <w:u w:val="single"/>
          <w:lang w:val="en-US" w:eastAsia="zh-CN" w:bidi="ar-SA"/>
        </w:rPr>
        <w:t xml:space="preserve">          </w:t>
      </w:r>
      <w:r/>
    </w:p>
    <w:p>
      <w:pPr>
        <w:jc w:val="both"/>
        <w:spacing w:beforeAutospacing="0" w:afterAutospacing="0"/>
        <w:widowControl/>
        <w:rPr>
          <w:rFonts w:hint="default" w:ascii="Times New Roman" w:hAnsi="Times New Roman" w:eastAsia="宋体" w:cs="Times New Roman"/>
          <w:color w:val="auto"/>
          <w:sz w:val="24"/>
          <w:highlight w:val="none"/>
          <w:lang w:val="en-US" w:eastAsia="zh-CN" w:bidi="ar-SA"/>
        </w:rPr>
      </w:pPr>
      <w:r>
        <w:rPr>
          <w:rFonts w:hint="default" w:ascii="宋体" w:hAnsi="宋体" w:eastAsia="宋体" w:cs="宋体"/>
          <w:b/>
          <w:bCs/>
          <w:color w:val="auto"/>
          <w:sz w:val="36"/>
          <w:szCs w:val="36"/>
          <w:highlight w:val="none"/>
          <w:lang w:val="en-US" w:eastAsia="zh-CN" w:bidi="ar-SA"/>
        </w:rPr>
        <w:t xml:space="preserve">   投标人名称 ：</w:t>
      </w:r>
      <w:r>
        <w:rPr>
          <w:rFonts w:hint="default" w:ascii="宋体" w:hAnsi="宋体" w:eastAsia="宋体" w:cs="宋体"/>
          <w:b/>
          <w:bCs/>
          <w:color w:val="auto"/>
          <w:sz w:val="36"/>
          <w:szCs w:val="36"/>
          <w:highlight w:val="none"/>
          <w:u w:val="single"/>
          <w:lang w:val="en-US" w:eastAsia="zh-CN" w:bidi="ar-SA"/>
        </w:rPr>
        <w:t xml:space="preserve">（加盖CA电子公章）</w:t>
      </w:r>
      <w:r/>
    </w:p>
    <w:p>
      <w:pPr>
        <w:jc w:val="both"/>
        <w:spacing w:beforeAutospacing="0" w:afterAutospacing="0"/>
        <w:widowControl/>
        <w:rPr>
          <w:rFonts w:hint="default" w:ascii="Times New Roman" w:hAnsi="Times New Roman" w:eastAsia="宋体" w:cs="Times New Roman"/>
          <w:color w:val="auto"/>
          <w:sz w:val="24"/>
          <w:highlight w:val="none"/>
          <w:lang w:val="en-US" w:eastAsia="zh-CN" w:bidi="ar-SA"/>
        </w:rPr>
      </w:pPr>
      <w:r>
        <w:rPr>
          <w:rFonts w:hint="default" w:ascii="宋体" w:hAnsi="宋体" w:eastAsia="宋体" w:cs="宋体"/>
          <w:b/>
          <w:bCs/>
          <w:color w:val="auto"/>
          <w:sz w:val="36"/>
          <w:szCs w:val="36"/>
          <w:highlight w:val="none"/>
          <w:lang w:val="en-US" w:eastAsia="zh-CN" w:bidi="ar-SA"/>
        </w:rPr>
        <w:t xml:space="preserve">   日 </w:t>
      </w:r>
      <w:r>
        <w:rPr>
          <w:rFonts w:hint="eastAsia" w:ascii="Times New Roman" w:hAnsi="Times New Roman" w:eastAsia="宋体" w:cs="宋体"/>
          <w:b/>
          <w:bCs/>
          <w:color w:val="auto"/>
          <w:sz w:val="36"/>
          <w:szCs w:val="36"/>
          <w:highlight w:val="none"/>
          <w:lang w:val="en-US" w:eastAsia="zh-CN" w:bidi="ar-SA"/>
        </w:rPr>
        <w:t xml:space="preserve">    </w:t>
      </w:r>
      <w:r>
        <w:rPr>
          <w:rFonts w:hint="default" w:ascii="宋体" w:hAnsi="宋体" w:eastAsia="宋体" w:cs="宋体"/>
          <w:b/>
          <w:bCs/>
          <w:color w:val="auto"/>
          <w:sz w:val="36"/>
          <w:szCs w:val="36"/>
          <w:highlight w:val="none"/>
          <w:lang w:val="en-US" w:eastAsia="zh-CN" w:bidi="ar-SA"/>
        </w:rPr>
        <w:t xml:space="preserve">期 ：</w:t>
      </w:r>
      <w:r>
        <w:rPr>
          <w:rFonts w:hint="default" w:ascii="宋体" w:hAnsi="宋体" w:eastAsia="宋体" w:cs="宋体"/>
          <w:b/>
          <w:bCs/>
          <w:color w:val="auto"/>
          <w:sz w:val="36"/>
          <w:szCs w:val="36"/>
          <w:highlight w:val="none"/>
          <w:u w:val="single"/>
          <w:lang w:val="en-US" w:eastAsia="zh-CN" w:bidi="ar-SA"/>
        </w:rPr>
        <w:t xml:space="preserve">          </w:t>
      </w:r>
      <w:r/>
    </w:p>
    <w:p>
      <w:pPr>
        <w:jc w:val="center"/>
        <w:spacing w:line="360" w:lineRule="auto"/>
        <w:rPr>
          <w:rFonts w:ascii="Times New Roman" w:hAnsi="Times New Roman" w:cs="Times New Roman"/>
          <w:color w:val="auto"/>
          <w:highlight w:val="none"/>
        </w:rPr>
      </w:pPr>
      <w:r>
        <w:rPr>
          <w:rFonts w:ascii="Times New Roman" w:hAnsi="Times New Roman" w:cs="Times New Roman"/>
          <w:color w:val="auto"/>
          <w:highlight w:val="none"/>
        </w:rPr>
        <w:br w:type="page" w:clear="all"/>
      </w:r>
      <w:r/>
    </w:p>
    <w:p>
      <w:pPr>
        <w:spacing w:before="156" w:after="156" w:line="360" w:lineRule="auto"/>
        <w:tabs>
          <w:tab w:val="left" w:pos="576" w:leader="none"/>
        </w:tabs>
        <w:rPr>
          <w:rFonts w:ascii="Times New Roman" w:hAnsi="Times New Roman" w:eastAsia="黑体" w:cs="Times New Roman"/>
          <w:color w:val="auto"/>
          <w:sz w:val="24"/>
          <w:szCs w:val="24"/>
          <w:highlight w:val="none"/>
        </w:rPr>
        <w:outlineLvl w:val="2"/>
      </w:pPr>
      <w:r/>
      <w:bookmarkStart w:id="448" w:name="_Toc50"/>
      <w:r/>
      <w:bookmarkStart w:id="449" w:name="_Toc415494574"/>
      <w:r/>
      <w:bookmarkStart w:id="450" w:name="_Toc448069988"/>
      <w:r/>
      <w:bookmarkStart w:id="451" w:name="_Toc417"/>
      <w:r/>
      <w:bookmarkStart w:id="452" w:name="_Toc11859491"/>
      <w:r>
        <w:rPr>
          <w:rFonts w:ascii="Times New Roman" w:hAnsi="Times New Roman" w:eastAsia="黑体" w:cs="Times New Roman"/>
          <w:color w:val="auto"/>
          <w:sz w:val="24"/>
          <w:szCs w:val="24"/>
          <w:highlight w:val="none"/>
        </w:rPr>
        <w:t xml:space="preserve">6.1 </w:t>
      </w:r>
      <w:bookmarkEnd w:id="448"/>
      <w:r/>
      <w:bookmarkEnd w:id="449"/>
      <w:r/>
      <w:bookmarkEnd w:id="450"/>
      <w:r>
        <w:rPr>
          <w:rFonts w:hint="eastAsia" w:ascii="Times New Roman" w:hAnsi="Times New Roman" w:eastAsia="黑体" w:cs="Times New Roman"/>
          <w:color w:val="auto"/>
          <w:sz w:val="24"/>
          <w:szCs w:val="24"/>
          <w:highlight w:val="none"/>
        </w:rPr>
        <w:t xml:space="preserve">投标函</w:t>
      </w:r>
      <w:bookmarkEnd w:id="451"/>
      <w:r/>
      <w:bookmarkEnd w:id="452"/>
      <w:r/>
      <w:r/>
    </w:p>
    <w:p>
      <w:pPr>
        <w:jc w:val="center"/>
        <w:spacing w:line="360" w:lineRule="auto"/>
        <w:rPr>
          <w:rFonts w:ascii="黑体" w:eastAsia="黑体" w:cs="Times New Roman"/>
          <w:color w:val="auto"/>
          <w:sz w:val="28"/>
          <w:szCs w:val="24"/>
          <w:highlight w:val="none"/>
          <w:lang w:val="zh-TW" w:eastAsia="zh-TW"/>
        </w:rPr>
      </w:pPr>
      <w:r>
        <w:rPr>
          <w:rFonts w:hint="eastAsia" w:ascii="黑体" w:eastAsia="黑体" w:cs="Times New Roman"/>
          <w:color w:val="auto"/>
          <w:sz w:val="28"/>
          <w:szCs w:val="24"/>
          <w:highlight w:val="none"/>
          <w:lang w:val="zh-TW" w:eastAsia="zh-TW"/>
        </w:rPr>
        <w:t xml:space="preserve">投标函</w:t>
      </w:r>
      <w:r/>
    </w:p>
    <w:p>
      <w:pPr>
        <w:pStyle w:val="956"/>
        <w:ind w:firstLine="0"/>
        <w:spacing w:before="0" w:after="0" w:line="300" w:lineRule="auto"/>
        <w:rPr>
          <w:rFonts w:ascii="Times New Roman" w:hAnsi="Times New Roman"/>
          <w:color w:val="auto"/>
          <w:szCs w:val="21"/>
          <w:highlight w:val="none"/>
        </w:rPr>
      </w:pPr>
      <w:r>
        <w:rPr>
          <w:rFonts w:ascii="Times New Roman" w:hAnsi="Times New Roman"/>
          <w:color w:val="auto"/>
          <w:szCs w:val="21"/>
          <w:highlight w:val="none"/>
        </w:rPr>
        <w:t xml:space="preserve">致：</w:t>
      </w:r>
      <w:r>
        <w:rPr>
          <w:rFonts w:hint="eastAsia" w:ascii="Times New Roman" w:hAnsi="Times New Roman"/>
          <w:color w:val="auto"/>
          <w:szCs w:val="21"/>
          <w:highlight w:val="none"/>
        </w:rPr>
        <w:t xml:space="preserve">江苏省公安厅</w:t>
      </w:r>
      <w:r/>
    </w:p>
    <w:p>
      <w:pPr>
        <w:pStyle w:val="956"/>
        <w:spacing w:before="0" w:after="0" w:line="300" w:lineRule="auto"/>
        <w:rPr>
          <w:rFonts w:ascii="Times New Roman" w:hAnsi="Times New Roman"/>
          <w:color w:val="auto"/>
          <w:szCs w:val="21"/>
          <w:highlight w:val="none"/>
        </w:rPr>
      </w:pPr>
      <w:r>
        <w:rPr>
          <w:rFonts w:ascii="Times New Roman" w:hAnsi="Times New Roman"/>
          <w:color w:val="auto"/>
          <w:szCs w:val="21"/>
          <w:highlight w:val="none"/>
        </w:rPr>
        <w:t xml:space="preserve">根据贵方</w:t>
      </w:r>
      <w:r>
        <w:rPr>
          <w:rFonts w:hint="eastAsia" w:ascii="Times New Roman" w:hAnsi="Times New Roman"/>
          <w:color w:val="auto"/>
          <w:szCs w:val="21"/>
          <w:highlight w:val="none"/>
          <w:u w:val="single"/>
        </w:rPr>
        <w:t xml:space="preserve">                               项目（</w:t>
      </w:r>
      <w:r>
        <w:rPr>
          <w:rFonts w:ascii="Times New Roman" w:hAnsi="Times New Roman"/>
          <w:color w:val="auto"/>
          <w:szCs w:val="21"/>
          <w:highlight w:val="none"/>
          <w:u w:val="single"/>
        </w:rPr>
        <w:t xml:space="preserve">项目编号</w:t>
      </w:r>
      <w:r>
        <w:rPr>
          <w:rFonts w:hint="eastAsia" w:ascii="Times New Roman" w:hAnsi="Times New Roman"/>
          <w:color w:val="auto"/>
          <w:szCs w:val="21"/>
          <w:highlight w:val="none"/>
          <w:u w:val="single"/>
        </w:rPr>
        <w:t xml:space="preserve">： ）</w:t>
      </w:r>
      <w:r>
        <w:rPr>
          <w:rFonts w:ascii="Times New Roman" w:hAnsi="Times New Roman"/>
          <w:color w:val="auto"/>
          <w:szCs w:val="21"/>
          <w:highlight w:val="none"/>
        </w:rPr>
        <w:t xml:space="preserve">的招标文件，正式授权下述签字人____________</w:t>
      </w:r>
      <w:r>
        <w:rPr>
          <w:rFonts w:hint="eastAsia" w:ascii="Times New Roman" w:hAnsi="Times New Roman"/>
          <w:color w:val="auto"/>
          <w:szCs w:val="21"/>
          <w:highlight w:val="none"/>
        </w:rPr>
        <w:t xml:space="preserve">（</w:t>
      </w:r>
      <w:r>
        <w:rPr>
          <w:rFonts w:ascii="Times New Roman" w:hAnsi="Times New Roman"/>
          <w:color w:val="auto"/>
          <w:szCs w:val="21"/>
          <w:highlight w:val="none"/>
        </w:rPr>
        <w:t xml:space="preserve">姓名和职务</w:t>
      </w:r>
      <w:r>
        <w:rPr>
          <w:rFonts w:hint="eastAsia" w:ascii="Times New Roman" w:hAnsi="Times New Roman"/>
          <w:color w:val="auto"/>
          <w:szCs w:val="21"/>
          <w:highlight w:val="none"/>
        </w:rPr>
        <w:t xml:space="preserve">）</w:t>
      </w:r>
      <w:r>
        <w:rPr>
          <w:rFonts w:ascii="Times New Roman" w:hAnsi="Times New Roman"/>
          <w:color w:val="auto"/>
          <w:szCs w:val="21"/>
          <w:highlight w:val="none"/>
        </w:rPr>
        <w:t xml:space="preserve">代表我方____________（投标人的名称），全权处理本次项目投标的有关事宜。</w:t>
      </w:r>
      <w:r/>
    </w:p>
    <w:p>
      <w:pPr>
        <w:pStyle w:val="956"/>
        <w:spacing w:before="0" w:after="0" w:line="300" w:lineRule="auto"/>
        <w:rPr>
          <w:rFonts w:ascii="Times New Roman" w:hAnsi="Times New Roman"/>
          <w:color w:val="auto"/>
          <w:szCs w:val="21"/>
          <w:highlight w:val="none"/>
        </w:rPr>
      </w:pPr>
      <w:r>
        <w:rPr>
          <w:rFonts w:ascii="Times New Roman" w:hAnsi="Times New Roman"/>
          <w:color w:val="auto"/>
          <w:szCs w:val="21"/>
          <w:highlight w:val="none"/>
        </w:rPr>
        <w:t xml:space="preserve">据此函，</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人宣布同意如下：</w:t>
      </w:r>
      <w:r/>
    </w:p>
    <w:p>
      <w:pPr>
        <w:pStyle w:val="956"/>
        <w:spacing w:before="0" w:after="0" w:line="300" w:lineRule="auto"/>
        <w:rPr>
          <w:rFonts w:ascii="Times New Roman" w:hAnsi="Times New Roman"/>
          <w:color w:val="auto"/>
          <w:szCs w:val="21"/>
          <w:highlight w:val="none"/>
        </w:rPr>
      </w:pPr>
      <w:r>
        <w:rPr>
          <w:rFonts w:ascii="Times New Roman" w:hAnsi="Times New Roman"/>
          <w:color w:val="auto"/>
          <w:szCs w:val="21"/>
          <w:highlight w:val="none"/>
        </w:rPr>
        <w:t xml:space="preserve">1.按招标文件规定的各项要求，向甲方提供所需货物与服务。</w:t>
      </w:r>
      <w:r/>
    </w:p>
    <w:p>
      <w:pPr>
        <w:pStyle w:val="956"/>
        <w:spacing w:before="0" w:after="0" w:line="300" w:lineRule="auto"/>
        <w:rPr>
          <w:rFonts w:ascii="Times New Roman" w:hAnsi="Times New Roman"/>
          <w:color w:val="auto"/>
          <w:szCs w:val="21"/>
          <w:highlight w:val="none"/>
        </w:rPr>
      </w:pPr>
      <w:r>
        <w:rPr>
          <w:rFonts w:ascii="Times New Roman" w:hAnsi="Times New Roman"/>
          <w:color w:val="auto"/>
          <w:szCs w:val="21"/>
          <w:highlight w:val="none"/>
        </w:rPr>
        <w:t xml:space="preserve">2.我们完全理解贵方不一定将合同授予最低报价的投标人。</w:t>
      </w:r>
      <w:r/>
    </w:p>
    <w:p>
      <w:pPr>
        <w:pStyle w:val="956"/>
        <w:spacing w:before="0" w:after="0" w:line="300" w:lineRule="auto"/>
        <w:rPr>
          <w:rFonts w:ascii="Times New Roman" w:hAnsi="Times New Roman"/>
          <w:color w:val="auto"/>
          <w:szCs w:val="21"/>
          <w:highlight w:val="none"/>
        </w:rPr>
      </w:pPr>
      <w:r>
        <w:rPr>
          <w:rFonts w:ascii="Times New Roman" w:hAnsi="Times New Roman"/>
          <w:color w:val="auto"/>
          <w:szCs w:val="21"/>
          <w:highlight w:val="none"/>
        </w:rPr>
        <w:t xml:space="preserve">3.我们已详细审核全部招标文件及其有效补充文件，我们知道必须放弃提出含糊不清或误解问题的权利。</w:t>
      </w:r>
      <w:r/>
    </w:p>
    <w:p>
      <w:pPr>
        <w:pStyle w:val="956"/>
        <w:spacing w:before="0" w:after="0" w:line="300" w:lineRule="auto"/>
        <w:rPr>
          <w:rFonts w:ascii="Times New Roman" w:hAnsi="Times New Roman"/>
          <w:color w:val="auto"/>
          <w:szCs w:val="21"/>
          <w:highlight w:val="none"/>
        </w:rPr>
      </w:pPr>
      <w:r>
        <w:rPr>
          <w:rFonts w:ascii="Times New Roman" w:hAnsi="Times New Roman"/>
          <w:color w:val="auto"/>
          <w:szCs w:val="21"/>
          <w:highlight w:val="none"/>
        </w:rPr>
        <w:t xml:space="preserve">4.我们同意从规定的开标日期起遵循本投标文件，并在规定的投标有效期期满之前均具有约束力。</w:t>
      </w:r>
      <w:r/>
    </w:p>
    <w:p>
      <w:pPr>
        <w:pStyle w:val="956"/>
        <w:spacing w:before="0" w:after="0" w:line="300" w:lineRule="auto"/>
        <w:rPr>
          <w:rFonts w:ascii="Times New Roman" w:hAnsi="Times New Roman"/>
          <w:color w:val="auto"/>
          <w:szCs w:val="21"/>
          <w:highlight w:val="none"/>
        </w:rPr>
      </w:pPr>
      <w:r>
        <w:rPr>
          <w:rFonts w:ascii="Times New Roman" w:hAnsi="Times New Roman"/>
          <w:color w:val="auto"/>
          <w:szCs w:val="21"/>
          <w:highlight w:val="none"/>
        </w:rPr>
        <w:t xml:space="preserve">5.如果在开标后规定的投标有效期内撤回投标或中标后拒绝签订合同，我们的投标保证金可被贵方没收。</w:t>
      </w:r>
      <w:r/>
    </w:p>
    <w:p>
      <w:pPr>
        <w:pStyle w:val="956"/>
        <w:spacing w:before="0" w:after="0" w:line="300" w:lineRule="auto"/>
        <w:rPr>
          <w:rFonts w:ascii="Times New Roman" w:hAnsi="Times New Roman"/>
          <w:color w:val="auto"/>
          <w:szCs w:val="21"/>
          <w:highlight w:val="none"/>
        </w:rPr>
      </w:pPr>
      <w:r>
        <w:rPr>
          <w:rFonts w:ascii="Times New Roman" w:hAnsi="Times New Roman"/>
          <w:color w:val="auto"/>
          <w:szCs w:val="21"/>
          <w:highlight w:val="none"/>
        </w:rPr>
        <w:t xml:space="preserve">6.同意向贵方提供贵方可能另外要求的与投标有关的任何证据或资料，并保证我方已提供和将要提供的文件是真实的、准确的。</w:t>
      </w:r>
      <w:r/>
    </w:p>
    <w:p>
      <w:pPr>
        <w:pStyle w:val="956"/>
        <w:spacing w:before="0" w:after="0" w:line="300" w:lineRule="auto"/>
        <w:rPr>
          <w:rFonts w:ascii="Times New Roman" w:hAnsi="Times New Roman"/>
          <w:color w:val="auto"/>
          <w:szCs w:val="21"/>
          <w:highlight w:val="none"/>
        </w:rPr>
      </w:pPr>
      <w:r>
        <w:rPr>
          <w:rFonts w:ascii="Times New Roman" w:hAnsi="Times New Roman"/>
          <w:color w:val="auto"/>
          <w:szCs w:val="21"/>
          <w:highlight w:val="none"/>
        </w:rPr>
        <w:t xml:space="preserve">7.一旦我方中标,我方将根据招标文件的规定，严格履行合同的责任和义务,并保证在招标文件规定的时间完成项目，交付甲方验收、使用。</w:t>
      </w:r>
      <w:r/>
    </w:p>
    <w:p>
      <w:pPr>
        <w:pStyle w:val="956"/>
        <w:spacing w:before="0" w:after="0" w:line="300" w:lineRule="auto"/>
        <w:rPr>
          <w:rFonts w:ascii="Times New Roman" w:hAnsi="Times New Roman"/>
          <w:color w:val="auto"/>
          <w:szCs w:val="21"/>
          <w:highlight w:val="none"/>
        </w:rPr>
      </w:pPr>
      <w:r>
        <w:rPr>
          <w:rFonts w:ascii="Times New Roman" w:hAnsi="Times New Roman"/>
          <w:color w:val="auto"/>
          <w:szCs w:val="21"/>
          <w:highlight w:val="none"/>
        </w:rPr>
        <w:t xml:space="preserve">8.遵守招标文件中要求的收费项目和标准。</w:t>
      </w:r>
      <w:r/>
    </w:p>
    <w:p>
      <w:pPr>
        <w:ind w:firstLine="420"/>
        <w:spacing w:line="360" w:lineRule="auto"/>
        <w:rPr>
          <w:rFonts w:hint="eastAsia"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r>
      <w:r/>
    </w:p>
    <w:p>
      <w:pPr>
        <w:ind w:firstLine="420"/>
        <w:spacing w:line="360" w:lineRule="auto"/>
        <w:rPr>
          <w:rFonts w:hint="eastAsia"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r>
      <w:r/>
    </w:p>
    <w:p>
      <w:pPr>
        <w:ind w:firstLine="420"/>
        <w:spacing w:line="360" w:lineRule="auto"/>
        <w:rPr>
          <w:rFonts w:hint="eastAsia"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 xml:space="preserve">投标人(加盖CA电子公章)：     </w:t>
      </w:r>
      <w:r/>
    </w:p>
    <w:p>
      <w:pPr>
        <w:ind w:firstLine="420"/>
        <w:spacing w:line="360" w:lineRule="auto"/>
        <w:rPr>
          <w:rFonts w:hint="eastAsia"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 xml:space="preserve">法定代表人或法定代表人授权代表签字或盖章：</w:t>
      </w:r>
      <w:r/>
    </w:p>
    <w:p>
      <w:pPr>
        <w:ind w:firstLine="420"/>
        <w:spacing w:line="360" w:lineRule="auto"/>
        <w:rPr>
          <w:rFonts w:hint="eastAsia"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 xml:space="preserve">电话：                              传真：</w:t>
      </w:r>
      <w:r/>
    </w:p>
    <w:p>
      <w:pPr>
        <w:ind w:firstLine="420"/>
        <w:spacing w:line="360" w:lineRule="auto"/>
        <w:rPr>
          <w:rFonts w:hint="eastAsia"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 xml:space="preserve">通讯地址：                          邮编：</w:t>
      </w:r>
      <w:r/>
    </w:p>
    <w:p>
      <w:pPr>
        <w:spacing w:line="360" w:lineRule="auto"/>
        <w:rPr>
          <w:rFonts w:eastAsia="黑体"/>
          <w:bCs/>
          <w:color w:val="auto"/>
          <w:sz w:val="24"/>
          <w:szCs w:val="24"/>
          <w:highlight w:val="none"/>
        </w:rPr>
        <w:sectPr>
          <w:footerReference w:type="default" r:id="rId12"/>
          <w:footnotePr/>
          <w:endnotePr/>
          <w:type w:val="nextPage"/>
          <w:pgSz w:w="11907" w:h="16840" w:orient="portrait"/>
          <w:pgMar w:top="1134" w:right="1134" w:bottom="1134" w:left="1134" w:header="851" w:footer="992" w:gutter="0"/>
          <w:pgNumType w:start="1"/>
          <w:cols w:num="1" w:sep="0" w:space="720" w:equalWidth="1"/>
          <w:docGrid w:linePitch="360"/>
        </w:sectPr>
        <w:outlineLvl w:val="0"/>
      </w:pPr>
      <w:r>
        <w:rPr>
          <w:rFonts w:eastAsia="黑体"/>
          <w:bCs/>
          <w:color w:val="auto"/>
          <w:sz w:val="24"/>
          <w:szCs w:val="24"/>
          <w:highlight w:val="none"/>
        </w:rPr>
      </w:r>
      <w:r/>
    </w:p>
    <w:p>
      <w:pPr>
        <w:spacing w:before="156" w:after="156" w:line="360" w:lineRule="auto"/>
        <w:tabs>
          <w:tab w:val="left" w:pos="576" w:leader="none"/>
        </w:tabs>
        <w:rPr>
          <w:rFonts w:ascii="Times New Roman" w:hAnsi="Times New Roman" w:eastAsia="黑体" w:cs="Times New Roman"/>
          <w:color w:val="auto"/>
          <w:sz w:val="24"/>
          <w:szCs w:val="24"/>
          <w:highlight w:val="none"/>
        </w:rPr>
        <w:outlineLvl w:val="2"/>
      </w:pPr>
      <w:r/>
      <w:bookmarkStart w:id="453" w:name="_Toc448069992"/>
      <w:r/>
      <w:bookmarkStart w:id="454" w:name="_Toc11859492"/>
      <w:r/>
      <w:bookmarkStart w:id="455" w:name="_Toc18412"/>
      <w:r/>
      <w:bookmarkStart w:id="456" w:name="_Toc415494579"/>
      <w:r/>
      <w:bookmarkStart w:id="457" w:name="_Toc51"/>
      <w:r/>
      <w:bookmarkStart w:id="458" w:name="_Toc448069989"/>
      <w:r/>
      <w:bookmarkStart w:id="459" w:name="_Toc415494575"/>
      <w:r/>
      <w:bookmarkStart w:id="460" w:name="_Toc452541709"/>
      <w:r>
        <w:rPr>
          <w:rFonts w:ascii="Times New Roman" w:hAnsi="Times New Roman" w:eastAsia="黑体" w:cs="Times New Roman"/>
          <w:color w:val="auto"/>
          <w:sz w:val="24"/>
          <w:szCs w:val="24"/>
          <w:highlight w:val="none"/>
        </w:rPr>
        <w:t xml:space="preserve">6.2 </w:t>
      </w:r>
      <w:bookmarkEnd w:id="453"/>
      <w:r/>
      <w:bookmarkEnd w:id="454"/>
      <w:r/>
      <w:bookmarkEnd w:id="455"/>
      <w:r/>
      <w:bookmarkEnd w:id="456"/>
      <w:r>
        <w:rPr>
          <w:rFonts w:hint="eastAsia" w:ascii="Times New Roman" w:hAnsi="Times New Roman" w:eastAsia="黑体" w:cs="Times New Roman"/>
          <w:color w:val="auto"/>
          <w:sz w:val="24"/>
          <w:szCs w:val="24"/>
          <w:highlight w:val="none"/>
        </w:rPr>
        <w:t xml:space="preserve">开标一览表</w:t>
      </w:r>
      <w:r/>
    </w:p>
    <w:p>
      <w:pPr>
        <w:jc w:val="center"/>
        <w:spacing w:line="360" w:lineRule="auto"/>
        <w:rPr>
          <w:rFonts w:ascii="黑体" w:eastAsia="黑体" w:cs="Times New Roman"/>
          <w:color w:val="auto"/>
          <w:sz w:val="28"/>
          <w:szCs w:val="24"/>
          <w:highlight w:val="none"/>
          <w:lang w:val="zh-TW"/>
        </w:rPr>
      </w:pPr>
      <w:r>
        <w:rPr>
          <w:rFonts w:hint="eastAsia" w:ascii="黑体" w:eastAsia="黑体" w:cs="Times New Roman"/>
          <w:color w:val="auto"/>
          <w:sz w:val="28"/>
          <w:szCs w:val="24"/>
          <w:highlight w:val="none"/>
          <w:lang w:val="zh-TW"/>
        </w:rPr>
        <w:t xml:space="preserve">开标一览表(格式系统生成)：</w:t>
      </w:r>
      <w:r/>
    </w:p>
    <w:p>
      <w:pPr>
        <w:ind w:firstLine="480"/>
        <w:spacing w:line="44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0"/>
        <w:spacing w:line="44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2"/>
        <w:spacing w:line="0" w:lineRule="atLeast"/>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投标人全称（加盖CA电子公章）：</w:t>
      </w:r>
      <w:r/>
    </w:p>
    <w:p>
      <w:pPr>
        <w:ind w:firstLine="482"/>
        <w:spacing w:line="0" w:lineRule="atLeast"/>
        <w:rPr>
          <w:rFonts w:hint="default" w:ascii="Times New Roman" w:hAnsi="Times New Roman" w:cs="Times New Roman"/>
          <w:color w:val="000000"/>
          <w:sz w:val="24"/>
          <w:szCs w:val="24"/>
          <w:highlight w:val="none"/>
        </w:rPr>
      </w:pPr>
      <w:r>
        <w:rPr>
          <w:rFonts w:hint="eastAsia" w:ascii="宋体" w:hAnsi="宋体" w:cs="Times New Roman"/>
          <w:color w:val="000000"/>
          <w:sz w:val="24"/>
          <w:szCs w:val="24"/>
          <w:highlight w:val="none"/>
        </w:rPr>
        <w:t xml:space="preserve">项目名称：</w:t>
      </w:r>
      <w:r/>
    </w:p>
    <w:p>
      <w:pPr>
        <w:ind w:firstLine="482"/>
        <w:spacing w:line="0" w:lineRule="atLeast"/>
        <w:rPr>
          <w:rFonts w:hint="default" w:ascii="宋体" w:hAnsi="宋体" w:cs="Times New Roman"/>
          <w:color w:val="000000"/>
          <w:sz w:val="24"/>
          <w:szCs w:val="24"/>
          <w:highlight w:val="none"/>
        </w:rPr>
      </w:pPr>
      <w:r>
        <w:rPr>
          <w:rFonts w:hint="eastAsia" w:ascii="宋体" w:hAnsi="宋体" w:cs="Times New Roman"/>
          <w:color w:val="000000"/>
          <w:sz w:val="24"/>
          <w:szCs w:val="24"/>
          <w:highlight w:val="none"/>
        </w:rPr>
        <w:t xml:space="preserve">采购编号：                                   </w:t>
      </w:r>
      <w:r/>
    </w:p>
    <w:p>
      <w:pPr>
        <w:ind w:firstLine="482"/>
        <w:spacing w:line="0" w:lineRule="atLeast"/>
        <w:rPr>
          <w:rFonts w:hint="default" w:ascii="宋体" w:hAnsi="宋体" w:cs="Times New Roman"/>
          <w:color w:val="000000"/>
          <w:sz w:val="24"/>
          <w:szCs w:val="24"/>
          <w:highlight w:val="none"/>
        </w:rPr>
      </w:pPr>
      <w:r>
        <w:rPr>
          <w:rFonts w:hint="eastAsia" w:ascii="宋体" w:hAnsi="宋体" w:cs="Times New Roman"/>
          <w:color w:val="000000"/>
          <w:sz w:val="24"/>
          <w:szCs w:val="24"/>
          <w:highlight w:val="none"/>
        </w:rPr>
        <w:t xml:space="preserve">采购包号：</w:t>
      </w:r>
      <w:r/>
    </w:p>
    <w:tbl>
      <w:tblPr>
        <w:tblStyle w:val="92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jc w:val="both"/>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投标总报价</w:t>
            </w:r>
            <w:r/>
          </w:p>
        </w:tc>
      </w:tr>
      <w:tr>
        <w:trPr>
          <w:cantSplit/>
          <w:trHeight w:val="612"/>
        </w:trPr>
        <w:tc>
          <w:tcPr>
            <w:tcW w:w="8206" w:type="dxa"/>
            <w:vAlign w:val="center"/>
            <w:textDirection w:val="lrTb"/>
            <w:noWrap w:val="false"/>
          </w:tcPr>
          <w:p>
            <w:pPr>
              <w:ind w:firstLine="0"/>
              <w:jc w:val="left"/>
              <w:spacing w:before="0" w:after="0" w:line="500" w:lineRule="exact"/>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小写：                             （人民币：元）</w:t>
            </w:r>
            <w:r/>
          </w:p>
        </w:tc>
      </w:tr>
    </w:tbl>
    <w:p>
      <w:pPr>
        <w:jc w:val="lef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rPr>
          <w:rFonts w:hint="eastAsia" w:ascii="Times New Roman" w:hAnsi="Times New Roman" w:eastAsia="黑体" w:cs="Times New Roman"/>
          <w:color w:val="auto"/>
          <w:sz w:val="24"/>
          <w:szCs w:val="24"/>
          <w:highlight w:val="none"/>
        </w:rPr>
      </w:pPr>
      <w:r/>
      <w:bookmarkStart w:id="461" w:name="_Toc4277"/>
      <w:r>
        <w:rPr>
          <w:rFonts w:hint="eastAsia" w:ascii="Times New Roman" w:hAnsi="Times New Roman" w:eastAsia="黑体" w:cs="Times New Roman"/>
          <w:color w:val="auto"/>
          <w:sz w:val="24"/>
          <w:szCs w:val="24"/>
          <w:highlight w:val="none"/>
        </w:rPr>
        <w:br w:type="page" w:clear="all"/>
      </w:r>
      <w:r/>
    </w:p>
    <w:p>
      <w:pPr>
        <w:spacing w:line="360" w:lineRule="auto"/>
        <w:rPr>
          <w:rFonts w:ascii="黑体" w:eastAsia="黑体" w:cs="Times New Roman"/>
          <w:color w:val="auto"/>
          <w:sz w:val="28"/>
          <w:szCs w:val="24"/>
          <w:highlight w:val="none"/>
          <w:lang w:val="zh-TW" w:eastAsia="zh-TW"/>
        </w:rPr>
        <w:outlineLvl w:val="2"/>
      </w:pPr>
      <w:r>
        <w:rPr>
          <w:rFonts w:hint="eastAsia" w:ascii="Times New Roman" w:hAnsi="Times New Roman" w:eastAsia="黑体" w:cs="Times New Roman"/>
          <w:color w:val="auto"/>
          <w:sz w:val="24"/>
          <w:szCs w:val="24"/>
          <w:highlight w:val="none"/>
        </w:rPr>
        <w:t xml:space="preserve">6.3分项报价表</w:t>
      </w:r>
      <w:bookmarkEnd w:id="461"/>
      <w:r/>
      <w:r/>
    </w:p>
    <w:p>
      <w:pPr>
        <w:jc w:val="center"/>
        <w:spacing w:line="360" w:lineRule="auto"/>
        <w:rPr>
          <w:rFonts w:ascii="黑体" w:eastAsia="黑体" w:cs="Times New Roman"/>
          <w:color w:val="auto"/>
          <w:sz w:val="28"/>
          <w:szCs w:val="24"/>
          <w:highlight w:val="none"/>
        </w:rPr>
      </w:pPr>
      <w:r>
        <w:rPr>
          <w:rFonts w:hint="eastAsia" w:ascii="黑体" w:eastAsia="黑体" w:cs="Times New Roman"/>
          <w:color w:val="auto"/>
          <w:sz w:val="28"/>
          <w:szCs w:val="24"/>
          <w:highlight w:val="none"/>
          <w:lang w:val="zh-TW" w:eastAsia="zh-TW"/>
        </w:rPr>
        <w:t xml:space="preserve">分项报价表</w:t>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投标人全称（</w:t>
      </w:r>
      <w:r>
        <w:rPr>
          <w:rFonts w:hint="eastAsia" w:ascii="Times New Roman" w:hAnsi="Times New Roman" w:cs="Times New Roman"/>
          <w:color w:val="auto"/>
          <w:sz w:val="24"/>
          <w:szCs w:val="24"/>
          <w:highlight w:val="none"/>
        </w:rPr>
        <w:t xml:space="preserve">加盖CA电子公章</w:t>
      </w:r>
      <w:r>
        <w:rPr>
          <w:rFonts w:ascii="Times New Roman" w:hAnsi="Times New Roman" w:cs="Times New Roman"/>
          <w:color w:val="auto"/>
          <w:sz w:val="24"/>
          <w:szCs w:val="24"/>
          <w:highlight w:val="none"/>
        </w:rPr>
        <w:t xml:space="preserve">）：</w:t>
      </w:r>
      <w:r/>
    </w:p>
    <w:p>
      <w:pPr>
        <w:ind w:firstLine="480"/>
        <w:spacing w:line="360" w:lineRule="auto"/>
        <w:rPr>
          <w:rFonts w:hint="eastAsia"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项目名称：</w:t>
      </w:r>
      <w:r>
        <w:rPr>
          <w:rFonts w:hint="eastAsia" w:ascii="Times New Roman" w:hAnsi="Times New Roman" w:cs="Times New Roman"/>
          <w:color w:val="auto"/>
          <w:sz w:val="24"/>
          <w:szCs w:val="24"/>
          <w:highlight w:val="none"/>
          <w:lang w:eastAsia="zh-CN"/>
        </w:rPr>
        <w:t xml:space="preserve">省厅清河路9号办公点综合楼中央空调更新</w:t>
      </w:r>
      <w:r>
        <w:rPr>
          <w:rFonts w:hint="eastAsia" w:ascii="Times New Roman" w:hAnsi="Times New Roman" w:cs="Times New Roman"/>
          <w:color w:val="auto"/>
          <w:sz w:val="24"/>
          <w:szCs w:val="24"/>
          <w:highlight w:val="none"/>
        </w:rPr>
        <w:t xml:space="preserve">项目</w:t>
      </w:r>
      <w:r/>
    </w:p>
    <w:tbl>
      <w:tblPr>
        <w:tblStyle w:val="920"/>
        <w:tblW w:w="876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35"/>
        <w:gridCol w:w="870"/>
        <w:gridCol w:w="810"/>
      </w:tblGrid>
      <w:tr>
        <w:trPr>
          <w:jc w:val="cente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品牌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71"/>
              <w:jc w:val="center"/>
              <w:keepLines w:val="0"/>
              <w:keepNext w:val="0"/>
              <w:pageBreakBefore w:val="0"/>
              <w:spacing w:line="340" w:lineRule="exact"/>
              <w:rPr>
                <w:rFonts w:hint="eastAsia" w:ascii="仿宋" w:hAnsi="仿宋" w:eastAsia="仿宋"/>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lang w:val="en-US" w:eastAsia="zh-CN"/>
              </w:rPr>
              <w:t xml:space="preserve">制造商名称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71"/>
              <w:jc w:val="left"/>
              <w:keepLines w:val="0"/>
              <w:keepNext w:val="0"/>
              <w:pageBreakBefore w:val="0"/>
              <w:spacing w:line="340" w:lineRule="exact"/>
              <w:tabs>
                <w:tab w:val="left" w:pos="319" w:leader="none"/>
              </w:tabs>
              <w:rPr>
                <w:rFonts w:hint="eastAsia" w:ascii="仿宋" w:hAnsi="仿宋" w:eastAsia="仿宋"/>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lang w:val="en-US" w:eastAsia="zh-CN"/>
              </w:rPr>
              <w:t xml:space="preserve">产地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分项单价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分项总价</w:t>
            </w:r>
            <w:r/>
          </w:p>
        </w:tc>
      </w:tr>
      <w:tr>
        <w:trPr>
          <w:jc w:val="cente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71"/>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bl>
    <w:p>
      <w:pPr>
        <w:ind w:firstLine="480"/>
        <w:spacing w:line="360" w:lineRule="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r>
      <w:r/>
    </w:p>
    <w:p>
      <w:pPr>
        <w:ind w:firstLine="480"/>
        <w:spacing w:line="44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spacing w:line="360" w:lineRule="exact"/>
        <w:shd w:val="clear" w:color="auto" w:fill="ffffff"/>
        <w:rPr>
          <w:rFonts w:ascii="Times New Roman" w:hAnsi="Times New Roman" w:cs="Times New Roman"/>
          <w:color w:val="auto"/>
          <w:highlight w:val="none"/>
        </w:rPr>
      </w:pPr>
      <w:r>
        <w:rPr>
          <w:rFonts w:ascii="Times New Roman" w:hAnsi="Times New Roman" w:cs="Times New Roman"/>
          <w:color w:val="auto"/>
          <w:highlight w:val="none"/>
        </w:rPr>
        <w:t xml:space="preserve">注：</w:t>
      </w:r>
      <w:r/>
    </w:p>
    <w:p>
      <w:pPr>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r>
      <w:r/>
    </w:p>
    <w:p>
      <w:pPr>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1.核心产品为室外机组（顶出风）。</w:t>
      </w:r>
      <w:r/>
    </w:p>
    <w:p>
      <w:pPr>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2.“投标分项报价表”中“投标总报价”数额应当与“开标一览表”中“投标总报价”数额一致。</w:t>
      </w:r>
      <w:r/>
    </w:p>
    <w:p>
      <w:pPr>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4.投标人需认真填写本报价表，尤其注意规格型号的准确填写。</w:t>
      </w:r>
      <w:r/>
    </w:p>
    <w:p>
      <w:pPr>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5.★投标产品不允许缺漏。</w:t>
      </w:r>
      <w:r/>
    </w:p>
    <w:p>
      <w:pPr>
        <w:jc w:val="left"/>
        <w:rPr>
          <w:rFonts w:ascii="Times New Roman" w:hAnsi="Times New Roman" w:eastAsia="黑体" w:cs="Times New Roman"/>
          <w:color w:val="auto"/>
          <w:sz w:val="24"/>
          <w:szCs w:val="24"/>
          <w:highlight w:val="none"/>
        </w:rPr>
      </w:pPr>
      <w:r>
        <w:rPr>
          <w:rFonts w:hint="eastAsia" w:ascii="Times New Roman" w:hAnsi="Times New Roman" w:cs="Times New Roman"/>
          <w:color w:val="auto"/>
          <w:highlight w:val="none"/>
          <w:lang w:val="en-US" w:eastAsia="zh-CN"/>
        </w:rPr>
        <w:t xml:space="preserve">6.供应商需逐一注明提供的产品的品牌、制造商、型号等。</w:t>
      </w:r>
      <w:r>
        <w:rPr>
          <w:rFonts w:ascii="Times New Roman" w:hAnsi="Times New Roman" w:cs="Times New Roman"/>
          <w:color w:val="auto"/>
          <w:sz w:val="24"/>
          <w:szCs w:val="24"/>
          <w:highlight w:val="none"/>
        </w:rPr>
        <w:br w:type="page" w:clear="all"/>
      </w:r>
      <w:bookmarkStart w:id="462" w:name="_Toc3593"/>
      <w:r>
        <w:rPr>
          <w:rFonts w:ascii="Times New Roman" w:hAnsi="Times New Roman" w:eastAsia="黑体" w:cs="Times New Roman"/>
          <w:color w:val="auto"/>
          <w:sz w:val="24"/>
          <w:szCs w:val="24"/>
          <w:highlight w:val="none"/>
        </w:rPr>
        <w:t xml:space="preserve">6.</w:t>
      </w:r>
      <w:r>
        <w:rPr>
          <w:rFonts w:hint="eastAsia" w:ascii="Times New Roman" w:hAnsi="Times New Roman" w:eastAsia="黑体" w:cs="Times New Roman"/>
          <w:color w:val="auto"/>
          <w:sz w:val="24"/>
          <w:szCs w:val="24"/>
          <w:highlight w:val="none"/>
        </w:rPr>
        <w:t xml:space="preserve">4</w:t>
      </w:r>
      <w:r>
        <w:rPr>
          <w:rFonts w:ascii="Times New Roman" w:hAnsi="Times New Roman" w:eastAsia="黑体" w:cs="Times New Roman"/>
          <w:color w:val="auto"/>
          <w:sz w:val="24"/>
          <w:szCs w:val="24"/>
          <w:highlight w:val="none"/>
        </w:rPr>
        <w:t xml:space="preserve"> </w:t>
      </w:r>
      <w:r>
        <w:rPr>
          <w:rFonts w:hint="eastAsia" w:ascii="Times New Roman" w:hAnsi="Times New Roman" w:eastAsia="黑体" w:cs="Times New Roman"/>
          <w:color w:val="auto"/>
          <w:sz w:val="24"/>
          <w:szCs w:val="24"/>
          <w:highlight w:val="none"/>
        </w:rPr>
        <w:t xml:space="preserve">商务条款响应及偏离表</w:t>
      </w:r>
      <w:bookmarkEnd w:id="462"/>
      <w:r/>
      <w:r/>
    </w:p>
    <w:p>
      <w:pPr>
        <w:jc w:val="center"/>
        <w:spacing w:before="156" w:after="156" w:line="360" w:lineRule="auto"/>
        <w:widowControl/>
        <w:rPr>
          <w:rFonts w:ascii="黑体" w:eastAsia="黑体" w:cs="Times New Roman"/>
          <w:bCs/>
          <w:color w:val="auto"/>
          <w:sz w:val="28"/>
          <w:szCs w:val="28"/>
          <w:highlight w:val="none"/>
          <w:lang w:val="zh-TW" w:eastAsia="zh-TW"/>
        </w:rPr>
      </w:pPr>
      <w:r/>
      <w:bookmarkStart w:id="463" w:name="_Toc4854"/>
      <w:r/>
      <w:bookmarkStart w:id="464" w:name="_Toc14276"/>
      <w:r>
        <w:rPr>
          <w:rFonts w:hint="eastAsia" w:ascii="黑体" w:eastAsia="黑体" w:cs="Times New Roman"/>
          <w:bCs/>
          <w:color w:val="auto"/>
          <w:sz w:val="28"/>
          <w:szCs w:val="28"/>
          <w:highlight w:val="none"/>
          <w:lang w:val="zh-TW"/>
        </w:rPr>
        <w:t xml:space="preserve">商务条款响应及偏离表</w:t>
      </w:r>
      <w:bookmarkEnd w:id="463"/>
      <w:r/>
      <w:bookmarkEnd w:id="464"/>
      <w:r/>
      <w:r/>
    </w:p>
    <w:p>
      <w:pPr>
        <w:jc w:val="left"/>
        <w:spacing w:line="360" w:lineRule="auto"/>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投标人全称</w:t>
      </w:r>
      <w:r>
        <w:rPr>
          <w:rFonts w:hint="eastAsia" w:ascii="Times New Roman" w:hAnsi="Times New Roman" w:cs="Times New Roman"/>
          <w:color w:val="auto"/>
          <w:sz w:val="24"/>
          <w:szCs w:val="24"/>
          <w:highlight w:val="none"/>
        </w:rPr>
        <w:t xml:space="preserve">（加盖CA电子公章）：</w:t>
      </w:r>
      <w:r/>
    </w:p>
    <w:p>
      <w:pPr>
        <w:jc w:val="left"/>
        <w:spacing w:line="360" w:lineRule="auto"/>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项目名称：</w:t>
      </w:r>
      <w:r>
        <w:rPr>
          <w:rFonts w:hint="eastAsia" w:ascii="Times New Roman" w:hAnsi="Times New Roman" w:cs="Times New Roman"/>
          <w:color w:val="auto"/>
          <w:sz w:val="24"/>
          <w:szCs w:val="24"/>
          <w:highlight w:val="none"/>
          <w:lang w:eastAsia="zh-CN"/>
        </w:rPr>
        <w:t xml:space="preserve">省厅清河路9号办公点综合楼中央空调更新</w:t>
      </w:r>
      <w:r>
        <w:rPr>
          <w:rFonts w:hint="eastAsia" w:ascii="Times New Roman" w:hAnsi="Times New Roman" w:cs="Times New Roman"/>
          <w:color w:val="auto"/>
          <w:sz w:val="24"/>
          <w:szCs w:val="24"/>
          <w:highlight w:val="none"/>
        </w:rPr>
        <w:t xml:space="preserve">项目</w:t>
      </w:r>
      <w:r/>
    </w:p>
    <w:tbl>
      <w:tblPr>
        <w:tblStyle w:val="92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587"/>
        <w:gridCol w:w="1697"/>
        <w:gridCol w:w="2377"/>
        <w:gridCol w:w="1418"/>
      </w:tblGrid>
      <w:tr>
        <w:trPr>
          <w:jc w:val="center"/>
          <w:trHeight w:val="812"/>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采购文件要求</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投标人的承诺或说明</w:t>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偏离情况</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r>
    </w:tbl>
    <w:p>
      <w:pPr>
        <w:ind w:left="792" w:hanging="792"/>
        <w:jc w:val="left"/>
        <w:spacing w:line="400" w:lineRule="exact"/>
        <w:widowControl/>
        <w:rPr>
          <w:rFonts w:ascii="Times New Roman" w:hAnsi="Times New Roman" w:cs="Times New Roman"/>
          <w:color w:val="auto"/>
          <w:sz w:val="24"/>
          <w:szCs w:val="21"/>
          <w:highlight w:val="none"/>
        </w:rPr>
      </w:pPr>
      <w:r>
        <w:rPr>
          <w:rFonts w:ascii="Times New Roman" w:hAnsi="Times New Roman" w:cs="Times New Roman"/>
          <w:color w:val="auto"/>
          <w:sz w:val="24"/>
          <w:szCs w:val="21"/>
          <w:highlight w:val="none"/>
        </w:rPr>
      </w:r>
      <w:r/>
    </w:p>
    <w:p>
      <w:pPr>
        <w:ind w:left="792" w:hanging="792"/>
        <w:jc w:val="left"/>
        <w:spacing w:line="400" w:lineRule="exact"/>
        <w:widowControl/>
        <w:rPr>
          <w:rFonts w:ascii="Times New Roman" w:hAnsi="Times New Roman" w:cs="Times New Roman"/>
          <w:color w:val="auto"/>
          <w:sz w:val="24"/>
          <w:szCs w:val="21"/>
          <w:highlight w:val="none"/>
        </w:rPr>
      </w:pPr>
      <w:r>
        <w:rPr>
          <w:rFonts w:ascii="Times New Roman" w:hAnsi="Times New Roman" w:cs="Times New Roman"/>
          <w:color w:val="auto"/>
          <w:sz w:val="24"/>
          <w:szCs w:val="21"/>
          <w:highlight w:val="none"/>
        </w:rPr>
        <w:t xml:space="preserve">注：</w:t>
      </w:r>
      <w:r/>
    </w:p>
    <w:p>
      <w:pPr>
        <w:ind w:firstLine="420"/>
        <w:spacing w:line="400" w:lineRule="exac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1．投标人应当逐条对照招标文件</w:t>
      </w:r>
      <w:r>
        <w:rPr>
          <w:rFonts w:hint="eastAsia" w:ascii="Times New Roman" w:hAnsi="Times New Roman" w:cs="Times New Roman"/>
          <w:color w:val="auto"/>
          <w:szCs w:val="21"/>
          <w:highlight w:val="none"/>
          <w:lang w:val="en-US" w:eastAsia="zh-CN"/>
        </w:rPr>
        <w:t xml:space="preserve">商务</w:t>
      </w:r>
      <w:r>
        <w:rPr>
          <w:rFonts w:ascii="Times New Roman" w:hAnsi="Times New Roman" w:cs="Times New Roman"/>
          <w:color w:val="auto"/>
          <w:szCs w:val="21"/>
          <w:highlight w:val="none"/>
        </w:rPr>
        <w:t xml:space="preserve">条款，就投标文件对</w:t>
      </w:r>
      <w:r>
        <w:rPr>
          <w:rFonts w:hint="eastAsia" w:ascii="Times New Roman" w:hAnsi="Times New Roman" w:cs="Times New Roman"/>
          <w:color w:val="auto"/>
          <w:szCs w:val="21"/>
          <w:highlight w:val="none"/>
          <w:lang w:val="en-US" w:eastAsia="zh-CN"/>
        </w:rPr>
        <w:t xml:space="preserve">商务</w:t>
      </w:r>
      <w:r>
        <w:rPr>
          <w:rFonts w:ascii="Times New Roman" w:hAnsi="Times New Roman" w:cs="Times New Roman"/>
          <w:color w:val="auto"/>
          <w:szCs w:val="21"/>
          <w:highlight w:val="none"/>
        </w:rPr>
        <w:t xml:space="preserve">条款存在的偏差与例外逐条做出说明；</w:t>
      </w:r>
      <w:r/>
    </w:p>
    <w:p>
      <w:pPr>
        <w:ind w:firstLine="420"/>
        <w:spacing w:line="400" w:lineRule="exac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w:t>
      </w:r>
      <w:r>
        <w:rPr>
          <w:rFonts w:hint="eastAsia" w:ascii="Times New Roman" w:hAnsi="Times New Roman" w:cs="Times New Roman"/>
          <w:color w:val="auto"/>
          <w:szCs w:val="21"/>
          <w:highlight w:val="none"/>
        </w:rPr>
        <w:t xml:space="preserve">若漏项或不逐条应答视为完全响应招标文件的商务条款要求</w:t>
      </w:r>
      <w:r>
        <w:rPr>
          <w:rFonts w:ascii="Times New Roman" w:hAnsi="Times New Roman" w:cs="Times New Roman"/>
          <w:color w:val="auto"/>
          <w:szCs w:val="21"/>
          <w:highlight w:val="none"/>
        </w:rPr>
        <w:t xml:space="preserve">。</w:t>
      </w:r>
      <w:r/>
    </w:p>
    <w:p>
      <w:pPr>
        <w:ind w:firstLine="420"/>
        <w:spacing w:line="400" w:lineRule="exac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 </w:t>
      </w:r>
      <w:r>
        <w:rPr>
          <w:rFonts w:hint="eastAsia" w:ascii="Times New Roman" w:hAnsi="Times New Roman" w:cs="Times New Roman"/>
          <w:color w:val="auto"/>
          <w:szCs w:val="21"/>
          <w:highlight w:val="none"/>
        </w:rPr>
        <w:t xml:space="preserve">如果招标文件要求提供证明材料，投标人需将证明材料列于该表之下</w:t>
      </w: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否则视为未实质性响应该条款</w:t>
      </w:r>
      <w:r>
        <w:rPr>
          <w:rFonts w:hint="eastAsia" w:ascii="Times New Roman" w:hAnsi="Times New Roman" w:cs="Times New Roman"/>
          <w:color w:val="auto"/>
          <w:szCs w:val="21"/>
          <w:highlight w:val="none"/>
        </w:rPr>
        <w:t xml:space="preserve">。</w:t>
      </w:r>
      <w:r/>
    </w:p>
    <w:p>
      <w:pPr>
        <w:spacing w:line="460" w:lineRule="exact"/>
        <w:widowControl/>
        <w:rPr>
          <w:rFonts w:ascii="Times New Roman" w:hAnsi="Times New Roman" w:eastAsia="仿宋_GB2312" w:cs="Times New Roman"/>
          <w:color w:val="auto"/>
          <w:sz w:val="32"/>
          <w:szCs w:val="28"/>
          <w:highlight w:val="none"/>
        </w:rPr>
      </w:pPr>
      <w:r>
        <w:rPr>
          <w:rFonts w:ascii="Times New Roman" w:hAnsi="Times New Roman" w:eastAsia="仿宋_GB2312" w:cs="Times New Roman"/>
          <w:color w:val="auto"/>
          <w:sz w:val="32"/>
          <w:szCs w:val="28"/>
          <w:highlight w:val="none"/>
        </w:rPr>
      </w:r>
      <w:r/>
    </w:p>
    <w:p>
      <w:pPr>
        <w:jc w:val="left"/>
        <w:widowControl/>
        <w:rPr>
          <w:rFonts w:ascii="黑体" w:eastAsia="黑体" w:cs="黑体"/>
          <w:color w:val="auto"/>
          <w:sz w:val="24"/>
          <w:szCs w:val="24"/>
          <w:highlight w:val="none"/>
        </w:rPr>
        <w:outlineLvl w:val="2"/>
      </w:pPr>
      <w:r/>
      <w:bookmarkStart w:id="465" w:name="_Toc73708347"/>
      <w:r/>
      <w:bookmarkStart w:id="466" w:name="_Toc535"/>
      <w:r/>
      <w:bookmarkStart w:id="467" w:name="_Toc5105"/>
      <w:r/>
      <w:bookmarkStart w:id="468" w:name="_Toc11859496"/>
      <w:r>
        <w:rPr>
          <w:rFonts w:ascii="黑体" w:eastAsia="黑体" w:cs="黑体"/>
          <w:color w:val="auto"/>
          <w:sz w:val="24"/>
          <w:szCs w:val="24"/>
          <w:highlight w:val="none"/>
        </w:rPr>
        <w:br w:type="page" w:clear="all"/>
      </w:r>
      <w:bookmarkStart w:id="469" w:name="_Toc20209"/>
      <w:r>
        <w:rPr>
          <w:rFonts w:hint="eastAsia" w:ascii="黑体" w:eastAsia="黑体" w:cs="黑体"/>
          <w:color w:val="auto"/>
          <w:sz w:val="24"/>
          <w:szCs w:val="24"/>
          <w:highlight w:val="none"/>
        </w:rPr>
        <w:t xml:space="preserve">6.5 技术参数响应及偏离表</w:t>
      </w:r>
      <w:bookmarkEnd w:id="465"/>
      <w:r/>
      <w:bookmarkEnd w:id="466"/>
      <w:r/>
      <w:bookmarkEnd w:id="467"/>
      <w:r/>
      <w:bookmarkEnd w:id="468"/>
      <w:r/>
      <w:bookmarkEnd w:id="469"/>
      <w:r/>
      <w:r/>
    </w:p>
    <w:p>
      <w:pPr>
        <w:jc w:val="center"/>
        <w:spacing w:line="460" w:lineRule="exact"/>
        <w:widowControl/>
        <w:rPr>
          <w:rFonts w:ascii="Times New Roman" w:hAnsi="Times New Roman" w:cs="Times New Roman"/>
          <w:b/>
          <w:color w:val="auto"/>
          <w:sz w:val="32"/>
          <w:szCs w:val="32"/>
          <w:highlight w:val="none"/>
        </w:rPr>
      </w:pPr>
      <w:r/>
      <w:bookmarkStart w:id="470" w:name="_Toc25027"/>
      <w:r/>
      <w:bookmarkStart w:id="471" w:name="_Toc30587"/>
      <w:r>
        <w:rPr>
          <w:rFonts w:hint="eastAsia" w:ascii="黑体" w:eastAsia="黑体" w:cs="Times New Roman"/>
          <w:bCs/>
          <w:color w:val="auto"/>
          <w:sz w:val="28"/>
          <w:szCs w:val="28"/>
          <w:highlight w:val="none"/>
          <w:lang w:val="zh-TW"/>
        </w:rPr>
        <w:t xml:space="preserve">技术参数响应及偏离表</w:t>
      </w:r>
      <w:bookmarkEnd w:id="470"/>
      <w:r/>
      <w:bookmarkEnd w:id="471"/>
      <w:r/>
      <w:r/>
    </w:p>
    <w:p>
      <w:pPr>
        <w:ind w:left="4560" w:hanging="4560"/>
        <w:jc w:val="left"/>
        <w:spacing w:before="156" w:after="312"/>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投标人全称（</w:t>
      </w:r>
      <w:r>
        <w:rPr>
          <w:rFonts w:hint="eastAsia" w:ascii="Times New Roman" w:hAnsi="Times New Roman" w:cs="Times New Roman"/>
          <w:color w:val="auto"/>
          <w:sz w:val="24"/>
          <w:szCs w:val="24"/>
          <w:highlight w:val="none"/>
        </w:rPr>
        <w:t xml:space="preserve">加盖CA电子公章</w:t>
      </w:r>
      <w:r>
        <w:rPr>
          <w:rFonts w:ascii="Times New Roman" w:hAnsi="Times New Roman" w:cs="Times New Roman"/>
          <w:color w:val="auto"/>
          <w:sz w:val="24"/>
          <w:szCs w:val="24"/>
          <w:highlight w:val="none"/>
        </w:rPr>
        <w:t xml:space="preserve">):         </w:t>
      </w:r>
      <w:r/>
    </w:p>
    <w:p>
      <w:pPr>
        <w:ind w:left="4560" w:hanging="4560"/>
        <w:jc w:val="left"/>
        <w:spacing w:before="156" w:after="312"/>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项目名称：</w:t>
      </w:r>
      <w:r>
        <w:rPr>
          <w:rFonts w:hint="eastAsia" w:ascii="Times New Roman" w:hAnsi="Times New Roman" w:cs="Times New Roman"/>
          <w:color w:val="auto"/>
          <w:sz w:val="24"/>
          <w:szCs w:val="24"/>
          <w:highlight w:val="none"/>
          <w:lang w:eastAsia="zh-CN"/>
        </w:rPr>
        <w:t xml:space="preserve">省厅清河路9号办公点综合楼中央空调更新</w:t>
      </w:r>
      <w:r>
        <w:rPr>
          <w:rFonts w:hint="eastAsia" w:ascii="Times New Roman" w:hAnsi="Times New Roman" w:cs="Times New Roman"/>
          <w:color w:val="auto"/>
          <w:sz w:val="24"/>
          <w:szCs w:val="24"/>
          <w:highlight w:val="none"/>
        </w:rPr>
        <w:t xml:space="preserve">项目</w:t>
      </w:r>
      <w:r/>
    </w:p>
    <w:tbl>
      <w:tblPr>
        <w:tblStyle w:val="92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4"/>
        <w:gridCol w:w="4086"/>
        <w:gridCol w:w="1618"/>
        <w:gridCol w:w="1308"/>
        <w:gridCol w:w="1173"/>
      </w:tblGrid>
      <w:tr>
        <w:trPr>
          <w:cantSplit/>
          <w:jc w:val="center"/>
          <w:trHeight w:val="942"/>
        </w:trPr>
        <w:tc>
          <w:tcPr>
            <w:tcBorders>
              <w:top w:val="single" w:color="auto" w:sz="4" w:space="0"/>
              <w:left w:val="single" w:color="auto" w:sz="4" w:space="0"/>
              <w:bottom w:val="single" w:color="auto" w:sz="4" w:space="0"/>
              <w:right w:val="single" w:color="auto" w:sz="4" w:space="0"/>
            </w:tcBorders>
            <w:tcW w:w="984" w:type="dxa"/>
            <w:vAlign w:val="center"/>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086" w:type="dxa"/>
            <w:vAlign w:val="center"/>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供应商响应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原因</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6"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3"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6"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3"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6" w:type="dxa"/>
            <w:textDirection w:val="lrTb"/>
            <w:noWrap/>
          </w:tcPr>
          <w:p>
            <w:pPr>
              <w:jc w:val="lef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3"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6" w:type="dxa"/>
            <w:textDirection w:val="lrTb"/>
            <w:noWrap/>
          </w:tcPr>
          <w:p>
            <w:pPr>
              <w:jc w:val="lef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3"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6" w:type="dxa"/>
            <w:textDirection w:val="lrTb"/>
            <w:noWrap/>
          </w:tcPr>
          <w:p>
            <w:pPr>
              <w:jc w:val="lef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3"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6" w:type="dxa"/>
            <w:textDirection w:val="lrTb"/>
            <w:noWrap/>
          </w:tcPr>
          <w:p>
            <w:pPr>
              <w:jc w:val="lef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3"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6" w:type="dxa"/>
            <w:textDirection w:val="lrTb"/>
            <w:noWrap/>
          </w:tcPr>
          <w:p>
            <w:pPr>
              <w:jc w:val="lef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3"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6" w:type="dxa"/>
            <w:textDirection w:val="lrTb"/>
            <w:noWrap/>
          </w:tcPr>
          <w:p>
            <w:pPr>
              <w:jc w:val="lef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3"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6" w:type="dxa"/>
            <w:textDirection w:val="lrTb"/>
            <w:noWrap/>
          </w:tcPr>
          <w:p>
            <w:pPr>
              <w:jc w:val="left"/>
              <w:widowControl/>
              <w:rPr>
                <w:rFonts w:ascii="Times New Roman" w:hAnsi="Times New Roman" w:cs="Times New Roman"/>
                <w:color w:val="auto"/>
                <w:sz w:val="24"/>
                <w:szCs w:val="24"/>
                <w:highlight w:val="none"/>
                <w:shd w:val="clear" w:color="auto" w:fill="ffffff"/>
              </w:rPr>
            </w:pPr>
            <w:r>
              <w:rPr>
                <w:rFonts w:ascii="Times New Roman" w:hAnsi="Times New Roman" w:cs="Times New Roman"/>
                <w:color w:val="auto"/>
                <w:sz w:val="24"/>
                <w:szCs w:val="24"/>
                <w:highlight w:val="none"/>
                <w:shd w:val="clear" w:color="auto" w:fill="ffffff"/>
              </w:rPr>
            </w:r>
            <w:r/>
          </w:p>
        </w:tc>
        <w:tc>
          <w:tcPr>
            <w:tcBorders>
              <w:top w:val="single" w:color="auto" w:sz="4" w:space="0"/>
              <w:left w:val="single" w:color="auto" w:sz="4" w:space="0"/>
              <w:bottom w:val="single" w:color="auto" w:sz="4" w:space="0"/>
              <w:right w:val="single" w:color="auto" w:sz="4" w:space="0"/>
            </w:tcBorders>
            <w:tcW w:w="1618"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3"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6" w:type="dxa"/>
            <w:textDirection w:val="lrTb"/>
            <w:noWrap/>
          </w:tcPr>
          <w:p>
            <w:pPr>
              <w:jc w:val="left"/>
              <w:widowControl/>
              <w:rPr>
                <w:rFonts w:ascii="Times New Roman" w:hAnsi="Times New Roman" w:cs="Times New Roman"/>
                <w:color w:val="auto"/>
                <w:sz w:val="24"/>
                <w:szCs w:val="24"/>
                <w:highlight w:val="none"/>
                <w:shd w:val="clear" w:color="auto" w:fill="ffffff"/>
              </w:rPr>
            </w:pPr>
            <w:r>
              <w:rPr>
                <w:rFonts w:ascii="Times New Roman" w:hAnsi="Times New Roman" w:cs="Times New Roman"/>
                <w:color w:val="auto"/>
                <w:sz w:val="24"/>
                <w:szCs w:val="24"/>
                <w:highlight w:val="none"/>
                <w:shd w:val="clear" w:color="auto" w:fill="ffffff"/>
              </w:rPr>
            </w:r>
            <w:r/>
          </w:p>
        </w:tc>
        <w:tc>
          <w:tcPr>
            <w:tcBorders>
              <w:top w:val="single" w:color="auto" w:sz="4" w:space="0"/>
              <w:left w:val="single" w:color="auto" w:sz="4" w:space="0"/>
              <w:bottom w:val="single" w:color="auto" w:sz="4" w:space="0"/>
              <w:right w:val="single" w:color="auto" w:sz="4" w:space="0"/>
            </w:tcBorders>
            <w:tcW w:w="1618" w:type="dxa"/>
            <w:textDirection w:val="lrTb"/>
            <w:noWrap/>
          </w:tcPr>
          <w:p>
            <w:pPr>
              <w:jc w:val="left"/>
              <w:widowControl/>
              <w:rPr>
                <w:rFonts w:ascii="Times New Roman" w:hAnsi="Times New Roman" w:cs="Times New Roman"/>
                <w:color w:val="auto"/>
                <w:sz w:val="24"/>
                <w:szCs w:val="24"/>
                <w:highlight w:val="none"/>
                <w:shd w:val="clear" w:color="auto" w:fill="ffffff"/>
              </w:rPr>
            </w:pPr>
            <w:r>
              <w:rPr>
                <w:rFonts w:ascii="Times New Roman" w:hAnsi="Times New Roman" w:cs="Times New Roman"/>
                <w:color w:val="auto"/>
                <w:sz w:val="24"/>
                <w:szCs w:val="24"/>
                <w:highlight w:val="none"/>
                <w:shd w:val="clear" w:color="auto" w:fill="ffffff"/>
              </w:rPr>
            </w:r>
            <w:r/>
          </w:p>
        </w:tc>
        <w:tc>
          <w:tcPr>
            <w:tcBorders>
              <w:top w:val="single" w:color="auto" w:sz="4" w:space="0"/>
              <w:left w:val="single" w:color="auto" w:sz="4" w:space="0"/>
              <w:bottom w:val="single" w:color="auto" w:sz="4" w:space="0"/>
              <w:right w:val="single" w:color="auto" w:sz="4" w:space="0"/>
            </w:tcBorders>
            <w:tcW w:w="1308"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3" w:type="dxa"/>
            <w:textDirection w:val="lrTb"/>
            <w:noWrap/>
          </w:tcPr>
          <w:p>
            <w:pPr>
              <w:jc w:val="center"/>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r>
    </w:tbl>
    <w:p>
      <w:pPr>
        <w:jc w:val="left"/>
        <w:shd w:val="clear" w:color="auto" w:fill="ffffff"/>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shd w:val="clear" w:color="auto" w:fill="ffffff"/>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spacing w:line="400" w:lineRule="exac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注：</w:t>
      </w:r>
      <w:r/>
    </w:p>
    <w:p>
      <w:pPr>
        <w:spacing w:line="400" w:lineRule="exact"/>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1．投标人应当逐条对照招标文件</w:t>
      </w:r>
      <w:r>
        <w:rPr>
          <w:rFonts w:hint="eastAsia" w:ascii="Times New Roman" w:hAnsi="Times New Roman" w:cs="Times New Roman"/>
          <w:color w:val="auto"/>
          <w:szCs w:val="21"/>
          <w:highlight w:val="none"/>
          <w:lang w:val="en-US" w:eastAsia="zh-CN"/>
        </w:rPr>
        <w:t xml:space="preserve">技术</w:t>
      </w:r>
      <w:r>
        <w:rPr>
          <w:rFonts w:hint="eastAsia" w:ascii="Times New Roman" w:hAnsi="Times New Roman" w:cs="Times New Roman"/>
          <w:color w:val="auto"/>
          <w:szCs w:val="21"/>
          <w:highlight w:val="none"/>
        </w:rPr>
        <w:t xml:space="preserve">条款，就投标文件对</w:t>
      </w:r>
      <w:r>
        <w:rPr>
          <w:rFonts w:hint="eastAsia" w:ascii="Times New Roman" w:hAnsi="Times New Roman" w:cs="Times New Roman"/>
          <w:color w:val="auto"/>
          <w:szCs w:val="21"/>
          <w:highlight w:val="none"/>
          <w:lang w:val="en-US" w:eastAsia="zh-CN"/>
        </w:rPr>
        <w:t xml:space="preserve">技术</w:t>
      </w:r>
      <w:r>
        <w:rPr>
          <w:rFonts w:hint="eastAsia" w:ascii="Times New Roman" w:hAnsi="Times New Roman" w:cs="Times New Roman"/>
          <w:color w:val="auto"/>
          <w:szCs w:val="21"/>
          <w:highlight w:val="none"/>
        </w:rPr>
        <w:t xml:space="preserve">条款存在的偏差与例外逐条做出说明；</w:t>
      </w:r>
      <w:r/>
    </w:p>
    <w:p>
      <w:pPr>
        <w:spacing w:line="400" w:lineRule="exact"/>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2．若漏项或不逐条应答视为完全响应招标文件的</w:t>
      </w:r>
      <w:r>
        <w:rPr>
          <w:rFonts w:hint="eastAsia" w:ascii="Times New Roman" w:hAnsi="Times New Roman" w:cs="Times New Roman"/>
          <w:color w:val="auto"/>
          <w:szCs w:val="21"/>
          <w:highlight w:val="none"/>
          <w:lang w:val="en-US" w:eastAsia="zh-CN"/>
        </w:rPr>
        <w:t xml:space="preserve">技术</w:t>
      </w:r>
      <w:r>
        <w:rPr>
          <w:rFonts w:hint="eastAsia" w:ascii="Times New Roman" w:hAnsi="Times New Roman" w:cs="Times New Roman"/>
          <w:color w:val="auto"/>
          <w:szCs w:val="21"/>
          <w:highlight w:val="none"/>
        </w:rPr>
        <w:t xml:space="preserve">条款要求。</w:t>
      </w:r>
      <w:r/>
    </w:p>
    <w:p>
      <w:pPr>
        <w:spacing w:line="400" w:lineRule="exact"/>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3. 如果招标文件要求提供证明材料，投标人需将证明材料列于该表之下，否则视为未实质性响应该条款。</w:t>
      </w:r>
      <w:r/>
    </w:p>
    <w:p>
      <w:pPr>
        <w:jc w:val="center"/>
        <w:spacing w:before="156" w:after="156"/>
        <w:widowControl/>
        <w:rPr>
          <w:rFonts w:ascii="Times New Roman" w:hAnsi="Times New Roman" w:eastAsia="黑体" w:cs="Times New Roman"/>
          <w:b/>
          <w:color w:val="auto"/>
          <w:sz w:val="36"/>
          <w:szCs w:val="24"/>
          <w:highlight w:val="none"/>
        </w:rPr>
      </w:pPr>
      <w:r>
        <w:rPr>
          <w:rFonts w:ascii="Times New Roman" w:hAnsi="Times New Roman" w:eastAsia="黑体" w:cs="Times New Roman"/>
          <w:b/>
          <w:color w:val="auto"/>
          <w:sz w:val="36"/>
          <w:szCs w:val="24"/>
          <w:highlight w:val="none"/>
        </w:rPr>
        <w:br w:type="page" w:clear="all"/>
      </w:r>
      <w:bookmarkStart w:id="472" w:name="_Hlt26955054"/>
      <w:r/>
      <w:bookmarkEnd w:id="472"/>
      <w:r/>
      <w:r/>
    </w:p>
    <w:p>
      <w:pPr>
        <w:spacing w:before="156" w:after="156"/>
        <w:widowControl/>
        <w:rPr>
          <w:rFonts w:ascii="黑体" w:eastAsia="黑体" w:cs="黑体"/>
          <w:color w:val="auto"/>
          <w:sz w:val="24"/>
          <w:szCs w:val="24"/>
          <w:highlight w:val="none"/>
        </w:rPr>
        <w:outlineLvl w:val="2"/>
      </w:pPr>
      <w:r/>
      <w:bookmarkStart w:id="473" w:name="_Toc73708348"/>
      <w:r/>
      <w:bookmarkStart w:id="474" w:name="_Toc25026"/>
      <w:r/>
      <w:bookmarkStart w:id="475" w:name="_Toc32263"/>
      <w:r/>
      <w:bookmarkStart w:id="476" w:name="_Toc14048"/>
      <w:r>
        <w:rPr>
          <w:rFonts w:hint="eastAsia" w:ascii="黑体" w:eastAsia="黑体" w:cs="黑体"/>
          <w:color w:val="auto"/>
          <w:sz w:val="24"/>
          <w:szCs w:val="24"/>
          <w:highlight w:val="none"/>
        </w:rPr>
        <w:t xml:space="preserve">6.6 技术规范点对点应答</w:t>
      </w:r>
      <w:bookmarkEnd w:id="473"/>
      <w:r/>
      <w:bookmarkEnd w:id="474"/>
      <w:r/>
      <w:bookmarkEnd w:id="475"/>
      <w:r/>
      <w:bookmarkEnd w:id="476"/>
      <w:r/>
      <w:r/>
    </w:p>
    <w:p>
      <w:pPr>
        <w:rPr>
          <w:color w:val="auto"/>
          <w:highlight w:val="none"/>
        </w:rPr>
      </w:pPr>
      <w:r>
        <w:rPr>
          <w:rFonts w:hint="eastAsia"/>
          <w:color w:val="auto"/>
          <w:highlight w:val="none"/>
        </w:rPr>
        <w:t xml:space="preserve"> 注：投标人须提供招标文件 “第四章 项目需求”★重要条款要求的证明文件，未明确证明材料提供形式的，须提供承诺。</w:t>
      </w:r>
      <w:r/>
    </w:p>
    <w:p>
      <w:pPr>
        <w:jc w:val="center"/>
        <w:spacing w:line="360" w:lineRule="auto"/>
        <w:rPr>
          <w:rFonts w:ascii="宋体" w:cs="宋体"/>
          <w:color w:val="auto"/>
          <w:sz w:val="24"/>
          <w:szCs w:val="24"/>
          <w:highlight w:val="none"/>
        </w:rPr>
      </w:pPr>
      <w:r>
        <w:rPr>
          <w:rFonts w:hint="eastAsia" w:ascii="宋体" w:cs="宋体"/>
          <w:color w:val="auto"/>
          <w:sz w:val="24"/>
          <w:szCs w:val="24"/>
          <w:highlight w:val="none"/>
        </w:rPr>
        <w:br w:type="page" w:clear="all"/>
      </w:r>
      <w:r/>
    </w:p>
    <w:p>
      <w:pPr>
        <w:jc w:val="left"/>
        <w:widowControl/>
        <w:rPr>
          <w:rFonts w:ascii="黑体" w:eastAsia="黑体" w:cs="黑体"/>
          <w:bCs/>
          <w:color w:val="auto"/>
          <w:sz w:val="24"/>
          <w:szCs w:val="24"/>
          <w:highlight w:val="none"/>
        </w:rPr>
      </w:pPr>
      <w:r/>
      <w:bookmarkStart w:id="477" w:name="_Toc197181362"/>
      <w:r/>
      <w:bookmarkEnd w:id="477"/>
      <w:r/>
      <w:r/>
    </w:p>
    <w:p>
      <w:pPr>
        <w:jc w:val="left"/>
        <w:widowControl/>
        <w:rPr>
          <w:rFonts w:ascii="黑体" w:eastAsia="黑体" w:cs="黑体"/>
          <w:bCs/>
          <w:color w:val="auto"/>
          <w:sz w:val="24"/>
          <w:szCs w:val="24"/>
          <w:highlight w:val="none"/>
        </w:rPr>
        <w:outlineLvl w:val="2"/>
      </w:pPr>
      <w:r/>
      <w:bookmarkStart w:id="478" w:name="_Toc15986"/>
      <w:r>
        <w:rPr>
          <w:rFonts w:hint="eastAsia" w:ascii="黑体" w:eastAsia="黑体" w:cs="黑体"/>
          <w:bCs/>
          <w:color w:val="auto"/>
          <w:sz w:val="24"/>
          <w:szCs w:val="24"/>
          <w:highlight w:val="none"/>
        </w:rPr>
        <w:t xml:space="preserve">6.7 投标人业绩情况表</w:t>
      </w:r>
      <w:bookmarkEnd w:id="478"/>
      <w:r/>
      <w:r/>
    </w:p>
    <w:p>
      <w:pPr>
        <w:ind w:left="420"/>
        <w:jc w:val="center"/>
        <w:rPr>
          <w:rFonts w:ascii="宋体" w:cs="宋体"/>
          <w:bCs/>
          <w:color w:val="auto"/>
          <w:sz w:val="24"/>
          <w:szCs w:val="24"/>
          <w:highlight w:val="none"/>
        </w:rPr>
      </w:pPr>
      <w:r>
        <w:rPr>
          <w:rFonts w:ascii="宋体" w:cs="宋体"/>
          <w:bCs/>
          <w:color w:val="auto"/>
          <w:sz w:val="24"/>
          <w:szCs w:val="24"/>
          <w:highlight w:val="none"/>
        </w:rPr>
        <w:t xml:space="preserve">近年（</w:t>
      </w:r>
      <w:r>
        <w:rPr>
          <w:rFonts w:ascii="宋体" w:cs="宋体"/>
          <w:bCs/>
          <w:color w:val="auto"/>
          <w:sz w:val="24"/>
          <w:szCs w:val="24"/>
          <w:highlight w:val="none"/>
          <w:u w:val="single"/>
        </w:rPr>
        <w:t xml:space="preserve">    </w:t>
      </w:r>
      <w:r>
        <w:rPr>
          <w:rFonts w:ascii="宋体" w:cs="宋体"/>
          <w:bCs/>
          <w:color w:val="auto"/>
          <w:sz w:val="24"/>
          <w:szCs w:val="24"/>
          <w:highlight w:val="none"/>
        </w:rPr>
        <w:t xml:space="preserve">年</w:t>
      </w:r>
      <w:r>
        <w:rPr>
          <w:rFonts w:ascii="宋体" w:cs="宋体"/>
          <w:bCs/>
          <w:color w:val="auto"/>
          <w:sz w:val="24"/>
          <w:szCs w:val="24"/>
          <w:highlight w:val="none"/>
          <w:u w:val="single"/>
        </w:rPr>
        <w:t xml:space="preserve">  </w:t>
      </w:r>
      <w:r>
        <w:rPr>
          <w:rFonts w:ascii="宋体" w:cs="宋体"/>
          <w:bCs/>
          <w:color w:val="auto"/>
          <w:sz w:val="24"/>
          <w:szCs w:val="24"/>
          <w:highlight w:val="none"/>
        </w:rPr>
        <w:t xml:space="preserve">月</w:t>
      </w:r>
      <w:r>
        <w:rPr>
          <w:rFonts w:ascii="宋体" w:cs="宋体"/>
          <w:bCs/>
          <w:color w:val="auto"/>
          <w:sz w:val="24"/>
          <w:szCs w:val="24"/>
          <w:highlight w:val="none"/>
          <w:u w:val="single"/>
        </w:rPr>
        <w:t xml:space="preserve">  </w:t>
      </w:r>
      <w:r>
        <w:rPr>
          <w:rFonts w:ascii="宋体" w:cs="宋体"/>
          <w:bCs/>
          <w:color w:val="auto"/>
          <w:sz w:val="24"/>
          <w:szCs w:val="24"/>
          <w:highlight w:val="none"/>
        </w:rPr>
        <w:t xml:space="preserve">日至</w:t>
      </w:r>
      <w:r>
        <w:rPr>
          <w:rFonts w:ascii="宋体" w:cs="宋体"/>
          <w:bCs/>
          <w:color w:val="auto"/>
          <w:sz w:val="24"/>
          <w:szCs w:val="24"/>
          <w:highlight w:val="none"/>
          <w:u w:val="single"/>
        </w:rPr>
        <w:t xml:space="preserve">    </w:t>
      </w:r>
      <w:r>
        <w:rPr>
          <w:rFonts w:ascii="宋体" w:cs="宋体"/>
          <w:bCs/>
          <w:color w:val="auto"/>
          <w:sz w:val="24"/>
          <w:szCs w:val="24"/>
          <w:highlight w:val="none"/>
        </w:rPr>
        <w:t xml:space="preserve">年</w:t>
      </w:r>
      <w:r>
        <w:rPr>
          <w:rFonts w:ascii="宋体" w:cs="宋体"/>
          <w:bCs/>
          <w:color w:val="auto"/>
          <w:sz w:val="24"/>
          <w:szCs w:val="24"/>
          <w:highlight w:val="none"/>
          <w:u w:val="single"/>
        </w:rPr>
        <w:t xml:space="preserve">  </w:t>
      </w:r>
      <w:r>
        <w:rPr>
          <w:rFonts w:ascii="宋体" w:cs="宋体"/>
          <w:bCs/>
          <w:color w:val="auto"/>
          <w:sz w:val="24"/>
          <w:szCs w:val="24"/>
          <w:highlight w:val="none"/>
        </w:rPr>
        <w:t xml:space="preserve">月</w:t>
      </w:r>
      <w:r>
        <w:rPr>
          <w:rFonts w:ascii="宋体" w:cs="宋体"/>
          <w:bCs/>
          <w:color w:val="auto"/>
          <w:sz w:val="24"/>
          <w:szCs w:val="24"/>
          <w:highlight w:val="none"/>
          <w:u w:val="single"/>
        </w:rPr>
        <w:t xml:space="preserve">  </w:t>
      </w:r>
      <w:r>
        <w:rPr>
          <w:rFonts w:ascii="宋体" w:cs="宋体"/>
          <w:bCs/>
          <w:color w:val="auto"/>
          <w:sz w:val="24"/>
          <w:szCs w:val="24"/>
          <w:highlight w:val="none"/>
        </w:rPr>
        <w:t xml:space="preserve">日）业绩情况表</w:t>
      </w:r>
      <w:r/>
    </w:p>
    <w:tbl>
      <w:tblPr>
        <w:tblStyle w:val="920"/>
        <w:tblW w:w="9003" w:type="dxa"/>
        <w:tblInd w:w="0" w:type="dxa"/>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095"/>
        <w:gridCol w:w="1095"/>
        <w:gridCol w:w="1003"/>
        <w:gridCol w:w="913"/>
        <w:gridCol w:w="731"/>
        <w:gridCol w:w="913"/>
        <w:gridCol w:w="913"/>
        <w:gridCol w:w="1005"/>
        <w:gridCol w:w="697"/>
      </w:tblGrid>
      <w:tr>
        <w:trPr/>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t xml:space="preserve">合同名称</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t xml:space="preserve">合同编号</w:t>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t xml:space="preserve">合同签订时间</w:t>
            </w:r>
            <w:r/>
          </w:p>
        </w:tc>
        <w:tc>
          <w:tcPr>
            <w:tcBorders>
              <w:top w:val="single" w:color="auto" w:sz="4" w:space="0"/>
              <w:left w:val="single" w:color="auto" w:sz="4" w:space="0"/>
              <w:bottom w:val="single" w:color="auto" w:sz="4" w:space="0"/>
              <w:right w:val="single" w:color="auto" w:sz="4" w:space="0"/>
            </w:tcBorders>
            <w:tcW w:w="913" w:type="dxa"/>
            <w:vAlign w:val="center"/>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t xml:space="preserve">采购内容</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t xml:space="preserve">合同金额（万元）</w:t>
            </w:r>
            <w:r/>
          </w:p>
        </w:tc>
        <w:tc>
          <w:tcPr>
            <w:tcBorders>
              <w:top w:val="single" w:color="auto" w:sz="4" w:space="0"/>
              <w:left w:val="single" w:color="auto" w:sz="4" w:space="0"/>
              <w:bottom w:val="single" w:color="auto" w:sz="4" w:space="0"/>
              <w:right w:val="single" w:color="auto" w:sz="4" w:space="0"/>
            </w:tcBorders>
            <w:tcW w:w="913" w:type="dxa"/>
            <w:vAlign w:val="center"/>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t xml:space="preserve">合同卖方</w:t>
            </w:r>
            <w:r/>
          </w:p>
        </w:tc>
        <w:tc>
          <w:tcPr>
            <w:tcBorders>
              <w:top w:val="single" w:color="auto" w:sz="4" w:space="0"/>
              <w:left w:val="single" w:color="auto" w:sz="4" w:space="0"/>
              <w:bottom w:val="single" w:color="auto" w:sz="4" w:space="0"/>
              <w:right w:val="single" w:color="auto" w:sz="4" w:space="0"/>
            </w:tcBorders>
            <w:tcW w:w="913" w:type="dxa"/>
            <w:vAlign w:val="center"/>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t xml:space="preserve">合同买方</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t xml:space="preserve">合同买方联系人及联系电话</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38"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95"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95"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03"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13"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31"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13"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13"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05"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697"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r>
      <w:tr>
        <w:trPr/>
        <w:tc>
          <w:tcPr>
            <w:tcBorders>
              <w:top w:val="single" w:color="auto" w:sz="4" w:space="0"/>
              <w:left w:val="single" w:color="auto" w:sz="4" w:space="0"/>
              <w:bottom w:val="single" w:color="auto" w:sz="4" w:space="0"/>
              <w:right w:val="single" w:color="auto" w:sz="4" w:space="0"/>
            </w:tcBorders>
            <w:tcW w:w="638"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95"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95"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03"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13"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31"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13"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13"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05"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697"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r>
      <w:tr>
        <w:trPr/>
        <w:tc>
          <w:tcPr>
            <w:tcBorders>
              <w:top w:val="single" w:color="auto" w:sz="4" w:space="0"/>
              <w:left w:val="single" w:color="auto" w:sz="4" w:space="0"/>
              <w:bottom w:val="single" w:color="auto" w:sz="4" w:space="0"/>
              <w:right w:val="single" w:color="auto" w:sz="4" w:space="0"/>
            </w:tcBorders>
            <w:tcW w:w="638"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95"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95"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03"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13"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31"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13"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13"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05"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697" w:type="dxa"/>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r>
            <w:r/>
          </w:p>
        </w:tc>
      </w:tr>
      <w:tr>
        <w:trPr/>
        <w:tc>
          <w:tcPr>
            <w:gridSpan w:val="6"/>
            <w:tcBorders>
              <w:top w:val="single" w:color="auto" w:sz="4" w:space="0"/>
              <w:left w:val="single" w:color="auto" w:sz="4" w:space="0"/>
              <w:bottom w:val="single" w:color="auto" w:sz="4" w:space="0"/>
              <w:right w:val="single" w:color="auto" w:sz="4" w:space="0"/>
            </w:tcBorders>
            <w:tcW w:w="5475" w:type="dxa"/>
            <w:vAlign w:val="center"/>
            <w:textDirection w:val="lrTb"/>
            <w:noWrap/>
          </w:tcPr>
          <w:p>
            <w:pPr>
              <w:jc w:val="center"/>
              <w:spacing w:before="124" w:after="124"/>
              <w:widowControl/>
              <w:rPr>
                <w:rFonts w:ascii="宋体" w:cs="宋体"/>
                <w:color w:val="auto"/>
                <w:sz w:val="24"/>
                <w:szCs w:val="21"/>
                <w:highlight w:val="none"/>
              </w:rPr>
            </w:pPr>
            <w:r>
              <w:rPr>
                <w:rFonts w:ascii="宋体" w:cs="宋体"/>
                <w:color w:val="auto"/>
                <w:sz w:val="24"/>
                <w:szCs w:val="21"/>
                <w:highlight w:val="none"/>
              </w:rPr>
              <w:t xml:space="preserve">合同金额合计：</w:t>
            </w:r>
            <w:r/>
          </w:p>
        </w:tc>
        <w:tc>
          <w:tcPr>
            <w:gridSpan w:val="4"/>
            <w:tcBorders>
              <w:top w:val="single" w:color="auto" w:sz="4" w:space="0"/>
              <w:left w:val="single" w:color="auto" w:sz="4" w:space="0"/>
              <w:bottom w:val="single" w:color="auto" w:sz="4" w:space="0"/>
              <w:right w:val="single" w:color="auto" w:sz="4" w:space="0"/>
            </w:tcBorders>
            <w:tcW w:w="3528" w:type="dxa"/>
            <w:vAlign w:val="center"/>
            <w:textDirection w:val="lrTb"/>
            <w:noWrap/>
          </w:tcPr>
          <w:p>
            <w:pPr>
              <w:jc w:val="center"/>
              <w:spacing w:before="124" w:after="124"/>
              <w:widowControl/>
              <w:rPr>
                <w:rFonts w:ascii="宋体" w:cs="宋体"/>
                <w:color w:val="auto"/>
                <w:sz w:val="24"/>
                <w:szCs w:val="21"/>
                <w:highlight w:val="none"/>
                <w:u w:val="single"/>
              </w:rPr>
            </w:pPr>
            <w:r>
              <w:rPr>
                <w:rFonts w:ascii="宋体" w:cs="宋体"/>
                <w:color w:val="auto"/>
                <w:sz w:val="24"/>
                <w:szCs w:val="21"/>
                <w:highlight w:val="none"/>
              </w:rPr>
              <w:t xml:space="preserve">人民币</w:t>
            </w:r>
            <w:r>
              <w:rPr>
                <w:rFonts w:ascii="宋体" w:cs="宋体"/>
                <w:color w:val="auto"/>
                <w:sz w:val="24"/>
                <w:szCs w:val="21"/>
                <w:highlight w:val="none"/>
                <w:u w:val="single"/>
              </w:rPr>
              <w:t xml:space="preserve">        </w:t>
            </w:r>
            <w:r>
              <w:rPr>
                <w:rFonts w:ascii="宋体" w:cs="宋体"/>
                <w:color w:val="auto"/>
                <w:sz w:val="24"/>
                <w:szCs w:val="21"/>
                <w:highlight w:val="none"/>
              </w:rPr>
              <w:t xml:space="preserve">万元</w:t>
            </w:r>
            <w:r/>
          </w:p>
        </w:tc>
      </w:tr>
    </w:tbl>
    <w:p>
      <w:pPr>
        <w:ind w:left="315" w:hanging="315"/>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注：</w:t>
      </w:r>
      <w:r>
        <w:rPr>
          <w:rFonts w:hint="eastAsia" w:ascii="Times New Roman" w:hAnsi="Times New Roman" w:cs="Times New Roman"/>
          <w:color w:val="auto"/>
          <w:szCs w:val="21"/>
          <w:highlight w:val="none"/>
        </w:rPr>
        <w:t xml:space="preserve">若</w:t>
      </w:r>
      <w:r>
        <w:rPr>
          <w:rFonts w:ascii="Times New Roman" w:hAnsi="Times New Roman" w:cs="Times New Roman"/>
          <w:color w:val="auto"/>
          <w:szCs w:val="21"/>
          <w:highlight w:val="none"/>
        </w:rPr>
        <w:t xml:space="preserve">本项目对</w:t>
      </w:r>
      <w:r>
        <w:rPr>
          <w:rFonts w:hint="eastAsia" w:ascii="Times New Roman" w:hAnsi="Times New Roman" w:cs="Times New Roman"/>
          <w:color w:val="auto"/>
          <w:szCs w:val="21"/>
          <w:highlight w:val="none"/>
        </w:rPr>
        <w:t xml:space="preserve">投标</w:t>
      </w:r>
      <w:r>
        <w:rPr>
          <w:rFonts w:ascii="Times New Roman" w:hAnsi="Times New Roman" w:cs="Times New Roman"/>
          <w:color w:val="auto"/>
          <w:szCs w:val="21"/>
          <w:highlight w:val="none"/>
        </w:rPr>
        <w:t xml:space="preserve">人业绩有要求，</w:t>
      </w:r>
      <w:r>
        <w:rPr>
          <w:rFonts w:hint="eastAsia" w:ascii="Times New Roman" w:hAnsi="Times New Roman" w:cs="Times New Roman"/>
          <w:color w:val="auto"/>
          <w:szCs w:val="21"/>
          <w:highlight w:val="none"/>
        </w:rPr>
        <w:t xml:space="preserve">投标</w:t>
      </w:r>
      <w:r>
        <w:rPr>
          <w:rFonts w:ascii="Times New Roman" w:hAnsi="Times New Roman" w:cs="Times New Roman"/>
          <w:color w:val="auto"/>
          <w:szCs w:val="21"/>
          <w:highlight w:val="none"/>
        </w:rPr>
        <w:t xml:space="preserve">人应当如实填写本表并根据</w:t>
      </w:r>
      <w:r>
        <w:rPr>
          <w:rFonts w:hint="eastAsia" w:ascii="Times New Roman" w:hAnsi="Times New Roman" w:cs="Times New Roman"/>
          <w:color w:val="auto"/>
          <w:szCs w:val="21"/>
          <w:highlight w:val="none"/>
        </w:rPr>
        <w:t xml:space="preserve">评分标准</w:t>
      </w:r>
      <w:r>
        <w:rPr>
          <w:rFonts w:ascii="Times New Roman" w:hAnsi="Times New Roman" w:cs="Times New Roman"/>
          <w:color w:val="auto"/>
          <w:szCs w:val="21"/>
          <w:highlight w:val="none"/>
        </w:rPr>
        <w:t xml:space="preserve">中的相关要求在本表后附相关合同关键页（须包括合同</w:t>
      </w:r>
      <w:r>
        <w:rPr>
          <w:rFonts w:hint="eastAsia" w:ascii="Times New Roman" w:hAnsi="Times New Roman" w:cs="Times New Roman"/>
          <w:color w:val="auto"/>
          <w:szCs w:val="21"/>
          <w:highlight w:val="none"/>
        </w:rPr>
        <w:t xml:space="preserve">名称</w:t>
      </w:r>
      <w:r>
        <w:rPr>
          <w:rFonts w:ascii="Times New Roman" w:hAnsi="Times New Roman" w:cs="Times New Roman"/>
          <w:color w:val="auto"/>
          <w:szCs w:val="21"/>
          <w:highlight w:val="none"/>
        </w:rPr>
        <w:t xml:space="preserve">、服务内容、实施时间、合同金额、合同签</w:t>
      </w:r>
      <w:r>
        <w:rPr>
          <w:rFonts w:hint="eastAsia" w:ascii="Times New Roman" w:hAnsi="Times New Roman" w:cs="Times New Roman"/>
          <w:color w:val="auto"/>
          <w:szCs w:val="21"/>
          <w:highlight w:val="none"/>
        </w:rPr>
        <w:t xml:space="preserve">字</w:t>
      </w:r>
      <w:r>
        <w:rPr>
          <w:rFonts w:ascii="Times New Roman" w:hAnsi="Times New Roman" w:cs="Times New Roman"/>
          <w:color w:val="auto"/>
          <w:szCs w:val="21"/>
          <w:highlight w:val="none"/>
        </w:rPr>
        <w:t xml:space="preserve">盖章页，如果提供的是框架合同，需提供对应框架合同结算的订单或结算单据）的复印件（加盖公章）或者其他相关证明材料。</w:t>
      </w:r>
      <w:r/>
    </w:p>
    <w:p>
      <w:pPr>
        <w:jc w:val="left"/>
        <w:widowControl/>
        <w:rPr>
          <w:rFonts w:ascii="黑体" w:eastAsia="黑体" w:cs="黑体"/>
          <w:bCs/>
          <w:color w:val="auto"/>
          <w:sz w:val="24"/>
          <w:szCs w:val="24"/>
          <w:highlight w:val="none"/>
        </w:rPr>
      </w:pPr>
      <w:r>
        <w:rPr>
          <w:rFonts w:hint="eastAsia" w:ascii="黑体" w:eastAsia="黑体" w:cs="黑体"/>
          <w:bCs/>
          <w:color w:val="auto"/>
          <w:sz w:val="24"/>
          <w:szCs w:val="24"/>
          <w:highlight w:val="none"/>
        </w:rPr>
        <w:br w:type="page" w:clear="all"/>
      </w:r>
      <w:r/>
    </w:p>
    <w:p>
      <w:pPr>
        <w:ind w:right="181"/>
        <w:spacing w:line="360" w:lineRule="auto"/>
        <w:rPr>
          <w:rFonts w:hint="eastAsia" w:ascii="黑体" w:eastAsia="黑体" w:cs="黑体"/>
          <w:bCs/>
          <w:color w:val="auto"/>
          <w:sz w:val="24"/>
          <w:szCs w:val="24"/>
          <w:highlight w:val="none"/>
        </w:rPr>
        <w:outlineLvl w:val="2"/>
      </w:pPr>
      <w:r/>
      <w:bookmarkStart w:id="479" w:name="_Toc4505"/>
      <w:r>
        <w:rPr>
          <w:rFonts w:hint="eastAsia" w:ascii="黑体" w:eastAsia="黑体" w:cs="黑体"/>
          <w:bCs/>
          <w:color w:val="auto"/>
          <w:sz w:val="24"/>
          <w:szCs w:val="24"/>
          <w:highlight w:val="none"/>
        </w:rPr>
        <w:t xml:space="preserve">6.8</w:t>
      </w:r>
      <w:r/>
    </w:p>
    <w:p>
      <w:pPr>
        <w:ind w:right="181"/>
        <w:spacing w:line="360" w:lineRule="auto"/>
        <w:rPr>
          <w:rFonts w:ascii="黑体" w:eastAsia="黑体" w:cs="黑体"/>
          <w:bCs/>
          <w:color w:val="auto"/>
          <w:sz w:val="24"/>
          <w:szCs w:val="24"/>
          <w:highlight w:val="none"/>
        </w:rPr>
        <w:outlineLvl w:val="2"/>
      </w:pPr>
      <w:r>
        <w:rPr>
          <w:rFonts w:hint="eastAsia" w:ascii="黑体" w:eastAsia="黑体" w:cs="黑体"/>
          <w:bCs/>
          <w:color w:val="auto"/>
          <w:sz w:val="24"/>
          <w:szCs w:val="24"/>
          <w:highlight w:val="none"/>
        </w:rPr>
        <w:t xml:space="preserve">服务方案</w:t>
      </w:r>
      <w:bookmarkEnd w:id="479"/>
      <w:r/>
      <w:r/>
    </w:p>
    <w:p>
      <w:pPr>
        <w:pStyle w:val="927"/>
        <w:rPr>
          <w:rFonts w:ascii="黑体" w:eastAsia="黑体" w:cs="黑体"/>
          <w:bCs/>
          <w:color w:val="auto"/>
          <w:sz w:val="24"/>
          <w:szCs w:val="24"/>
          <w:highlight w:val="none"/>
        </w:rPr>
      </w:pPr>
      <w:r>
        <w:rPr>
          <w:rFonts w:ascii="黑体" w:eastAsia="黑体" w:cs="黑体"/>
          <w:bCs/>
          <w:color w:val="auto"/>
          <w:sz w:val="24"/>
          <w:szCs w:val="24"/>
          <w:highlight w:val="none"/>
        </w:rPr>
      </w:r>
      <w:r/>
    </w:p>
    <w:p>
      <w:pPr>
        <w:jc w:val="left"/>
        <w:widowControl/>
        <w:rPr>
          <w:rFonts w:hint="eastAsia" w:ascii="黑体" w:eastAsia="黑体" w:cs="黑体"/>
          <w:bCs/>
          <w:color w:val="auto"/>
          <w:sz w:val="24"/>
          <w:szCs w:val="24"/>
          <w:highlight w:val="none"/>
        </w:rPr>
      </w:pPr>
      <w:r>
        <w:rPr>
          <w:rFonts w:hint="eastAsia" w:ascii="黑体" w:eastAsia="黑体" w:cs="黑体"/>
          <w:bCs/>
          <w:color w:val="auto"/>
          <w:sz w:val="24"/>
          <w:szCs w:val="24"/>
          <w:highlight w:val="none"/>
        </w:rPr>
      </w:r>
      <w:r/>
    </w:p>
    <w:p>
      <w:pPr>
        <w:jc w:val="left"/>
        <w:widowControl/>
        <w:rPr>
          <w:rFonts w:hint="eastAsia" w:ascii="黑体" w:eastAsia="黑体" w:cs="黑体"/>
          <w:bCs/>
          <w:color w:val="auto"/>
          <w:sz w:val="24"/>
          <w:szCs w:val="24"/>
          <w:highlight w:val="none"/>
        </w:rPr>
      </w:pPr>
      <w:r>
        <w:rPr>
          <w:rFonts w:hint="eastAsia" w:ascii="黑体" w:eastAsia="黑体" w:cs="黑体"/>
          <w:bCs/>
          <w:color w:val="auto"/>
          <w:sz w:val="24"/>
          <w:szCs w:val="24"/>
          <w:highlight w:val="none"/>
        </w:rPr>
      </w:r>
      <w:r/>
    </w:p>
    <w:p>
      <w:pPr>
        <w:jc w:val="left"/>
        <w:widowControl/>
        <w:rPr>
          <w:rFonts w:hint="eastAsia" w:ascii="黑体" w:eastAsia="黑体" w:cs="黑体"/>
          <w:bCs/>
          <w:color w:val="auto"/>
          <w:sz w:val="24"/>
          <w:szCs w:val="24"/>
          <w:highlight w:val="none"/>
        </w:rPr>
      </w:pPr>
      <w:r>
        <w:rPr>
          <w:rFonts w:hint="eastAsia" w:ascii="黑体" w:eastAsia="黑体" w:cs="黑体"/>
          <w:bCs/>
          <w:color w:val="auto"/>
          <w:sz w:val="24"/>
          <w:szCs w:val="24"/>
          <w:highlight w:val="none"/>
        </w:rPr>
      </w:r>
      <w:r/>
    </w:p>
    <w:p>
      <w:pPr>
        <w:jc w:val="left"/>
        <w:widowControl/>
        <w:rPr>
          <w:rFonts w:hint="eastAsia" w:ascii="黑体" w:eastAsia="黑体" w:cs="黑体"/>
          <w:bCs/>
          <w:color w:val="auto"/>
          <w:sz w:val="24"/>
          <w:szCs w:val="24"/>
          <w:highlight w:val="none"/>
        </w:rPr>
      </w:pPr>
      <w:r>
        <w:rPr>
          <w:rFonts w:hint="eastAsia" w:ascii="黑体" w:eastAsia="黑体" w:cs="黑体"/>
          <w:bCs/>
          <w:color w:val="auto"/>
          <w:sz w:val="24"/>
          <w:szCs w:val="24"/>
          <w:highlight w:val="none"/>
        </w:rPr>
      </w:r>
      <w:r/>
    </w:p>
    <w:p>
      <w:pPr>
        <w:jc w:val="left"/>
        <w:widowControl/>
        <w:rPr>
          <w:rFonts w:hint="eastAsia" w:ascii="黑体" w:eastAsia="黑体" w:cs="黑体"/>
          <w:bCs/>
          <w:color w:val="auto"/>
          <w:sz w:val="24"/>
          <w:szCs w:val="24"/>
          <w:highlight w:val="none"/>
        </w:rPr>
      </w:pPr>
      <w:r>
        <w:rPr>
          <w:rFonts w:hint="eastAsia" w:ascii="黑体" w:eastAsia="黑体" w:cs="黑体"/>
          <w:bCs/>
          <w:color w:val="auto"/>
          <w:sz w:val="24"/>
          <w:szCs w:val="24"/>
          <w:highlight w:val="none"/>
        </w:rPr>
      </w:r>
      <w:r/>
    </w:p>
    <w:p>
      <w:pPr>
        <w:jc w:val="left"/>
        <w:widowControl/>
        <w:rPr>
          <w:rFonts w:hint="eastAsia" w:ascii="黑体" w:eastAsia="黑体" w:cs="黑体"/>
          <w:bCs/>
          <w:color w:val="auto"/>
          <w:sz w:val="24"/>
          <w:szCs w:val="24"/>
          <w:highlight w:val="none"/>
        </w:rPr>
      </w:pPr>
      <w:r>
        <w:rPr>
          <w:rFonts w:hint="eastAsia" w:ascii="黑体" w:eastAsia="黑体" w:cs="黑体"/>
          <w:bCs/>
          <w:color w:val="auto"/>
          <w:sz w:val="24"/>
          <w:szCs w:val="24"/>
          <w:highlight w:val="none"/>
        </w:rPr>
      </w:r>
      <w:r/>
    </w:p>
    <w:p>
      <w:pPr>
        <w:jc w:val="left"/>
        <w:widowControl/>
        <w:rPr>
          <w:rFonts w:hint="eastAsia" w:ascii="黑体" w:eastAsia="黑体" w:cs="黑体"/>
          <w:bCs/>
          <w:color w:val="auto"/>
          <w:sz w:val="24"/>
          <w:szCs w:val="24"/>
          <w:highlight w:val="none"/>
        </w:rPr>
      </w:pPr>
      <w:r>
        <w:rPr>
          <w:rFonts w:hint="eastAsia" w:ascii="黑体" w:eastAsia="黑体" w:cs="黑体"/>
          <w:bCs/>
          <w:color w:val="auto"/>
          <w:sz w:val="24"/>
          <w:szCs w:val="24"/>
          <w:highlight w:val="none"/>
        </w:rPr>
      </w:r>
      <w:r/>
    </w:p>
    <w:p>
      <w:pPr>
        <w:jc w:val="left"/>
        <w:widowControl/>
        <w:rPr>
          <w:rFonts w:ascii="黑体" w:eastAsia="黑体" w:cs="黑体"/>
          <w:bCs/>
          <w:color w:val="auto"/>
          <w:sz w:val="24"/>
          <w:szCs w:val="24"/>
          <w:highlight w:val="none"/>
        </w:rPr>
      </w:pPr>
      <w:r>
        <w:rPr>
          <w:rFonts w:hint="eastAsia" w:ascii="黑体" w:eastAsia="黑体" w:cs="黑体"/>
          <w:bCs/>
          <w:color w:val="auto"/>
          <w:sz w:val="24"/>
          <w:szCs w:val="24"/>
          <w:highlight w:val="none"/>
          <w:lang w:val="en-US" w:eastAsia="zh-CN"/>
        </w:rPr>
        <w:t xml:space="preserve">对应详细评审的其他要求项目</w:t>
      </w:r>
      <w:r>
        <w:rPr>
          <w:rFonts w:hint="eastAsia" w:ascii="黑体" w:eastAsia="黑体" w:cs="黑体"/>
          <w:bCs/>
          <w:color w:val="auto"/>
          <w:sz w:val="24"/>
          <w:szCs w:val="24"/>
          <w:highlight w:val="none"/>
        </w:rPr>
        <w:br w:type="page" w:clear="all"/>
      </w:r>
      <w:r/>
    </w:p>
    <w:p>
      <w:pPr>
        <w:ind w:right="181"/>
        <w:spacing w:line="360" w:lineRule="auto"/>
        <w:rPr>
          <w:rFonts w:ascii="黑体" w:eastAsia="黑体" w:cs="黑体"/>
          <w:bCs/>
          <w:color w:val="auto"/>
          <w:sz w:val="24"/>
          <w:szCs w:val="24"/>
          <w:highlight w:val="none"/>
        </w:rPr>
        <w:outlineLvl w:val="2"/>
      </w:pPr>
      <w:r/>
      <w:bookmarkStart w:id="480" w:name="_Toc14491"/>
      <w:r>
        <w:rPr>
          <w:rFonts w:hint="eastAsia" w:ascii="黑体" w:eastAsia="黑体" w:cs="黑体"/>
          <w:bCs/>
          <w:color w:val="auto"/>
          <w:sz w:val="24"/>
          <w:szCs w:val="24"/>
          <w:highlight w:val="none"/>
        </w:rPr>
        <w:t xml:space="preserve">6.9 </w:t>
      </w:r>
      <w:r>
        <w:rPr>
          <w:rFonts w:ascii="Times New Roman" w:hAnsi="Times New Roman" w:eastAsia="黑体" w:cs="Times New Roman"/>
          <w:color w:val="auto"/>
          <w:sz w:val="24"/>
          <w:szCs w:val="24"/>
          <w:highlight w:val="none"/>
        </w:rPr>
        <w:t xml:space="preserve">资格证明文件</w:t>
      </w:r>
      <w:bookmarkEnd w:id="480"/>
      <w:r/>
      <w:r/>
    </w:p>
    <w:p>
      <w:pPr>
        <w:ind w:firstLine="480"/>
        <w:jc w:val="left"/>
        <w:spacing w:line="360" w:lineRule="auto"/>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文件1 提供法人或者其他组织的营业执照等证明文件，如投标人为自然人的，提供其身份证明</w:t>
      </w:r>
      <w:r/>
    </w:p>
    <w:p>
      <w:pPr>
        <w:ind w:firstLine="480"/>
        <w:jc w:val="left"/>
        <w:spacing w:line="360" w:lineRule="auto"/>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0"/>
        <w:spacing w:line="400" w:lineRule="exact"/>
        <w:rPr>
          <w:rFonts w:ascii="宋体" w:cs="宋体"/>
          <w:color w:val="auto"/>
          <w:sz w:val="24"/>
          <w:szCs w:val="24"/>
          <w:highlight w:val="none"/>
        </w:rPr>
      </w:pPr>
      <w:r>
        <w:rPr>
          <w:rFonts w:hint="eastAsia" w:ascii="宋体" w:cs="宋体"/>
          <w:color w:val="auto"/>
          <w:sz w:val="24"/>
          <w:szCs w:val="24"/>
          <w:highlight w:val="none"/>
        </w:rPr>
        <w:t xml:space="preserve">文件2 授权委托书（原件）</w:t>
      </w:r>
      <w:r/>
    </w:p>
    <w:p>
      <w:pPr>
        <w:ind w:firstLine="480"/>
        <w:spacing w:line="400" w:lineRule="exact"/>
        <w:rPr>
          <w:rFonts w:ascii="宋体" w:cs="宋体"/>
          <w:color w:val="auto"/>
          <w:sz w:val="24"/>
          <w:szCs w:val="24"/>
          <w:highlight w:val="none"/>
        </w:rPr>
      </w:pPr>
      <w:r>
        <w:rPr>
          <w:rFonts w:ascii="宋体" w:cs="宋体"/>
          <w:color w:val="auto"/>
          <w:sz w:val="24"/>
          <w:szCs w:val="24"/>
          <w:highlight w:val="none"/>
        </w:rPr>
      </w:r>
      <w:r/>
    </w:p>
    <w:p>
      <w:pPr>
        <w:ind w:firstLine="480"/>
        <w:jc w:val="left"/>
        <w:spacing w:line="360" w:lineRule="auto"/>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文件3 供应商须具有良好的商业信誉和健全的财务会计制度（提供由第三方专业机构出具的</w:t>
      </w:r>
      <w:r>
        <w:rPr>
          <w:rFonts w:hint="eastAsia" w:ascii="Times New Roman" w:hAnsi="Times New Roman" w:cs="Times New Roman"/>
          <w:color w:val="auto"/>
          <w:sz w:val="24"/>
          <w:szCs w:val="24"/>
          <w:highlight w:val="none"/>
          <w:lang w:eastAsia="zh-CN"/>
        </w:rPr>
        <w:t xml:space="preserve">2025年度财务审计报告</w:t>
      </w:r>
      <w:r>
        <w:rPr>
          <w:rFonts w:hint="eastAsia" w:ascii="Times New Roman" w:hAnsi="Times New Roman" w:cs="Times New Roman"/>
          <w:color w:val="auto"/>
          <w:sz w:val="24"/>
          <w:szCs w:val="24"/>
          <w:highlight w:val="none"/>
        </w:rPr>
        <w:t xml:space="preserve">（财务审计报告至少包含资产负债表、利润表、现金流量表、第三方专业机构盖章和注册会计师签字页加盖供应商公章）或投标截止时间前近半年内任一月的财务报表（至少包括资产负债表和利润表）加盖供应商公章或投标截止时间前半年内银行出具的企业资信证明加盖供应商公章，法人或者其他组织成立未满一年的无需提供）</w:t>
      </w:r>
      <w:r/>
    </w:p>
    <w:p>
      <w:pPr>
        <w:ind w:firstLine="480"/>
        <w:jc w:val="left"/>
        <w:spacing w:line="360" w:lineRule="auto"/>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0"/>
        <w:jc w:val="left"/>
        <w:spacing w:line="360" w:lineRule="auto"/>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文件4</w:t>
      </w:r>
      <w:r>
        <w:rPr>
          <w:rFonts w:ascii="Times New Roman" w:hAnsi="Times New Roman" w:cs="Times New Roman"/>
          <w:color w:val="auto"/>
          <w:sz w:val="24"/>
          <w:szCs w:val="24"/>
          <w:highlight w:val="none"/>
        </w:rPr>
        <w:t xml:space="preserve"> </w:t>
      </w:r>
      <w:r>
        <w:rPr>
          <w:rFonts w:hint="eastAsia" w:ascii="Times New Roman" w:hAnsi="Times New Roman" w:cs="Times New Roman"/>
          <w:color w:val="auto"/>
          <w:sz w:val="24"/>
          <w:szCs w:val="24"/>
          <w:highlight w:val="none"/>
        </w:rPr>
        <w:t xml:space="preserve">在提交投标文件截止时间前一年内（至少一个月）依法缴纳税收和社会保障资金的有效证明材料（投标人依法享受缓缴、免缴税收或社会保障资金的，须提供有效证明材料（复印件）</w:t>
      </w:r>
      <w:r/>
    </w:p>
    <w:p>
      <w:pPr>
        <w:ind w:firstLine="480"/>
        <w:jc w:val="left"/>
        <w:spacing w:line="360" w:lineRule="auto"/>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0"/>
        <w:jc w:val="left"/>
        <w:spacing w:line="360" w:lineRule="auto"/>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文件5 具备履行合同所必需的设备和专业技术能力的书面声明（原件）</w:t>
      </w:r>
      <w:r/>
    </w:p>
    <w:p>
      <w:pPr>
        <w:ind w:firstLine="480"/>
        <w:jc w:val="left"/>
        <w:spacing w:line="360" w:lineRule="auto"/>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0"/>
        <w:jc w:val="left"/>
        <w:spacing w:line="360" w:lineRule="auto"/>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文件6</w:t>
      </w:r>
      <w:r>
        <w:rPr>
          <w:rFonts w:ascii="Times New Roman" w:hAnsi="Times New Roman" w:cs="Times New Roman"/>
          <w:color w:val="auto"/>
          <w:sz w:val="24"/>
          <w:szCs w:val="24"/>
          <w:highlight w:val="none"/>
        </w:rPr>
        <w:t xml:space="preserve"> </w:t>
      </w:r>
      <w:r>
        <w:rPr>
          <w:rFonts w:hint="eastAsia" w:ascii="Times New Roman" w:hAnsi="Times New Roman" w:cs="Times New Roman"/>
          <w:color w:val="auto"/>
          <w:sz w:val="24"/>
          <w:szCs w:val="24"/>
          <w:highlight w:val="none"/>
        </w:rPr>
        <w:t xml:space="preserve">无违法违规记录声明（原件）</w:t>
      </w:r>
      <w:r/>
    </w:p>
    <w:p>
      <w:pPr>
        <w:ind w:firstLine="480"/>
        <w:jc w:val="left"/>
        <w:spacing w:line="360" w:lineRule="auto"/>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0"/>
        <w:jc w:val="left"/>
        <w:spacing w:line="360" w:lineRule="auto"/>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文件7</w:t>
      </w:r>
      <w:r>
        <w:rPr>
          <w:rFonts w:ascii="Times New Roman" w:hAnsi="Times New Roman" w:cs="Times New Roman"/>
          <w:color w:val="auto"/>
          <w:sz w:val="24"/>
          <w:szCs w:val="24"/>
          <w:highlight w:val="none"/>
        </w:rPr>
        <w:t xml:space="preserve"> </w:t>
      </w:r>
      <w:r>
        <w:rPr>
          <w:rFonts w:hint="eastAsia" w:ascii="Times New Roman" w:hAnsi="Times New Roman" w:cs="Times New Roman"/>
          <w:color w:val="auto"/>
          <w:sz w:val="24"/>
          <w:szCs w:val="24"/>
          <w:highlight w:val="none"/>
        </w:rPr>
        <w:t xml:space="preserve">自招标公告发布之日至投标截止前的“信用中国”（www.creditchina.gov.cn）或“诚信江苏”（www.jscredit.gov.cn）或中国政府采购网（www.ccgp.gov.cn）查询的、自本招标公告发布之日至投标截止前的信用记录的截图（截图须加盖公章）</w:t>
      </w:r>
      <w:r/>
    </w:p>
    <w:p>
      <w:pPr>
        <w:ind w:firstLine="560"/>
        <w:jc w:val="left"/>
        <w:spacing w:line="460" w:lineRule="exact"/>
        <w:widowControl/>
        <w:rPr>
          <w:rFonts w:ascii="Times New Roman" w:hAnsi="Times New Roman" w:cs="Times New Roman"/>
          <w:bCs/>
          <w:color w:val="auto"/>
          <w:sz w:val="28"/>
          <w:szCs w:val="28"/>
          <w:highlight w:val="none"/>
        </w:rPr>
      </w:pPr>
      <w:r>
        <w:rPr>
          <w:rFonts w:ascii="Times New Roman" w:hAnsi="Times New Roman" w:cs="Times New Roman"/>
          <w:bCs/>
          <w:color w:val="auto"/>
          <w:sz w:val="28"/>
          <w:szCs w:val="28"/>
          <w:highlight w:val="none"/>
        </w:rPr>
      </w:r>
      <w:r/>
    </w:p>
    <w:p>
      <w:pPr>
        <w:ind w:firstLine="480"/>
        <w:jc w:val="left"/>
        <w:spacing w:line="360" w:lineRule="auto"/>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文件8 招标文件中的其他实质性要求</w:t>
      </w:r>
      <w:r/>
    </w:p>
    <w:p>
      <w:pPr>
        <w:jc w:val="center"/>
        <w:spacing w:line="46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br w:type="page" w:clear="all"/>
      </w:r>
      <w:bookmarkStart w:id="481" w:name="_Toc197181359"/>
      <w:r/>
      <w:bookmarkEnd w:id="481"/>
      <w:r/>
      <w:bookmarkStart w:id="482" w:name="_Toc198954448"/>
      <w:r/>
      <w:bookmarkEnd w:id="482"/>
      <w:r/>
      <w:r/>
    </w:p>
    <w:p>
      <w:pPr>
        <w:jc w:val="center"/>
        <w:spacing w:before="312" w:after="312" w:line="360" w:lineRule="auto"/>
        <w:widowControl/>
        <w:rPr>
          <w:rFonts w:ascii="黑体" w:eastAsia="黑体" w:cs="Times New Roman"/>
          <w:color w:val="auto"/>
          <w:sz w:val="28"/>
          <w:szCs w:val="28"/>
          <w:highlight w:val="none"/>
        </w:rPr>
      </w:pPr>
      <w:r/>
      <w:bookmarkStart w:id="483" w:name="_Toc26673"/>
      <w:r/>
      <w:bookmarkStart w:id="484" w:name="_Toc24629"/>
      <w:r>
        <w:rPr>
          <w:rFonts w:hint="eastAsia" w:ascii="黑体" w:eastAsia="黑体" w:cs="宋体"/>
          <w:bCs/>
          <w:color w:val="auto"/>
          <w:sz w:val="28"/>
          <w:szCs w:val="28"/>
          <w:highlight w:val="none"/>
          <w:lang w:val="zh-TW"/>
        </w:rPr>
        <w:t xml:space="preserve">法定</w:t>
      </w:r>
      <w:r>
        <w:rPr>
          <w:rFonts w:ascii="黑体" w:eastAsia="黑体" w:cs="宋体"/>
          <w:bCs/>
          <w:color w:val="auto"/>
          <w:sz w:val="28"/>
          <w:szCs w:val="28"/>
          <w:highlight w:val="none"/>
          <w:lang w:val="zh-TW"/>
        </w:rPr>
        <w:t xml:space="preserve">代表人</w:t>
      </w:r>
      <w:r>
        <w:rPr>
          <w:rFonts w:hint="eastAsia" w:ascii="黑体" w:eastAsia="黑体" w:cs="宋体"/>
          <w:bCs/>
          <w:color w:val="auto"/>
          <w:sz w:val="28"/>
          <w:szCs w:val="28"/>
          <w:highlight w:val="none"/>
          <w:lang w:val="zh-TW" w:eastAsia="zh-TW"/>
        </w:rPr>
        <w:t xml:space="preserve">授权</w:t>
      </w:r>
      <w:r>
        <w:rPr>
          <w:rFonts w:hint="eastAsia" w:ascii="黑体" w:eastAsia="黑体" w:cs="宋体"/>
          <w:bCs/>
          <w:color w:val="auto"/>
          <w:sz w:val="28"/>
          <w:szCs w:val="28"/>
          <w:highlight w:val="none"/>
          <w:lang w:val="zh-TW"/>
        </w:rPr>
        <w:t xml:space="preserve">委托</w:t>
      </w:r>
      <w:r>
        <w:rPr>
          <w:rFonts w:hint="eastAsia" w:ascii="黑体" w:eastAsia="黑体" w:cs="宋体"/>
          <w:bCs/>
          <w:color w:val="auto"/>
          <w:sz w:val="28"/>
          <w:szCs w:val="28"/>
          <w:highlight w:val="none"/>
          <w:lang w:val="zh-TW" w:eastAsia="zh-TW"/>
        </w:rPr>
        <w:t xml:space="preserve">书</w:t>
      </w:r>
      <w:r/>
    </w:p>
    <w:p>
      <w:pPr>
        <w:ind w:firstLine="482"/>
        <w:jc w:val="left"/>
        <w:spacing w:line="360" w:lineRule="auto"/>
        <w:shd w:val="clear" w:color="auto" w:fill="ffffff"/>
        <w:widowControl/>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本授权书声明：____________（</w:t>
      </w:r>
      <w:r>
        <w:rPr>
          <w:rFonts w:hint="eastAsia" w:ascii="Times New Roman" w:hAnsi="Times New Roman" w:cs="Times New Roman"/>
          <w:bCs/>
          <w:color w:val="auto"/>
          <w:sz w:val="24"/>
          <w:szCs w:val="24"/>
          <w:highlight w:val="none"/>
        </w:rPr>
        <w:t xml:space="preserve">投标人</w:t>
      </w:r>
      <w:r>
        <w:rPr>
          <w:rFonts w:ascii="Times New Roman" w:hAnsi="Times New Roman" w:cs="Times New Roman"/>
          <w:bCs/>
          <w:color w:val="auto"/>
          <w:sz w:val="24"/>
          <w:szCs w:val="24"/>
          <w:highlight w:val="none"/>
        </w:rPr>
        <w:t xml:space="preserve">名称）授权________________（被授权人的姓名、职务）为我方就</w:t>
      </w:r>
      <w:r>
        <w:rPr>
          <w:rFonts w:hint="eastAsia" w:ascii="Times New Roman" w:hAnsi="Times New Roman" w:cs="Times New Roman"/>
          <w:bCs/>
          <w:color w:val="auto"/>
          <w:sz w:val="24"/>
          <w:szCs w:val="24"/>
          <w:highlight w:val="none"/>
          <w:u w:val="single"/>
        </w:rPr>
        <w:t xml:space="preserve">                 项目</w:t>
      </w:r>
      <w:r>
        <w:rPr>
          <w:rFonts w:ascii="Times New Roman" w:hAnsi="Times New Roman" w:cs="Times New Roman"/>
          <w:bCs/>
          <w:color w:val="auto"/>
          <w:sz w:val="24"/>
          <w:szCs w:val="24"/>
          <w:highlight w:val="none"/>
        </w:rPr>
        <w:t xml:space="preserve">（</w:t>
      </w:r>
      <w:r>
        <w:rPr>
          <w:rFonts w:hint="eastAsia" w:ascii="Times New Roman" w:hAnsi="Times New Roman" w:cs="Times New Roman"/>
          <w:bCs/>
          <w:color w:val="auto"/>
          <w:sz w:val="24"/>
          <w:szCs w:val="24"/>
          <w:highlight w:val="none"/>
          <w:u w:val="single"/>
        </w:rPr>
        <w:t xml:space="preserve"> </w:t>
      </w:r>
      <w:r>
        <w:rPr>
          <w:rFonts w:hint="eastAsia" w:ascii="Times New Roman" w:hAnsi="Times New Roman" w:cs="Times New Roman"/>
          <w:bCs/>
          <w:color w:val="auto"/>
          <w:sz w:val="24"/>
          <w:szCs w:val="24"/>
          <w:highlight w:val="none"/>
        </w:rPr>
        <w:t xml:space="preserve">项目</w:t>
      </w:r>
      <w:r>
        <w:rPr>
          <w:rFonts w:ascii="Times New Roman" w:hAnsi="Times New Roman" w:cs="Times New Roman"/>
          <w:bCs/>
          <w:color w:val="auto"/>
          <w:sz w:val="24"/>
          <w:szCs w:val="24"/>
          <w:highlight w:val="none"/>
        </w:rPr>
        <w:t xml:space="preserve">编号</w:t>
      </w:r>
      <w:r>
        <w:rPr>
          <w:rFonts w:hint="eastAsia" w:ascii="Times New Roman" w:hAnsi="Times New Roman" w:cs="Times New Roman"/>
          <w:bCs/>
          <w:color w:val="auto"/>
          <w:sz w:val="24"/>
          <w:szCs w:val="24"/>
          <w:highlight w:val="none"/>
        </w:rPr>
        <w:t xml:space="preserve">：</w:t>
      </w:r>
      <w:r>
        <w:rPr>
          <w:rFonts w:hint="eastAsia" w:ascii="Times New Roman" w:hAnsi="Times New Roman" w:cs="Times New Roman"/>
          <w:bCs/>
          <w:color w:val="auto"/>
          <w:sz w:val="24"/>
          <w:szCs w:val="24"/>
          <w:highlight w:val="none"/>
          <w:u w:val="single"/>
          <w:lang w:eastAsia="zh-CN"/>
        </w:rPr>
        <w:t xml:space="preserve">SJY-20260525-020</w:t>
      </w:r>
      <w:r>
        <w:rPr>
          <w:rFonts w:ascii="Times New Roman" w:hAnsi="Times New Roman" w:cs="Times New Roman"/>
          <w:bCs/>
          <w:color w:val="auto"/>
          <w:sz w:val="24"/>
          <w:szCs w:val="24"/>
          <w:highlight w:val="none"/>
        </w:rPr>
        <w:t xml:space="preserve">）采购活动的合法代理人，以本单位名义全权处理一切与该项目采购有关的事务。</w:t>
      </w:r>
      <w:r/>
    </w:p>
    <w:p>
      <w:pPr>
        <w:ind w:firstLine="482"/>
        <w:jc w:val="left"/>
        <w:spacing w:line="360" w:lineRule="auto"/>
        <w:shd w:val="clear" w:color="auto" w:fill="ffffff"/>
        <w:widowControl/>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本授权书于______年____月____日起生效，特此声明。</w:t>
      </w:r>
      <w:r/>
    </w:p>
    <w:p>
      <w:pPr>
        <w:ind w:firstLine="480"/>
        <w:jc w:val="left"/>
        <w:spacing w:line="360" w:lineRule="auto"/>
        <w:shd w:val="clear" w:color="auto" w:fill="ffffff"/>
        <w:widowControl/>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r>
      <w:r/>
    </w:p>
    <w:p>
      <w:pPr>
        <w:jc w:val="left"/>
        <w:spacing w:line="360" w:lineRule="auto"/>
        <w:shd w:val="clear" w:color="auto" w:fill="ffffff"/>
        <w:widowControl/>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         授权单位盖章：_________________________________</w:t>
      </w:r>
      <w:r/>
    </w:p>
    <w:p>
      <w:pPr>
        <w:jc w:val="left"/>
        <w:spacing w:line="360" w:lineRule="auto"/>
        <w:shd w:val="clear" w:color="auto" w:fill="ffffff"/>
        <w:widowControl/>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         单位名称：_____________________________________</w:t>
      </w:r>
      <w:r/>
    </w:p>
    <w:p>
      <w:pPr>
        <w:jc w:val="left"/>
        <w:spacing w:line="360" w:lineRule="auto"/>
        <w:shd w:val="clear" w:color="auto" w:fill="ffffff"/>
        <w:widowControl/>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         法人签字：_____________________________________</w:t>
      </w:r>
      <w:r/>
    </w:p>
    <w:p>
      <w:pPr>
        <w:jc w:val="left"/>
        <w:spacing w:line="360" w:lineRule="auto"/>
        <w:shd w:val="clear" w:color="auto" w:fill="ffffff"/>
        <w:widowControl/>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         代理人（被授权人）签字：_______________________</w:t>
      </w:r>
      <w:r/>
    </w:p>
    <w:p>
      <w:pPr>
        <w:jc w:val="left"/>
        <w:spacing w:line="360" w:lineRule="auto"/>
        <w:shd w:val="clear" w:color="auto" w:fill="ffffff"/>
        <w:widowControl/>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         职    务：_____________________________________</w:t>
      </w:r>
      <w:r/>
    </w:p>
    <w:p>
      <w:pPr>
        <w:ind w:firstLine="1200"/>
        <w:jc w:val="left"/>
        <w:spacing w:line="360" w:lineRule="auto"/>
        <w:shd w:val="clear" w:color="auto" w:fill="ffffff"/>
        <w:widowControl/>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地址：</w:t>
      </w:r>
      <w:r/>
    </w:p>
    <w:p>
      <w:pPr>
        <w:jc w:val="left"/>
        <w:spacing w:line="360" w:lineRule="auto"/>
        <w:shd w:val="clear" w:color="auto" w:fill="ffffff"/>
        <w:widowControl/>
        <w:rPr>
          <w:rFonts w:ascii="Times New Roman" w:hAnsi="Times New Roman" w:cs="Times New Roman"/>
          <w:color w:val="auto"/>
          <w:sz w:val="24"/>
          <w:szCs w:val="24"/>
          <w:highlight w:val="none"/>
        </w:rPr>
      </w:pPr>
      <w:r>
        <w:rPr>
          <w:rFonts w:ascii="Times New Roman" w:hAnsi="Times New Roman" w:cs="Times New Roman"/>
          <w:bCs/>
          <w:color w:val="auto"/>
          <w:sz w:val="24"/>
          <w:szCs w:val="24"/>
          <w:highlight w:val="none"/>
        </w:rPr>
        <w:t xml:space="preserve">         日期：______年____月____日</w:t>
      </w:r>
      <w:r/>
    </w:p>
    <w:p>
      <w:pPr>
        <w:jc w:val="left"/>
        <w:spacing w:line="360" w:lineRule="auto"/>
        <w:widowControl/>
        <w:rPr>
          <w:rFonts w:ascii="宋体" w:cs="宋体"/>
          <w:b/>
          <w:bCs/>
          <w:color w:val="auto"/>
          <w:sz w:val="24"/>
          <w:szCs w:val="21"/>
          <w:highlight w:val="none"/>
          <w:u w:val="single"/>
          <w:lang w:val="zh-TW"/>
        </w:rPr>
      </w:pPr>
      <w:r>
        <w:rPr>
          <w:rFonts w:ascii="宋体" w:cs="宋体"/>
          <w:b/>
          <w:bCs/>
          <w:color w:val="auto"/>
          <w:sz w:val="24"/>
          <w:szCs w:val="21"/>
          <w:highlight w:val="none"/>
          <w:u w:val="single"/>
          <w:lang w:val="zh-TW"/>
        </w:rPr>
      </w:r>
      <w:r/>
    </w:p>
    <w:p>
      <w:pPr>
        <w:ind w:right="420"/>
        <w:jc w:val="left"/>
        <w:spacing w:line="360" w:lineRule="auto"/>
        <w:widowControl/>
        <w:rPr>
          <w:rFonts w:ascii="宋体" w:hAnsi="宋体" w:eastAsia="Microsoft JhengHei UI" w:cs="宋体"/>
          <w:color w:val="auto"/>
          <w:sz w:val="24"/>
          <w:szCs w:val="21"/>
          <w:highlight w:val="none"/>
          <w:lang w:val="zh-TW" w:eastAsia="zh-TW"/>
        </w:rPr>
      </w:pPr>
      <w:r>
        <w:rPr>
          <w:rFonts w:ascii="宋体" w:hAnsi="宋体" w:eastAsia="Microsoft JhengHei UI" w:cs="宋体"/>
          <w:color w:val="auto"/>
          <w:sz w:val="24"/>
          <w:szCs w:val="21"/>
          <w:highlight w:val="none"/>
          <w:lang w:val="zh-TW" w:eastAsia="zh-TW"/>
        </w:rPr>
      </w:r>
      <w:r/>
    </w:p>
    <w:p>
      <w:pPr>
        <w:rPr>
          <w:rFonts w:ascii="Times New Roman" w:hAnsi="Times New Roman" w:cs="Times New Roman"/>
          <w:color w:val="auto"/>
          <w:sz w:val="24"/>
          <w:szCs w:val="24"/>
          <w:highlight w:val="none"/>
        </w:rPr>
      </w:pPr>
      <w:r>
        <w:rPr>
          <w:rFonts w:hint="eastAsia" w:ascii="宋体" w:cs="宋体"/>
          <w:b/>
          <w:color w:val="auto"/>
          <w:sz w:val="24"/>
          <w:szCs w:val="21"/>
          <w:highlight w:val="none"/>
          <w:lang w:val="zh-TW" w:eastAsia="zh-TW"/>
        </w:rPr>
        <w:t xml:space="preserve">注：</w:t>
      </w:r>
      <w:r>
        <w:rPr>
          <w:rFonts w:hint="eastAsia" w:ascii="宋体" w:cs="宋体"/>
          <w:b/>
          <w:color w:val="auto"/>
          <w:sz w:val="24"/>
          <w:szCs w:val="21"/>
          <w:highlight w:val="none"/>
          <w:lang w:val="zh-TW"/>
        </w:rPr>
        <w:t xml:space="preserve">代理</w:t>
      </w:r>
      <w:r>
        <w:rPr>
          <w:rFonts w:hint="eastAsia" w:ascii="宋体" w:cs="宋体"/>
          <w:b/>
          <w:color w:val="auto"/>
          <w:sz w:val="24"/>
          <w:szCs w:val="21"/>
          <w:highlight w:val="none"/>
          <w:lang w:val="zh-TW" w:eastAsia="zh-TW"/>
        </w:rPr>
        <w:t xml:space="preserve">人应持本</w:t>
      </w:r>
      <w:r>
        <w:rPr>
          <w:rFonts w:hint="eastAsia" w:ascii="宋体" w:cs="宋体"/>
          <w:b/>
          <w:color w:val="auto"/>
          <w:sz w:val="24"/>
          <w:szCs w:val="21"/>
          <w:highlight w:val="none"/>
          <w:lang w:val="zh-TW"/>
        </w:rPr>
        <w:t xml:space="preserve">授权书</w:t>
      </w:r>
      <w:r>
        <w:rPr>
          <w:rFonts w:hint="eastAsia" w:ascii="宋体" w:cs="宋体"/>
          <w:b/>
          <w:color w:val="auto"/>
          <w:sz w:val="24"/>
          <w:szCs w:val="21"/>
          <w:highlight w:val="none"/>
          <w:lang w:val="zh-TW" w:eastAsia="zh-TW"/>
        </w:rPr>
        <w:t xml:space="preserve">参加</w:t>
      </w:r>
      <w:r>
        <w:rPr>
          <w:rFonts w:hint="eastAsia" w:ascii="宋体" w:cs="宋体"/>
          <w:b/>
          <w:color w:val="auto"/>
          <w:sz w:val="24"/>
          <w:szCs w:val="21"/>
          <w:highlight w:val="none"/>
          <w:lang w:val="zh-TW"/>
        </w:rPr>
        <w:t xml:space="preserve">投标</w:t>
      </w:r>
      <w:r>
        <w:rPr>
          <w:rFonts w:hint="eastAsia" w:ascii="宋体" w:cs="宋体"/>
          <w:b/>
          <w:color w:val="auto"/>
          <w:sz w:val="24"/>
          <w:szCs w:val="21"/>
          <w:highlight w:val="none"/>
          <w:lang w:val="zh-TW" w:eastAsia="zh-TW"/>
        </w:rPr>
        <w:t xml:space="preserve">，并提供一份原件在</w:t>
      </w:r>
      <w:r>
        <w:rPr>
          <w:rFonts w:hint="eastAsia" w:ascii="宋体" w:cs="宋体"/>
          <w:b/>
          <w:color w:val="auto"/>
          <w:sz w:val="24"/>
          <w:szCs w:val="21"/>
          <w:highlight w:val="none"/>
          <w:lang w:val="zh-TW"/>
        </w:rPr>
        <w:t xml:space="preserve">投标</w:t>
      </w:r>
      <w:r>
        <w:rPr>
          <w:rFonts w:hint="eastAsia" w:ascii="宋体" w:cs="宋体"/>
          <w:b/>
          <w:color w:val="auto"/>
          <w:sz w:val="24"/>
          <w:szCs w:val="21"/>
          <w:highlight w:val="none"/>
          <w:lang w:val="zh-TW" w:eastAsia="zh-TW"/>
        </w:rPr>
        <w:t xml:space="preserve">文件中</w:t>
      </w:r>
      <w:r>
        <w:rPr>
          <w:rFonts w:hint="eastAsia" w:ascii="宋体" w:cs="宋体"/>
          <w:b/>
          <w:color w:val="auto"/>
          <w:sz w:val="24"/>
          <w:szCs w:val="21"/>
          <w:highlight w:val="none"/>
          <w:lang w:val="zh-TW"/>
        </w:rPr>
        <w:t xml:space="preserve">。</w:t>
      </w:r>
      <w:r/>
    </w:p>
    <w:p>
      <w:pPr>
        <w:jc w:val="left"/>
        <w:spacing w:line="360" w:lineRule="auto"/>
        <w:widowControl/>
        <w:rPr>
          <w:rFonts w:ascii="宋体" w:hAnsi="宋体" w:eastAsia="Microsoft JhengHei UI" w:cs="宋体"/>
          <w:color w:val="auto"/>
          <w:sz w:val="24"/>
          <w:szCs w:val="24"/>
          <w:highlight w:val="none"/>
          <w:lang w:val="zh-TW"/>
        </w:rPr>
      </w:pPr>
      <w:r>
        <w:rPr>
          <w:rFonts w:hint="eastAsia" w:ascii="宋体" w:cs="宋体"/>
          <w:color w:val="auto"/>
          <w:sz w:val="24"/>
          <w:szCs w:val="24"/>
          <w:highlight w:val="none"/>
          <w:lang w:val="zh-TW" w:eastAsia="zh-TW"/>
        </w:rPr>
        <w:t xml:space="preserve">附：</w:t>
      </w:r>
      <w:r>
        <w:rPr>
          <w:rFonts w:ascii="Times New Roman" w:hAnsi="Times New Roman" w:cs="Times New Roman"/>
          <w:bCs/>
          <w:color w:val="auto"/>
          <w:sz w:val="24"/>
          <w:szCs w:val="24"/>
          <w:highlight w:val="none"/>
        </w:rPr>
        <w:t xml:space="preserve">法人</w:t>
      </w:r>
      <w:r>
        <w:rPr>
          <w:rFonts w:hint="eastAsia" w:ascii="宋体" w:cs="宋体"/>
          <w:color w:val="auto"/>
          <w:sz w:val="24"/>
          <w:szCs w:val="24"/>
          <w:highlight w:val="none"/>
          <w:lang w:val="zh-TW" w:eastAsia="zh-TW"/>
        </w:rPr>
        <w:t xml:space="preserve">身份证复印件</w:t>
      </w:r>
      <w:r>
        <w:rPr>
          <w:rFonts w:hint="eastAsia" w:ascii="宋体" w:cs="宋体"/>
          <w:color w:val="auto"/>
          <w:sz w:val="24"/>
          <w:szCs w:val="24"/>
          <w:highlight w:val="none"/>
          <w:lang w:val="zh-TW"/>
        </w:rPr>
        <w:t xml:space="preserve">（</w:t>
      </w:r>
      <w:r>
        <w:rPr>
          <w:rFonts w:hint="eastAsia" w:ascii="宋体" w:cs="宋体"/>
          <w:color w:val="auto"/>
          <w:sz w:val="24"/>
          <w:szCs w:val="24"/>
          <w:highlight w:val="none"/>
          <w:lang w:val="zh-TW" w:eastAsia="zh-TW"/>
        </w:rPr>
        <w:t xml:space="preserve">需同时提供正面及背面</w:t>
      </w:r>
      <w:r>
        <w:rPr>
          <w:rFonts w:hint="eastAsia" w:ascii="宋体" w:cs="宋体"/>
          <w:color w:val="auto"/>
          <w:sz w:val="24"/>
          <w:szCs w:val="24"/>
          <w:highlight w:val="none"/>
          <w:lang w:val="zh-TW"/>
        </w:rPr>
        <w:t xml:space="preserve">）</w:t>
      </w:r>
      <w:r/>
    </w:p>
    <w:tbl>
      <w:tblPr>
        <w:tblStyle w:val="920"/>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500"/>
        </w:trPr>
        <w:tc>
          <w:tcPr>
            <w:tcBorders>
              <w:top w:val="single" w:color="auto" w:sz="4" w:space="0"/>
              <w:left w:val="single" w:color="auto" w:sz="4" w:space="0"/>
              <w:bottom w:val="single" w:color="auto" w:sz="4" w:space="0"/>
              <w:right w:val="single" w:color="auto" w:sz="4" w:space="0"/>
            </w:tcBorders>
            <w:tcW w:w="4001" w:type="dxa"/>
            <w:vAlign w:val="center"/>
            <w:textDirection w:val="lrTb"/>
            <w:noWrap/>
          </w:tcPr>
          <w:p>
            <w:pPr>
              <w:jc w:val="center"/>
              <w:widowControl/>
              <w:rPr>
                <w:rFonts w:ascii="宋体" w:cs="宋体"/>
                <w:color w:val="auto"/>
                <w:sz w:val="24"/>
                <w:szCs w:val="24"/>
                <w:highlight w:val="none"/>
              </w:rPr>
            </w:pPr>
            <w:r>
              <w:rPr>
                <w:rFonts w:ascii="Times New Roman" w:hAnsi="Times New Roman" w:cs="Times New Roman"/>
                <w:bCs/>
                <w:color w:val="auto"/>
                <w:sz w:val="24"/>
                <w:szCs w:val="24"/>
                <w:highlight w:val="none"/>
              </w:rPr>
              <w:t xml:space="preserve">法人</w:t>
            </w:r>
            <w:r>
              <w:rPr>
                <w:rFonts w:hint="eastAsia" w:ascii="宋体" w:cs="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4001" w:type="dxa"/>
            <w:vAlign w:val="center"/>
            <w:textDirection w:val="lrTb"/>
            <w:noWrap/>
          </w:tcPr>
          <w:p>
            <w:pPr>
              <w:jc w:val="center"/>
              <w:widowControl/>
              <w:rPr>
                <w:rFonts w:ascii="宋体" w:cs="宋体"/>
                <w:color w:val="auto"/>
                <w:sz w:val="24"/>
                <w:szCs w:val="24"/>
                <w:highlight w:val="none"/>
              </w:rPr>
            </w:pPr>
            <w:r>
              <w:rPr>
                <w:rFonts w:ascii="Times New Roman" w:hAnsi="Times New Roman" w:cs="Times New Roman"/>
                <w:bCs/>
                <w:color w:val="auto"/>
                <w:sz w:val="24"/>
                <w:szCs w:val="24"/>
                <w:highlight w:val="none"/>
              </w:rPr>
              <w:t xml:space="preserve">法人</w:t>
            </w:r>
            <w:r>
              <w:rPr>
                <w:rFonts w:hint="eastAsia" w:ascii="宋体" w:cs="宋体"/>
                <w:color w:val="auto"/>
                <w:sz w:val="24"/>
                <w:szCs w:val="24"/>
                <w:highlight w:val="none"/>
              </w:rPr>
              <w:t xml:space="preserve">身份证复印件背面</w:t>
            </w:r>
            <w:r/>
          </w:p>
        </w:tc>
      </w:tr>
    </w:tbl>
    <w:p>
      <w:pPr>
        <w:ind w:firstLine="482"/>
        <w:jc w:val="left"/>
        <w:spacing w:line="360" w:lineRule="auto"/>
        <w:widowControl/>
        <w:rPr>
          <w:rFonts w:ascii="宋体" w:hAnsi="宋体" w:eastAsia="Microsoft JhengHei UI" w:cs="宋体"/>
          <w:color w:val="auto"/>
          <w:sz w:val="24"/>
          <w:szCs w:val="24"/>
          <w:highlight w:val="none"/>
          <w:lang w:val="zh-TW"/>
        </w:rPr>
      </w:pPr>
      <w:r>
        <w:rPr>
          <w:rFonts w:hint="eastAsia" w:ascii="宋体" w:cs="宋体"/>
          <w:color w:val="auto"/>
          <w:sz w:val="24"/>
          <w:szCs w:val="24"/>
          <w:highlight w:val="none"/>
          <w:lang w:val="zh-TW" w:eastAsia="zh-TW"/>
        </w:rPr>
        <w:t xml:space="preserve">附：委托代理人身份证复印件</w:t>
      </w:r>
      <w:r>
        <w:rPr>
          <w:rFonts w:hint="eastAsia" w:ascii="宋体" w:cs="宋体"/>
          <w:color w:val="auto"/>
          <w:sz w:val="24"/>
          <w:szCs w:val="24"/>
          <w:highlight w:val="none"/>
          <w:lang w:val="zh-TW"/>
        </w:rPr>
        <w:t xml:space="preserve">（</w:t>
      </w:r>
      <w:r>
        <w:rPr>
          <w:rFonts w:hint="eastAsia" w:ascii="宋体" w:cs="宋体"/>
          <w:color w:val="auto"/>
          <w:sz w:val="24"/>
          <w:szCs w:val="24"/>
          <w:highlight w:val="none"/>
          <w:lang w:val="zh-TW" w:eastAsia="zh-TW"/>
        </w:rPr>
        <w:t xml:space="preserve">需同时提供正面及背面</w:t>
      </w:r>
      <w:r>
        <w:rPr>
          <w:rFonts w:hint="eastAsia" w:ascii="宋体" w:cs="宋体"/>
          <w:color w:val="auto"/>
          <w:sz w:val="24"/>
          <w:szCs w:val="24"/>
          <w:highlight w:val="none"/>
          <w:lang w:val="zh-TW"/>
        </w:rPr>
        <w:t xml:space="preserve">）</w:t>
      </w:r>
      <w:r/>
    </w:p>
    <w:tbl>
      <w:tblPr>
        <w:tblStyle w:val="920"/>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493"/>
        </w:trPr>
        <w:tc>
          <w:tcPr>
            <w:tcBorders>
              <w:top w:val="single" w:color="auto" w:sz="4" w:space="0"/>
              <w:left w:val="single" w:color="auto" w:sz="4" w:space="0"/>
              <w:bottom w:val="single" w:color="auto" w:sz="4" w:space="0"/>
              <w:right w:val="single" w:color="auto" w:sz="4" w:space="0"/>
            </w:tcBorders>
            <w:tcW w:w="4001" w:type="dxa"/>
            <w:vAlign w:val="center"/>
            <w:textDirection w:val="lrTb"/>
            <w:noWrap/>
          </w:tcPr>
          <w:p>
            <w:pPr>
              <w:jc w:val="center"/>
              <w:widowControl/>
              <w:rPr>
                <w:rFonts w:ascii="宋体" w:cs="宋体"/>
                <w:color w:val="auto"/>
                <w:sz w:val="24"/>
                <w:szCs w:val="24"/>
                <w:highlight w:val="none"/>
              </w:rPr>
            </w:pPr>
            <w:r>
              <w:rPr>
                <w:rFonts w:ascii="宋体" w:cs="宋体"/>
                <w:color w:val="auto"/>
                <w:sz w:val="24"/>
                <w:szCs w:val="24"/>
                <w:highlight w:val="none"/>
                <w:lang w:val="zh-TW" w:eastAsia="zh-TW"/>
              </w:rPr>
              <w:t xml:space="preserve">代理人</w:t>
            </w:r>
            <w:r>
              <w:rPr>
                <w:rFonts w:hint="eastAsia" w:ascii="宋体" w:cs="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4001" w:type="dxa"/>
            <w:vAlign w:val="center"/>
            <w:textDirection w:val="lrTb"/>
            <w:noWrap/>
          </w:tcPr>
          <w:p>
            <w:pPr>
              <w:jc w:val="center"/>
              <w:widowControl/>
              <w:rPr>
                <w:rFonts w:ascii="宋体" w:cs="宋体"/>
                <w:color w:val="auto"/>
                <w:sz w:val="24"/>
                <w:szCs w:val="24"/>
                <w:highlight w:val="none"/>
              </w:rPr>
            </w:pPr>
            <w:r>
              <w:rPr>
                <w:rFonts w:ascii="宋体" w:cs="宋体"/>
                <w:color w:val="auto"/>
                <w:sz w:val="24"/>
                <w:szCs w:val="24"/>
                <w:highlight w:val="none"/>
                <w:lang w:val="zh-TW" w:eastAsia="zh-TW"/>
              </w:rPr>
              <w:t xml:space="preserve">代理人</w:t>
            </w:r>
            <w:r>
              <w:rPr>
                <w:rFonts w:hint="eastAsia" w:ascii="宋体" w:cs="宋体"/>
                <w:color w:val="auto"/>
                <w:sz w:val="24"/>
                <w:szCs w:val="24"/>
                <w:highlight w:val="none"/>
              </w:rPr>
              <w:t xml:space="preserve">身份证复印件背面</w:t>
            </w:r>
            <w:r/>
          </w:p>
        </w:tc>
      </w:tr>
    </w:tbl>
    <w:p>
      <w:pPr>
        <w:rPr>
          <w:rFonts w:ascii="黑体" w:eastAsia="黑体" w:cs="Times New Roman"/>
          <w:color w:val="auto"/>
          <w:sz w:val="28"/>
          <w:szCs w:val="21"/>
          <w:highlight w:val="none"/>
        </w:rPr>
      </w:pPr>
      <w:r>
        <w:rPr>
          <w:rFonts w:hint="eastAsia" w:ascii="黑体" w:eastAsia="黑体" w:cs="Times New Roman"/>
          <w:color w:val="auto"/>
          <w:sz w:val="28"/>
          <w:szCs w:val="21"/>
          <w:highlight w:val="none"/>
        </w:rPr>
        <w:br w:type="page" w:clear="all"/>
      </w:r>
      <w:r/>
    </w:p>
    <w:p>
      <w:pPr>
        <w:jc w:val="center"/>
        <w:spacing w:before="156" w:after="156" w:line="360" w:lineRule="auto"/>
        <w:widowControl/>
        <w:rPr>
          <w:rFonts w:ascii="黑体" w:eastAsia="黑体" w:cs="Times New Roman"/>
          <w:color w:val="auto"/>
          <w:sz w:val="28"/>
          <w:szCs w:val="21"/>
          <w:highlight w:val="none"/>
        </w:rPr>
      </w:pPr>
      <w:r>
        <w:rPr>
          <w:rFonts w:hint="eastAsia" w:ascii="黑体" w:eastAsia="黑体" w:cs="Times New Roman"/>
          <w:color w:val="auto"/>
          <w:sz w:val="28"/>
          <w:szCs w:val="21"/>
          <w:highlight w:val="none"/>
        </w:rPr>
        <w:t xml:space="preserve">具备履行合同所必需的设备和专业技术能力的书面声明</w:t>
      </w:r>
      <w:bookmarkEnd w:id="483"/>
      <w:r/>
      <w:bookmarkEnd w:id="484"/>
      <w:r/>
      <w:r/>
    </w:p>
    <w:p>
      <w:pPr>
        <w:ind w:firstLine="492"/>
        <w:jc w:val="left"/>
        <w:spacing w:line="460" w:lineRule="exact"/>
        <w:widowControl/>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我公司郑重声明：我公司具备履行本项采购合同所必需的设备和专业技术能力，为履行本项采购合同我公司具备如下主要设备和主要专业技术能力：</w:t>
      </w:r>
      <w:r/>
    </w:p>
    <w:p>
      <w:pPr>
        <w:ind w:firstLine="492"/>
        <w:jc w:val="left"/>
        <w:spacing w:line="460" w:lineRule="exact"/>
        <w:widowControl/>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主要设备有：</w:t>
      </w:r>
      <w:r>
        <w:rPr>
          <w:rFonts w:ascii="Times New Roman" w:hAnsi="Times New Roman" w:cs="Times New Roman"/>
          <w:bCs/>
          <w:color w:val="auto"/>
          <w:sz w:val="24"/>
          <w:szCs w:val="24"/>
          <w:highlight w:val="none"/>
          <w:u w:val="single"/>
        </w:rPr>
        <w:t xml:space="preserve">  </w:t>
      </w:r>
      <w:r>
        <w:rPr>
          <w:rFonts w:ascii="Times New Roman" w:hAnsi="Times New Roman" w:cs="Times New Roman"/>
          <w:bCs/>
          <w:color w:val="auto"/>
          <w:sz w:val="24"/>
          <w:szCs w:val="24"/>
          <w:highlight w:val="none"/>
        </w:rPr>
        <w:t xml:space="preserve">。</w:t>
      </w:r>
      <w:r/>
    </w:p>
    <w:p>
      <w:pPr>
        <w:ind w:firstLine="492"/>
        <w:jc w:val="left"/>
        <w:spacing w:line="460" w:lineRule="exact"/>
        <w:widowControl/>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主要专业技术能力有：</w:t>
      </w:r>
      <w:r>
        <w:rPr>
          <w:rFonts w:ascii="Times New Roman" w:hAnsi="Times New Roman" w:cs="Times New Roman"/>
          <w:bCs/>
          <w:color w:val="auto"/>
          <w:sz w:val="24"/>
          <w:szCs w:val="24"/>
          <w:highlight w:val="none"/>
          <w:u w:val="single"/>
        </w:rPr>
        <w:t xml:space="preserve">   </w:t>
      </w:r>
      <w:r>
        <w:rPr>
          <w:rFonts w:ascii="Times New Roman" w:hAnsi="Times New Roman" w:cs="Times New Roman"/>
          <w:bCs/>
          <w:color w:val="auto"/>
          <w:sz w:val="24"/>
          <w:szCs w:val="24"/>
          <w:highlight w:val="none"/>
        </w:rPr>
        <w:t xml:space="preserve">。</w:t>
      </w:r>
      <w:r/>
    </w:p>
    <w:p>
      <w:pPr>
        <w:ind w:firstLine="492"/>
        <w:jc w:val="left"/>
        <w:spacing w:line="460" w:lineRule="exact"/>
        <w:widowControl/>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r>
      <w:r/>
    </w:p>
    <w:p>
      <w:pPr>
        <w:ind w:firstLine="4320"/>
        <w:jc w:val="left"/>
        <w:spacing w:line="42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投标人（盖章）</w:t>
      </w:r>
      <w:r>
        <w:rPr>
          <w:rFonts w:ascii="Times New Roman" w:hAnsi="Times New Roman" w:cs="Times New Roman"/>
          <w:color w:val="auto"/>
          <w:sz w:val="24"/>
          <w:szCs w:val="24"/>
          <w:highlight w:val="none"/>
        </w:rPr>
        <w:t xml:space="preserve">：</w:t>
      </w:r>
      <w:r/>
    </w:p>
    <w:p>
      <w:pPr>
        <w:ind w:firstLine="4320"/>
        <w:jc w:val="left"/>
        <w:spacing w:line="420" w:lineRule="exact"/>
        <w:widowControl/>
        <w:rPr>
          <w:rFonts w:ascii="Times New Roman" w:hAnsi="Times New Roman" w:cs="Times New Roman"/>
          <w:color w:val="auto"/>
          <w:sz w:val="24"/>
          <w:szCs w:val="24"/>
          <w:highlight w:val="none"/>
          <w:u w:val="single"/>
        </w:rPr>
      </w:pPr>
      <w:r>
        <w:rPr>
          <w:rFonts w:ascii="Times New Roman" w:hAnsi="Times New Roman" w:cs="Times New Roman"/>
          <w:color w:val="auto"/>
          <w:sz w:val="24"/>
          <w:szCs w:val="24"/>
          <w:highlight w:val="none"/>
        </w:rPr>
        <w:t xml:space="preserve">法定代表人</w:t>
      </w:r>
      <w:r>
        <w:rPr>
          <w:rFonts w:ascii="Times New Roman" w:hAnsi="Times New Roman" w:cs="Times New Roman"/>
          <w:bCs/>
          <w:color w:val="auto"/>
          <w:sz w:val="24"/>
          <w:szCs w:val="24"/>
          <w:highlight w:val="none"/>
        </w:rPr>
        <w:t xml:space="preserve">（被授权人）</w:t>
      </w:r>
      <w:r>
        <w:rPr>
          <w:rFonts w:ascii="Times New Roman" w:hAnsi="Times New Roman" w:cs="Times New Roman"/>
          <w:color w:val="auto"/>
          <w:sz w:val="24"/>
          <w:szCs w:val="24"/>
          <w:highlight w:val="none"/>
        </w:rPr>
        <w:t xml:space="preserve">签字：</w:t>
      </w:r>
      <w:r/>
    </w:p>
    <w:p>
      <w:pPr>
        <w:ind w:firstLine="4320"/>
        <w:jc w:val="left"/>
        <w:spacing w:line="420" w:lineRule="exact"/>
        <w:widowControl/>
        <w:rPr>
          <w:rFonts w:ascii="Times New Roman" w:hAnsi="Times New Roman" w:cs="Times New Roman"/>
          <w:color w:val="auto"/>
          <w:sz w:val="24"/>
          <w:szCs w:val="24"/>
          <w:highlight w:val="none"/>
        </w:rPr>
      </w:pPr>
      <w:r>
        <w:rPr>
          <w:rFonts w:ascii="Times New Roman" w:hAnsi="Times New Roman" w:cs="Times New Roman"/>
          <w:bCs/>
          <w:color w:val="auto"/>
          <w:sz w:val="24"/>
          <w:szCs w:val="24"/>
          <w:highlight w:val="none"/>
        </w:rPr>
        <w:t xml:space="preserve">日期：年月日</w:t>
      </w:r>
      <w:r/>
    </w:p>
    <w:p>
      <w:pPr>
        <w:jc w:val="center"/>
        <w:spacing w:line="460" w:lineRule="exact"/>
        <w:widowControl/>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br w:type="page" w:clear="all"/>
      </w:r>
      <w:r/>
    </w:p>
    <w:p>
      <w:pPr>
        <w:jc w:val="center"/>
        <w:spacing w:before="156" w:after="156" w:line="360" w:lineRule="auto"/>
        <w:widowControl/>
        <w:rPr>
          <w:rFonts w:ascii="黑体" w:eastAsia="黑体" w:cs="Times New Roman"/>
          <w:color w:val="auto"/>
          <w:sz w:val="28"/>
          <w:szCs w:val="28"/>
          <w:highlight w:val="none"/>
        </w:rPr>
      </w:pPr>
      <w:r/>
      <w:bookmarkStart w:id="485" w:name="_Toc26774"/>
      <w:r/>
      <w:bookmarkStart w:id="486" w:name="_Toc18196"/>
      <w:r>
        <w:rPr>
          <w:rFonts w:ascii="黑体" w:eastAsia="黑体" w:cs="Times New Roman"/>
          <w:color w:val="auto"/>
          <w:sz w:val="28"/>
          <w:szCs w:val="28"/>
          <w:highlight w:val="none"/>
        </w:rPr>
        <w:t xml:space="preserve">无违法违规记录声明</w:t>
      </w:r>
      <w:bookmarkEnd w:id="485"/>
      <w:r/>
      <w:bookmarkEnd w:id="486"/>
      <w:r/>
      <w:r/>
    </w:p>
    <w:p>
      <w:pPr>
        <w:ind w:firstLine="480"/>
        <w:jc w:val="left"/>
        <w:spacing w:line="42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本单位参加政府采购活动近三年内，在经营活动中没有因违法经营受到刑事处罚或责令停产停业、吊销许可证或者执照、较大数额等行政处罚。</w:t>
      </w:r>
      <w:r/>
    </w:p>
    <w:p>
      <w:pPr>
        <w:ind w:firstLine="480"/>
        <w:jc w:val="left"/>
        <w:spacing w:line="42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特此声明</w:t>
      </w:r>
      <w:r>
        <w:rPr>
          <w:rFonts w:hint="eastAsia" w:ascii="Times New Roman" w:hAnsi="Times New Roman" w:cs="Times New Roman"/>
          <w:color w:val="auto"/>
          <w:sz w:val="24"/>
          <w:szCs w:val="24"/>
          <w:highlight w:val="none"/>
        </w:rPr>
        <w:t xml:space="preserve">。</w:t>
      </w:r>
      <w:r/>
    </w:p>
    <w:p>
      <w:pPr>
        <w:ind w:firstLine="480"/>
        <w:jc w:val="left"/>
        <w:spacing w:line="42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080"/>
        <w:jc w:val="left"/>
        <w:spacing w:line="42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投标人（盖章）</w:t>
      </w:r>
      <w:r>
        <w:rPr>
          <w:rFonts w:ascii="Times New Roman" w:hAnsi="Times New Roman" w:cs="Times New Roman"/>
          <w:color w:val="auto"/>
          <w:sz w:val="24"/>
          <w:szCs w:val="24"/>
          <w:highlight w:val="none"/>
        </w:rPr>
        <w:t xml:space="preserve">：</w:t>
      </w:r>
      <w:r/>
    </w:p>
    <w:p>
      <w:pPr>
        <w:ind w:firstLine="480"/>
        <w:jc w:val="left"/>
        <w:spacing w:line="42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                             </w:t>
      </w:r>
      <w:r>
        <w:rPr>
          <w:rFonts w:hint="eastAsia" w:ascii="Times New Roman" w:hAnsi="Times New Roman" w:cs="Times New Roman"/>
          <w:color w:val="auto"/>
          <w:sz w:val="24"/>
          <w:szCs w:val="24"/>
          <w:highlight w:val="none"/>
        </w:rPr>
        <w:t xml:space="preserve"> </w:t>
      </w:r>
      <w:r>
        <w:rPr>
          <w:rFonts w:ascii="Times New Roman" w:hAnsi="Times New Roman" w:cs="Times New Roman"/>
          <w:color w:val="auto"/>
          <w:sz w:val="24"/>
          <w:szCs w:val="24"/>
          <w:highlight w:val="none"/>
        </w:rPr>
        <w:t xml:space="preserve">法定代表人</w:t>
      </w:r>
      <w:r>
        <w:rPr>
          <w:rFonts w:ascii="Times New Roman" w:hAnsi="Times New Roman" w:cs="Times New Roman"/>
          <w:bCs/>
          <w:color w:val="auto"/>
          <w:sz w:val="24"/>
          <w:szCs w:val="24"/>
          <w:highlight w:val="none"/>
        </w:rPr>
        <w:t xml:space="preserve">（被授权人）</w:t>
      </w:r>
      <w:r>
        <w:rPr>
          <w:rFonts w:ascii="Times New Roman" w:hAnsi="Times New Roman" w:cs="Times New Roman"/>
          <w:color w:val="auto"/>
          <w:sz w:val="24"/>
          <w:szCs w:val="24"/>
          <w:highlight w:val="none"/>
        </w:rPr>
        <w:t xml:space="preserve">签字：</w:t>
      </w:r>
      <w:r/>
    </w:p>
    <w:p>
      <w:pPr>
        <w:ind w:firstLine="4080"/>
        <w:jc w:val="left"/>
        <w:spacing w:line="460" w:lineRule="exact"/>
        <w:widowControl/>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日期：年月日</w:t>
      </w:r>
      <w:r/>
    </w:p>
    <w:p>
      <w:pPr>
        <w:spacing w:line="460" w:lineRule="exact"/>
        <w:widowControl/>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r>
      <w:r/>
    </w:p>
    <w:p>
      <w:pPr>
        <w:jc w:val="left"/>
        <w:shd w:val="clear" w:color="auto" w:fill="ffffff"/>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widowControl/>
        <w:rPr>
          <w:rFonts w:ascii="宋体" w:cs="宋体"/>
          <w:color w:val="auto"/>
          <w:sz w:val="24"/>
          <w:szCs w:val="24"/>
          <w:highlight w:val="none"/>
        </w:rPr>
      </w:pPr>
      <w:r>
        <w:rPr>
          <w:rFonts w:ascii="宋体" w:cs="宋体"/>
          <w:color w:val="auto"/>
          <w:sz w:val="24"/>
          <w:szCs w:val="24"/>
          <w:highlight w:val="none"/>
        </w:rPr>
      </w:r>
      <w:r/>
    </w:p>
    <w:p>
      <w:pPr>
        <w:jc w:val="center"/>
        <w:spacing w:line="460" w:lineRule="exact"/>
        <w:widowControl/>
        <w:rPr>
          <w:rFonts w:ascii="Times New Roman" w:hAnsi="Times New Roman" w:eastAsia="黑体" w:cs="Times New Roman"/>
          <w:color w:val="auto"/>
          <w:sz w:val="24"/>
          <w:szCs w:val="24"/>
          <w:highlight w:val="none"/>
        </w:rPr>
      </w:pPr>
      <w:r>
        <w:rPr>
          <w:rFonts w:ascii="Times New Roman" w:hAnsi="Times New Roman" w:eastAsia="仿宋_GB2312" w:cs="Times New Roman"/>
          <w:color w:val="auto"/>
          <w:sz w:val="32"/>
          <w:szCs w:val="28"/>
          <w:highlight w:val="none"/>
        </w:rPr>
        <w:br w:type="page" w:clear="all"/>
      </w:r>
      <w:bookmarkStart w:id="487" w:name="_Toc164497044"/>
      <w:r/>
      <w:bookmarkEnd w:id="487"/>
      <w:r/>
      <w:bookmarkStart w:id="488" w:name="_Toc264974211"/>
      <w:r/>
      <w:bookmarkEnd w:id="488"/>
      <w:r/>
      <w:bookmarkStart w:id="489" w:name="_Toc231787673"/>
      <w:r/>
      <w:bookmarkEnd w:id="489"/>
      <w:r/>
      <w:bookmarkStart w:id="490" w:name="_Toc322444605"/>
      <w:r/>
      <w:bookmarkEnd w:id="490"/>
      <w:r/>
      <w:r/>
    </w:p>
    <w:p>
      <w:pPr>
        <w:ind w:firstLine="2640"/>
        <w:jc w:val="left"/>
        <w:spacing w:before="156" w:after="156" w:line="360" w:lineRule="auto"/>
        <w:widowControl/>
        <w:tabs>
          <w:tab w:val="left" w:pos="576" w:leader="none"/>
        </w:tabs>
        <w:rPr>
          <w:rFonts w:ascii="Times New Roman" w:hAnsi="Times New Roman" w:eastAsia="黑体" w:cs="Times New Roman"/>
          <w:color w:val="auto"/>
          <w:sz w:val="24"/>
          <w:szCs w:val="24"/>
          <w:highlight w:val="none"/>
        </w:rPr>
      </w:pPr>
      <w:r/>
      <w:bookmarkStart w:id="491" w:name="_Toc28247"/>
      <w:r>
        <w:rPr>
          <w:rFonts w:hint="eastAsia" w:ascii="Times New Roman" w:hAnsi="Times New Roman" w:eastAsia="黑体" w:cs="Times New Roman"/>
          <w:color w:val="auto"/>
          <w:sz w:val="24"/>
          <w:szCs w:val="24"/>
          <w:highlight w:val="none"/>
        </w:rPr>
        <w:t xml:space="preserve">非联合体投标声明</w:t>
      </w:r>
      <w:bookmarkEnd w:id="491"/>
      <w:r/>
      <w:r/>
    </w:p>
    <w:p>
      <w:pPr>
        <w:ind w:firstLine="480"/>
        <w:jc w:val="left"/>
        <w:spacing w:line="42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本次投标非联合体投标。</w:t>
      </w:r>
      <w:r/>
    </w:p>
    <w:p>
      <w:pPr>
        <w:ind w:firstLine="480"/>
        <w:jc w:val="left"/>
        <w:spacing w:line="42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特此声明</w:t>
      </w:r>
      <w:r>
        <w:rPr>
          <w:rFonts w:hint="eastAsia" w:ascii="Times New Roman" w:hAnsi="Times New Roman" w:cs="Times New Roman"/>
          <w:color w:val="auto"/>
          <w:sz w:val="24"/>
          <w:szCs w:val="24"/>
          <w:highlight w:val="none"/>
        </w:rPr>
        <w:t xml:space="preserve">。</w:t>
      </w:r>
      <w:r/>
    </w:p>
    <w:p>
      <w:pPr>
        <w:ind w:firstLine="480"/>
        <w:jc w:val="left"/>
        <w:spacing w:line="42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0"/>
        <w:jc w:val="center"/>
        <w:spacing w:line="42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   </w:t>
      </w:r>
      <w:r>
        <w:rPr>
          <w:rFonts w:hint="eastAsia" w:ascii="Times New Roman" w:hAnsi="Times New Roman" w:cs="Times New Roman"/>
          <w:color w:val="auto"/>
          <w:sz w:val="24"/>
          <w:szCs w:val="24"/>
          <w:highlight w:val="none"/>
        </w:rPr>
        <w:t xml:space="preserve">投标人（盖章）</w:t>
      </w:r>
      <w:r>
        <w:rPr>
          <w:rFonts w:ascii="Times New Roman" w:hAnsi="Times New Roman" w:cs="Times New Roman"/>
          <w:color w:val="auto"/>
          <w:sz w:val="24"/>
          <w:szCs w:val="24"/>
          <w:highlight w:val="none"/>
        </w:rPr>
        <w:t xml:space="preserve">：</w:t>
      </w:r>
      <w:r/>
    </w:p>
    <w:p>
      <w:pPr>
        <w:ind w:firstLine="480"/>
        <w:jc w:val="left"/>
        <w:spacing w:line="42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                             法定代表人</w:t>
      </w:r>
      <w:r>
        <w:rPr>
          <w:rFonts w:ascii="Times New Roman" w:hAnsi="Times New Roman" w:cs="Times New Roman"/>
          <w:bCs/>
          <w:color w:val="auto"/>
          <w:sz w:val="24"/>
          <w:szCs w:val="24"/>
          <w:highlight w:val="none"/>
        </w:rPr>
        <w:t xml:space="preserve">（被授权人）</w:t>
      </w:r>
      <w:r>
        <w:rPr>
          <w:rFonts w:ascii="Times New Roman" w:hAnsi="Times New Roman" w:cs="Times New Roman"/>
          <w:color w:val="auto"/>
          <w:sz w:val="24"/>
          <w:szCs w:val="24"/>
          <w:highlight w:val="none"/>
        </w:rPr>
        <w:t xml:space="preserve">签字：</w:t>
      </w:r>
      <w:r/>
    </w:p>
    <w:p>
      <w:pPr>
        <w:ind w:firstLine="4080"/>
        <w:jc w:val="left"/>
        <w:spacing w:before="156" w:after="156" w:line="360" w:lineRule="auto"/>
        <w:widowControl/>
        <w:tabs>
          <w:tab w:val="left" w:pos="576" w:leader="none"/>
        </w:tabs>
        <w:rPr>
          <w:rFonts w:ascii="Times New Roman" w:hAnsi="Times New Roman" w:cs="Times New Roman"/>
          <w:bCs/>
          <w:color w:val="auto"/>
          <w:sz w:val="24"/>
          <w:szCs w:val="24"/>
          <w:highlight w:val="none"/>
        </w:rPr>
      </w:pPr>
      <w:r/>
      <w:bookmarkStart w:id="492" w:name="_Toc21265"/>
      <w:r>
        <w:rPr>
          <w:rFonts w:ascii="Times New Roman" w:hAnsi="Times New Roman" w:cs="Times New Roman"/>
          <w:bCs/>
          <w:color w:val="auto"/>
          <w:sz w:val="24"/>
          <w:szCs w:val="24"/>
          <w:highlight w:val="none"/>
        </w:rPr>
        <w:t xml:space="preserve">日期：年月日</w:t>
      </w:r>
      <w:bookmarkEnd w:id="492"/>
      <w:r/>
      <w:r/>
    </w:p>
    <w:p>
      <w:pPr>
        <w:ind w:firstLine="2640"/>
        <w:jc w:val="left"/>
        <w:spacing w:before="156" w:after="156" w:line="360" w:lineRule="auto"/>
        <w:widowControl/>
        <w:tabs>
          <w:tab w:val="left" w:pos="576" w:leader="none"/>
        </w:tabs>
        <w:rPr>
          <w:rFonts w:hint="eastAsia"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r>
      <w:r/>
    </w:p>
    <w:p>
      <w:pPr>
        <w:ind w:firstLine="2640"/>
        <w:jc w:val="left"/>
        <w:spacing w:before="156" w:after="156" w:line="360" w:lineRule="auto"/>
        <w:widowControl/>
        <w:tabs>
          <w:tab w:val="left" w:pos="576" w:leader="none"/>
        </w:tabs>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非进口产品投标声明</w:t>
      </w:r>
      <w:r/>
    </w:p>
    <w:p>
      <w:pPr>
        <w:ind w:firstLine="480"/>
        <w:jc w:val="left"/>
        <w:spacing w:line="42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本次投标非进口产品。</w:t>
      </w:r>
      <w:r/>
    </w:p>
    <w:p>
      <w:pPr>
        <w:ind w:firstLine="480"/>
        <w:jc w:val="left"/>
        <w:spacing w:line="42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特此声明</w:t>
      </w:r>
      <w:r>
        <w:rPr>
          <w:rFonts w:hint="eastAsia" w:ascii="Times New Roman" w:hAnsi="Times New Roman" w:cs="Times New Roman"/>
          <w:color w:val="auto"/>
          <w:sz w:val="24"/>
          <w:szCs w:val="24"/>
          <w:highlight w:val="none"/>
        </w:rPr>
        <w:t xml:space="preserve">。</w:t>
      </w:r>
      <w:r/>
    </w:p>
    <w:p>
      <w:pPr>
        <w:ind w:firstLine="480"/>
        <w:jc w:val="left"/>
        <w:spacing w:line="42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0"/>
        <w:jc w:val="center"/>
        <w:spacing w:line="42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    </w:t>
      </w:r>
      <w:r>
        <w:rPr>
          <w:rFonts w:hint="eastAsia" w:ascii="Times New Roman" w:hAnsi="Times New Roman" w:cs="Times New Roman"/>
          <w:color w:val="auto"/>
          <w:sz w:val="24"/>
          <w:szCs w:val="24"/>
          <w:highlight w:val="none"/>
        </w:rPr>
        <w:t xml:space="preserve">投标人（盖章）</w:t>
      </w:r>
      <w:r>
        <w:rPr>
          <w:rFonts w:ascii="Times New Roman" w:hAnsi="Times New Roman" w:cs="Times New Roman"/>
          <w:color w:val="auto"/>
          <w:sz w:val="24"/>
          <w:szCs w:val="24"/>
          <w:highlight w:val="none"/>
        </w:rPr>
        <w:t xml:space="preserve">：</w:t>
      </w:r>
      <w:r/>
    </w:p>
    <w:p>
      <w:pPr>
        <w:ind w:firstLine="480"/>
        <w:jc w:val="left"/>
        <w:spacing w:line="42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                             法定代表人</w:t>
      </w:r>
      <w:r>
        <w:rPr>
          <w:rFonts w:ascii="Times New Roman" w:hAnsi="Times New Roman" w:cs="Times New Roman"/>
          <w:bCs/>
          <w:color w:val="auto"/>
          <w:sz w:val="24"/>
          <w:szCs w:val="24"/>
          <w:highlight w:val="none"/>
        </w:rPr>
        <w:t xml:space="preserve">（被授权人）</w:t>
      </w:r>
      <w:r>
        <w:rPr>
          <w:rFonts w:ascii="Times New Roman" w:hAnsi="Times New Roman" w:cs="Times New Roman"/>
          <w:color w:val="auto"/>
          <w:sz w:val="24"/>
          <w:szCs w:val="24"/>
          <w:highlight w:val="none"/>
        </w:rPr>
        <w:t xml:space="preserve">签字：</w:t>
      </w:r>
      <w:r/>
    </w:p>
    <w:p>
      <w:pPr>
        <w:ind w:right="181" w:firstLine="480"/>
        <w:jc w:val="center"/>
        <w:spacing w:line="360" w:lineRule="auto"/>
        <w:rPr>
          <w:rFonts w:ascii="Times New Roman" w:hAnsi="Times New Roman" w:cs="Times New Roman"/>
          <w:bCs/>
          <w:color w:val="auto"/>
          <w:sz w:val="24"/>
          <w:szCs w:val="24"/>
          <w:highlight w:val="none"/>
        </w:rPr>
      </w:pPr>
      <w:r>
        <w:rPr>
          <w:rFonts w:hint="eastAsia" w:ascii="Times New Roman" w:hAnsi="Times New Roman" w:cs="Times New Roman"/>
          <w:bCs/>
          <w:color w:val="auto"/>
          <w:sz w:val="24"/>
          <w:szCs w:val="24"/>
          <w:highlight w:val="none"/>
        </w:rPr>
        <w:t xml:space="preserve"> </w:t>
      </w:r>
      <w:r>
        <w:rPr>
          <w:rFonts w:ascii="Times New Roman" w:hAnsi="Times New Roman" w:cs="Times New Roman"/>
          <w:bCs/>
          <w:color w:val="auto"/>
          <w:sz w:val="24"/>
          <w:szCs w:val="24"/>
          <w:highlight w:val="none"/>
        </w:rPr>
        <w:t xml:space="preserve">日期：年月日</w:t>
      </w:r>
      <w:r/>
    </w:p>
    <w:p>
      <w:pPr>
        <w:jc w:val="center"/>
        <w:widowControl/>
        <w:rPr>
          <w:rFonts w:hint="eastAsia" w:ascii="宋体" w:cs="宋体"/>
          <w:b/>
          <w:bCs/>
          <w:color w:val="auto"/>
          <w:sz w:val="24"/>
          <w:szCs w:val="24"/>
          <w:highlight w:val="none"/>
          <w:lang w:val="en-US" w:eastAsia="zh-CN"/>
        </w:rPr>
      </w:pPr>
      <w:r>
        <w:rPr>
          <w:rFonts w:hint="eastAsia" w:ascii="宋体" w:cs="宋体"/>
          <w:b/>
          <w:bCs/>
          <w:color w:val="auto"/>
          <w:sz w:val="24"/>
          <w:szCs w:val="24"/>
          <w:highlight w:val="none"/>
          <w:lang w:val="en-US" w:eastAsia="zh-CN"/>
        </w:rPr>
      </w:r>
      <w:r/>
    </w:p>
    <w:p>
      <w:pPr>
        <w:jc w:val="center"/>
        <w:widowControl/>
        <w:rPr>
          <w:rFonts w:hint="eastAsia" w:ascii="宋体" w:cs="宋体"/>
          <w:b/>
          <w:bCs/>
          <w:color w:val="auto"/>
          <w:sz w:val="24"/>
          <w:szCs w:val="24"/>
          <w:highlight w:val="none"/>
          <w:lang w:val="en-US" w:eastAsia="zh-CN"/>
        </w:rPr>
      </w:pPr>
      <w:r>
        <w:rPr>
          <w:rFonts w:hint="eastAsia" w:ascii="宋体" w:cs="宋体"/>
          <w:b/>
          <w:bCs/>
          <w:color w:val="auto"/>
          <w:sz w:val="24"/>
          <w:szCs w:val="24"/>
          <w:highlight w:val="none"/>
          <w:lang w:val="en-US" w:eastAsia="zh-CN"/>
        </w:rPr>
      </w:r>
      <w:r/>
    </w:p>
    <w:p>
      <w:pPr>
        <w:jc w:val="center"/>
        <w:widowControl/>
        <w:rPr>
          <w:rFonts w:hint="eastAsia" w:ascii="宋体" w:cs="宋体"/>
          <w:b/>
          <w:bCs/>
          <w:color w:val="auto"/>
          <w:sz w:val="24"/>
          <w:szCs w:val="24"/>
          <w:highlight w:val="none"/>
          <w:lang w:val="en-US" w:eastAsia="zh-CN"/>
        </w:rPr>
      </w:pPr>
      <w:r>
        <w:rPr>
          <w:rFonts w:hint="eastAsia" w:ascii="宋体" w:cs="宋体"/>
          <w:b/>
          <w:bCs/>
          <w:color w:val="auto"/>
          <w:sz w:val="24"/>
          <w:szCs w:val="24"/>
          <w:highlight w:val="none"/>
          <w:lang w:val="en-US" w:eastAsia="zh-CN"/>
        </w:rPr>
      </w:r>
      <w:r/>
    </w:p>
    <w:p>
      <w:pPr>
        <w:jc w:val="center"/>
        <w:widowControl/>
        <w:rPr>
          <w:rFonts w:hint="eastAsia" w:ascii="宋体" w:cs="宋体"/>
          <w:b/>
          <w:bCs/>
          <w:color w:val="auto"/>
          <w:sz w:val="24"/>
          <w:szCs w:val="24"/>
          <w:highlight w:val="none"/>
          <w:lang w:val="en-US" w:eastAsia="zh-CN"/>
        </w:rPr>
      </w:pPr>
      <w:r>
        <w:rPr>
          <w:rFonts w:hint="eastAsia" w:ascii="宋体" w:cs="宋体"/>
          <w:b/>
          <w:bCs/>
          <w:color w:val="auto"/>
          <w:sz w:val="24"/>
          <w:szCs w:val="24"/>
          <w:highlight w:val="none"/>
          <w:lang w:val="en-US" w:eastAsia="zh-CN"/>
        </w:rPr>
      </w:r>
      <w:r/>
    </w:p>
    <w:p>
      <w:pPr>
        <w:jc w:val="center"/>
        <w:widowControl/>
        <w:rPr>
          <w:rFonts w:hint="eastAsia" w:ascii="宋体" w:cs="宋体"/>
          <w:b/>
          <w:bCs/>
          <w:color w:val="auto"/>
          <w:sz w:val="24"/>
          <w:szCs w:val="24"/>
          <w:highlight w:val="none"/>
          <w:lang w:val="en-US" w:eastAsia="zh-CN"/>
        </w:rPr>
      </w:pPr>
      <w:r>
        <w:rPr>
          <w:rFonts w:hint="eastAsia" w:ascii="宋体" w:cs="宋体"/>
          <w:b/>
          <w:bCs/>
          <w:color w:val="auto"/>
          <w:sz w:val="24"/>
          <w:szCs w:val="24"/>
          <w:highlight w:val="none"/>
          <w:lang w:val="en-US" w:eastAsia="zh-CN"/>
        </w:rPr>
        <w:t xml:space="preserve">其他投标声明</w:t>
      </w:r>
      <w:r/>
    </w:p>
    <w:p>
      <w:pPr>
        <w:ind w:firstLine="480"/>
        <w:jc w:val="left"/>
        <w:spacing w:line="420" w:lineRule="exact"/>
        <w:widowControl/>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本次投标不存在以下情况：</w:t>
      </w:r>
      <w:r/>
    </w:p>
    <w:p>
      <w:pPr>
        <w:ind w:firstLine="480"/>
        <w:jc w:val="left"/>
        <w:spacing w:line="420" w:lineRule="exact"/>
        <w:widowControl/>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被“信用中国”网站（www.creditchina.gov.cn）、“中国政府采购网”(www.ccgp.gov.cn)列入失信被执行人、税收违法黑名单、政府采购严重失信行为记录名单，及其他不符合《中华人民共和国政府采购法》第二十二条规定条件的信用记录。</w:t>
      </w:r>
      <w:r/>
    </w:p>
    <w:p>
      <w:pPr>
        <w:ind w:firstLine="480"/>
        <w:jc w:val="left"/>
        <w:spacing w:line="420" w:lineRule="exact"/>
        <w:widowControl/>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（2）供应商单位负责人为同一人或者存在直接控股、管理关系的不同供应商，不得参加同一合同项下的政府采购活动；</w:t>
      </w:r>
      <w:r/>
    </w:p>
    <w:p>
      <w:pPr>
        <w:ind w:firstLine="480"/>
        <w:jc w:val="left"/>
        <w:spacing w:line="420" w:lineRule="exact"/>
        <w:widowControl/>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（3）为本项目提供整体设计、规范编制或者项目管理、监理、检测等服务的供应商，不得再参加本项目的采购活动；</w:t>
      </w:r>
      <w:r/>
    </w:p>
    <w:p>
      <w:pPr>
        <w:ind w:firstLine="720"/>
        <w:jc w:val="both"/>
        <w:spacing w:line="420" w:lineRule="exact"/>
        <w:widowControl/>
        <w:rPr>
          <w:rFonts w:hint="eastAsia" w:ascii="宋体" w:cs="宋体"/>
          <w:b w:val="0"/>
          <w:bCs w:val="0"/>
          <w:color w:val="auto"/>
          <w:sz w:val="24"/>
          <w:szCs w:val="24"/>
          <w:highlight w:val="none"/>
        </w:rPr>
      </w:pPr>
      <w:r>
        <w:rPr>
          <w:rFonts w:hint="eastAsia" w:ascii="宋体" w:cs="宋体"/>
          <w:b w:val="0"/>
          <w:bCs w:val="0"/>
          <w:color w:val="auto"/>
          <w:sz w:val="24"/>
          <w:szCs w:val="24"/>
          <w:highlight w:val="none"/>
        </w:rPr>
        <w:t xml:space="preserve">特此声明。</w:t>
      </w:r>
      <w:r/>
    </w:p>
    <w:p>
      <w:pPr>
        <w:ind w:firstLine="480"/>
        <w:jc w:val="center"/>
        <w:spacing w:line="42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 </w:t>
      </w:r>
      <w:r>
        <w:rPr>
          <w:rFonts w:hint="eastAsia" w:ascii="Times New Roman" w:hAnsi="Times New Roman" w:cs="Times New Roman"/>
          <w:color w:val="auto"/>
          <w:sz w:val="24"/>
          <w:szCs w:val="24"/>
          <w:highlight w:val="none"/>
        </w:rPr>
        <w:t xml:space="preserve">投标人（盖章）</w:t>
      </w:r>
      <w:r>
        <w:rPr>
          <w:rFonts w:ascii="Times New Roman" w:hAnsi="Times New Roman" w:cs="Times New Roman"/>
          <w:color w:val="auto"/>
          <w:sz w:val="24"/>
          <w:szCs w:val="24"/>
          <w:highlight w:val="none"/>
        </w:rPr>
        <w:t xml:space="preserve">：</w:t>
      </w:r>
      <w:r/>
    </w:p>
    <w:p>
      <w:pPr>
        <w:ind w:firstLine="480"/>
        <w:jc w:val="left"/>
        <w:spacing w:line="42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                             法定代表人</w:t>
      </w:r>
      <w:r>
        <w:rPr>
          <w:rFonts w:ascii="Times New Roman" w:hAnsi="Times New Roman" w:cs="Times New Roman"/>
          <w:bCs/>
          <w:color w:val="auto"/>
          <w:sz w:val="24"/>
          <w:szCs w:val="24"/>
          <w:highlight w:val="none"/>
        </w:rPr>
        <w:t xml:space="preserve">（被授权人）</w:t>
      </w:r>
      <w:r>
        <w:rPr>
          <w:rFonts w:ascii="Times New Roman" w:hAnsi="Times New Roman" w:cs="Times New Roman"/>
          <w:color w:val="auto"/>
          <w:sz w:val="24"/>
          <w:szCs w:val="24"/>
          <w:highlight w:val="none"/>
        </w:rPr>
        <w:t xml:space="preserve">签字：</w:t>
      </w:r>
      <w:r/>
    </w:p>
    <w:p>
      <w:pPr>
        <w:ind w:firstLine="3840"/>
        <w:jc w:val="both"/>
        <w:spacing w:line="420" w:lineRule="exact"/>
        <w:widowControl/>
        <w:rPr>
          <w:rFonts w:ascii="宋体" w:cs="宋体"/>
          <w:b/>
          <w:bCs/>
          <w:color w:val="auto"/>
          <w:sz w:val="24"/>
          <w:szCs w:val="24"/>
          <w:highlight w:val="none"/>
        </w:rPr>
      </w:pPr>
      <w:r>
        <w:rPr>
          <w:rFonts w:ascii="Times New Roman" w:hAnsi="Times New Roman" w:cs="Times New Roman"/>
          <w:bCs/>
          <w:color w:val="auto"/>
          <w:sz w:val="24"/>
          <w:szCs w:val="24"/>
          <w:highlight w:val="none"/>
        </w:rPr>
        <w:t xml:space="preserve">日期：年月日</w:t>
      </w:r>
      <w:r/>
    </w:p>
    <w:p>
      <w:pPr>
        <w:rPr>
          <w:rFonts w:hint="eastAsia" w:ascii="宋体" w:cs="宋体"/>
          <w:color w:val="auto"/>
          <w:sz w:val="24"/>
          <w:szCs w:val="24"/>
          <w:highlight w:val="none"/>
        </w:rPr>
      </w:pPr>
      <w:r>
        <w:rPr>
          <w:rFonts w:hint="eastAsia" w:ascii="宋体" w:cs="宋体"/>
          <w:color w:val="auto"/>
          <w:sz w:val="24"/>
          <w:szCs w:val="24"/>
          <w:highlight w:val="none"/>
        </w:rPr>
        <w:br w:type="page" w:clear="all"/>
      </w:r>
      <w:r/>
    </w:p>
    <w:p>
      <w:pPr>
        <w:ind w:firstLine="480"/>
        <w:spacing w:line="360" w:lineRule="exact"/>
        <w:rPr>
          <w:rFonts w:ascii="宋体" w:cs="宋体"/>
          <w:color w:val="auto"/>
          <w:sz w:val="24"/>
          <w:szCs w:val="24"/>
          <w:highlight w:val="none"/>
        </w:rPr>
      </w:pPr>
      <w:r>
        <w:rPr>
          <w:rFonts w:hint="eastAsia" w:ascii="宋体" w:cs="宋体"/>
          <w:color w:val="auto"/>
          <w:sz w:val="24"/>
          <w:szCs w:val="24"/>
          <w:highlight w:val="none"/>
        </w:rPr>
        <w:t xml:space="preserve">供应商若符合相关要求，请提供企业声明函。</w:t>
      </w:r>
      <w:r/>
    </w:p>
    <w:p>
      <w:pPr>
        <w:jc w:val="left"/>
        <w:spacing w:before="156" w:after="156" w:line="360" w:lineRule="auto"/>
        <w:widowControl/>
        <w:tabs>
          <w:tab w:val="left" w:pos="576" w:leader="none"/>
        </w:tabs>
        <w:rPr>
          <w:rFonts w:ascii="Times New Roman" w:hAnsi="Times New Roman" w:eastAsia="黑体" w:cs="Times New Roman"/>
          <w:color w:val="auto"/>
          <w:sz w:val="24"/>
          <w:szCs w:val="24"/>
          <w:highlight w:val="none"/>
        </w:rPr>
        <w:outlineLvl w:val="2"/>
      </w:pPr>
      <w:r/>
      <w:bookmarkStart w:id="493" w:name="_Toc14243"/>
      <w:r>
        <w:rPr>
          <w:rFonts w:ascii="Times New Roman" w:hAnsi="Times New Roman" w:eastAsia="黑体" w:cs="Times New Roman"/>
          <w:color w:val="auto"/>
          <w:sz w:val="24"/>
          <w:szCs w:val="24"/>
          <w:highlight w:val="none"/>
        </w:rPr>
        <w:t xml:space="preserve">6.</w:t>
      </w:r>
      <w:r>
        <w:rPr>
          <w:rFonts w:hint="eastAsia" w:ascii="Times New Roman" w:hAnsi="Times New Roman" w:eastAsia="黑体" w:cs="Times New Roman"/>
          <w:color w:val="auto"/>
          <w:sz w:val="24"/>
          <w:szCs w:val="24"/>
          <w:highlight w:val="none"/>
        </w:rPr>
        <w:t xml:space="preserve">10企业声明函格式</w:t>
      </w:r>
      <w:bookmarkEnd w:id="493"/>
      <w:r/>
      <w:r/>
    </w:p>
    <w:p>
      <w:pPr>
        <w:ind w:firstLine="240"/>
        <w:jc w:val="center"/>
        <w:spacing w:line="360" w:lineRule="auto"/>
        <w:rPr>
          <w:rFonts w:hint="eastAsia" w:ascii="宋体" w:hAnsi="宋体" w:cs="宋体"/>
          <w:sz w:val="24"/>
          <w:szCs w:val="24"/>
          <w:highlight w:val="none"/>
        </w:rPr>
      </w:pPr>
      <w:r/>
      <w:bookmarkStart w:id="494" w:name="_Toc253"/>
      <w:r>
        <w:rPr>
          <w:rFonts w:hint="eastAsia" w:ascii="宋体" w:hAnsi="宋体" w:cs="宋体"/>
          <w:sz w:val="24"/>
          <w:szCs w:val="24"/>
          <w:highlight w:val="none"/>
        </w:rPr>
        <w:t xml:space="preserve">中小企业声明函（货物）</w:t>
      </w:r>
      <w:r/>
    </w:p>
    <w:p>
      <w:pPr>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本公司（联合体）郑重声明，根据《政府采购促进中小企业发展管理办法》(财库[2020]46号)的规定，本公司（联合体）参加（公司名称 ）组织的 （项目名称）的采购活动，</w:t>
      </w:r>
      <w:r>
        <w:rPr>
          <w:rFonts w:hint="eastAsia" w:ascii="宋体" w:hAnsi="宋体"/>
          <w:sz w:val="24"/>
          <w:szCs w:val="24"/>
          <w:highlight w:val="none"/>
        </w:rPr>
        <w:t xml:space="preserve">提供的货物</w:t>
      </w:r>
      <w:r>
        <w:rPr>
          <w:rFonts w:hint="eastAsia" w:ascii="宋体" w:hAnsi="宋体" w:cs="宋体"/>
          <w:sz w:val="24"/>
          <w:szCs w:val="24"/>
          <w:highlight w:val="none"/>
        </w:rPr>
        <w:t xml:space="preserve">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360"/>
        <w:spacing w:line="360" w:lineRule="auto"/>
        <w:rPr>
          <w:rFonts w:hint="eastAsia" w:ascii="宋体" w:hAnsi="宋体" w:cs="宋体"/>
          <w:i/>
          <w:sz w:val="24"/>
          <w:szCs w:val="24"/>
          <w:highlight w:val="none"/>
          <w:u w:val="singl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（标的名称）</w:t>
      </w:r>
      <w:r>
        <w:rPr>
          <w:rFonts w:hint="eastAsia" w:ascii="宋体" w:hAnsi="宋体" w:cs="宋体"/>
          <w:i/>
          <w:sz w:val="24"/>
          <w:szCs w:val="24"/>
          <w:highlight w:val="none"/>
        </w:rPr>
        <w:t xml:space="preserve">，</w:t>
      </w:r>
      <w:r>
        <w:rPr>
          <w:rFonts w:hint="eastAsia" w:ascii="宋体" w:hAnsi="宋体" w:cs="宋体"/>
          <w:sz w:val="24"/>
          <w:szCs w:val="24"/>
          <w:highlight w:val="none"/>
        </w:rPr>
        <w:t xml:space="preserve">属于行业</w:t>
      </w:r>
      <w:r>
        <w:rPr>
          <w:rFonts w:hint="eastAsia" w:ascii="宋体" w:hAnsi="宋体" w:cs="宋体"/>
          <w:sz w:val="24"/>
          <w:szCs w:val="24"/>
          <w:highlight w:val="none"/>
          <w:u w:val="single"/>
        </w:rPr>
        <w:t xml:space="preserve">(采购文件中明确的所属行业）</w:t>
      </w:r>
      <w:r>
        <w:rPr>
          <w:rFonts w:hint="eastAsia" w:ascii="宋体" w:hAnsi="宋体" w:cs="宋体"/>
          <w:sz w:val="24"/>
          <w:szCs w:val="24"/>
          <w:highlight w:val="none"/>
        </w:rPr>
        <w:t xml:space="preserve">；承接企业为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w:t>
      </w:r>
      <w:r>
        <w:rPr>
          <w:rFonts w:hint="eastAsia" w:ascii="宋体" w:hAnsi="宋体" w:cs="宋体"/>
          <w:sz w:val="24"/>
          <w:szCs w:val="24"/>
          <w:highlight w:val="none"/>
          <w:vertAlign w:val="superscript"/>
        </w:rPr>
        <w:t xml:space="preserve">1</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（中型企业、小型企业、微型企业）；</w:t>
      </w:r>
      <w:r/>
    </w:p>
    <w:p>
      <w:pPr>
        <w:ind w:firstLine="360"/>
        <w:spacing w:line="360" w:lineRule="auto"/>
        <w:rPr>
          <w:rFonts w:hint="eastAsia" w:ascii="宋体" w:hAnsi="宋体" w:cs="宋体"/>
          <w:i/>
          <w:sz w:val="24"/>
          <w:szCs w:val="24"/>
          <w:highlight w:val="none"/>
          <w:u w:val="single"/>
        </w:rPr>
      </w:pPr>
      <w:r>
        <w:rPr>
          <w:rFonts w:hint="eastAsia" w:ascii="宋体" w:hAnsi="宋体" w:cs="宋体"/>
          <w:sz w:val="24"/>
          <w:szCs w:val="24"/>
          <w:highlight w:val="none"/>
        </w:rPr>
        <w:t xml:space="preserve">2.（标的名称）</w:t>
      </w:r>
      <w:r>
        <w:rPr>
          <w:rFonts w:hint="eastAsia" w:ascii="宋体" w:hAnsi="宋体" w:cs="宋体"/>
          <w:i/>
          <w:sz w:val="24"/>
          <w:szCs w:val="24"/>
          <w:highlight w:val="none"/>
        </w:rPr>
        <w:t xml:space="preserve">，</w:t>
      </w:r>
      <w:r>
        <w:rPr>
          <w:rFonts w:hint="eastAsia" w:ascii="宋体" w:hAnsi="宋体" w:cs="宋体"/>
          <w:sz w:val="24"/>
          <w:szCs w:val="24"/>
          <w:highlight w:val="none"/>
        </w:rPr>
        <w:t xml:space="preserve">属于行业(采购文件中明确的所属行业）；承接企业为（企业名称），从业人员人，营业收入为万元，资产总额为万元</w:t>
      </w:r>
      <w:r>
        <w:rPr>
          <w:rFonts w:hint="eastAsia" w:ascii="宋体" w:hAnsi="宋体" w:cs="宋体"/>
          <w:sz w:val="24"/>
          <w:szCs w:val="24"/>
          <w:highlight w:val="none"/>
          <w:vertAlign w:val="superscript"/>
        </w:rPr>
        <w:t xml:space="preserve">1</w:t>
      </w:r>
      <w:r>
        <w:rPr>
          <w:rFonts w:hint="eastAsia" w:ascii="宋体" w:hAnsi="宋体" w:cs="宋体"/>
          <w:sz w:val="24"/>
          <w:szCs w:val="24"/>
          <w:highlight w:val="none"/>
        </w:rPr>
        <w:t xml:space="preserve">，属于（中型企业、小型企业、微型企业）；</w:t>
      </w:r>
      <w:r/>
    </w:p>
    <w:p>
      <w:pPr>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p>
    <w:p>
      <w:pPr>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right="72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right="180" w:firstLine="360"/>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企业名称：（加盖CA电子公章）</w:t>
      </w:r>
      <w:r/>
    </w:p>
    <w:p>
      <w:pPr>
        <w:ind w:firstLine="5822"/>
        <w:spacing w:line="360"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日  期：年___月___日</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说明：</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360"/>
        <w:rPr>
          <w:rFonts w:hint="eastAsia" w:ascii="宋体" w:hAnsi="宋体" w:cs="宋体"/>
          <w:sz w:val="24"/>
          <w:szCs w:val="24"/>
          <w:highlight w:val="none"/>
        </w:rPr>
      </w:pPr>
      <w:r>
        <w:rPr>
          <w:rFonts w:hint="eastAsia" w:ascii="宋体" w:hAnsi="宋体" w:cs="宋体"/>
          <w:sz w:val="24"/>
          <w:szCs w:val="24"/>
          <w:highlight w:val="none"/>
        </w:rPr>
        <w:t xml:space="preserve">2、从业人员、营业收入、资产总额填报上一年度数据，无上一年度数据的新成立企业可不填报。</w:t>
      </w:r>
      <w:r/>
    </w:p>
    <w:p>
      <w:pPr>
        <w:ind w:firstLine="360"/>
        <w:rPr>
          <w:rFonts w:hint="eastAsia" w:ascii="宋体" w:hAnsi="宋体" w:cs="宋体"/>
          <w:sz w:val="24"/>
          <w:szCs w:val="24"/>
          <w:highlight w:val="none"/>
        </w:rPr>
      </w:pPr>
      <w:r>
        <w:rPr>
          <w:rFonts w:hint="eastAsia" w:ascii="宋体" w:hAnsi="宋体" w:cs="宋体"/>
          <w:sz w:val="24"/>
          <w:szCs w:val="24"/>
          <w:highlight w:val="none"/>
        </w:rPr>
        <w:t xml:space="preserve">3、投标人如不提供此声明函，不得参加专门面向中小企业采购项目或者不得享受小微企业价格扣除政策。此声明函将随成交结果同时公告，接受社会监督。</w:t>
      </w:r>
      <w:r/>
    </w:p>
    <w:p>
      <w:pPr>
        <w:ind w:firstLine="360"/>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sz w:val="24"/>
          <w:szCs w:val="24"/>
          <w:highlight w:val="none"/>
        </w:rPr>
        <w:t xml:space="preserve">货物采购项目中，货物的制造商应当为中小企业，不对其中涉及的服务的承接商、工程的承建商作出要求。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rPr>
          <w:rFonts w:ascii="宋体" w:cs="宋体"/>
          <w:b/>
          <w:bCs/>
          <w:color w:val="auto"/>
          <w:sz w:val="24"/>
          <w:szCs w:val="24"/>
          <w:highlight w:val="none"/>
        </w:rPr>
      </w:pPr>
      <w:r>
        <w:rPr>
          <w:rFonts w:hint="eastAsia" w:ascii="宋体" w:cs="宋体"/>
          <w:b/>
          <w:bCs/>
          <w:color w:val="auto"/>
          <w:sz w:val="24"/>
          <w:szCs w:val="24"/>
          <w:highlight w:val="none"/>
        </w:rPr>
        <w:br w:type="page" w:clear="all"/>
      </w:r>
      <w:r/>
    </w:p>
    <w:p>
      <w:pPr>
        <w:ind w:firstLine="482"/>
        <w:spacing w:line="360" w:lineRule="exact"/>
        <w:rPr>
          <w:rFonts w:ascii="宋体" w:cs="宋体"/>
          <w:b/>
          <w:bCs/>
          <w:color w:val="auto"/>
          <w:sz w:val="24"/>
          <w:szCs w:val="24"/>
          <w:highlight w:val="none"/>
        </w:rPr>
      </w:pPr>
      <w:r>
        <w:rPr>
          <w:rFonts w:hint="eastAsia" w:ascii="宋体" w:cs="宋体"/>
          <w:b/>
          <w:bCs/>
          <w:color w:val="auto"/>
          <w:sz w:val="24"/>
          <w:szCs w:val="24"/>
          <w:highlight w:val="none"/>
        </w:rPr>
        <w:t xml:space="preserve">残疾人福利性单位声明函</w:t>
      </w:r>
      <w:bookmarkEnd w:id="494"/>
      <w:r/>
      <w:r/>
    </w:p>
    <w:p>
      <w:pPr>
        <w:ind w:firstLine="480"/>
        <w:spacing w:line="0" w:lineRule="atLeast"/>
        <w:rPr>
          <w:rFonts w:ascii="宋体" w:hAnsi="宋体" w:cs="Times New Roman"/>
          <w:color w:val="auto"/>
          <w:sz w:val="24"/>
          <w:szCs w:val="21"/>
          <w:highlight w:val="none"/>
        </w:rPr>
      </w:pPr>
      <w:r>
        <w:rPr>
          <w:rFonts w:ascii="宋体" w:hAnsi="宋体" w:cs="Times New Roman"/>
          <w:color w:val="auto"/>
          <w:sz w:val="24"/>
          <w:szCs w:val="21"/>
          <w:highlight w:val="none"/>
        </w:rPr>
      </w:r>
      <w:r/>
    </w:p>
    <w:p>
      <w:pPr>
        <w:ind w:firstLine="480"/>
        <w:spacing w:line="0" w:lineRule="atLeast"/>
        <w:rPr>
          <w:rFonts w:ascii="宋体" w:hAnsi="宋体" w:cs="Times New Roman"/>
          <w:color w:val="auto"/>
          <w:sz w:val="24"/>
          <w:szCs w:val="21"/>
          <w:highlight w:val="none"/>
        </w:rPr>
      </w:pPr>
      <w:r>
        <w:rPr>
          <w:rFonts w:hint="eastAsia" w:ascii="宋体" w:hAnsi="宋体" w:cs="Times New Roman"/>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Times New Roman"/>
          <w:color w:val="auto"/>
          <w:sz w:val="24"/>
          <w:szCs w:val="21"/>
          <w:highlight w:val="none"/>
          <w:u w:val="single"/>
        </w:rPr>
        <w:t xml:space="preserve">      </w:t>
      </w:r>
      <w:r>
        <w:rPr>
          <w:rFonts w:hint="eastAsia" w:ascii="宋体" w:hAnsi="宋体" w:cs="Times New Roman"/>
          <w:color w:val="auto"/>
          <w:sz w:val="24"/>
          <w:szCs w:val="21"/>
          <w:highlight w:val="none"/>
        </w:rPr>
        <w:t xml:space="preserve">的</w:t>
      </w:r>
      <w:r>
        <w:rPr>
          <w:rFonts w:hint="eastAsia" w:ascii="宋体" w:hAnsi="宋体" w:cs="Times New Roman"/>
          <w:color w:val="auto"/>
          <w:sz w:val="24"/>
          <w:szCs w:val="21"/>
          <w:highlight w:val="none"/>
          <w:u w:val="single"/>
        </w:rPr>
        <w:t xml:space="preserve">     </w:t>
      </w:r>
      <w:r>
        <w:rPr>
          <w:rFonts w:hint="eastAsia" w:ascii="宋体" w:hAnsi="宋体" w:cs="Times New Roman"/>
          <w:color w:val="auto"/>
          <w:sz w:val="24"/>
          <w:szCs w:val="21"/>
          <w:highlight w:val="none"/>
        </w:rPr>
        <w:t xml:space="preserve">项目（采购包号：**）采购活动由本单位提供服务。</w:t>
      </w:r>
      <w:r/>
    </w:p>
    <w:p>
      <w:pPr>
        <w:ind w:firstLine="480"/>
        <w:spacing w:line="0" w:lineRule="atLeast"/>
        <w:rPr>
          <w:rFonts w:ascii="宋体" w:hAnsi="宋体" w:cs="Times New Roman"/>
          <w:color w:val="auto"/>
          <w:sz w:val="24"/>
          <w:szCs w:val="21"/>
          <w:highlight w:val="none"/>
        </w:rPr>
      </w:pPr>
      <w:r>
        <w:rPr>
          <w:rFonts w:hint="eastAsia" w:ascii="宋体" w:hAnsi="宋体" w:cs="Times New Roman"/>
          <w:color w:val="auto"/>
          <w:sz w:val="24"/>
          <w:szCs w:val="21"/>
          <w:highlight w:val="none"/>
        </w:rPr>
        <w:t xml:space="preserve">本单位对上述声明的真实性负责。如有虚假，将依法承担相应责任。</w:t>
      </w:r>
      <w:r/>
    </w:p>
    <w:p>
      <w:pPr>
        <w:ind w:firstLine="480"/>
        <w:spacing w:line="0" w:lineRule="atLeast"/>
        <w:rPr>
          <w:rFonts w:ascii="宋体" w:hAnsi="宋体" w:cs="Times New Roman"/>
          <w:color w:val="auto"/>
          <w:sz w:val="24"/>
          <w:szCs w:val="21"/>
          <w:highlight w:val="none"/>
        </w:rPr>
      </w:pPr>
      <w:r>
        <w:rPr>
          <w:rFonts w:ascii="宋体" w:hAnsi="宋体" w:cs="Times New Roman"/>
          <w:color w:val="auto"/>
          <w:sz w:val="24"/>
          <w:szCs w:val="21"/>
          <w:highlight w:val="none"/>
        </w:rPr>
      </w:r>
      <w:r/>
    </w:p>
    <w:p>
      <w:pPr>
        <w:ind w:firstLine="480"/>
        <w:spacing w:line="0" w:lineRule="atLeast"/>
        <w:rPr>
          <w:rFonts w:ascii="宋体" w:hAnsi="宋体" w:cs="Times New Roman"/>
          <w:color w:val="auto"/>
          <w:sz w:val="24"/>
          <w:szCs w:val="21"/>
          <w:highlight w:val="none"/>
        </w:rPr>
      </w:pPr>
      <w:r>
        <w:rPr>
          <w:rFonts w:hint="eastAsia" w:ascii="宋体" w:hAnsi="宋体" w:cs="Times New Roman"/>
          <w:color w:val="auto"/>
          <w:sz w:val="24"/>
          <w:szCs w:val="21"/>
          <w:highlight w:val="none"/>
        </w:rPr>
        <w:t xml:space="preserve">备注：</w:t>
      </w:r>
      <w:r/>
    </w:p>
    <w:p>
      <w:pPr>
        <w:ind w:firstLine="480"/>
        <w:spacing w:line="0" w:lineRule="atLeast"/>
        <w:rPr>
          <w:rFonts w:ascii="宋体" w:hAnsi="宋体" w:cs="Times New Roman"/>
          <w:color w:val="auto"/>
          <w:sz w:val="24"/>
          <w:szCs w:val="21"/>
          <w:highlight w:val="none"/>
        </w:rPr>
      </w:pPr>
      <w:r>
        <w:rPr>
          <w:rFonts w:hint="eastAsia" w:ascii="宋体" w:hAnsi="宋体" w:cs="Times New Roman"/>
          <w:color w:val="auto"/>
          <w:sz w:val="24"/>
          <w:szCs w:val="21"/>
          <w:highlight w:val="none"/>
        </w:rPr>
        <w:t xml:space="preserve">1</w:t>
      </w:r>
      <w:r>
        <w:rPr>
          <w:rFonts w:ascii="宋体" w:hAnsi="宋体" w:cs="Times New Roman"/>
          <w:color w:val="auto"/>
          <w:sz w:val="24"/>
          <w:szCs w:val="21"/>
          <w:highlight w:val="none"/>
        </w:rPr>
        <w:t xml:space="preserve">.</w:t>
      </w:r>
      <w:r>
        <w:rPr>
          <w:rFonts w:hint="eastAsia" w:ascii="宋体" w:hAnsi="宋体" w:cs="Times New Roman"/>
          <w:color w:val="auto"/>
          <w:sz w:val="24"/>
          <w:szCs w:val="21"/>
          <w:highlight w:val="none"/>
        </w:rPr>
        <w:t xml:space="preserve">专门面向中小微型企业采购的</w:t>
      </w:r>
      <w:r>
        <w:rPr>
          <w:rFonts w:ascii="宋体" w:hAnsi="宋体" w:cs="Times New Roman"/>
          <w:color w:val="auto"/>
          <w:sz w:val="24"/>
          <w:szCs w:val="21"/>
          <w:highlight w:val="none"/>
        </w:rPr>
        <w:t xml:space="preserve">项目</w:t>
      </w:r>
      <w:r>
        <w:rPr>
          <w:rFonts w:hint="eastAsia" w:ascii="宋体" w:hAnsi="宋体" w:cs="Times New Roman"/>
          <w:color w:val="auto"/>
          <w:sz w:val="24"/>
          <w:szCs w:val="21"/>
          <w:highlight w:val="none"/>
        </w:rPr>
        <w:t xml:space="preserve">，供应商为残疾人福利性单位并提供服务的必须提供此</w:t>
      </w:r>
      <w:r>
        <w:rPr>
          <w:rFonts w:ascii="宋体" w:hAnsi="宋体" w:cs="Times New Roman"/>
          <w:color w:val="auto"/>
          <w:sz w:val="24"/>
          <w:szCs w:val="21"/>
          <w:highlight w:val="none"/>
        </w:rPr>
        <w:t xml:space="preserve">声明函</w:t>
      </w:r>
      <w:r>
        <w:rPr>
          <w:rFonts w:hint="eastAsia" w:ascii="宋体" w:hAnsi="宋体" w:cs="Times New Roman"/>
          <w:color w:val="auto"/>
          <w:sz w:val="24"/>
          <w:szCs w:val="21"/>
          <w:highlight w:val="none"/>
        </w:rPr>
        <w:t xml:space="preserve">，</w:t>
      </w:r>
      <w:r>
        <w:rPr>
          <w:rFonts w:ascii="宋体" w:hAnsi="宋体" w:cs="Times New Roman"/>
          <w:color w:val="auto"/>
          <w:sz w:val="24"/>
          <w:szCs w:val="21"/>
          <w:highlight w:val="none"/>
        </w:rPr>
        <w:t xml:space="preserve">否则将</w:t>
      </w:r>
      <w:r>
        <w:rPr>
          <w:rFonts w:hint="eastAsia" w:ascii="宋体" w:hAnsi="宋体" w:cs="Times New Roman"/>
          <w:color w:val="auto"/>
          <w:sz w:val="24"/>
          <w:szCs w:val="21"/>
          <w:highlight w:val="none"/>
        </w:rPr>
        <w:t xml:space="preserve">不能</w:t>
      </w:r>
      <w:r>
        <w:rPr>
          <w:rFonts w:ascii="宋体" w:hAnsi="宋体" w:cs="Times New Roman"/>
          <w:color w:val="auto"/>
          <w:sz w:val="24"/>
          <w:szCs w:val="21"/>
          <w:highlight w:val="none"/>
        </w:rPr>
        <w:t xml:space="preserve">通过资格审查</w:t>
      </w:r>
      <w:r>
        <w:rPr>
          <w:rFonts w:hint="eastAsia" w:ascii="宋体" w:hAnsi="宋体" w:cs="Times New Roman"/>
          <w:color w:val="auto"/>
          <w:sz w:val="24"/>
          <w:szCs w:val="21"/>
          <w:highlight w:val="none"/>
        </w:rPr>
        <w:t xml:space="preserve">。</w:t>
      </w:r>
      <w:r/>
    </w:p>
    <w:p>
      <w:pPr>
        <w:ind w:firstLine="480"/>
        <w:spacing w:line="0" w:lineRule="atLeast"/>
        <w:rPr>
          <w:rFonts w:ascii="宋体" w:hAnsi="宋体" w:cs="Times New Roman"/>
          <w:color w:val="auto"/>
          <w:sz w:val="24"/>
          <w:szCs w:val="21"/>
          <w:highlight w:val="none"/>
        </w:rPr>
      </w:pPr>
      <w:r>
        <w:rPr>
          <w:rFonts w:hint="eastAsia" w:ascii="宋体" w:hAnsi="宋体" w:cs="Times New Roman"/>
          <w:color w:val="auto"/>
          <w:sz w:val="24"/>
          <w:szCs w:val="21"/>
          <w:highlight w:val="none"/>
        </w:rPr>
        <w:t xml:space="preserve">2.非专门面向中小微型企业采购的</w:t>
      </w:r>
      <w:r>
        <w:rPr>
          <w:rFonts w:ascii="宋体" w:hAnsi="宋体" w:cs="Times New Roman"/>
          <w:color w:val="auto"/>
          <w:sz w:val="24"/>
          <w:szCs w:val="21"/>
          <w:highlight w:val="none"/>
        </w:rPr>
        <w:t xml:space="preserve">项目</w:t>
      </w:r>
      <w:r>
        <w:rPr>
          <w:rFonts w:hint="eastAsia" w:ascii="宋体" w:hAnsi="宋体" w:cs="Times New Roman"/>
          <w:color w:val="auto"/>
          <w:sz w:val="24"/>
          <w:szCs w:val="21"/>
          <w:highlight w:val="none"/>
        </w:rPr>
        <w:t xml:space="preserve">，供应商如不提供此声明函，价格将不做相应扣除。</w:t>
      </w:r>
      <w:r/>
    </w:p>
    <w:p>
      <w:pPr>
        <w:ind w:firstLine="480"/>
        <w:spacing w:line="0" w:lineRule="atLeast"/>
        <w:rPr>
          <w:rFonts w:ascii="宋体" w:hAnsi="宋体" w:cs="Times New Roman"/>
          <w:color w:val="auto"/>
          <w:sz w:val="24"/>
          <w:szCs w:val="21"/>
          <w:highlight w:val="none"/>
        </w:rPr>
      </w:pPr>
      <w:r>
        <w:rPr>
          <w:rFonts w:ascii="宋体" w:hAnsi="宋体" w:cs="Times New Roman"/>
          <w:color w:val="auto"/>
          <w:sz w:val="24"/>
          <w:szCs w:val="21"/>
          <w:highlight w:val="none"/>
        </w:rPr>
        <w:t xml:space="preserve">3</w:t>
      </w:r>
      <w:r>
        <w:rPr>
          <w:rFonts w:hint="eastAsia" w:ascii="宋体" w:hAnsi="宋体" w:cs="Times New Roman"/>
          <w:color w:val="auto"/>
          <w:sz w:val="24"/>
          <w:szCs w:val="21"/>
          <w:highlight w:val="none"/>
        </w:rPr>
        <w:t xml:space="preserve">.中标/成交供应商为残疾人福利性单位的，此声明函将随中标/成交结果同时公告，接受社会监督</w:t>
      </w:r>
      <w:r/>
    </w:p>
    <w:p>
      <w:pPr>
        <w:ind w:firstLine="480"/>
        <w:spacing w:line="360" w:lineRule="exact"/>
        <w:rPr>
          <w:rFonts w:ascii="宋体" w:cs="宋体"/>
          <w:color w:val="auto"/>
          <w:sz w:val="24"/>
          <w:szCs w:val="24"/>
          <w:highlight w:val="none"/>
        </w:rPr>
      </w:pPr>
      <w:r>
        <w:rPr>
          <w:rFonts w:ascii="宋体" w:cs="宋体"/>
          <w:color w:val="auto"/>
          <w:sz w:val="24"/>
          <w:szCs w:val="24"/>
          <w:highlight w:val="none"/>
        </w:rPr>
      </w:r>
      <w:r/>
    </w:p>
    <w:p>
      <w:pPr>
        <w:ind w:firstLine="480"/>
        <w:jc w:val="right"/>
        <w:spacing w:line="360" w:lineRule="exact"/>
        <w:rPr>
          <w:rFonts w:ascii="宋体" w:cs="宋体"/>
          <w:color w:val="auto"/>
          <w:sz w:val="24"/>
          <w:szCs w:val="24"/>
          <w:highlight w:val="none"/>
        </w:rPr>
      </w:pPr>
      <w:r>
        <w:rPr>
          <w:rFonts w:hint="eastAsia" w:ascii="宋体" w:cs="宋体"/>
          <w:color w:val="auto"/>
          <w:sz w:val="24"/>
          <w:szCs w:val="24"/>
          <w:highlight w:val="none"/>
        </w:rPr>
        <w:t xml:space="preserve">供应商（盖章）：</w:t>
      </w:r>
      <w:r/>
    </w:p>
    <w:p>
      <w:pPr>
        <w:ind w:firstLine="480"/>
        <w:jc w:val="right"/>
        <w:spacing w:line="360" w:lineRule="exact"/>
        <w:rPr>
          <w:rFonts w:ascii="宋体" w:cs="宋体"/>
          <w:color w:val="auto"/>
          <w:sz w:val="24"/>
          <w:szCs w:val="24"/>
          <w:highlight w:val="none"/>
        </w:rPr>
      </w:pPr>
      <w:r>
        <w:rPr>
          <w:rFonts w:hint="eastAsia" w:ascii="宋体" w:cs="宋体"/>
          <w:color w:val="auto"/>
          <w:sz w:val="24"/>
          <w:szCs w:val="24"/>
          <w:highlight w:val="none"/>
        </w:rPr>
        <w:t xml:space="preserve">日期：年月</w:t>
      </w:r>
      <w:r>
        <w:rPr>
          <w:rFonts w:hint="eastAsia" w:ascii="宋体" w:cs="宋体"/>
          <w:color w:val="auto"/>
          <w:spacing w:val="-3"/>
          <w:sz w:val="24"/>
          <w:szCs w:val="24"/>
          <w:highlight w:val="none"/>
        </w:rPr>
        <w:t xml:space="preserve">日</w:t>
      </w:r>
      <w:r/>
    </w:p>
    <w:p>
      <w:pPr>
        <w:ind w:firstLine="480"/>
        <w:jc w:val="right"/>
        <w:spacing w:line="360" w:lineRule="exact"/>
        <w:rPr>
          <w:rFonts w:ascii="宋体" w:cs="宋体"/>
          <w:color w:val="auto"/>
          <w:sz w:val="24"/>
          <w:szCs w:val="24"/>
          <w:highlight w:val="none"/>
        </w:rPr>
      </w:pPr>
      <w:r>
        <w:rPr>
          <w:rFonts w:ascii="宋体" w:cs="宋体"/>
          <w:color w:val="auto"/>
          <w:sz w:val="24"/>
          <w:szCs w:val="24"/>
          <w:highlight w:val="none"/>
        </w:rPr>
      </w:r>
      <w:r/>
    </w:p>
    <w:p>
      <w:pPr>
        <w:jc w:val="left"/>
        <w:widowControl/>
        <w:rPr>
          <w:rFonts w:ascii="宋体" w:cs="宋体"/>
          <w:color w:val="auto"/>
          <w:sz w:val="24"/>
          <w:szCs w:val="24"/>
          <w:highlight w:val="none"/>
        </w:rPr>
      </w:pPr>
      <w:r>
        <w:rPr>
          <w:rFonts w:hint="eastAsia" w:ascii="宋体" w:cs="宋体"/>
          <w:color w:val="auto"/>
          <w:sz w:val="24"/>
          <w:szCs w:val="24"/>
          <w:highlight w:val="none"/>
        </w:rPr>
        <w:br w:type="page" w:clear="all"/>
      </w:r>
      <w:r/>
    </w:p>
    <w:p>
      <w:pPr>
        <w:jc w:val="center"/>
        <w:rPr>
          <w:rFonts w:hint="eastAsia" w:ascii="宋体" w:hAnsi="宋体" w:eastAsia="宋体" w:cs="宋体"/>
          <w:sz w:val="24"/>
          <w:szCs w:val="24"/>
          <w:highlight w:val="none"/>
        </w:rPr>
      </w:pPr>
      <w:r/>
      <w:bookmarkStart w:id="495" w:name="_Toc9297"/>
      <w:r>
        <w:rPr>
          <w:rFonts w:hint="eastAsia" w:ascii="宋体" w:hAnsi="宋体" w:eastAsia="宋体" w:cs="宋体"/>
          <w:b/>
          <w:sz w:val="24"/>
          <w:szCs w:val="24"/>
          <w:highlight w:val="none"/>
        </w:rPr>
        <w:t xml:space="preserve"> 关于符合本国产品标准的声明函</w:t>
      </w:r>
      <w:r/>
    </w:p>
    <w:p>
      <w:pPr>
        <w:pStyle w:val="972"/>
        <w:ind w:firstLine="420"/>
        <w:spacing w:before="0" w:beforeAutospacing="0" w:after="0" w:afterAutospacing="0" w:line="0" w:lineRule="atLeast"/>
        <w:rPr>
          <w:rFonts w:hint="eastAsia"/>
          <w:highlight w:val="none"/>
        </w:rPr>
      </w:pPr>
      <w:r>
        <w:rPr>
          <w:rFonts w:hint="eastAsia"/>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2"/>
        <w:ind w:firstLine="420"/>
        <w:spacing w:before="30" w:beforeAutospacing="0" w:after="30" w:afterAutospacing="0" w:line="0" w:lineRule="atLeast"/>
        <w:rPr>
          <w:rFonts w:hint="eastAsia"/>
          <w:highlight w:val="none"/>
        </w:rPr>
      </w:pPr>
      <w:r>
        <w:rPr>
          <w:rFonts w:hint="eastAsia"/>
          <w:highlight w:val="none"/>
          <w:shd w:val="clear" w:color="auto" w:fill="ffffff"/>
        </w:rPr>
        <w:t xml:space="preserve">1.</w:t>
      </w:r>
      <w:r>
        <w:rPr>
          <w:rStyle w:val="973"/>
          <w:rFonts w:hint="eastAsia" w:ascii="Times New Roman" w:hAnsi="Times New Roman" w:eastAsia="宋体" w:cs="Times New Roman"/>
          <w:i w:val="0"/>
          <w:highlight w:val="none"/>
          <w:u w:val="single"/>
          <w:shd w:val="clear" w:color="auto" w:fill="ffffff"/>
        </w:rPr>
        <w:t xml:space="preserve">（产品名称1）</w:t>
      </w:r>
      <w:r>
        <w:rPr>
          <w:rStyle w:val="973"/>
          <w:rFonts w:hint="eastAsia" w:ascii="Times New Roman" w:hAnsi="Times New Roman" w:eastAsia="宋体" w:cs="Times New Roman"/>
          <w:i w:val="0"/>
          <w:highlight w:val="none"/>
          <w:shd w:val="clear" w:color="auto" w:fill="ffffff"/>
          <w:vertAlign w:val="superscript"/>
        </w:rPr>
        <w:t xml:space="preserve">1</w:t>
      </w:r>
      <w:r>
        <w:rPr>
          <w:rFonts w:hint="eastAsia"/>
          <w:highlight w:val="none"/>
          <w:shd w:val="clear" w:color="auto" w:fill="ffffff"/>
        </w:rPr>
        <w:t xml:space="preserve">，生产厂为</w:t>
      </w:r>
      <w:r>
        <w:rPr>
          <w:rStyle w:val="973"/>
          <w:rFonts w:hint="eastAsia" w:ascii="Times New Roman" w:hAnsi="Times New Roman" w:eastAsia="宋体" w:cs="Times New Roman"/>
          <w:i w:val="0"/>
          <w:highlight w:val="none"/>
          <w:u w:val="single"/>
          <w:shd w:val="clear" w:color="auto" w:fill="ffffff"/>
        </w:rPr>
        <w:t xml:space="preserve">（厂名）</w:t>
      </w:r>
      <w:r>
        <w:rPr>
          <w:rStyle w:val="973"/>
          <w:rFonts w:hint="eastAsia" w:ascii="Times New Roman" w:hAnsi="Times New Roman" w:eastAsia="宋体" w:cs="Times New Roman"/>
          <w:i w:val="0"/>
          <w:highlight w:val="none"/>
          <w:shd w:val="clear" w:color="auto" w:fill="ffffff"/>
          <w:vertAlign w:val="superscript"/>
        </w:rPr>
        <w:t xml:space="preserve">2</w:t>
      </w:r>
      <w:r>
        <w:rPr>
          <w:rFonts w:hint="eastAsia"/>
          <w:highlight w:val="none"/>
          <w:shd w:val="clear" w:color="auto" w:fill="ffffff"/>
        </w:rPr>
        <w:t xml:space="preserve">，厂址为</w:t>
      </w:r>
      <w:r>
        <w:rPr>
          <w:rStyle w:val="973"/>
          <w:rFonts w:hint="eastAsia" w:ascii="Times New Roman" w:hAnsi="Times New Roman" w:eastAsia="宋体" w:cs="Times New Roman"/>
          <w:i w:val="0"/>
          <w:highlight w:val="none"/>
          <w:u w:val="single"/>
          <w:shd w:val="clear" w:color="auto" w:fill="ffffff"/>
        </w:rPr>
        <w:t xml:space="preserve">（生产厂址）</w:t>
      </w:r>
      <w:r>
        <w:rPr>
          <w:rFonts w:hint="eastAsia"/>
          <w:highlight w:val="none"/>
          <w:shd w:val="clear" w:color="auto" w:fill="ffffff"/>
        </w:rPr>
        <w:t xml:space="preserve">。</w:t>
      </w:r>
      <w:r>
        <w:rPr>
          <w:rFonts w:hint="eastAsia"/>
          <w:highlight w:val="none"/>
          <w:u w:val="single"/>
          <w:shd w:val="clear" w:color="auto" w:fill="ffffff"/>
        </w:rPr>
        <w:t xml:space="preserve"> </w:t>
      </w:r>
      <w:r>
        <w:rPr>
          <w:rStyle w:val="973"/>
          <w:rFonts w:hint="eastAsia" w:ascii="Times New Roman" w:hAnsi="Times New Roman" w:eastAsia="宋体" w:cs="Times New Roman"/>
          <w:i w:val="0"/>
          <w:highlight w:val="none"/>
          <w:u w:val="single"/>
          <w:shd w:val="clear" w:color="auto" w:fill="ffffff"/>
        </w:rPr>
        <w:t xml:space="preserve">/ </w:t>
      </w:r>
      <w:r>
        <w:rPr>
          <w:rFonts w:hint="eastAsia"/>
          <w:highlight w:val="none"/>
          <w:shd w:val="clear" w:color="auto" w:fill="ffffff"/>
        </w:rPr>
        <w:t xml:space="preserve">的中国境内生产的组件成本占比≥</w:t>
      </w:r>
      <w:r>
        <w:rPr>
          <w:rFonts w:hint="eastAsia"/>
          <w:highlight w:val="none"/>
          <w:u w:val="single"/>
          <w:shd w:val="clear" w:color="auto" w:fill="ffffff"/>
        </w:rPr>
        <w:t xml:space="preserve">  </w:t>
      </w:r>
      <w:r>
        <w:rPr>
          <w:rStyle w:val="973"/>
          <w:rFonts w:hint="eastAsia" w:ascii="Times New Roman" w:hAnsi="Times New Roman" w:eastAsia="宋体" w:cs="Times New Roman"/>
          <w:i w:val="0"/>
          <w:highlight w:val="none"/>
          <w:u w:val="single"/>
          <w:shd w:val="clear" w:color="auto" w:fill="ffffff"/>
        </w:rPr>
        <w:t xml:space="preserve">/  </w:t>
      </w:r>
      <w:r>
        <w:rPr>
          <w:rStyle w:val="973"/>
          <w:rFonts w:hint="eastAsia" w:ascii="Times New Roman" w:hAnsi="Times New Roman" w:eastAsia="宋体" w:cs="Times New Roman"/>
          <w:i w:val="0"/>
          <w:highlight w:val="none"/>
          <w:shd w:val="clear" w:color="auto" w:fill="ffffff"/>
          <w:vertAlign w:val="superscript"/>
        </w:rPr>
        <w:t xml:space="preserve">3</w:t>
      </w:r>
      <w:r>
        <w:rPr>
          <w:rFonts w:hint="eastAsia"/>
          <w:highlight w:val="none"/>
          <w:shd w:val="clear" w:color="auto" w:fill="ffffff"/>
        </w:rPr>
        <w:t xml:space="preserve">。</w:t>
      </w:r>
      <w:r>
        <w:rPr>
          <w:rFonts w:hint="eastAsia"/>
          <w:highlight w:val="none"/>
          <w:u w:val="single"/>
          <w:shd w:val="clear" w:color="auto" w:fill="ffffff"/>
        </w:rPr>
        <w:t xml:space="preserve">  </w:t>
      </w:r>
      <w:r>
        <w:rPr>
          <w:rStyle w:val="973"/>
          <w:rFonts w:hint="eastAsia" w:ascii="Times New Roman" w:hAnsi="Times New Roman" w:eastAsia="宋体" w:cs="Times New Roman"/>
          <w:i w:val="0"/>
          <w:highlight w:val="none"/>
          <w:u w:val="single"/>
          <w:shd w:val="clear" w:color="auto" w:fill="ffffff"/>
        </w:rPr>
        <w:t xml:space="preserve">/  </w:t>
      </w:r>
      <w:r>
        <w:rPr>
          <w:rFonts w:hint="eastAsia"/>
          <w:highlight w:val="none"/>
          <w:shd w:val="clear" w:color="auto" w:fill="ffffff"/>
        </w:rPr>
        <w:t xml:space="preserve">的</w:t>
      </w:r>
      <w:r>
        <w:rPr>
          <w:rFonts w:hint="eastAsia"/>
          <w:highlight w:val="none"/>
          <w:u w:val="single"/>
          <w:shd w:val="clear" w:color="auto" w:fill="ffffff"/>
        </w:rPr>
        <w:t xml:space="preserve">  </w:t>
      </w:r>
      <w:r>
        <w:rPr>
          <w:rStyle w:val="973"/>
          <w:rFonts w:hint="eastAsia" w:ascii="Times New Roman" w:hAnsi="Times New Roman" w:eastAsia="宋体" w:cs="Times New Roman"/>
          <w:i w:val="0"/>
          <w:highlight w:val="none"/>
          <w:u w:val="single"/>
          <w:shd w:val="clear" w:color="auto" w:fill="ffffff"/>
        </w:rPr>
        <w:t xml:space="preserve">/  </w:t>
      </w:r>
      <w:r>
        <w:rPr>
          <w:rStyle w:val="973"/>
          <w:rFonts w:hint="eastAsia" w:ascii="Times New Roman" w:hAnsi="Times New Roman" w:eastAsia="宋体" w:cs="Times New Roman"/>
          <w:i w:val="0"/>
          <w:highlight w:val="none"/>
          <w:shd w:val="clear" w:color="auto" w:fill="ffffff"/>
          <w:vertAlign w:val="superscript"/>
        </w:rPr>
        <w:t xml:space="preserve">4</w:t>
      </w:r>
      <w:r>
        <w:rPr>
          <w:rFonts w:hint="eastAsia"/>
          <w:highlight w:val="none"/>
          <w:shd w:val="clear" w:color="auto" w:fill="ffffff"/>
        </w:rPr>
        <w:t xml:space="preserve">在中国境内生产。</w:t>
      </w:r>
      <w:r>
        <w:rPr>
          <w:rFonts w:hint="eastAsia"/>
          <w:highlight w:val="none"/>
          <w:u w:val="single"/>
          <w:shd w:val="clear" w:color="auto" w:fill="ffffff"/>
        </w:rPr>
        <w:t xml:space="preserve">  </w:t>
      </w:r>
      <w:r>
        <w:rPr>
          <w:rStyle w:val="973"/>
          <w:rFonts w:hint="eastAsia" w:ascii="Times New Roman" w:hAnsi="Times New Roman" w:eastAsia="宋体" w:cs="Times New Roman"/>
          <w:i w:val="0"/>
          <w:highlight w:val="none"/>
          <w:u w:val="single"/>
          <w:shd w:val="clear" w:color="auto" w:fill="ffffff"/>
        </w:rPr>
        <w:t xml:space="preserve">/  </w:t>
      </w:r>
      <w:r>
        <w:rPr>
          <w:rFonts w:hint="eastAsia"/>
          <w:highlight w:val="none"/>
          <w:shd w:val="clear" w:color="auto" w:fill="ffffff"/>
        </w:rPr>
        <w:t xml:space="preserve">的</w:t>
      </w:r>
      <w:r>
        <w:rPr>
          <w:rFonts w:hint="eastAsia"/>
          <w:highlight w:val="none"/>
          <w:u w:val="single"/>
          <w:shd w:val="clear" w:color="auto" w:fill="ffffff"/>
        </w:rPr>
        <w:t xml:space="preserve">  </w:t>
      </w:r>
      <w:r>
        <w:rPr>
          <w:rStyle w:val="973"/>
          <w:rFonts w:hint="eastAsia" w:ascii="Times New Roman" w:hAnsi="Times New Roman" w:eastAsia="宋体" w:cs="Times New Roman"/>
          <w:i w:val="0"/>
          <w:highlight w:val="none"/>
          <w:u w:val="single"/>
          <w:shd w:val="clear" w:color="auto" w:fill="ffffff"/>
        </w:rPr>
        <w:t xml:space="preserve">/  </w:t>
      </w:r>
      <w:r>
        <w:rPr>
          <w:rStyle w:val="973"/>
          <w:rFonts w:hint="eastAsia" w:ascii="Times New Roman" w:hAnsi="Times New Roman" w:eastAsia="宋体" w:cs="Times New Roman"/>
          <w:i w:val="0"/>
          <w:highlight w:val="none"/>
          <w:shd w:val="clear" w:color="auto" w:fill="ffffff"/>
          <w:vertAlign w:val="superscript"/>
        </w:rPr>
        <w:t xml:space="preserve">5</w:t>
      </w:r>
      <w:r>
        <w:rPr>
          <w:rFonts w:hint="eastAsia"/>
          <w:highlight w:val="none"/>
          <w:shd w:val="clear" w:color="auto" w:fill="ffffff"/>
        </w:rPr>
        <w:t xml:space="preserve">在中国境内完成。</w:t>
      </w:r>
      <w:r/>
    </w:p>
    <w:p>
      <w:pPr>
        <w:pStyle w:val="972"/>
        <w:ind w:firstLine="420"/>
        <w:spacing w:before="30" w:beforeAutospacing="0" w:after="30" w:afterAutospacing="0" w:line="0" w:lineRule="atLeast"/>
        <w:rPr>
          <w:rFonts w:hint="eastAsia"/>
          <w:highlight w:val="none"/>
        </w:rPr>
      </w:pPr>
      <w:r>
        <w:rPr>
          <w:rFonts w:hint="eastAsia"/>
          <w:highlight w:val="none"/>
          <w:shd w:val="clear" w:color="auto" w:fill="ffffff"/>
        </w:rPr>
        <w:t xml:space="preserve">2.</w:t>
      </w:r>
      <w:r>
        <w:rPr>
          <w:rStyle w:val="973"/>
          <w:rFonts w:hint="eastAsia" w:ascii="Times New Roman" w:hAnsi="Times New Roman" w:eastAsia="宋体" w:cs="Times New Roman"/>
          <w:i w:val="0"/>
          <w:highlight w:val="none"/>
          <w:u w:val="single"/>
          <w:shd w:val="clear" w:color="auto" w:fill="ffffff"/>
        </w:rPr>
        <w:t xml:space="preserve">（产品名称2）</w:t>
      </w:r>
      <w:r>
        <w:rPr>
          <w:rFonts w:hint="eastAsia"/>
          <w:highlight w:val="none"/>
          <w:shd w:val="clear" w:color="auto" w:fill="ffffff"/>
        </w:rPr>
        <w:t xml:space="preserve">，生产厂为</w:t>
      </w:r>
      <w:r>
        <w:rPr>
          <w:rStyle w:val="973"/>
          <w:rFonts w:hint="eastAsia" w:ascii="Times New Roman" w:hAnsi="Times New Roman" w:eastAsia="宋体" w:cs="Times New Roman"/>
          <w:i w:val="0"/>
          <w:highlight w:val="none"/>
          <w:u w:val="single"/>
          <w:shd w:val="clear" w:color="auto" w:fill="ffffff"/>
        </w:rPr>
        <w:t xml:space="preserve">（厂名）</w:t>
      </w:r>
      <w:r>
        <w:rPr>
          <w:rFonts w:hint="eastAsia"/>
          <w:highlight w:val="none"/>
          <w:shd w:val="clear" w:color="auto" w:fill="ffffff"/>
        </w:rPr>
        <w:t xml:space="preserve">，厂址为</w:t>
      </w:r>
      <w:r>
        <w:rPr>
          <w:rStyle w:val="973"/>
          <w:rFonts w:hint="eastAsia" w:ascii="Times New Roman" w:hAnsi="Times New Roman" w:eastAsia="宋体" w:cs="Times New Roman"/>
          <w:i w:val="0"/>
          <w:highlight w:val="none"/>
          <w:u w:val="single"/>
          <w:shd w:val="clear" w:color="auto" w:fill="ffffff"/>
        </w:rPr>
        <w:t xml:space="preserve">（生产厂址）</w:t>
      </w:r>
      <w:r>
        <w:rPr>
          <w:rFonts w:hint="eastAsia"/>
          <w:highlight w:val="none"/>
          <w:shd w:val="clear" w:color="auto" w:fill="ffffff"/>
        </w:rPr>
        <w:t xml:space="preserve">。</w:t>
      </w:r>
      <w:r>
        <w:rPr>
          <w:rFonts w:hint="eastAsia"/>
          <w:highlight w:val="none"/>
          <w:u w:val="single"/>
          <w:shd w:val="clear" w:color="auto" w:fill="ffffff"/>
        </w:rPr>
        <w:t xml:space="preserve"> </w:t>
      </w:r>
      <w:r>
        <w:rPr>
          <w:rStyle w:val="973"/>
          <w:rFonts w:hint="eastAsia" w:ascii="Times New Roman" w:hAnsi="Times New Roman" w:eastAsia="宋体" w:cs="Times New Roman"/>
          <w:i w:val="0"/>
          <w:highlight w:val="none"/>
          <w:u w:val="single"/>
          <w:shd w:val="clear" w:color="auto" w:fill="ffffff"/>
        </w:rPr>
        <w:t xml:space="preserve">/  </w:t>
      </w:r>
      <w:r>
        <w:rPr>
          <w:rFonts w:hint="eastAsia"/>
          <w:highlight w:val="none"/>
          <w:shd w:val="clear" w:color="auto" w:fill="ffffff"/>
        </w:rPr>
        <w:t xml:space="preserve">的中国境内生产的组件成本占比≥</w:t>
      </w:r>
      <w:r>
        <w:rPr>
          <w:rFonts w:hint="eastAsia"/>
          <w:highlight w:val="none"/>
          <w:u w:val="single"/>
          <w:shd w:val="clear" w:color="auto" w:fill="ffffff"/>
        </w:rPr>
        <w:t xml:space="preserve">  </w:t>
      </w:r>
      <w:r>
        <w:rPr>
          <w:rStyle w:val="973"/>
          <w:rFonts w:hint="eastAsia" w:ascii="Times New Roman" w:hAnsi="Times New Roman" w:eastAsia="宋体" w:cs="Times New Roman"/>
          <w:i w:val="0"/>
          <w:highlight w:val="none"/>
          <w:u w:val="single"/>
          <w:shd w:val="clear" w:color="auto" w:fill="ffffff"/>
        </w:rPr>
        <w:t xml:space="preserve">/  </w:t>
      </w:r>
      <w:r>
        <w:rPr>
          <w:rFonts w:hint="eastAsia"/>
          <w:highlight w:val="none"/>
          <w:shd w:val="clear" w:color="auto" w:fill="ffffff"/>
        </w:rPr>
        <w:t xml:space="preserve">。</w:t>
      </w:r>
      <w:r>
        <w:rPr>
          <w:rFonts w:hint="eastAsia"/>
          <w:highlight w:val="none"/>
          <w:u w:val="single"/>
          <w:shd w:val="clear" w:color="auto" w:fill="ffffff"/>
        </w:rPr>
        <w:t xml:space="preserve">  </w:t>
      </w:r>
      <w:r>
        <w:rPr>
          <w:rStyle w:val="973"/>
          <w:rFonts w:hint="eastAsia" w:ascii="Times New Roman" w:hAnsi="Times New Roman" w:eastAsia="宋体" w:cs="Times New Roman"/>
          <w:i w:val="0"/>
          <w:highlight w:val="none"/>
          <w:u w:val="single"/>
          <w:shd w:val="clear" w:color="auto" w:fill="ffffff"/>
        </w:rPr>
        <w:t xml:space="preserve">/  </w:t>
      </w:r>
      <w:r>
        <w:rPr>
          <w:rFonts w:hint="eastAsia"/>
          <w:highlight w:val="none"/>
          <w:shd w:val="clear" w:color="auto" w:fill="ffffff"/>
        </w:rPr>
        <w:t xml:space="preserve">的</w:t>
      </w:r>
      <w:r>
        <w:rPr>
          <w:rFonts w:hint="eastAsia"/>
          <w:highlight w:val="none"/>
          <w:u w:val="single"/>
          <w:shd w:val="clear" w:color="auto" w:fill="ffffff"/>
        </w:rPr>
        <w:t xml:space="preserve">  </w:t>
      </w:r>
      <w:r>
        <w:rPr>
          <w:rStyle w:val="973"/>
          <w:rFonts w:hint="eastAsia" w:ascii="Times New Roman" w:hAnsi="Times New Roman" w:eastAsia="宋体" w:cs="Times New Roman"/>
          <w:i w:val="0"/>
          <w:highlight w:val="none"/>
          <w:u w:val="single"/>
          <w:shd w:val="clear" w:color="auto" w:fill="ffffff"/>
        </w:rPr>
        <w:t xml:space="preserve">/  </w:t>
      </w:r>
      <w:r>
        <w:rPr>
          <w:rFonts w:hint="eastAsia"/>
          <w:highlight w:val="none"/>
          <w:shd w:val="clear" w:color="auto" w:fill="ffffff"/>
        </w:rPr>
        <w:t xml:space="preserve">在中国境内生产。</w:t>
      </w:r>
      <w:r>
        <w:rPr>
          <w:rFonts w:hint="eastAsia"/>
          <w:highlight w:val="none"/>
          <w:u w:val="single"/>
          <w:shd w:val="clear" w:color="auto" w:fill="ffffff"/>
        </w:rPr>
        <w:t xml:space="preserve">  </w:t>
      </w:r>
      <w:r>
        <w:rPr>
          <w:rStyle w:val="973"/>
          <w:rFonts w:hint="eastAsia" w:ascii="Times New Roman" w:hAnsi="Times New Roman" w:eastAsia="宋体" w:cs="Times New Roman"/>
          <w:i w:val="0"/>
          <w:highlight w:val="none"/>
          <w:u w:val="single"/>
          <w:shd w:val="clear" w:color="auto" w:fill="ffffff"/>
        </w:rPr>
        <w:t xml:space="preserve">/  </w:t>
      </w:r>
      <w:r>
        <w:rPr>
          <w:rFonts w:hint="eastAsia"/>
          <w:highlight w:val="none"/>
          <w:shd w:val="clear" w:color="auto" w:fill="ffffff"/>
        </w:rPr>
        <w:t xml:space="preserve">的</w:t>
      </w:r>
      <w:r>
        <w:rPr>
          <w:rFonts w:hint="eastAsia"/>
          <w:highlight w:val="none"/>
          <w:u w:val="single"/>
          <w:shd w:val="clear" w:color="auto" w:fill="ffffff"/>
        </w:rPr>
        <w:t xml:space="preserve">  </w:t>
      </w:r>
      <w:r>
        <w:rPr>
          <w:rStyle w:val="973"/>
          <w:rFonts w:hint="eastAsia" w:ascii="Times New Roman" w:hAnsi="Times New Roman" w:eastAsia="宋体" w:cs="Times New Roman"/>
          <w:i w:val="0"/>
          <w:highlight w:val="none"/>
          <w:u w:val="single"/>
          <w:shd w:val="clear" w:color="auto" w:fill="ffffff"/>
        </w:rPr>
        <w:t xml:space="preserve">/  </w:t>
      </w:r>
      <w:r>
        <w:rPr>
          <w:rFonts w:hint="eastAsia"/>
          <w:highlight w:val="none"/>
          <w:shd w:val="clear" w:color="auto" w:fill="ffffff"/>
        </w:rPr>
        <w:t xml:space="preserve">在中国境内完成。</w:t>
      </w:r>
      <w:r/>
    </w:p>
    <w:p>
      <w:pPr>
        <w:pStyle w:val="972"/>
        <w:ind w:firstLine="420"/>
        <w:spacing w:before="30" w:beforeAutospacing="0" w:after="30" w:afterAutospacing="0" w:line="0" w:lineRule="atLeast"/>
        <w:rPr>
          <w:rFonts w:hint="eastAsia"/>
          <w:highlight w:val="none"/>
        </w:rPr>
      </w:pPr>
      <w:r>
        <w:rPr>
          <w:rFonts w:hint="eastAsia"/>
          <w:highlight w:val="none"/>
          <w:shd w:val="clear" w:color="auto" w:fill="ffffff"/>
        </w:rPr>
        <w:t xml:space="preserve">……</w:t>
      </w:r>
      <w:r/>
    </w:p>
    <w:p>
      <w:pPr>
        <w:pStyle w:val="972"/>
        <w:ind w:firstLine="420"/>
        <w:spacing w:before="30" w:beforeAutospacing="0" w:after="30" w:afterAutospacing="0" w:line="0" w:lineRule="atLeast"/>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972"/>
        <w:spacing w:before="30" w:beforeAutospacing="0" w:after="30" w:afterAutospacing="0" w:line="0" w:lineRule="atLeast"/>
        <w:rPr>
          <w:rFonts w:hint="eastAsia"/>
          <w:highlight w:val="none"/>
        </w:rPr>
      </w:pPr>
      <w:r>
        <w:rPr>
          <w:rFonts w:hint="eastAsia"/>
          <w:highlight w:val="none"/>
        </w:rPr>
      </w:r>
      <w:r/>
    </w:p>
    <w:p>
      <w:pPr>
        <w:pStyle w:val="972"/>
        <w:jc w:val="right"/>
        <w:spacing w:before="30" w:beforeAutospacing="0" w:after="30" w:afterAutospacing="0" w:line="0" w:lineRule="atLeast"/>
        <w:rPr>
          <w:rFonts w:hint="eastAsia"/>
          <w:highlight w:val="none"/>
        </w:rPr>
      </w:pPr>
      <w:r>
        <w:rPr>
          <w:rFonts w:hint="eastAsia"/>
          <w:highlight w:val="none"/>
          <w:shd w:val="clear" w:color="auto" w:fill="ffffff"/>
        </w:rPr>
        <w:t xml:space="preserve">   公司（单位）名称（加盖CA电子公章）：　        </w:t>
      </w:r>
      <w:r/>
    </w:p>
    <w:p>
      <w:pPr>
        <w:pStyle w:val="972"/>
        <w:jc w:val="center"/>
        <w:spacing w:before="30" w:beforeAutospacing="0" w:after="30" w:afterAutospacing="0" w:line="0" w:lineRule="atLeast"/>
        <w:rPr>
          <w:rFonts w:hint="eastAsia"/>
          <w:highlight w:val="none"/>
        </w:rPr>
      </w:pPr>
      <w:r>
        <w:rPr>
          <w:rFonts w:hint="eastAsia"/>
          <w:highlight w:val="none"/>
          <w:shd w:val="clear" w:color="auto" w:fill="ffffff"/>
        </w:rPr>
        <w:t xml:space="preserve">     日期：</w:t>
      </w:r>
      <w:r>
        <w:rPr>
          <w:rFonts w:hint="eastAsia"/>
          <w:color w:val="000000"/>
          <w:szCs w:val="21"/>
          <w:highlight w:val="none"/>
        </w:rPr>
        <w:t xml:space="preserve">___年____月____日</w:t>
      </w:r>
      <w:r>
        <w:rPr>
          <w:rFonts w:hint="eastAsia"/>
          <w:highlight w:val="none"/>
          <w:shd w:val="clear" w:color="auto" w:fill="ffffff"/>
        </w:rPr>
        <w:t xml:space="preserve">        </w:t>
      </w:r>
      <w:r/>
    </w:p>
    <w:p>
      <w:pPr>
        <w:pStyle w:val="972"/>
        <w:spacing w:before="30" w:beforeAutospacing="0" w:after="30" w:afterAutospacing="0" w:line="0" w:lineRule="atLeast"/>
        <w:rPr>
          <w:rFonts w:hint="eastAsia"/>
          <w:highlight w:val="none"/>
        </w:rPr>
      </w:pPr>
      <w:r>
        <w:rPr>
          <w:rFonts w:hint="eastAsia"/>
          <w:highlight w:val="none"/>
          <w:shd w:val="clear" w:color="auto" w:fill="ffffff"/>
        </w:rPr>
        <w:t xml:space="preserve">__________________</w:t>
      </w:r>
      <w:r/>
    </w:p>
    <w:p>
      <w:pPr>
        <w:pStyle w:val="972"/>
        <w:spacing w:before="30" w:beforeAutospacing="0" w:after="30" w:afterAutospacing="0" w:line="0" w:lineRule="atLeast"/>
        <w:rPr>
          <w:rFonts w:hint="eastAsia"/>
          <w:highlight w:val="none"/>
        </w:rPr>
      </w:pPr>
      <w:r>
        <w:rPr>
          <w:rFonts w:hint="eastAsia"/>
          <w:highlight w:val="none"/>
          <w:shd w:val="clear" w:color="auto" w:fill="ffffff"/>
        </w:rPr>
        <w:t xml:space="preserve">1.产品如有型号，请在“产品名称”栏一并填写。</w:t>
      </w:r>
      <w:r/>
    </w:p>
    <w:p>
      <w:pPr>
        <w:pStyle w:val="972"/>
        <w:spacing w:before="30" w:beforeAutospacing="0" w:after="30" w:afterAutospacing="0" w:line="0" w:lineRule="atLeast"/>
        <w:rPr>
          <w:rFonts w:hint="eastAsia"/>
          <w:highlight w:val="none"/>
        </w:rPr>
      </w:pPr>
      <w:r>
        <w:rPr>
          <w:rFonts w:hint="eastAsia"/>
          <w:highlight w:val="none"/>
          <w:shd w:val="clear" w:color="auto" w:fill="ffffff"/>
        </w:rPr>
        <w:t xml:space="preserve">2.生产厂名与厂址应与生产厂营业执照载明的相关信息保持一致。</w:t>
      </w:r>
      <w:r/>
    </w:p>
    <w:p>
      <w:pPr>
        <w:pStyle w:val="972"/>
        <w:spacing w:before="30" w:beforeAutospacing="0" w:after="30" w:afterAutospacing="0" w:line="0" w:lineRule="atLeast"/>
        <w:rPr>
          <w:rFonts w:hint="eastAsia"/>
          <w:highlight w:val="none"/>
        </w:rPr>
      </w:pPr>
      <w:r>
        <w:rPr>
          <w:rFonts w:hint="eastAsia"/>
          <w:highlight w:val="none"/>
          <w:shd w:val="clear" w:color="auto" w:fill="ffffff"/>
        </w:rPr>
        <w:t xml:space="preserve">3.该产品的中国境内生产的组件成本占比相关要求实施前，“规定比例”栏可不填，下同。</w:t>
      </w:r>
      <w:r/>
    </w:p>
    <w:p>
      <w:pPr>
        <w:pStyle w:val="972"/>
        <w:spacing w:before="30" w:beforeAutospacing="0" w:after="30" w:afterAutospacing="0" w:line="0" w:lineRule="atLeast"/>
        <w:rPr>
          <w:rFonts w:hint="eastAsia"/>
          <w:highlight w:val="none"/>
        </w:rPr>
      </w:pPr>
      <w:r>
        <w:rPr>
          <w:rFonts w:hint="eastAsia"/>
          <w:highlight w:val="none"/>
          <w:shd w:val="clear" w:color="auto" w:fill="ffffff"/>
        </w:rPr>
        <w:t xml:space="preserve">4.该产品的关键组件要求实施前，“关键组件”栏可不填，下同。</w:t>
      </w:r>
      <w:r/>
    </w:p>
    <w:p>
      <w:pPr>
        <w:pStyle w:val="972"/>
        <w:spacing w:before="30" w:beforeAutospacing="0" w:after="30" w:afterAutospacing="0" w:line="0" w:lineRule="atLeast"/>
        <w:rPr>
          <w:rFonts w:hint="eastAsia"/>
          <w:highlight w:val="none"/>
          <w:shd w:val="clear" w:color="auto" w:fill="ffffff"/>
        </w:rPr>
      </w:pPr>
      <w:r>
        <w:rPr>
          <w:rFonts w:hint="eastAsia"/>
          <w:highlight w:val="none"/>
          <w:shd w:val="clear" w:color="auto" w:fill="ffffff"/>
        </w:rPr>
        <w:t xml:space="preserve">5.该产品的关键工序要求实施前，“关键工序”栏可不填，下同。</w:t>
      </w:r>
      <w:r/>
    </w:p>
    <w:p>
      <w:pPr>
        <w:pStyle w:val="972"/>
        <w:spacing w:before="30" w:beforeAutospacing="0" w:after="30" w:afterAutospacing="0" w:line="0" w:lineRule="atLeast"/>
        <w:rPr>
          <w:rFonts w:hint="eastAsia"/>
          <w:highlight w:val="none"/>
          <w:shd w:val="clear" w:color="auto" w:fill="ffffff"/>
        </w:rPr>
      </w:pPr>
      <w:r>
        <w:rPr>
          <w:rFonts w:hint="eastAsia"/>
          <w:highlight w:val="none"/>
          <w:shd w:val="clear" w:color="auto" w:fill="ffffff"/>
        </w:rPr>
        <w:t xml:space="preserve">6.《声明函》中标注“</w:t>
      </w:r>
      <w:r>
        <w:rPr>
          <w:rFonts w:hint="eastAsia"/>
          <w:highlight w:val="none"/>
          <w:u w:val="single"/>
          <w:shd w:val="clear" w:color="auto" w:fill="ffffff"/>
        </w:rPr>
        <w:t xml:space="preserve">  </w:t>
      </w:r>
      <w:r>
        <w:rPr>
          <w:rStyle w:val="973"/>
          <w:rFonts w:hint="eastAsia" w:ascii="Times New Roman" w:hAnsi="Times New Roman" w:eastAsia="宋体" w:cs="Times New Roman"/>
          <w:i w:val="0"/>
          <w:highlight w:val="none"/>
          <w:u w:val="single"/>
          <w:shd w:val="clear" w:color="auto" w:fill="ffffff"/>
        </w:rPr>
        <w:t xml:space="preserve">/  </w:t>
      </w:r>
      <w:r>
        <w:rPr>
          <w:rFonts w:hint="eastAsia"/>
          <w:highlight w:val="none"/>
          <w:shd w:val="clear" w:color="auto" w:fill="ffffff"/>
        </w:rPr>
        <w:t xml:space="preserve">”的地方无需填写。</w:t>
      </w:r>
      <w:r/>
    </w:p>
    <w:p>
      <w:pPr>
        <w:jc w:val="center"/>
        <w:rPr>
          <w:rFonts w:hint="default" w:ascii="黑体" w:hAnsi="黑体" w:eastAsia="黑体" w:cs="Times New Roman"/>
          <w:b/>
          <w:color w:val="000000"/>
          <w:sz w:val="32"/>
          <w:szCs w:val="32"/>
          <w:highlight w:val="none"/>
        </w:rPr>
      </w:pPr>
      <w:r>
        <w:rPr>
          <w:rFonts w:hint="default" w:ascii="黑体" w:hAnsi="黑体" w:eastAsia="黑体" w:cs="Times New Roman"/>
          <w:b/>
          <w:color w:val="000000"/>
          <w:sz w:val="32"/>
          <w:szCs w:val="32"/>
          <w:highlight w:val="none"/>
        </w:rPr>
      </w:r>
      <w:r/>
    </w:p>
    <w:p>
      <w:pPr>
        <w:rPr>
          <w:rFonts w:hint="eastAsia" w:ascii="宋体" w:cs="宋体"/>
          <w:color w:val="auto"/>
          <w:sz w:val="24"/>
          <w:szCs w:val="24"/>
          <w:highlight w:val="none"/>
        </w:rPr>
      </w:pPr>
      <w:r>
        <w:rPr>
          <w:rFonts w:hint="eastAsia" w:ascii="宋体" w:cs="宋体"/>
          <w:color w:val="auto"/>
          <w:sz w:val="24"/>
          <w:szCs w:val="24"/>
          <w:highlight w:val="none"/>
        </w:rPr>
      </w:r>
      <w:r/>
    </w:p>
    <w:p>
      <w:pPr>
        <w:ind w:firstLine="480"/>
        <w:spacing w:line="360" w:lineRule="exact"/>
        <w:rPr>
          <w:rFonts w:hint="eastAsia" w:ascii="宋体" w:cs="宋体"/>
          <w:color w:val="auto"/>
          <w:sz w:val="24"/>
          <w:szCs w:val="24"/>
          <w:highlight w:val="none"/>
        </w:rPr>
      </w:pPr>
      <w:r>
        <w:rPr>
          <w:rFonts w:hint="eastAsia" w:ascii="宋体" w:cs="宋体"/>
          <w:color w:val="auto"/>
          <w:sz w:val="24"/>
          <w:szCs w:val="24"/>
          <w:highlight w:val="none"/>
        </w:rPr>
        <w:t xml:space="preserve">属</w:t>
      </w:r>
      <w:r/>
    </w:p>
    <w:p>
      <w:pPr>
        <w:rPr>
          <w:rFonts w:hint="eastAsia" w:ascii="宋体" w:cs="宋体"/>
          <w:color w:val="auto"/>
          <w:sz w:val="24"/>
          <w:szCs w:val="24"/>
          <w:highlight w:val="none"/>
        </w:rPr>
      </w:pPr>
      <w:r>
        <w:rPr>
          <w:rFonts w:hint="eastAsia" w:ascii="宋体" w:cs="宋体"/>
          <w:color w:val="auto"/>
          <w:sz w:val="24"/>
          <w:szCs w:val="24"/>
          <w:highlight w:val="none"/>
        </w:rPr>
        <w:br w:type="page" w:clear="all"/>
      </w:r>
      <w:r/>
    </w:p>
    <w:p>
      <w:pPr>
        <w:ind w:firstLine="480"/>
        <w:spacing w:line="360" w:lineRule="exact"/>
        <w:rPr>
          <w:rFonts w:ascii="宋体" w:cs="宋体"/>
          <w:color w:val="auto"/>
          <w:sz w:val="24"/>
          <w:szCs w:val="24"/>
          <w:highlight w:val="none"/>
        </w:rPr>
      </w:pPr>
      <w:r>
        <w:rPr>
          <w:rFonts w:hint="eastAsia" w:ascii="宋体" w:cs="宋体"/>
          <w:color w:val="auto"/>
          <w:sz w:val="24"/>
          <w:szCs w:val="24"/>
          <w:highlight w:val="none"/>
        </w:rPr>
        <w:t xml:space="preserve">于监狱企业的证明文件</w:t>
      </w:r>
      <w:bookmarkEnd w:id="495"/>
      <w:r/>
      <w:r/>
    </w:p>
    <w:p>
      <w:pPr>
        <w:ind w:firstLine="480"/>
        <w:spacing w:line="360" w:lineRule="exact"/>
        <w:rPr>
          <w:rFonts w:ascii="宋体" w:cs="宋体"/>
          <w:color w:val="auto"/>
          <w:sz w:val="24"/>
          <w:szCs w:val="24"/>
          <w:highlight w:val="none"/>
        </w:rPr>
      </w:pPr>
      <w:r>
        <w:rPr>
          <w:rFonts w:hint="eastAsia" w:ascii="宋体" w:cs="宋体"/>
          <w:color w:val="auto"/>
          <w:sz w:val="24"/>
          <w:szCs w:val="24"/>
          <w:highlight w:val="none"/>
        </w:rPr>
        <w:t xml:space="preserve">（提供由省级以上监狱管理局、戒毒管理局(含新疆生产建设兵团)出具的属于监狱企业的证 明文件）</w:t>
      </w:r>
      <w:r/>
    </w:p>
    <w:p>
      <w:pPr>
        <w:ind w:firstLine="480"/>
        <w:spacing w:line="360" w:lineRule="exact"/>
        <w:rPr>
          <w:rFonts w:ascii="宋体" w:cs="宋体"/>
          <w:color w:val="auto"/>
          <w:sz w:val="24"/>
          <w:szCs w:val="24"/>
          <w:highlight w:val="none"/>
        </w:rPr>
      </w:pPr>
      <w:r>
        <w:rPr>
          <w:rFonts w:ascii="宋体" w:cs="宋体"/>
          <w:color w:val="auto"/>
          <w:sz w:val="24"/>
          <w:szCs w:val="24"/>
          <w:highlight w:val="none"/>
        </w:rPr>
      </w:r>
      <w:r/>
    </w:p>
    <w:p>
      <w:pPr>
        <w:ind w:firstLine="480"/>
        <w:spacing w:line="360" w:lineRule="exact"/>
        <w:rPr>
          <w:rFonts w:ascii="宋体" w:cs="宋体"/>
          <w:color w:val="auto"/>
          <w:sz w:val="24"/>
          <w:szCs w:val="24"/>
          <w:highlight w:val="none"/>
        </w:rPr>
      </w:pPr>
      <w:r>
        <w:rPr>
          <w:rFonts w:ascii="宋体" w:cs="宋体"/>
          <w:color w:val="auto"/>
          <w:sz w:val="24"/>
          <w:szCs w:val="24"/>
          <w:highlight w:val="none"/>
        </w:rPr>
      </w:r>
      <w:r/>
    </w:p>
    <w:p>
      <w:pPr>
        <w:ind w:firstLine="480"/>
        <w:spacing w:line="360" w:lineRule="exact"/>
        <w:rPr>
          <w:rFonts w:ascii="宋体" w:cs="宋体"/>
          <w:color w:val="auto"/>
          <w:sz w:val="24"/>
          <w:szCs w:val="24"/>
          <w:highlight w:val="none"/>
        </w:rPr>
      </w:pPr>
      <w:r/>
      <w:bookmarkStart w:id="496" w:name="_Toc27518"/>
      <w:r>
        <w:rPr>
          <w:rFonts w:hint="eastAsia" w:ascii="宋体" w:cs="宋体"/>
          <w:color w:val="auto"/>
          <w:sz w:val="24"/>
          <w:szCs w:val="24"/>
          <w:highlight w:val="none"/>
        </w:rPr>
        <w:t xml:space="preserve">节能产品认证文件</w:t>
      </w:r>
      <w:bookmarkEnd w:id="496"/>
      <w:r/>
      <w:r/>
    </w:p>
    <w:p>
      <w:pPr>
        <w:ind w:firstLine="480"/>
        <w:spacing w:line="360" w:lineRule="exact"/>
        <w:rPr>
          <w:rFonts w:ascii="宋体" w:cs="宋体"/>
          <w:color w:val="auto"/>
          <w:sz w:val="24"/>
          <w:szCs w:val="24"/>
          <w:highlight w:val="none"/>
        </w:rPr>
      </w:pPr>
      <w:r>
        <w:rPr>
          <w:rFonts w:hint="eastAsia" w:ascii="宋体" w:cs="宋体"/>
          <w:color w:val="auto"/>
          <w:sz w:val="24"/>
          <w:szCs w:val="24"/>
          <w:highlight w:val="none"/>
        </w:rPr>
        <w:t xml:space="preserve">（提供产品在《节能产品政府采购清单》中相应的页面）</w:t>
      </w:r>
      <w:r/>
    </w:p>
    <w:p>
      <w:pPr>
        <w:ind w:firstLine="480"/>
        <w:spacing w:line="360" w:lineRule="exact"/>
        <w:rPr>
          <w:rFonts w:ascii="宋体" w:cs="宋体"/>
          <w:color w:val="auto"/>
          <w:sz w:val="24"/>
          <w:szCs w:val="24"/>
          <w:highlight w:val="none"/>
        </w:rPr>
      </w:pPr>
      <w:r>
        <w:rPr>
          <w:rFonts w:ascii="宋体" w:cs="宋体"/>
          <w:color w:val="auto"/>
          <w:sz w:val="24"/>
          <w:szCs w:val="24"/>
          <w:highlight w:val="none"/>
        </w:rPr>
      </w:r>
      <w:r/>
    </w:p>
    <w:p>
      <w:pPr>
        <w:ind w:firstLine="480"/>
        <w:spacing w:line="360" w:lineRule="exact"/>
        <w:rPr>
          <w:rFonts w:ascii="宋体" w:cs="宋体"/>
          <w:color w:val="auto"/>
          <w:sz w:val="24"/>
          <w:szCs w:val="24"/>
          <w:highlight w:val="none"/>
        </w:rPr>
      </w:pPr>
      <w:r>
        <w:rPr>
          <w:rFonts w:ascii="宋体" w:cs="宋体"/>
          <w:color w:val="auto"/>
          <w:sz w:val="24"/>
          <w:szCs w:val="24"/>
          <w:highlight w:val="none"/>
        </w:rPr>
      </w:r>
      <w:r/>
    </w:p>
    <w:p>
      <w:pPr>
        <w:ind w:firstLine="480"/>
        <w:spacing w:line="360" w:lineRule="exact"/>
        <w:rPr>
          <w:rFonts w:ascii="宋体" w:cs="宋体"/>
          <w:color w:val="auto"/>
          <w:sz w:val="24"/>
          <w:szCs w:val="24"/>
          <w:highlight w:val="none"/>
        </w:rPr>
      </w:pPr>
      <w:r/>
      <w:bookmarkStart w:id="497" w:name="_Toc12203"/>
      <w:r>
        <w:rPr>
          <w:rFonts w:hint="eastAsia" w:ascii="宋体" w:cs="宋体"/>
          <w:color w:val="auto"/>
          <w:sz w:val="24"/>
          <w:szCs w:val="24"/>
          <w:highlight w:val="none"/>
        </w:rPr>
        <w:t xml:space="preserve">环境标志产品认证文件</w:t>
      </w:r>
      <w:bookmarkEnd w:id="497"/>
      <w:r/>
      <w:r/>
    </w:p>
    <w:p>
      <w:pPr>
        <w:jc w:val="left"/>
        <w:widowControl/>
        <w:rPr>
          <w:rFonts w:ascii="Times New Roman" w:hAnsi="Times New Roman" w:cs="Times New Roman"/>
          <w:color w:val="auto"/>
          <w:highlight w:val="none"/>
        </w:rPr>
      </w:pPr>
      <w:r>
        <w:rPr>
          <w:rFonts w:hint="eastAsia" w:ascii="宋体" w:cs="宋体"/>
          <w:color w:val="auto"/>
          <w:sz w:val="24"/>
          <w:szCs w:val="24"/>
          <w:highlight w:val="none"/>
        </w:rPr>
        <w:t xml:space="preserve">（提供产品在《环境标志产品政府采购清单》中相应的页面）</w:t>
      </w:r>
      <w:r/>
    </w:p>
    <w:p>
      <w:pPr>
        <w:ind w:firstLine="420"/>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bookmarkEnd w:id="457"/>
      <w:r/>
      <w:bookmarkEnd w:id="458"/>
      <w:r/>
      <w:bookmarkEnd w:id="459"/>
      <w:r/>
      <w:bookmarkEnd w:id="460"/>
      <w:r/>
      <w:r/>
    </w:p>
    <w:p>
      <w:pPr>
        <w:jc w:val="left"/>
        <w:widowControl/>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r>
      <w:r/>
    </w:p>
    <w:sectPr>
      <w:headerReference w:type="default" r:id="rId10"/>
      <w:footerReference w:type="default" r:id="rId13"/>
      <w:footnotePr/>
      <w:endnotePr/>
      <w:type w:val="nextPage"/>
      <w:pgSz w:w="11906" w:h="16838" w:orient="portrait"/>
      <w:pgMar w:top="1418" w:right="1418" w:bottom="1418"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Microsoft JhengHei UI">
    <w:panose1 w:val="020B0604030504040204"/>
  </w:font>
  <w:font w:name="仿宋">
    <w:panose1 w:val="02010609060101010101"/>
  </w:font>
  <w:font w:name="Symbol">
    <w:panose1 w:val="05050102010706020507"/>
  </w:font>
  <w:font w:name="楷体">
    <w:panose1 w:val="02010609060101010101"/>
  </w:font>
  <w:font w:name="仿宋_GB2312">
    <w:panose1 w:val="02010609060101010101"/>
  </w:font>
  <w:font w:name="黑体">
    <w:panose1 w:val="02010609060101010101"/>
  </w:font>
  <w:font w:name="华文彩云">
    <w:panose1 w:val="02010800040101010101"/>
  </w:font>
  <w:font w:name="Calibri Light">
    <w:panose1 w:val="020F030202020403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8"/>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t xml:space="preserve">第 </w:t>
                          </w:r>
                          <w:r>
                            <w:fldChar w:fldCharType="begin"/>
                          </w:r>
                          <w:r>
                            <w:instrText xml:space="preserve"> PAGE  \* MERGEFORMAT </w:instrText>
                          </w:r>
                          <w:r>
                            <w:fldChar w:fldCharType="separate"/>
                          </w:r>
                          <w:r>
                            <w:t xml:space="preserve">32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8"/>
                    </w:pPr>
                    <w:r>
                      <w:t xml:space="preserve">第 </w:t>
                    </w:r>
                    <w:r>
                      <w:fldChar w:fldCharType="begin"/>
                    </w:r>
                    <w:r>
                      <w:instrText xml:space="preserve"> PAGE  \* MERGEFORMAT </w:instrText>
                    </w:r>
                    <w:r>
                      <w:fldChar w:fldCharType="separate"/>
                    </w:r>
                    <w:r>
                      <w:t xml:space="preserve">32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right"/>
      <w:rPr>
        <w:rFonts w:ascii="Times New Roman" w:hAnsi="Times New Roman" w:cs="Times New Roman"/>
        <w:sz w:val="21"/>
        <w:szCs w:val="21"/>
      </w:rPr>
    </w:pPr>
    <w:r>
      <w:rPr>
        <w:rFonts w:hint="eastAsia" w:ascii="Times New Roman" w:hAnsi="Times New Roman" w:cs="Times New Roman"/>
        <w:sz w:val="21"/>
      </w:rPr>
      <w:t xml:space="preserve">省厅清河路9号办公点综合楼中央空调更新项目</w:t>
    </w:r>
    <w:r>
      <w:rPr>
        <w:rFonts w:ascii="Times New Roman" w:hAnsi="Times New Roman" w:cs="Times New Roman"/>
        <w:sz w:val="21"/>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Fonts w:ascii="Times New Roman" w:hAnsi="Times New Roman" w:cs="Times New Roman"/>
      </w:rPr>
    </w:pPr>
    <w:r>
      <w:rPr>
        <w:rFonts w:hint="eastAsia" w:ascii="Times New Roman" w:hAnsi="Times New Roman" w:cs="Times New Roman"/>
        <w:sz w:val="21"/>
        <w:lang w:val="en-US" w:eastAsia="zh-CN"/>
      </w:rPr>
      <w:t xml:space="preserve">                               </w:t>
    </w:r>
    <w:r>
      <w:rPr>
        <w:rFonts w:hint="eastAsia" w:ascii="Times New Roman" w:hAnsi="Times New Roman" w:cs="Times New Roman"/>
        <w:sz w:val="21"/>
      </w:rPr>
      <w:t xml:space="preserve">省厅清河路9号办公点综合楼中央空调更新项目</w:t>
    </w:r>
    <w:r>
      <w:rPr>
        <w:rFonts w:ascii="Times New Roman" w:hAnsi="Times New Roman" w:cs="Times New Roman"/>
        <w:sz w:val="21"/>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9">
    <w:name w:val="Heading 1 Char"/>
    <w:basedOn w:val="919"/>
    <w:link w:val="915"/>
    <w:uiPriority w:val="9"/>
    <w:rPr>
      <w:rFonts w:ascii="Arial" w:hAnsi="Arial" w:eastAsia="Arial" w:cs="Arial"/>
      <w:sz w:val="40"/>
      <w:szCs w:val="40"/>
    </w:rPr>
  </w:style>
  <w:style w:type="character" w:styleId="750">
    <w:name w:val="Heading 2 Char"/>
    <w:basedOn w:val="919"/>
    <w:link w:val="916"/>
    <w:uiPriority w:val="9"/>
    <w:rPr>
      <w:rFonts w:ascii="Arial" w:hAnsi="Arial" w:eastAsia="Arial" w:cs="Arial"/>
      <w:sz w:val="34"/>
    </w:rPr>
  </w:style>
  <w:style w:type="character" w:styleId="751">
    <w:name w:val="Heading 3 Char"/>
    <w:basedOn w:val="919"/>
    <w:link w:val="917"/>
    <w:uiPriority w:val="9"/>
    <w:rPr>
      <w:rFonts w:ascii="Arial" w:hAnsi="Arial" w:eastAsia="Arial" w:cs="Arial"/>
      <w:sz w:val="30"/>
      <w:szCs w:val="30"/>
    </w:rPr>
  </w:style>
  <w:style w:type="character" w:styleId="752">
    <w:name w:val="Heading 4 Char"/>
    <w:basedOn w:val="919"/>
    <w:link w:val="918"/>
    <w:uiPriority w:val="9"/>
    <w:rPr>
      <w:rFonts w:ascii="Arial" w:hAnsi="Arial" w:eastAsia="Arial" w:cs="Arial"/>
      <w:b/>
      <w:bCs/>
      <w:sz w:val="26"/>
      <w:szCs w:val="26"/>
    </w:rPr>
  </w:style>
  <w:style w:type="paragraph" w:styleId="753">
    <w:name w:val="Heading 5"/>
    <w:basedOn w:val="914"/>
    <w:next w:val="914"/>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basedOn w:val="919"/>
    <w:link w:val="753"/>
    <w:uiPriority w:val="9"/>
    <w:rPr>
      <w:rFonts w:ascii="Arial" w:hAnsi="Arial" w:eastAsia="Arial" w:cs="Arial"/>
      <w:b/>
      <w:bCs/>
      <w:sz w:val="24"/>
      <w:szCs w:val="24"/>
    </w:rPr>
  </w:style>
  <w:style w:type="paragraph" w:styleId="755">
    <w:name w:val="Heading 6"/>
    <w:basedOn w:val="914"/>
    <w:next w:val="914"/>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basedOn w:val="919"/>
    <w:link w:val="755"/>
    <w:uiPriority w:val="9"/>
    <w:rPr>
      <w:rFonts w:ascii="Arial" w:hAnsi="Arial" w:eastAsia="Arial" w:cs="Arial"/>
      <w:b/>
      <w:bCs/>
      <w:sz w:val="22"/>
      <w:szCs w:val="22"/>
    </w:rPr>
  </w:style>
  <w:style w:type="paragraph" w:styleId="757">
    <w:name w:val="Heading 7"/>
    <w:basedOn w:val="914"/>
    <w:next w:val="914"/>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basedOn w:val="919"/>
    <w:link w:val="757"/>
    <w:uiPriority w:val="9"/>
    <w:rPr>
      <w:rFonts w:ascii="Arial" w:hAnsi="Arial" w:eastAsia="Arial" w:cs="Arial"/>
      <w:b/>
      <w:bCs/>
      <w:i/>
      <w:iCs/>
      <w:sz w:val="22"/>
      <w:szCs w:val="22"/>
    </w:rPr>
  </w:style>
  <w:style w:type="paragraph" w:styleId="759">
    <w:name w:val="Heading 8"/>
    <w:basedOn w:val="914"/>
    <w:next w:val="914"/>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basedOn w:val="919"/>
    <w:link w:val="759"/>
    <w:uiPriority w:val="9"/>
    <w:rPr>
      <w:rFonts w:ascii="Arial" w:hAnsi="Arial" w:eastAsia="Arial" w:cs="Arial"/>
      <w:i/>
      <w:iCs/>
      <w:sz w:val="22"/>
      <w:szCs w:val="22"/>
    </w:rPr>
  </w:style>
  <w:style w:type="paragraph" w:styleId="761">
    <w:name w:val="Heading 9"/>
    <w:basedOn w:val="914"/>
    <w:next w:val="914"/>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basedOn w:val="919"/>
    <w:link w:val="761"/>
    <w:uiPriority w:val="9"/>
    <w:rPr>
      <w:rFonts w:ascii="Arial" w:hAnsi="Arial" w:eastAsia="Arial" w:cs="Arial"/>
      <w:i/>
      <w:iCs/>
      <w:sz w:val="21"/>
      <w:szCs w:val="21"/>
    </w:rPr>
  </w:style>
  <w:style w:type="paragraph" w:styleId="763">
    <w:name w:val="No Spacing"/>
    <w:uiPriority w:val="1"/>
    <w:qFormat/>
    <w:pPr>
      <w:spacing w:before="0" w:after="0" w:line="240" w:lineRule="auto"/>
    </w:pPr>
  </w:style>
  <w:style w:type="paragraph" w:styleId="764">
    <w:name w:val="Title"/>
    <w:basedOn w:val="914"/>
    <w:next w:val="914"/>
    <w:link w:val="765"/>
    <w:uiPriority w:val="10"/>
    <w:qFormat/>
    <w:pPr>
      <w:contextualSpacing/>
      <w:spacing w:before="300" w:after="200"/>
    </w:pPr>
    <w:rPr>
      <w:sz w:val="48"/>
      <w:szCs w:val="48"/>
    </w:rPr>
  </w:style>
  <w:style w:type="character" w:styleId="765">
    <w:name w:val="Title Char"/>
    <w:basedOn w:val="919"/>
    <w:link w:val="764"/>
    <w:uiPriority w:val="10"/>
    <w:rPr>
      <w:sz w:val="48"/>
      <w:szCs w:val="48"/>
    </w:rPr>
  </w:style>
  <w:style w:type="paragraph" w:styleId="766">
    <w:name w:val="Subtitle"/>
    <w:basedOn w:val="914"/>
    <w:next w:val="914"/>
    <w:link w:val="767"/>
    <w:uiPriority w:val="11"/>
    <w:qFormat/>
    <w:pPr>
      <w:spacing w:before="200" w:after="200"/>
    </w:pPr>
    <w:rPr>
      <w:sz w:val="24"/>
      <w:szCs w:val="24"/>
    </w:rPr>
  </w:style>
  <w:style w:type="character" w:styleId="767">
    <w:name w:val="Subtitle Char"/>
    <w:basedOn w:val="919"/>
    <w:link w:val="766"/>
    <w:uiPriority w:val="11"/>
    <w:rPr>
      <w:sz w:val="24"/>
      <w:szCs w:val="24"/>
    </w:rPr>
  </w:style>
  <w:style w:type="paragraph" w:styleId="768">
    <w:name w:val="Quote"/>
    <w:basedOn w:val="914"/>
    <w:next w:val="914"/>
    <w:link w:val="769"/>
    <w:uiPriority w:val="29"/>
    <w:qFormat/>
    <w:pPr>
      <w:ind w:left="720" w:right="720"/>
    </w:pPr>
    <w:rPr>
      <w:i/>
    </w:rPr>
  </w:style>
  <w:style w:type="character" w:styleId="769">
    <w:name w:val="Quote Char"/>
    <w:link w:val="768"/>
    <w:uiPriority w:val="29"/>
    <w:rPr>
      <w:i/>
    </w:rPr>
  </w:style>
  <w:style w:type="paragraph" w:styleId="770">
    <w:name w:val="Intense Quote"/>
    <w:basedOn w:val="914"/>
    <w:next w:val="914"/>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Intense Quote Char"/>
    <w:link w:val="770"/>
    <w:uiPriority w:val="30"/>
    <w:rPr>
      <w:i/>
    </w:rPr>
  </w:style>
  <w:style w:type="character" w:styleId="772">
    <w:name w:val="Header Char"/>
    <w:basedOn w:val="919"/>
    <w:link w:val="939"/>
    <w:uiPriority w:val="99"/>
  </w:style>
  <w:style w:type="character" w:styleId="773">
    <w:name w:val="Footer Char"/>
    <w:basedOn w:val="919"/>
    <w:link w:val="938"/>
    <w:uiPriority w:val="99"/>
  </w:style>
  <w:style w:type="paragraph" w:styleId="774">
    <w:name w:val="Caption"/>
    <w:basedOn w:val="914"/>
    <w:next w:val="914"/>
    <w:uiPriority w:val="35"/>
    <w:semiHidden/>
    <w:unhideWhenUsed/>
    <w:qFormat/>
    <w:pPr>
      <w:spacing w:line="276" w:lineRule="auto"/>
    </w:pPr>
    <w:rPr>
      <w:b/>
      <w:bCs/>
      <w:color w:val="4f81bd" w:themeColor="accent1"/>
      <w:sz w:val="18"/>
      <w:szCs w:val="18"/>
    </w:rPr>
  </w:style>
  <w:style w:type="character" w:styleId="775">
    <w:name w:val="Caption Char"/>
    <w:basedOn w:val="774"/>
    <w:link w:val="938"/>
    <w:uiPriority w:val="99"/>
  </w:style>
  <w:style w:type="table" w:styleId="776">
    <w:name w:val="Table Grid Light"/>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basedOn w:val="9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basedOn w:val="9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basedOn w:val="9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basedOn w:val="9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basedOn w:val="9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basedOn w:val="9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basedOn w:val="9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basedOn w:val="9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basedOn w:val="9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basedOn w:val="9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basedOn w:val="9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basedOn w:val="9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basedOn w:val="9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basedOn w:val="9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basedOn w:val="9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basedOn w:val="9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basedOn w:val="9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basedOn w:val="9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basedOn w:val="9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basedOn w:val="9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basedOn w:val="9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basedOn w:val="9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basedOn w:val="9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basedOn w:val="9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basedOn w:val="9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basedOn w:val="9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basedOn w:val="9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basedOn w:val="9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basedOn w:val="9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basedOn w:val="9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basedOn w:val="9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basedOn w:val="9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basedOn w:val="9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basedOn w:val="9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basedOn w:val="9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basedOn w:val="9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basedOn w:val="9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basedOn w:val="9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basedOn w:val="9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basedOn w:val="9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basedOn w:val="9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basedOn w:val="9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basedOn w:val="9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basedOn w:val="9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basedOn w:val="9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basedOn w:val="9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basedOn w:val="9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basedOn w:val="9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basedOn w:val="9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basedOn w:val="9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basedOn w:val="9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basedOn w:val="9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basedOn w:val="9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basedOn w:val="9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basedOn w:val="9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basedOn w:val="9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basedOn w:val="9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basedOn w:val="9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basedOn w:val="9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basedOn w:val="9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basedOn w:val="9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basedOn w:val="9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Footnote Text Char"/>
    <w:link w:val="941"/>
    <w:uiPriority w:val="99"/>
    <w:rPr>
      <w:sz w:val="18"/>
    </w:rPr>
  </w:style>
  <w:style w:type="character" w:styleId="902">
    <w:name w:val="footnote reference"/>
    <w:basedOn w:val="919"/>
    <w:uiPriority w:val="99"/>
    <w:unhideWhenUsed/>
    <w:rPr>
      <w:vertAlign w:val="superscript"/>
    </w:rPr>
  </w:style>
  <w:style w:type="paragraph" w:styleId="903">
    <w:name w:val="endnote text"/>
    <w:basedOn w:val="914"/>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basedOn w:val="919"/>
    <w:uiPriority w:val="99"/>
    <w:semiHidden/>
    <w:unhideWhenUsed/>
    <w:rPr>
      <w:vertAlign w:val="superscript"/>
    </w:rPr>
  </w:style>
  <w:style w:type="paragraph" w:styleId="906">
    <w:name w:val="toc 4"/>
    <w:basedOn w:val="914"/>
    <w:next w:val="914"/>
    <w:uiPriority w:val="39"/>
    <w:unhideWhenUsed/>
    <w:pPr>
      <w:ind w:left="850" w:right="0" w:firstLine="0"/>
      <w:spacing w:after="57"/>
    </w:pPr>
  </w:style>
  <w:style w:type="paragraph" w:styleId="907">
    <w:name w:val="toc 5"/>
    <w:basedOn w:val="914"/>
    <w:next w:val="914"/>
    <w:uiPriority w:val="39"/>
    <w:unhideWhenUsed/>
    <w:pPr>
      <w:ind w:left="1134" w:right="0" w:firstLine="0"/>
      <w:spacing w:after="57"/>
    </w:pPr>
  </w:style>
  <w:style w:type="paragraph" w:styleId="908">
    <w:name w:val="toc 6"/>
    <w:basedOn w:val="914"/>
    <w:next w:val="914"/>
    <w:uiPriority w:val="39"/>
    <w:unhideWhenUsed/>
    <w:pPr>
      <w:ind w:left="1417" w:right="0" w:firstLine="0"/>
      <w:spacing w:after="57"/>
    </w:pPr>
  </w:style>
  <w:style w:type="paragraph" w:styleId="909">
    <w:name w:val="toc 7"/>
    <w:basedOn w:val="914"/>
    <w:next w:val="914"/>
    <w:uiPriority w:val="39"/>
    <w:unhideWhenUsed/>
    <w:pPr>
      <w:ind w:left="1701" w:right="0" w:firstLine="0"/>
      <w:spacing w:after="57"/>
    </w:pPr>
  </w:style>
  <w:style w:type="paragraph" w:styleId="910">
    <w:name w:val="toc 8"/>
    <w:basedOn w:val="914"/>
    <w:next w:val="914"/>
    <w:uiPriority w:val="39"/>
    <w:unhideWhenUsed/>
    <w:pPr>
      <w:ind w:left="1984" w:right="0" w:firstLine="0"/>
      <w:spacing w:after="57"/>
    </w:pPr>
  </w:style>
  <w:style w:type="paragraph" w:styleId="911">
    <w:name w:val="toc 9"/>
    <w:basedOn w:val="914"/>
    <w:next w:val="914"/>
    <w:uiPriority w:val="39"/>
    <w:unhideWhenUsed/>
    <w:pPr>
      <w:ind w:left="2268" w:right="0" w:firstLine="0"/>
      <w:spacing w:after="57"/>
    </w:pPr>
  </w:style>
  <w:style w:type="paragraph" w:styleId="912">
    <w:name w:val="TOC Heading"/>
    <w:uiPriority w:val="39"/>
    <w:unhideWhenUsed/>
  </w:style>
  <w:style w:type="paragraph" w:styleId="913">
    <w:name w:val="table of figures"/>
    <w:basedOn w:val="914"/>
    <w:next w:val="914"/>
    <w:uiPriority w:val="99"/>
    <w:unhideWhenUsed/>
    <w:pPr>
      <w:spacing w:after="0" w:afterAutospacing="0"/>
    </w:pPr>
  </w:style>
  <w:style w:type="paragraph" w:styleId="914" w:default="1">
    <w:name w:val="Normal"/>
    <w:next w:val="921"/>
    <w:link w:val="973"/>
    <w:uiPriority w:val="0"/>
    <w:qFormat/>
    <w:pPr>
      <w:jc w:val="both"/>
      <w:widowControl w:val="off"/>
    </w:pPr>
    <w:rPr>
      <w:rFonts w:ascii="Calibri" w:hAnsi="Calibri" w:eastAsia="宋体" w:cs="Arial"/>
      <w:sz w:val="21"/>
      <w:szCs w:val="22"/>
      <w:lang w:val="en-US" w:eastAsia="zh-CN" w:bidi="ar-SA"/>
    </w:rPr>
  </w:style>
  <w:style w:type="paragraph" w:styleId="915">
    <w:name w:val="Heading 1"/>
    <w:basedOn w:val="914"/>
    <w:next w:val="914"/>
    <w:uiPriority w:val="0"/>
    <w:qFormat/>
    <w:pPr>
      <w:keepLines/>
      <w:keepNext/>
      <w:spacing w:before="340" w:after="330" w:line="578" w:lineRule="auto"/>
      <w:outlineLvl w:val="0"/>
    </w:pPr>
    <w:rPr>
      <w:b/>
      <w:bCs/>
      <w:sz w:val="44"/>
      <w:szCs w:val="44"/>
    </w:rPr>
  </w:style>
  <w:style w:type="paragraph" w:styleId="916">
    <w:name w:val="Heading 2"/>
    <w:basedOn w:val="914"/>
    <w:next w:val="914"/>
    <w:uiPriority w:val="0"/>
    <w:qFormat/>
    <w:pPr>
      <w:jc w:val="center"/>
      <w:keepLines/>
      <w:keepNext/>
      <w:spacing w:before="260" w:after="260" w:line="415" w:lineRule="auto"/>
      <w:outlineLvl w:val="1"/>
    </w:pPr>
    <w:rPr>
      <w:rFonts w:ascii="Arial" w:hAnsi="Arial"/>
      <w:b/>
      <w:bCs/>
      <w:sz w:val="44"/>
      <w:szCs w:val="44"/>
    </w:rPr>
  </w:style>
  <w:style w:type="paragraph" w:styleId="917">
    <w:name w:val="Heading 3"/>
    <w:basedOn w:val="914"/>
    <w:next w:val="914"/>
    <w:uiPriority w:val="0"/>
    <w:qFormat/>
    <w:pPr>
      <w:keepLines/>
      <w:keepNext/>
      <w:spacing w:before="260" w:after="260" w:line="413" w:lineRule="auto"/>
      <w:outlineLvl w:val="2"/>
    </w:pPr>
    <w:rPr>
      <w:b/>
      <w:sz w:val="32"/>
    </w:rPr>
  </w:style>
  <w:style w:type="paragraph" w:styleId="918">
    <w:name w:val="Heading 4"/>
    <w:basedOn w:val="914"/>
    <w:next w:val="914"/>
    <w:uiPriority w:val="0"/>
    <w:qFormat/>
    <w:pPr>
      <w:keepLines/>
      <w:keepNext/>
      <w:spacing w:before="280" w:after="290" w:line="377" w:lineRule="auto"/>
      <w:outlineLvl w:val="3"/>
    </w:pPr>
    <w:rPr>
      <w:rFonts w:ascii="Calibri Light" w:hAnsi="Calibri Light" w:cs="Times New Roman"/>
      <w:b/>
      <w:bCs/>
      <w:sz w:val="28"/>
      <w:szCs w:val="28"/>
    </w:rPr>
  </w:style>
  <w:style w:type="character" w:styleId="919" w:default="1">
    <w:name w:val="Default Paragraph Font"/>
    <w:uiPriority w:val="1"/>
    <w:semiHidden/>
    <w:unhideWhenUsed/>
    <w:qFormat/>
  </w:style>
  <w:style w:type="table" w:styleId="920" w:default="1">
    <w:name w:val="Normal Table"/>
    <w:uiPriority w:val="99"/>
    <w:semiHidden/>
    <w:unhideWhenUsed/>
    <w:qFormat/>
    <w:tblPr>
      <w:tblCellMar>
        <w:left w:w="108" w:type="dxa"/>
        <w:top w:w="0" w:type="dxa"/>
        <w:right w:w="108" w:type="dxa"/>
        <w:bottom w:w="0" w:type="dxa"/>
      </w:tblCellMar>
    </w:tblPr>
  </w:style>
  <w:style w:type="paragraph" w:styleId="921" w:customStyle="1">
    <w:name w:val="正文文本11"/>
    <w:next w:val="922"/>
    <w:uiPriority w:val="99"/>
    <w:qFormat/>
    <w:pPr>
      <w:jc w:val="both"/>
      <w:spacing w:line="500" w:lineRule="exact"/>
      <w:widowControl w:val="off"/>
      <w:tabs>
        <w:tab w:val="left" w:pos="2020" w:leader="none"/>
        <w:tab w:val="center" w:pos="4535" w:leader="none"/>
      </w:tabs>
      <w:outlineLvl w:val="0"/>
    </w:pPr>
    <w:rPr>
      <w:rFonts w:hint="default" w:ascii="华文彩云" w:hAnsi="宋体" w:eastAsia="华文彩云" w:cs="Times New Roman"/>
      <w:bCs/>
      <w:color w:val="000000"/>
      <w:sz w:val="28"/>
      <w:szCs w:val="24"/>
      <w:lang w:val="en-US" w:eastAsia="zh-CN" w:bidi="ar-SA"/>
    </w:rPr>
  </w:style>
  <w:style w:type="paragraph" w:styleId="922" w:customStyle="1">
    <w:name w:val="目录 21"/>
    <w:basedOn w:val="914"/>
    <w:next w:val="914"/>
    <w:uiPriority w:val="39"/>
    <w:unhideWhenUsed/>
    <w:qFormat/>
    <w:pPr>
      <w:ind w:left="420"/>
    </w:pPr>
    <w:rPr>
      <w:rFonts w:hint="default"/>
      <w:sz w:val="21"/>
      <w:szCs w:val="21"/>
    </w:rPr>
  </w:style>
  <w:style w:type="paragraph" w:styleId="923">
    <w:name w:val="Normal Indent"/>
    <w:basedOn w:val="914"/>
    <w:uiPriority w:val="0"/>
    <w:qFormat/>
    <w:pPr>
      <w:ind w:firstLine="420"/>
    </w:pPr>
    <w:rPr>
      <w:rFonts w:ascii="Times New Roman" w:hAnsi="Times New Roman" w:cs="Times New Roman"/>
      <w:szCs w:val="20"/>
    </w:rPr>
  </w:style>
  <w:style w:type="paragraph" w:styleId="924">
    <w:name w:val="index 5"/>
    <w:next w:val="914"/>
    <w:uiPriority w:val="0"/>
    <w:qFormat/>
    <w:pPr>
      <w:ind w:left="380"/>
      <w:widowControl w:val="off"/>
    </w:pPr>
    <w:rPr>
      <w:rFonts w:ascii="Calibri" w:hAnsi="Calibri" w:eastAsia="宋体" w:cs="Times New Roman"/>
      <w:sz w:val="21"/>
      <w:szCs w:val="24"/>
      <w:lang w:val="en-US" w:eastAsia="zh-CN" w:bidi="ar-SA"/>
    </w:rPr>
  </w:style>
  <w:style w:type="paragraph" w:styleId="925">
    <w:name w:val="annotation text"/>
    <w:basedOn w:val="914"/>
    <w:uiPriority w:val="0"/>
    <w:qFormat/>
    <w:pPr>
      <w:jc w:val="left"/>
    </w:pPr>
    <w:rPr>
      <w:rFonts w:ascii="Times New Roman" w:hAnsi="Times New Roman" w:cs="Times New Roman"/>
      <w:szCs w:val="20"/>
    </w:rPr>
  </w:style>
  <w:style w:type="paragraph" w:styleId="926">
    <w:name w:val="Body Text 3"/>
    <w:basedOn w:val="914"/>
    <w:uiPriority w:val="0"/>
    <w:qFormat/>
    <w:pPr>
      <w:spacing w:after="120"/>
    </w:pPr>
    <w:rPr>
      <w:rFonts w:ascii="Times New Roman" w:hAnsi="Times New Roman" w:cs="Times New Roman"/>
      <w:sz w:val="16"/>
      <w:szCs w:val="16"/>
    </w:rPr>
  </w:style>
  <w:style w:type="paragraph" w:styleId="927">
    <w:name w:val="Body Text"/>
    <w:basedOn w:val="914"/>
    <w:next w:val="928"/>
    <w:uiPriority w:val="0"/>
    <w:qFormat/>
    <w:pPr>
      <w:spacing w:after="120"/>
    </w:pPr>
  </w:style>
  <w:style w:type="paragraph" w:styleId="928" w:customStyle="1">
    <w:name w:val="一级条标题"/>
    <w:next w:val="929"/>
    <w:uiPriority w:val="0"/>
    <w:qFormat/>
    <w:pPr>
      <w:ind w:left="907" w:hanging="907"/>
      <w:jc w:val="both"/>
      <w:tabs>
        <w:tab w:val="left" w:pos="810" w:leader="none"/>
        <w:tab w:val="left" w:pos="907" w:leader="none"/>
        <w:tab w:val="left" w:pos="1265" w:leader="none"/>
      </w:tabs>
      <w:outlineLvl w:val="2"/>
    </w:pPr>
    <w:rPr>
      <w:rFonts w:ascii="黑体" w:hAnsi="Times New Roman" w:eastAsia="黑体" w:cs="Times New Roman"/>
      <w:lang w:val="en-US" w:eastAsia="zh-CN" w:bidi="ar-SA"/>
    </w:rPr>
  </w:style>
  <w:style w:type="paragraph" w:styleId="929" w:customStyle="1">
    <w:name w:val="段"/>
    <w:next w:val="914"/>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30">
    <w:name w:val="Body Text Indent"/>
    <w:basedOn w:val="914"/>
    <w:next w:val="931"/>
    <w:uiPriority w:val="0"/>
    <w:qFormat/>
    <w:pPr>
      <w:ind w:left="900"/>
      <w:spacing w:after="120" w:line="360" w:lineRule="atLeast"/>
    </w:pPr>
    <w:rPr>
      <w:rFonts w:ascii="楷体" w:eastAsia="楷体" w:cs="Times New Roman"/>
      <w:sz w:val="28"/>
      <w:szCs w:val="20"/>
    </w:rPr>
  </w:style>
  <w:style w:type="paragraph" w:styleId="931">
    <w:name w:val="envelope return"/>
    <w:basedOn w:val="914"/>
    <w:uiPriority w:val="0"/>
    <w:qFormat/>
    <w:rPr>
      <w:rFonts w:ascii="Arial" w:hAnsi="Arial"/>
    </w:rPr>
  </w:style>
  <w:style w:type="paragraph" w:styleId="932">
    <w:name w:val="Block Text"/>
    <w:uiPriority w:val="0"/>
    <w:qFormat/>
    <w:pPr>
      <w:ind w:left="3600" w:right="-288" w:hanging="2880"/>
      <w:jc w:val="both"/>
      <w:spacing w:after="100"/>
      <w:widowControl w:val="off"/>
      <w:tabs>
        <w:tab w:val="left" w:pos="1440" w:leader="none"/>
      </w:tabs>
    </w:pPr>
    <w:rPr>
      <w:rFonts w:ascii="Times New Roman" w:hAnsi="Times New Roman" w:eastAsia="宋体" w:cs="Times New Roman"/>
      <w:sz w:val="22"/>
      <w:lang w:val="en-US" w:eastAsia="zh-CN" w:bidi="ar-SA"/>
    </w:rPr>
  </w:style>
  <w:style w:type="paragraph" w:styleId="933">
    <w:name w:val="index 4"/>
    <w:next w:val="914"/>
    <w:uiPriority w:val="0"/>
    <w:unhideWhenUsed/>
    <w:qFormat/>
    <w:pPr>
      <w:ind w:left="600"/>
      <w:jc w:val="both"/>
      <w:widowControl w:val="off"/>
    </w:pPr>
    <w:rPr>
      <w:rFonts w:ascii="Times New Roman" w:hAnsi="Times New Roman" w:eastAsia="宋体" w:cs="Times New Roman"/>
      <w:sz w:val="21"/>
      <w:szCs w:val="24"/>
      <w:lang w:val="en-US" w:eastAsia="zh-CN" w:bidi="ar-SA"/>
    </w:rPr>
  </w:style>
  <w:style w:type="paragraph" w:styleId="934">
    <w:name w:val="toc 3"/>
    <w:basedOn w:val="914"/>
    <w:next w:val="914"/>
    <w:uiPriority w:val="0"/>
    <w:qFormat/>
    <w:pPr>
      <w:ind w:left="440"/>
      <w:jc w:val="left"/>
      <w:spacing w:after="100" w:line="259" w:lineRule="auto"/>
      <w:widowControl/>
    </w:pPr>
    <w:rPr>
      <w:rFonts w:ascii="Times New Roman" w:hAnsi="Times New Roman" w:cs="Times New Roman"/>
      <w:sz w:val="22"/>
    </w:rPr>
  </w:style>
  <w:style w:type="paragraph" w:styleId="935">
    <w:name w:val="Plain Text"/>
    <w:basedOn w:val="914"/>
    <w:uiPriority w:val="0"/>
    <w:qFormat/>
    <w:rPr>
      <w:rFonts w:ascii="宋体" w:cs="Times New Roman"/>
      <w:szCs w:val="20"/>
    </w:rPr>
  </w:style>
  <w:style w:type="paragraph" w:styleId="936">
    <w:name w:val="Date"/>
    <w:basedOn w:val="914"/>
    <w:next w:val="914"/>
    <w:uiPriority w:val="0"/>
    <w:qFormat/>
    <w:pPr>
      <w:ind w:left="2500"/>
    </w:pPr>
  </w:style>
  <w:style w:type="paragraph" w:styleId="937">
    <w:name w:val="Balloon Text"/>
    <w:basedOn w:val="914"/>
    <w:uiPriority w:val="0"/>
    <w:qFormat/>
    <w:rPr>
      <w:sz w:val="18"/>
      <w:szCs w:val="18"/>
    </w:rPr>
  </w:style>
  <w:style w:type="paragraph" w:styleId="938">
    <w:name w:val="Footer"/>
    <w:basedOn w:val="914"/>
    <w:uiPriority w:val="0"/>
    <w:qFormat/>
    <w:pPr>
      <w:jc w:val="left"/>
      <w:tabs>
        <w:tab w:val="center" w:pos="4153" w:leader="none"/>
        <w:tab w:val="right" w:pos="8306" w:leader="none"/>
      </w:tabs>
    </w:pPr>
    <w:rPr>
      <w:sz w:val="18"/>
      <w:szCs w:val="18"/>
    </w:rPr>
  </w:style>
  <w:style w:type="paragraph" w:styleId="939">
    <w:name w:val="Header"/>
    <w:basedOn w:val="914"/>
    <w:uiPriority w:val="0"/>
    <w:qFormat/>
    <w:pPr>
      <w:jc w:val="center"/>
      <w:tabs>
        <w:tab w:val="center" w:pos="4153" w:leader="none"/>
        <w:tab w:val="right" w:pos="8306" w:leader="none"/>
      </w:tabs>
      <w:pBdr>
        <w:bottom w:val="single" w:color="auto" w:sz="6" w:space="1"/>
      </w:pBdr>
    </w:pPr>
    <w:rPr>
      <w:sz w:val="18"/>
      <w:szCs w:val="18"/>
    </w:rPr>
  </w:style>
  <w:style w:type="paragraph" w:styleId="940">
    <w:name w:val="toc 1"/>
    <w:basedOn w:val="914"/>
    <w:next w:val="914"/>
    <w:uiPriority w:val="0"/>
    <w:qFormat/>
    <w:pPr>
      <w:jc w:val="left"/>
      <w:spacing w:line="360" w:lineRule="auto"/>
      <w:widowControl/>
      <w:tabs>
        <w:tab w:val="right" w:pos="8777" w:leader="dot"/>
      </w:tabs>
    </w:pPr>
    <w:rPr>
      <w:rFonts w:ascii="Times New Roman" w:hAnsi="Times New Roman" w:eastAsia="黑体" w:cs="Times New Roman"/>
      <w:sz w:val="24"/>
    </w:rPr>
  </w:style>
  <w:style w:type="paragraph" w:styleId="941">
    <w:name w:val="footnote text"/>
    <w:next w:val="924"/>
    <w:uiPriority w:val="0"/>
    <w:qFormat/>
    <w:pPr>
      <w:widowControl w:val="off"/>
    </w:pPr>
    <w:rPr>
      <w:rFonts w:ascii="Calibri" w:hAnsi="Calibri" w:eastAsia="宋体" w:cs="Times New Roman"/>
      <w:sz w:val="18"/>
      <w:szCs w:val="24"/>
      <w:lang w:val="en-US" w:eastAsia="zh-CN" w:bidi="ar-SA"/>
    </w:rPr>
  </w:style>
  <w:style w:type="paragraph" w:styleId="942">
    <w:name w:val="index 9"/>
    <w:basedOn w:val="914"/>
    <w:next w:val="914"/>
    <w:uiPriority w:val="0"/>
    <w:qFormat/>
    <w:pPr>
      <w:ind w:left="1600"/>
      <w:widowControl/>
    </w:pPr>
    <w:rPr>
      <w:rFonts w:ascii="Times New Roman" w:hAnsi="Times New Roman" w:cs="Times New Roman"/>
      <w:szCs w:val="21"/>
    </w:rPr>
  </w:style>
  <w:style w:type="paragraph" w:styleId="943">
    <w:name w:val="toc 2"/>
    <w:basedOn w:val="914"/>
    <w:next w:val="914"/>
    <w:uiPriority w:val="0"/>
    <w:qFormat/>
    <w:pPr>
      <w:ind w:left="221"/>
      <w:jc w:val="left"/>
      <w:spacing w:line="360" w:lineRule="auto"/>
      <w:widowControl/>
    </w:pPr>
    <w:rPr>
      <w:rFonts w:ascii="Times New Roman" w:hAnsi="Times New Roman" w:cs="Times New Roman"/>
      <w:sz w:val="22"/>
    </w:rPr>
  </w:style>
  <w:style w:type="paragraph" w:styleId="944">
    <w:name w:val="Normal (Web)"/>
    <w:basedOn w:val="914"/>
    <w:uiPriority w:val="0"/>
    <w:qFormat/>
    <w:pPr>
      <w:jc w:val="left"/>
      <w:spacing w:before="100" w:beforeAutospacing="1" w:after="100" w:afterAutospacing="1"/>
      <w:widowControl/>
    </w:pPr>
    <w:rPr>
      <w:rFonts w:ascii="宋体" w:cs="宋体"/>
      <w:sz w:val="24"/>
      <w:szCs w:val="24"/>
    </w:rPr>
  </w:style>
  <w:style w:type="paragraph" w:styleId="945">
    <w:name w:val="annotation subject"/>
    <w:basedOn w:val="925"/>
    <w:next w:val="925"/>
    <w:uiPriority w:val="0"/>
    <w:qFormat/>
    <w:rPr>
      <w:rFonts w:ascii="Calibri" w:hAnsi="Calibri" w:cs="Arial"/>
      <w:b/>
      <w:bCs/>
      <w:szCs w:val="22"/>
    </w:rPr>
  </w:style>
  <w:style w:type="paragraph" w:styleId="946">
    <w:name w:val="Body Text First Indent"/>
    <w:basedOn w:val="927"/>
    <w:uiPriority w:val="0"/>
    <w:qFormat/>
    <w:pPr>
      <w:ind w:firstLine="100"/>
    </w:pPr>
    <w:rPr>
      <w:rFonts w:cs="Times New Roman"/>
      <w:szCs w:val="24"/>
    </w:rPr>
  </w:style>
  <w:style w:type="paragraph" w:styleId="947">
    <w:name w:val="Body Text First Indent 2"/>
    <w:basedOn w:val="930"/>
    <w:next w:val="914"/>
    <w:uiPriority w:val="0"/>
    <w:qFormat/>
    <w:pPr>
      <w:spacing w:line="480" w:lineRule="auto"/>
    </w:pPr>
    <w:rPr>
      <w:sz w:val="24"/>
    </w:rPr>
  </w:style>
  <w:style w:type="table" w:styleId="948">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9">
    <w:name w:val="Strong"/>
    <w:uiPriority w:val="0"/>
    <w:qFormat/>
    <w:rPr>
      <w:b/>
      <w:bCs/>
    </w:rPr>
  </w:style>
  <w:style w:type="character" w:styleId="950">
    <w:name w:val="Hyperlink"/>
    <w:basedOn w:val="919"/>
    <w:uiPriority w:val="0"/>
    <w:qFormat/>
    <w:rPr>
      <w:color w:val="0563c1"/>
      <w:u w:val="single"/>
    </w:rPr>
  </w:style>
  <w:style w:type="character" w:styleId="951">
    <w:name w:val="annotation reference"/>
    <w:uiPriority w:val="0"/>
    <w:qFormat/>
    <w:rPr>
      <w:sz w:val="21"/>
      <w:szCs w:val="21"/>
    </w:rPr>
  </w:style>
  <w:style w:type="paragraph" w:styleId="952" w:customStyle="1">
    <w:name w:val="TOC 标题1"/>
    <w:basedOn w:val="915"/>
    <w:next w:val="914"/>
    <w:uiPriority w:val="0"/>
    <w:qFormat/>
    <w:pPr>
      <w:jc w:val="left"/>
      <w:spacing w:before="240" w:after="0" w:line="259" w:lineRule="auto"/>
      <w:widowControl/>
      <w:outlineLvl w:val="9"/>
    </w:pPr>
    <w:rPr>
      <w:rFonts w:ascii="Calibri Light" w:hAnsi="Calibri Light" w:cs="Times New Roman"/>
      <w:b w:val="0"/>
      <w:bCs w:val="0"/>
      <w:color w:val="2e75b6"/>
      <w:sz w:val="32"/>
      <w:szCs w:val="32"/>
    </w:rPr>
  </w:style>
  <w:style w:type="paragraph" w:styleId="953">
    <w:name w:val="List Paragraph"/>
    <w:basedOn w:val="914"/>
    <w:uiPriority w:val="0"/>
    <w:qFormat/>
    <w:pPr>
      <w:ind w:firstLine="200"/>
      <w:jc w:val="left"/>
      <w:spacing w:before="60" w:after="60"/>
      <w:widowControl/>
    </w:pPr>
    <w:rPr>
      <w:rFonts w:ascii="宋体" w:hAnsi="宋体" w:eastAsia="Times New Roman" w:cs="宋体"/>
      <w:color w:val="000000"/>
      <w:sz w:val="20"/>
      <w:szCs w:val="20"/>
    </w:rPr>
  </w:style>
  <w:style w:type="paragraph" w:styleId="954" w:customStyle="1">
    <w:name w:val="蓝色显示"/>
    <w:basedOn w:val="914"/>
    <w:uiPriority w:val="0"/>
    <w:qFormat/>
    <w:pPr>
      <w:spacing w:before="340" w:after="330" w:line="400" w:lineRule="exact"/>
    </w:pPr>
    <w:rPr>
      <w:rFonts w:ascii="Times New Roman" w:hAnsi="Times New Roman" w:cs="Times New Roman"/>
      <w:b/>
      <w:color w:val="0070c0"/>
      <w:szCs w:val="24"/>
    </w:rPr>
  </w:style>
  <w:style w:type="paragraph" w:styleId="955" w:customStyle="1">
    <w:name w:val="正文00"/>
    <w:basedOn w:val="914"/>
    <w:uiPriority w:val="0"/>
    <w:qFormat/>
    <w:pPr>
      <w:ind w:firstLine="200"/>
      <w:spacing w:line="360" w:lineRule="auto"/>
    </w:pPr>
    <w:rPr>
      <w:rFonts w:ascii="Times New Roman" w:hAnsi="Times New Roman" w:cs="Times New Roman"/>
      <w:sz w:val="24"/>
      <w:szCs w:val="21"/>
    </w:rPr>
  </w:style>
  <w:style w:type="paragraph" w:styleId="956" w:customStyle="1">
    <w:name w:val="普通正文"/>
    <w:basedOn w:val="914"/>
    <w:uiPriority w:val="0"/>
    <w:qFormat/>
    <w:pPr>
      <w:ind w:firstLine="480"/>
      <w:jc w:val="left"/>
      <w:spacing w:before="120" w:after="120" w:line="360" w:lineRule="auto"/>
    </w:pPr>
    <w:rPr>
      <w:rFonts w:ascii="Arial" w:hAnsi="Arial" w:cs="Times New Roman"/>
      <w:sz w:val="24"/>
      <w:szCs w:val="24"/>
    </w:rPr>
  </w:style>
  <w:style w:type="paragraph" w:styleId="957" w:customStyle="1">
    <w:name w:val="Default"/>
    <w:uiPriority w:val="0"/>
    <w:qFormat/>
    <w:rPr>
      <w:rFonts w:ascii="宋体" w:hAnsi="Times New Roman" w:eastAsia="宋体" w:cs="宋体"/>
      <w:color w:val="000000"/>
      <w:sz w:val="24"/>
      <w:szCs w:val="24"/>
      <w:lang w:val="en-US" w:eastAsia="zh-CN" w:bidi="ar-SA"/>
    </w:rPr>
  </w:style>
  <w:style w:type="paragraph" w:styleId="958" w:customStyle="1">
    <w:name w:val="Table Paragraph"/>
    <w:basedOn w:val="914"/>
    <w:uiPriority w:val="0"/>
    <w:qFormat/>
    <w:pPr>
      <w:jc w:val="left"/>
    </w:pPr>
    <w:rPr>
      <w:rFonts w:ascii="Times New Roman" w:hAnsi="Times New Roman" w:cs="Times New Roman"/>
      <w:sz w:val="24"/>
      <w:szCs w:val="24"/>
    </w:rPr>
  </w:style>
  <w:style w:type="paragraph" w:styleId="959" w:customStyle="1">
    <w:name w:val="*正文"/>
    <w:basedOn w:val="914"/>
    <w:uiPriority w:val="0"/>
    <w:qFormat/>
    <w:pPr>
      <w:ind w:firstLine="200"/>
      <w:spacing w:line="340" w:lineRule="exact"/>
    </w:pPr>
    <w:rPr>
      <w:sz w:val="24"/>
      <w:szCs w:val="24"/>
    </w:rPr>
  </w:style>
  <w:style w:type="paragraph" w:styleId="960" w:customStyle="1">
    <w:name w:val="招标文件_标题3"/>
    <w:basedOn w:val="953"/>
    <w:next w:val="914"/>
    <w:uiPriority w:val="0"/>
    <w:qFormat/>
    <w:pPr>
      <w:ind w:firstLine="0"/>
      <w:jc w:val="both"/>
      <w:spacing w:before="0" w:after="0"/>
      <w:widowControl w:val="off"/>
      <w:outlineLvl w:val="2"/>
    </w:pPr>
    <w:rPr>
      <w:rFonts w:ascii="Calibri" w:hAnsi="Calibri" w:eastAsia="宋体" w:cs="Times New Roman"/>
      <w:b/>
      <w:color w:val="auto"/>
      <w:sz w:val="28"/>
      <w:szCs w:val="30"/>
      <w:lang w:val="zh-CN" w:bidi="en-US"/>
    </w:rPr>
  </w:style>
  <w:style w:type="character" w:styleId="961" w:customStyle="1">
    <w:name w:val="sh141"/>
    <w:uiPriority w:val="0"/>
    <w:qFormat/>
    <w:rPr>
      <w:color w:val="2b2b2b"/>
      <w:sz w:val="21"/>
      <w:szCs w:val="21"/>
    </w:rPr>
  </w:style>
  <w:style w:type="paragraph" w:styleId="962" w:customStyle="1">
    <w:name w:val="标准文本"/>
    <w:basedOn w:val="914"/>
    <w:uiPriority w:val="0"/>
    <w:qFormat/>
    <w:pPr>
      <w:ind w:firstLine="200"/>
      <w:spacing w:line="360" w:lineRule="auto"/>
    </w:pPr>
    <w:rPr>
      <w:rFonts w:ascii="Times New Roman" w:hAnsi="Times New Roman" w:cs="宋体"/>
      <w:sz w:val="24"/>
      <w:szCs w:val="24"/>
    </w:rPr>
  </w:style>
  <w:style w:type="character" w:styleId="963" w:customStyle="1">
    <w:name w:val="NormalCharacter"/>
    <w:basedOn w:val="919"/>
    <w:uiPriority w:val="0"/>
    <w:qFormat/>
  </w:style>
  <w:style w:type="character" w:styleId="964" w:customStyle="1">
    <w:name w:val="列表段落 字符"/>
    <w:basedOn w:val="919"/>
    <w:uiPriority w:val="0"/>
    <w:qFormat/>
    <w:rPr>
      <w:rFonts w:ascii="Times New Roman" w:hAnsi="Times New Roman" w:eastAsia="宋体" w:cs="Times New Roman"/>
      <w:szCs w:val="21"/>
    </w:rPr>
  </w:style>
  <w:style w:type="character" w:styleId="965" w:customStyle="1">
    <w:name w:val="正文文本首行缩进 2 字符"/>
    <w:uiPriority w:val="0"/>
    <w:qFormat/>
    <w:rPr>
      <w:rFonts w:ascii="Calibri" w:hAnsi="Calibri" w:eastAsia="宋体" w:cs="Times New Roman"/>
      <w:szCs w:val="20"/>
    </w:rPr>
  </w:style>
  <w:style w:type="paragraph" w:styleId="966" w:customStyle="1">
    <w:name w:val="正文1"/>
    <w:basedOn w:val="914"/>
    <w:uiPriority w:val="0"/>
    <w:qFormat/>
    <w:pPr>
      <w:ind w:firstLine="200"/>
      <w:jc w:val="left"/>
      <w:spacing w:before="120" w:after="120" w:line="180" w:lineRule="auto"/>
      <w:widowControl/>
    </w:pPr>
    <w:rPr>
      <w:rFonts w:cs="Times New Roman"/>
      <w:szCs w:val="21"/>
    </w:rPr>
  </w:style>
  <w:style w:type="character" w:styleId="967" w:customStyle="1">
    <w:name w:val="font31"/>
    <w:basedOn w:val="919"/>
    <w:uiPriority w:val="0"/>
    <w:qFormat/>
    <w:rPr>
      <w:rFonts w:ascii="仿宋" w:eastAsia="仿宋"/>
      <w:color w:val="000000"/>
      <w:sz w:val="24"/>
      <w:szCs w:val="24"/>
      <w:u w:val="none"/>
    </w:rPr>
  </w:style>
  <w:style w:type="paragraph" w:styleId="968" w:customStyle="1">
    <w:name w:val="_Style 25"/>
    <w:basedOn w:val="914"/>
    <w:next w:val="953"/>
    <w:uiPriority w:val="0"/>
    <w:qFormat/>
    <w:pPr>
      <w:ind w:firstLine="200"/>
      <w:spacing w:line="360" w:lineRule="auto"/>
    </w:pPr>
    <w:rPr>
      <w:sz w:val="24"/>
      <w:szCs w:val="24"/>
    </w:rPr>
  </w:style>
  <w:style w:type="paragraph" w:styleId="969" w:customStyle="1">
    <w:name w:val="章标题"/>
    <w:next w:val="914"/>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70" w:customStyle="1">
    <w:name w:val="纯文本1"/>
    <w:uiPriority w:val="0"/>
    <w:qFormat/>
    <w:pPr>
      <w:jc w:val="both"/>
      <w:widowControl w:val="off"/>
    </w:pPr>
    <w:rPr>
      <w:rFonts w:ascii="宋体" w:hAnsi="Courier New" w:eastAsia="宋体" w:cs="Courier New"/>
      <w:sz w:val="21"/>
      <w:szCs w:val="21"/>
      <w:lang w:val="en-US" w:eastAsia="zh-CN" w:bidi="ar-SA"/>
    </w:rPr>
  </w:style>
  <w:style w:type="paragraph" w:styleId="971" w:customStyle="1">
    <w:name w:val="纯文本11"/>
    <w:uiPriority w:val="0"/>
    <w:qFormat/>
    <w:pPr>
      <w:jc w:val="both"/>
      <w:widowControl w:val="off"/>
    </w:pPr>
    <w:rPr>
      <w:rFonts w:hint="default" w:ascii="宋体" w:hAnsi="Courier New" w:eastAsia="宋体" w:cs="Times New Roman"/>
      <w:sz w:val="21"/>
      <w:szCs w:val="20"/>
      <w:lang w:val="en-US" w:eastAsia="zh-CN" w:bidi="ar-SA"/>
    </w:rPr>
  </w:style>
  <w:style w:type="paragraph" w:styleId="972" w:customStyle="1">
    <w:name w:val="普通(网站)1"/>
    <w:uiPriority w:val="99"/>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character" w:styleId="973" w:customStyle="1">
    <w:name w:val="强调1"/>
    <w:link w:val="914"/>
    <w:uiPriority w:val="0"/>
    <w:qFormat/>
    <w:rPr>
      <w:rFonts w:ascii="Calibri" w:hAnsi="Calibri" w:eastAsia="宋体" w:cs="Arial"/>
      <w:sz w:val="21"/>
      <w:szCs w:val="22"/>
      <w:lang w:val="en-US" w:eastAsia="zh-CN" w:bidi="ar-SA"/>
    </w:r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wmf"/><Relationship Id="rId18" Type="http://schemas.openxmlformats.org/officeDocument/2006/relationships/oleObject" Target="embeddings/oleObject1.bin"/><Relationship Id="rId19" Type="http://schemas.openxmlformats.org/officeDocument/2006/relationships/image" Target="media/image4.wmf"/><Relationship Id="rId20" Type="http://schemas.openxmlformats.org/officeDocument/2006/relationships/oleObject" Target="embeddings/oleObject2.bin"/><Relationship Id="rId21" Type="http://schemas.openxmlformats.org/officeDocument/2006/relationships/image" Target="media/image5.wmf"/><Relationship Id="rId22" Type="http://schemas.openxmlformats.org/officeDocument/2006/relationships/oleObject" Target="embeddings/oleObject3.bin"/><Relationship Id="rId23" Type="http://schemas.openxmlformats.org/officeDocument/2006/relationships/image" Target="media/image6.wmf"/><Relationship Id="rId24" Type="http://schemas.openxmlformats.org/officeDocument/2006/relationships/oleObject" Target="embeddings/oleObject4.bin"/><Relationship Id="rId25" Type="http://schemas.openxmlformats.org/officeDocument/2006/relationships/image" Target="media/image7.wmf"/><Relationship Id="rId26"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陈沭</cp:lastModifiedBy>
  <cp:revision>9</cp:revision>
  <dcterms:created xsi:type="dcterms:W3CDTF">2026-04-01T12:15:00Z</dcterms:created>
  <dcterms:modified xsi:type="dcterms:W3CDTF">2026-06-30T06:28:08Z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A66F2EB32DD5447EB19B33F8AD7E85B2_13</vt:lpwstr>
  </property>
  <property fmtid="{D5CDD505-2E9C-101B-9397-08002B2CF9AE}" pid="4" name="KSOTemplateDocerSaveRecord">
    <vt:lpwstr>eyJoZGlkIjoiZGZiZTQ5OTQ2ZDdkMDQ5YjllZGNjODE2Yzg2ZWZmOTkiLCJ1c2VySWQiOiI0NDY2NDAwIn0=</vt:lpwstr>
  </property>
</Properties>
</file>